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center"/>
        <w:spacing w:before="120" w:after="120" w:line="360" w:lineRule="auto"/>
        <w:rPr>
          <w:rFonts w:hint="eastAsia" w:ascii="Arial" w:hAnsi="Arial"/>
          <w:b w:val="0"/>
          <w:bCs w:val="0"/>
          <w:color w:val="auto"/>
          <w:sz w:val="32"/>
          <w:szCs w:val="32"/>
          <w:highlight w:val="none"/>
        </w:rPr>
      </w:pPr>
      <w:r>
        <w:rPr>
          <w:rFonts w:hint="eastAsia" w:ascii="Arial" w:hAnsi="Arial"/>
          <w:b/>
          <w:bCs/>
          <w:color w:val="auto"/>
          <w:sz w:val="32"/>
          <w:szCs w:val="24"/>
          <w:highlight w:val="none"/>
        </w:rPr>
        <w:t xml:space="preserve">项目名称：</w:t>
      </w:r>
      <w:r>
        <w:rPr>
          <w:rFonts w:hint="eastAsia" w:ascii="Arial" w:hAnsi="Arial"/>
          <w:b w:val="0"/>
          <w:bCs w:val="0"/>
          <w:color w:val="auto"/>
          <w:sz w:val="32"/>
          <w:szCs w:val="24"/>
          <w:highlight w:val="none"/>
        </w:rPr>
        <w:t xml:space="preserve">南通市田家炳初级中学新建食堂风雨操场综合楼食堂厨具（含桌凳）设备和安装采购项目（二次）</w:t>
      </w:r>
      <w:r/>
    </w:p>
    <w:p>
      <w:pPr>
        <w:jc w:val="center"/>
        <w:spacing w:line="1000" w:lineRule="exact"/>
        <w:rPr>
          <w:rFonts w:hint="default" w:ascii="宋体" w:hAnsi="宋体" w:eastAsia="宋体" w:cs="宋体"/>
          <w:color w:val="auto"/>
          <w:sz w:val="32"/>
          <w:szCs w:val="32"/>
          <w:highlight w:val="none"/>
          <w:lang w:val="en-US"/>
        </w:rPr>
      </w:pPr>
      <w:r>
        <w:rPr>
          <w:rFonts w:hint="eastAsia" w:ascii="Arial" w:hAnsi="Arial"/>
          <w:b/>
          <w:bCs/>
          <w:color w:val="auto"/>
          <w:sz w:val="32"/>
          <w:szCs w:val="24"/>
          <w:highlight w:val="none"/>
        </w:rPr>
        <w:t xml:space="preserve">项目编号：</w:t>
      </w:r>
      <w:r>
        <w:rPr>
          <w:rFonts w:hint="eastAsia" w:ascii="宋体" w:hAnsi="宋体" w:eastAsia="宋体" w:cs="宋体"/>
          <w:color w:val="auto"/>
          <w:sz w:val="32"/>
          <w:szCs w:val="32"/>
          <w:highlight w:val="none"/>
        </w:rPr>
        <w:t xml:space="preserve">JSZC-320600-JZCG-G202</w:t>
      </w:r>
      <w:r>
        <w:rPr>
          <w:rFonts w:hint="eastAsia" w:ascii="宋体" w:hAnsi="宋体" w:cs="宋体"/>
          <w:color w:val="auto"/>
          <w:sz w:val="32"/>
          <w:szCs w:val="32"/>
          <w:highlight w:val="none"/>
          <w:lang w:val="en-US" w:eastAsia="zh-CN"/>
        </w:rPr>
        <w:t xml:space="preserve">6</w:t>
      </w:r>
      <w:r>
        <w:rPr>
          <w:rFonts w:hint="eastAsia" w:ascii="宋体" w:hAnsi="宋体" w:eastAsia="宋体" w:cs="宋体"/>
          <w:color w:val="auto"/>
          <w:sz w:val="32"/>
          <w:szCs w:val="32"/>
          <w:highlight w:val="none"/>
        </w:rPr>
        <w:t xml:space="preserve">-</w:t>
      </w:r>
      <w:r>
        <w:rPr>
          <w:rFonts w:hint="eastAsia" w:ascii="宋体" w:hAnsi="宋体" w:cs="宋体"/>
          <w:color w:val="auto"/>
          <w:sz w:val="32"/>
          <w:szCs w:val="32"/>
          <w:highlight w:val="none"/>
          <w:lang w:val="en-US" w:eastAsia="zh-CN"/>
        </w:rPr>
        <w:t xml:space="preserve">0096</w:t>
      </w:r>
      <w:r/>
    </w:p>
    <w:p>
      <w:pPr>
        <w:ind w:left="3012" w:hanging="3012"/>
        <w:rPr>
          <w:rFonts w:hint="eastAsia"/>
          <w:b/>
          <w:color w:val="auto"/>
          <w:sz w:val="30"/>
          <w:szCs w:val="30"/>
          <w:highlight w:val="none"/>
        </w:rPr>
      </w:pPr>
      <w:r>
        <w:rPr>
          <w:rFonts w:hint="eastAsia"/>
          <w:b/>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09"/>
        <w:ind w:firstLin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1109"/>
        <w:ind w:firstLin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1109"/>
        <w:ind w:firstLine="0"/>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2720"/>
        <w:spacing w:line="360" w:lineRule="auto"/>
        <w:rPr>
          <w:rFonts w:hint="eastAsia" w:ascii="宋体" w:hAnsi="宋体"/>
          <w:color w:val="auto"/>
          <w:sz w:val="32"/>
          <w:szCs w:val="20"/>
          <w:highlight w:val="none"/>
        </w:rPr>
      </w:pPr>
      <w:r>
        <w:rPr>
          <w:rFonts w:hint="eastAsia" w:ascii="宋体" w:hAnsi="宋体"/>
          <w:color w:val="auto"/>
          <w:sz w:val="32"/>
          <w:szCs w:val="20"/>
          <w:highlight w:val="none"/>
        </w:rPr>
        <w:t xml:space="preserve">南通市教育技术中心</w:t>
      </w:r>
      <w:r/>
    </w:p>
    <w:p>
      <w:pPr>
        <w:jc w:val="center"/>
        <w:spacing w:before="120" w:after="120" w:line="360" w:lineRule="auto"/>
        <w:rPr>
          <w:rFonts w:hint="eastAsia" w:ascii="Arial" w:hAnsi="Arial"/>
          <w:bCs/>
          <w:color w:val="auto"/>
          <w:sz w:val="32"/>
          <w:szCs w:val="24"/>
          <w:highlight w:val="none"/>
        </w:rPr>
      </w:pPr>
      <w:r>
        <w:rPr>
          <w:rFonts w:hint="eastAsia" w:ascii="Arial" w:hAnsi="Arial"/>
          <w:bCs/>
          <w:color w:val="auto"/>
          <w:sz w:val="32"/>
          <w:szCs w:val="24"/>
          <w:highlight w:val="none"/>
        </w:rPr>
        <w:t xml:space="preserve">202</w:t>
      </w:r>
      <w:r>
        <w:rPr>
          <w:rFonts w:hint="eastAsia" w:ascii="Arial" w:hAnsi="Arial"/>
          <w:bCs/>
          <w:color w:val="auto"/>
          <w:sz w:val="32"/>
          <w:szCs w:val="24"/>
          <w:highlight w:val="none"/>
          <w:lang w:val="en-US" w:eastAsia="zh-CN"/>
        </w:rPr>
        <w:t xml:space="preserve">6</w:t>
      </w:r>
      <w:r>
        <w:rPr>
          <w:rFonts w:hint="eastAsia" w:ascii="Arial" w:hAnsi="Arial"/>
          <w:bCs/>
          <w:color w:val="auto"/>
          <w:sz w:val="32"/>
          <w:szCs w:val="24"/>
          <w:highlight w:val="none"/>
        </w:rPr>
        <w:t xml:space="preserve">年</w:t>
      </w:r>
      <w:r>
        <w:rPr>
          <w:rFonts w:hint="eastAsia" w:ascii="Arial" w:hAnsi="Arial"/>
          <w:bCs/>
          <w:color w:val="auto"/>
          <w:sz w:val="32"/>
          <w:szCs w:val="24"/>
          <w:highlight w:val="none"/>
          <w:lang w:val="en-US" w:eastAsia="zh-CN"/>
        </w:rPr>
        <w:t xml:space="preserve">8</w:t>
      </w:r>
      <w:r>
        <w:rPr>
          <w:rFonts w:hint="eastAsia" w:ascii="Arial" w:hAnsi="Arial"/>
          <w:bCs/>
          <w:color w:val="auto"/>
          <w:sz w:val="32"/>
          <w:szCs w:val="24"/>
          <w:highlight w:val="none"/>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line="480" w:lineRule="auto"/>
        <w:rPr>
          <w:rFonts w:hint="eastAsia" w:ascii="黑体" w:hAnsi="Arial" w:eastAsia="黑体"/>
          <w:b/>
          <w:color w:val="auto"/>
          <w:sz w:val="44"/>
          <w:szCs w:val="21"/>
          <w:highlight w:val="none"/>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bookmarkStart w:id="0" w:name="_Toc120614210"/>
      <w:r/>
      <w:bookmarkStart w:id="1" w:name="_Toc513029200"/>
      <w:r/>
      <w:bookmarkStart w:id="2" w:name="_Toc523127445"/>
      <w:r/>
      <w:bookmarkStart w:id="3" w:name="_Toc479757206"/>
      <w:r/>
      <w:bookmarkStart w:id="4" w:name="_Toc20823272"/>
      <w:r/>
      <w:bookmarkStart w:id="5" w:name="_Toc16938516"/>
      <w:r/>
      <w:r/>
    </w:p>
    <w:p>
      <w:pPr>
        <w:jc w:val="center"/>
        <w:spacing w:line="480" w:lineRule="auto"/>
        <w:rPr>
          <w:rFonts w:hint="eastAsia" w:ascii="黑体" w:hAnsi="Arial" w:eastAsia="黑体"/>
          <w:b/>
          <w:color w:val="auto"/>
          <w:sz w:val="44"/>
          <w:szCs w:val="21"/>
          <w:highlight w:val="none"/>
        </w:rPr>
      </w:pPr>
      <w:r>
        <w:rPr>
          <w:rFonts w:hint="eastAsia" w:ascii="黑体" w:hAnsi="Arial" w:eastAsia="黑体"/>
          <w:b/>
          <w:color w:val="auto"/>
          <w:sz w:val="44"/>
          <w:szCs w:val="21"/>
          <w:highlight w:val="none"/>
        </w:rPr>
        <w:t xml:space="preserve">总  目  录</w:t>
      </w:r>
      <w:r/>
    </w:p>
    <w:p>
      <w:pPr>
        <w:pStyle w:val="1091"/>
        <w:tabs>
          <w:tab w:val="right" w:pos="8306" w:leader="dot"/>
        </w:tabs>
        <w:rPr>
          <w:color w:val="auto"/>
          <w:sz w:val="44"/>
          <w:szCs w:val="44"/>
          <w:highlight w:val="none"/>
        </w:rPr>
      </w:pPr>
      <w:r>
        <w:rPr>
          <w:rFonts w:hint="eastAsia" w:ascii="黑体" w:hAnsi="黑体" w:eastAsia="黑体" w:cs="黑体"/>
          <w:b/>
          <w:color w:val="auto"/>
          <w:sz w:val="40"/>
          <w:szCs w:val="44"/>
          <w:highlight w:val="none"/>
        </w:rPr>
        <w:fldChar w:fldCharType="begin"/>
      </w:r>
      <w:r>
        <w:rPr>
          <w:rFonts w:hint="eastAsia" w:ascii="黑体" w:hAnsi="黑体" w:eastAsia="黑体" w:cs="黑体"/>
          <w:b/>
          <w:color w:val="auto"/>
          <w:sz w:val="40"/>
          <w:szCs w:val="44"/>
          <w:highlight w:val="none"/>
        </w:rPr>
        <w:instrText xml:space="preserve"> TOC \o "1-1" \h \z \u </w:instrText>
      </w:r>
      <w:r>
        <w:rPr>
          <w:rFonts w:hint="eastAsia" w:ascii="黑体" w:hAnsi="黑体" w:eastAsia="黑体" w:cs="黑体"/>
          <w:b/>
          <w:color w:val="auto"/>
          <w:sz w:val="40"/>
          <w:szCs w:val="44"/>
          <w:highlight w:val="none"/>
        </w:rPr>
        <w:fldChar w:fldCharType="separate"/>
      </w: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_Toc19217 </w:instrText>
      </w:r>
      <w:r>
        <w:rPr>
          <w:rFonts w:hint="eastAsia" w:ascii="黑体" w:hAnsi="黑体" w:eastAsia="黑体" w:cs="黑体"/>
          <w:color w:val="auto"/>
          <w:sz w:val="44"/>
          <w:szCs w:val="44"/>
          <w:highlight w:val="none"/>
        </w:rPr>
        <w:fldChar w:fldCharType="separate"/>
      </w:r>
      <w:r>
        <w:rPr>
          <w:rFonts w:hint="eastAsia" w:ascii="黑体" w:eastAsia="黑体"/>
          <w:color w:val="auto"/>
          <w:sz w:val="44"/>
          <w:szCs w:val="44"/>
          <w:highlight w:val="none"/>
        </w:rPr>
        <w:t xml:space="preserve">第一章  投标邀请</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_Toc19217 \h </w:instrText>
      </w:r>
      <w:r>
        <w:rPr>
          <w:color w:val="auto"/>
          <w:sz w:val="44"/>
          <w:szCs w:val="44"/>
          <w:highlight w:val="none"/>
        </w:rPr>
        <w:fldChar w:fldCharType="separate"/>
      </w:r>
      <w:r>
        <w:rPr>
          <w:color w:val="auto"/>
          <w:sz w:val="44"/>
          <w:szCs w:val="44"/>
          <w:highlight w:val="none"/>
        </w:rPr>
        <w:t xml:space="preserve">1</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1091"/>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_Toc26028 </w:instrText>
      </w:r>
      <w:r>
        <w:rPr>
          <w:rFonts w:hint="eastAsia" w:ascii="黑体" w:hAnsi="黑体" w:eastAsia="黑体" w:cs="黑体"/>
          <w:color w:val="auto"/>
          <w:sz w:val="44"/>
          <w:szCs w:val="44"/>
          <w:highlight w:val="none"/>
        </w:rPr>
        <w:fldChar w:fldCharType="separate"/>
      </w:r>
      <w:r>
        <w:rPr>
          <w:rFonts w:hint="eastAsia" w:ascii="黑体" w:hAnsi="Arial" w:eastAsia="黑体" w:cs="Arial"/>
          <w:bCs/>
          <w:color w:val="auto"/>
          <w:sz w:val="44"/>
          <w:szCs w:val="44"/>
          <w:highlight w:val="none"/>
        </w:rPr>
        <w:t xml:space="preserve">第二章  投标人须知</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_Toc26028 \h </w:instrText>
      </w:r>
      <w:r>
        <w:rPr>
          <w:color w:val="auto"/>
          <w:sz w:val="44"/>
          <w:szCs w:val="44"/>
          <w:highlight w:val="none"/>
        </w:rPr>
        <w:fldChar w:fldCharType="separate"/>
      </w:r>
      <w:r>
        <w:rPr>
          <w:color w:val="auto"/>
          <w:sz w:val="44"/>
          <w:szCs w:val="44"/>
          <w:highlight w:val="none"/>
        </w:rPr>
        <w:t xml:space="preserve">5</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1091"/>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_Toc23781 </w:instrText>
      </w:r>
      <w:r>
        <w:rPr>
          <w:rFonts w:hint="eastAsia" w:ascii="黑体" w:hAnsi="黑体" w:eastAsia="黑体" w:cs="黑体"/>
          <w:color w:val="auto"/>
          <w:sz w:val="44"/>
          <w:szCs w:val="44"/>
          <w:highlight w:val="none"/>
        </w:rPr>
        <w:fldChar w:fldCharType="separate"/>
      </w:r>
      <w:r>
        <w:rPr>
          <w:rFonts w:hint="eastAsia" w:ascii="黑体" w:eastAsia="黑体"/>
          <w:bCs/>
          <w:color w:val="auto"/>
          <w:sz w:val="44"/>
          <w:szCs w:val="44"/>
          <w:highlight w:val="none"/>
        </w:rPr>
        <w:t xml:space="preserve">第三章  合同文本</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_Toc23781 \h </w:instrText>
      </w:r>
      <w:r>
        <w:rPr>
          <w:color w:val="auto"/>
          <w:sz w:val="44"/>
          <w:szCs w:val="44"/>
          <w:highlight w:val="none"/>
        </w:rPr>
        <w:fldChar w:fldCharType="separate"/>
      </w:r>
      <w:r>
        <w:rPr>
          <w:color w:val="auto"/>
          <w:sz w:val="44"/>
          <w:szCs w:val="44"/>
          <w:highlight w:val="none"/>
        </w:rPr>
        <w:t xml:space="preserve">24</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1091"/>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_Toc32334 </w:instrText>
      </w:r>
      <w:r>
        <w:rPr>
          <w:rFonts w:hint="eastAsia" w:ascii="黑体" w:hAnsi="黑体" w:eastAsia="黑体" w:cs="黑体"/>
          <w:color w:val="auto"/>
          <w:sz w:val="44"/>
          <w:szCs w:val="44"/>
          <w:highlight w:val="none"/>
        </w:rPr>
        <w:fldChar w:fldCharType="separate"/>
      </w:r>
      <w:r>
        <w:rPr>
          <w:rFonts w:hint="eastAsia" w:ascii="黑体" w:hAnsi="Courier New" w:eastAsia="黑体" w:cs="Courier New"/>
          <w:bCs/>
          <w:color w:val="auto"/>
          <w:sz w:val="44"/>
          <w:szCs w:val="44"/>
          <w:highlight w:val="none"/>
        </w:rPr>
        <w:t xml:space="preserve">第四章 </w:t>
      </w:r>
      <w:r>
        <w:rPr>
          <w:rFonts w:ascii="黑体" w:hAnsi="Courier New" w:eastAsia="黑体" w:cs="Courier New"/>
          <w:bCs/>
          <w:color w:val="auto"/>
          <w:sz w:val="44"/>
          <w:szCs w:val="44"/>
          <w:highlight w:val="none"/>
        </w:rPr>
        <w:t xml:space="preserve"> </w:t>
      </w:r>
      <w:r>
        <w:rPr>
          <w:rFonts w:hint="eastAsia" w:ascii="黑体" w:hAnsi="Courier New" w:eastAsia="黑体" w:cs="Courier New"/>
          <w:bCs/>
          <w:color w:val="auto"/>
          <w:sz w:val="44"/>
          <w:szCs w:val="44"/>
          <w:highlight w:val="none"/>
        </w:rPr>
        <w:t xml:space="preserve">采购需求</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_Toc32334 \h </w:instrText>
      </w:r>
      <w:r>
        <w:rPr>
          <w:color w:val="auto"/>
          <w:sz w:val="44"/>
          <w:szCs w:val="44"/>
          <w:highlight w:val="none"/>
        </w:rPr>
        <w:fldChar w:fldCharType="separate"/>
      </w:r>
      <w:r>
        <w:rPr>
          <w:color w:val="auto"/>
          <w:sz w:val="44"/>
          <w:szCs w:val="44"/>
          <w:highlight w:val="none"/>
        </w:rPr>
        <w:t xml:space="preserve">40</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1091"/>
        <w:tabs>
          <w:tab w:val="right" w:pos="8306" w:leader="dot"/>
        </w:tabs>
        <w:rPr>
          <w:color w:val="auto"/>
          <w:sz w:val="44"/>
          <w:szCs w:val="44"/>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_Toc12359 </w:instrText>
      </w:r>
      <w:r>
        <w:rPr>
          <w:rFonts w:hint="eastAsia" w:ascii="黑体" w:hAnsi="黑体" w:eastAsia="黑体" w:cs="黑体"/>
          <w:color w:val="auto"/>
          <w:sz w:val="44"/>
          <w:szCs w:val="44"/>
          <w:highlight w:val="none"/>
        </w:rPr>
        <w:fldChar w:fldCharType="separate"/>
      </w:r>
      <w:r>
        <w:rPr>
          <w:rFonts w:hint="eastAsia" w:ascii="黑体" w:eastAsia="黑体"/>
          <w:bCs/>
          <w:color w:val="auto"/>
          <w:sz w:val="44"/>
          <w:szCs w:val="44"/>
          <w:highlight w:val="none"/>
        </w:rPr>
        <w:t xml:space="preserve">第五章  评标方法与评标标准</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_Toc12359 \h </w:instrText>
      </w:r>
      <w:r>
        <w:rPr>
          <w:color w:val="auto"/>
          <w:sz w:val="44"/>
          <w:szCs w:val="44"/>
          <w:highlight w:val="none"/>
        </w:rPr>
        <w:fldChar w:fldCharType="separate"/>
      </w:r>
      <w:r>
        <w:rPr>
          <w:color w:val="auto"/>
          <w:sz w:val="44"/>
          <w:szCs w:val="44"/>
          <w:highlight w:val="none"/>
        </w:rPr>
        <w:t xml:space="preserve">68</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pStyle w:val="1091"/>
        <w:tabs>
          <w:tab w:val="right" w:pos="8306" w:leader="dot"/>
        </w:tabs>
        <w:rPr>
          <w:color w:val="auto"/>
          <w:highlight w:val="none"/>
        </w:rPr>
      </w:pPr>
      <w:r>
        <w:rPr>
          <w:rFonts w:hint="eastAsia" w:ascii="黑体" w:hAnsi="黑体" w:eastAsia="黑体" w:cs="黑体"/>
          <w:color w:val="auto"/>
          <w:sz w:val="44"/>
          <w:szCs w:val="44"/>
          <w:highlight w:val="none"/>
        </w:rPr>
        <w:fldChar w:fldCharType="begin"/>
      </w:r>
      <w:r>
        <w:rPr>
          <w:rFonts w:hint="eastAsia" w:ascii="黑体" w:hAnsi="黑体" w:eastAsia="黑体" w:cs="黑体"/>
          <w:color w:val="auto"/>
          <w:sz w:val="44"/>
          <w:szCs w:val="44"/>
          <w:highlight w:val="none"/>
        </w:rPr>
        <w:instrText xml:space="preserve"> HYPERLINK \l _Toc5488 </w:instrText>
      </w:r>
      <w:r>
        <w:rPr>
          <w:rFonts w:hint="eastAsia" w:ascii="黑体" w:hAnsi="黑体" w:eastAsia="黑体" w:cs="黑体"/>
          <w:color w:val="auto"/>
          <w:sz w:val="44"/>
          <w:szCs w:val="44"/>
          <w:highlight w:val="none"/>
        </w:rPr>
        <w:fldChar w:fldCharType="separate"/>
      </w:r>
      <w:r>
        <w:rPr>
          <w:rFonts w:hint="eastAsia" w:ascii="黑体" w:hAnsi="Times New Roman" w:eastAsia="黑体" w:cs="Times New Roman"/>
          <w:bCs/>
          <w:color w:val="auto"/>
          <w:sz w:val="44"/>
          <w:szCs w:val="44"/>
          <w:highlight w:val="none"/>
        </w:rPr>
        <w:t xml:space="preserve">第六章</w:t>
      </w:r>
      <w:r>
        <w:rPr>
          <w:rFonts w:hint="eastAsia" w:ascii="黑体" w:hAnsi="Times New Roman" w:eastAsia="黑体" w:cs="Times New Roman"/>
          <w:bCs/>
          <w:color w:val="auto"/>
          <w:sz w:val="44"/>
          <w:szCs w:val="44"/>
          <w:highlight w:val="none"/>
          <w:lang w:val="en-US" w:eastAsia="zh-CN"/>
        </w:rPr>
        <w:t xml:space="preserve"> </w:t>
      </w:r>
      <w:r>
        <w:rPr>
          <w:rFonts w:hint="eastAsia" w:ascii="黑体" w:eastAsia="黑体" w:cs="Times New Roman"/>
          <w:bCs/>
          <w:color w:val="auto"/>
          <w:sz w:val="44"/>
          <w:szCs w:val="44"/>
          <w:highlight w:val="none"/>
          <w:lang w:val="en-US" w:eastAsia="zh-CN"/>
        </w:rPr>
        <w:t xml:space="preserve"> </w:t>
      </w:r>
      <w:r>
        <w:rPr>
          <w:rFonts w:hint="eastAsia" w:ascii="黑体" w:hAnsi="Times New Roman" w:eastAsia="黑体" w:cs="Times New Roman"/>
          <w:bCs/>
          <w:color w:val="auto"/>
          <w:sz w:val="44"/>
          <w:szCs w:val="44"/>
          <w:highlight w:val="none"/>
          <w:lang w:val="en-US" w:eastAsia="zh-CN"/>
        </w:rPr>
        <w:t xml:space="preserve">投标文件格式</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_Toc5488 \h </w:instrText>
      </w:r>
      <w:r>
        <w:rPr>
          <w:color w:val="auto"/>
          <w:sz w:val="44"/>
          <w:szCs w:val="44"/>
          <w:highlight w:val="none"/>
        </w:rPr>
        <w:fldChar w:fldCharType="separate"/>
      </w:r>
      <w:r>
        <w:rPr>
          <w:color w:val="auto"/>
          <w:sz w:val="44"/>
          <w:szCs w:val="44"/>
          <w:highlight w:val="none"/>
        </w:rPr>
        <w:t xml:space="preserve">75</w:t>
      </w:r>
      <w:r>
        <w:rPr>
          <w:color w:val="auto"/>
          <w:sz w:val="44"/>
          <w:szCs w:val="44"/>
          <w:highlight w:val="none"/>
        </w:rPr>
        <w:fldChar w:fldCharType="end"/>
      </w:r>
      <w:r>
        <w:rPr>
          <w:rFonts w:hint="eastAsia" w:ascii="黑体" w:hAnsi="黑体" w:eastAsia="黑体" w:cs="黑体"/>
          <w:color w:val="auto"/>
          <w:sz w:val="44"/>
          <w:szCs w:val="44"/>
          <w:highlight w:val="none"/>
        </w:rPr>
        <w:fldChar w:fldCharType="end"/>
      </w:r>
      <w:r/>
    </w:p>
    <w:p>
      <w:pPr>
        <w:keepLines w:val="0"/>
        <w:keepNext w:val="0"/>
        <w:pageBreakBefore w:val="0"/>
        <w:spacing w:line="360" w:lineRule="auto"/>
        <w:widowControl w:val="off"/>
        <w:rPr>
          <w:rFonts w:hint="eastAsia" w:ascii="黑体" w:hAnsi="黑体" w:eastAsia="黑体" w:cs="黑体"/>
          <w:color w:val="auto"/>
          <w:sz w:val="40"/>
          <w:szCs w:val="24"/>
          <w:highlight w:val="none"/>
        </w:rPr>
      </w:pPr>
      <w:r>
        <w:rPr>
          <w:rFonts w:hint="eastAsia" w:ascii="黑体" w:hAnsi="黑体" w:eastAsia="黑体" w:cs="黑体"/>
          <w:color w:val="auto"/>
          <w:szCs w:val="44"/>
          <w:highlight w:val="none"/>
        </w:rPr>
        <w:fldChar w:fldCharType="end"/>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auto"/>
          <w:szCs w:val="21"/>
          <w:highlight w:val="none"/>
        </w:rPr>
      </w:r>
      <w:r/>
    </w:p>
    <w:p>
      <w:pPr>
        <w:jc w:val="center"/>
        <w:keepNext/>
        <w:rPr>
          <w:rFonts w:hint="eastAsia" w:ascii="黑体" w:eastAsia="黑体"/>
          <w:bCs/>
          <w:color w:val="auto"/>
          <w:sz w:val="44"/>
          <w:szCs w:val="44"/>
          <w:highlight w:val="none"/>
        </w:rPr>
        <w:outlineLvl w:val="0"/>
      </w:pPr>
      <w:r/>
      <w:bookmarkStart w:id="6" w:name="_Toc19217"/>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bookmarkEnd w:id="6"/>
      <w:r/>
      <w:r/>
    </w:p>
    <w:p>
      <w:pPr>
        <w:ind w:firstLine="560"/>
        <w:pageBreakBefore w:val="0"/>
        <w:spacing w:line="480" w:lineRule="exact"/>
        <w:rPr>
          <w:rFonts w:ascii="仿宋" w:hAnsi="仿宋" w:eastAsia="仿宋"/>
          <w:color w:val="auto"/>
          <w:sz w:val="28"/>
          <w:szCs w:val="28"/>
          <w:highlight w:val="none"/>
        </w:rPr>
      </w:pPr>
      <w:r/>
      <w:bookmarkStart w:id="7" w:name="_Toc35393621"/>
      <w:r/>
      <w:bookmarkStart w:id="8" w:name="_Toc38985263"/>
      <w:r/>
      <w:bookmarkStart w:id="9" w:name="_Toc28359002"/>
      <w:r/>
      <w:bookmarkStart w:id="10" w:name="_Toc35393790"/>
      <w:r/>
      <w:bookmarkStart w:id="11" w:name="_Toc28359079"/>
      <w:r/>
      <w:bookmarkStart w:id="12" w:name="_Hlk24379207"/>
      <w:r>
        <w:rPr>
          <w:rFonts w:hint="eastAsia" w:ascii="仿宋" w:hAnsi="仿宋" w:eastAsia="仿宋"/>
          <w:color w:val="auto"/>
          <w:sz w:val="28"/>
          <w:szCs w:val="28"/>
          <w:highlight w:val="none"/>
        </w:rPr>
        <w:t xml:space="preserve">受南通市田家炳初级中学的委托，南通市教育技术中心就南通市田家炳初级中学新建食堂风雨操场综合楼食堂厨具（含桌凳）设备和安装采购项目（二次）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JSZC-320600-JZCG-G</w:t>
      </w:r>
      <w:r>
        <w:rPr>
          <w:rFonts w:hint="eastAsia" w:ascii="仿宋" w:hAnsi="仿宋" w:eastAsia="仿宋"/>
          <w:color w:val="auto"/>
          <w:sz w:val="28"/>
          <w:szCs w:val="28"/>
          <w:highlight w:val="none"/>
          <w:lang w:eastAsia="zh-CN"/>
        </w:rPr>
        <w:t xml:space="preserve">2026-</w:t>
      </w:r>
      <w:r>
        <w:rPr>
          <w:rFonts w:hint="eastAsia" w:ascii="宋体" w:hAnsi="宋体" w:cs="宋体"/>
          <w:color w:val="auto"/>
          <w:sz w:val="32"/>
          <w:szCs w:val="32"/>
          <w:highlight w:val="none"/>
          <w:lang w:val="en-US" w:eastAsia="zh-CN"/>
        </w:rPr>
        <w:t xml:space="preserve">0096</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进行公开招标采购，欢迎符合条件的供应商投标。</w:t>
      </w:r>
      <w:r/>
    </w:p>
    <w:p>
      <w:pPr>
        <w:ind w:firstLine="560"/>
        <w:pageBreakBefore w:val="0"/>
        <w:spacing w:line="480" w:lineRule="exact"/>
        <w:rPr>
          <w:rFonts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rPr>
        <w:t xml:space="preserve">项目概况</w:t>
      </w:r>
      <w:r/>
    </w:p>
    <w:p>
      <w:pPr>
        <w:ind w:firstLine="560"/>
        <w:pageBreakBefore w:val="0"/>
        <w:spacing w:line="480" w:lineRule="exact"/>
        <w:rPr>
          <w:rFonts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u w:val="single"/>
          <w:lang w:eastAsia="zh-CN"/>
        </w:rPr>
        <w:t xml:space="preserve">南通市田家炳初级中学新建食堂风雨操场综合楼食堂厨具（含桌凳）设备和安装采购项目（二次）</w:t>
      </w:r>
      <w:r>
        <w:rPr>
          <w:rFonts w:hint="eastAsia" w:ascii="仿宋" w:hAnsi="仿宋" w:eastAsia="仿宋"/>
          <w:color w:val="auto"/>
          <w:sz w:val="28"/>
          <w:szCs w:val="28"/>
          <w:highlight w:val="none"/>
        </w:rPr>
        <w:t xml:space="preserve">的潜在投标人可在</w:t>
      </w:r>
      <w:r>
        <w:rPr>
          <w:rFonts w:hint="eastAsia" w:ascii="仿宋" w:hAnsi="仿宋" w:eastAsia="仿宋"/>
          <w:color w:val="auto"/>
          <w:sz w:val="28"/>
          <w:szCs w:val="28"/>
          <w:highlight w:val="none"/>
          <w:u w:val="single"/>
        </w:rPr>
        <w:t xml:space="preserve">“江苏政府采购网”自行免费下载</w:t>
      </w:r>
      <w:r>
        <w:rPr>
          <w:rFonts w:hint="eastAsia" w:ascii="仿宋" w:hAnsi="仿宋" w:eastAsia="仿宋"/>
          <w:color w:val="auto"/>
          <w:sz w:val="28"/>
          <w:szCs w:val="28"/>
          <w:highlight w:val="none"/>
        </w:rPr>
        <w:t xml:space="preserve">招标文件，并于</w:t>
      </w:r>
      <w:r>
        <w:rPr>
          <w:rFonts w:hint="eastAsia" w:ascii="仿宋" w:hAnsi="仿宋" w:eastAsia="仿宋"/>
          <w:color w:val="auto"/>
          <w:sz w:val="28"/>
          <w:szCs w:val="28"/>
          <w:highlight w:val="none"/>
          <w:u w:val="single"/>
        </w:rPr>
        <w:t xml:space="preserve">202</w:t>
      </w:r>
      <w:r>
        <w:rPr>
          <w:rFonts w:hint="eastAsia" w:ascii="仿宋" w:hAnsi="仿宋" w:eastAsia="仿宋"/>
          <w:color w:val="auto"/>
          <w:sz w:val="28"/>
          <w:szCs w:val="28"/>
          <w:highlight w:val="none"/>
          <w:u w:val="single"/>
          <w:lang w:val="en-US" w:eastAsia="zh-CN"/>
        </w:rPr>
        <w:t xml:space="preserve">6</w:t>
      </w:r>
      <w:r>
        <w:rPr>
          <w:rFonts w:hint="eastAsia" w:ascii="仿宋" w:hAnsi="仿宋" w:eastAsia="仿宋"/>
          <w:bCs/>
          <w:color w:val="auto"/>
          <w:sz w:val="28"/>
          <w:szCs w:val="28"/>
          <w:highlight w:val="none"/>
          <w:u w:val="single"/>
        </w:rPr>
        <w:t xml:space="preserve">年</w:t>
      </w:r>
      <w:r>
        <w:rPr>
          <w:rFonts w:hint="eastAsia" w:ascii="仿宋" w:hAnsi="仿宋" w:eastAsia="仿宋"/>
          <w:bCs/>
          <w:color w:val="auto"/>
          <w:sz w:val="28"/>
          <w:szCs w:val="28"/>
          <w:highlight w:val="none"/>
          <w:u w:val="single"/>
          <w:lang w:val="en-US" w:eastAsia="zh-CN"/>
        </w:rPr>
        <w:t xml:space="preserve">8</w:t>
      </w:r>
      <w:r>
        <w:rPr>
          <w:rFonts w:hint="eastAsia" w:ascii="仿宋" w:hAnsi="仿宋" w:eastAsia="仿宋"/>
          <w:bCs/>
          <w:color w:val="auto"/>
          <w:sz w:val="28"/>
          <w:szCs w:val="28"/>
          <w:highlight w:val="none"/>
          <w:u w:val="single"/>
        </w:rPr>
        <w:t xml:space="preserve">月</w:t>
      </w:r>
      <w:r>
        <w:rPr>
          <w:rFonts w:hint="eastAsia" w:ascii="仿宋" w:hAnsi="仿宋" w:eastAsia="仿宋"/>
          <w:bCs/>
          <w:color w:val="auto"/>
          <w:sz w:val="28"/>
          <w:szCs w:val="28"/>
          <w:highlight w:val="none"/>
          <w:u w:val="single"/>
          <w:lang w:val="en-US" w:eastAsia="zh-CN"/>
        </w:rPr>
        <w:t xml:space="preserve">28</w:t>
      </w:r>
      <w:r>
        <w:rPr>
          <w:rFonts w:hint="eastAsia" w:ascii="仿宋" w:hAnsi="仿宋" w:eastAsia="仿宋"/>
          <w:bCs/>
          <w:color w:val="auto"/>
          <w:sz w:val="28"/>
          <w:szCs w:val="28"/>
          <w:highlight w:val="none"/>
          <w:u w:val="single"/>
        </w:rPr>
        <w:t xml:space="preserve">日</w:t>
      </w:r>
      <w:r>
        <w:rPr>
          <w:rFonts w:hint="eastAsia" w:ascii="仿宋" w:hAnsi="仿宋" w:eastAsia="仿宋"/>
          <w:bCs/>
          <w:color w:val="auto"/>
          <w:sz w:val="28"/>
          <w:szCs w:val="28"/>
          <w:highlight w:val="none"/>
          <w:u w:val="single"/>
          <w:lang w:val="en-US" w:eastAsia="zh-CN"/>
        </w:rPr>
        <w:t xml:space="preserve">9</w:t>
      </w:r>
      <w:r>
        <w:rPr>
          <w:rFonts w:hint="eastAsia" w:ascii="仿宋" w:hAnsi="仿宋" w:eastAsia="仿宋"/>
          <w:bCs/>
          <w:color w:val="auto"/>
          <w:sz w:val="28"/>
          <w:szCs w:val="28"/>
          <w:highlight w:val="none"/>
          <w:u w:val="single"/>
          <w:lang w:eastAsia="zh-CN"/>
        </w:rPr>
        <w:t xml:space="preserve">：</w:t>
      </w:r>
      <w:r>
        <w:rPr>
          <w:rFonts w:hint="eastAsia" w:ascii="仿宋" w:hAnsi="仿宋" w:eastAsia="仿宋"/>
          <w:bCs/>
          <w:color w:val="auto"/>
          <w:sz w:val="28"/>
          <w:szCs w:val="28"/>
          <w:highlight w:val="none"/>
          <w:u w:val="single"/>
          <w:lang w:val="en-US" w:eastAsia="zh-CN"/>
        </w:rPr>
        <w:t xml:space="preserve">00</w:t>
      </w:r>
      <w:r>
        <w:rPr>
          <w:rFonts w:hint="eastAsia" w:ascii="仿宋" w:hAnsi="仿宋" w:eastAsia="仿宋"/>
          <w:bCs/>
          <w:color w:val="auto"/>
          <w:sz w:val="28"/>
          <w:szCs w:val="28"/>
          <w:highlight w:val="none"/>
          <w:u w:val="single"/>
        </w:rPr>
        <w:t xml:space="preserve">（</w:t>
      </w:r>
      <w:r>
        <w:rPr>
          <w:rFonts w:hint="eastAsia" w:ascii="仿宋" w:hAnsi="仿宋" w:eastAsia="仿宋"/>
          <w:bCs/>
          <w:color w:val="auto"/>
          <w:sz w:val="28"/>
          <w:szCs w:val="28"/>
          <w:highlight w:val="none"/>
        </w:rPr>
        <w:t xml:space="preserve">北京时间）前递交投标</w:t>
      </w:r>
      <w:r>
        <w:rPr>
          <w:rFonts w:ascii="仿宋" w:hAnsi="仿宋" w:eastAsia="仿宋"/>
          <w:bCs/>
          <w:color w:val="auto"/>
          <w:sz w:val="28"/>
          <w:szCs w:val="28"/>
          <w:highlight w:val="none"/>
        </w:rPr>
        <w:t xml:space="preserve">文件</w:t>
      </w:r>
      <w:r>
        <w:rPr>
          <w:rFonts w:hint="eastAsia" w:ascii="仿宋" w:hAnsi="仿宋" w:eastAsia="仿宋"/>
          <w:color w:val="auto"/>
          <w:sz w:val="28"/>
          <w:szCs w:val="28"/>
          <w:highlight w:val="none"/>
        </w:rPr>
        <w:t xml:space="preserve">。</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一、项目基本情况</w:t>
      </w:r>
      <w:bookmarkEnd w:id="7"/>
      <w:r/>
      <w:bookmarkEnd w:id="8"/>
      <w:r/>
      <w:bookmarkEnd w:id="9"/>
      <w:r/>
      <w:bookmarkEnd w:id="10"/>
      <w:r/>
      <w:bookmarkEnd w:id="11"/>
      <w:r/>
      <w:r/>
    </w:p>
    <w:p>
      <w:pPr>
        <w:ind w:firstLine="560"/>
        <w:pageBreakBefore w:val="0"/>
        <w:spacing w:line="48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1.项目编号：JSZC-320600-JZCG-G202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0096</w:t>
      </w:r>
      <w:r/>
    </w:p>
    <w:p>
      <w:pPr>
        <w:ind w:firstLine="56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2.项目名称：</w:t>
      </w:r>
      <w:bookmarkEnd w:id="12"/>
      <w:r>
        <w:rPr>
          <w:rFonts w:hint="eastAsia" w:ascii="仿宋" w:hAnsi="仿宋" w:eastAsia="仿宋"/>
          <w:color w:val="auto"/>
          <w:sz w:val="28"/>
          <w:szCs w:val="28"/>
          <w:highlight w:val="none"/>
        </w:rPr>
        <w:t xml:space="preserve">南通市田家炳初级中学新建食堂风雨操场综合楼食堂厨具（含桌凳）设备和安装采购项目（二次）</w:t>
      </w:r>
      <w:r/>
    </w:p>
    <w:p>
      <w:pPr>
        <w:ind w:firstLine="56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w:t>
      </w:r>
      <w:bookmarkStart w:id="13" w:name="_Toc38985264"/>
      <w:r/>
      <w:bookmarkStart w:id="14" w:name="_Toc35393791"/>
      <w:r/>
      <w:bookmarkStart w:id="15" w:name="_Toc35393622"/>
      <w:r/>
      <w:bookmarkStart w:id="16" w:name="_Toc28359080"/>
      <w:r/>
      <w:bookmarkStart w:id="17" w:name="_Toc28359003"/>
      <w:r>
        <w:rPr>
          <w:rFonts w:hint="eastAsia" w:ascii="仿宋" w:hAnsi="仿宋" w:eastAsia="仿宋"/>
          <w:color w:val="auto"/>
          <w:sz w:val="28"/>
          <w:szCs w:val="28"/>
          <w:highlight w:val="none"/>
        </w:rPr>
        <w:t xml:space="preserve">275.42 万元</w:t>
      </w:r>
      <w:r/>
    </w:p>
    <w:p>
      <w:pPr>
        <w:ind w:firstLine="560"/>
        <w:pageBreakBefore w:val="0"/>
        <w:spacing w:line="48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4.最高限价：275.42 万元</w:t>
      </w:r>
      <w:r/>
    </w:p>
    <w:p>
      <w:pPr>
        <w:ind w:firstLine="560"/>
        <w:pageBreakBefore w:val="0"/>
        <w:spacing w:after="62" w:line="480" w:lineRule="exact"/>
        <w:rPr>
          <w:rFonts w:ascii="Times New Roman" w:hAnsi="Times New Roman" w:eastAsia="仿宋" w:cs="Times New Roman"/>
          <w:color w:val="auto"/>
          <w:sz w:val="28"/>
          <w:szCs w:val="28"/>
          <w:highlight w:val="none"/>
        </w:rPr>
      </w:pPr>
      <w:r>
        <w:rPr>
          <w:rFonts w:hint="eastAsia" w:ascii="仿宋" w:hAnsi="仿宋" w:eastAsia="仿宋"/>
          <w:color w:val="auto"/>
          <w:sz w:val="28"/>
          <w:szCs w:val="28"/>
          <w:highlight w:val="none"/>
        </w:rPr>
        <w:t xml:space="preserve">5.采购需求（简介）：</w:t>
      </w:r>
      <w:r>
        <w:rPr>
          <w:rFonts w:ascii="Times New Roman" w:hAnsi="Times New Roman" w:eastAsia="仿宋" w:cs="Times New Roman"/>
          <w:color w:val="auto"/>
          <w:sz w:val="28"/>
          <w:szCs w:val="28"/>
          <w:highlight w:val="none"/>
        </w:rPr>
        <w:t xml:space="preserve">学校食堂设备采购项目，满足学校师生员工就餐需求。采购范围包括学校厨房设备的制作、运输、安装、摆放就位、检测、售后服务等，性能、材料、结构、外观、安全等技术参数详见清单。</w:t>
      </w:r>
      <w:r/>
    </w:p>
    <w:p>
      <w:pPr>
        <w:ind w:firstLine="560"/>
        <w:pageBreakBefore w:val="0"/>
        <w:spacing w:after="62" w:line="480" w:lineRule="exact"/>
        <w:rPr>
          <w:rFonts w:ascii="仿宋" w:hAnsi="仿宋" w:eastAsia="仿宋"/>
          <w:color w:val="auto"/>
          <w:sz w:val="28"/>
          <w:szCs w:val="28"/>
          <w:highlight w:val="none"/>
          <w:u w:val="single"/>
        </w:rPr>
      </w:pPr>
      <w:r>
        <w:rPr>
          <w:rFonts w:ascii="Times New Roman" w:hAnsi="Times New Roman" w:eastAsia="仿宋" w:cs="Times New Roman"/>
          <w:color w:val="auto"/>
          <w:sz w:val="28"/>
          <w:szCs w:val="28"/>
          <w:highlight w:val="none"/>
        </w:rPr>
        <w:t xml:space="preserve">6.合同履行期限：签订合同后</w:t>
      </w:r>
      <w:r>
        <w:rPr>
          <w:rFonts w:hint="eastAsia" w:eastAsia="仿宋" w:cs="Times New Roman"/>
          <w:color w:val="auto"/>
          <w:sz w:val="28"/>
          <w:szCs w:val="28"/>
          <w:highlight w:val="none"/>
          <w:lang w:val="en-US" w:eastAsia="zh-CN"/>
        </w:rPr>
        <w:t xml:space="preserve">25</w:t>
      </w:r>
      <w:r>
        <w:rPr>
          <w:rFonts w:ascii="Times New Roman" w:hAnsi="Times New Roman" w:eastAsia="仿宋" w:cs="Times New Roman"/>
          <w:color w:val="auto"/>
          <w:sz w:val="28"/>
          <w:szCs w:val="28"/>
          <w:highlight w:val="none"/>
        </w:rPr>
        <w:t xml:space="preserve">天内完成供货安装调试，并通过采购人验收。</w:t>
      </w:r>
      <w:r/>
    </w:p>
    <w:p>
      <w:pPr>
        <w:pageBreakBefore w:val="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二、申请人的资格要求：</w:t>
      </w:r>
      <w:bookmarkEnd w:id="13"/>
      <w:r/>
      <w:bookmarkEnd w:id="14"/>
      <w:r/>
      <w:bookmarkEnd w:id="15"/>
      <w:r/>
      <w:bookmarkEnd w:id="16"/>
      <w:r/>
      <w:bookmarkEnd w:id="17"/>
      <w:r/>
      <w:r/>
    </w:p>
    <w:p>
      <w:pPr>
        <w:ind w:firstLine="560"/>
        <w:pageBreakBefore w:val="0"/>
        <w:spacing w:line="480" w:lineRule="exact"/>
        <w:rPr>
          <w:rFonts w:ascii="仿宋" w:hAnsi="仿宋" w:eastAsia="仿宋"/>
          <w:color w:val="auto"/>
          <w:sz w:val="28"/>
          <w:szCs w:val="28"/>
          <w:highlight w:val="none"/>
        </w:rPr>
      </w:pPr>
      <w:r/>
      <w:bookmarkStart w:id="18" w:name="_Toc35393623"/>
      <w:r/>
      <w:bookmarkStart w:id="19" w:name="_Toc35393792"/>
      <w:r/>
      <w:bookmarkStart w:id="20" w:name="_Toc28359081"/>
      <w:r/>
      <w:bookmarkStart w:id="21" w:name="_Toc38985265"/>
      <w:r/>
      <w:bookmarkStart w:id="22" w:name="_Toc28359004"/>
      <w:r>
        <w:rPr>
          <w:rFonts w:hint="eastAsia" w:ascii="仿宋" w:hAnsi="仿宋" w:eastAsia="仿宋"/>
          <w:color w:val="auto"/>
          <w:sz w:val="28"/>
          <w:szCs w:val="28"/>
          <w:highlight w:val="none"/>
        </w:rPr>
        <w:t xml:space="preserve">（一</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通用</w:t>
      </w:r>
      <w:r>
        <w:rPr>
          <w:rFonts w:ascii="仿宋" w:hAnsi="仿宋" w:eastAsia="仿宋"/>
          <w:color w:val="auto"/>
          <w:sz w:val="28"/>
          <w:szCs w:val="28"/>
          <w:highlight w:val="none"/>
        </w:rPr>
        <w:t xml:space="preserve">资格要求</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1.满足《中华人民共和国政府采购法》第二十二条规定。</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提供声明函</w:t>
      </w:r>
      <w:r>
        <w:rPr>
          <w:rFonts w:hint="eastAsia" w:ascii="仿宋" w:hAnsi="仿宋" w:eastAsia="仿宋"/>
          <w:color w:val="auto"/>
          <w:sz w:val="28"/>
          <w:szCs w:val="28"/>
          <w:highlight w:val="none"/>
          <w:lang w:eastAsia="zh-CN"/>
        </w:rPr>
        <w:t xml:space="preserve">）</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w:t>
      </w:r>
      <w:r>
        <w:rPr>
          <w:rFonts w:hint="eastAsia" w:ascii="仿宋" w:hAnsi="仿宋" w:eastAsia="仿宋"/>
          <w:color w:val="auto"/>
          <w:sz w:val="28"/>
          <w:szCs w:val="28"/>
          <w:highlight w:val="none"/>
          <w:lang w:val="en-US" w:eastAsia="zh-CN"/>
        </w:rPr>
        <w:t xml:space="preserve">证明</w:t>
      </w:r>
      <w:r>
        <w:rPr>
          <w:rFonts w:hint="eastAsia" w:ascii="仿宋" w:hAnsi="仿宋" w:eastAsia="仿宋"/>
          <w:color w:val="auto"/>
          <w:sz w:val="28"/>
          <w:szCs w:val="28"/>
          <w:highlight w:val="none"/>
          <w:lang w:eastAsia="zh-CN"/>
        </w:rPr>
        <w:t xml:space="preserve">材料</w:t>
      </w:r>
      <w:r>
        <w:rPr>
          <w:rFonts w:hint="eastAsia" w:ascii="仿宋" w:hAnsi="仿宋" w:eastAsia="仿宋"/>
          <w:color w:val="auto"/>
          <w:sz w:val="28"/>
          <w:szCs w:val="28"/>
          <w:highlight w:val="none"/>
        </w:rPr>
        <w:t xml:space="preserve">）</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4.本项目不接受联合体投标。</w:t>
      </w:r>
      <w:r/>
    </w:p>
    <w:p>
      <w:pPr>
        <w:ind w:firstLine="56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5.本项目不接受分包。</w:t>
      </w:r>
      <w:r/>
    </w:p>
    <w:p>
      <w:pPr>
        <w:ind w:firstLine="56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（二）本项目的特定资格要求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无</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三、获取招标文件</w:t>
      </w:r>
      <w:bookmarkEnd w:id="18"/>
      <w:r/>
      <w:bookmarkEnd w:id="19"/>
      <w:r/>
      <w:bookmarkEnd w:id="20"/>
      <w:r/>
      <w:bookmarkEnd w:id="21"/>
      <w:r/>
      <w:bookmarkEnd w:id="22"/>
      <w:r/>
      <w:r/>
    </w:p>
    <w:p>
      <w:pPr>
        <w:ind w:firstLine="540"/>
        <w:pageBreakBefore w:val="0"/>
        <w:spacing w:line="480" w:lineRule="exact"/>
        <w:rPr>
          <w:rFonts w:ascii="仿宋" w:hAnsi="仿宋" w:eastAsia="仿宋" w:cs="宋体"/>
          <w:color w:val="auto"/>
          <w:sz w:val="28"/>
          <w:szCs w:val="28"/>
          <w:highlight w:val="none"/>
        </w:rPr>
      </w:pPr>
      <w:r/>
      <w:bookmarkStart w:id="23" w:name="_Toc28359082"/>
      <w:r/>
      <w:bookmarkStart w:id="24" w:name="_Toc28359005"/>
      <w:r/>
      <w:bookmarkStart w:id="25" w:name="_Toc35393793"/>
      <w:r/>
      <w:bookmarkStart w:id="26" w:name="_Toc35393624"/>
      <w:r/>
      <w:bookmarkStart w:id="27" w:name="_Toc38985266"/>
      <w:r>
        <w:rPr>
          <w:rFonts w:hint="eastAsia" w:ascii="仿宋" w:hAnsi="仿宋" w:eastAsia="仿宋" w:cs="宋体"/>
          <w:color w:val="auto"/>
          <w:sz w:val="28"/>
          <w:szCs w:val="28"/>
          <w:highlight w:val="none"/>
        </w:rPr>
        <w:t xml:space="preserve">1.时间：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8</w:t>
      </w:r>
      <w:r>
        <w:rPr>
          <w:rFonts w:hint="eastAsia" w:ascii="仿宋" w:hAnsi="仿宋" w:eastAsia="仿宋" w:cs="宋体"/>
          <w:color w:val="auto"/>
          <w:sz w:val="28"/>
          <w:szCs w:val="28"/>
          <w:highlight w:val="none"/>
          <w:lang w:eastAsia="zh-CN"/>
        </w:rPr>
        <w:t xml:space="preserve">月</w:t>
      </w:r>
      <w:r>
        <w:rPr>
          <w:rFonts w:hint="eastAsia" w:ascii="仿宋" w:hAnsi="仿宋" w:eastAsia="仿宋" w:cs="宋体"/>
          <w:color w:val="auto"/>
          <w:sz w:val="28"/>
          <w:szCs w:val="28"/>
          <w:highlight w:val="none"/>
          <w:lang w:val="en-US" w:eastAsia="zh-CN"/>
        </w:rPr>
        <w:t xml:space="preserve">8</w:t>
      </w:r>
      <w:r>
        <w:rPr>
          <w:rFonts w:hint="eastAsia" w:ascii="仿宋" w:hAnsi="仿宋" w:eastAsia="仿宋" w:cs="宋体"/>
          <w:color w:val="auto"/>
          <w:sz w:val="28"/>
          <w:szCs w:val="28"/>
          <w:highlight w:val="none"/>
          <w:lang w:eastAsia="zh-CN"/>
        </w:rPr>
        <w:t xml:space="preserve">日</w:t>
      </w:r>
      <w:r>
        <w:rPr>
          <w:rFonts w:hint="eastAsia" w:ascii="仿宋" w:hAnsi="仿宋" w:eastAsia="仿宋" w:cs="宋体"/>
          <w:color w:val="auto"/>
          <w:sz w:val="28"/>
          <w:szCs w:val="28"/>
          <w:highlight w:val="none"/>
        </w:rPr>
        <w:t xml:space="preserve">00:00至</w:t>
      </w:r>
      <w:r>
        <w:rPr>
          <w:rFonts w:hint="eastAsia" w:ascii="仿宋" w:hAnsi="仿宋" w:eastAsia="仿宋"/>
          <w:bCs/>
          <w:color w:val="auto"/>
          <w:sz w:val="28"/>
          <w:szCs w:val="28"/>
          <w:highlight w:val="none"/>
          <w:u w:val="none"/>
          <w:lang w:eastAsia="zh-CN"/>
        </w:rPr>
        <w:t xml:space="preserve">2026</w:t>
      </w:r>
      <w:r>
        <w:rPr>
          <w:rFonts w:hint="eastAsia" w:ascii="仿宋" w:hAnsi="仿宋" w:eastAsia="仿宋"/>
          <w:bCs/>
          <w:color w:val="auto"/>
          <w:sz w:val="28"/>
          <w:szCs w:val="28"/>
          <w:highlight w:val="none"/>
          <w:u w:val="none"/>
        </w:rPr>
        <w:t xml:space="preserve">年</w:t>
      </w:r>
      <w:r>
        <w:rPr>
          <w:rFonts w:hint="eastAsia" w:ascii="仿宋" w:hAnsi="仿宋" w:eastAsia="仿宋"/>
          <w:bCs/>
          <w:color w:val="auto"/>
          <w:sz w:val="28"/>
          <w:szCs w:val="28"/>
          <w:highlight w:val="none"/>
          <w:u w:val="none"/>
          <w:lang w:val="en-US" w:eastAsia="zh-CN"/>
        </w:rPr>
        <w:t xml:space="preserve">8</w:t>
      </w:r>
      <w:r>
        <w:rPr>
          <w:rFonts w:hint="eastAsia" w:ascii="仿宋" w:hAnsi="仿宋" w:eastAsia="仿宋"/>
          <w:bCs/>
          <w:color w:val="auto"/>
          <w:sz w:val="28"/>
          <w:szCs w:val="28"/>
          <w:highlight w:val="none"/>
          <w:u w:val="none"/>
        </w:rPr>
        <w:t xml:space="preserve">月</w:t>
      </w:r>
      <w:r>
        <w:rPr>
          <w:rFonts w:hint="eastAsia" w:ascii="仿宋" w:hAnsi="仿宋" w:eastAsia="仿宋"/>
          <w:bCs/>
          <w:color w:val="auto"/>
          <w:sz w:val="28"/>
          <w:szCs w:val="28"/>
          <w:highlight w:val="none"/>
          <w:u w:val="none"/>
          <w:lang w:val="en-US" w:eastAsia="zh-CN"/>
        </w:rPr>
        <w:t xml:space="preserve">28</w:t>
      </w:r>
      <w:r>
        <w:rPr>
          <w:rFonts w:hint="eastAsia" w:ascii="仿宋" w:hAnsi="仿宋" w:eastAsia="仿宋"/>
          <w:bCs/>
          <w:color w:val="auto"/>
          <w:sz w:val="28"/>
          <w:szCs w:val="28"/>
          <w:highlight w:val="none"/>
          <w:u w:val="none"/>
        </w:rPr>
        <w:t xml:space="preserve">日9</w:t>
      </w:r>
      <w:r>
        <w:rPr>
          <w:rFonts w:hint="eastAsia" w:ascii="仿宋" w:hAnsi="仿宋" w:eastAsia="仿宋"/>
          <w:bCs/>
          <w:color w:val="auto"/>
          <w:sz w:val="28"/>
          <w:szCs w:val="28"/>
          <w:highlight w:val="none"/>
          <w:u w:val="none"/>
          <w:lang w:eastAsia="zh-CN"/>
        </w:rPr>
        <w:t xml:space="preserve">：</w:t>
      </w:r>
      <w:r>
        <w:rPr>
          <w:rFonts w:hint="eastAsia" w:ascii="仿宋" w:hAnsi="仿宋" w:eastAsia="仿宋"/>
          <w:bCs/>
          <w:color w:val="auto"/>
          <w:sz w:val="28"/>
          <w:szCs w:val="28"/>
          <w:highlight w:val="none"/>
          <w:u w:val="none"/>
          <w:lang w:val="en-US" w:eastAsia="zh-CN"/>
        </w:rPr>
        <w:t xml:space="preserve">0</w:t>
      </w:r>
      <w:r>
        <w:rPr>
          <w:rFonts w:hint="eastAsia" w:ascii="仿宋" w:hAnsi="仿宋" w:eastAsia="仿宋"/>
          <w:bCs/>
          <w:color w:val="auto"/>
          <w:sz w:val="28"/>
          <w:szCs w:val="28"/>
          <w:highlight w:val="none"/>
          <w:u w:val="none"/>
        </w:rPr>
        <w:t xml:space="preserve">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40"/>
        <w:pageBreakBefore w:val="0"/>
        <w:spacing w:line="480" w:lineRule="exact"/>
        <w:rPr>
          <w:rFonts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rPr>
        <w:t xml:space="preserve">2.方式：在“江苏政府采购网”自行免费下载招标文件。</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四、提交投标文件</w:t>
      </w:r>
      <w:bookmarkEnd w:id="23"/>
      <w:r/>
      <w:bookmarkEnd w:id="24"/>
      <w:r>
        <w:rPr>
          <w:rFonts w:hint="eastAsia" w:ascii="仿宋" w:hAnsi="仿宋" w:eastAsia="仿宋"/>
          <w:b/>
          <w:bCs/>
          <w:color w:val="auto"/>
          <w:sz w:val="28"/>
          <w:szCs w:val="28"/>
          <w:highlight w:val="none"/>
        </w:rPr>
        <w:t xml:space="preserve">截止时间、开标时间和地点</w:t>
      </w:r>
      <w:bookmarkEnd w:id="25"/>
      <w:r/>
      <w:bookmarkEnd w:id="26"/>
      <w:r/>
      <w:bookmarkEnd w:id="27"/>
      <w:r/>
      <w:r/>
    </w:p>
    <w:p>
      <w:pPr>
        <w:ind w:firstLine="560"/>
        <w:pageBreakBefore w:val="0"/>
        <w:spacing w:line="480" w:lineRule="exact"/>
        <w:rPr>
          <w:rFonts w:hint="eastAsia" w:ascii="仿宋" w:hAnsi="仿宋" w:eastAsia="仿宋" w:cs="宋体"/>
          <w:i/>
          <w:color w:val="auto"/>
          <w:sz w:val="28"/>
          <w:szCs w:val="28"/>
          <w:highlight w:val="none"/>
        </w:rPr>
      </w:pPr>
      <w:r>
        <w:rPr>
          <w:rFonts w:hint="eastAsia" w:ascii="仿宋" w:hAnsi="仿宋" w:eastAsia="仿宋"/>
          <w:bCs/>
          <w:color w:val="auto"/>
          <w:sz w:val="28"/>
          <w:szCs w:val="28"/>
          <w:highlight w:val="none"/>
          <w:u w:val="none"/>
        </w:rPr>
        <w:t xml:space="preserve">1.</w:t>
      </w:r>
      <w:r>
        <w:rPr>
          <w:rFonts w:hint="eastAsia" w:ascii="仿宋" w:hAnsi="仿宋" w:eastAsia="仿宋"/>
          <w:bCs/>
          <w:color w:val="auto"/>
          <w:sz w:val="28"/>
          <w:szCs w:val="28"/>
          <w:highlight w:val="none"/>
          <w:u w:val="none"/>
          <w:lang w:eastAsia="zh-CN"/>
        </w:rPr>
        <w:t xml:space="preserve">2026</w:t>
      </w:r>
      <w:r>
        <w:rPr>
          <w:rFonts w:hint="eastAsia" w:ascii="仿宋" w:hAnsi="仿宋" w:eastAsia="仿宋"/>
          <w:bCs/>
          <w:color w:val="auto"/>
          <w:sz w:val="28"/>
          <w:szCs w:val="28"/>
          <w:highlight w:val="none"/>
          <w:u w:val="none"/>
        </w:rPr>
        <w:t xml:space="preserve">年</w:t>
      </w:r>
      <w:r>
        <w:rPr>
          <w:rFonts w:hint="eastAsia" w:ascii="仿宋" w:hAnsi="仿宋" w:eastAsia="仿宋"/>
          <w:bCs/>
          <w:color w:val="auto"/>
          <w:sz w:val="28"/>
          <w:szCs w:val="28"/>
          <w:highlight w:val="none"/>
          <w:u w:val="none"/>
          <w:lang w:val="en-US" w:eastAsia="zh-CN"/>
        </w:rPr>
        <w:t xml:space="preserve">8</w:t>
      </w:r>
      <w:r>
        <w:rPr>
          <w:rFonts w:hint="eastAsia" w:ascii="仿宋" w:hAnsi="仿宋" w:eastAsia="仿宋"/>
          <w:bCs/>
          <w:color w:val="auto"/>
          <w:sz w:val="28"/>
          <w:szCs w:val="28"/>
          <w:highlight w:val="none"/>
          <w:u w:val="none"/>
        </w:rPr>
        <w:t xml:space="preserve">月</w:t>
      </w:r>
      <w:r>
        <w:rPr>
          <w:rFonts w:hint="eastAsia" w:ascii="仿宋" w:hAnsi="仿宋" w:eastAsia="仿宋"/>
          <w:bCs/>
          <w:color w:val="auto"/>
          <w:sz w:val="28"/>
          <w:szCs w:val="28"/>
          <w:highlight w:val="none"/>
          <w:u w:val="none"/>
          <w:lang w:val="en-US" w:eastAsia="zh-CN"/>
        </w:rPr>
        <w:t xml:space="preserve">28</w:t>
      </w:r>
      <w:r>
        <w:rPr>
          <w:rFonts w:hint="eastAsia" w:ascii="仿宋" w:hAnsi="仿宋" w:eastAsia="仿宋"/>
          <w:bCs/>
          <w:color w:val="auto"/>
          <w:sz w:val="28"/>
          <w:szCs w:val="28"/>
          <w:highlight w:val="none"/>
          <w:u w:val="none"/>
        </w:rPr>
        <w:t xml:space="preserve">日9</w:t>
      </w:r>
      <w:r>
        <w:rPr>
          <w:rFonts w:hint="eastAsia" w:ascii="仿宋" w:hAnsi="仿宋" w:eastAsia="仿宋"/>
          <w:bCs/>
          <w:color w:val="auto"/>
          <w:sz w:val="28"/>
          <w:szCs w:val="28"/>
          <w:highlight w:val="none"/>
          <w:u w:val="none"/>
          <w:lang w:eastAsia="zh-CN"/>
        </w:rPr>
        <w:t xml:space="preserve">：</w:t>
      </w:r>
      <w:r>
        <w:rPr>
          <w:rFonts w:hint="eastAsia" w:ascii="仿宋" w:hAnsi="仿宋" w:eastAsia="仿宋"/>
          <w:bCs/>
          <w:color w:val="auto"/>
          <w:sz w:val="28"/>
          <w:szCs w:val="28"/>
          <w:highlight w:val="none"/>
          <w:u w:val="none"/>
          <w:lang w:val="en-US" w:eastAsia="zh-CN"/>
        </w:rPr>
        <w:t xml:space="preserve">0</w:t>
      </w:r>
      <w:r>
        <w:rPr>
          <w:rFonts w:hint="eastAsia" w:ascii="仿宋" w:hAnsi="仿宋" w:eastAsia="仿宋"/>
          <w:bCs/>
          <w:color w:val="auto"/>
          <w:sz w:val="28"/>
          <w:szCs w:val="28"/>
          <w:highlight w:val="none"/>
          <w:u w:val="none"/>
        </w:rPr>
        <w:t xml:space="preserve">0（北京时间</w:t>
      </w:r>
      <w:r>
        <w:rPr>
          <w:rFonts w:hint="eastAsia" w:ascii="仿宋" w:hAnsi="仿宋" w:eastAsia="仿宋"/>
          <w:bCs/>
          <w:color w:val="auto"/>
          <w:sz w:val="28"/>
          <w:szCs w:val="28"/>
          <w:highlight w:val="none"/>
        </w:rPr>
        <w:t xml:space="preserve">）</w:t>
      </w:r>
      <w:r/>
    </w:p>
    <w:p>
      <w:pPr>
        <w:ind w:firstLine="560"/>
        <w:pageBreakBefore w:val="0"/>
        <w:spacing w:line="480" w:lineRule="exact"/>
        <w:rPr>
          <w:rFonts w:hint="eastAsia"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2.地点：“苏采云”政府采购交易系统网上开标大厅</w:t>
      </w:r>
      <w:r/>
    </w:p>
    <w:p>
      <w:pPr>
        <w:keepLines/>
        <w:keepNext/>
        <w:pageBreakBefore w:val="0"/>
        <w:spacing w:before="120" w:after="120" w:line="480" w:lineRule="exact"/>
        <w:rPr>
          <w:rFonts w:ascii="仿宋" w:hAnsi="仿宋" w:eastAsia="仿宋"/>
          <w:b/>
          <w:bCs/>
          <w:color w:val="auto"/>
          <w:sz w:val="28"/>
          <w:szCs w:val="28"/>
          <w:highlight w:val="none"/>
        </w:rPr>
        <w:outlineLvl w:val="2"/>
      </w:pPr>
      <w:r/>
      <w:bookmarkStart w:id="28" w:name="_Toc35393625"/>
      <w:r/>
      <w:bookmarkStart w:id="29" w:name="_Toc28359084"/>
      <w:r/>
      <w:bookmarkStart w:id="30" w:name="_Toc28359007"/>
      <w:r/>
      <w:bookmarkStart w:id="31" w:name="_Toc35393794"/>
      <w:r/>
      <w:bookmarkStart w:id="32" w:name="_Toc38985267"/>
      <w:r>
        <w:rPr>
          <w:rFonts w:hint="eastAsia" w:ascii="仿宋" w:hAnsi="仿宋" w:eastAsia="仿宋"/>
          <w:b/>
          <w:bCs/>
          <w:color w:val="auto"/>
          <w:sz w:val="28"/>
          <w:szCs w:val="28"/>
          <w:highlight w:val="none"/>
        </w:rPr>
        <w:t xml:space="preserve">五、公告期限</w:t>
      </w:r>
      <w:bookmarkEnd w:id="28"/>
      <w:r/>
      <w:bookmarkEnd w:id="29"/>
      <w:r/>
      <w:bookmarkEnd w:id="30"/>
      <w:r/>
      <w:bookmarkEnd w:id="31"/>
      <w:r/>
      <w:bookmarkEnd w:id="32"/>
      <w:r/>
      <w:r/>
    </w:p>
    <w:p>
      <w:pPr>
        <w:ind w:firstLine="560"/>
        <w:pageBreakBefore w:val="0"/>
        <w:spacing w:line="480" w:lineRule="exact"/>
        <w:rPr>
          <w:rFonts w:ascii="仿宋" w:hAnsi="仿宋" w:eastAsia="仿宋" w:cs="宋体"/>
          <w:color w:val="auto"/>
          <w:sz w:val="28"/>
          <w:szCs w:val="28"/>
          <w:highlight w:val="none"/>
        </w:rPr>
      </w:pPr>
      <w:r/>
      <w:bookmarkStart w:id="33" w:name="_Toc38985268"/>
      <w:r/>
      <w:bookmarkStart w:id="34" w:name="_Toc35393626"/>
      <w:r/>
      <w:bookmarkStart w:id="35" w:name="_Toc35393795"/>
      <w:r>
        <w:rPr>
          <w:rFonts w:hint="eastAsia" w:ascii="仿宋" w:hAnsi="仿宋" w:eastAsia="仿宋" w:cs="宋体"/>
          <w:color w:val="auto"/>
          <w:sz w:val="28"/>
          <w:szCs w:val="28"/>
          <w:highlight w:val="none"/>
        </w:rPr>
        <w:t xml:space="preserve">招标文件公告期限为自本公告发布之日起5个工作日。</w:t>
      </w:r>
      <w:r/>
    </w:p>
    <w:p>
      <w:pPr>
        <w:keepLines/>
        <w:keepNext/>
        <w:pageBreakBefore w:val="0"/>
        <w:spacing w:before="120" w:after="120" w:line="480" w:lineRule="exact"/>
        <w:rPr>
          <w:rFonts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六、其他补充事宜</w:t>
      </w:r>
      <w:bookmarkEnd w:id="33"/>
      <w:r/>
      <w:bookmarkEnd w:id="34"/>
      <w:r/>
      <w:bookmarkEnd w:id="35"/>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ascii="仿宋" w:hAnsi="仿宋" w:eastAsia="仿宋" w:cs="宋体"/>
          <w:color w:val="auto"/>
          <w:sz w:val="28"/>
          <w:szCs w:val="28"/>
          <w:highlight w:val="none"/>
        </w:rPr>
        <w:t xml:space="preserve">投标保证金：免收</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w:t>
      </w:r>
      <w:r>
        <w:rPr>
          <w:rFonts w:ascii="仿宋" w:hAnsi="仿宋" w:eastAsia="仿宋" w:cs="宋体"/>
          <w:color w:val="auto"/>
          <w:sz w:val="28"/>
          <w:szCs w:val="28"/>
          <w:highlight w:val="none"/>
        </w:rPr>
        <w:t xml:space="preserve">项目演示、样品、答辩等：</w:t>
      </w:r>
      <w:r>
        <w:rPr>
          <w:rFonts w:hint="eastAsia" w:ascii="仿宋" w:hAnsi="仿宋" w:eastAsia="仿宋" w:cs="宋体"/>
          <w:color w:val="auto"/>
          <w:sz w:val="28"/>
          <w:szCs w:val="28"/>
          <w:highlight w:val="none"/>
        </w:rPr>
        <w:t xml:space="preserve">详见采购文件</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4.有关本次招标的事项若存在变动或修改，均以江苏政府采购网发布的更正或补充通知为准，敬请及时关注。</w:t>
      </w:r>
      <w:r/>
    </w:p>
    <w:p>
      <w:pPr>
        <w:ind w:right="119" w:firstLine="56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6.“苏采云”系统使用相关提醒</w:t>
      </w:r>
      <w:r/>
    </w:p>
    <w:p>
      <w:pPr>
        <w:ind w:right="119" w:firstLine="560"/>
        <w:jc w:val="left"/>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right="119"/>
        <w:jc w:val="left"/>
        <w:pageBreakBefore w:val="0"/>
        <w:spacing w:line="480" w:lineRule="exact"/>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 xml:space="preserve">http://www.ccgp-</w:t>
      </w:r>
      <w:r>
        <w:rPr>
          <w:rFonts w:hint="eastAsia" w:ascii="仿宋" w:hAnsi="仿宋" w:eastAsia="仿宋" w:cs="宋体"/>
          <w:bCs/>
          <w:color w:val="auto"/>
          <w:sz w:val="24"/>
          <w:szCs w:val="24"/>
          <w:highlight w:val="none"/>
          <w:lang w:val="en-US" w:eastAsia="zh-CN"/>
        </w:rPr>
        <w:t xml:space="preserve">ji</w:t>
      </w:r>
      <w:r>
        <w:rPr>
          <w:rFonts w:hint="eastAsia" w:ascii="仿宋" w:hAnsi="仿宋" w:eastAsia="仿宋" w:cs="宋体"/>
          <w:bCs/>
          <w:color w:val="auto"/>
          <w:sz w:val="24"/>
          <w:szCs w:val="24"/>
          <w:highlight w:val="none"/>
        </w:rPr>
        <w:t xml:space="preserve">angsu.gov.cn/jiangsu/zlxz/ee/ee3a4bc5a3454aa2b0d9312230633ce9.html</w:t>
      </w:r>
      <w:r/>
    </w:p>
    <w:p>
      <w:pPr>
        <w:ind w:right="119" w:firstLine="560"/>
        <w:pageBreakBefore w:val="0"/>
        <w:spacing w:line="480" w:lineRule="exact"/>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宋体"/>
          <w:bCs/>
          <w:color w:val="auto"/>
          <w:sz w:val="28"/>
          <w:szCs w:val="28"/>
          <w:highlight w:val="none"/>
          <w:lang w:eastAsia="zh-CN"/>
        </w:rPr>
        <w:t xml:space="preserve">（</w:t>
      </w:r>
      <w:r>
        <w:rPr>
          <w:rFonts w:hint="eastAsia" w:ascii="仿宋" w:hAnsi="仿宋" w:eastAsia="仿宋" w:cs="宋体"/>
          <w:bCs/>
          <w:color w:val="auto"/>
          <w:sz w:val="28"/>
          <w:szCs w:val="28"/>
          <w:highlight w:val="none"/>
        </w:rPr>
        <w:t xml:space="preserve">供应商</w:t>
      </w:r>
      <w:r>
        <w:rPr>
          <w:rFonts w:hint="eastAsia" w:ascii="仿宋" w:hAnsi="仿宋" w:eastAsia="仿宋" w:cs="宋体"/>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w:t>
      </w:r>
      <w:r>
        <w:rPr>
          <w:rFonts w:hint="eastAsia" w:ascii="仿宋" w:hAnsi="仿宋" w:eastAsia="仿宋" w:cs="宋体"/>
          <w:bCs/>
          <w:color w:val="auto"/>
          <w:sz w:val="28"/>
          <w:szCs w:val="28"/>
          <w:highlight w:val="none"/>
        </w:rPr>
        <w:t xml:space="preserve">及电子签章办理指南》，请及时进行注册并按要求制作、上传电子投标文件。</w:t>
      </w:r>
      <w:r/>
    </w:p>
    <w:p>
      <w:pPr>
        <w:ind w:right="119" w:firstLine="560"/>
        <w:pageBreakBefore w:val="0"/>
        <w:spacing w:line="480" w:lineRule="exact"/>
        <w:rPr>
          <w:rFonts w:hint="eastAsia" w:ascii="仿宋" w:hAnsi="仿宋" w:eastAsia="仿宋" w:cs="宋体"/>
          <w:b/>
          <w:color w:val="auto"/>
          <w:sz w:val="28"/>
          <w:szCs w:val="28"/>
          <w:highlight w:val="none"/>
        </w:rPr>
      </w:pPr>
      <w:r>
        <w:rPr>
          <w:rFonts w:hint="eastAsia" w:ascii="仿宋" w:hAnsi="仿宋" w:eastAsia="仿宋" w:cs="宋体"/>
          <w:bCs/>
          <w:color w:val="auto"/>
          <w:sz w:val="28"/>
          <w:szCs w:val="28"/>
          <w:highlight w:val="none"/>
        </w:rPr>
        <w:t xml:space="preserve">6.3开标当天投标供应商应及时登录“苏采云”不见面开标大厅，并在规定时</w:t>
      </w:r>
      <w:r>
        <w:rPr>
          <w:rFonts w:hint="eastAsia" w:ascii="仿宋" w:hAnsi="仿宋" w:eastAsia="仿宋" w:cs="宋体"/>
          <w:bCs/>
          <w:color w:val="auto"/>
          <w:sz w:val="28"/>
          <w:szCs w:val="28"/>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pageBreakBefore w:val="0"/>
        <w:spacing w:before="120" w:after="120" w:line="480" w:lineRule="exact"/>
        <w:rPr>
          <w:rFonts w:ascii="仿宋" w:hAnsi="仿宋" w:eastAsia="仿宋"/>
          <w:b/>
          <w:bCs/>
          <w:color w:val="auto"/>
          <w:sz w:val="28"/>
          <w:szCs w:val="28"/>
          <w:highlight w:val="none"/>
        </w:rPr>
        <w:outlineLvl w:val="2"/>
      </w:pPr>
      <w:r/>
      <w:bookmarkStart w:id="36" w:name="_Toc28359085"/>
      <w:r/>
      <w:bookmarkStart w:id="37" w:name="_Toc38985269"/>
      <w:r/>
      <w:bookmarkStart w:id="38" w:name="_Toc35393796"/>
      <w:r/>
      <w:bookmarkStart w:id="39" w:name="_Toc28359008"/>
      <w:r/>
      <w:bookmarkStart w:id="40" w:name="_Toc35393627"/>
      <w:r>
        <w:rPr>
          <w:rFonts w:hint="eastAsia" w:ascii="仿宋" w:hAnsi="仿宋" w:eastAsia="仿宋"/>
          <w:b/>
          <w:bCs/>
          <w:color w:val="auto"/>
          <w:sz w:val="28"/>
          <w:szCs w:val="28"/>
          <w:highlight w:val="none"/>
        </w:rPr>
        <w:t xml:space="preserve">七、本次招标联系方式</w:t>
      </w:r>
      <w:bookmarkEnd w:id="36"/>
      <w:r/>
      <w:bookmarkEnd w:id="37"/>
      <w:r/>
      <w:bookmarkEnd w:id="38"/>
      <w:r/>
      <w:bookmarkEnd w:id="39"/>
      <w:r/>
      <w:bookmarkEnd w:id="40"/>
      <w:r/>
      <w:r/>
    </w:p>
    <w:p>
      <w:pPr>
        <w:jc w:val="left"/>
        <w:pageBreakBefore w:val="0"/>
        <w:spacing w:line="560" w:lineRule="exact"/>
        <w:widowControl/>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　</w:t>
      </w:r>
      <w:bookmarkStart w:id="41" w:name="_Toc28359087"/>
      <w:r/>
      <w:bookmarkStart w:id="42" w:name="_Toc28359010"/>
      <w:r>
        <w:rPr>
          <w:rFonts w:hint="eastAsia" w:ascii="仿宋" w:hAnsi="仿宋" w:eastAsia="仿宋" w:cs="宋体"/>
          <w:color w:val="auto"/>
          <w:sz w:val="28"/>
          <w:szCs w:val="28"/>
          <w:highlight w:val="none"/>
        </w:rPr>
        <w:t xml:space="preserve">1.采购人信息</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名称：南通市田家炳初级中学</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地址：江苏省南通市崇川区南园路21号</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王老师</w:t>
      </w:r>
      <w:r/>
    </w:p>
    <w:p>
      <w:pPr>
        <w:ind w:firstLine="280"/>
        <w:jc w:val="left"/>
        <w:pageBreakBefore w:val="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联系方式：</w:t>
      </w:r>
      <w:bookmarkStart w:id="43" w:name="_Toc28359009"/>
      <w:r/>
      <w:bookmarkStart w:id="44" w:name="_Toc28359086"/>
      <w:r>
        <w:rPr>
          <w:rFonts w:ascii="FangSong" w:hAnsi="FangSong" w:eastAsia="FangSong" w:cs="FangSong"/>
          <w:color w:val="000000"/>
          <w:sz w:val="28"/>
          <w:highlight w:val="white"/>
        </w:rPr>
        <w:t xml:space="preserve">15951313300</w:t>
      </w:r>
      <w:r>
        <w:rPr>
          <w:rFonts w:hint="eastAsia" w:ascii="仿宋" w:hAnsi="仿宋" w:eastAsia="仿宋"/>
          <w:color w:val="auto"/>
          <w:sz w:val="28"/>
          <w:szCs w:val="28"/>
          <w:highlight w:val="none"/>
          <w:lang w:val="en-US" w:eastAsia="zh-CN"/>
        </w:rPr>
        <w:t xml:space="preserve"> </w:t>
      </w:r>
      <w:r/>
    </w:p>
    <w:p>
      <w:pPr>
        <w:numPr>
          <w:ilvl w:val="0"/>
          <w:numId w:val="0"/>
        </w:numPr>
        <w:ind w:firstLine="280"/>
        <w:jc w:val="left"/>
        <w:pageBreakBefore w:val="0"/>
        <w:spacing w:line="56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2.采购代理机构</w:t>
      </w:r>
      <w:r>
        <w:rPr>
          <w:rFonts w:hint="eastAsia" w:ascii="仿宋" w:hAnsi="仿宋" w:eastAsia="仿宋" w:cs="宋体"/>
          <w:color w:val="auto"/>
          <w:sz w:val="28"/>
          <w:szCs w:val="28"/>
          <w:highlight w:val="none"/>
        </w:rPr>
        <w:t xml:space="preserve">信息</w:t>
      </w:r>
      <w:bookmarkEnd w:id="43"/>
      <w:r/>
      <w:bookmarkEnd w:id="44"/>
      <w:r/>
      <w:r/>
    </w:p>
    <w:p>
      <w:pPr>
        <w:numPr>
          <w:ilvl w:val="0"/>
          <w:numId w:val="0"/>
        </w:numPr>
        <w:ind w:firstLine="280"/>
        <w:jc w:val="left"/>
        <w:pageBreakBefore w:val="0"/>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名称：南通市教育技术中心</w:t>
      </w:r>
      <w:r/>
    </w:p>
    <w:p>
      <w:pPr>
        <w:ind w:firstLine="280"/>
        <w:pageBreakBefore w:val="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ascii="仿宋" w:hAnsi="仿宋" w:eastAsia="仿宋"/>
          <w:color w:val="auto"/>
          <w:sz w:val="28"/>
          <w:szCs w:val="28"/>
          <w:highlight w:val="none"/>
        </w:rPr>
        <w:t xml:space="preserve">南通市</w:t>
      </w:r>
      <w:r>
        <w:rPr>
          <w:rFonts w:hint="eastAsia" w:ascii="仿宋" w:hAnsi="仿宋" w:eastAsia="仿宋"/>
          <w:color w:val="auto"/>
          <w:sz w:val="28"/>
          <w:szCs w:val="28"/>
          <w:highlight w:val="none"/>
        </w:rPr>
        <w:t xml:space="preserve">崇川区板桥路45号</w:t>
      </w:r>
      <w:r/>
    </w:p>
    <w:p>
      <w:pPr>
        <w:ind w:firstLine="280"/>
        <w:pageBreakBefore w:val="0"/>
        <w:spacing w:line="560" w:lineRule="exact"/>
        <w:rPr>
          <w:rFonts w:hint="default" w:ascii="仿宋" w:hAnsi="仿宋" w:eastAsia="仿宋"/>
          <w:color w:val="auto"/>
          <w:sz w:val="28"/>
          <w:szCs w:val="28"/>
          <w:highlight w:val="none"/>
        </w:rPr>
      </w:pPr>
      <w:r>
        <w:rPr>
          <w:rFonts w:hint="eastAsia" w:ascii="仿宋" w:hAnsi="仿宋" w:eastAsia="仿宋"/>
          <w:color w:val="auto"/>
          <w:sz w:val="28"/>
          <w:szCs w:val="28"/>
          <w:highlight w:val="none"/>
        </w:rPr>
        <w:t xml:space="preserve">联系人：</w:t>
      </w:r>
      <w:r>
        <w:rPr>
          <w:rFonts w:hint="eastAsia" w:ascii="仿宋" w:hAnsi="仿宋" w:eastAsia="仿宋"/>
          <w:color w:val="auto"/>
          <w:sz w:val="28"/>
          <w:szCs w:val="28"/>
          <w:highlight w:val="none"/>
          <w:lang w:val="en-US" w:eastAsia="zh-CN"/>
        </w:rPr>
        <w:t xml:space="preserve">成老师</w:t>
      </w:r>
      <w:r/>
    </w:p>
    <w:p>
      <w:pPr>
        <w:ind w:firstLine="280"/>
        <w:pageBreakBefore w:val="0"/>
        <w:spacing w:line="56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联系方式：0513-85010355</w:t>
      </w:r>
      <w:r/>
    </w:p>
    <w:p>
      <w:pPr>
        <w:ind w:firstLine="280"/>
        <w:pageBreakBefore w:val="0"/>
        <w:spacing w:line="480" w:lineRule="exact"/>
        <w:rPr>
          <w:rFonts w:hint="eastAsia" w:ascii="黑体" w:hAnsi="Arial" w:eastAsia="黑体" w:cs="Arial"/>
          <w:b/>
          <w:bCs/>
          <w:color w:val="auto"/>
          <w:sz w:val="44"/>
          <w:szCs w:val="44"/>
          <w:highlight w:val="none"/>
        </w:rPr>
      </w:pPr>
      <w:r>
        <w:rPr>
          <w:rFonts w:hint="eastAsia" w:ascii="仿宋" w:hAnsi="仿宋" w:eastAsia="仿宋"/>
          <w:color w:val="auto"/>
          <w:sz w:val="28"/>
          <w:szCs w:val="28"/>
          <w:highlight w:val="none"/>
        </w:rPr>
        <w:t xml:space="preserve">3.</w:t>
      </w:r>
      <w:bookmarkEnd w:id="41"/>
      <w:r/>
      <w:bookmarkEnd w:id="42"/>
      <w:r>
        <w:rPr>
          <w:rFonts w:hint="eastAsia" w:ascii="仿宋" w:hAnsi="仿宋" w:eastAsia="仿宋"/>
          <w:color w:val="auto"/>
          <w:sz w:val="28"/>
          <w:szCs w:val="28"/>
          <w:highlight w:val="none"/>
        </w:rPr>
        <w:t xml:space="preserve">苏采云客服：0519-86722801、0519-86722806、0513-59001950</w:t>
      </w:r>
      <w:bookmarkStart w:id="45" w:name="_Toc120614211"/>
      <w:r>
        <w:rPr>
          <w:rFonts w:hint="eastAsia" w:ascii="黑体" w:hAnsi="Arial" w:eastAsia="黑体" w:cs="Arial"/>
          <w:b/>
          <w:bCs/>
          <w:color w:val="auto"/>
          <w:sz w:val="44"/>
          <w:szCs w:val="44"/>
          <w:highlight w:val="none"/>
        </w:rPr>
        <w:br w:type="page" w:clear="all"/>
      </w:r>
      <w:r/>
    </w:p>
    <w:p>
      <w:pPr>
        <w:ind w:right="839"/>
        <w:jc w:val="center"/>
        <w:rPr>
          <w:rFonts w:hint="eastAsia" w:ascii="黑体" w:hAnsi="Arial" w:eastAsia="黑体" w:cs="Arial"/>
          <w:color w:val="auto"/>
          <w:sz w:val="44"/>
          <w:szCs w:val="44"/>
          <w:highlight w:val="none"/>
        </w:rPr>
        <w:outlineLvl w:val="0"/>
      </w:pPr>
      <w:r/>
      <w:bookmarkStart w:id="46" w:name="_Toc26028"/>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5"/>
      <w:r/>
      <w:bookmarkStart w:id="47" w:name="_Toc513029202"/>
      <w:r/>
      <w:bookmarkStart w:id="48" w:name="_Toc16938518"/>
      <w:r/>
      <w:bookmarkStart w:id="49" w:name="_Toc120614213"/>
      <w:r/>
      <w:bookmarkStart w:id="50" w:name="_Toc20823274"/>
      <w:r>
        <w:rPr>
          <w:rFonts w:hint="eastAsia" w:ascii="黑体" w:hAnsi="Arial" w:eastAsia="黑体" w:cs="Arial"/>
          <w:b/>
          <w:bCs/>
          <w:color w:val="auto"/>
          <w:sz w:val="44"/>
          <w:szCs w:val="44"/>
          <w:highlight w:val="none"/>
        </w:rPr>
        <w:t xml:space="preserve">投标人须知</w:t>
      </w:r>
      <w:bookmarkEnd w:id="46"/>
      <w:r/>
      <w:bookmarkEnd w:id="47"/>
      <w:r/>
      <w:bookmarkEnd w:id="48"/>
      <w:r/>
      <w:bookmarkEnd w:id="49"/>
      <w:r/>
      <w:bookmarkEnd w:id="50"/>
      <w:r/>
      <w:r/>
    </w:p>
    <w:p>
      <w:pPr>
        <w:keepLines/>
        <w:keepNext/>
        <w:pageBreakBefore w:val="0"/>
        <w:spacing w:line="480" w:lineRule="exact"/>
        <w:widowControl w:val="off"/>
        <w:rPr>
          <w:rFonts w:ascii="仿宋" w:hAnsi="仿宋" w:eastAsia="仿宋"/>
          <w:b/>
          <w:bCs/>
          <w:color w:val="auto"/>
          <w:sz w:val="28"/>
          <w:szCs w:val="28"/>
          <w:highlight w:val="none"/>
        </w:rPr>
        <w:outlineLvl w:val="2"/>
      </w:pPr>
      <w:r/>
      <w:bookmarkStart w:id="51" w:name="_Toc16938519"/>
      <w:r/>
      <w:bookmarkStart w:id="52" w:name="_Toc120614214"/>
      <w:r/>
      <w:bookmarkStart w:id="53" w:name="_Toc20823275"/>
      <w:r/>
      <w:bookmarkStart w:id="54" w:name="_Toc513029203"/>
      <w:r>
        <w:rPr>
          <w:rFonts w:ascii="仿宋" w:hAnsi="仿宋" w:eastAsia="仿宋"/>
          <w:b/>
          <w:bCs/>
          <w:color w:val="auto"/>
          <w:sz w:val="28"/>
          <w:szCs w:val="28"/>
          <w:highlight w:val="none"/>
        </w:rPr>
        <w:t xml:space="preserve">（一）总则</w:t>
      </w:r>
      <w:bookmarkEnd w:id="51"/>
      <w:r/>
      <w:bookmarkEnd w:id="52"/>
      <w:r/>
      <w:bookmarkEnd w:id="53"/>
      <w:r/>
      <w:bookmarkEnd w:id="54"/>
      <w:r/>
      <w:r/>
    </w:p>
    <w:p>
      <w:pPr>
        <w:keepNext/>
        <w:pageBreakBefore w:val="0"/>
        <w:spacing w:line="480" w:lineRule="exact"/>
        <w:widowControl w:val="off"/>
        <w:rPr>
          <w:rFonts w:ascii="仿宋" w:hAnsi="仿宋" w:eastAsia="仿宋"/>
          <w:b/>
          <w:bCs/>
          <w:color w:val="auto"/>
          <w:sz w:val="28"/>
          <w:szCs w:val="28"/>
          <w:highlight w:val="none"/>
        </w:rPr>
        <w:outlineLvl w:val="3"/>
      </w:pPr>
      <w:r/>
      <w:bookmarkStart w:id="55" w:name="_Hlt16619475"/>
      <w:r/>
      <w:bookmarkEnd w:id="55"/>
      <w:r/>
      <w:bookmarkStart w:id="56" w:name="_Toc458694821"/>
      <w:r/>
      <w:bookmarkStart w:id="57" w:name="_Toc16938520"/>
      <w:r/>
      <w:bookmarkStart w:id="58" w:name="_Toc513029204"/>
      <w:r/>
      <w:bookmarkStart w:id="59" w:name="_Toc20823276"/>
      <w:r>
        <w:rPr>
          <w:rFonts w:ascii="仿宋" w:hAnsi="仿宋" w:eastAsia="仿宋"/>
          <w:color w:val="auto"/>
          <w:sz w:val="28"/>
          <w:szCs w:val="28"/>
          <w:highlight w:val="none"/>
        </w:rPr>
        <w:t xml:space="preserve">1</w:t>
      </w:r>
      <w:bookmarkEnd w:id="56"/>
      <w:r>
        <w:rPr>
          <w:rFonts w:ascii="仿宋" w:hAnsi="仿宋" w:eastAsia="仿宋"/>
          <w:color w:val="auto"/>
          <w:sz w:val="28"/>
          <w:szCs w:val="28"/>
          <w:highlight w:val="none"/>
        </w:rPr>
        <w:t xml:space="preserve">.招标方式</w:t>
      </w:r>
      <w:bookmarkEnd w:id="57"/>
      <w:r/>
      <w:bookmarkEnd w:id="58"/>
      <w:r/>
      <w:bookmarkEnd w:id="59"/>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1.1 本次招标采取公开招标方式，本招标文件仅适用于招标公告中所述项目。</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0" w:name="_Toc513029205"/>
      <w:r/>
      <w:bookmarkStart w:id="61" w:name="_Toc16938521"/>
      <w:r/>
      <w:bookmarkStart w:id="62" w:name="_Toc20823277"/>
      <w:r>
        <w:rPr>
          <w:rFonts w:ascii="仿宋" w:hAnsi="仿宋" w:eastAsia="仿宋"/>
          <w:color w:val="auto"/>
          <w:sz w:val="28"/>
          <w:szCs w:val="28"/>
          <w:highlight w:val="none"/>
        </w:rPr>
        <w:t xml:space="preserve">2.合格的投标人</w:t>
      </w:r>
      <w:bookmarkEnd w:id="60"/>
      <w:r/>
      <w:bookmarkEnd w:id="61"/>
      <w:r/>
      <w:bookmarkEnd w:id="62"/>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2.1满足招标公告中供应商的资格要求的规定。</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2.2 满足本文件实质性条款的规定。</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3" w:name="_Toc513029206"/>
      <w:r/>
      <w:bookmarkStart w:id="64" w:name="_Toc16938522"/>
      <w:r/>
      <w:bookmarkStart w:id="65" w:name="_Toc20823278"/>
      <w:r>
        <w:rPr>
          <w:rFonts w:ascii="仿宋" w:hAnsi="仿宋" w:eastAsia="仿宋"/>
          <w:color w:val="auto"/>
          <w:sz w:val="28"/>
          <w:szCs w:val="28"/>
          <w:highlight w:val="none"/>
        </w:rPr>
        <w:t xml:space="preserve">3.适用法律</w:t>
      </w:r>
      <w:bookmarkEnd w:id="63"/>
      <w:r/>
      <w:bookmarkEnd w:id="64"/>
      <w:r/>
      <w:bookmarkEnd w:id="65"/>
      <w:r/>
      <w:r/>
    </w:p>
    <w:p>
      <w:pPr>
        <w:ind w:firstLine="49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3.1 本次招标及由此产生的合同受中华人民共和国有关的法律法规制约和保护。</w:t>
      </w:r>
      <w:r/>
    </w:p>
    <w:p>
      <w:pPr>
        <w:keepNext/>
        <w:pageBreakBefore w:val="0"/>
        <w:spacing w:line="480" w:lineRule="exact"/>
        <w:widowControl w:val="off"/>
        <w:rPr>
          <w:rFonts w:ascii="仿宋" w:hAnsi="仿宋" w:eastAsia="仿宋"/>
          <w:b/>
          <w:bCs/>
          <w:color w:val="auto"/>
          <w:sz w:val="28"/>
          <w:szCs w:val="28"/>
          <w:highlight w:val="none"/>
        </w:rPr>
        <w:outlineLvl w:val="3"/>
      </w:pPr>
      <w:r/>
      <w:bookmarkStart w:id="66" w:name="_Toc16938523"/>
      <w:r/>
      <w:bookmarkStart w:id="67" w:name="_Toc462564067"/>
      <w:r/>
      <w:bookmarkStart w:id="68" w:name="_Toc20823279"/>
      <w:r/>
      <w:bookmarkStart w:id="69" w:name="_Toc513029207"/>
      <w:r>
        <w:rPr>
          <w:rFonts w:ascii="仿宋" w:hAnsi="仿宋" w:eastAsia="仿宋"/>
          <w:color w:val="auto"/>
          <w:sz w:val="28"/>
          <w:szCs w:val="28"/>
          <w:highlight w:val="none"/>
        </w:rPr>
        <w:t xml:space="preserve">4.投标费用</w:t>
      </w:r>
      <w:bookmarkEnd w:id="66"/>
      <w:r/>
      <w:bookmarkEnd w:id="67"/>
      <w:r/>
      <w:bookmarkEnd w:id="68"/>
      <w:r/>
      <w:bookmarkEnd w:id="69"/>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bCs/>
          <w:color w:val="auto"/>
          <w:sz w:val="28"/>
          <w:szCs w:val="28"/>
          <w:highlight w:val="none"/>
        </w:rPr>
        <w:t xml:space="preserve">4.1</w:t>
      </w:r>
      <w:r>
        <w:rPr>
          <w:rFonts w:ascii="仿宋" w:hAnsi="仿宋" w:eastAsia="仿宋"/>
          <w:color w:val="auto"/>
          <w:sz w:val="28"/>
          <w:szCs w:val="28"/>
          <w:highlight w:val="none"/>
        </w:rPr>
        <w:t xml:space="preserve"> 投标人应自行承担所有与参加投标有关的费用，无论投标过程中的做法和结果如何，</w:t>
      </w:r>
      <w:r>
        <w:rPr>
          <w:rFonts w:hint="eastAsia" w:ascii="仿宋" w:hAnsi="仿宋" w:eastAsia="仿宋"/>
          <w:color w:val="auto"/>
          <w:sz w:val="28"/>
          <w:szCs w:val="28"/>
          <w:highlight w:val="none"/>
        </w:rPr>
        <w:t xml:space="preserve">南通市教育技术中心</w:t>
      </w:r>
      <w:r>
        <w:rPr>
          <w:rFonts w:ascii="仿宋" w:hAnsi="仿宋" w:eastAsia="仿宋"/>
          <w:color w:val="auto"/>
          <w:sz w:val="28"/>
          <w:szCs w:val="28"/>
          <w:highlight w:val="none"/>
        </w:rPr>
        <w:t xml:space="preserve">在任何情况下均无义务和责任承担这些费用。</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4.2本次招标</w:t>
      </w:r>
      <w:r>
        <w:rPr>
          <w:rFonts w:hint="eastAsia" w:ascii="仿宋" w:hAnsi="仿宋" w:eastAsia="仿宋"/>
          <w:color w:val="auto"/>
          <w:sz w:val="28"/>
          <w:szCs w:val="28"/>
          <w:highlight w:val="none"/>
        </w:rPr>
        <w:t xml:space="preserve">南通市教育技术</w:t>
      </w:r>
      <w:r>
        <w:rPr>
          <w:rFonts w:ascii="仿宋" w:hAnsi="仿宋" w:eastAsia="仿宋"/>
          <w:color w:val="auto"/>
          <w:sz w:val="28"/>
          <w:szCs w:val="28"/>
          <w:highlight w:val="none"/>
        </w:rPr>
        <w:t xml:space="preserve">中心和采购人不收取标书工本费与中标服务费。</w:t>
      </w:r>
      <w:r/>
    </w:p>
    <w:p>
      <w:pPr>
        <w:keepNext/>
        <w:pageBreakBefore w:val="0"/>
        <w:spacing w:line="480" w:lineRule="exact"/>
        <w:widowControl w:val="off"/>
        <w:rPr>
          <w:rFonts w:ascii="仿宋" w:hAnsi="仿宋" w:eastAsia="仿宋"/>
          <w:b/>
          <w:bCs/>
          <w:color w:val="auto"/>
          <w:sz w:val="28"/>
          <w:szCs w:val="28"/>
          <w:highlight w:val="none"/>
        </w:rPr>
        <w:outlineLvl w:val="3"/>
      </w:pPr>
      <w:r>
        <w:rPr>
          <w:rFonts w:ascii="仿宋" w:hAnsi="仿宋" w:eastAsia="仿宋"/>
          <w:color w:val="auto"/>
          <w:sz w:val="28"/>
          <w:szCs w:val="28"/>
          <w:highlight w:val="none"/>
        </w:rPr>
        <w:t xml:space="preserve">5.招标文件的约束力</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bCs/>
          <w:color w:val="auto"/>
          <w:sz w:val="28"/>
          <w:szCs w:val="28"/>
          <w:highlight w:val="none"/>
        </w:rPr>
        <w:t xml:space="preserve">5.1</w:t>
      </w:r>
      <w:r>
        <w:rPr>
          <w:rFonts w:ascii="仿宋" w:hAnsi="仿宋" w:eastAsia="仿宋"/>
          <w:color w:val="auto"/>
          <w:sz w:val="28"/>
          <w:szCs w:val="28"/>
          <w:highlight w:val="none"/>
        </w:rPr>
        <w:t xml:space="preserve"> 投标人一旦参加本项目采购活动，即被认为接受了本招标文件的规定和约束。</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70" w:name="_Toc120614215"/>
      <w:r/>
      <w:bookmarkStart w:id="71" w:name="_Toc513029209"/>
      <w:r/>
      <w:bookmarkStart w:id="72" w:name="_Toc16938525"/>
      <w:r/>
      <w:bookmarkStart w:id="73" w:name="_Toc20823281"/>
      <w:r>
        <w:rPr>
          <w:rFonts w:hint="eastAsia" w:ascii="仿宋" w:hAnsi="仿宋" w:eastAsia="仿宋"/>
          <w:b/>
          <w:bCs/>
          <w:color w:val="auto"/>
          <w:sz w:val="28"/>
          <w:szCs w:val="28"/>
          <w:highlight w:val="none"/>
        </w:rPr>
        <w:t xml:space="preserve">二、招标文件</w:t>
      </w:r>
      <w:bookmarkEnd w:id="70"/>
      <w:r/>
      <w:bookmarkEnd w:id="71"/>
      <w:r/>
      <w:bookmarkEnd w:id="72"/>
      <w:r/>
      <w:bookmarkEnd w:id="73"/>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74" w:name="_Toc16938526"/>
      <w:r/>
      <w:bookmarkStart w:id="75" w:name="_Toc513029210"/>
      <w:r/>
      <w:bookmarkStart w:id="76" w:name="_Toc20823282"/>
      <w:r>
        <w:rPr>
          <w:rFonts w:hint="eastAsia" w:ascii="仿宋" w:hAnsi="仿宋" w:eastAsia="仿宋" w:cs="Arial"/>
          <w:color w:val="auto"/>
          <w:sz w:val="28"/>
          <w:szCs w:val="28"/>
          <w:highlight w:val="none"/>
          <w:lang w:eastAsia="zh-CN"/>
        </w:rPr>
        <w:t xml:space="preserve">6.</w:t>
      </w:r>
      <w:r>
        <w:rPr>
          <w:rFonts w:hint="eastAsia" w:ascii="仿宋" w:hAnsi="仿宋" w:eastAsia="仿宋" w:cs="Arial"/>
          <w:color w:val="auto"/>
          <w:sz w:val="28"/>
          <w:szCs w:val="28"/>
          <w:highlight w:val="none"/>
        </w:rPr>
        <w:t xml:space="preserve">招标文件构成</w:t>
      </w:r>
      <w:bookmarkEnd w:id="74"/>
      <w:r/>
      <w:bookmarkEnd w:id="75"/>
      <w:r/>
      <w:bookmarkEnd w:id="76"/>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6.1</w:t>
      </w:r>
      <w:r>
        <w:rPr>
          <w:rFonts w:hint="eastAsia" w:ascii="仿宋" w:hAnsi="仿宋" w:eastAsia="仿宋"/>
          <w:color w:val="auto"/>
          <w:sz w:val="28"/>
          <w:szCs w:val="28"/>
          <w:highlight w:val="none"/>
        </w:rPr>
        <w:t xml:space="preserve"> 招标文件由以下部分组成：</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w:t>
      </w:r>
      <w:r>
        <w:rPr>
          <w:rFonts w:ascii="仿宋" w:hAnsi="仿宋" w:eastAsia="仿宋"/>
          <w:color w:val="auto"/>
          <w:sz w:val="28"/>
          <w:szCs w:val="28"/>
          <w:highlight w:val="none"/>
        </w:rPr>
        <w:t xml:space="preserve">邀请</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（2）投标人须知</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（3）合同文本</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（4）采购需求</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（5）评标方法与评标标准</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（6）投标文件格式</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请仔细检查招标文件是否齐全，如有缺漏请立即与南通市教育技术中心联系解决。</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6.2</w:t>
      </w:r>
      <w:r>
        <w:rPr>
          <w:rFonts w:hint="eastAsia" w:ascii="仿宋" w:hAnsi="仿宋" w:eastAsia="仿宋"/>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77" w:name="_Toc462564070"/>
      <w:r/>
      <w:bookmarkStart w:id="78" w:name="_Toc513029211"/>
      <w:r/>
      <w:bookmarkStart w:id="79" w:name="_Toc20823283"/>
      <w:r/>
      <w:bookmarkStart w:id="80" w:name="_Toc16938527"/>
      <w:r>
        <w:rPr>
          <w:rFonts w:hint="eastAsia" w:ascii="仿宋" w:hAnsi="仿宋" w:eastAsia="仿宋" w:cs="Arial"/>
          <w:color w:val="auto"/>
          <w:sz w:val="28"/>
          <w:szCs w:val="28"/>
          <w:highlight w:val="none"/>
          <w:lang w:eastAsia="zh-CN"/>
        </w:rPr>
        <w:t xml:space="preserve">7.</w:t>
      </w:r>
      <w:r>
        <w:rPr>
          <w:rFonts w:hint="eastAsia" w:ascii="仿宋" w:hAnsi="仿宋" w:eastAsia="仿宋" w:cs="Arial"/>
          <w:color w:val="auto"/>
          <w:sz w:val="28"/>
          <w:szCs w:val="28"/>
          <w:highlight w:val="none"/>
        </w:rPr>
        <w:t xml:space="preserve">招标文件的澄清</w:t>
      </w:r>
      <w:bookmarkEnd w:id="77"/>
      <w:r/>
      <w:bookmarkEnd w:id="78"/>
      <w:r/>
      <w:bookmarkEnd w:id="79"/>
      <w:r/>
      <w:bookmarkEnd w:id="80"/>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任何要求对招标文件进行澄清的投标人，应在投标截止期</w:t>
      </w:r>
      <w:r>
        <w:rPr>
          <w:rFonts w:hint="eastAsia" w:ascii="仿宋" w:hAnsi="仿宋" w:eastAsia="仿宋"/>
          <w:b/>
          <w:color w:val="auto"/>
          <w:sz w:val="28"/>
          <w:szCs w:val="28"/>
          <w:highlight w:val="none"/>
        </w:rPr>
        <w:t xml:space="preserve">十日</w:t>
      </w:r>
      <w:r>
        <w:rPr>
          <w:rFonts w:hint="eastAsia" w:ascii="仿宋" w:hAnsi="仿宋" w:eastAsia="仿宋"/>
          <w:color w:val="auto"/>
          <w:sz w:val="28"/>
          <w:szCs w:val="28"/>
          <w:highlight w:val="none"/>
        </w:rPr>
        <w:t xml:space="preserve">前按招标公告中的通讯地址，以书面形式通知南通市教育技术中心。采购人有权对发出的招标文件进行必要的澄清或修改。</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81" w:name="_Toc20823284"/>
      <w:r/>
      <w:bookmarkStart w:id="82" w:name="_Toc513029212"/>
      <w:r/>
      <w:bookmarkStart w:id="83" w:name="_Toc16938528"/>
      <w:r/>
      <w:bookmarkStart w:id="84" w:name="_Toc462564071"/>
      <w:r>
        <w:rPr>
          <w:rFonts w:hint="eastAsia" w:ascii="仿宋" w:hAnsi="仿宋" w:eastAsia="仿宋" w:cs="Arial"/>
          <w:color w:val="auto"/>
          <w:sz w:val="28"/>
          <w:szCs w:val="28"/>
          <w:highlight w:val="none"/>
          <w:lang w:eastAsia="zh-CN"/>
        </w:rPr>
        <w:t xml:space="preserve">8.</w:t>
      </w:r>
      <w:r>
        <w:rPr>
          <w:rFonts w:hint="eastAsia" w:ascii="仿宋" w:hAnsi="仿宋" w:eastAsia="仿宋" w:cs="Arial"/>
          <w:color w:val="auto"/>
          <w:sz w:val="28"/>
          <w:szCs w:val="28"/>
          <w:highlight w:val="none"/>
        </w:rPr>
        <w:t xml:space="preserve">招标文件的修改</w:t>
      </w:r>
      <w:bookmarkEnd w:id="81"/>
      <w:r/>
      <w:bookmarkEnd w:id="82"/>
      <w:r/>
      <w:bookmarkEnd w:id="83"/>
      <w:r/>
      <w:bookmarkEnd w:id="84"/>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8.1</w:t>
      </w:r>
      <w:r>
        <w:rPr>
          <w:rFonts w:hint="eastAsia" w:ascii="仿宋" w:hAnsi="仿宋" w:eastAsia="仿宋"/>
          <w:color w:val="auto"/>
          <w:sz w:val="28"/>
          <w:szCs w:val="28"/>
          <w:highlight w:val="none"/>
        </w:rPr>
        <w:t xml:space="preserve"> 在投标截止时</w:t>
      </w:r>
      <w:r>
        <w:rPr>
          <w:rFonts w:hint="eastAsia" w:ascii="仿宋" w:hAnsi="仿宋" w:eastAsia="仿宋"/>
          <w:color w:val="auto"/>
          <w:sz w:val="28"/>
          <w:szCs w:val="28"/>
          <w:highlight w:val="none"/>
          <w:lang w:eastAsia="zh-CN"/>
        </w:rPr>
        <w:t xml:space="preserve">间之</w:t>
      </w:r>
      <w:r>
        <w:rPr>
          <w:rFonts w:hint="eastAsia" w:ascii="仿宋" w:hAnsi="仿宋" w:eastAsia="仿宋"/>
          <w:color w:val="auto"/>
          <w:sz w:val="28"/>
          <w:szCs w:val="28"/>
          <w:highlight w:val="none"/>
        </w:rPr>
        <w:t xml:space="preserve">前，南通市教育技术中心可以对招标文件进行修改。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8.2 </w:t>
      </w:r>
      <w:r>
        <w:rPr>
          <w:rFonts w:hint="eastAsia" w:ascii="仿宋" w:hAnsi="仿宋" w:eastAsia="仿宋"/>
          <w:color w:val="auto"/>
          <w:sz w:val="28"/>
          <w:szCs w:val="28"/>
          <w:highlight w:val="none"/>
        </w:rPr>
        <w:t xml:space="preserve">南通市教育技术中心有权按照法定的要求推迟投标截止日期和开标日期。</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8.3 </w:t>
      </w:r>
      <w:r>
        <w:rPr>
          <w:rFonts w:hint="eastAsia" w:ascii="仿宋" w:hAnsi="仿宋" w:eastAsia="仿宋"/>
          <w:color w:val="auto"/>
          <w:sz w:val="28"/>
          <w:szCs w:val="28"/>
          <w:highlight w:val="none"/>
        </w:rPr>
        <w:t xml:space="preserve">招标文件的修改将在江苏政府采购网公布，补充文件将作为招标文件的组成部分，并对投标人具有约束力。</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85" w:name="_Toc20823285"/>
      <w:r/>
      <w:bookmarkStart w:id="86" w:name="_Toc16938529"/>
      <w:r/>
      <w:bookmarkStart w:id="87" w:name="_Toc513029213"/>
      <w:r/>
      <w:bookmarkStart w:id="88" w:name="_Toc462564072"/>
      <w:r/>
      <w:bookmarkStart w:id="89" w:name="_Toc120614216"/>
      <w:r>
        <w:rPr>
          <w:rFonts w:hint="eastAsia" w:ascii="仿宋" w:hAnsi="仿宋" w:eastAsia="仿宋"/>
          <w:b/>
          <w:bCs/>
          <w:color w:val="auto"/>
          <w:sz w:val="28"/>
          <w:szCs w:val="28"/>
          <w:highlight w:val="none"/>
        </w:rPr>
        <w:t xml:space="preserve">三、投标文件的编制</w:t>
      </w:r>
      <w:bookmarkEnd w:id="85"/>
      <w:r/>
      <w:bookmarkEnd w:id="86"/>
      <w:r/>
      <w:bookmarkEnd w:id="87"/>
      <w:r/>
      <w:bookmarkEnd w:id="88"/>
      <w:r/>
      <w:bookmarkEnd w:id="89"/>
      <w:r/>
      <w:r/>
    </w:p>
    <w:p>
      <w:pPr>
        <w:keepLines/>
        <w:keepNext/>
        <w:pageBreakBefore w:val="0"/>
        <w:spacing w:line="480" w:lineRule="exact"/>
        <w:widowControl w:val="off"/>
        <w:rPr>
          <w:rFonts w:hint="eastAsia" w:ascii="仿宋" w:hAnsi="仿宋" w:eastAsia="仿宋" w:cs="Arial"/>
          <w:b/>
          <w:color w:val="auto"/>
          <w:sz w:val="28"/>
          <w:szCs w:val="28"/>
          <w:highlight w:val="none"/>
        </w:rPr>
        <w:outlineLvl w:val="3"/>
      </w:pPr>
      <w:r/>
      <w:bookmarkStart w:id="90" w:name="_Toc16938530"/>
      <w:r/>
      <w:bookmarkStart w:id="91" w:name="_Toc513029214"/>
      <w:r/>
      <w:bookmarkStart w:id="92" w:name="_Toc20823286"/>
      <w:r/>
      <w:bookmarkStart w:id="93" w:name="_Toc462564073"/>
      <w:r>
        <w:rPr>
          <w:rFonts w:hint="eastAsia" w:ascii="仿宋" w:hAnsi="仿宋" w:eastAsia="仿宋" w:cs="Arial"/>
          <w:color w:val="auto"/>
          <w:sz w:val="28"/>
          <w:szCs w:val="28"/>
          <w:highlight w:val="none"/>
          <w:lang w:eastAsia="zh-CN"/>
        </w:rPr>
        <w:t xml:space="preserve">9.</w:t>
      </w:r>
      <w:r>
        <w:rPr>
          <w:rFonts w:hint="eastAsia" w:ascii="仿宋" w:hAnsi="仿宋" w:eastAsia="仿宋" w:cs="Arial"/>
          <w:color w:val="auto"/>
          <w:sz w:val="28"/>
          <w:szCs w:val="28"/>
          <w:highlight w:val="none"/>
        </w:rPr>
        <w:t xml:space="preserve">投标文件的语言及度量衡单位</w:t>
      </w:r>
      <w:bookmarkEnd w:id="90"/>
      <w:r/>
      <w:bookmarkEnd w:id="91"/>
      <w:r/>
      <w:bookmarkEnd w:id="92"/>
      <w:r/>
      <w:bookmarkEnd w:id="93"/>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9.1</w:t>
      </w:r>
      <w:r>
        <w:rPr>
          <w:rFonts w:hint="eastAsia" w:ascii="仿宋" w:hAnsi="仿宋" w:eastAsia="仿宋"/>
          <w:color w:val="auto"/>
          <w:sz w:val="28"/>
          <w:szCs w:val="28"/>
          <w:highlight w:val="none"/>
        </w:rPr>
        <w:t xml:space="preserve"> 投标人提交的投标文件以及投标人与南通市教育技术中心就有关投标的所有来往通知、函件和文件均应使用简体中文。</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9.2</w:t>
      </w:r>
      <w:r>
        <w:rPr>
          <w:rFonts w:hint="eastAsia" w:ascii="仿宋" w:hAnsi="仿宋" w:eastAsia="仿宋"/>
          <w:color w:val="auto"/>
          <w:sz w:val="28"/>
          <w:szCs w:val="28"/>
          <w:highlight w:val="none"/>
        </w:rPr>
        <w:t xml:space="preserve"> 除技术性能另有规定外，投标文件所使用的度量衡单位，均须采用国家法定计量单位。</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94" w:name="_Toc513029215"/>
      <w:r/>
      <w:bookmarkStart w:id="95" w:name="_Toc16938531"/>
      <w:r/>
      <w:bookmarkStart w:id="96" w:name="_Toc462564074"/>
      <w:r/>
      <w:bookmarkStart w:id="97" w:name="_Toc20823287"/>
      <w:r>
        <w:rPr>
          <w:rFonts w:hint="eastAsia" w:ascii="仿宋" w:hAnsi="仿宋" w:eastAsia="仿宋" w:cs="Arial"/>
          <w:color w:val="auto"/>
          <w:sz w:val="28"/>
          <w:szCs w:val="28"/>
          <w:highlight w:val="none"/>
          <w:lang w:eastAsia="zh-CN"/>
        </w:rPr>
        <w:t xml:space="preserve">10.</w:t>
      </w:r>
      <w:r>
        <w:rPr>
          <w:rFonts w:hint="eastAsia" w:ascii="仿宋" w:hAnsi="仿宋" w:eastAsia="仿宋" w:cs="Arial"/>
          <w:color w:val="auto"/>
          <w:sz w:val="28"/>
          <w:szCs w:val="28"/>
          <w:highlight w:val="none"/>
        </w:rPr>
        <w:t xml:space="preserve">投标文件构成</w:t>
      </w:r>
      <w:bookmarkEnd w:id="94"/>
      <w:r/>
      <w:bookmarkEnd w:id="95"/>
      <w:r/>
      <w:bookmarkEnd w:id="96"/>
      <w:r/>
      <w:bookmarkEnd w:id="97"/>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10.1</w:t>
      </w:r>
      <w:r>
        <w:rPr>
          <w:rFonts w:hint="eastAsia" w:ascii="仿宋" w:hAnsi="仿宋" w:eastAsia="仿宋"/>
          <w:color w:val="auto"/>
          <w:sz w:val="28"/>
          <w:szCs w:val="28"/>
          <w:highlight w:val="none"/>
        </w:rPr>
        <w:t xml:space="preserve"> 投标人编写的投标文件应包括资格证明文件、开标一览表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投标分项报价表、技术要求响应及偏离表、商务要求响应及偏离表、其他证明文件等部分。</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 如标书制作工具中格式和内容与“江苏政府采购网”发布的招标文件不一致，请以“江苏政府采购网”发布的招标文件为准。</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98" w:name="_Hlt26668975"/>
      <w:r/>
      <w:bookmarkEnd w:id="98"/>
      <w:r/>
      <w:bookmarkStart w:id="99" w:name="_Hlt26670360"/>
      <w:r/>
      <w:bookmarkEnd w:id="99"/>
      <w:r/>
      <w:bookmarkStart w:id="100" w:name="_Hlt26954838"/>
      <w:r/>
      <w:bookmarkEnd w:id="100"/>
      <w:r/>
      <w:bookmarkStart w:id="101" w:name="_Toc14577357"/>
      <w:r/>
      <w:bookmarkStart w:id="102" w:name="_Toc49090509"/>
      <w:r/>
      <w:bookmarkStart w:id="103" w:name="_Toc49090507"/>
      <w:r/>
      <w:bookmarkStart w:id="104" w:name="_Toc513029216"/>
      <w:r/>
      <w:bookmarkStart w:id="105" w:name="_Toc513029219"/>
      <w:r/>
      <w:bookmarkStart w:id="106" w:name="_Toc14577354"/>
      <w:r/>
      <w:bookmarkStart w:id="107" w:name="_Toc49090508"/>
      <w:r/>
      <w:bookmarkStart w:id="108" w:name="_Toc14577355"/>
      <w:r>
        <w:rPr>
          <w:rFonts w:hint="eastAsia" w:ascii="仿宋" w:hAnsi="仿宋" w:eastAsia="仿宋" w:cs="Arial"/>
          <w:color w:val="auto"/>
          <w:sz w:val="28"/>
          <w:szCs w:val="28"/>
          <w:highlight w:val="none"/>
          <w:lang w:eastAsia="zh-CN"/>
        </w:rPr>
        <w:t xml:space="preserve">11.</w:t>
      </w:r>
      <w:r>
        <w:rPr>
          <w:rFonts w:hint="eastAsia" w:ascii="仿宋" w:hAnsi="仿宋" w:eastAsia="仿宋" w:cs="Arial"/>
          <w:color w:val="auto"/>
          <w:sz w:val="28"/>
          <w:szCs w:val="28"/>
          <w:highlight w:val="none"/>
        </w:rPr>
        <w:t xml:space="preserve">证明投标人及投标标的符合招标文件规定的文件</w:t>
      </w:r>
      <w:bookmarkEnd w:id="101"/>
      <w:r/>
      <w:bookmarkEnd w:id="102"/>
      <w:r/>
      <w:bookmarkEnd w:id="103"/>
      <w:r/>
      <w:bookmarkEnd w:id="104"/>
      <w:r/>
      <w:bookmarkEnd w:id="105"/>
      <w:r/>
      <w:bookmarkEnd w:id="106"/>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11.1 投标人应按照招标文件要求提交证明文件，证明其及投标标的符合招标文件规定。</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11.2招标文件对证明文件无明确形式要求的，证明文件可以以文字资料、图纸和数据等形式提交。</w:t>
      </w:r>
      <w:bookmarkEnd w:id="107"/>
      <w:r/>
      <w:bookmarkEnd w:id="108"/>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12.</w:t>
      </w:r>
      <w:r>
        <w:rPr>
          <w:rFonts w:hint="eastAsia" w:ascii="仿宋" w:hAnsi="仿宋" w:eastAsia="仿宋" w:cs="Arial"/>
          <w:color w:val="auto"/>
          <w:sz w:val="28"/>
          <w:szCs w:val="28"/>
          <w:highlight w:val="none"/>
        </w:rPr>
        <w:t xml:space="preserve">投标分项报价表</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12.1</w:t>
      </w:r>
      <w:r>
        <w:rPr>
          <w:rFonts w:hint="eastAsia" w:ascii="仿宋" w:hAnsi="仿宋" w:eastAsia="仿宋"/>
          <w:color w:val="auto"/>
          <w:sz w:val="28"/>
          <w:szCs w:val="28"/>
          <w:highlight w:val="none"/>
        </w:rPr>
        <w:t xml:space="preserve"> 投标人按照招标文件规定格式填报投标分项报价表。</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bCs/>
          <w:color w:val="auto"/>
          <w:sz w:val="28"/>
          <w:szCs w:val="28"/>
          <w:highlight w:val="none"/>
        </w:rPr>
        <w:t xml:space="preserve">投标货币。投标文件中的单价和总价无特殊规定的采用人民币报价，以元为单位标注。</w:t>
      </w:r>
      <w:r>
        <w:rPr>
          <w:rFonts w:hint="eastAsia" w:ascii="仿宋" w:hAnsi="仿宋" w:eastAsia="仿宋"/>
          <w:color w:val="auto"/>
          <w:sz w:val="28"/>
          <w:szCs w:val="28"/>
          <w:highlight w:val="none"/>
        </w:rPr>
        <w:t xml:space="preserve">招标文件中另有规定的按规定执行。</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09" w:name="_Hlt26954731"/>
      <w:r/>
      <w:bookmarkEnd w:id="109"/>
      <w:r/>
      <w:bookmarkStart w:id="110" w:name="_Hlt26670482"/>
      <w:r/>
      <w:bookmarkEnd w:id="110"/>
      <w:r/>
      <w:bookmarkStart w:id="111" w:name="_Hlt26954848"/>
      <w:r/>
      <w:bookmarkEnd w:id="111"/>
      <w:r/>
      <w:bookmarkStart w:id="112" w:name="_Hlt26954846"/>
      <w:r/>
      <w:bookmarkEnd w:id="112"/>
      <w:r/>
      <w:bookmarkStart w:id="113" w:name="_Hlt26670486"/>
      <w:r/>
      <w:bookmarkEnd w:id="113"/>
      <w:r>
        <w:rPr>
          <w:rFonts w:hint="eastAsia" w:ascii="仿宋" w:hAnsi="仿宋" w:eastAsia="仿宋" w:cs="Arial"/>
          <w:color w:val="auto"/>
          <w:sz w:val="28"/>
          <w:szCs w:val="28"/>
          <w:highlight w:val="none"/>
          <w:lang w:eastAsia="zh-CN"/>
        </w:rPr>
        <w:t xml:space="preserve">13.</w:t>
      </w:r>
      <w:r>
        <w:rPr>
          <w:rFonts w:hint="eastAsia" w:ascii="仿宋" w:hAnsi="仿宋" w:eastAsia="仿宋" w:cs="Arial"/>
          <w:color w:val="auto"/>
          <w:sz w:val="28"/>
          <w:szCs w:val="28"/>
          <w:highlight w:val="none"/>
        </w:rPr>
        <w:t xml:space="preserve">技术要求响应及偏离表、商务要求响应及偏离表</w:t>
      </w:r>
      <w:r/>
    </w:p>
    <w:p>
      <w:pPr>
        <w:ind w:firstLine="480"/>
        <w:pageBreakBefore w:val="0"/>
        <w:spacing w:line="480" w:lineRule="exact"/>
        <w:widowControl w:val="off"/>
        <w:rPr>
          <w:rFonts w:hint="eastAsia" w:ascii="仿宋" w:hAnsi="仿宋" w:eastAsia="仿宋" w:cs="宋体"/>
          <w:color w:val="auto"/>
          <w:sz w:val="28"/>
          <w:szCs w:val="28"/>
          <w:highlight w:val="none"/>
        </w:rPr>
      </w:pP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3</w:t>
      </w: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 </w:t>
      </w:r>
      <w:r>
        <w:rPr>
          <w:rFonts w:hint="eastAsia" w:ascii="仿宋" w:hAnsi="仿宋" w:eastAsia="仿宋" w:cs="宋体"/>
          <w:color w:val="auto"/>
          <w:sz w:val="28"/>
          <w:szCs w:val="28"/>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13.2投标人需按照招标文件要求，在投标文件中提供与技术要求和商务要求相关的佐证材料。</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14.</w:t>
      </w:r>
      <w:r>
        <w:rPr>
          <w:rFonts w:hint="eastAsia" w:ascii="仿宋" w:hAnsi="仿宋" w:eastAsia="仿宋" w:cs="Arial"/>
          <w:color w:val="auto"/>
          <w:sz w:val="28"/>
          <w:szCs w:val="28"/>
          <w:highlight w:val="none"/>
        </w:rPr>
        <w:t xml:space="preserve">服务承诺、培训计划、人员安排及其他</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14.1 </w:t>
      </w:r>
      <w:r>
        <w:rPr>
          <w:rFonts w:hint="eastAsia" w:ascii="仿宋" w:hAnsi="仿宋" w:eastAsia="仿宋"/>
          <w:color w:val="auto"/>
          <w:sz w:val="28"/>
          <w:szCs w:val="28"/>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 投标人需根据招标文件要求提供培训计划。</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14.3投标人需根据招标文件要求提供</w:t>
      </w:r>
      <w:r>
        <w:rPr>
          <w:rFonts w:hint="eastAsia" w:ascii="仿宋" w:hAnsi="仿宋" w:eastAsia="仿宋" w:cs="宋体"/>
          <w:color w:val="auto"/>
          <w:sz w:val="28"/>
          <w:szCs w:val="28"/>
          <w:highlight w:val="none"/>
          <w:lang w:val="zh-CN"/>
        </w:rPr>
        <w:t xml:space="preserve">所投标的的主要组成部分、功能设计、实现思路及关键技术等。</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14" w:name="_Toc49090510"/>
      <w:r/>
      <w:bookmarkStart w:id="115" w:name="_Toc14577359"/>
      <w:r>
        <w:rPr>
          <w:rFonts w:hint="eastAsia" w:ascii="仿宋" w:hAnsi="仿宋" w:eastAsia="仿宋" w:cs="Arial"/>
          <w:color w:val="auto"/>
          <w:sz w:val="28"/>
          <w:szCs w:val="28"/>
          <w:highlight w:val="none"/>
          <w:lang w:eastAsia="zh-CN"/>
        </w:rPr>
        <w:t xml:space="preserve">15.</w:t>
      </w:r>
      <w:r>
        <w:rPr>
          <w:rFonts w:hint="eastAsia" w:ascii="仿宋" w:hAnsi="仿宋" w:eastAsia="仿宋" w:cs="Arial"/>
          <w:color w:val="auto"/>
          <w:sz w:val="28"/>
          <w:szCs w:val="28"/>
          <w:highlight w:val="none"/>
        </w:rPr>
        <w:t xml:space="preserve">投标函和开标一览表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15.1</w:t>
      </w:r>
      <w:r>
        <w:rPr>
          <w:rFonts w:hint="eastAsia" w:ascii="仿宋" w:hAnsi="仿宋" w:eastAsia="仿宋"/>
          <w:color w:val="auto"/>
          <w:sz w:val="28"/>
          <w:szCs w:val="28"/>
          <w:highlight w:val="none"/>
        </w:rPr>
        <w:t xml:space="preserve"> 投标人应按照招标文件中提供的格式完整、正确填写投标函、开标一览表。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15.2 对于采用货币报价的项目，开标一览表中的投标总报价应与分项报价表中的投标总报价一致，如不一致，不作为无效投标处理，但评标时按开标一览表中价格为准。</w:t>
      </w:r>
      <w:bookmarkEnd w:id="114"/>
      <w:r/>
      <w:bookmarkEnd w:id="115"/>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16" w:name="_Toc49090511"/>
      <w:r/>
      <w:bookmarkStart w:id="117" w:name="_Toc14577360"/>
      <w:r>
        <w:rPr>
          <w:rFonts w:hint="eastAsia" w:ascii="仿宋" w:hAnsi="仿宋" w:eastAsia="仿宋" w:cs="Arial"/>
          <w:color w:val="auto"/>
          <w:sz w:val="28"/>
          <w:szCs w:val="28"/>
          <w:highlight w:val="none"/>
          <w:lang w:eastAsia="zh-CN"/>
        </w:rPr>
        <w:t xml:space="preserve">16.</w:t>
      </w:r>
      <w:r>
        <w:rPr>
          <w:rFonts w:hint="eastAsia" w:ascii="仿宋" w:hAnsi="仿宋" w:eastAsia="仿宋" w:cs="Arial"/>
          <w:color w:val="auto"/>
          <w:sz w:val="28"/>
          <w:szCs w:val="28"/>
          <w:highlight w:val="none"/>
        </w:rPr>
        <w:t xml:space="preserve">投标有效期</w:t>
      </w:r>
      <w:bookmarkEnd w:id="116"/>
      <w:r/>
      <w:bookmarkEnd w:id="117"/>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16.1投标有效期为</w:t>
      </w:r>
      <w:r>
        <w:rPr>
          <w:rFonts w:hint="eastAsia" w:ascii="仿宋" w:hAnsi="仿宋" w:eastAsia="仿宋"/>
          <w:color w:val="auto"/>
          <w:sz w:val="28"/>
          <w:szCs w:val="28"/>
          <w:highlight w:val="none"/>
        </w:rPr>
        <w:t xml:space="preserve">南通市教育技术中心</w:t>
      </w:r>
      <w:r>
        <w:rPr>
          <w:rFonts w:hint="eastAsia" w:ascii="仿宋" w:hAnsi="仿宋" w:eastAsia="仿宋"/>
          <w:bCs/>
          <w:color w:val="auto"/>
          <w:sz w:val="28"/>
          <w:szCs w:val="28"/>
          <w:highlight w:val="none"/>
        </w:rPr>
        <w:t xml:space="preserve">规定的开标之日后</w:t>
      </w:r>
      <w:r>
        <w:rPr>
          <w:rFonts w:hint="eastAsia" w:ascii="仿宋" w:hAnsi="仿宋" w:eastAsia="仿宋"/>
          <w:color w:val="auto"/>
          <w:sz w:val="28"/>
          <w:szCs w:val="28"/>
          <w:highlight w:val="none"/>
          <w:u w:val="single"/>
        </w:rPr>
        <w:t xml:space="preserve">九十（90）天</w:t>
      </w:r>
      <w:r>
        <w:rPr>
          <w:rFonts w:hint="eastAsia" w:ascii="仿宋" w:hAnsi="仿宋" w:eastAsia="仿宋"/>
          <w:bCs/>
          <w:color w:val="auto"/>
          <w:sz w:val="28"/>
          <w:szCs w:val="28"/>
          <w:highlight w:val="none"/>
        </w:rPr>
        <w:t xml:space="preserve">。投标有效期比规定短的将被视为未实质性响应招标文件而予以拒绝。</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17.</w:t>
      </w:r>
      <w:r>
        <w:rPr>
          <w:rFonts w:hint="eastAsia" w:ascii="仿宋" w:hAnsi="仿宋" w:eastAsia="仿宋" w:cs="Arial"/>
          <w:color w:val="auto"/>
          <w:sz w:val="28"/>
          <w:szCs w:val="28"/>
          <w:highlight w:val="none"/>
        </w:rPr>
        <w:t xml:space="preserve">投标有效期的延长</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17.1在特殊情况下，</w:t>
      </w:r>
      <w:r>
        <w:rPr>
          <w:rFonts w:hint="eastAsia" w:ascii="仿宋" w:hAnsi="仿宋" w:eastAsia="仿宋"/>
          <w:color w:val="auto"/>
          <w:sz w:val="28"/>
          <w:szCs w:val="28"/>
          <w:highlight w:val="none"/>
        </w:rPr>
        <w:t xml:space="preserve">南通市教育技术中心</w:t>
      </w:r>
      <w:r>
        <w:rPr>
          <w:rFonts w:hint="eastAsia" w:ascii="仿宋" w:hAnsi="仿宋" w:eastAsia="仿宋"/>
          <w:bCs/>
          <w:color w:val="auto"/>
          <w:sz w:val="28"/>
          <w:szCs w:val="28"/>
          <w:highlight w:val="none"/>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auto"/>
          <w:sz w:val="28"/>
          <w:szCs w:val="28"/>
          <w:highlight w:val="none"/>
        </w:rPr>
        <w:t xml:space="preserve">受投标有效期约束的所有权利与义务均延长至新的有效期</w:t>
      </w:r>
      <w:r>
        <w:rPr>
          <w:rFonts w:hint="eastAsia" w:ascii="仿宋" w:hAnsi="仿宋" w:eastAsia="仿宋"/>
          <w:bCs/>
          <w:color w:val="auto"/>
          <w:sz w:val="28"/>
          <w:szCs w:val="28"/>
          <w:highlight w:val="none"/>
        </w:rPr>
        <w:t xml:space="preserve">。</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18" w:name="_Hlt26954852"/>
      <w:r/>
      <w:bookmarkEnd w:id="118"/>
      <w:r/>
      <w:bookmarkStart w:id="119" w:name="_Hlt26954739"/>
      <w:r/>
      <w:bookmarkEnd w:id="119"/>
      <w:r/>
      <w:bookmarkStart w:id="120" w:name="_Toc20823296"/>
      <w:r/>
      <w:bookmarkStart w:id="121" w:name="_Toc513029224"/>
      <w:r/>
      <w:bookmarkStart w:id="122" w:name="_Toc120614217"/>
      <w:r/>
      <w:bookmarkStart w:id="123" w:name="_Toc16938540"/>
      <w:r>
        <w:rPr>
          <w:rFonts w:hint="eastAsia" w:ascii="仿宋" w:hAnsi="仿宋" w:eastAsia="仿宋"/>
          <w:b/>
          <w:bCs/>
          <w:color w:val="auto"/>
          <w:sz w:val="28"/>
          <w:szCs w:val="28"/>
          <w:highlight w:val="none"/>
        </w:rPr>
        <w:t xml:space="preserve">四、投标文件的递交</w:t>
      </w:r>
      <w:bookmarkEnd w:id="120"/>
      <w:r/>
      <w:bookmarkEnd w:id="121"/>
      <w:r/>
      <w:bookmarkEnd w:id="122"/>
      <w:r/>
      <w:bookmarkEnd w:id="123"/>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bookmarkStart w:id="124" w:name="_Toc16938541"/>
      <w:r/>
      <w:bookmarkStart w:id="125" w:name="_Toc462564084"/>
      <w:r/>
      <w:bookmarkStart w:id="126" w:name="_Toc513029225"/>
      <w:r/>
      <w:bookmarkStart w:id="127" w:name="_Toc20823297"/>
      <w:r>
        <w:rPr>
          <w:rFonts w:hint="eastAsia" w:ascii="仿宋" w:hAnsi="仿宋" w:eastAsia="仿宋"/>
          <w:bCs/>
          <w:color w:val="auto"/>
          <w:sz w:val="28"/>
          <w:szCs w:val="28"/>
          <w:highlight w:val="none"/>
          <w:lang w:eastAsia="zh-CN"/>
        </w:rPr>
        <w:t xml:space="preserve">18.</w:t>
      </w:r>
      <w:r>
        <w:rPr>
          <w:rFonts w:hint="eastAsia" w:ascii="仿宋" w:hAnsi="仿宋" w:eastAsia="仿宋"/>
          <w:bCs/>
          <w:color w:val="auto"/>
          <w:sz w:val="28"/>
          <w:szCs w:val="28"/>
          <w:highlight w:val="none"/>
        </w:rPr>
        <w:t xml:space="preserve">电子投标文件</w:t>
      </w:r>
      <w:bookmarkEnd w:id="124"/>
      <w:r/>
      <w:bookmarkEnd w:id="125"/>
      <w:r/>
      <w:bookmarkEnd w:id="126"/>
      <w:r/>
      <w:bookmarkEnd w:id="127"/>
      <w:r>
        <w:rPr>
          <w:rFonts w:hint="eastAsia" w:ascii="仿宋" w:hAnsi="仿宋" w:eastAsia="仿宋"/>
          <w:bCs/>
          <w:color w:val="auto"/>
          <w:sz w:val="28"/>
          <w:szCs w:val="28"/>
          <w:highlight w:val="none"/>
        </w:rPr>
        <w:t xml:space="preserve">的递交</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18.1投标人应当按照《操作手册》规定，在投标截止时间前</w:t>
      </w:r>
      <w:r>
        <w:rPr>
          <w:rFonts w:ascii="仿宋" w:hAnsi="仿宋" w:eastAsia="仿宋"/>
          <w:bCs/>
          <w:color w:val="auto"/>
          <w:sz w:val="28"/>
          <w:szCs w:val="28"/>
          <w:highlight w:val="none"/>
        </w:rPr>
        <w:t xml:space="preserve">制作</w:t>
      </w:r>
      <w:r>
        <w:rPr>
          <w:rFonts w:hint="eastAsia" w:ascii="仿宋" w:hAnsi="仿宋" w:eastAsia="仿宋"/>
          <w:bCs/>
          <w:color w:val="auto"/>
          <w:sz w:val="28"/>
          <w:szCs w:val="28"/>
          <w:highlight w:val="none"/>
        </w:rPr>
        <w:t xml:space="preserve">并上传电子投标文件。</w:t>
      </w:r>
      <w:bookmarkStart w:id="128" w:name="_Toc16938542"/>
      <w:r/>
      <w:bookmarkStart w:id="129" w:name="_Toc20823298"/>
      <w:r/>
      <w:bookmarkStart w:id="130" w:name="_Toc513029226"/>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19.</w:t>
      </w:r>
      <w:r>
        <w:rPr>
          <w:rFonts w:hint="eastAsia" w:ascii="仿宋" w:hAnsi="仿宋" w:eastAsia="仿宋"/>
          <w:bCs/>
          <w:color w:val="auto"/>
          <w:sz w:val="28"/>
          <w:szCs w:val="28"/>
          <w:highlight w:val="none"/>
        </w:rPr>
        <w:t xml:space="preserve">投标截止日期</w:t>
      </w:r>
      <w:bookmarkEnd w:id="128"/>
      <w:r/>
      <w:bookmarkEnd w:id="129"/>
      <w:r/>
      <w:bookmarkEnd w:id="130"/>
      <w:r/>
      <w:r/>
    </w:p>
    <w:p>
      <w:pPr>
        <w:ind w:firstLine="562"/>
        <w:pageBreakBefore w:val="0"/>
        <w:spacing w:line="480" w:lineRule="exact"/>
        <w:widowControl w:val="off"/>
        <w:rPr>
          <w:rFonts w:hint="eastAsia" w:ascii="仿宋" w:hAnsi="仿宋" w:eastAsia="仿宋"/>
          <w:b/>
          <w:bCs/>
          <w:color w:val="auto"/>
          <w:sz w:val="28"/>
          <w:szCs w:val="28"/>
          <w:highlight w:val="none"/>
          <w:u w:val="single"/>
        </w:rPr>
      </w:pPr>
      <w:r>
        <w:rPr>
          <w:rFonts w:ascii="仿宋" w:hAnsi="仿宋" w:eastAsia="仿宋"/>
          <w:b/>
          <w:color w:val="auto"/>
          <w:sz w:val="28"/>
          <w:szCs w:val="28"/>
          <w:highlight w:val="none"/>
          <w:u w:val="single"/>
        </w:rPr>
        <w:t xml:space="preserve">19</w:t>
      </w:r>
      <w:r>
        <w:rPr>
          <w:rFonts w:hint="eastAsia" w:ascii="仿宋" w:hAnsi="仿宋" w:eastAsia="仿宋"/>
          <w:b/>
          <w:color w:val="auto"/>
          <w:sz w:val="28"/>
          <w:szCs w:val="28"/>
          <w:highlight w:val="none"/>
          <w:u w:val="single"/>
        </w:rPr>
        <w:t xml:space="preserve">.1</w:t>
      </w:r>
      <w:r>
        <w:rPr>
          <w:rFonts w:hint="eastAsia" w:ascii="仿宋" w:hAnsi="仿宋" w:eastAsia="仿宋"/>
          <w:b/>
          <w:bCs/>
          <w:color w:val="auto"/>
          <w:sz w:val="28"/>
          <w:szCs w:val="28"/>
          <w:highlight w:val="none"/>
          <w:u w:val="single"/>
        </w:rPr>
        <w:t xml:space="preserve"> 投标人上传电子投标文件的时间不得迟于招标公告中规定的投标截止时间。</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投标人应</w:t>
      </w:r>
      <w:r>
        <w:rPr>
          <w:rFonts w:hint="eastAsia" w:ascii="仿宋" w:hAnsi="仿宋" w:eastAsia="仿宋"/>
          <w:bCs/>
          <w:color w:val="auto"/>
          <w:sz w:val="28"/>
          <w:szCs w:val="28"/>
          <w:highlight w:val="none"/>
          <w:lang w:eastAsia="zh-CN"/>
        </w:rPr>
        <w:t xml:space="preserve">充分考虑</w:t>
      </w:r>
      <w:r>
        <w:rPr>
          <w:rFonts w:hint="eastAsia" w:ascii="仿宋" w:hAnsi="仿宋" w:eastAsia="仿宋"/>
          <w:bCs/>
          <w:color w:val="auto"/>
          <w:sz w:val="28"/>
          <w:szCs w:val="28"/>
          <w:highlight w:val="none"/>
        </w:rPr>
        <w:t xml:space="preserve">网络环境、网络带宽等风险因素，如因投标人自身原因造成电子投标文件上传不成功的，按照本招标文件第二章第27.1.2条规定</w:t>
      </w:r>
      <w:r>
        <w:rPr>
          <w:rFonts w:hint="eastAsia" w:ascii="仿宋" w:hAnsi="仿宋" w:eastAsia="仿宋"/>
          <w:bCs/>
          <w:color w:val="auto"/>
          <w:sz w:val="28"/>
          <w:szCs w:val="28"/>
          <w:highlight w:val="none"/>
          <w:lang w:eastAsia="zh-CN"/>
        </w:rPr>
        <w:t xml:space="preserve">作无效投标</w:t>
      </w:r>
      <w:r>
        <w:rPr>
          <w:rFonts w:hint="eastAsia" w:ascii="仿宋" w:hAnsi="仿宋" w:eastAsia="仿宋"/>
          <w:bCs/>
          <w:color w:val="auto"/>
          <w:sz w:val="28"/>
          <w:szCs w:val="28"/>
          <w:highlight w:val="none"/>
        </w:rPr>
        <w:t xml:space="preserve">处理。</w:t>
      </w:r>
      <w:r/>
    </w:p>
    <w:p>
      <w:pPr>
        <w:ind w:firstLine="560"/>
        <w:pageBreakBefore w:val="0"/>
        <w:spacing w:line="480" w:lineRule="exact"/>
        <w:widowControl w:val="off"/>
        <w:rPr>
          <w:rFonts w:hint="eastAsia" w:ascii="仿宋" w:hAnsi="仿宋" w:eastAsia="仿宋"/>
          <w:bCs/>
          <w:color w:val="auto"/>
          <w:sz w:val="28"/>
          <w:szCs w:val="28"/>
          <w:highlight w:val="none"/>
        </w:rPr>
      </w:pPr>
      <w:r>
        <w:rPr>
          <w:rFonts w:ascii="仿宋" w:hAnsi="仿宋" w:eastAsia="仿宋"/>
          <w:color w:val="auto"/>
          <w:sz w:val="28"/>
          <w:szCs w:val="28"/>
          <w:highlight w:val="none"/>
        </w:rPr>
        <w:t xml:space="preserve">19</w:t>
      </w:r>
      <w:r>
        <w:rPr>
          <w:rFonts w:hint="eastAsia" w:ascii="仿宋" w:hAnsi="仿宋" w:eastAsia="仿宋"/>
          <w:color w:val="auto"/>
          <w:sz w:val="28"/>
          <w:szCs w:val="28"/>
          <w:highlight w:val="none"/>
        </w:rPr>
        <w:t xml:space="preserve">.2</w:t>
      </w:r>
      <w:r>
        <w:rPr>
          <w:rFonts w:hint="eastAsia" w:ascii="仿宋" w:hAnsi="仿宋" w:eastAsia="仿宋"/>
          <w:bCs/>
          <w:color w:val="auto"/>
          <w:sz w:val="28"/>
          <w:szCs w:val="28"/>
          <w:highlight w:val="none"/>
        </w:rPr>
        <w:t xml:space="preserve"> 南通市教育技术中心可以按照规定，通过修改招标文件酌情延长投标截止日期，在此情况下，投标人的所有权利和义务以及投标人受制的截止日期均应以延长后新的截止日期为准。</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31" w:name="_Toc513029227"/>
      <w:r/>
      <w:bookmarkStart w:id="132" w:name="_Toc20823299"/>
      <w:r/>
      <w:bookmarkStart w:id="133" w:name="_Toc16938543"/>
      <w:r>
        <w:rPr>
          <w:rFonts w:hint="eastAsia" w:ascii="仿宋" w:hAnsi="仿宋" w:eastAsia="仿宋" w:cs="Arial"/>
          <w:color w:val="auto"/>
          <w:sz w:val="28"/>
          <w:szCs w:val="28"/>
          <w:highlight w:val="none"/>
          <w:lang w:eastAsia="zh-CN"/>
        </w:rPr>
        <w:t xml:space="preserve">20.</w:t>
      </w:r>
      <w:r>
        <w:rPr>
          <w:rFonts w:hint="eastAsia" w:ascii="仿宋" w:hAnsi="仿宋" w:eastAsia="仿宋" w:cs="Arial"/>
          <w:color w:val="auto"/>
          <w:sz w:val="28"/>
          <w:szCs w:val="28"/>
          <w:highlight w:val="none"/>
        </w:rPr>
        <w:t xml:space="preserve">投标文件</w:t>
      </w:r>
      <w:bookmarkEnd w:id="131"/>
      <w:r/>
      <w:bookmarkEnd w:id="132"/>
      <w:r/>
      <w:bookmarkEnd w:id="133"/>
      <w:r>
        <w:rPr>
          <w:rFonts w:hint="eastAsia" w:ascii="仿宋" w:hAnsi="仿宋" w:eastAsia="仿宋" w:cs="Arial"/>
          <w:color w:val="auto"/>
          <w:sz w:val="28"/>
          <w:szCs w:val="28"/>
          <w:highlight w:val="none"/>
        </w:rPr>
        <w:t xml:space="preserve">的拒收</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20.1 南通市教育技术中心拒绝接收在其规定的投标截止时间后上传的任何投标文件。</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34" w:name="_Toc20823300"/>
      <w:r/>
      <w:bookmarkStart w:id="135" w:name="_Toc513029228"/>
      <w:r/>
      <w:bookmarkStart w:id="136" w:name="_Toc16938544"/>
      <w:r>
        <w:rPr>
          <w:rFonts w:hint="eastAsia" w:ascii="仿宋" w:hAnsi="仿宋" w:eastAsia="仿宋" w:cs="Arial"/>
          <w:color w:val="auto"/>
          <w:sz w:val="28"/>
          <w:szCs w:val="28"/>
          <w:highlight w:val="none"/>
          <w:lang w:eastAsia="zh-CN"/>
        </w:rPr>
        <w:t xml:space="preserve">21.</w:t>
      </w:r>
      <w:r>
        <w:rPr>
          <w:rFonts w:hint="eastAsia" w:ascii="仿宋" w:hAnsi="仿宋" w:eastAsia="仿宋" w:cs="Arial"/>
          <w:color w:val="auto"/>
          <w:sz w:val="28"/>
          <w:szCs w:val="28"/>
          <w:highlight w:val="none"/>
        </w:rPr>
        <w:t xml:space="preserve">投标文件的撤回和修改</w:t>
      </w:r>
      <w:bookmarkEnd w:id="134"/>
      <w:r/>
      <w:bookmarkEnd w:id="135"/>
      <w:r/>
      <w:bookmarkEnd w:id="136"/>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 投标文件的撤回</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.1.1 电子投标文件的撤回</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投标人可在投标截止时间前，撤回其电子投标文件，具体操作方法见《操作手册》。</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投标人撤回电子投标文件，则认为其不再参与本项目投标活动。</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.2 投标文件的修改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21.2.1投标人可在投标截止时间前，对其电子投标文件进行修改，具体操作方法见《操作手册》。</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2.2</w:t>
      </w:r>
      <w:r>
        <w:rPr>
          <w:rFonts w:hint="eastAsia" w:ascii="仿宋" w:hAnsi="仿宋" w:eastAsia="仿宋"/>
          <w:bCs/>
          <w:color w:val="auto"/>
          <w:sz w:val="28"/>
          <w:szCs w:val="28"/>
          <w:highlight w:val="none"/>
        </w:rPr>
        <w:t xml:space="preserve"> 在投标截止时间之后，投标人不得对其电子投标文件作任何修改。</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 在投标截止时间至招标文件中规定的投标有效期满之间的这段时间内，投标人不得撤回其投标。</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37" w:name="_Toc16938545"/>
      <w:r/>
      <w:bookmarkStart w:id="138" w:name="_Toc120614218"/>
      <w:r/>
      <w:bookmarkStart w:id="139" w:name="_Toc20823301"/>
      <w:r/>
      <w:bookmarkStart w:id="140" w:name="_Toc513029229"/>
      <w:r>
        <w:rPr>
          <w:rFonts w:hint="eastAsia" w:ascii="仿宋" w:hAnsi="仿宋" w:eastAsia="仿宋"/>
          <w:b/>
          <w:bCs/>
          <w:color w:val="auto"/>
          <w:sz w:val="28"/>
          <w:szCs w:val="28"/>
          <w:highlight w:val="none"/>
        </w:rPr>
        <w:t xml:space="preserve">五、开标与评标</w:t>
      </w:r>
      <w:bookmarkEnd w:id="137"/>
      <w:r/>
      <w:bookmarkEnd w:id="138"/>
      <w:r/>
      <w:bookmarkEnd w:id="139"/>
      <w:r/>
      <w:bookmarkEnd w:id="140"/>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1" w:name="_Toc513029230"/>
      <w:r/>
      <w:bookmarkStart w:id="142" w:name="_Toc16938546"/>
      <w:r/>
      <w:bookmarkStart w:id="143" w:name="_Toc20823302"/>
      <w:r>
        <w:rPr>
          <w:rFonts w:hint="eastAsia" w:ascii="仿宋" w:hAnsi="仿宋" w:eastAsia="仿宋" w:cs="Arial"/>
          <w:color w:val="auto"/>
          <w:sz w:val="28"/>
          <w:szCs w:val="28"/>
          <w:highlight w:val="none"/>
          <w:lang w:eastAsia="zh-CN"/>
        </w:rPr>
        <w:t xml:space="preserve">22.</w:t>
      </w:r>
      <w:r>
        <w:rPr>
          <w:rFonts w:hint="eastAsia" w:ascii="仿宋" w:hAnsi="仿宋" w:eastAsia="仿宋" w:cs="Arial"/>
          <w:color w:val="auto"/>
          <w:sz w:val="28"/>
          <w:szCs w:val="28"/>
          <w:highlight w:val="none"/>
        </w:rPr>
        <w:t xml:space="preserve">开标</w:t>
      </w:r>
      <w:bookmarkEnd w:id="141"/>
      <w:r/>
      <w:bookmarkEnd w:id="142"/>
      <w:r/>
      <w:bookmarkEnd w:id="143"/>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 南通市教育技术中心将在招标公告中规定的时间和地点组织公开开标</w:t>
      </w:r>
      <w:r>
        <w:rPr>
          <w:rFonts w:hint="eastAsia" w:ascii="仿宋" w:hAnsi="仿宋" w:eastAsia="仿宋"/>
          <w:color w:val="auto"/>
          <w:sz w:val="28"/>
          <w:szCs w:val="28"/>
          <w:highlight w:val="none"/>
        </w:rPr>
        <w:t xml:space="preserve">。投标人应当按照《操作手册》规定，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.2</w:t>
      </w:r>
      <w:r>
        <w:rPr>
          <w:rFonts w:hint="eastAsia" w:ascii="仿宋" w:hAnsi="仿宋" w:eastAsia="仿宋"/>
          <w:color w:val="auto"/>
          <w:sz w:val="28"/>
          <w:szCs w:val="28"/>
          <w:highlight w:val="none"/>
        </w:rPr>
        <w:t xml:space="preserve">开标仪式由南通市教育技术中心组织。苏采云系统将自动对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.3投标人在开标过程中</w:t>
      </w:r>
      <w:r>
        <w:rPr>
          <w:rFonts w:hint="eastAsia" w:ascii="仿宋" w:hAnsi="仿宋" w:eastAsia="仿宋"/>
          <w:bCs/>
          <w:color w:val="auto"/>
          <w:sz w:val="28"/>
          <w:szCs w:val="28"/>
          <w:highlight w:val="none"/>
          <w:lang w:eastAsia="zh-CN"/>
        </w:rPr>
        <w:t xml:space="preserve">涉及</w:t>
      </w:r>
      <w:r>
        <w:rPr>
          <w:rFonts w:hint="eastAsia" w:ascii="仿宋" w:hAnsi="仿宋" w:eastAsia="仿宋"/>
          <w:bCs/>
          <w:color w:val="auto"/>
          <w:sz w:val="28"/>
          <w:szCs w:val="28"/>
          <w:highlight w:val="none"/>
        </w:rPr>
        <w:t xml:space="preserve">的投标文件解密、开标结果确认等工作，应按照《操作手册》规定执行。</w:t>
      </w:r>
      <w:r/>
    </w:p>
    <w:p>
      <w:pPr>
        <w:ind w:firstLine="56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4" w:name="_Toc513029231"/>
      <w:r/>
      <w:bookmarkStart w:id="145" w:name="_Toc16938547"/>
      <w:r/>
      <w:bookmarkStart w:id="146" w:name="_Toc20823303"/>
      <w:r>
        <w:rPr>
          <w:rFonts w:hint="eastAsia" w:ascii="仿宋" w:hAnsi="仿宋" w:eastAsia="仿宋" w:cs="Arial"/>
          <w:color w:val="auto"/>
          <w:sz w:val="28"/>
          <w:szCs w:val="28"/>
          <w:highlight w:val="none"/>
          <w:lang w:eastAsia="zh-CN"/>
        </w:rPr>
        <w:t xml:space="preserve">23.</w:t>
      </w:r>
      <w:r>
        <w:rPr>
          <w:rFonts w:hint="eastAsia" w:ascii="仿宋" w:hAnsi="仿宋" w:eastAsia="仿宋" w:cs="Arial"/>
          <w:color w:val="auto"/>
          <w:sz w:val="28"/>
          <w:szCs w:val="28"/>
          <w:highlight w:val="none"/>
        </w:rPr>
        <w:t xml:space="preserve">评标委员会</w:t>
      </w:r>
      <w:r/>
    </w:p>
    <w:p>
      <w:pPr>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.1</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开标后，南通市教育技术中心将立即组织评标委员会（以下简称评委会）进行评标。</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.2 评委会由采购人代表和有关技术、经济等方面的专家组成，且人员构成符合政府采购有关规定。</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.3评委会独立工作，负责评审所有投标文件并确定中标</w:t>
      </w:r>
      <w:r>
        <w:rPr>
          <w:rFonts w:hint="eastAsia" w:ascii="仿宋" w:hAnsi="仿宋" w:eastAsia="仿宋"/>
          <w:color w:val="auto"/>
          <w:sz w:val="28"/>
          <w:szCs w:val="28"/>
          <w:highlight w:val="none"/>
          <w:lang w:eastAsia="zh-CN"/>
        </w:rPr>
        <w:t xml:space="preserve">候选人</w:t>
      </w:r>
      <w:r>
        <w:rPr>
          <w:rFonts w:hint="eastAsia" w:ascii="仿宋" w:hAnsi="仿宋" w:eastAsia="仿宋"/>
          <w:color w:val="auto"/>
          <w:sz w:val="28"/>
          <w:szCs w:val="28"/>
          <w:highlight w:val="none"/>
        </w:rPr>
        <w:t xml:space="preserve">。</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24.</w:t>
      </w:r>
      <w:r>
        <w:rPr>
          <w:rFonts w:hint="eastAsia" w:ascii="仿宋" w:hAnsi="仿宋" w:eastAsia="仿宋" w:cs="Arial"/>
          <w:color w:val="auto"/>
          <w:sz w:val="28"/>
          <w:szCs w:val="28"/>
          <w:highlight w:val="none"/>
        </w:rPr>
        <w:t xml:space="preserve">评标过程的保密与公正</w:t>
      </w:r>
      <w:bookmarkEnd w:id="144"/>
      <w:r/>
      <w:bookmarkEnd w:id="145"/>
      <w:r/>
      <w:bookmarkEnd w:id="146"/>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凡是与审查、澄清、评价和比较投标的有关资料以及授标建议等，采购人、评委、南通市教育技术中心均不得向投标人或与评标无关的其他人员透露。</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.2在评标过程中，投标人不得以任何行为影响评标过程，否则其投标文件将被作为无效投标文件。</w:t>
      </w:r>
      <w:r/>
    </w:p>
    <w:p>
      <w:pPr>
        <w:ind w:firstLine="560"/>
        <w:pageBreakBefore w:val="0"/>
        <w:spacing w:line="480" w:lineRule="exact"/>
        <w:widowControl w:val="off"/>
        <w:rPr>
          <w:rFonts w:hint="eastAsia" w:ascii="仿宋" w:hAnsi="仿宋" w:eastAsia="仿宋"/>
          <w:b/>
          <w:color w:val="auto"/>
          <w:sz w:val="28"/>
          <w:szCs w:val="28"/>
          <w:highlight w:val="none"/>
        </w:rPr>
      </w:pPr>
      <w:r>
        <w:rPr>
          <w:rFonts w:ascii="仿宋" w:hAnsi="仿宋" w:eastAsia="仿宋"/>
          <w:color w:val="auto"/>
          <w:sz w:val="28"/>
          <w:szCs w:val="28"/>
          <w:highlight w:val="none"/>
        </w:rPr>
        <w:t xml:space="preserve">24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南通市教育技术中心和评标委员会不向未中标的投标人解释未中标原因，也不公布评标过程中的相关细节。</w:t>
      </w:r>
      <w:r/>
    </w:p>
    <w:p>
      <w:pPr>
        <w:ind w:firstLine="560"/>
        <w:pageBreakBefore w:val="0"/>
        <w:spacing w:line="480" w:lineRule="exact"/>
        <w:widowControl w:val="off"/>
        <w:rPr>
          <w:rFonts w:ascii="仿宋" w:hAnsi="仿宋" w:eastAsia="仿宋"/>
          <w:i/>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bookmarkStart w:id="147" w:name="_Toc513029232"/>
      <w:r/>
      <w:bookmarkStart w:id="148" w:name="_Toc20823304"/>
      <w:r/>
      <w:bookmarkStart w:id="149" w:name="_Toc16938548"/>
      <w:r>
        <w:rPr>
          <w:rFonts w:hint="eastAsia" w:ascii="仿宋" w:hAnsi="仿宋" w:eastAsia="仿宋" w:cs="Arial"/>
          <w:color w:val="auto"/>
          <w:sz w:val="28"/>
          <w:szCs w:val="28"/>
          <w:highlight w:val="none"/>
          <w:lang w:eastAsia="zh-CN"/>
        </w:rPr>
        <w:t xml:space="preserve">25.</w:t>
      </w:r>
      <w:r>
        <w:rPr>
          <w:rFonts w:hint="eastAsia" w:ascii="仿宋" w:hAnsi="仿宋" w:eastAsia="仿宋" w:cs="Arial"/>
          <w:color w:val="auto"/>
          <w:sz w:val="28"/>
          <w:szCs w:val="28"/>
          <w:highlight w:val="none"/>
        </w:rPr>
        <w:t xml:space="preserve">投标文件的澄清</w:t>
      </w:r>
      <w:bookmarkEnd w:id="147"/>
      <w:r/>
      <w:bookmarkEnd w:id="148"/>
      <w:r/>
      <w:bookmarkEnd w:id="149"/>
      <w:r/>
      <w:r/>
    </w:p>
    <w:p>
      <w:pPr>
        <w:ind w:firstLine="560"/>
        <w:pageBreakBefore w:val="0"/>
        <w:spacing w:line="480" w:lineRule="exact"/>
        <w:widowControl w:val="off"/>
        <w:rPr>
          <w:rFonts w:ascii="仿宋" w:hAnsi="仿宋" w:eastAsia="仿宋"/>
          <w:color w:val="auto"/>
          <w:sz w:val="28"/>
          <w:szCs w:val="28"/>
          <w:highlight w:val="none"/>
        </w:rPr>
      </w:pPr>
      <w:r/>
      <w:bookmarkStart w:id="150" w:name="_Toc16938549"/>
      <w:r/>
      <w:bookmarkStart w:id="151" w:name="_Toc513029233"/>
      <w:r/>
      <w:bookmarkStart w:id="152" w:name="_Toc20823305"/>
      <w:r>
        <w:rPr>
          <w:rFonts w:ascii="仿宋" w:hAnsi="仿宋" w:eastAsia="仿宋"/>
          <w:color w:val="auto"/>
          <w:sz w:val="28"/>
          <w:szCs w:val="28"/>
          <w:highlight w:val="none"/>
        </w:rPr>
        <w:t xml:space="preserve">25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，有权要求投标人作出必要的澄清、说明或者补正。</w:t>
      </w:r>
      <w:r/>
    </w:p>
    <w:p>
      <w:pPr>
        <w:ind w:firstLine="56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w:t>
      </w:r>
      <w:r>
        <w:rPr>
          <w:rFonts w:ascii="仿宋" w:hAnsi="仿宋" w:eastAsia="仿宋"/>
          <w:color w:val="auto"/>
          <w:sz w:val="28"/>
          <w:szCs w:val="28"/>
          <w:highlight w:val="none"/>
        </w:rPr>
        <w:t xml:space="preserve">委员会并非对每个投标人都做澄清要求</w:t>
      </w:r>
      <w:r>
        <w:rPr>
          <w:rFonts w:hint="eastAsia" w:ascii="仿宋" w:hAnsi="仿宋" w:eastAsia="仿宋"/>
          <w:color w:val="auto"/>
          <w:sz w:val="28"/>
          <w:szCs w:val="28"/>
          <w:highlight w:val="none"/>
        </w:rPr>
        <w:t xml:space="preserve">。</w:t>
      </w:r>
      <w:r/>
    </w:p>
    <w:p>
      <w:pPr>
        <w:ind w:firstLine="48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.3 接到评委会澄清、说明和补正要求的投标人如未按规定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澄清、说明和补正，其风险由投标人自行承担。</w:t>
      </w:r>
      <w:r/>
    </w:p>
    <w:p>
      <w:pPr>
        <w:keepLines/>
        <w:keepNext/>
        <w:pageBreakBefore w:val="0"/>
        <w:spacing w:line="480" w:lineRule="exact"/>
        <w:widowControl w:val="off"/>
        <w:rPr>
          <w:rFonts w:hint="eastAsia" w:ascii="仿宋" w:hAnsi="仿宋" w:eastAsia="仿宋" w:cs="Arial"/>
          <w:color w:val="auto"/>
          <w:sz w:val="28"/>
          <w:szCs w:val="28"/>
          <w:highlight w:val="none"/>
        </w:rPr>
        <w:outlineLvl w:val="3"/>
      </w:pPr>
      <w:r>
        <w:rPr>
          <w:rFonts w:hint="eastAsia" w:ascii="仿宋" w:hAnsi="仿宋" w:eastAsia="仿宋" w:cs="Arial"/>
          <w:color w:val="auto"/>
          <w:sz w:val="28"/>
          <w:szCs w:val="28"/>
          <w:highlight w:val="none"/>
          <w:lang w:eastAsia="zh-CN"/>
        </w:rPr>
        <w:t xml:space="preserve">26.</w:t>
      </w:r>
      <w:r>
        <w:rPr>
          <w:rFonts w:hint="eastAsia" w:ascii="仿宋" w:hAnsi="仿宋" w:eastAsia="仿宋" w:cs="Arial"/>
          <w:color w:val="auto"/>
          <w:sz w:val="28"/>
          <w:szCs w:val="28"/>
          <w:highlight w:val="none"/>
        </w:rPr>
        <w:t xml:space="preserve">对投标文件的初审</w:t>
      </w:r>
      <w:bookmarkEnd w:id="150"/>
      <w:r/>
      <w:bookmarkEnd w:id="151"/>
      <w:r/>
      <w:bookmarkEnd w:id="152"/>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投标文件初审分为资格审查和符合性审查。</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.1.1 资格审查：依据法律法规和招标文件的规定，由采购人对投标文件中的资格证明文件进行审查。资格审查的结论，采购人以书面形式向评委会进行反馈。</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查询结果留存并归档。</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联合体成员中任何一方存在不良信用记录的，视同联合体存在不良应用记录。</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2"/>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.1.3 未通过资格审查或符合性审查的投标人，南通市教育技术中心将在</w:t>
      </w:r>
      <w:r>
        <w:rPr>
          <w:rFonts w:hint="eastAsia" w:ascii="仿宋" w:hAnsi="仿宋" w:eastAsia="仿宋"/>
          <w:b/>
          <w:color w:val="auto"/>
          <w:sz w:val="28"/>
          <w:szCs w:val="28"/>
          <w:highlight w:val="none"/>
        </w:rPr>
        <w:t xml:space="preserve">苏采云系统</w:t>
      </w:r>
      <w:r>
        <w:rPr>
          <w:rFonts w:hint="eastAsia" w:ascii="仿宋" w:hAnsi="仿宋" w:eastAsia="仿宋"/>
          <w:b/>
          <w:bCs/>
          <w:color w:val="auto"/>
          <w:sz w:val="28"/>
          <w:szCs w:val="28"/>
          <w:highlight w:val="none"/>
        </w:rPr>
        <w:t xml:space="preserve">中告知未通过资格审查或符合性审查的原因，评审结束后，南通市教育技术中心将不再告知未通过资格审查或符合性审查的原因。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auto"/>
          <w:sz w:val="28"/>
          <w:szCs w:val="28"/>
          <w:highlight w:val="none"/>
        </w:rPr>
        <w:t xml:space="preserve">评委决定投标文件的响应性只根据投标文件本身的内容，而不寻求外部的证据。</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如果投标文件实质上没有响应招标文件的要求，评委会将予以拒绝，投标人不得通过修改或撤销</w:t>
      </w:r>
      <w:r>
        <w:rPr>
          <w:rFonts w:hint="eastAsia" w:ascii="仿宋" w:hAnsi="仿宋" w:eastAsia="仿宋"/>
          <w:bCs/>
          <w:color w:val="auto"/>
          <w:sz w:val="28"/>
          <w:szCs w:val="28"/>
          <w:highlight w:val="none"/>
          <w:lang w:eastAsia="zh-CN"/>
        </w:rPr>
        <w:t xml:space="preserve">不符</w:t>
      </w:r>
      <w:r>
        <w:rPr>
          <w:rFonts w:hint="eastAsia" w:ascii="仿宋" w:hAnsi="仿宋" w:eastAsia="仿宋"/>
          <w:bCs/>
          <w:color w:val="auto"/>
          <w:sz w:val="28"/>
          <w:szCs w:val="28"/>
          <w:highlight w:val="none"/>
        </w:rPr>
        <w:t xml:space="preserve">合要求的偏离或保留而使其投标成为实质性响应的投标。</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.4</w:t>
      </w:r>
      <w:r>
        <w:rPr>
          <w:rFonts w:hint="eastAsia" w:ascii="仿宋" w:hAnsi="仿宋" w:eastAsia="仿宋"/>
          <w:bCs/>
          <w:color w:val="auto"/>
          <w:sz w:val="28"/>
          <w:szCs w:val="28"/>
          <w:highlight w:val="none"/>
        </w:rPr>
        <w:t xml:space="preserve">评委会将对确定为实质性响应的投标进行进一步审核，看其是否有计算上或累加上的算术错误，修正错误的原则如下：</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（1）投标文件中开标一览表内容与投标文件中相应内容不一致的，以开标一览表为准。</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（2）大写金额和小写金额不一致的，以大写金额为准。</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（3）单价金额小数点或者百分比有明显错位的，以开标一览表的总价为准，并修改单价。</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（4）总价金额与按单价汇总金额不一致的，以单价金额计算结果为准。</w:t>
      </w:r>
      <w:r/>
    </w:p>
    <w:p>
      <w:pPr>
        <w:ind w:firstLine="56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同时出现两种以上错误的，按照前款规定的顺序修正。</w:t>
      </w:r>
      <w:r/>
    </w:p>
    <w:p>
      <w:pPr>
        <w:ind w:firstLine="56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.5</w:t>
      </w:r>
      <w:r>
        <w:rPr>
          <w:rFonts w:hint="eastAsia" w:ascii="仿宋" w:hAnsi="仿宋" w:eastAsia="仿宋"/>
          <w:bCs/>
          <w:color w:val="auto"/>
          <w:sz w:val="28"/>
          <w:szCs w:val="28"/>
          <w:highlight w:val="none"/>
        </w:rPr>
        <w:t xml:space="preserve">评委会将按上述修正错误的方法调整投标文件中的投标报价，并</w:t>
      </w:r>
      <w:r>
        <w:rPr>
          <w:rFonts w:ascii="仿宋" w:hAnsi="仿宋" w:eastAsia="仿宋"/>
          <w:bCs/>
          <w:color w:val="auto"/>
          <w:sz w:val="28"/>
          <w:szCs w:val="28"/>
          <w:highlight w:val="none"/>
        </w:rPr>
        <w:t xml:space="preserve">通过</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告知</w:t>
      </w:r>
      <w:r>
        <w:rPr>
          <w:rFonts w:ascii="仿宋" w:hAnsi="仿宋" w:eastAsia="仿宋"/>
          <w:bCs/>
          <w:color w:val="auto"/>
          <w:sz w:val="28"/>
          <w:szCs w:val="28"/>
          <w:highlight w:val="none"/>
        </w:rPr>
        <w:t xml:space="preserve">投标人，</w:t>
      </w:r>
      <w:r>
        <w:rPr>
          <w:rFonts w:hint="eastAsia" w:ascii="仿宋" w:hAnsi="仿宋" w:eastAsia="仿宋"/>
          <w:bCs/>
          <w:color w:val="auto"/>
          <w:sz w:val="28"/>
          <w:szCs w:val="28"/>
          <w:highlight w:val="none"/>
        </w:rPr>
        <w:t xml:space="preserve">调整后的价格应对投标人具有约束力。如果投标人不接受修正后的价格，则其投标将被拒绝。</w:t>
      </w:r>
      <w:r/>
    </w:p>
    <w:p>
      <w:pPr>
        <w:ind w:firstLine="560"/>
        <w:pageBreakBefore w:val="0"/>
        <w:spacing w:line="480" w:lineRule="exact"/>
        <w:widowControl w:val="off"/>
        <w:rPr>
          <w:rFonts w:ascii="仿宋" w:hAnsi="仿宋" w:eastAsia="仿宋"/>
          <w:color w:val="auto"/>
          <w:sz w:val="28"/>
          <w:szCs w:val="28"/>
          <w:highlight w:val="none"/>
        </w:rPr>
      </w:pPr>
      <w:r/>
      <w:bookmarkStart w:id="153" w:name="_Toc16938550"/>
      <w:r/>
      <w:bookmarkStart w:id="154" w:name="_Toc513029234"/>
      <w:r/>
      <w:bookmarkStart w:id="155" w:name="_Toc20823306"/>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420"/>
        <w:pageBreakBefore w:val="0"/>
        <w:spacing w:line="48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42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.7投标人在开、评标全过程中应</w:t>
      </w:r>
      <w:r>
        <w:rPr>
          <w:rFonts w:hint="eastAsia" w:ascii="仿宋" w:hAnsi="仿宋" w:eastAsia="仿宋"/>
          <w:color w:val="auto"/>
          <w:sz w:val="28"/>
          <w:szCs w:val="28"/>
          <w:highlight w:val="none"/>
          <w:lang w:eastAsia="zh-CN"/>
        </w:rPr>
        <w:t xml:space="preserve">保持通信畅通</w:t>
      </w:r>
      <w:r>
        <w:rPr>
          <w:rFonts w:hint="eastAsia" w:ascii="仿宋" w:hAnsi="仿宋" w:eastAsia="仿宋"/>
          <w:color w:val="auto"/>
          <w:sz w:val="28"/>
          <w:szCs w:val="28"/>
          <w:highlight w:val="none"/>
        </w:rPr>
        <w:t xml:space="preserve">，及时登录苏采云系统查阅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并安排专人与南通市教育技术中心及评标委员会联系。</w:t>
      </w:r>
      <w:bookmarkEnd w:id="153"/>
      <w:r/>
      <w:bookmarkEnd w:id="154"/>
      <w:r/>
      <w:bookmarkEnd w:id="155"/>
      <w:r/>
      <w:r/>
    </w:p>
    <w:p>
      <w:pPr>
        <w:pStyle w:val="1405"/>
        <w:numPr>
          <w:ilvl w:val="0"/>
          <w:numId w:val="0"/>
        </w:numPr>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bookmarkStart w:id="156" w:name="_Toc513029235"/>
      <w:r/>
      <w:bookmarkStart w:id="157" w:name="_Toc20823307"/>
      <w:r/>
      <w:bookmarkStart w:id="158" w:name="_Toc16938551"/>
      <w:r>
        <w:rPr>
          <w:rFonts w:hint="eastAsia" w:ascii="仿宋" w:hAnsi="仿宋" w:eastAsia="仿宋" w:cs="Times New Roman"/>
          <w:b/>
          <w:bCs/>
          <w:color w:val="auto"/>
          <w:sz w:val="28"/>
          <w:szCs w:val="28"/>
          <w:highlight w:val="none"/>
          <w:lang w:val="en-US" w:eastAsia="zh-CN" w:bidi="ar-SA"/>
        </w:rPr>
        <w:t xml:space="preserve">27.异常低价审查</w:t>
      </w:r>
      <w:r/>
    </w:p>
    <w:p>
      <w:pPr>
        <w:pStyle w:val="1405"/>
        <w:numPr>
          <w:ilvl w:val="0"/>
          <w:numId w:val="0"/>
        </w:numPr>
        <w:ind w:firstLine="562"/>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val="en-US" w:eastAsia="zh-CN" w:bidi="ar-SA"/>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（1）投标（响应）报价低于全部通过符合性审查供应商投标（响应）报价平均值50%的，即投标（响应）报价</w:t>
      </w:r>
      <w:r>
        <w:rPr>
          <w:rFonts w:hint="eastAsia" w:ascii="微软雅黑" w:hAnsi="微软雅黑" w:eastAsia="微软雅黑" w:cs="微软雅黑"/>
          <w:b w:val="0"/>
          <w:bCs w:val="0"/>
          <w:color w:val="auto"/>
          <w:sz w:val="28"/>
          <w:szCs w:val="28"/>
          <w:highlight w:val="none"/>
          <w:lang w:val="en-US" w:eastAsia="zh-CN" w:bidi="ar-SA"/>
        </w:rPr>
        <w:t xml:space="preserve">＜</w:t>
      </w:r>
      <w:r>
        <w:rPr>
          <w:rFonts w:hint="eastAsia" w:ascii="仿宋" w:hAnsi="仿宋" w:eastAsia="仿宋" w:cs="Times New Roman"/>
          <w:b w:val="0"/>
          <w:bCs w:val="0"/>
          <w:color w:val="auto"/>
          <w:sz w:val="28"/>
          <w:szCs w:val="28"/>
          <w:highlight w:val="none"/>
          <w:lang w:val="en-US" w:eastAsia="zh-CN" w:bidi="ar-SA"/>
        </w:rPr>
        <w:t xml:space="preserve">全部通过符合性审查供应商投标（响应）报价平均值×50%；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（2）投标（响应）报价低于通过符合性审查的次低报价供应商投标（响应）报价50%的，即投标（响应）报价</w:t>
      </w:r>
      <w:r>
        <w:rPr>
          <w:rFonts w:hint="eastAsia" w:ascii="微软雅黑" w:hAnsi="微软雅黑" w:eastAsia="微软雅黑" w:cs="微软雅黑"/>
          <w:b w:val="0"/>
          <w:bCs w:val="0"/>
          <w:color w:val="auto"/>
          <w:sz w:val="28"/>
          <w:szCs w:val="28"/>
          <w:highlight w:val="none"/>
          <w:lang w:val="en-US" w:eastAsia="zh-CN" w:bidi="ar-SA"/>
        </w:rPr>
        <w:t xml:space="preserve">&lt;</w:t>
      </w:r>
      <w:r>
        <w:rPr>
          <w:rFonts w:hint="eastAsia" w:ascii="仿宋" w:hAnsi="仿宋" w:eastAsia="仿宋" w:cs="Times New Roman"/>
          <w:b w:val="0"/>
          <w:bCs w:val="0"/>
          <w:color w:val="auto"/>
          <w:sz w:val="28"/>
          <w:szCs w:val="28"/>
          <w:highlight w:val="none"/>
          <w:lang w:val="en-US" w:eastAsia="zh-CN" w:bidi="ar-SA"/>
        </w:rPr>
        <w:t xml:space="preserve">通过符合性审查的次低报价供应商投标（响应）报价×50%；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（3）投标（响应）报价低于采购项目最高限价45%的，即投标（响应）报价</w:t>
      </w:r>
      <w:r>
        <w:rPr>
          <w:rFonts w:hint="eastAsia" w:ascii="微软雅黑" w:hAnsi="微软雅黑" w:eastAsia="微软雅黑" w:cs="微软雅黑"/>
          <w:b w:val="0"/>
          <w:bCs w:val="0"/>
          <w:color w:val="auto"/>
          <w:sz w:val="28"/>
          <w:szCs w:val="28"/>
          <w:highlight w:val="none"/>
          <w:lang w:val="en-US" w:eastAsia="zh-CN" w:bidi="ar-SA"/>
        </w:rPr>
        <w:t xml:space="preserve">&lt;</w:t>
      </w:r>
      <w:r>
        <w:rPr>
          <w:rFonts w:hint="eastAsia" w:ascii="仿宋" w:hAnsi="仿宋" w:eastAsia="仿宋" w:cs="Times New Roman"/>
          <w:b w:val="0"/>
          <w:bCs w:val="0"/>
          <w:color w:val="auto"/>
          <w:sz w:val="28"/>
          <w:szCs w:val="28"/>
          <w:highlight w:val="none"/>
          <w:lang w:val="en-US" w:eastAsia="zh-CN" w:bidi="ar-SA"/>
        </w:rPr>
        <w:t xml:space="preserve">采购项目最高限价×45%； </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（4）评审委员会基于专业判断，认为供应商报价过低，有可能影响产品质量或者不能诚信履约的其他情形。</w:t>
      </w:r>
      <w:r/>
    </w:p>
    <w:p>
      <w:pPr>
        <w:ind w:firstLine="480"/>
        <w:keepLines w:val="0"/>
        <w:keepNext w:val="0"/>
        <w:pageBreakBefore w:val="0"/>
        <w:spacing w:line="480" w:lineRule="exact"/>
        <w:widowControl w:val="off"/>
        <w:rPr>
          <w:rFonts w:hint="eastAsia" w:ascii="仿宋" w:hAnsi="仿宋" w:eastAsia="仿宋" w:cs="Times New Roman"/>
          <w:b w:val="0"/>
          <w:bCs w:val="0"/>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27.2评审委员会启动异常低价投标（响应）审查后，属于前述第1项至第4项情形的，应当要求相关供应商在评审现场合理的时间内对投标（响应）价格作出解释，并提供项目具体成本测算等与报价合理性相关的书面说明及必要的佐证材料，包括但不限于原材料成本、人工成本、制造费用等，给予相关供应商的合理时间一般不少于30分钟。其中，属于第3项情形，供应商已随投标（响应）文件一并提交相关书面说明及必要的佐证材料的，在评审现场可不再重复提交。</w:t>
      </w:r>
      <w:r/>
    </w:p>
    <w:p>
      <w:pPr>
        <w:ind w:firstLine="480"/>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val="0"/>
          <w:bCs w:val="0"/>
          <w:color w:val="auto"/>
          <w:sz w:val="28"/>
          <w:szCs w:val="28"/>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佐证材料，或者提供的书面说明、佐证材料不能证明其报价合理性的，评审委员会应当将其作为无效投标（响应）处理。</w:t>
      </w:r>
      <w:r>
        <w:rPr>
          <w:rFonts w:hint="eastAsia" w:ascii="仿宋" w:hAnsi="仿宋" w:eastAsia="仿宋" w:cs="Times New Roman"/>
          <w:b/>
          <w:bCs/>
          <w:color w:val="auto"/>
          <w:sz w:val="28"/>
          <w:szCs w:val="28"/>
          <w:highlight w:val="none"/>
          <w:lang w:val="en-US" w:eastAsia="zh-CN" w:bidi="ar-SA"/>
        </w:rPr>
        <w:t xml:space="preserve"> </w:t>
      </w:r>
      <w:r/>
    </w:p>
    <w:p>
      <w:pPr>
        <w:keepLines w:val="0"/>
        <w:keepNext w:val="0"/>
        <w:pageBreakBefore w:val="0"/>
        <w:spacing w:line="480" w:lineRule="exact"/>
        <w:widowControl w:val="off"/>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val="en-US" w:eastAsia="zh-CN"/>
        </w:rPr>
        <w:t xml:space="preserve">28.</w:t>
      </w:r>
      <w:r>
        <w:rPr>
          <w:rFonts w:hint="eastAsia" w:ascii="仿宋" w:hAnsi="仿宋" w:eastAsia="仿宋" w:cs="仿宋"/>
          <w:b/>
          <w:color w:val="auto"/>
          <w:sz w:val="28"/>
          <w:highlight w:val="none"/>
          <w:lang w:eastAsia="zh-CN"/>
        </w:rPr>
        <w:t xml:space="preserve">政府采购政策功能落实</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本项目对小型和微型企业产品给予10%的扣除价格，用扣除后的价格参与评审。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供应商需按照采购文件的要求提供相应的《小型、微型企业声明函》。</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2残疾人福利单位价格扣除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本项目对残疾人福利性单位视同小型、微型企业，给予10%的价格扣除，用扣除后的价格参与评审。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残疾人福利单位需按照采购文件的要求提供《残疾人福利性单位声明函》。</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残疾人福利单位标准请参照《关于促进残疾人就业政府采购政策的通知》（财库〔2017〕141号）。</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3监狱和戒毒企业价格扣除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本项目对监狱和戒毒企业（简称监狱企业）视同小型、微型企业，给予10%的价格扣除，用扣除后的价格参与评审。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监狱企业参加政府采购活动时，需提供由省级以上监狱管理局、戒毒管理局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含新疆生产建设兵团</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出具的属于监狱企业的证明文件。供应商如不提供上述证明文件，价格将不做相应扣除。</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监狱企业标准请参照《关于政府采购支持监狱企业发展有关问题的通知》（财库</w:t>
      </w:r>
      <w:r>
        <w:rPr>
          <w:rFonts w:hint="eastAsia" w:ascii="仿宋" w:hAnsi="仿宋" w:eastAsia="仿宋" w:cs="仿宋"/>
          <w:color w:val="auto"/>
          <w:sz w:val="28"/>
          <w:szCs w:val="28"/>
          <w:highlight w:val="none"/>
          <w:lang w:eastAsia="zh-CN"/>
        </w:rPr>
        <w:t xml:space="preserve">〔2014〕68号</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4疾人福利单位、监狱企业属于小型、微型企业的，不重复享受政策。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6联合体各方均为小型、微型企业（残疾人福利单位、监狱企业）的，联合体享受5%价格扣除，用扣除后的价格参与评审。</w:t>
      </w:r>
      <w:r/>
    </w:p>
    <w:p>
      <w:pPr>
        <w:ind w:firstLine="560"/>
        <w:keepLines w:val="0"/>
        <w:keepNext w:val="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u w:val="single"/>
          <w:lang w:val="en-US" w:eastAsia="zh-CN"/>
        </w:rPr>
        <w:t xml:space="preserve">28.</w:t>
      </w:r>
      <w:r>
        <w:rPr>
          <w:rFonts w:hint="eastAsia" w:ascii="仿宋" w:hAnsi="仿宋" w:eastAsia="仿宋" w:cs="仿宋"/>
          <w:b/>
          <w:color w:val="auto"/>
          <w:sz w:val="28"/>
          <w:szCs w:val="28"/>
          <w:highlight w:val="none"/>
          <w:u w:val="single"/>
        </w:rPr>
        <w:t xml:space="preserve">7专门面向中小企业采购的项目或者采购包，不再执行价格评审优惠的扶持政策。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w:t>
      </w:r>
      <w:r>
        <w:rPr>
          <w:rFonts w:hint="eastAsia" w:ascii="仿宋" w:hAnsi="仿宋" w:eastAsia="仿宋" w:cs="仿宋"/>
          <w:color w:val="auto"/>
          <w:sz w:val="28"/>
          <w:szCs w:val="28"/>
          <w:highlight w:val="none"/>
        </w:rPr>
        <w:t xml:space="preserve">8强制采购节能产品。政府强制采购节能产品是指</w:t>
      </w:r>
      <w:bookmarkStart w:id="159" w:name="OLE_LINK209"/>
      <w:r>
        <w:rPr>
          <w:rFonts w:hint="eastAsia" w:ascii="仿宋" w:hAnsi="仿宋" w:eastAsia="仿宋" w:cs="仿宋"/>
          <w:color w:val="auto"/>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159"/>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强制采购产品的，供应商须按照上述要求提供相关产品的证明材料，否则投标（响应）无效。</w:t>
      </w:r>
      <w:bookmarkStart w:id="160" w:name="OLE_LINK210"/>
      <w:r/>
      <w:r/>
    </w:p>
    <w:p>
      <w:pPr>
        <w:ind w:firstLine="560"/>
        <w:jc w:val="left"/>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w:t>
      </w:r>
      <w:r>
        <w:rPr>
          <w:rFonts w:hint="eastAsia" w:ascii="仿宋" w:hAnsi="仿宋" w:eastAsia="仿宋" w:cs="仿宋"/>
          <w:color w:val="auto"/>
          <w:sz w:val="28"/>
          <w:szCs w:val="28"/>
          <w:highlight w:val="none"/>
        </w:rPr>
        <w:t xml:space="preserve">绿色采购</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本次采购需切实履行绿色采购，参照《江苏省财政</w:t>
      </w:r>
      <w:r>
        <w:rPr>
          <w:rFonts w:hint="eastAsia" w:ascii="仿宋" w:hAnsi="仿宋" w:eastAsia="仿宋" w:cs="仿宋"/>
          <w:color w:val="auto"/>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160"/>
      <w:r>
        <w:rPr>
          <w:rFonts w:hint="eastAsia" w:ascii="仿宋" w:hAnsi="仿宋" w:eastAsia="仿宋" w:cs="仿宋"/>
          <w:color w:val="auto"/>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28.9.1</w:t>
      </w:r>
      <w:r>
        <w:rPr>
          <w:rFonts w:hint="eastAsia" w:ascii="仿宋" w:hAnsi="仿宋" w:eastAsia="仿宋" w:cs="仿宋"/>
          <w:color w:val="auto"/>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28.9.2</w:t>
      </w:r>
      <w:r>
        <w:rPr>
          <w:rFonts w:hint="eastAsia" w:ascii="仿宋" w:hAnsi="仿宋" w:eastAsia="仿宋" w:cs="仿宋"/>
          <w:color w:val="auto"/>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w:t>
      </w:r>
      <w:r>
        <w:rPr>
          <w:rFonts w:hint="eastAsia" w:ascii="仿宋" w:hAnsi="仿宋" w:eastAsia="仿宋" w:cs="仿宋"/>
          <w:color w:val="auto"/>
          <w:sz w:val="28"/>
          <w:szCs w:val="28"/>
          <w:highlight w:val="none"/>
          <w:lang w:eastAsia="zh-CN"/>
        </w:rPr>
        <w:t xml:space="preserve">胶黏剂</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28.9.3</w:t>
      </w:r>
      <w:r>
        <w:rPr>
          <w:rFonts w:hint="eastAsia" w:ascii="仿宋" w:hAnsi="仿宋" w:eastAsia="仿宋" w:cs="仿宋"/>
          <w:color w:val="auto"/>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b/>
          <w:bCs/>
          <w:color w:val="auto"/>
          <w:sz w:val="28"/>
          <w:szCs w:val="28"/>
          <w:highlight w:val="none"/>
        </w:rPr>
        <w:t xml:space="preserve">采购本国产品的支持政策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.1</w:t>
      </w:r>
      <w:r>
        <w:rPr>
          <w:rFonts w:hint="eastAsia" w:ascii="仿宋" w:hAnsi="仿宋" w:eastAsia="仿宋" w:cs="仿宋"/>
          <w:b/>
          <w:bCs/>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.2当采购项目或者采购包中含有多种产品，</w:t>
      </w:r>
      <w:r>
        <w:rPr>
          <w:rFonts w:hint="eastAsia" w:ascii="仿宋" w:hAnsi="仿宋" w:eastAsia="仿宋" w:cs="仿宋"/>
          <w:b w:val="0"/>
          <w:bCs w:val="0"/>
          <w:color w:val="auto"/>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auto"/>
          <w:sz w:val="28"/>
          <w:szCs w:val="28"/>
          <w:highlight w:val="none"/>
          <w:lang w:eastAsia="zh-CN"/>
        </w:rPr>
        <w:t xml:space="preserve">投标文件</w:t>
      </w:r>
      <w:r>
        <w:rPr>
          <w:rFonts w:hint="eastAsia" w:ascii="仿宋" w:hAnsi="仿宋" w:eastAsia="仿宋" w:cs="仿宋"/>
          <w:b w:val="0"/>
          <w:bCs w:val="0"/>
          <w:color w:val="auto"/>
          <w:sz w:val="28"/>
          <w:szCs w:val="28"/>
          <w:highlight w:val="none"/>
        </w:rPr>
        <w:t xml:space="preserve">格式”的“附件2投标分项报价表”中填写比例数值），</w:t>
      </w:r>
      <w:r>
        <w:rPr>
          <w:rFonts w:hint="eastAsia" w:ascii="仿宋" w:hAnsi="仿宋" w:eastAsia="仿宋" w:cs="仿宋"/>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.3供应商需按照</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的要求提供《关于符合本国产品标准的声明函》（以下简称《声明函》），如不提供将不享受本国产品价格评审优惠。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28.10</w:t>
      </w:r>
      <w:r>
        <w:rPr>
          <w:rFonts w:hint="eastAsia" w:ascii="仿宋" w:hAnsi="仿宋" w:eastAsia="仿宋" w:cs="仿宋"/>
          <w:color w:val="auto"/>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8"/>
          <w:szCs w:val="28"/>
          <w:highlight w:val="none"/>
          <w:lang w:eastAsia="zh-CN"/>
        </w:rPr>
        <w:t xml:space="preserve">招标文件</w:t>
      </w:r>
      <w:r>
        <w:rPr>
          <w:rFonts w:hint="eastAsia" w:ascii="仿宋" w:hAnsi="仿宋" w:eastAsia="仿宋" w:cs="仿宋"/>
          <w:color w:val="auto"/>
          <w:sz w:val="28"/>
          <w:szCs w:val="28"/>
          <w:highlight w:val="none"/>
        </w:rPr>
        <w:t xml:space="preserve">规定的，供应商提供的相关产品视为不符合本国产品标准。</w:t>
      </w:r>
      <w:r/>
    </w:p>
    <w:p>
      <w:pPr>
        <w:keepLines/>
        <w:keepNext/>
        <w:pageBreakBefore w:val="0"/>
        <w:spacing w:line="480" w:lineRule="exact"/>
        <w:widowControl w:val="off"/>
        <w:rPr>
          <w:rFonts w:hint="eastAsia" w:ascii="仿宋" w:hAnsi="仿宋" w:eastAsia="仿宋" w:cs="Times New Roman"/>
          <w:b/>
          <w:bCs/>
          <w:color w:val="auto"/>
          <w:sz w:val="28"/>
          <w:szCs w:val="28"/>
          <w:highlight w:val="none"/>
        </w:rPr>
        <w:outlineLvl w:val="3"/>
      </w:pPr>
      <w:r>
        <w:rPr>
          <w:rFonts w:hint="eastAsia" w:ascii="仿宋" w:hAnsi="仿宋" w:eastAsia="仿宋" w:cs="Times New Roman"/>
          <w:b/>
          <w:bCs/>
          <w:color w:val="auto"/>
          <w:sz w:val="28"/>
          <w:szCs w:val="28"/>
          <w:highlight w:val="none"/>
          <w:lang w:val="en-US" w:eastAsia="zh-CN" w:bidi="ar-SA"/>
        </w:rPr>
        <w:t xml:space="preserve">29.无效投标条款和废标条款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29.1无效投标条款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 投标人在苏采云系统规定的时间内未成功解密电子投标文件的。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29.1.2 投标人未按照招标文件要求上传电子投标文件的。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29.1.3投标人同一分包提交两个（含两个）以上不同的投标报价的。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29.1.4投标人不具备招标文件中规定资格要求的。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29.1.5投标人的报价超过了采购预算或最高限价的。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29.1.6未通过符合性审查的。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29.1.7不符合招标文件中规定的实质性要求的（详见本招标文件第四章采购需求中“四、采购需求中必须满足的实质性要求”）。</w:t>
      </w:r>
      <w:r/>
    </w:p>
    <w:p>
      <w:pPr>
        <w:ind w:firstLine="560"/>
        <w:jc w:val="left"/>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29.1.9 投标文件含有采购人不能接受的附加条件的。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29.1.10评标委员会认为投标人的报价明显低于其他通过符合性审查投标人的报价，有可能影响产品质量或者不能诚信履约的，将通过苏采云系统要求其在合理的时间内提供说明，必要时提交相关佐证材料；投标人不能证明其报价合理性的，评标委员会应当将其作为无效投标处理。</w:t>
      </w:r>
      <w:r/>
    </w:p>
    <w:p>
      <w:pPr>
        <w:ind w:firstLine="56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val="en-US" w:eastAsia="zh-CN" w:bidi="ar-SA"/>
        </w:rPr>
        <w:t xml:space="preserve">29.1.11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29.1.12 投标文件未按照招标文件要求加盖CA电子公章的。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29.1.13投标人的商务技术部分得分相差异常悬殊，评标委员会一致认为得分畸低者有可能影响产品质量或者不能诚信履约的。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29.1.14启动异常低价投标审查后，投标人不提供书面说明、佐证材料，或者提供的书面说明、佐证材料不能证明其报价合理性的。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29.1.15其他法律法规及本招标文件规定的属于无效投标的情形。</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29.2废标条款</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29.2.1符合专业条件的供应商或者对招标文件作实质响应的供应商不足三家的。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29.2.2出现影响采购公正的违法、违规行为的。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29.2.3因重大变故，采购任务取消的。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29.2.4评标委员会认定招标文件存在歧义、重大缺陷导致评审工作无法进行。</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29.2.5 因苏采云系统故障原因造成开标不成功的。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29.3 投标截止时间结束后参加投标的供应商不足三家的处理：</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29.3.1如出现投标截止时间结束后参加投标的供应商或者在评标期间对招标文件做出实质响应的供应商不足三家情况，按政府采购相关规定执行。</w:t>
      </w:r>
      <w:r/>
    </w:p>
    <w:p>
      <w:pPr>
        <w:keepLines/>
        <w:keepNext/>
        <w:pageBreakBefore w:val="0"/>
        <w:spacing w:before="120" w:after="120" w:line="480" w:lineRule="exact"/>
        <w:widowControl w:val="off"/>
        <w:rPr>
          <w:rFonts w:hint="eastAsia" w:ascii="仿宋" w:hAnsi="仿宋" w:eastAsia="仿宋" w:cs="Times New Roman"/>
          <w:color w:val="auto"/>
          <w:sz w:val="28"/>
          <w:szCs w:val="28"/>
          <w:highlight w:val="none"/>
        </w:rPr>
        <w:outlineLvl w:val="2"/>
      </w:pPr>
      <w:r/>
      <w:bookmarkStart w:id="161" w:name="_Toc120614219"/>
      <w:r>
        <w:rPr>
          <w:rFonts w:hint="eastAsia" w:ascii="仿宋" w:hAnsi="仿宋" w:eastAsia="仿宋" w:cs="Times New Roman"/>
          <w:color w:val="auto"/>
          <w:sz w:val="28"/>
          <w:szCs w:val="28"/>
          <w:highlight w:val="none"/>
          <w:lang w:val="en-US" w:eastAsia="zh-CN" w:bidi="ar-SA"/>
        </w:rPr>
        <w:t xml:space="preserve">六、</w:t>
      </w:r>
      <w:bookmarkEnd w:id="156"/>
      <w:r/>
      <w:bookmarkEnd w:id="157"/>
      <w:r/>
      <w:bookmarkEnd w:id="158"/>
      <w:r>
        <w:rPr>
          <w:rFonts w:hint="eastAsia" w:ascii="仿宋" w:hAnsi="仿宋" w:eastAsia="仿宋" w:cs="Times New Roman"/>
          <w:color w:val="auto"/>
          <w:sz w:val="28"/>
          <w:szCs w:val="28"/>
          <w:highlight w:val="none"/>
          <w:lang w:val="en-US" w:eastAsia="zh-CN" w:bidi="ar-SA"/>
        </w:rPr>
        <w:t xml:space="preserve">定标</w:t>
      </w:r>
      <w:bookmarkEnd w:id="161"/>
      <w:r/>
      <w:r/>
    </w:p>
    <w:p>
      <w:pPr>
        <w:keepLines/>
        <w:keepNext/>
        <w:pageBreakBefore w:val="0"/>
        <w:spacing w:line="480" w:lineRule="exact"/>
        <w:widowControl w:val="off"/>
        <w:rPr>
          <w:rFonts w:hint="eastAsia" w:ascii="仿宋" w:hAnsi="仿宋" w:eastAsia="仿宋" w:cs="Times New Roman"/>
          <w:color w:val="auto"/>
          <w:sz w:val="28"/>
          <w:szCs w:val="28"/>
          <w:highlight w:val="none"/>
        </w:rPr>
        <w:outlineLvl w:val="3"/>
      </w:pPr>
      <w:r/>
      <w:bookmarkStart w:id="162" w:name="_Toc513029238"/>
      <w:r/>
      <w:bookmarkStart w:id="163" w:name="_Toc20823310"/>
      <w:r/>
      <w:bookmarkStart w:id="164" w:name="_Toc16938554"/>
      <w:r>
        <w:rPr>
          <w:rFonts w:hint="eastAsia" w:ascii="仿宋" w:hAnsi="仿宋" w:eastAsia="仿宋" w:cs="Times New Roman"/>
          <w:color w:val="auto"/>
          <w:sz w:val="28"/>
          <w:szCs w:val="28"/>
          <w:highlight w:val="none"/>
          <w:lang w:val="en-US" w:eastAsia="zh-CN" w:bidi="ar-SA"/>
        </w:rPr>
        <w:t xml:space="preserve">30.</w:t>
      </w:r>
      <w:bookmarkEnd w:id="162"/>
      <w:r>
        <w:rPr>
          <w:rFonts w:hint="eastAsia" w:ascii="仿宋" w:hAnsi="仿宋" w:eastAsia="仿宋" w:cs="Times New Roman"/>
          <w:color w:val="auto"/>
          <w:sz w:val="28"/>
          <w:szCs w:val="28"/>
          <w:highlight w:val="none"/>
          <w:lang w:val="en-US" w:eastAsia="zh-CN" w:bidi="ar-SA"/>
        </w:rPr>
        <w:t xml:space="preserve">确定</w:t>
      </w:r>
      <w:bookmarkEnd w:id="163"/>
      <w:r/>
      <w:bookmarkEnd w:id="164"/>
      <w:r>
        <w:rPr>
          <w:rFonts w:hint="eastAsia" w:ascii="仿宋" w:hAnsi="仿宋" w:eastAsia="仿宋" w:cs="Times New Roman"/>
          <w:color w:val="auto"/>
          <w:sz w:val="28"/>
          <w:szCs w:val="28"/>
          <w:highlight w:val="none"/>
          <w:lang w:val="en-US" w:eastAsia="zh-CN" w:bidi="ar-SA"/>
        </w:rPr>
        <w:t xml:space="preserve">中标单位</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30.1中标候选人的选取原则和数量见招标文件第五章规定。 </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30.2 采购人应根据评委会推荐的中标候选人确定中标人。</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30.3 南通市教育技术中心将在“江苏政府采购网”发布中标公告，公告期限为1个工作日。</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 若有充分证据证明，中标人出现下列情况之一的，一经查实，将被取消中标资格：</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30.4.1提供虚假材料谋取中标的。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30.4.2向采购人、南通市教育技术中心行贿或者提供其他不正当利益的。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30.4.3属于本文件规定的无效条件，但在评标过程中又未被评委会发现的。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30.4.4与采购人或者其他供应商恶意串通的。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30.4.5采取不正当手段诋毁、排挤其他供应商的。</w:t>
      </w:r>
      <w:r/>
    </w:p>
    <w:p>
      <w:pPr>
        <w:ind w:firstLine="560"/>
        <w:pageBreakBefore w:val="0"/>
        <w:spacing w:line="480" w:lineRule="exact"/>
        <w:widowControl w:val="off"/>
        <w:rPr>
          <w:rFonts w:hint="eastAsia" w:ascii="仿宋" w:hAnsi="仿宋" w:eastAsia="仿宋" w:cs="Times New Roman"/>
          <w:color w:val="auto"/>
          <w:sz w:val="28"/>
          <w:szCs w:val="28"/>
          <w:highlight w:val="none"/>
        </w:rPr>
      </w:pPr>
      <w:r/>
      <w:bookmarkStart w:id="165" w:name="_Toc200451960"/>
      <w:r>
        <w:rPr>
          <w:rFonts w:hint="eastAsia" w:ascii="仿宋" w:hAnsi="仿宋" w:eastAsia="仿宋" w:cs="Times New Roman"/>
          <w:color w:val="auto"/>
          <w:sz w:val="28"/>
          <w:szCs w:val="28"/>
          <w:highlight w:val="none"/>
          <w:lang w:val="en-US" w:eastAsia="zh-CN" w:bidi="ar-SA"/>
        </w:rPr>
        <w:t xml:space="preserve">30.5.有下列情形之一的，视为投标人串通投标，投标无效：</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30.5.1不同投标人的投标文件由同一单位或者个人编制；</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30.5.2不同投标人委托同一单位或者个人办理投标事宜；</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30.5.3 不同投标人的投标文件载明的项目管理成员或者联系人员为同一人；</w:t>
      </w:r>
      <w:r/>
    </w:p>
    <w:p>
      <w:pPr>
        <w:ind w:firstLine="56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30.5.4不同投标人的投标文件异常一致或者投标报价呈规律性差异；</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val="en-US" w:eastAsia="zh-CN"/>
        </w:rPr>
        <w:t xml:space="preserve">31.</w:t>
      </w:r>
      <w:r>
        <w:rPr>
          <w:rFonts w:hint="eastAsia" w:ascii="仿宋" w:hAnsi="仿宋" w:eastAsia="仿宋"/>
          <w:bCs/>
          <w:color w:val="auto"/>
          <w:sz w:val="28"/>
          <w:szCs w:val="28"/>
          <w:highlight w:val="none"/>
        </w:rPr>
        <w:t xml:space="preserve">质疑处理</w:t>
      </w:r>
      <w:bookmarkEnd w:id="165"/>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.1 提出质疑的供应商应当是参与所质疑项目采购活动的供应商。潜在供应商依法获取其可质疑的采购文件的，可以对采购文件提出质疑。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p>
    <w:p>
      <w:pPr>
        <w:ind w:firstLine="56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.2.1</w:t>
      </w:r>
      <w:r>
        <w:rPr>
          <w:rFonts w:ascii="仿宋" w:hAnsi="仿宋" w:eastAsia="仿宋" w:cs="宋体"/>
          <w:color w:val="auto"/>
          <w:sz w:val="28"/>
          <w:szCs w:val="28"/>
          <w:highlight w:val="none"/>
        </w:rPr>
        <w:t xml:space="preserve">对可以质疑的采购文件提出质疑的，为收到采购文件之日或者采购文件公告期限届满之日；</w:t>
      </w:r>
      <w:r>
        <w:rPr>
          <w:rFonts w:ascii="仿宋" w:hAnsi="仿宋" w:eastAsia="仿宋" w:cs="宋体"/>
          <w:color w:val="auto"/>
          <w:sz w:val="28"/>
          <w:szCs w:val="28"/>
          <w:highlight w:val="none"/>
        </w:rPr>
        <w:br w:type="textWrapping" w:clear="all"/>
      </w:r>
      <w:r>
        <w:rPr>
          <w:rFonts w:ascii="仿宋" w:hAnsi="仿宋" w:eastAsia="仿宋" w:cs="宋体"/>
          <w:color w:val="auto"/>
          <w:sz w:val="28"/>
          <w:szCs w:val="28"/>
          <w:highlight w:val="none"/>
        </w:rPr>
        <w:t xml:space="preserve">　　</w:t>
      </w: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.2.2</w:t>
      </w:r>
      <w:r>
        <w:rPr>
          <w:rFonts w:ascii="仿宋" w:hAnsi="仿宋" w:eastAsia="仿宋" w:cs="宋体"/>
          <w:color w:val="auto"/>
          <w:sz w:val="28"/>
          <w:szCs w:val="28"/>
          <w:highlight w:val="none"/>
        </w:rPr>
        <w:t xml:space="preserve">对采购过程提出质疑的，为各采购程序环节结束之日；</w:t>
      </w:r>
      <w:r>
        <w:rPr>
          <w:rFonts w:ascii="仿宋" w:hAnsi="仿宋" w:eastAsia="仿宋" w:cs="宋体"/>
          <w:color w:val="auto"/>
          <w:sz w:val="28"/>
          <w:szCs w:val="28"/>
          <w:highlight w:val="none"/>
        </w:rPr>
        <w:br w:type="textWrapping" w:clear="all"/>
      </w:r>
      <w:r>
        <w:rPr>
          <w:rFonts w:ascii="仿宋" w:hAnsi="仿宋" w:eastAsia="仿宋" w:cs="宋体"/>
          <w:color w:val="auto"/>
          <w:sz w:val="28"/>
          <w:szCs w:val="28"/>
          <w:highlight w:val="none"/>
        </w:rPr>
        <w:t xml:space="preserve">　　</w:t>
      </w: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.2.3</w:t>
      </w:r>
      <w:r>
        <w:rPr>
          <w:rFonts w:ascii="仿宋" w:hAnsi="仿宋" w:eastAsia="仿宋" w:cs="宋体"/>
          <w:color w:val="auto"/>
          <w:sz w:val="28"/>
          <w:szCs w:val="28"/>
          <w:highlight w:val="none"/>
        </w:rPr>
        <w:t xml:space="preserve">对中标或者成交结果提出质疑的，为中标或者成交结果公告期限届满之日。</w:t>
      </w:r>
      <w:r/>
    </w:p>
    <w:p>
      <w:pPr>
        <w:ind w:firstLine="560"/>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auto"/>
          <w:sz w:val="28"/>
          <w:szCs w:val="28"/>
          <w:highlight w:val="none"/>
        </w:rPr>
        <w:t xml:space="preserve">采购人</w:t>
      </w:r>
      <w:r>
        <w:rPr>
          <w:rFonts w:hint="eastAsia" w:ascii="仿宋" w:hAnsi="仿宋" w:eastAsia="仿宋" w:cs="宋体"/>
          <w:color w:val="auto"/>
          <w:sz w:val="28"/>
          <w:szCs w:val="28"/>
          <w:highlight w:val="none"/>
        </w:rPr>
        <w:t xml:space="preserve">将只对供应商第一次质疑作出答复。</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right="119" w:firstLine="560"/>
        <w:pageBreakBefore w:val="0"/>
        <w:spacing w:line="480" w:lineRule="exact"/>
        <w:widowControl w:val="off"/>
        <w:rPr>
          <w:rFonts w:hint="eastAsia" w:ascii="仿宋" w:hAnsi="仿宋" w:eastAsia="仿宋" w:cs="宋体"/>
          <w:b/>
          <w:bCs/>
          <w:color w:val="auto"/>
          <w:sz w:val="28"/>
          <w:szCs w:val="28"/>
          <w:highlight w:val="none"/>
        </w:rPr>
      </w:pPr>
      <w:r>
        <w:rPr>
          <w:rFonts w:hint="eastAsia" w:ascii="仿宋" w:hAnsi="仿宋" w:eastAsia="仿宋"/>
          <w:b/>
          <w:bCs/>
          <w:color w:val="auto"/>
          <w:sz w:val="28"/>
          <w:szCs w:val="28"/>
          <w:highlight w:val="none"/>
          <w:lang w:val="en-US" w:eastAsia="zh-CN"/>
        </w:rPr>
        <w:t xml:space="preserve">31</w:t>
      </w:r>
      <w:r>
        <w:rPr>
          <w:rFonts w:hint="eastAsia" w:ascii="仿宋" w:hAnsi="仿宋" w:eastAsia="仿宋"/>
          <w:b/>
          <w:bCs/>
          <w:color w:val="auto"/>
          <w:sz w:val="28"/>
          <w:szCs w:val="28"/>
          <w:highlight w:val="none"/>
        </w:rPr>
        <w:t xml:space="preserve">.4 </w:t>
      </w:r>
      <w:r>
        <w:rPr>
          <w:rFonts w:hint="eastAsia" w:ascii="仿宋" w:hAnsi="仿宋" w:eastAsia="仿宋" w:cs="宋体"/>
          <w:b/>
          <w:bCs/>
          <w:color w:val="auto"/>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采购人及南通市教育技术中心只接收以纸质原件形式送达的质疑</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建议供应商尽量通过邮寄方式提交质疑（采购人和南通市教育技术中心不接受无快递运</w:t>
      </w:r>
      <w:r>
        <w:rPr>
          <w:rFonts w:ascii="仿宋" w:hAnsi="仿宋" w:eastAsia="仿宋"/>
          <w:b/>
          <w:bCs/>
          <w:color w:val="auto"/>
          <w:sz w:val="28"/>
          <w:szCs w:val="28"/>
          <w:highlight w:val="none"/>
        </w:rPr>
        <w:t xml:space="preserve">单号</w:t>
      </w:r>
      <w:r>
        <w:rPr>
          <w:rFonts w:hint="eastAsia" w:ascii="仿宋" w:hAnsi="仿宋" w:eastAsia="仿宋"/>
          <w:b/>
          <w:bCs/>
          <w:color w:val="auto"/>
          <w:sz w:val="28"/>
          <w:szCs w:val="28"/>
          <w:highlight w:val="none"/>
        </w:rPr>
        <w:t xml:space="preserve">的快递）。</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南通市教育技术中心质疑接收部门为采购科（快递运单上的收件人填写“采购科”即可），联系地址：南通市崇川区板桥路45号南通市教育技术中心采购科，联系电话：0513-85010355。</w:t>
      </w:r>
      <w:r/>
    </w:p>
    <w:p>
      <w:pPr>
        <w:ind w:firstLine="56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采购人质疑接收人及联系方式见招标文件第一章。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 以下情形的质疑不予受理</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.5.1 内容不符合《政府采购质疑和投诉办法》第十二条规定的质疑。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.5.2 超出政府采购法定期限的质疑。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.5.3 以传真、电子邮件等方式递交的非原件形式的质疑。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.5.4 未参加投标活动的供应商或在投标活动中自身权益未受到损害的供应商所提出的质疑。</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.5.5供应商组成联合体参加投标，联合体中任何一方或多方未按要求签字、盖章、加盖公章的质疑。</w:t>
      </w:r>
      <w:r/>
    </w:p>
    <w:p>
      <w:pPr>
        <w:ind w:firstLine="546"/>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31</w:t>
      </w:r>
      <w:r>
        <w:rPr>
          <w:rFonts w:hint="eastAsia" w:ascii="仿宋" w:hAnsi="仿宋" w:eastAsia="仿宋"/>
          <w:color w:val="auto"/>
          <w:sz w:val="28"/>
          <w:szCs w:val="28"/>
          <w:highlight w:val="none"/>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2</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中标通知书</w:t>
      </w:r>
      <w:r/>
    </w:p>
    <w:p>
      <w:pPr>
        <w:ind w:firstLine="560"/>
        <w:pageBreakBefore w:val="0"/>
        <w:spacing w:line="48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.l</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中标结果确定后，南通市教育技术中心将向中标人发出中标通知书。请中标人在中标结果公告届满之日起30日内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因未及时下载而造成的不利后果由中标人自行承担。</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20" w:after="120" w:line="480" w:lineRule="exact"/>
        <w:widowControl w:val="off"/>
        <w:rPr>
          <w:rFonts w:hint="eastAsia" w:ascii="仿宋" w:hAnsi="仿宋" w:eastAsia="仿宋"/>
          <w:b/>
          <w:bCs/>
          <w:color w:val="auto"/>
          <w:sz w:val="28"/>
          <w:szCs w:val="28"/>
          <w:highlight w:val="none"/>
        </w:rPr>
        <w:outlineLvl w:val="2"/>
      </w:pPr>
      <w:r/>
      <w:bookmarkStart w:id="166" w:name="_Toc16938552"/>
      <w:r/>
      <w:bookmarkStart w:id="167" w:name="_Toc20823308"/>
      <w:r/>
      <w:bookmarkStart w:id="168" w:name="_Toc120614220"/>
      <w:r/>
      <w:bookmarkStart w:id="169" w:name="_Toc513029236"/>
      <w:r>
        <w:rPr>
          <w:rFonts w:hint="eastAsia" w:ascii="仿宋" w:hAnsi="仿宋" w:eastAsia="仿宋"/>
          <w:b/>
          <w:bCs/>
          <w:color w:val="auto"/>
          <w:sz w:val="28"/>
          <w:szCs w:val="28"/>
          <w:highlight w:val="none"/>
        </w:rPr>
        <w:t xml:space="preserve">七、授予合同</w:t>
      </w:r>
      <w:bookmarkEnd w:id="166"/>
      <w:r/>
      <w:bookmarkEnd w:id="167"/>
      <w:r/>
      <w:bookmarkEnd w:id="168"/>
      <w:r/>
      <w:bookmarkEnd w:id="169"/>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bookmarkStart w:id="170" w:name="_Toc16938553"/>
      <w:r/>
      <w:bookmarkStart w:id="171" w:name="_Toc20823309"/>
      <w:r/>
      <w:bookmarkStart w:id="172" w:name="_Toc513029237"/>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 签订合同</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3</w:t>
      </w:r>
      <w:r>
        <w:rPr>
          <w:rFonts w:hint="eastAsia" w:ascii="仿宋" w:hAnsi="仿宋" w:eastAsia="仿宋"/>
          <w:color w:val="auto"/>
          <w:sz w:val="28"/>
          <w:szCs w:val="28"/>
          <w:highlight w:val="none"/>
        </w:rPr>
        <w:t xml:space="preserve">.l中标人应当在中标通知书发出之日起三十日内，按照招标文件确定的事项与采购人签订政府采购合同。</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招标文件、中标人的投标文件及招标过程中有关澄清、承诺文件均应作为合同附件。</w:t>
      </w:r>
      <w:r/>
    </w:p>
    <w:p>
      <w:pPr>
        <w:ind w:firstLine="70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pageBreakBefore w:val="0"/>
        <w:spacing w:line="480" w:lineRule="exact"/>
        <w:widowControl w:val="off"/>
        <w:rPr>
          <w:rFonts w:hint="eastAsia" w:ascii="仿宋" w:hAnsi="仿宋" w:eastAsia="仿宋"/>
          <w:bCs/>
          <w:color w:val="auto"/>
          <w:sz w:val="28"/>
          <w:szCs w:val="28"/>
          <w:highlight w:val="none"/>
        </w:rPr>
        <w:outlineLvl w:val="3"/>
      </w:pPr>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4</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货物（包含与货物相关的服务）的追加</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70"/>
      <w:r/>
      <w:bookmarkEnd w:id="171"/>
      <w:r/>
      <w:bookmarkEnd w:id="172"/>
      <w:r/>
      <w:r/>
    </w:p>
    <w:p>
      <w:pPr>
        <w:keepLines/>
        <w:keepNext/>
        <w:pageBreakBefore w:val="0"/>
        <w:spacing w:line="480" w:lineRule="exact"/>
        <w:widowControl w:val="off"/>
        <w:rPr>
          <w:rFonts w:ascii="仿宋" w:hAnsi="仿宋" w:eastAsia="仿宋"/>
          <w:bCs/>
          <w:color w:val="auto"/>
          <w:sz w:val="28"/>
          <w:szCs w:val="28"/>
          <w:highlight w:val="none"/>
        </w:rPr>
        <w:outlineLvl w:val="3"/>
      </w:pPr>
      <w:r/>
      <w:bookmarkStart w:id="173" w:name="_Toc479757207"/>
      <w:r/>
      <w:bookmarkStart w:id="174" w:name="_Toc120614221"/>
      <w:r/>
      <w:bookmarkStart w:id="175" w:name="_Toc513029242"/>
      <w:r/>
      <w:bookmarkStart w:id="176" w:name="_Toc20823314"/>
      <w:r/>
      <w:bookmarkStart w:id="177" w:name="_Toc16938558"/>
      <w:r>
        <w:rPr>
          <w:rFonts w:hint="eastAsia" w:ascii="仿宋" w:hAnsi="仿宋" w:eastAsia="仿宋"/>
          <w:bCs/>
          <w:color w:val="auto"/>
          <w:sz w:val="28"/>
          <w:szCs w:val="28"/>
          <w:highlight w:val="none"/>
          <w:lang w:eastAsia="zh-CN"/>
        </w:rPr>
        <w:t xml:space="preserve">3</w:t>
      </w:r>
      <w:r>
        <w:rPr>
          <w:rFonts w:hint="eastAsia" w:ascii="仿宋" w:hAnsi="仿宋" w:eastAsia="仿宋"/>
          <w:bCs/>
          <w:color w:val="auto"/>
          <w:sz w:val="28"/>
          <w:szCs w:val="28"/>
          <w:highlight w:val="none"/>
          <w:lang w:val="en-US" w:eastAsia="zh-CN"/>
        </w:rPr>
        <w:t xml:space="preserve">5</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政府采购履约资金扶持政策</w:t>
      </w:r>
      <w:r/>
    </w:p>
    <w:p>
      <w:pPr>
        <w:ind w:firstLine="555"/>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ageBreakBefore w:val="0"/>
        <w:spacing w:line="560" w:lineRule="exact"/>
        <w:widowControl w:val="off"/>
        <w:rPr>
          <w:rFonts w:hint="eastAsia"/>
          <w:color w:val="auto"/>
          <w:szCs w:val="21"/>
          <w:highlight w:val="none"/>
        </w:rPr>
      </w:pPr>
      <w:r>
        <w:rPr>
          <w:rFonts w:hint="eastAsia"/>
          <w:color w:val="auto"/>
          <w:szCs w:val="21"/>
          <w:highlight w:val="none"/>
        </w:rPr>
      </w:r>
      <w:r/>
    </w:p>
    <w:p>
      <w:pPr>
        <w:pageBreakBefore w:val="0"/>
        <w:spacing w:line="560" w:lineRule="exact"/>
        <w:widowControl w:val="off"/>
        <w:rPr>
          <w:rFonts w:hint="eastAsia" w:ascii="黑体" w:eastAsia="黑体"/>
          <w:bCs/>
          <w:color w:val="auto"/>
          <w:sz w:val="44"/>
          <w:szCs w:val="28"/>
          <w:highlight w:val="none"/>
        </w:rPr>
      </w:pPr>
      <w:r>
        <w:rPr>
          <w:rFonts w:hint="eastAsia" w:ascii="黑体" w:eastAsia="黑体"/>
          <w:bCs/>
          <w:color w:val="auto"/>
          <w:sz w:val="44"/>
          <w:szCs w:val="28"/>
          <w:highlight w:val="none"/>
        </w:rPr>
        <w:br w:type="page" w:clear="all"/>
      </w:r>
      <w:r/>
    </w:p>
    <w:p>
      <w:pPr>
        <w:jc w:val="center"/>
        <w:keepNext/>
        <w:rPr>
          <w:rFonts w:hint="eastAsia" w:ascii="黑体" w:eastAsia="黑体"/>
          <w:bCs/>
          <w:color w:val="auto"/>
          <w:sz w:val="44"/>
          <w:szCs w:val="28"/>
          <w:highlight w:val="none"/>
        </w:rPr>
        <w:outlineLvl w:val="0"/>
      </w:pPr>
      <w:r/>
      <w:bookmarkStart w:id="178" w:name="_Toc23781"/>
      <w:r>
        <w:rPr>
          <w:rFonts w:hint="eastAsia" w:ascii="黑体" w:eastAsia="黑体"/>
          <w:bCs/>
          <w:color w:val="auto"/>
          <w:sz w:val="44"/>
          <w:szCs w:val="28"/>
          <w:highlight w:val="none"/>
        </w:rPr>
        <w:t xml:space="preserve">第三章  合同</w:t>
      </w:r>
      <w:bookmarkEnd w:id="173"/>
      <w:r/>
      <w:bookmarkEnd w:id="174"/>
      <w:r/>
      <w:bookmarkEnd w:id="175"/>
      <w:r/>
      <w:bookmarkEnd w:id="176"/>
      <w:r/>
      <w:bookmarkEnd w:id="177"/>
      <w:r>
        <w:rPr>
          <w:rFonts w:hint="eastAsia" w:ascii="黑体" w:eastAsia="黑体"/>
          <w:bCs/>
          <w:color w:val="auto"/>
          <w:sz w:val="44"/>
          <w:szCs w:val="28"/>
          <w:highlight w:val="none"/>
        </w:rPr>
        <w:t xml:space="preserve">文本</w:t>
      </w:r>
      <w:bookmarkEnd w:id="178"/>
      <w:r/>
      <w:bookmarkStart w:id="179" w:name="_Hlt16619369"/>
      <w:r/>
      <w:bookmarkEnd w:id="179"/>
      <w:r/>
      <w:bookmarkStart w:id="180" w:name="_Hlt16619350"/>
      <w:r/>
      <w:bookmarkStart w:id="181" w:name="_Toc16938590"/>
      <w:r/>
      <w:bookmarkStart w:id="182" w:name="_Toc120614244"/>
      <w:r/>
      <w:bookmarkStart w:id="183" w:name="_Toc20823346"/>
      <w:r/>
      <w:bookmarkStart w:id="184" w:name="_Toc462564139"/>
      <w:r/>
      <w:bookmarkStart w:id="185" w:name="_Toc479757211"/>
      <w:r/>
      <w:r/>
    </w:p>
    <w:p>
      <w:pPr>
        <w:jc w:val="center"/>
        <w:rPr>
          <w:rFonts w:ascii="宋体" w:hAnsi="宋体" w:cs="宋体"/>
          <w:b/>
          <w:bCs/>
          <w:color w:val="auto"/>
          <w:spacing w:val="-20"/>
          <w:sz w:val="48"/>
          <w:szCs w:val="48"/>
          <w:highlight w:val="none"/>
        </w:rPr>
      </w:pPr>
      <w:r/>
      <w:bookmarkStart w:id="186"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firstLine="48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firstLine="48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firstLine="48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firstLine="48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firstLine="48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szCs w:val="24"/>
          <w:highlight w:val="none"/>
        </w:rPr>
      </w:pPr>
      <w:r>
        <w:rPr>
          <w:color w:val="auto"/>
          <w:szCs w:val="24"/>
          <w:highlight w:val="none"/>
        </w:rPr>
      </w:r>
      <w:r/>
    </w:p>
    <w:p>
      <w:pPr>
        <w:rPr>
          <w:rFonts w:eastAsia="黑体"/>
          <w:color w:val="auto"/>
          <w:sz w:val="44"/>
          <w:szCs w:val="44"/>
          <w:highlight w:val="none"/>
        </w:rPr>
      </w:pPr>
      <w:r>
        <w:rPr>
          <w:rFonts w:eastAsia="黑体"/>
          <w:color w:val="auto"/>
          <w:sz w:val="44"/>
          <w:szCs w:val="44"/>
          <w:highlight w:val="none"/>
        </w:rPr>
      </w:r>
      <w:r/>
    </w:p>
    <w:p>
      <w:pPr>
        <w:pStyle w:val="1109"/>
        <w:ind w:firstLine="600"/>
        <w:rPr>
          <w:color w:val="auto"/>
          <w:highlight w:val="none"/>
        </w:rPr>
      </w:pPr>
      <w:r>
        <w:rPr>
          <w:color w:val="auto"/>
          <w:highlight w:val="none"/>
        </w:rPr>
      </w:r>
      <w:r/>
    </w:p>
    <w:p>
      <w:pPr>
        <w:pStyle w:val="1109"/>
        <w:ind w:firstLine="600"/>
        <w:rPr>
          <w:color w:val="auto"/>
          <w:highlight w:val="none"/>
        </w:rPr>
      </w:pPr>
      <w:r>
        <w:rPr>
          <w:color w:val="auto"/>
          <w:highlight w:val="none"/>
        </w:rPr>
      </w:r>
      <w:r/>
    </w:p>
    <w:p>
      <w:pPr>
        <w:pStyle w:val="1109"/>
        <w:ind w:firstLine="600"/>
        <w:rPr>
          <w:color w:val="auto"/>
          <w:highlight w:val="none"/>
        </w:rPr>
      </w:pPr>
      <w:r>
        <w:rPr>
          <w:color w:val="auto"/>
          <w:highlight w:val="none"/>
        </w:rPr>
      </w:r>
      <w:r/>
    </w:p>
    <w:p>
      <w:pPr>
        <w:pStyle w:val="1109"/>
        <w:ind w:firstLine="600"/>
        <w:rPr>
          <w:rFonts w:hint="eastAsia"/>
          <w:color w:val="auto"/>
          <w:highlight w:val="none"/>
        </w:rPr>
      </w:pPr>
      <w:r>
        <w:rPr>
          <w:rFonts w:hint="eastAsia"/>
          <w:color w:val="auto"/>
          <w:highlight w:val="none"/>
        </w:rPr>
      </w:r>
      <w:r/>
    </w:p>
    <w:p>
      <w:pPr>
        <w:pStyle w:val="1109"/>
        <w:ind w:firstLine="600"/>
        <w:rPr>
          <w:color w:val="auto"/>
          <w:highlight w:val="none"/>
        </w:rPr>
      </w:pPr>
      <w:r>
        <w:rPr>
          <w:color w:val="auto"/>
          <w:highlight w:val="none"/>
        </w:rPr>
      </w:r>
      <w:r/>
    </w:p>
    <w:p>
      <w:pPr>
        <w:pStyle w:val="1109"/>
        <w:ind w:firstLine="600"/>
        <w:rPr>
          <w:rFonts w:hint="eastAsia"/>
          <w:color w:val="auto"/>
          <w:highlight w:val="none"/>
        </w:rPr>
      </w:pPr>
      <w:r>
        <w:rPr>
          <w:rFonts w:hint="eastAsia"/>
          <w:color w:val="auto"/>
          <w:highlight w:val="none"/>
        </w:rPr>
      </w:r>
      <w:r/>
    </w:p>
    <w:p>
      <w:pPr>
        <w:jc w:val="center"/>
        <w:rPr>
          <w:rFonts w:hint="eastAsia" w:eastAsia="黑体"/>
          <w:color w:val="auto"/>
          <w:sz w:val="44"/>
          <w:szCs w:val="44"/>
          <w:highlight w:val="none"/>
        </w:rPr>
      </w:pPr>
      <w:r>
        <w:rPr>
          <w:rFonts w:hint="eastAsia" w:eastAsia="黑体"/>
          <w:color w:val="auto"/>
          <w:sz w:val="44"/>
          <w:szCs w:val="44"/>
          <w:highlight w:val="none"/>
        </w:rPr>
        <w:t xml:space="preserve">使 用 说 明</w:t>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86"/>
      <w:r/>
      <w:r/>
    </w:p>
    <w:p>
      <w:pPr>
        <w:rPr>
          <w:rFonts w:eastAsia="黑体"/>
          <w:color w:val="auto"/>
          <w:sz w:val="44"/>
          <w:szCs w:val="44"/>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auto"/>
          <w:sz w:val="44"/>
          <w:szCs w:val="44"/>
          <w:highlight w:val="none"/>
        </w:rPr>
      </w:r>
      <w:r/>
    </w:p>
    <w:p>
      <w:pPr>
        <w:jc w:val="center"/>
        <w:keepLines/>
        <w:keepNext/>
        <w:spacing w:before="260" w:after="260" w:line="400" w:lineRule="exact"/>
        <w:rPr>
          <w:rFonts w:hint="eastAsia" w:ascii="黑体" w:hAnsi="华文中宋" w:eastAsia="黑体"/>
          <w:color w:val="auto"/>
          <w:sz w:val="28"/>
          <w:szCs w:val="28"/>
          <w:highlight w:val="none"/>
        </w:rPr>
        <w:outlineLvl w:val="1"/>
      </w:pPr>
      <w:r/>
      <w:bookmarkStart w:id="187"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87"/>
      <w:r/>
      <w:r/>
    </w:p>
    <w:p>
      <w:pPr>
        <w:jc w:val="center"/>
        <w:keepLines/>
        <w:keepNext/>
        <w:spacing w:before="260" w:after="260" w:line="400" w:lineRule="exact"/>
        <w:rPr>
          <w:rFonts w:hint="eastAsia" w:ascii="黑体" w:hAnsi="华文中宋" w:eastAsia="黑体"/>
          <w:color w:val="auto"/>
          <w:sz w:val="28"/>
          <w:szCs w:val="28"/>
          <w:highlight w:val="none"/>
        </w:rPr>
        <w:outlineLvl w:val="1"/>
      </w:pPr>
      <w:r>
        <w:rPr>
          <w:rFonts w:hint="eastAsia" w:ascii="黑体" w:hAnsi="华文中宋" w:eastAsia="黑体"/>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color w:val="auto"/>
          <w:szCs w:val="24"/>
          <w:highlight w:val="none"/>
        </w:rPr>
      </w:pPr>
      <w:r>
        <w:rPr>
          <w:color w:val="auto"/>
          <w:szCs w:val="24"/>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p>
    <w:p>
      <w:pPr>
        <w:numPr>
          <w:ilvl w:val="0"/>
          <w:numId w:val="6"/>
        </w:num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采购项目名称：</w:t>
      </w:r>
      <w:r>
        <w:rPr>
          <w:rFonts w:ascii="宋体" w:hAnsi="宋体"/>
          <w:color w:val="auto"/>
          <w:szCs w:val="21"/>
          <w:highlight w:val="none"/>
          <w:u w:val="single"/>
        </w:rPr>
        <w:t xml:space="preserve">                                          </w:t>
      </w:r>
      <w:r/>
    </w:p>
    <w:p>
      <w:pPr>
        <w:spacing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52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525"/>
        <w:spacing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汉仪书宋二S" w:hAnsi="汉仪书宋二S" w:eastAsia="汉仪书宋二S" w:cs="汉仪书宋二S"/>
          <w:color w:val="auto"/>
          <w:szCs w:val="21"/>
          <w:highlight w:val="none"/>
        </w:rPr>
        <w:t xml:space="preserve">②</w:t>
      </w:r>
      <w:r>
        <w:rPr>
          <w:rFonts w:hint="eastAsia" w:ascii="宋体" w:hAnsi="宋体" w:cs="宋体"/>
          <w:color w:val="auto"/>
          <w:szCs w:val="21"/>
          <w:highlight w:val="none"/>
        </w:rPr>
        <w:t xml:space="preserve">涉及车辆采购，请填写是否属于新能源汽车：</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数量：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lang w:val="en"/>
        </w:rPr>
        <w:t xml:space="preserve">4</w:t>
      </w:r>
      <w:r>
        <w:rPr>
          <w:rFonts w:hint="eastAsia" w:ascii="宋体" w:hAnsi="宋体" w:cs="宋体"/>
          <w:color w:val="auto"/>
          <w:szCs w:val="21"/>
          <w:highlight w:val="none"/>
        </w:rPr>
        <w:t xml:space="preserve">）政府采购组织形式：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政府集中采购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部门集中采购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分散采购</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5</w:t>
      </w:r>
      <w:r>
        <w:rPr>
          <w:rFonts w:hint="eastAsia" w:ascii="宋体" w:hAnsi="宋体" w:cs="宋体"/>
          <w:color w:val="auto"/>
          <w:szCs w:val="21"/>
          <w:highlight w:val="none"/>
        </w:rPr>
        <w:t xml:space="preserve">）政府采购方式：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公开招标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邀请招标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竞争性谈判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竞争性磋商</w:t>
      </w:r>
      <w:r/>
    </w:p>
    <w:p>
      <w:pPr>
        <w:jc w:val="left"/>
        <w:spacing w:line="400" w:lineRule="exact"/>
        <w:widowControl/>
        <w:rPr>
          <w:rFonts w:hint="eastAsia" w:ascii="宋体" w:hAnsi="宋体" w:cs="宋体"/>
          <w:color w:val="auto"/>
          <w:szCs w:val="21"/>
          <w:highlight w:val="none"/>
          <w:u w:val="single"/>
        </w:rPr>
      </w:pPr>
      <w:r>
        <w:rPr>
          <w:rFonts w:hint="eastAsia" w:ascii="宋体" w:hAnsi="宋体" w:eastAsia="华文楷体" w:cs="宋体"/>
          <w:color w:val="auto"/>
          <w:sz w:val="22"/>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询价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单一来源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框架协议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其他：</w:t>
      </w:r>
      <w:r>
        <w:rPr>
          <w:rFonts w:hint="eastAsia" w:ascii="宋体" w:hAnsi="宋体" w:cs="宋体"/>
          <w:color w:val="auto"/>
          <w:szCs w:val="21"/>
          <w:highlight w:val="none"/>
          <w:u w:val="single"/>
        </w:rPr>
        <w:t xml:space="preserve">          </w:t>
      </w:r>
      <w:r/>
    </w:p>
    <w:p>
      <w:pPr>
        <w:ind w:firstLine="84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（注：在框架协议采购的第二阶段，可选择使用该合同文本）</w:t>
      </w:r>
      <w:r/>
    </w:p>
    <w:p>
      <w:pPr>
        <w:jc w:val="left"/>
        <w:spacing w:line="400" w:lineRule="exact"/>
        <w:widowControl/>
        <w:rPr>
          <w:rFonts w:hint="eastAsia" w:ascii="宋体" w:hAnsi="宋体"/>
          <w:color w:val="auto"/>
          <w:szCs w:val="21"/>
          <w:highlight w:val="none"/>
        </w:rPr>
      </w:pPr>
      <w:r>
        <w:rPr>
          <w:rFonts w:hint="eastAsia" w:ascii="宋体" w:hAnsi="宋体" w:eastAsia="华文楷体" w:cs="华文楷体"/>
          <w:color w:val="auto"/>
          <w:sz w:val="22"/>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中标（成交）采购标的制造商是否为中小企业：</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szCs w:val="24"/>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color w:val="auto"/>
          <w:szCs w:val="24"/>
          <w:highlight w:val="none"/>
        </w:rPr>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1701" w:equalWidth="1"/>
          <w:docGrid w:linePitch="360"/>
        </w:sectPr>
      </w:pPr>
      <w:r>
        <w:rPr>
          <w:rFonts w:hint="eastAsia"/>
          <w:color w:val="auto"/>
          <w:szCs w:val="24"/>
          <w:highlight w:val="none"/>
        </w:rPr>
      </w:r>
      <w:r/>
    </w:p>
    <w:p>
      <w:pPr>
        <w:spacing w:line="400" w:lineRule="exact"/>
        <w:rPr>
          <w:rFonts w:hint="eastAsia" w:ascii="宋体" w:hAnsi="宋体"/>
          <w:iCs/>
          <w:color w:val="auto"/>
          <w:szCs w:val="21"/>
          <w:highlight w:val="none"/>
        </w:rPr>
      </w:pPr>
      <w:r>
        <w:rPr>
          <w:rFonts w:hint="eastAsia"/>
          <w:color w:val="auto"/>
          <w:szCs w:val="24"/>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szCs w:val="24"/>
          <w:highlight w:val="none"/>
        </w:rPr>
      </w:pPr>
      <w:r>
        <w:rPr>
          <w:rFonts w:hint="eastAsia"/>
          <w:color w:val="auto"/>
          <w:szCs w:val="24"/>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spacing w:line="400" w:lineRule="exact"/>
        <w:rPr>
          <w:rFonts w:eastAsia="华文楷体"/>
          <w:color w:val="auto"/>
          <w:szCs w:val="24"/>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jc w:val="left"/>
        <w:spacing w:line="400" w:lineRule="exact"/>
        <w:widowControl/>
        <w:tabs>
          <w:tab w:val="left" w:pos="134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         外商投资企业类型：</w:t>
      </w:r>
      <w:r>
        <w:rPr>
          <w:rFonts w:ascii="Wingdings" w:hAnsi="Wingdings" w:eastAsia="Wingdings" w:cs="Wingdings"/>
          <w:iCs/>
          <w:color w:val="auto"/>
          <w:szCs w:val="21"/>
          <w:highlight w:val="none"/>
        </w:rPr>
        <w:t xml:space="preserve">¨</w:t>
      </w:r>
      <w:r>
        <w:rPr>
          <w:rFonts w:hint="eastAsia" w:ascii="宋体" w:hAnsi="宋体" w:cs="宋体"/>
          <w:color w:val="auto"/>
          <w:szCs w:val="21"/>
          <w:highlight w:val="none"/>
        </w:rPr>
        <w:t xml:space="preserve">全部由外国投资者投资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部分由外国投资者投资</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63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jc w:val="left"/>
        <w:spacing w:line="400" w:lineRule="exact"/>
        <w:widowControl/>
        <w:rPr>
          <w:rFonts w:hint="eastAsia" w:ascii="宋体" w:hAnsi="宋体"/>
          <w:color w:val="auto"/>
          <w:szCs w:val="21"/>
          <w:highlight w:val="none"/>
        </w:rPr>
      </w:pPr>
      <w:r>
        <w:rPr>
          <w:rFonts w:hint="eastAsia" w:ascii="宋体" w:hAnsi="宋体" w:eastAsia="华文楷体" w:cs="华文楷体"/>
          <w:color w:val="auto"/>
          <w:szCs w:val="21"/>
          <w:highlight w:val="none"/>
        </w:rPr>
        <w:t xml:space="preserve">          </w:t>
      </w:r>
      <w:r>
        <w:rPr>
          <w:rFonts w:hint="eastAsia" w:ascii="宋体" w:hAnsi="宋体"/>
          <w:color w:val="auto"/>
          <w:szCs w:val="21"/>
          <w:highlight w:val="none"/>
        </w:rPr>
        <w:t xml:space="preserve">是否涉及绿色产品： </w:t>
      </w:r>
      <w:r/>
    </w:p>
    <w:p>
      <w:pPr>
        <w:jc w:val="left"/>
        <w:spacing w:line="400" w:lineRule="exact"/>
        <w:widowControl/>
        <w:rPr>
          <w:rFonts w:hint="eastAsia" w:ascii="宋体" w:hAnsi="宋体" w:cs="华文楷体"/>
          <w:color w:val="auto"/>
          <w:sz w:val="22"/>
          <w:szCs w:val="21"/>
          <w:highlight w:val="none"/>
          <w:u w:val="singl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是，绿色产品政府采购相关政策确定的底级品目名称：</w:t>
      </w:r>
      <w:r>
        <w:rPr>
          <w:rFonts w:hint="eastAsia" w:ascii="宋体" w:hAnsi="宋体" w:cs="华文楷体"/>
          <w:color w:val="auto"/>
          <w:sz w:val="22"/>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jc w:val="left"/>
        <w:spacing w:line="400" w:lineRule="exact"/>
        <w:widowControl/>
        <w:rPr>
          <w:rFonts w:hint="eastAsia" w:ascii="宋体" w:hAnsi="宋体" w:eastAsia="华文楷体" w:cs="华文楷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快递包装政府采购需求标准（试行）》明确产品及相关快递服务的具体包装要求：</w:t>
      </w:r>
      <w:r/>
    </w:p>
    <w:p>
      <w:pPr>
        <w:ind w:firstLine="945"/>
        <w:spacing w:line="400" w:lineRule="exact"/>
        <w:rPr>
          <w:rFonts w:hint="eastAsia"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spacing w:line="400" w:lineRule="exact"/>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ind w:firstLine="420"/>
        <w:spacing w:line="400" w:lineRule="exact"/>
        <w:rPr>
          <w:color w:val="auto"/>
          <w:szCs w:val="21"/>
          <w:highlight w:val="none"/>
        </w:rPr>
      </w:pPr>
      <w:r>
        <w:rPr>
          <w:rFonts w:hint="eastAsia" w:ascii="宋体" w:hAnsi="宋体"/>
          <w:color w:val="auto"/>
          <w:szCs w:val="21"/>
          <w:highlight w:val="none"/>
        </w:rPr>
        <w:t xml:space="preserve">（3）付款方式（按项目实际勾选填写）：</w:t>
      </w:r>
      <w:r/>
    </w:p>
    <w:p>
      <w:pPr>
        <w:ind w:firstLine="52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525"/>
        <w:spacing w:line="400" w:lineRule="exact"/>
        <w:rPr>
          <w:color w:val="auto"/>
          <w:szCs w:val="24"/>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（应明确分期支付合同款项的各期比例和支付条件，各期支付条件应与分期履约验收情况挂钩）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（应明确预付款的支付比例和支付条件） </w:t>
      </w:r>
      <w:r/>
    </w:p>
    <w:p>
      <w:pPr>
        <w:ind w:firstLine="52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525"/>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5"/>
        </w:numPr>
        <w:ind w:firstLine="421"/>
        <w:spacing w:line="400" w:lineRule="exact"/>
        <w:rPr>
          <w:rFonts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315"/>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315"/>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315"/>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szCs w:val="24"/>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jc w:val="left"/>
        <w:spacing w:line="400" w:lineRule="exact"/>
        <w:widowControl/>
        <w:rPr>
          <w:rFonts w:hint="eastAsia" w:ascii="宋体" w:hAnsi="宋体" w:cs="宋体"/>
          <w:color w:val="auto"/>
          <w:szCs w:val="21"/>
          <w:highlight w:val="none"/>
        </w:rPr>
      </w:pPr>
      <w:r>
        <w:rPr>
          <w:rFonts w:hint="eastAsia" w:ascii="宋体" w:hAnsi="宋体" w:eastAsia="华文楷体" w:cs="宋体"/>
          <w:bCs/>
          <w:color w:val="auto"/>
          <w:sz w:val="22"/>
          <w:szCs w:val="21"/>
          <w:highlight w:val="none"/>
        </w:rPr>
        <w:t xml:space="preserve">  </w:t>
      </w:r>
      <w:r>
        <w:rPr>
          <w:rFonts w:hint="eastAsia" w:ascii="宋体" w:hAnsi="宋体" w:cs="宋体"/>
          <w:color w:val="auto"/>
          <w:szCs w:val="21"/>
          <w:highlight w:val="none"/>
        </w:rPr>
        <w:t xml:space="preserve">  收取履约保证金形式：</w:t>
      </w:r>
      <w:r>
        <w:rPr>
          <w:rFonts w:hint="eastAsia" w:ascii="宋体" w:hAnsi="宋体" w:cs="宋体"/>
          <w:bCs/>
          <w:color w:val="auto"/>
          <w:szCs w:val="21"/>
          <w:highlight w:val="none"/>
          <w:u w:val="single"/>
        </w:rPr>
        <w:t xml:space="preserve">                            </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收取履约保证金金额：</w:t>
      </w:r>
      <w:r>
        <w:rPr>
          <w:rFonts w:hint="eastAsia" w:ascii="宋体" w:hAnsi="宋体" w:cs="宋体"/>
          <w:bCs/>
          <w:color w:val="auto"/>
          <w:szCs w:val="21"/>
          <w:highlight w:val="none"/>
          <w:u w:val="single"/>
        </w:rPr>
        <w:t xml:space="preserve">                            </w:t>
      </w:r>
      <w:r/>
    </w:p>
    <w:p>
      <w:pPr>
        <w:spacing w:line="400" w:lineRule="exact"/>
        <w:rPr>
          <w:rFonts w:hint="eastAsia" w:ascii="宋体" w:hAnsi="宋体" w:cs="宋体"/>
          <w:color w:val="auto"/>
          <w:szCs w:val="24"/>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p>
    <w:p>
      <w:pPr>
        <w:ind w:firstLine="31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315"/>
        <w:spacing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numPr>
          <w:ilvl w:val="0"/>
          <w:numId w:val="5"/>
        </w:numPr>
        <w:ind w:firstLine="421"/>
        <w:spacing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7"/>
        </w:num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（7）是否以采购活动中供应商提供的样品作为参考：</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420"/>
        <w:spacing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（8）国家法律、行政法规和规章制度规定或合同约定的作为合同组成部分的其他文件</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5"/>
        </w:numPr>
        <w:ind w:firstLine="42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szCs w:val="24"/>
          <w:highlight w:val="none"/>
        </w:rPr>
      </w:pPr>
      <w:r>
        <w:rPr>
          <w:rFonts w:hint="eastAsia" w:ascii="宋体" w:hAnsi="宋体"/>
          <w:color w:val="auto"/>
          <w:szCs w:val="21"/>
          <w:highlight w:val="none"/>
        </w:rPr>
        <w:t xml:space="preserve">附件：具体标的及其技术要求和商务要求、联合协议、分包意向协议等。</w:t>
      </w:r>
      <w:r/>
    </w:p>
    <w:p>
      <w:pPr>
        <w:spacing w:line="400" w:lineRule="exact"/>
        <w:rPr>
          <w:color w:val="auto"/>
          <w:szCs w:val="21"/>
          <w:highlight w:val="none"/>
        </w:rPr>
      </w:pPr>
      <w:r>
        <w:rPr>
          <w:color w:val="auto"/>
          <w:szCs w:val="21"/>
          <w:highlight w:val="none"/>
        </w:rPr>
      </w:r>
      <w:r/>
    </w:p>
    <w:p>
      <w:pPr>
        <w:keepLines/>
        <w:keepNext/>
        <w:spacing w:before="260" w:after="260" w:line="400" w:lineRule="exact"/>
        <w:rPr>
          <w:rFonts w:hint="eastAsia" w:ascii="Calibri Light" w:hAnsi="Calibri Light"/>
          <w:b/>
          <w:bCs/>
          <w:color w:val="auto"/>
          <w:sz w:val="32"/>
          <w:szCs w:val="32"/>
          <w:highlight w:val="none"/>
        </w:rPr>
        <w:outlineLvl w:val="1"/>
      </w:pPr>
      <w:r>
        <w:rPr>
          <w:rFonts w:hint="eastAsia" w:ascii="Calibri Light" w:hAnsi="Calibri Light"/>
          <w:b/>
          <w:bCs/>
          <w:color w:val="auto"/>
          <w:sz w:val="32"/>
          <w:szCs w:val="32"/>
          <w:highlight w:val="none"/>
        </w:rPr>
        <w:br w:type="page" w:clear="all"/>
      </w:r>
      <w:r/>
    </w:p>
    <w:tbl>
      <w:tblPr>
        <w:tblStyle w:val="1078"/>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3415"/>
        <w:gridCol w:w="1144"/>
        <w:gridCol w:w="3290"/>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1"/>
                <w:highlight w:val="none"/>
                <w:lang w:val="en-US" w:eastAsia="zh-CN" w:bidi="ar-SA"/>
              </w:rPr>
              <w:t xml:space="preserve">甲方</w:t>
            </w:r>
            <w:r>
              <w:rPr>
                <w:rFonts w:hint="eastAsia" w:ascii="Times New Roman" w:hAnsi="Times New Roman" w:eastAsia="宋体" w:cs="Times New Roman"/>
                <w:color w:val="auto"/>
                <w:sz w:val="21"/>
                <w:szCs w:val="21"/>
                <w:highlight w:val="none"/>
                <w:lang w:val="en-US" w:eastAsia="zh-CN" w:bidi="ar-SA"/>
              </w:rPr>
              <w:t xml:space="preserve">（采购人</w:t>
            </w:r>
            <w:r>
              <w:rPr>
                <w:rFonts w:hint="eastAsia" w:ascii="宋体" w:hAnsi="宋体" w:eastAsia="宋体" w:cs="Times New Roman"/>
                <w:color w:val="auto"/>
                <w:sz w:val="21"/>
                <w:szCs w:val="21"/>
                <w:highlight w:val="none"/>
                <w:lang w:val="en-US" w:eastAsia="zh-CN" w:bidi="ar-SA"/>
              </w:rPr>
              <w:t xml:space="preserve">、受采购人委托签订合同的单位或</w:t>
            </w:r>
            <w:r>
              <w:rPr>
                <w:rFonts w:hint="eastAsia" w:ascii="Times New Roman" w:hAnsi="Times New Roman" w:eastAsia="宋体" w:cs="Times New Roman"/>
                <w:color w:val="auto"/>
                <w:sz w:val="21"/>
                <w:szCs w:val="21"/>
                <w:highlight w:val="none"/>
                <w:lang w:val="en-US" w:eastAsia="zh-CN" w:bidi="ar-SA"/>
              </w:rPr>
              <w:t xml:space="preserve">采购文件约定的合同甲方）</w:t>
            </w: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1"/>
                <w:highlight w:val="none"/>
                <w:lang w:val="en-US" w:eastAsia="zh-CN" w:bidi="ar-SA"/>
              </w:rPr>
              <w:t xml:space="preserve">乙方</w:t>
            </w:r>
            <w:r>
              <w:rPr>
                <w:rFonts w:hint="eastAsia" w:ascii="Times New Roman" w:hAnsi="Times New Roman" w:eastAsia="宋体" w:cs="Times New Roman"/>
                <w:color w:val="auto"/>
                <w:sz w:val="21"/>
                <w:szCs w:val="21"/>
                <w:highlight w:val="none"/>
                <w:lang w:val="en-US" w:eastAsia="zh-CN" w:bidi="ar-SA"/>
              </w:rPr>
              <w:t xml:space="preserve">（供应商）</w:t>
            </w: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lang w:val="en-US" w:eastAsia="zh-CN" w:bidi="ar-SA"/>
              </w:rPr>
              <w:t xml:space="preserve">（公章或合同章）</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lang w:val="en-US" w:eastAsia="zh-CN" w:bidi="ar-SA"/>
              </w:rPr>
              <w:t xml:space="preserve">（公章或合同章）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法定代表人</w:t>
            </w:r>
            <w:r/>
          </w:p>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或其</w:t>
            </w:r>
            <w:r>
              <w:rPr>
                <w:rFonts w:ascii="Times New Roman" w:hAnsi="Times New Roman" w:eastAsia="宋体" w:cs="Times New Roman"/>
                <w:color w:val="auto"/>
                <w:sz w:val="21"/>
                <w:szCs w:val="21"/>
                <w:highlight w:val="none"/>
                <w:lang w:val="en-US" w:eastAsia="zh-CN" w:bidi="ar-SA"/>
              </w:rPr>
              <w:t xml:space="preserve">委托代理人</w:t>
            </w:r>
            <w:r>
              <w:rPr>
                <w:rFonts w:hint="eastAsia" w:ascii="Times New Roman" w:hAnsi="Times New Roman" w:eastAsia="宋体" w:cs="Times New Roman"/>
                <w:color w:val="auto"/>
                <w:sz w:val="21"/>
                <w:szCs w:val="21"/>
                <w:highlight w:val="none"/>
                <w:lang w:val="en-US" w:eastAsia="zh-CN" w:bidi="ar-SA"/>
              </w:rPr>
              <w:t xml:space="preserve">（签章）</w:t>
            </w: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法定代表人</w:t>
            </w:r>
            <w:r/>
          </w:p>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或其</w:t>
            </w:r>
            <w:r>
              <w:rPr>
                <w:rFonts w:ascii="Times New Roman" w:hAnsi="Times New Roman" w:eastAsia="宋体" w:cs="Times New Roman"/>
                <w:color w:val="auto"/>
                <w:sz w:val="21"/>
                <w:szCs w:val="21"/>
                <w:highlight w:val="none"/>
                <w:lang w:val="en-US" w:eastAsia="zh-CN" w:bidi="ar-SA"/>
              </w:rPr>
              <w:t xml:space="preserve">委托代理人</w:t>
            </w:r>
            <w:r>
              <w:rPr>
                <w:rFonts w:hint="eastAsia" w:ascii="Times New Roman" w:hAnsi="Times New Roman" w:eastAsia="宋体" w:cs="Times New Roman"/>
                <w:color w:val="auto"/>
                <w:sz w:val="21"/>
                <w:szCs w:val="21"/>
                <w:highlight w:val="none"/>
                <w:lang w:val="en-US" w:eastAsia="zh-CN" w:bidi="ar-SA"/>
              </w:rPr>
              <w:t xml:space="preserve">（签章）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拥有者性别</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住  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住  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 系 人</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 系 人</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联系电话</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联系电话</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通信地址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通信地址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邮政编码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邮政编码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电子邮箱</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电子邮箱</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统一社会信用代码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统一社会信用代码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开户名称</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开户银行</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t xml:space="preserve">银行账号</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auto"/>
                <w:spacing w:val="20"/>
                <w:sz w:val="21"/>
                <w:szCs w:val="21"/>
                <w:highlight w:val="none"/>
              </w:rPr>
            </w:pPr>
            <w:r>
              <w:rPr>
                <w:rFonts w:ascii="Times New Roman" w:hAnsi="Times New Roman" w:eastAsia="宋体" w:cs="Times New Roman"/>
                <w:color w:val="auto"/>
                <w:spacing w:val="20"/>
                <w:sz w:val="21"/>
                <w:szCs w:val="21"/>
                <w:highlight w:val="none"/>
              </w:rPr>
            </w: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auto"/>
                <w:spacing w:val="20"/>
                <w:sz w:val="21"/>
                <w:szCs w:val="21"/>
                <w:highlight w:val="none"/>
              </w:rPr>
            </w:pPr>
            <w:r>
              <w:rPr>
                <w:rFonts w:hint="eastAsia" w:ascii="宋体" w:hAnsi="宋体" w:eastAsia="宋体" w:cs="Times New Roman"/>
                <w:color w:val="auto"/>
                <w:sz w:val="21"/>
                <w:szCs w:val="21"/>
                <w:highlight w:val="none"/>
                <w:lang w:val="en-US" w:eastAsia="zh-CN" w:bidi="ar-SA"/>
              </w:rPr>
              <w:t xml:space="preserve">注：涉及联合体或其他合同主体的信息应按上表格式加列。</w:t>
            </w:r>
            <w:r/>
          </w:p>
        </w:tc>
      </w:tr>
    </w:tbl>
    <w:p>
      <w:pPr>
        <w:jc w:val="center"/>
        <w:keepLines/>
        <w:keepNext/>
        <w:spacing w:before="156" w:after="260" w:line="416" w:lineRule="auto"/>
        <w:rPr>
          <w:rFonts w:ascii="黑体" w:hAnsi="黑体" w:eastAsia="黑体"/>
          <w:b/>
          <w:bCs/>
          <w:color w:val="auto"/>
          <w:sz w:val="28"/>
          <w:szCs w:val="28"/>
          <w:highlight w:val="none"/>
        </w:rPr>
        <w:outlineLvl w:val="1"/>
      </w:pPr>
      <w:r>
        <w:rPr>
          <w:rFonts w:ascii="宋体" w:hAnsi="宋体"/>
          <w:b/>
          <w:bCs/>
          <w:color w:val="auto"/>
          <w:szCs w:val="21"/>
          <w:highlight w:val="none"/>
          <w:u w:val="single"/>
        </w:rPr>
        <w:br w:type="page" w:clear="all"/>
      </w:r>
      <w:bookmarkStart w:id="188" w:name="_Toc27624"/>
      <w:r>
        <w:rPr>
          <w:rFonts w:hint="eastAsia" w:ascii="黑体" w:hAnsi="黑体" w:eastAsia="黑体"/>
          <w:color w:val="auto"/>
          <w:sz w:val="28"/>
          <w:szCs w:val="28"/>
          <w:highlight w:val="none"/>
        </w:rPr>
        <w:t xml:space="preserve">第二节 政府采购合同通用条款</w:t>
      </w:r>
      <w:bookmarkEnd w:id="188"/>
      <w:r/>
      <w:r/>
    </w:p>
    <w:p>
      <w:pPr>
        <w:jc w:val="left"/>
        <w:spacing w:line="400" w:lineRule="exact"/>
        <w:tabs>
          <w:tab w:val="left" w:pos="8820" w:leader="none"/>
          <w:tab w:val="left" w:pos="9345" w:leader="none"/>
          <w:tab w:val="left" w:pos="9765" w:leader="none"/>
        </w:tabs>
        <w:rPr>
          <w:rFonts w:ascii="宋体" w:hAnsi="宋体"/>
          <w:b/>
          <w:bCs/>
          <w:color w:val="auto"/>
          <w:sz w:val="24"/>
          <w:szCs w:val="24"/>
          <w:highlight w:val="none"/>
        </w:rPr>
      </w:pPr>
      <w:r>
        <w:rPr>
          <w:rFonts w:hint="eastAsia" w:ascii="宋体" w:hAnsi="宋体"/>
          <w:b/>
          <w:color w:val="auto"/>
          <w:sz w:val="24"/>
          <w:szCs w:val="24"/>
          <w:highlight w:val="none"/>
        </w:rPr>
        <w:t xml:space="preserve">1. </w:t>
      </w:r>
      <w:r>
        <w:rPr>
          <w:rFonts w:hint="eastAsia" w:ascii="宋体" w:hAnsi="宋体"/>
          <w:b/>
          <w:bCs/>
          <w:color w:val="auto"/>
          <w:sz w:val="24"/>
          <w:szCs w:val="24"/>
          <w:highlight w:val="none"/>
        </w:rPr>
        <w:t xml:space="preserve">定义</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8"/>
        </w:numPr>
        <w:jc w:val="left"/>
        <w:spacing w:line="400" w:lineRule="exact"/>
        <w:rPr>
          <w:rFonts w:ascii="宋体" w:hAnsi="宋体"/>
          <w:b/>
          <w:bCs/>
          <w:color w:val="auto"/>
          <w:sz w:val="24"/>
          <w:szCs w:val="24"/>
          <w:highlight w:val="none"/>
        </w:rPr>
      </w:pPr>
      <w:r>
        <w:rPr>
          <w:rFonts w:hint="eastAsia" w:ascii="宋体" w:hAnsi="宋体"/>
          <w:b/>
          <w:color w:val="auto"/>
          <w:sz w:val="24"/>
          <w:szCs w:val="24"/>
          <w:highlight w:val="none"/>
        </w:rPr>
        <w:t xml:space="preserve">合同标的及金额</w:t>
      </w:r>
      <w:r/>
    </w:p>
    <w:p>
      <w:pPr>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3. 履行合同的时间、地点和方式</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4. 甲方的权利和义务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spacing w:line="400" w:lineRule="exact"/>
        <w:rPr>
          <w:rFonts w:hint="eastAsia" w:eastAsia="华文楷体"/>
          <w:color w:val="auto"/>
          <w:szCs w:val="24"/>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jc w:val="left"/>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5. 乙方的权利和义务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根据合同约定向甲方收取合同价款。</w:t>
      </w:r>
      <w:r/>
    </w:p>
    <w:p>
      <w:pPr>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9"/>
        </w:num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合同履行</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jc w:val="left"/>
        <w:spacing w:line="400" w:lineRule="exact"/>
        <w:rPr>
          <w:color w:val="auto"/>
          <w:szCs w:val="24"/>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7. 货物包装、运输、保险和交付要求</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jc w:val="left"/>
        <w:spacing w:line="400" w:lineRule="exact"/>
        <w:widowControl/>
        <w:rPr>
          <w:rFonts w:ascii="华文楷体" w:hAnsi="华文楷体" w:eastAsia="华文楷体" w:cs="华文楷体"/>
          <w:color w:val="auto"/>
          <w:szCs w:val="21"/>
          <w:highlight w:val="none"/>
        </w:rPr>
      </w:pPr>
      <w:r>
        <w:rPr>
          <w:rFonts w:hint="eastAsia" w:ascii="宋体" w:hAnsi="宋体"/>
          <w:color w:val="auto"/>
          <w:szCs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8. 质量标准和保证</w:t>
      </w:r>
      <w:r/>
    </w:p>
    <w:p>
      <w:pPr>
        <w:jc w:val="left"/>
        <w:spacing w:line="400" w:lineRule="exact"/>
        <w:rPr>
          <w:rFonts w:ascii="宋体" w:hAnsi="宋体" w:cs="Courier New"/>
          <w:b/>
          <w:color w:val="auto"/>
          <w:szCs w:val="21"/>
          <w:highlight w:val="none"/>
        </w:rPr>
      </w:pPr>
      <w:r>
        <w:rPr>
          <w:rFonts w:hint="eastAsia" w:ascii="宋体" w:hAnsi="宋体" w:cs="Courier New"/>
          <w:color w:val="auto"/>
          <w:szCs w:val="21"/>
          <w:highlight w:val="none"/>
        </w:rPr>
        <w:t xml:space="preserve">8.1 质量标准</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line="400" w:lineRule="exact"/>
        <w:rPr>
          <w:rFonts w:ascii="宋体" w:hAnsi="宋体" w:cs="Courier New"/>
          <w:color w:val="auto"/>
          <w:szCs w:val="21"/>
          <w:highlight w:val="none"/>
        </w:rPr>
      </w:pPr>
      <w:r>
        <w:rPr>
          <w:rFonts w:hint="eastAsia" w:ascii="宋体" w:hAnsi="宋体" w:cs="Courier New"/>
          <w:color w:val="auto"/>
          <w:szCs w:val="21"/>
          <w:highlight w:val="none"/>
        </w:rPr>
        <w:t xml:space="preserve">（2）采用中华人民共和国法定计量单位。</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8.2 保证</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color w:val="auto"/>
          <w:szCs w:val="24"/>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9. 权利瑕疵担保</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10. 知识产权保护</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89"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89"/>
      <w:r>
        <w:rPr>
          <w:rFonts w:hint="eastAsia" w:ascii="宋体" w:hAnsi="宋体"/>
          <w:color w:val="auto"/>
          <w:szCs w:val="21"/>
          <w:highlight w:val="none"/>
        </w:rPr>
        <w:t xml:space="preserve">。</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11. 保密义务</w:t>
      </w:r>
      <w:r/>
    </w:p>
    <w:p>
      <w:pPr>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12. 合同价款支付</w:t>
      </w:r>
      <w:r/>
    </w:p>
    <w:p>
      <w:pPr>
        <w:jc w:val="left"/>
        <w:spacing w:line="400" w:lineRule="exact"/>
        <w:rPr>
          <w:color w:val="auto"/>
          <w:highlight w:val="none"/>
        </w:rPr>
      </w:pPr>
      <w:r>
        <w:rPr>
          <w:rFonts w:hint="eastAsia" w:ascii="宋体" w:hAnsi="宋体"/>
          <w:color w:val="auto"/>
          <w:szCs w:val="21"/>
          <w:highlight w:val="none"/>
        </w:rPr>
        <w:t xml:space="preserve">12.1 合同价款支付按照国库集中支付制度及财政管理相关规定执行。</w:t>
      </w:r>
      <w:r/>
    </w:p>
    <w:p>
      <w:pPr>
        <w:keepLines/>
        <w:keepNext/>
        <w:spacing w:before="260" w:after="260" w:line="400" w:lineRule="exact"/>
        <w:rPr>
          <w:rFonts w:hint="eastAsia" w:ascii="Calibri Light" w:hAnsi="Calibri Light"/>
          <w:b/>
          <w:bCs/>
          <w:color w:val="auto"/>
          <w:sz w:val="32"/>
          <w:szCs w:val="32"/>
          <w:highlight w:val="none"/>
        </w:rPr>
        <w:outlineLvl w:val="1"/>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color w:val="auto"/>
          <w:szCs w:val="24"/>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szCs w:val="24"/>
          <w:highlight w:val="none"/>
        </w:rPr>
      </w:pPr>
      <w:r>
        <w:rPr>
          <w:rFonts w:hint="eastAsia" w:ascii="宋体" w:hAnsi="宋体"/>
          <w:b/>
          <w:bCs/>
          <w:color w:val="auto"/>
          <w:sz w:val="24"/>
          <w:szCs w:val="24"/>
          <w:highlight w:val="none"/>
        </w:rPr>
        <w:t xml:space="preserve">14. </w:t>
      </w:r>
      <w:r>
        <w:rPr>
          <w:rFonts w:hint="eastAsia"/>
          <w:b/>
          <w:color w:val="auto"/>
          <w:sz w:val="24"/>
          <w:szCs w:val="24"/>
          <w:highlight w:val="none"/>
        </w:rPr>
        <w:t xml:space="preserve">售后</w:t>
      </w:r>
      <w:r>
        <w:rPr>
          <w:rFonts w:hint="eastAsia" w:ascii="宋体" w:hAnsi="宋体"/>
          <w:b/>
          <w:color w:val="auto"/>
          <w:sz w:val="24"/>
          <w:szCs w:val="24"/>
          <w:highlight w:val="none"/>
        </w:rPr>
        <w:t xml:space="preserve">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（5）依照法律、行政法规的规定或者按照</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约定，货物在有效使用年限届满后应予回收的，乙方负有自行或者委托第三人对货物予以回收的义务；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15. 违约责任</w:t>
      </w:r>
      <w:r/>
    </w:p>
    <w:p>
      <w:pPr>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 迟延交货的违约责任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15.3 迟延支付的违约责任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0"/>
        </w:num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合同变更、中止与终止</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16.1合同的变更</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color w:val="auto"/>
          <w:szCs w:val="24"/>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jc w:val="left"/>
        <w:spacing w:line="400" w:lineRule="exact"/>
        <w:widowControl/>
        <w:rPr>
          <w:rFonts w:hint="eastAsia" w:ascii="宋体" w:hAnsi="宋体" w:eastAsia="华文楷体" w:cs="华文楷体"/>
          <w:color w:val="auto"/>
          <w:sz w:val="22"/>
          <w:szCs w:val="21"/>
          <w:highlight w:val="none"/>
        </w:rPr>
      </w:pPr>
      <w:r>
        <w:rPr>
          <w:rFonts w:hint="eastAsia" w:ascii="宋体" w:hAnsi="宋体" w:eastAsia="华文楷体" w:cs="华文楷体"/>
          <w:color w:val="auto"/>
          <w:sz w:val="22"/>
          <w:szCs w:val="21"/>
          <w:highlight w:val="none"/>
        </w:rPr>
        <w:t xml:space="preserve">16.4 </w:t>
      </w:r>
      <w:r>
        <w:rPr>
          <w:rFonts w:hint="eastAsia" w:ascii="宋体" w:hAnsi="宋体"/>
          <w:color w:val="auto"/>
          <w:szCs w:val="21"/>
          <w:highlight w:val="none"/>
        </w:rPr>
        <w:t xml:space="preserve">涉及国家利益、社会公共利益的情形</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17. 合同分包</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18. 不可抗力</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19. 解决争议的方法</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19.2 选择仲裁的，应在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中明确仲裁机构及仲裁地；通过诉讼方式解决的，可以在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中进一步约定选择与争议有实际联系的地点的人民法院管辖，但管辖法院的约定不得违反级别管辖和专属管辖的规定。</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szCs w:val="24"/>
          <w:highlight w:val="none"/>
        </w:rPr>
      </w:pPr>
      <w:r>
        <w:rPr>
          <w:rFonts w:hint="eastAsia" w:ascii="宋体" w:hAnsi="宋体"/>
          <w:b/>
          <w:color w:val="auto"/>
          <w:sz w:val="24"/>
          <w:szCs w:val="24"/>
          <w:highlight w:val="none"/>
        </w:rPr>
        <w:t xml:space="preserve">20. 政府采购政策</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szCs w:val="24"/>
          <w:highlight w:val="none"/>
          <w:lang w:val="en-GB"/>
        </w:rPr>
        <w:t xml:space="preserve">本合同应当按照规定执行政府采购政策。</w:t>
      </w:r>
      <w:r/>
    </w:p>
    <w:p>
      <w:pPr>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szCs w:val="24"/>
          <w:highlight w:val="none"/>
        </w:rPr>
        <w:t xml:space="preserve">甲乙双方</w:t>
      </w:r>
      <w:r>
        <w:rPr>
          <w:rFonts w:hint="eastAsia" w:ascii="宋体" w:hAnsi="宋体" w:cs="宋体"/>
          <w:color w:val="auto"/>
          <w:szCs w:val="24"/>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spacing w:line="400" w:lineRule="exact"/>
        <w:rPr>
          <w:rFonts w:ascii="Calibri" w:hAnsi="Calibri"/>
          <w:color w:val="auto"/>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21. 法律适用</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21.1 本合同的订立、生效、解释、履行及与本合同有关的争议解决，均适用法律、行政法规。</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22. 通知</w:t>
      </w:r>
      <w:r/>
    </w:p>
    <w:p>
      <w:pPr>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22.2 一方当事人变更名称、住所、联系人、联系电话或电子邮箱等信息的，应当在变更后3日内及时书面通知对方，对方实际收到变更通知前的送达仍为有效送达。</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合同未尽事项</w:t>
      </w:r>
      <w:r/>
    </w:p>
    <w:p>
      <w:pPr>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23.2 合同附件与合同正文具有同等的法律效力。</w:t>
      </w:r>
      <w:bookmarkStart w:id="190" w:name="_Toc20313"/>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rPr>
          <w:rFonts w:hint="eastAsia" w:ascii="黑体" w:hAnsi="华文中宋" w:eastAsia="黑体"/>
          <w:color w:val="auto"/>
          <w:sz w:val="28"/>
          <w:szCs w:val="28"/>
          <w:highlight w:val="none"/>
        </w:rPr>
        <w:t xml:space="preserve">第三节 政府采购合同专用条款</w:t>
      </w:r>
      <w:bookmarkEnd w:id="190"/>
      <w:r/>
      <w:r/>
    </w:p>
    <w:tbl>
      <w:tblPr>
        <w:tblStyle w:val="1078"/>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第1.2（6）项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联合体具体要求</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0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第1.2（7）项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其他术语解释</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第4.4款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履约验收中甲方提出异议或作出说明的期限</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第4.6款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约定甲方承担的其他义务和责任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Times New Roman" w:hAnsi="Times New Roman" w:eastAsia="宋体" w:cs="Times New Roman"/>
                <w:color w:val="auto"/>
                <w:sz w:val="21"/>
                <w:szCs w:val="24"/>
                <w:highlight w:val="none"/>
              </w:rPr>
            </w:pPr>
            <w:r>
              <w:rPr>
                <w:rFonts w:hint="eastAsia" w:ascii="宋体" w:hAnsi="宋体" w:eastAsia="宋体" w:cs="Times New Roman"/>
                <w:color w:val="auto"/>
                <w:sz w:val="21"/>
                <w:szCs w:val="21"/>
                <w:highlight w:val="none"/>
                <w:lang w:val="en-US" w:eastAsia="zh-CN" w:bidi="ar-SA"/>
              </w:rPr>
              <w:t xml:space="preserve">第5.4款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约定乙方承担的其他义务和责任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第6.1款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履行合同义务的顺序</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第7.1款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包装特殊要求</w:t>
            </w:r>
            <w:r/>
          </w:p>
        </w:tc>
        <w:tc>
          <w:tcPr>
            <w:tcW w:w="5024" w:type="dxa"/>
            <w:vAlign w:val="center"/>
            <w:textDirection w:val="lrTb"/>
            <w:noWrap w:val="false"/>
          </w:tcPr>
          <w:p>
            <w:pPr>
              <w:jc w:val="both"/>
              <w:widowControl w:val="off"/>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4"/>
                <w:highlight w:val="none"/>
              </w:rPr>
            </w: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指定现场</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772"/>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第7.2款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运输特殊要求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667"/>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第7.3款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保险要求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第8.2（1）项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质量保证期</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第8.2（3）项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货物质量缺陷</w:t>
            </w:r>
            <w:r/>
          </w:p>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响应时间</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第二节</w:t>
            </w:r>
            <w:r/>
          </w:p>
          <w:p>
            <w:pPr>
              <w:jc w:val="center"/>
              <w:spacing w:line="400" w:lineRule="exact"/>
              <w:widowControl/>
              <w:rPr>
                <w:rFonts w:ascii="华文楷体" w:hAnsi="华文楷体" w:eastAsia="华文楷体" w:cs="华文楷体"/>
                <w:color w:val="auto"/>
                <w:sz w:val="22"/>
                <w:szCs w:val="21"/>
                <w:highlight w:val="none"/>
              </w:rPr>
            </w:pPr>
            <w:r>
              <w:rPr>
                <w:rFonts w:hint="eastAsia" w:ascii="宋体" w:hAnsi="宋体" w:eastAsia="宋体" w:cs="宋体"/>
                <w:color w:val="auto"/>
                <w:sz w:val="22"/>
                <w:szCs w:val="21"/>
                <w:highlight w:val="none"/>
                <w:lang w:val="en-US" w:eastAsia="zh-CN" w:bidi="ar-SA"/>
              </w:rPr>
              <w:t xml:space="preserve">第11.1款</w:t>
            </w:r>
            <w:r/>
          </w:p>
        </w:tc>
        <w:tc>
          <w:tcPr>
            <w:tcW w:w="2300" w:type="dxa"/>
            <w:vAlign w:val="center"/>
            <w:textDirection w:val="lrTb"/>
            <w:noWrap w:val="false"/>
          </w:tcPr>
          <w:p>
            <w:pPr>
              <w:jc w:val="both"/>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其他应当保密的信息</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第12.2款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合同价款支付时间</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第13.2款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履约保证金不予退还的情形</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第13.3款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履约保证金退还时间及逾期退还的违约金</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第14.1（3）项</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运行监督、维修期限</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第14.1（5）项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货物回收的约定</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第14.1（6）项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乙方提供的其他服务</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第15.1款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修理、重</w:t>
            </w:r>
            <w:r>
              <w:rPr>
                <w:rFonts w:hint="eastAsia" w:ascii="宋体" w:hAnsi="宋体" w:cs="Times New Roman"/>
                <w:color w:val="auto"/>
                <w:sz w:val="21"/>
                <w:szCs w:val="21"/>
                <w:highlight w:val="none"/>
                <w:lang w:val="en-US" w:eastAsia="zh-CN" w:bidi="ar-SA"/>
              </w:rPr>
              <w:t xml:space="preserve">做</w:t>
            </w:r>
            <w:r>
              <w:rPr>
                <w:rFonts w:hint="eastAsia" w:ascii="宋体" w:hAnsi="宋体" w:eastAsia="宋体" w:cs="Times New Roman"/>
                <w:color w:val="auto"/>
                <w:sz w:val="21"/>
                <w:szCs w:val="21"/>
                <w:highlight w:val="none"/>
                <w:lang w:val="en-US" w:eastAsia="zh-CN" w:bidi="ar-SA"/>
              </w:rPr>
              <w:t xml:space="preserve">、更换相关具体规定</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第15.2（2）项</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迟延交货赔偿费</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第15.3款</w:t>
            </w:r>
            <w:r/>
          </w:p>
        </w:tc>
        <w:tc>
          <w:tcPr>
            <w:tcW w:w="2300" w:type="dxa"/>
            <w:vAlign w:val="center"/>
            <w:textDirection w:val="lrTb"/>
            <w:noWrap w:val="false"/>
          </w:tcPr>
          <w:p>
            <w:pPr>
              <w:jc w:val="lef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逾期付款利息</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876"/>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第15.4款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其他违约责任</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r>
            <w:r/>
          </w:p>
        </w:tc>
      </w:tr>
      <w:tr>
        <w:trPr>
          <w:trHeight w:val="90"/>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第19.2款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解决争议的方法</w:t>
            </w: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bidi="ar-SA"/>
              </w:rPr>
              <w:t xml:space="preserve">因本合同及合同有关事项发生的争议，按下列第</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种方式解决：</w:t>
            </w:r>
            <w:r/>
          </w:p>
          <w:p>
            <w:pPr>
              <w:jc w:val="left"/>
              <w:spacing w:line="400" w:lineRule="exact"/>
              <w:widowControl w:val="off"/>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bidi="ar-SA"/>
              </w:rPr>
              <w:t xml:space="preserve">（1）向</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仲裁委员会申请仲裁，仲裁地点为</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w:t>
            </w:r>
            <w:r/>
          </w:p>
          <w:p>
            <w:pPr>
              <w:jc w:val="left"/>
              <w:widowControl w:val="off"/>
              <w:rPr>
                <w:rFonts w:ascii="宋体" w:hAnsi="宋体" w:eastAsia="宋体" w:cs="Times New Roman"/>
                <w:color w:val="auto"/>
                <w:sz w:val="21"/>
                <w:szCs w:val="21"/>
                <w:highlight w:val="none"/>
                <w:u w:val="single"/>
              </w:rPr>
            </w:pPr>
            <w:r>
              <w:rPr>
                <w:rFonts w:hint="eastAsia" w:ascii="宋体" w:hAnsi="宋体" w:eastAsia="宋体" w:cs="宋体"/>
                <w:iCs/>
                <w:color w:val="auto"/>
                <w:sz w:val="21"/>
                <w:szCs w:val="21"/>
                <w:highlight w:val="none"/>
                <w:lang w:val="en-US" w:eastAsia="zh-CN" w:bidi="ar-SA"/>
              </w:rPr>
              <w:t xml:space="preserve">（2）向</w:t>
            </w:r>
            <w:r>
              <w:rPr>
                <w:rFonts w:hint="eastAsia" w:ascii="宋体" w:hAnsi="宋体" w:eastAsia="宋体" w:cs="宋体"/>
                <w:iCs/>
                <w:color w:val="auto"/>
                <w:sz w:val="21"/>
                <w:szCs w:val="21"/>
                <w:highlight w:val="none"/>
                <w:u w:val="single"/>
                <w:lang w:val="en-US" w:eastAsia="zh-CN" w:bidi="ar-SA"/>
              </w:rPr>
              <w:t xml:space="preserve">                    </w:t>
            </w:r>
            <w:r>
              <w:rPr>
                <w:rFonts w:hint="eastAsia" w:ascii="宋体" w:hAnsi="宋体" w:eastAsia="宋体" w:cs="宋体"/>
                <w:iCs/>
                <w:color w:val="auto"/>
                <w:sz w:val="21"/>
                <w:szCs w:val="21"/>
                <w:highlight w:val="none"/>
                <w:lang w:val="en-US" w:eastAsia="zh-CN" w:bidi="ar-SA"/>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第二节</w:t>
            </w:r>
            <w:r/>
          </w:p>
          <w:p>
            <w:pPr>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第23.1款</w:t>
            </w:r>
            <w:r/>
          </w:p>
        </w:tc>
        <w:tc>
          <w:tcPr>
            <w:tcW w:w="2300"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lang w:val="en-US" w:eastAsia="zh-CN" w:bidi="ar-SA"/>
              </w:rPr>
              <w:t xml:space="preserve">其他专用条款</w:t>
            </w:r>
            <w:r/>
          </w:p>
        </w:tc>
        <w:tc>
          <w:tcPr>
            <w:tcW w:w="5024" w:type="dxa"/>
            <w:vAlign w:val="center"/>
            <w:textDirection w:val="lrTb"/>
            <w:noWrap w:val="false"/>
          </w:tcPr>
          <w:p>
            <w:pPr>
              <w:jc w:val="lef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bl>
    <w:p>
      <w:pPr>
        <w:rPr>
          <w:color w:val="auto"/>
          <w:szCs w:val="24"/>
          <w:highlight w:val="none"/>
        </w:rPr>
      </w:pPr>
      <w:r>
        <w:rPr>
          <w:color w:val="auto"/>
          <w:szCs w:val="24"/>
          <w:highlight w:val="none"/>
        </w:rPr>
      </w:r>
      <w:r/>
    </w:p>
    <w:p>
      <w:pPr>
        <w:spacing w:line="360" w:lineRule="auto"/>
        <w:rPr>
          <w:rFonts w:ascii="等线" w:hAnsi="等线" w:eastAsia="等线" w:cs="仿宋"/>
          <w:color w:val="auto"/>
          <w:szCs w:val="21"/>
          <w:highlight w:val="none"/>
        </w:rPr>
      </w:pPr>
      <w:r>
        <w:rPr>
          <w:rFonts w:ascii="等线" w:hAnsi="等线" w:eastAsia="等线" w:cs="仿宋"/>
          <w:color w:val="auto"/>
          <w:szCs w:val="21"/>
          <w:highlight w:val="none"/>
        </w:rPr>
      </w:r>
      <w:r/>
    </w:p>
    <w:p>
      <w:pPr>
        <w:jc w:val="center"/>
        <w:spacing w:before="120" w:after="120" w:line="480" w:lineRule="exact"/>
        <w:rPr>
          <w:rFonts w:hint="eastAsia" w:ascii="宋体" w:hAnsi="宋体" w:cs="Courier New"/>
          <w:color w:val="auto"/>
          <w:sz w:val="24"/>
          <w:szCs w:val="24"/>
          <w:highlight w:val="none"/>
        </w:rPr>
        <w:outlineLvl w:val="0"/>
      </w:pPr>
      <w:r>
        <w:rPr>
          <w:rFonts w:ascii="黑体" w:hAnsi="Courier New" w:eastAsia="黑体" w:cs="Courier New"/>
          <w:bCs/>
          <w:color w:val="auto"/>
          <w:sz w:val="44"/>
          <w:szCs w:val="21"/>
          <w:highlight w:val="none"/>
        </w:rPr>
        <w:br w:type="page" w:clear="all"/>
      </w:r>
      <w:bookmarkStart w:id="191" w:name="_Toc32334"/>
      <w:r>
        <w:rPr>
          <w:rFonts w:hint="eastAsia" w:ascii="黑体" w:hAnsi="Courier New" w:eastAsia="黑体" w:cs="Courier New"/>
          <w:bCs/>
          <w:color w:val="auto"/>
          <w:sz w:val="44"/>
          <w:szCs w:val="21"/>
          <w:highlight w:val="none"/>
        </w:rPr>
        <w:t xml:space="preserve">第</w:t>
      </w:r>
      <w:bookmarkEnd w:id="180"/>
      <w:r>
        <w:rPr>
          <w:rFonts w:hint="eastAsia" w:ascii="黑体" w:hAnsi="Courier New" w:eastAsia="黑体" w:cs="Courier New"/>
          <w:bCs/>
          <w:color w:val="auto"/>
          <w:sz w:val="44"/>
          <w:szCs w:val="21"/>
          <w:highlight w:val="none"/>
        </w:rPr>
        <w:t xml:space="preserve">四章 </w:t>
      </w:r>
      <w:r>
        <w:rPr>
          <w:rFonts w:ascii="黑体" w:hAnsi="Courier New" w:eastAsia="黑体" w:cs="Courier New"/>
          <w:bCs/>
          <w:color w:val="auto"/>
          <w:sz w:val="44"/>
          <w:szCs w:val="21"/>
          <w:highlight w:val="none"/>
        </w:rPr>
        <w:t xml:space="preserve"> </w:t>
      </w:r>
      <w:r>
        <w:rPr>
          <w:rFonts w:hint="eastAsia" w:ascii="黑体" w:hAnsi="Courier New" w:eastAsia="黑体" w:cs="Courier New"/>
          <w:bCs/>
          <w:color w:val="auto"/>
          <w:sz w:val="44"/>
          <w:szCs w:val="21"/>
          <w:highlight w:val="none"/>
        </w:rPr>
        <w:t xml:space="preserve">采购需求</w:t>
      </w:r>
      <w:bookmarkEnd w:id="181"/>
      <w:r/>
      <w:bookmarkEnd w:id="182"/>
      <w:r/>
      <w:bookmarkEnd w:id="183"/>
      <w:r/>
      <w:bookmarkEnd w:id="191"/>
      <w:r/>
      <w:r/>
    </w:p>
    <w:p>
      <w:pPr>
        <w:keepLines w:val="0"/>
        <w:keepNext w:val="0"/>
        <w:pageBreakBefore w:val="0"/>
        <w:spacing w:after="62" w:line="480" w:lineRule="exact"/>
        <w:widowControl w:val="off"/>
        <w:rPr>
          <w:rFonts w:ascii="Times New Roman" w:hAnsi="Times New Roman" w:eastAsia="仿宋" w:cs="Times New Roman"/>
          <w:color w:val="auto"/>
          <w:sz w:val="28"/>
          <w:szCs w:val="28"/>
          <w:highlight w:val="none"/>
        </w:rPr>
      </w:pPr>
      <w:r/>
      <w:bookmarkStart w:id="192" w:name="_Toc120614281"/>
      <w:r/>
      <w:bookmarkStart w:id="193" w:name="_Toc49090575"/>
      <w:r/>
      <w:bookmarkStart w:id="194" w:name="_Toc26554093"/>
      <w:r>
        <w:rPr>
          <w:rFonts w:ascii="Times New Roman" w:hAnsi="Times New Roman" w:eastAsia="仿宋" w:cs="Times New Roman"/>
          <w:color w:val="auto"/>
          <w:sz w:val="28"/>
          <w:szCs w:val="28"/>
          <w:highlight w:val="none"/>
        </w:rPr>
        <w:t xml:space="preserve">项目属性</w:t>
      </w:r>
      <w:r>
        <w:rPr>
          <w:rFonts w:hint="eastAsia" w:ascii="Times New Roman" w:hAnsi="Times New Roman" w:eastAsia="仿宋" w:cs="Times New Roman"/>
          <w:color w:val="auto"/>
          <w:sz w:val="28"/>
          <w:szCs w:val="28"/>
          <w:highlight w:val="none"/>
          <w:lang w:eastAsia="zh-CN"/>
        </w:rPr>
        <w:t xml:space="preserve">：</w:t>
      </w:r>
      <w:r>
        <w:rPr>
          <w:rFonts w:ascii="Times New Roman" w:hAnsi="Times New Roman" w:eastAsia="仿宋" w:cs="Times New Roman"/>
          <w:color w:val="auto"/>
          <w:sz w:val="28"/>
          <w:szCs w:val="28"/>
          <w:highlight w:val="none"/>
        </w:rPr>
        <w:t xml:space="preserve">货物类项目。</w:t>
      </w:r>
      <w:r/>
    </w:p>
    <w:p>
      <w:pPr>
        <w:spacing w:after="62" w:line="540" w:lineRule="exact"/>
        <w:rPr>
          <w:rFonts w:ascii="Times New Roman" w:hAnsi="Times New Roman" w:eastAsia="仿宋" w:cs="Times New Roman"/>
          <w:color w:val="auto"/>
          <w:sz w:val="28"/>
          <w:szCs w:val="28"/>
          <w:highlight w:val="none"/>
        </w:rPr>
      </w:pPr>
      <w:r>
        <w:rPr>
          <w:rFonts w:ascii="Times New Roman" w:hAnsi="Times New Roman" w:eastAsia="仿宋" w:cs="Times New Roman"/>
          <w:b/>
          <w:color w:val="auto"/>
          <w:sz w:val="28"/>
          <w:szCs w:val="28"/>
          <w:highlight w:val="none"/>
        </w:rPr>
        <w:t xml:space="preserve">一、采购标的清单：</w:t>
      </w:r>
      <w:r/>
    </w:p>
    <w:tbl>
      <w:tblPr>
        <w:tblStyle w:val="10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04"/>
        <w:gridCol w:w="3990"/>
        <w:gridCol w:w="2419"/>
      </w:tblGrid>
      <w:tr>
        <w:trPr>
          <w:cantSplit/>
          <w:jc w:val="center"/>
        </w:trPr>
        <w:tc>
          <w:tcPr>
            <w:tcW w:w="846" w:type="dxa"/>
            <w:vAlign w:val="center"/>
            <w:textDirection w:val="lrTb"/>
            <w:noWrap w:val="false"/>
          </w:tcPr>
          <w:p>
            <w:pPr>
              <w:jc w:val="center"/>
              <w:spacing w:after="62" w:line="540" w:lineRule="exact"/>
              <w:rPr>
                <w:rFonts w:ascii="Times New Roman" w:hAnsi="Times New Roman" w:eastAsia="仿宋" w:cs="Times New Roman"/>
                <w:color w:val="auto"/>
                <w:sz w:val="24"/>
                <w:szCs w:val="24"/>
                <w:highlight w:val="none"/>
              </w:rPr>
            </w:pPr>
            <w:r>
              <w:rPr>
                <w:rFonts w:ascii="Times New Roman" w:hAnsi="Times New Roman" w:eastAsia="仿宋" w:cs="Times New Roman"/>
                <w:color w:val="auto"/>
                <w:sz w:val="24"/>
                <w:szCs w:val="24"/>
                <w:highlight w:val="none"/>
              </w:rPr>
              <w:t xml:space="preserve">分包</w:t>
            </w:r>
            <w:r/>
          </w:p>
        </w:tc>
        <w:tc>
          <w:tcPr>
            <w:tcW w:w="1104" w:type="dxa"/>
            <w:vAlign w:val="center"/>
            <w:textDirection w:val="lrTb"/>
            <w:noWrap w:val="false"/>
          </w:tcPr>
          <w:p>
            <w:pPr>
              <w:jc w:val="center"/>
              <w:spacing w:after="62" w:line="540" w:lineRule="exact"/>
              <w:rPr>
                <w:rFonts w:ascii="Times New Roman" w:hAnsi="Times New Roman" w:eastAsia="仿宋" w:cs="Times New Roman"/>
                <w:color w:val="auto"/>
                <w:sz w:val="24"/>
                <w:szCs w:val="24"/>
                <w:highlight w:val="none"/>
              </w:rPr>
            </w:pPr>
            <w:r>
              <w:rPr>
                <w:rFonts w:ascii="Times New Roman" w:hAnsi="Times New Roman" w:eastAsia="仿宋" w:cs="Times New Roman"/>
                <w:color w:val="auto"/>
                <w:sz w:val="24"/>
                <w:szCs w:val="24"/>
                <w:highlight w:val="none"/>
              </w:rPr>
              <w:t xml:space="preserve">序号</w:t>
            </w:r>
            <w:r/>
          </w:p>
        </w:tc>
        <w:tc>
          <w:tcPr>
            <w:tcW w:w="3990" w:type="dxa"/>
            <w:vAlign w:val="center"/>
            <w:textDirection w:val="lrTb"/>
            <w:noWrap w:val="false"/>
          </w:tcPr>
          <w:p>
            <w:pPr>
              <w:jc w:val="center"/>
              <w:spacing w:after="62" w:line="540" w:lineRule="exact"/>
              <w:rPr>
                <w:rFonts w:ascii="Times New Roman" w:hAnsi="Times New Roman" w:eastAsia="仿宋" w:cs="Times New Roman"/>
                <w:color w:val="auto"/>
                <w:sz w:val="24"/>
                <w:szCs w:val="24"/>
                <w:highlight w:val="none"/>
              </w:rPr>
            </w:pPr>
            <w:r>
              <w:rPr>
                <w:rFonts w:ascii="Times New Roman" w:hAnsi="Times New Roman" w:eastAsia="仿宋" w:cs="Times New Roman"/>
                <w:color w:val="auto"/>
                <w:sz w:val="24"/>
                <w:szCs w:val="24"/>
                <w:highlight w:val="none"/>
              </w:rPr>
              <w:t xml:space="preserve">采购标的</w:t>
            </w:r>
            <w:r/>
          </w:p>
        </w:tc>
        <w:tc>
          <w:tcPr>
            <w:tcW w:w="2419" w:type="dxa"/>
            <w:vAlign w:val="center"/>
            <w:textDirection w:val="lrTb"/>
            <w:noWrap w:val="false"/>
          </w:tcPr>
          <w:p>
            <w:pPr>
              <w:jc w:val="center"/>
              <w:spacing w:after="62" w:line="540" w:lineRule="exact"/>
              <w:rPr>
                <w:rFonts w:ascii="Times New Roman" w:hAnsi="Times New Roman" w:eastAsia="仿宋" w:cs="Times New Roman"/>
                <w:color w:val="auto"/>
                <w:sz w:val="24"/>
                <w:szCs w:val="24"/>
                <w:highlight w:val="none"/>
              </w:rPr>
            </w:pPr>
            <w:r>
              <w:rPr>
                <w:rFonts w:ascii="Times New Roman" w:hAnsi="Times New Roman" w:eastAsia="仿宋" w:cs="Times New Roman"/>
                <w:color w:val="auto"/>
                <w:sz w:val="24"/>
                <w:szCs w:val="24"/>
                <w:highlight w:val="none"/>
              </w:rPr>
              <w:t xml:space="preserve">对应中小企业划分标准所属行业</w:t>
            </w:r>
            <w:r/>
          </w:p>
        </w:tc>
      </w:tr>
      <w:tr>
        <w:trPr>
          <w:cantSplit/>
          <w:jc w:val="center"/>
        </w:trPr>
        <w:tc>
          <w:tcPr>
            <w:tcW w:w="846" w:type="dxa"/>
            <w:vAlign w:val="center"/>
            <w:textDirection w:val="lrTb"/>
            <w:noWrap w:val="false"/>
          </w:tcPr>
          <w:p>
            <w:pPr>
              <w:jc w:val="center"/>
              <w:spacing w:after="62" w:line="540" w:lineRule="exact"/>
              <w:rPr>
                <w:rFonts w:ascii="Times New Roman" w:hAnsi="Times New Roman" w:eastAsia="仿宋" w:cs="Times New Roman"/>
                <w:color w:val="auto"/>
                <w:sz w:val="24"/>
                <w:szCs w:val="24"/>
                <w:highlight w:val="none"/>
              </w:rPr>
            </w:pPr>
            <w:r>
              <w:rPr>
                <w:rFonts w:ascii="Times New Roman" w:hAnsi="Times New Roman" w:eastAsia="仿宋" w:cs="Times New Roman"/>
                <w:color w:val="auto"/>
                <w:sz w:val="24"/>
                <w:szCs w:val="24"/>
                <w:highlight w:val="none"/>
              </w:rPr>
              <w:t xml:space="preserve">包1</w:t>
            </w:r>
            <w:r/>
          </w:p>
        </w:tc>
        <w:tc>
          <w:tcPr>
            <w:tcW w:w="1104" w:type="dxa"/>
            <w:vAlign w:val="center"/>
            <w:textDirection w:val="lrTb"/>
            <w:noWrap w:val="false"/>
          </w:tcPr>
          <w:p>
            <w:pPr>
              <w:jc w:val="center"/>
              <w:spacing w:after="62" w:line="540" w:lineRule="exact"/>
              <w:rPr>
                <w:rFonts w:ascii="Times New Roman" w:hAnsi="Times New Roman" w:eastAsia="仿宋" w:cs="Times New Roman"/>
                <w:color w:val="auto"/>
                <w:sz w:val="24"/>
                <w:szCs w:val="24"/>
                <w:highlight w:val="none"/>
              </w:rPr>
            </w:pPr>
            <w:r>
              <w:rPr>
                <w:rFonts w:ascii="Times New Roman" w:hAnsi="Times New Roman" w:eastAsia="仿宋" w:cs="Times New Roman"/>
                <w:color w:val="auto"/>
                <w:sz w:val="24"/>
                <w:szCs w:val="24"/>
                <w:highlight w:val="none"/>
              </w:rPr>
              <w:t xml:space="preserve">1</w:t>
            </w:r>
            <w:r/>
          </w:p>
        </w:tc>
        <w:tc>
          <w:tcPr>
            <w:tcW w:w="3990" w:type="dxa"/>
            <w:vAlign w:val="center"/>
            <w:textDirection w:val="lrTb"/>
            <w:noWrap w:val="false"/>
          </w:tcPr>
          <w:p>
            <w:pPr>
              <w:jc w:val="center"/>
              <w:spacing w:after="62" w:line="540" w:lineRule="exact"/>
              <w:rPr>
                <w:rFonts w:ascii="Times New Roman" w:hAnsi="Times New Roman" w:eastAsia="仿宋" w:cs="Times New Roman"/>
                <w:color w:val="auto"/>
                <w:sz w:val="24"/>
                <w:szCs w:val="24"/>
                <w:highlight w:val="none"/>
              </w:rPr>
            </w:pPr>
            <w:r>
              <w:rPr>
                <w:rFonts w:ascii="Times New Roman" w:hAnsi="Times New Roman" w:eastAsia="仿宋" w:cs="Times New Roman"/>
                <w:b/>
                <w:bCs/>
                <w:color w:val="auto"/>
                <w:sz w:val="24"/>
                <w:szCs w:val="24"/>
                <w:highlight w:val="none"/>
              </w:rPr>
              <w:t xml:space="preserve">详见</w:t>
            </w:r>
            <w:r>
              <w:rPr>
                <w:rFonts w:hint="eastAsia" w:eastAsia="仿宋" w:cs="Times New Roman"/>
                <w:b/>
                <w:bCs/>
                <w:color w:val="auto"/>
                <w:sz w:val="24"/>
                <w:szCs w:val="24"/>
                <w:highlight w:val="none"/>
                <w:lang w:eastAsia="zh-CN"/>
              </w:rPr>
              <w:t xml:space="preserve">“具体采购清单及技术要求”</w:t>
            </w:r>
            <w:r/>
          </w:p>
        </w:tc>
        <w:tc>
          <w:tcPr>
            <w:tcW w:w="2419" w:type="dxa"/>
            <w:vAlign w:val="center"/>
            <w:textDirection w:val="lrTb"/>
            <w:noWrap w:val="false"/>
          </w:tcPr>
          <w:p>
            <w:pPr>
              <w:jc w:val="center"/>
              <w:spacing w:after="62" w:line="540" w:lineRule="exact"/>
              <w:rPr>
                <w:rFonts w:ascii="Times New Roman" w:hAnsi="Times New Roman" w:eastAsia="仿宋" w:cs="Times New Roman"/>
                <w:color w:val="auto"/>
                <w:sz w:val="24"/>
                <w:szCs w:val="24"/>
                <w:highlight w:val="none"/>
              </w:rPr>
            </w:pPr>
            <w:r>
              <w:rPr>
                <w:rFonts w:ascii="Times New Roman" w:hAnsi="Times New Roman" w:eastAsia="仿宋" w:cs="Times New Roman"/>
                <w:color w:val="auto"/>
                <w:sz w:val="24"/>
                <w:szCs w:val="24"/>
                <w:highlight w:val="none"/>
              </w:rPr>
              <w:t xml:space="preserve">工业</w:t>
            </w:r>
            <w:r/>
          </w:p>
        </w:tc>
      </w:tr>
    </w:tbl>
    <w:p>
      <w:pPr>
        <w:pStyle w:val="1079"/>
        <w:ind w:firstLine="562"/>
        <w:rPr>
          <w:rFonts w:hint="default" w:eastAsia="仿宋"/>
          <w:color w:val="auto"/>
          <w:lang w:val="en-US" w:eastAsia="zh-CN"/>
        </w:rPr>
      </w:pPr>
      <w:r>
        <w:rPr>
          <w:rFonts w:hint="eastAsia" w:ascii="Times New Roman" w:hAnsi="Times New Roman" w:eastAsia="仿宋" w:cs="Times New Roman"/>
          <w:b/>
          <w:bCs/>
          <w:color w:val="auto"/>
          <w:sz w:val="28"/>
          <w:szCs w:val="28"/>
          <w:highlight w:val="none"/>
          <w:lang w:val="en-US" w:eastAsia="zh-CN"/>
        </w:rPr>
        <w:t xml:space="preserve">本项目核心产品（主要标的）：燃气大锅灶（1000大锅）</w:t>
      </w:r>
      <w:r/>
    </w:p>
    <w:p>
      <w:pPr>
        <w:keepLines w:val="0"/>
        <w:keepNext w:val="0"/>
        <w:pageBreakBefore w:val="0"/>
        <w:spacing w:after="62" w:line="480" w:lineRule="exact"/>
        <w:widowControl w:val="off"/>
        <w:rPr>
          <w:rFonts w:ascii="Times New Roman" w:hAnsi="Times New Roman" w:eastAsia="仿宋" w:cs="Times New Roman"/>
          <w:b/>
          <w:color w:val="auto"/>
          <w:sz w:val="28"/>
          <w:szCs w:val="28"/>
          <w:highlight w:val="none"/>
        </w:rPr>
      </w:pPr>
      <w:r>
        <w:rPr>
          <w:rFonts w:ascii="Times New Roman" w:hAnsi="Times New Roman" w:eastAsia="仿宋" w:cs="Times New Roman"/>
          <w:b/>
          <w:color w:val="auto"/>
          <w:sz w:val="28"/>
          <w:szCs w:val="28"/>
          <w:highlight w:val="none"/>
        </w:rPr>
        <w:t xml:space="preserve">二、技术要求</w:t>
      </w:r>
      <w:r/>
    </w:p>
    <w:p>
      <w:pPr>
        <w:keepLines w:val="0"/>
        <w:keepNext w:val="0"/>
        <w:pageBreakBefore w:val="0"/>
        <w:spacing w:after="62" w:line="480" w:lineRule="exact"/>
        <w:widowControl w:val="off"/>
        <w:rPr>
          <w:rFonts w:ascii="Times New Roman" w:hAnsi="Times New Roman" w:eastAsia="仿宋" w:cs="Times New Roman"/>
          <w:bCs/>
          <w:color w:val="auto"/>
          <w:sz w:val="24"/>
          <w:szCs w:val="24"/>
          <w:highlight w:val="none"/>
        </w:rPr>
      </w:pPr>
      <w:r>
        <w:rPr>
          <w:rFonts w:ascii="Times New Roman" w:hAnsi="Times New Roman" w:eastAsia="仿宋" w:cs="Times New Roman"/>
          <w:bCs/>
          <w:color w:val="auto"/>
          <w:sz w:val="24"/>
          <w:szCs w:val="24"/>
          <w:highlight w:val="none"/>
        </w:rPr>
        <w:t xml:space="preserve">包括性能、材料、结构、外观、安全，或者服务内容和标准等；餐桌、保温柜等：</w:t>
      </w:r>
      <w:r/>
    </w:p>
    <w:p>
      <w:pPr>
        <w:keepLines w:val="0"/>
        <w:keepNext w:val="0"/>
        <w:pageBreakBefore w:val="0"/>
        <w:spacing w:after="62" w:line="480" w:lineRule="exact"/>
        <w:widowControl w:val="off"/>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（一）采购标的需实现的功能或者目标</w:t>
      </w:r>
      <w:r>
        <w:rPr>
          <w:rFonts w:hint="eastAsia" w:ascii="Times New Roman" w:hAnsi="Times New Roman" w:eastAsia="仿宋" w:cs="Times New Roman"/>
          <w:b/>
          <w:bCs/>
          <w:color w:val="auto"/>
          <w:sz w:val="28"/>
          <w:szCs w:val="28"/>
          <w:highlight w:val="none"/>
          <w:lang w:eastAsia="zh-CN"/>
        </w:rPr>
        <w:t xml:space="preserve">，</w:t>
      </w:r>
      <w:r>
        <w:rPr>
          <w:rFonts w:ascii="Times New Roman" w:hAnsi="Times New Roman" w:eastAsia="仿宋" w:cs="Times New Roman"/>
          <w:b/>
          <w:bCs/>
          <w:color w:val="auto"/>
          <w:sz w:val="28"/>
          <w:szCs w:val="28"/>
          <w:highlight w:val="none"/>
        </w:rPr>
        <w:t xml:space="preserve"> 以及为落实政府采购政策需满足的要求</w:t>
      </w:r>
      <w:r/>
    </w:p>
    <w:p>
      <w:pPr>
        <w:keepLines w:val="0"/>
        <w:keepNext w:val="0"/>
        <w:pageBreakBefore w:val="0"/>
        <w:spacing w:after="62" w:line="480" w:lineRule="exact"/>
        <w:widowControl w:val="off"/>
        <w:rPr>
          <w:rFonts w:ascii="Times New Roman" w:hAnsi="Times New Roman" w:eastAsia="仿宋" w:cs="Times New Roman"/>
          <w:bCs/>
          <w:color w:val="auto"/>
          <w:sz w:val="24"/>
          <w:szCs w:val="24"/>
          <w:highlight w:val="none"/>
        </w:rPr>
      </w:pPr>
      <w:r>
        <w:rPr>
          <w:rFonts w:ascii="Times New Roman" w:hAnsi="Times New Roman" w:eastAsia="仿宋" w:cs="Times New Roman"/>
          <w:bCs/>
          <w:color w:val="auto"/>
          <w:sz w:val="24"/>
          <w:szCs w:val="24"/>
          <w:highlight w:val="none"/>
        </w:rPr>
        <w:t xml:space="preserve">学校食堂设备采购项目，满足学校师生员工就餐需求。采购范围包括学校厨房设备的制作、运输、安装、摆放就位、检测、售后服务等，性能、材料、结构、外观、安全等技术参数详见清单。本项目为“交钥匙工程”，项目所需厨具的制造、包装、运输（运到采购人指定地点），厨具设备安装过程中可能涉及原有进排水系统、供电、供气线路调整，以及厨具安装调试、试运行、验收、提供备品备件、技术培训、成品保护、售后服务、质保、维护保养等，直至最后交付使用的完整性项目。以上所涉及并产生的费用均包含在响应总价中，成交人不得再要求追加任何费用。</w:t>
      </w:r>
      <w:r/>
    </w:p>
    <w:p>
      <w:pPr>
        <w:keepLines w:val="0"/>
        <w:keepNext w:val="0"/>
        <w:pageBreakBefore w:val="0"/>
        <w:spacing w:after="62" w:line="480" w:lineRule="exact"/>
        <w:widowControl w:val="off"/>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（二）采购标的需执行的国家相关标准、行业标准、地方标准或者其他标准、规范</w:t>
      </w:r>
      <w:r/>
    </w:p>
    <w:p>
      <w:pPr>
        <w:keepLines w:val="0"/>
        <w:keepNext w:val="0"/>
        <w:pageBreakBefore w:val="0"/>
        <w:spacing w:after="62" w:line="480" w:lineRule="exact"/>
        <w:widowControl w:val="off"/>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1.</w:t>
      </w:r>
      <w:r>
        <w:rPr>
          <w:rFonts w:ascii="Times New Roman" w:hAnsi="Times New Roman" w:eastAsia="仿宋" w:cs="Times New Roman"/>
          <w:color w:val="auto"/>
          <w:sz w:val="24"/>
          <w:szCs w:val="24"/>
          <w:highlight w:val="none"/>
        </w:rPr>
        <w:t xml:space="preserve">投标产品的技术标准按国家标准执行，无国家标准的，按行业标准执行；无国家和行业标准的，按企业标准执行；但在招标文件中有特别要求的，按招标文件中规定的要求执行，并且符合相关</w:t>
      </w:r>
      <w:r>
        <w:rPr>
          <w:rFonts w:hint="eastAsia" w:ascii="Times New Roman" w:hAnsi="Times New Roman" w:eastAsia="仿宋" w:cs="Times New Roman"/>
          <w:color w:val="auto"/>
          <w:sz w:val="24"/>
          <w:szCs w:val="24"/>
          <w:highlight w:val="none"/>
          <w:lang w:eastAsia="zh-CN"/>
        </w:rPr>
        <w:t xml:space="preserve">法律法规</w:t>
      </w:r>
      <w:r>
        <w:rPr>
          <w:rFonts w:ascii="Times New Roman" w:hAnsi="Times New Roman" w:eastAsia="仿宋" w:cs="Times New Roman"/>
          <w:color w:val="auto"/>
          <w:sz w:val="24"/>
          <w:szCs w:val="24"/>
          <w:highlight w:val="none"/>
        </w:rPr>
        <w:t xml:space="preserve">规定的要求。</w:t>
      </w:r>
      <w:r/>
    </w:p>
    <w:p>
      <w:pPr>
        <w:keepLines w:val="0"/>
        <w:keepNext w:val="0"/>
        <w:pageBreakBefore w:val="0"/>
        <w:spacing w:after="62" w:line="480" w:lineRule="exact"/>
        <w:widowControl w:val="off"/>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2.</w:t>
      </w:r>
      <w:r>
        <w:rPr>
          <w:rFonts w:ascii="Times New Roman" w:hAnsi="Times New Roman" w:eastAsia="仿宋" w:cs="Times New Roman"/>
          <w:color w:val="auto"/>
          <w:sz w:val="24"/>
          <w:szCs w:val="24"/>
          <w:highlight w:val="none"/>
        </w:rPr>
        <w:t xml:space="preserve">项目提供的技术要求</w:t>
      </w:r>
      <w:r>
        <w:rPr>
          <w:rFonts w:hint="eastAsia" w:ascii="Times New Roman" w:hAnsi="Times New Roman" w:eastAsia="仿宋" w:cs="Times New Roman"/>
          <w:color w:val="auto"/>
          <w:sz w:val="24"/>
          <w:szCs w:val="24"/>
          <w:highlight w:val="none"/>
          <w:lang w:eastAsia="zh-CN"/>
        </w:rPr>
        <w:t xml:space="preserve">（</w:t>
      </w:r>
      <w:r>
        <w:rPr>
          <w:rFonts w:ascii="Times New Roman" w:hAnsi="Times New Roman" w:eastAsia="仿宋" w:cs="Times New Roman"/>
          <w:color w:val="auto"/>
          <w:sz w:val="24"/>
          <w:szCs w:val="24"/>
          <w:highlight w:val="none"/>
        </w:rPr>
        <w:t xml:space="preserve">规格</w:t>
      </w:r>
      <w:r>
        <w:rPr>
          <w:rFonts w:hint="eastAsia" w:ascii="Times New Roman" w:hAnsi="Times New Roman" w:eastAsia="仿宋" w:cs="Times New Roman"/>
          <w:color w:val="auto"/>
          <w:sz w:val="24"/>
          <w:szCs w:val="24"/>
          <w:highlight w:val="none"/>
          <w:lang w:eastAsia="zh-CN"/>
        </w:rPr>
        <w:t xml:space="preserve">）</w:t>
      </w:r>
      <w:r>
        <w:rPr>
          <w:rFonts w:ascii="Times New Roman" w:hAnsi="Times New Roman" w:eastAsia="仿宋" w:cs="Times New Roman"/>
          <w:color w:val="auto"/>
          <w:sz w:val="24"/>
          <w:szCs w:val="24"/>
          <w:highlight w:val="none"/>
        </w:rPr>
        <w:t xml:space="preserve">只是对产品的一些原则性要求，并不是最详尽的描述和要求，投标人有责任依据相关设计技术规范和有关行业国家标准执行。</w:t>
      </w:r>
      <w:r/>
    </w:p>
    <w:p>
      <w:pPr>
        <w:keepLines w:val="0"/>
        <w:keepNext w:val="0"/>
        <w:pageBreakBefore w:val="0"/>
        <w:spacing w:after="62" w:line="480" w:lineRule="exact"/>
        <w:widowControl w:val="off"/>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3.</w:t>
      </w:r>
      <w:r>
        <w:rPr>
          <w:rFonts w:ascii="Times New Roman" w:hAnsi="Times New Roman" w:eastAsia="仿宋" w:cs="Times New Roman"/>
          <w:color w:val="auto"/>
          <w:sz w:val="24"/>
          <w:szCs w:val="24"/>
          <w:highlight w:val="none"/>
        </w:rPr>
        <w:t xml:space="preserve">投标人应保证提供的产品不得侵犯第三方专利权、商标权和设计权、版权等。否则，投标人应负全部责任，并承担由此引起的一切后果。</w:t>
      </w:r>
      <w:r/>
    </w:p>
    <w:p>
      <w:pPr>
        <w:keepLines w:val="0"/>
        <w:keepNext w:val="0"/>
        <w:pageBreakBefore w:val="0"/>
        <w:spacing w:after="62" w:line="480" w:lineRule="exact"/>
        <w:widowControl w:val="off"/>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4.</w:t>
      </w:r>
      <w:r>
        <w:rPr>
          <w:rFonts w:ascii="Times New Roman" w:hAnsi="Times New Roman" w:eastAsia="仿宋" w:cs="Times New Roman"/>
          <w:color w:val="auto"/>
          <w:sz w:val="24"/>
          <w:szCs w:val="24"/>
          <w:highlight w:val="none"/>
        </w:rPr>
        <w:t xml:space="preserve">原材料抽检要求：在采购产品生产过程中，采购人必要时可以进行驻厂监督。中标人交货后，安装前，由中标人委托具有相应资质的第三方检测单位（须经采购人同意）对采购产品（主要是不锈钢制品）进行检测或抽检，费用含在报价中，结算时不</w:t>
      </w:r>
      <w:r>
        <w:rPr>
          <w:rFonts w:hint="eastAsia" w:ascii="Times New Roman" w:hAnsi="Times New Roman" w:eastAsia="仿宋" w:cs="Times New Roman"/>
          <w:color w:val="auto"/>
          <w:sz w:val="24"/>
          <w:szCs w:val="24"/>
          <w:highlight w:val="none"/>
          <w:lang w:eastAsia="zh-CN"/>
        </w:rPr>
        <w:t xml:space="preserve">做</w:t>
      </w:r>
      <w:r>
        <w:rPr>
          <w:rFonts w:ascii="Times New Roman" w:hAnsi="Times New Roman" w:eastAsia="仿宋" w:cs="Times New Roman"/>
          <w:color w:val="auto"/>
          <w:sz w:val="24"/>
          <w:szCs w:val="24"/>
          <w:highlight w:val="none"/>
        </w:rPr>
        <w:t xml:space="preserve">调整。如不符合采购需求中技术参数要求的，采购人有权终止合同，扣除全部履约保证金，给采购人造成的损失由中标人承担。</w:t>
      </w:r>
      <w:r/>
    </w:p>
    <w:p>
      <w:pPr>
        <w:ind w:left="0" w:right="0" w:firstLine="0"/>
        <w:jc w:val="both"/>
        <w:spacing w:before="0" w:after="62"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（三）采购标的需满足的质量、安全、技术规格、物理特性等要求</w:t>
      </w:r>
      <w:r/>
    </w:p>
    <w:p>
      <w:pPr>
        <w:ind w:firstLine="562"/>
        <w:jc w:val="left"/>
        <w:spacing w:after="62" w:line="540" w:lineRule="exact"/>
        <w:rPr>
          <w:rFonts w:hint="default" w:eastAsia="仿宋"/>
          <w:color w:val="auto"/>
          <w:lang w:val="en-US" w:eastAsia="zh-CN"/>
        </w:rPr>
      </w:pPr>
      <w:r>
        <w:rPr>
          <w:rFonts w:ascii="Times New Roman" w:hAnsi="Times New Roman" w:eastAsia="仿宋" w:cs="Times New Roman"/>
          <w:b/>
          <w:bCs/>
          <w:color w:val="auto"/>
          <w:sz w:val="28"/>
          <w:szCs w:val="28"/>
          <w:highlight w:val="none"/>
        </w:rPr>
        <w:t xml:space="preserve">具体采购清单及技术要求</w:t>
      </w:r>
      <w:r>
        <w:rPr>
          <w:rFonts w:hint="eastAsia" w:eastAsia="仿宋" w:cs="Times New Roman"/>
          <w:b/>
          <w:bCs/>
          <w:color w:val="auto"/>
          <w:sz w:val="28"/>
          <w:szCs w:val="28"/>
          <w:highlight w:val="none"/>
          <w:lang w:eastAsia="zh-CN"/>
        </w:rPr>
        <w:t xml:space="preserve">，</w:t>
      </w:r>
      <w:r>
        <w:rPr>
          <w:rFonts w:hint="eastAsia" w:ascii="Times New Roman" w:hAnsi="Times New Roman" w:eastAsia="仿宋" w:cs="Times New Roman"/>
          <w:b/>
          <w:bCs/>
          <w:color w:val="auto"/>
          <w:sz w:val="28"/>
          <w:szCs w:val="28"/>
          <w:highlight w:val="none"/>
          <w:lang w:val="en-US" w:eastAsia="zh-CN"/>
        </w:rPr>
        <w:t xml:space="preserve">包含如下三部分：</w:t>
      </w:r>
      <w:r/>
    </w:p>
    <w:p>
      <w:pPr>
        <w:ind w:firstLine="562"/>
        <w:jc w:val="left"/>
        <w:spacing w:after="62" w:line="540" w:lineRule="exact"/>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①食堂功能区域设备采购清单及技术参数</w:t>
      </w:r>
      <w:r/>
    </w:p>
    <w:p>
      <w:pPr>
        <w:ind w:firstLine="562"/>
        <w:jc w:val="left"/>
        <w:spacing w:after="62" w:line="540" w:lineRule="exact"/>
        <w:rPr>
          <w:rFonts w:hint="eastAsia" w:ascii="Times New Roman" w:hAnsi="Times New Roman" w:eastAsia="仿宋" w:cs="Times New Roman"/>
          <w:b/>
          <w:bCs/>
          <w:color w:val="auto"/>
          <w:sz w:val="28"/>
          <w:szCs w:val="28"/>
          <w:highlight w:val="none"/>
        </w:rPr>
      </w:pPr>
      <w:r>
        <w:rPr>
          <w:rFonts w:hint="eastAsia" w:ascii="Times New Roman" w:hAnsi="Times New Roman" w:eastAsia="仿宋" w:cs="Times New Roman"/>
          <w:b/>
          <w:bCs/>
          <w:color w:val="auto"/>
          <w:sz w:val="28"/>
          <w:szCs w:val="28"/>
          <w:highlight w:val="none"/>
        </w:rPr>
        <w:t xml:space="preserve">②厨房工具采购清单及技术参数</w:t>
      </w:r>
      <w:r/>
    </w:p>
    <w:p>
      <w:pPr>
        <w:ind w:firstLine="562"/>
        <w:jc w:val="left"/>
        <w:spacing w:after="62" w:line="540" w:lineRule="exact"/>
        <w:rPr>
          <w:rFonts w:hint="eastAsia" w:ascii="Times New Roman" w:hAnsi="Times New Roman" w:eastAsia="仿宋" w:cs="Times New Roman"/>
          <w:b/>
          <w:bCs/>
          <w:color w:val="auto"/>
          <w:sz w:val="28"/>
          <w:szCs w:val="28"/>
          <w:highlight w:val="none"/>
        </w:rPr>
      </w:pPr>
      <w:r>
        <w:rPr>
          <w:rFonts w:hint="eastAsia" w:ascii="Times New Roman" w:hAnsi="Times New Roman" w:eastAsia="仿宋" w:cs="Times New Roman"/>
          <w:b/>
          <w:bCs/>
          <w:color w:val="auto"/>
          <w:sz w:val="28"/>
          <w:szCs w:val="28"/>
          <w:highlight w:val="none"/>
        </w:rPr>
        <w:t xml:space="preserve">③食堂桌椅采购清单及技术参数</w:t>
      </w:r>
      <w:r/>
    </w:p>
    <w:p>
      <w:pPr>
        <w:rPr>
          <w:rFonts w:hint="eastAsia" w:ascii="Times New Roman" w:hAnsi="Times New Roman" w:eastAsia="仿宋" w:cs="Times New Roman"/>
          <w:b/>
          <w:bCs/>
          <w:color w:val="auto"/>
          <w:sz w:val="28"/>
          <w:szCs w:val="28"/>
          <w:highlight w:val="none"/>
        </w:rPr>
      </w:pPr>
      <w:r>
        <w:rPr>
          <w:rFonts w:hint="eastAsia" w:ascii="Times New Roman" w:hAnsi="Times New Roman" w:eastAsia="仿宋" w:cs="Times New Roman"/>
          <w:b/>
          <w:bCs/>
          <w:color w:val="auto"/>
          <w:sz w:val="28"/>
          <w:szCs w:val="28"/>
          <w:highlight w:val="none"/>
        </w:rPr>
        <w:br w:type="page" w:clear="all"/>
      </w:r>
      <w:r/>
    </w:p>
    <w:p>
      <w:pPr>
        <w:pStyle w:val="1079"/>
        <w:rPr>
          <w:color w:val="auto"/>
        </w:rPr>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sectPr>
      </w:pPr>
      <w:r>
        <w:rPr>
          <w:color w:val="auto"/>
        </w:rPr>
      </w:r>
      <w:r/>
    </w:p>
    <w:tbl>
      <w:tblPr>
        <w:tblStyle w:val="1078"/>
        <w:tblpPr w:horzAnchor="page" w:tblpXSpec="center" w:vertAnchor="text" w:tblpY="587" w:leftFromText="180" w:topFromText="0" w:rightFromText="180" w:bottomFromText="0"/>
        <w:tblW w:w="14552" w:type="dxa"/>
        <w:jc w:val="center"/>
        <w:tblLayout w:type="autofit"/>
        <w:tblCellMar>
          <w:left w:w="108" w:type="dxa"/>
          <w:top w:w="0" w:type="dxa"/>
          <w:right w:w="108" w:type="dxa"/>
          <w:bottom w:w="0" w:type="dxa"/>
        </w:tblCellMar>
        <w:tblLook w:val="04A0" w:firstRow="1" w:lastRow="0" w:firstColumn="1" w:lastColumn="0" w:noHBand="0" w:noVBand="1"/>
      </w:tblPr>
      <w:tblGrid>
        <w:gridCol w:w="457"/>
        <w:gridCol w:w="1233"/>
        <w:gridCol w:w="2238"/>
        <w:gridCol w:w="9310"/>
        <w:gridCol w:w="870"/>
        <w:gridCol w:w="825"/>
      </w:tblGrid>
      <w:tr>
        <w:trPr>
          <w:jc w:val="center"/>
          <w:trHeight w:val="375"/>
        </w:trPr>
        <w:tc>
          <w:tcPr>
            <w:gridSpan w:val="6"/>
            <w:shd w:val="clear" w:color="auto" w:fill="auto"/>
            <w:tcBorders>
              <w:top w:val="none" w:color="000000" w:sz="4" w:space="0"/>
              <w:left w:val="none" w:color="000000" w:sz="4" w:space="0"/>
              <w:bottom w:val="none" w:color="000000" w:sz="4" w:space="0"/>
              <w:right w:val="none" w:color="000000" w:sz="4" w:space="0"/>
            </w:tcBorders>
            <w:tcW w:w="14552" w:type="dxa"/>
            <w:vAlign w:val="center"/>
            <w:textDirection w:val="lrTb"/>
            <w:noWrap/>
          </w:tcPr>
          <w:p>
            <w:pPr>
              <w:pStyle w:val="1079"/>
              <w:jc w:val="center"/>
              <w:rPr>
                <w:rFonts w:ascii="Times New Roman" w:hAnsi="Times New Roman" w:eastAsia="宋体" w:cs="Times New Roman"/>
                <w:b/>
                <w:bCs/>
                <w:color w:val="auto"/>
                <w:sz w:val="28"/>
                <w:szCs w:val="28"/>
                <w:highlight w:val="none"/>
              </w:rPr>
            </w:pPr>
            <w:r>
              <w:rPr>
                <w:color w:val="auto"/>
                <w:sz w:val="28"/>
                <w:szCs w:val="28"/>
              </w:rPr>
              <w:br w:type="column"/>
            </w:r>
            <w:r>
              <w:rPr>
                <w:rFonts w:ascii="Times New Roman" w:hAnsi="Times New Roman" w:eastAsia="宋体" w:cs="Times New Roman"/>
                <w:b/>
                <w:bCs/>
                <w:color w:val="auto"/>
                <w:sz w:val="28"/>
                <w:szCs w:val="28"/>
                <w:highlight w:val="none"/>
                <w:lang w:bidi="ar"/>
              </w:rPr>
              <w:t xml:space="preserve">①食堂功能区域设备采购清单及技术参数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jc w:val="center"/>
              <w:keepLines w:val="0"/>
              <w:keepNext w:val="0"/>
              <w:pageBreakBefore w:val="0"/>
              <w:spacing w:after="0" w:line="400" w:lineRule="exact"/>
              <w:widowControl/>
              <w:rPr>
                <w:rFonts w:hint="eastAsia"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规格尺寸</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单位</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900*400*1800</w:t>
            </w:r>
            <w:r/>
          </w:p>
          <w:p>
            <w:pPr>
              <w:jc w:val="center"/>
              <w:keepLines w:val="0"/>
              <w:keepNext w:val="0"/>
              <w:pageBreakBefore w:val="0"/>
              <w:spacing w:after="0" w:line="280" w:lineRule="exact"/>
              <w:widowControl/>
              <w:rPr>
                <w:color w:val="auto"/>
                <w:highlight w:val="none"/>
              </w:rPr>
            </w:pP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采用厚度0.6mm的优质</w:t>
            </w:r>
            <w:r>
              <w:rPr>
                <w:rFonts w:hint="eastAsia" w:ascii="Times New Roman" w:hAnsi="Times New Roman" w:eastAsia="宋体" w:cs="Times New Roman"/>
                <w:color w:val="auto"/>
                <w:sz w:val="22"/>
                <w:szCs w:val="22"/>
                <w:highlight w:val="none"/>
                <w:lang w:eastAsia="zh-CN" w:bidi="ar"/>
              </w:rPr>
              <w:t xml:space="preserve">冷轧</w:t>
            </w:r>
            <w:r>
              <w:rPr>
                <w:rFonts w:ascii="Times New Roman" w:hAnsi="Times New Roman" w:eastAsia="宋体" w:cs="Times New Roman"/>
                <w:color w:val="auto"/>
                <w:sz w:val="22"/>
                <w:szCs w:val="22"/>
                <w:highlight w:val="none"/>
                <w:lang w:bidi="ar"/>
              </w:rPr>
              <w:t xml:space="preserve">钢板经精裁、冲压、折弯、碰焊而成；</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表面经酸洗、磷化、除油除锈、高温静电</w:t>
            </w:r>
            <w:r>
              <w:rPr>
                <w:rFonts w:hint="eastAsia" w:ascii="Times New Roman" w:hAnsi="Times New Roman" w:eastAsia="宋体" w:cs="Times New Roman"/>
                <w:color w:val="auto"/>
                <w:sz w:val="22"/>
                <w:szCs w:val="22"/>
                <w:highlight w:val="none"/>
                <w:lang w:eastAsia="zh-CN" w:bidi="ar"/>
              </w:rPr>
              <w:t xml:space="preserve">粉末</w:t>
            </w:r>
            <w:r>
              <w:rPr>
                <w:rFonts w:ascii="Times New Roman" w:hAnsi="Times New Roman" w:eastAsia="宋体" w:cs="Times New Roman"/>
                <w:color w:val="auto"/>
                <w:sz w:val="22"/>
                <w:szCs w:val="22"/>
                <w:highlight w:val="none"/>
                <w:lang w:bidi="ar"/>
              </w:rPr>
              <w:t xml:space="preserve">喷塑。</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每个门均带独立锁、带挂衣杆。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5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600*500*800</w:t>
            </w:r>
            <w:r/>
          </w:p>
          <w:p>
            <w:pPr>
              <w:jc w:val="center"/>
              <w:keepLines w:val="0"/>
              <w:keepNext w:val="0"/>
              <w:pageBreakBefore w:val="0"/>
              <w:spacing w:after="0" w:line="280" w:lineRule="exact"/>
              <w:widowControl/>
              <w:rPr>
                <w:rFonts w:hint="eastAsia"/>
                <w:color w:val="auto"/>
                <w:highlight w:val="none"/>
              </w:rPr>
            </w:pP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右单星杀鱼台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ind w:firstLine="360"/>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1500*800*800</w:t>
            </w:r>
            <w:r/>
          </w:p>
          <w:p>
            <w:pPr>
              <w:pStyle w:val="110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带不锈钢落水口和不锈钢垃圾网，带溢水口。</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1000*800*800</w:t>
            </w:r>
            <w:r/>
          </w:p>
          <w:p>
            <w:pPr>
              <w:pStyle w:val="110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带不锈钢落水口和不锈钢垃圾网，带溢水口。</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800*800*800</w:t>
            </w:r>
            <w:r/>
          </w:p>
          <w:p>
            <w:pPr>
              <w:pStyle w:val="110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700*800*800</w:t>
            </w:r>
            <w:r/>
          </w:p>
          <w:p>
            <w:pPr>
              <w:pStyle w:val="110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800*700*800</w:t>
            </w:r>
            <w:r/>
          </w:p>
          <w:p>
            <w:pPr>
              <w:pStyle w:val="110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1000*700*800</w:t>
            </w:r>
            <w:r/>
          </w:p>
          <w:p>
            <w:pPr>
              <w:pStyle w:val="110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1200*800*800</w:t>
            </w:r>
            <w:r/>
          </w:p>
          <w:p>
            <w:pPr>
              <w:pStyle w:val="110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700*600*800</w:t>
            </w:r>
            <w:r/>
          </w:p>
          <w:p>
            <w:pPr>
              <w:pStyle w:val="1109"/>
              <w:ind w:firstLine="531"/>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600*600*800</w:t>
            </w:r>
            <w:r/>
          </w:p>
          <w:p>
            <w:pPr>
              <w:pStyle w:val="1109"/>
              <w:rPr>
                <w:color w:val="auto"/>
                <w:highlight w:val="none"/>
              </w:rPr>
            </w:pPr>
            <w:r>
              <w:rPr>
                <w:rFonts w:hint="eastAsia" w:ascii="Times New Roman" w:eastAsia="宋体" w:cs="Times New Roman"/>
                <w:color w:val="auto"/>
                <w:sz w:val="18"/>
                <w:szCs w:val="18"/>
                <w:highlight w:val="none"/>
                <w:lang w:val="en-US" w:eastAsia="zh-CN" w:bidi="ar"/>
              </w:rPr>
              <w:t xml:space="preserve">(</w:t>
            </w:r>
            <w:r>
              <w:rPr>
                <w:rFonts w:hint="eastAsia" w:ascii="Times New Roman" w:hAnsi="Times New Roman" w:eastAsia="宋体" w:cs="Times New Roman"/>
                <w:color w:val="auto"/>
                <w:sz w:val="18"/>
                <w:szCs w:val="18"/>
                <w:highlight w:val="none"/>
                <w:lang w:val="en-US" w:eastAsia="zh-CN" w:bidi="ar"/>
              </w:rPr>
              <w:t xml:space="preserve">±10</w:t>
            </w:r>
            <w:r>
              <w:rPr>
                <w:rFonts w:hint="eastAsia" w:ascii="Times New Roman" w:eastAsia="宋体" w:cs="Times New Roman"/>
                <w:color w:val="auto"/>
                <w:sz w:val="18"/>
                <w:szCs w:val="18"/>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hint="eastAsia" w:ascii="Times New Roman" w:hAnsi="Times New Roman" w:eastAsia="宋体" w:cs="Times New Roman"/>
                <w:color w:val="auto"/>
                <w:sz w:val="18"/>
                <w:szCs w:val="18"/>
                <w:highlight w:val="none"/>
                <w:lang w:val="en-US" w:eastAsia="zh-CN"/>
              </w:rPr>
            </w:pPr>
            <w:r>
              <w:rPr>
                <w:rFonts w:ascii="Times New Roman" w:hAnsi="Times New Roman" w:eastAsia="宋体" w:cs="Times New Roman"/>
                <w:color w:val="auto"/>
                <w:sz w:val="18"/>
                <w:szCs w:val="18"/>
                <w:highlight w:val="none"/>
                <w:lang w:bidi="ar"/>
              </w:rPr>
              <w:t xml:space="preserve">900*1200*80</w:t>
            </w:r>
            <w:r>
              <w:rPr>
                <w:rFonts w:hint="eastAsia" w:cs="Times New Roman"/>
                <w:color w:val="auto"/>
                <w:sz w:val="18"/>
                <w:szCs w:val="18"/>
                <w:highlight w:val="none"/>
                <w:lang w:val="en-US" w:eastAsia="zh-CN" w:bidi="ar"/>
              </w:rPr>
              <w:t xml:space="preserve">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700*500*800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1100*800*800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4、带不锈钢落水口和不锈钢垃圾网，带溢水口。</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p>
          <w:p>
            <w:pPr>
              <w:jc w:val="center"/>
              <w:keepLines w:val="0"/>
              <w:keepNext w:val="0"/>
              <w:pageBreakBefore w:val="0"/>
              <w:spacing w:after="0" w:line="280" w:lineRule="exact"/>
              <w:widowControl/>
              <w:rPr>
                <w:color w:val="auto"/>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600*800*800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73"/>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1400*600*800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双层推车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1000*600*850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 带4个5寸橡胶静音重型推车轮，其中两个带刹车的万向轮。</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2</w:t>
            </w:r>
            <w:r>
              <w:rPr>
                <w:rFonts w:hint="eastAsia"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双层保温桶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10L</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color w:val="auto"/>
                <w:sz w:val="22"/>
                <w:szCs w:val="22"/>
                <w:highlight w:val="none"/>
                <w:lang w:eastAsia="zh-CN"/>
              </w:rPr>
            </w:pPr>
            <w:r>
              <w:rPr>
                <w:rFonts w:hint="eastAsia" w:ascii="Times New Roman" w:hAnsi="Times New Roman" w:eastAsia="宋体" w:cs="Times New Roman"/>
                <w:color w:val="auto"/>
                <w:sz w:val="22"/>
                <w:szCs w:val="22"/>
                <w:highlight w:val="none"/>
                <w:lang w:bidi="ar"/>
              </w:rPr>
              <w:t xml:space="preserve">304不锈钢双层保温桶，10L，内径23.5cm,外径28.5cm,内高19cm，外高27cm。</w:t>
            </w:r>
            <w:r>
              <w:rPr>
                <w:rFonts w:hint="eastAsia" w:cs="Times New Roman"/>
                <w:color w:val="auto"/>
                <w:sz w:val="22"/>
                <w:szCs w:val="22"/>
                <w:highlight w:val="none"/>
                <w:lang w:eastAsia="zh-CN" w:bidi="ar"/>
              </w:rPr>
              <w:t xml:space="preserve">（</w:t>
            </w:r>
            <w:r>
              <w:rPr>
                <w:rFonts w:hint="eastAsia" w:cs="Times New Roman"/>
                <w:color w:val="auto"/>
                <w:sz w:val="22"/>
                <w:szCs w:val="22"/>
                <w:highlight w:val="none"/>
                <w:lang w:val="en-US" w:eastAsia="zh-CN" w:bidi="ar"/>
              </w:rPr>
              <w:t xml:space="preserve">尺寸误差±3%内</w:t>
            </w:r>
            <w:r>
              <w:rPr>
                <w:rFonts w:hint="eastAsia" w:cs="Times New Roman"/>
                <w:color w:val="auto"/>
                <w:sz w:val="22"/>
                <w:szCs w:val="22"/>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eastAsia="zh-CN"/>
              </w:rPr>
            </w:pPr>
            <w:r>
              <w:rPr>
                <w:rFonts w:hint="eastAsia" w:cs="Times New Roman"/>
                <w:color w:val="auto"/>
                <w:sz w:val="22"/>
                <w:szCs w:val="22"/>
                <w:highlight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2</w:t>
            </w:r>
            <w:r>
              <w:rPr>
                <w:rFonts w:hint="eastAsia"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三层冲孔货架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1200*500*1550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框架采用SUS304不锈钢制作，平板厚度不小于1.2mm；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2、立柱采用48mm，≥1.2mm厚不锈钢方管；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条板采用≥1.2mm厚板。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2</w:t>
            </w:r>
            <w:r>
              <w:rPr>
                <w:rFonts w:hint="eastAsia" w:cs="Times New Roman"/>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三层平板货架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1200*500*1550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框架采用SUS304不锈钢制作，平板厚度不小于1.2mm；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2、立柱采用48mm，≥1.2mm厚不锈钢方管；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条板采用≥1.2mm厚板。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eastAsia="zh-CN"/>
              </w:rPr>
            </w:pPr>
            <w:r>
              <w:rPr>
                <w:rFonts w:hint="eastAsia" w:cs="Times New Roman"/>
                <w:color w:val="auto"/>
                <w:sz w:val="22"/>
                <w:szCs w:val="22"/>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1500*500*1550</w:t>
            </w:r>
            <w:r/>
          </w:p>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框架采用SUS304不锈钢制作，平板厚度不小于1.</w:t>
            </w:r>
            <w:r>
              <w:rPr>
                <w:rFonts w:hint="eastAsia" w:ascii="Times New Roman" w:hAnsi="Times New Roman" w:eastAsia="宋体" w:cs="Times New Roman"/>
                <w:color w:val="auto"/>
                <w:sz w:val="22"/>
                <w:szCs w:val="22"/>
                <w:highlight w:val="none"/>
                <w:lang w:bidi="ar"/>
              </w:rPr>
              <w:t xml:space="preserve">2</w:t>
            </w:r>
            <w:r>
              <w:rPr>
                <w:rFonts w:ascii="Times New Roman" w:hAnsi="Times New Roman" w:eastAsia="宋体" w:cs="Times New Roman"/>
                <w:color w:val="auto"/>
                <w:sz w:val="22"/>
                <w:szCs w:val="22"/>
                <w:highlight w:val="none"/>
                <w:lang w:bidi="ar"/>
              </w:rPr>
              <w:t xml:space="preserve">mm；立柱采用φ48mm，1.</w:t>
            </w:r>
            <w:r>
              <w:rPr>
                <w:rFonts w:hint="eastAsia" w:ascii="Times New Roman" w:hAnsi="Times New Roman" w:eastAsia="宋体" w:cs="Times New Roman"/>
                <w:color w:val="auto"/>
                <w:sz w:val="22"/>
                <w:szCs w:val="22"/>
                <w:highlight w:val="none"/>
                <w:lang w:bidi="ar"/>
              </w:rPr>
              <w:t xml:space="preserve">2</w:t>
            </w:r>
            <w:r>
              <w:rPr>
                <w:rFonts w:ascii="Times New Roman" w:hAnsi="Times New Roman" w:eastAsia="宋体" w:cs="Times New Roman"/>
                <w:color w:val="auto"/>
                <w:sz w:val="22"/>
                <w:szCs w:val="22"/>
                <w:highlight w:val="none"/>
                <w:lang w:bidi="ar"/>
              </w:rPr>
              <w:t xml:space="preserve">mm厚不锈钢圆管；条板采用1.</w:t>
            </w:r>
            <w:r>
              <w:rPr>
                <w:rFonts w:hint="eastAsia" w:ascii="Times New Roman" w:hAnsi="Times New Roman" w:eastAsia="宋体" w:cs="Times New Roman"/>
                <w:color w:val="auto"/>
                <w:sz w:val="22"/>
                <w:szCs w:val="22"/>
                <w:highlight w:val="none"/>
                <w:lang w:bidi="ar"/>
              </w:rPr>
              <w:t xml:space="preserve">2</w:t>
            </w:r>
            <w:r>
              <w:rPr>
                <w:rFonts w:ascii="Times New Roman" w:hAnsi="Times New Roman" w:eastAsia="宋体" w:cs="Times New Roman"/>
                <w:color w:val="auto"/>
                <w:sz w:val="22"/>
                <w:szCs w:val="22"/>
                <w:highlight w:val="none"/>
                <w:lang w:bidi="ar"/>
              </w:rPr>
              <w:t xml:space="preserve">mm厚板。采用二次压边工艺，无割手处，焊接处理光滑，美观，无明显焊斑焊缝。配不锈钢可调节子弹脚。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hint="eastAsia" w:ascii="Times New Roman" w:hAnsi="Times New Roman" w:eastAsia="宋体" w:cs="Times New Roman"/>
                <w:color w:val="auto"/>
                <w:sz w:val="22"/>
                <w:szCs w:val="22"/>
                <w:highlight w:val="none"/>
                <w:lang w:bidi="ar"/>
              </w:rPr>
              <w:t xml:space="preserve">3</w:t>
            </w:r>
            <w:r>
              <w:rPr>
                <w:rFonts w:hint="eastAsia" w:cs="Times New Roman"/>
                <w:color w:val="auto"/>
                <w:sz w:val="22"/>
                <w:szCs w:val="22"/>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1000*500*200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hint="eastAsia" w:ascii="Times New Roman" w:hAnsi="Times New Roman" w:eastAsia="宋体" w:cs="Times New Roman"/>
                <w:color w:val="auto"/>
                <w:sz w:val="22"/>
                <w:szCs w:val="22"/>
                <w:highlight w:val="none"/>
                <w:lang w:bidi="ar"/>
              </w:rPr>
              <w:t xml:space="preserve">框架采用304不锈钢制作，厚度不小于1.0mm厚；横柱用50×25×0.8mm厚不锈钢；脚管立柱采用50×50×1.0mm厚不锈钢；横柱共计10根，配置塑胶脚垫。</w:t>
            </w: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2.</w:t>
            </w:r>
            <w:r>
              <w:rPr>
                <w:rFonts w:hint="eastAsia" w:ascii="Times New Roman" w:hAnsi="Times New Roman" w:eastAsia="宋体" w:cs="Times New Roman"/>
                <w:color w:val="auto"/>
                <w:sz w:val="22"/>
                <w:szCs w:val="22"/>
                <w:highlight w:val="none"/>
                <w:lang w:bidi="ar"/>
              </w:rPr>
              <w:t xml:space="preserve">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3</w:t>
            </w:r>
            <w:r>
              <w:rPr>
                <w:rFonts w:hint="eastAsia"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感应水龙头</w:t>
            </w:r>
            <w:r>
              <w:rPr>
                <w:rStyle w:val="1414"/>
                <w:rFonts w:hint="default" w:ascii="Times New Roman" w:hAnsi="Times New Roman" w:cs="Times New Roman"/>
                <w:color w:val="auto"/>
                <w:highlight w:val="none"/>
                <w:lang w:bidi="ar"/>
              </w:rPr>
              <w:t xml:space="preserve">（政府强制采购产品）</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冷热混水型</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1.外形尺寸：190*320(mm)±5%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2.工作电压：1.5V×4（四节五号干电池）或者110V  50/60</w:t>
            </w:r>
            <w:r>
              <w:rPr>
                <w:rFonts w:hint="eastAsia" w:ascii="Times New Roman" w:hAnsi="Times New Roman" w:eastAsia="宋体" w:cs="Times New Roman"/>
                <w:color w:val="auto"/>
                <w:sz w:val="22"/>
                <w:szCs w:val="22"/>
                <w:highlight w:val="none"/>
                <w:lang w:eastAsia="zh-CN" w:bidi="ar"/>
              </w:rPr>
              <w:t xml:space="preserve">Hz</w:t>
            </w:r>
            <w:r>
              <w:rPr>
                <w:rFonts w:ascii="Times New Roman" w:hAnsi="Times New Roman" w:eastAsia="宋体" w:cs="Times New Roman"/>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3.工作水压：0.1-0.6MPa 可接冷热混水，出水温度可调；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4.开孔径：32mm；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5.台式安装黄铜铸造水嘴，表面镀铬处理；</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 接水口口径为1/2"外螺纹；</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b/>
                <w:bCs/>
                <w:color w:val="auto"/>
                <w:sz w:val="22"/>
                <w:szCs w:val="22"/>
                <w:highlight w:val="none"/>
                <w:lang w:bidi="ar"/>
              </w:rPr>
              <w:t xml:space="preserve">★所投水龙头须提供有效期内的中国节水产品认证证书，水效等级≥二级，投标时附证书复印件并加盖投标人公章。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套</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3</w:t>
            </w:r>
            <w:r>
              <w:rPr>
                <w:rFonts w:hint="eastAsia" w:cs="Times New Roman"/>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水龙头</w:t>
            </w:r>
            <w:r>
              <w:rPr>
                <w:rStyle w:val="1414"/>
                <w:rFonts w:hint="default" w:ascii="Times New Roman" w:hAnsi="Times New Roman" w:cs="Times New Roman"/>
                <w:color w:val="auto"/>
                <w:highlight w:val="none"/>
                <w:lang w:bidi="ar"/>
              </w:rPr>
              <w:t xml:space="preserve">（政府强制采购产品）</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冷热混水型</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1.座台式安装，单孔单温；</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2.低铅铜铸造表面抛光镀铬处理</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3.配1/4转优质陶瓷阀芯一字型手柄；</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4.开孔尺寸为25mm ，接口为标准4分外螺纹</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b/>
                <w:bCs/>
                <w:color w:val="auto"/>
                <w:sz w:val="22"/>
                <w:szCs w:val="22"/>
                <w:highlight w:val="none"/>
                <w:lang w:bidi="ar"/>
              </w:rPr>
              <w:t xml:space="preserve">★所投水龙头须提供有效期内的中国节水产品认证证书，水效等级≥二级，投标时附证书复印件并加盖投标人公章。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套</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3</w:t>
            </w:r>
            <w:r>
              <w:rPr>
                <w:rFonts w:hint="eastAsia"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rPr>
              <w:t xml:space="preserve">高压冲洗洗地枪</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10M</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耐压2mpa爆破测试，0.1mpa测试每分钟出水4.5L</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碳钢静电喷涂圆形敞开式，10M黑色钢丝液压管。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2、SUS304#旋转便捷拆卸更换接头，水枪可360度旋转，前把手控制出水，按压渐变出水形状</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含调温止回阀。</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3</w:t>
            </w:r>
            <w:r>
              <w:rPr>
                <w:rFonts w:hint="eastAsia" w:cs="Times New Roman"/>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塑料平板推车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900*600*800</w:t>
            </w:r>
            <w:r/>
          </w:p>
          <w:p>
            <w:pPr>
              <w:jc w:val="center"/>
              <w:keepLines w:val="0"/>
              <w:keepNext w:val="0"/>
              <w:pageBreakBefore w:val="0"/>
              <w:spacing w:after="0" w:line="280" w:lineRule="exact"/>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材料采用SUS304不锈钢板制作，支撑板不小于1.0mm厚</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主管采用φ38，不小于1.0mm厚不锈钢结构管</w:t>
            </w:r>
            <w:r>
              <w:rPr>
                <w:rFonts w:hint="eastAsia" w:ascii="Times New Roman" w:hAnsi="Times New Roman" w:eastAsia="宋体" w:cs="Times New Roman"/>
                <w:color w:val="auto"/>
                <w:sz w:val="22"/>
                <w:szCs w:val="22"/>
                <w:highlight w:val="none"/>
                <w:lang w:eastAsia="zh-CN" w:bidi="ar"/>
              </w:rPr>
              <w:t xml:space="preserve">焊接</w:t>
            </w:r>
            <w:r>
              <w:rPr>
                <w:rFonts w:ascii="Times New Roman" w:hAnsi="Times New Roman" w:eastAsia="宋体" w:cs="Times New Roman"/>
                <w:color w:val="auto"/>
                <w:sz w:val="22"/>
                <w:szCs w:val="22"/>
                <w:highlight w:val="none"/>
                <w:lang w:bidi="ar"/>
              </w:rPr>
              <w:t xml:space="preserve">处打磨光滑，美观，无明显焊缝焊斑。配承重型不锈钢科顺脚轮四个</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两定向两万向</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连优质轴承，推杆底部圆管斜撑加固，车架防撞保护。承重能力要求不小于250KG</w:t>
            </w:r>
            <w:r>
              <w:rPr>
                <w:rFonts w:hint="eastAsia" w:ascii="Times New Roman" w:hAnsi="Times New Roman" w:eastAsia="宋体" w:cs="Times New Roman"/>
                <w:color w:val="auto"/>
                <w:sz w:val="22"/>
                <w:szCs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3</w:t>
            </w:r>
            <w:r>
              <w:rPr>
                <w:rFonts w:hint="eastAsia" w:cs="Times New Roman"/>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1200*700*1000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采用SUS304不锈钢板材不小于1.0mm制作。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采用三面围板，车子正面做对开门。采用SUS304不锈钢板材不小于1.0mm制作。不含推车不含垃圾桶。采用4个静音橡胶轮，其中2个万向轮。</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3</w:t>
            </w:r>
            <w:r>
              <w:rPr>
                <w:rFonts w:hint="eastAsia"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收碗推车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900*600*850</w:t>
            </w:r>
            <w:r/>
          </w:p>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1.台面板采用SUS304，不小于1.0mm不锈钢板，配不小于1.0mm做加力筋；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2.层板采用国产SUS304，不小于1.0mm不锈钢板；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3.台脚采用38mmX1.0mm不锈钢方管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辆</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3</w:t>
            </w:r>
            <w:r>
              <w:rPr>
                <w:rFonts w:hint="eastAsia"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保温汤桶车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hint="eastAsia"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w:t>
            </w:r>
            <w:r>
              <w:rPr>
                <w:rFonts w:hint="eastAsia" w:ascii="Times New Roman" w:hAnsi="Times New Roman" w:eastAsia="宋体" w:cs="Times New Roman"/>
                <w:color w:val="auto"/>
                <w:sz w:val="18"/>
                <w:szCs w:val="18"/>
                <w:highlight w:val="none"/>
                <w:lang w:val="en-US" w:eastAsia="zh-CN" w:bidi="ar"/>
              </w:rPr>
              <w:t xml:space="preserve">升</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1.采用主材SUS304不锈钢制作，厚度不小于1.0mm，双层不锈钢，中间增加保温板；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2.设置不锈钢推拉手，下配两定两动静音轮；</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3.采用静音橡胶轮，其中2个万向轮。功率：220V，功率：不小于3</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相应保温桶，保温桶可单独取清洗</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3</w:t>
            </w:r>
            <w:r>
              <w:rPr>
                <w:rFonts w:hint="eastAsia" w:cs="Times New Roman"/>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1200*600*1450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柜体采用SUS304不锈钢不小于1.0mm制作。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可放置120个不锈钢餐盘。根据餐盘尺寸定制送餐车大小。</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功率：220V/4</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电热管加热和热风循环两种加热模式。</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eastAsia="zh-CN"/>
              </w:rPr>
            </w:pPr>
            <w:r>
              <w:rPr>
                <w:rFonts w:hint="eastAsia" w:cs="Times New Roman"/>
                <w:color w:val="auto"/>
                <w:sz w:val="22"/>
                <w:szCs w:val="22"/>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≥20W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电压：220V，功率：≥20W</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灯管：≥2*10W紫外线灯管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覆盖面积40m2—50m2</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4</w:t>
            </w:r>
            <w:r>
              <w:rPr>
                <w:rFonts w:hint="eastAsia" w:cs="Times New Roman"/>
                <w:color w:val="auto"/>
                <w:sz w:val="22"/>
                <w:szCs w:val="22"/>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风幕机</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1800*160*200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贯流式强力送风轻松在室内外之间形成一道隐形的风幕墙，隔开室内外空气的同时，更可将灰尘，飞虫等阻挡于室外。电机功率≥250W，风速≥9m/s，风量≥4600m³/h，电压/频率为220V/50Hz，噪声≤55dB。</w:t>
            </w: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遮断效果佳，风路升级体现高风速，低噪音运转。</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4</w:t>
            </w:r>
            <w:r>
              <w:rPr>
                <w:rFonts w:hint="eastAsia"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风幕机</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1500*160*200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贯流式强力送风轻松在室内外之间形成一道隐形的风幕墙，隔开室内外空气的同时，更可将灰尘，飞虫等阻挡于室外。电机功率≥2</w:t>
            </w:r>
            <w:r>
              <w:rPr>
                <w:rFonts w:hint="eastAsia" w:cs="Times New Roman"/>
                <w:color w:val="auto"/>
                <w:sz w:val="22"/>
                <w:szCs w:val="22"/>
                <w:highlight w:val="none"/>
                <w:lang w:val="en-US" w:eastAsia="zh-CN" w:bidi="ar"/>
              </w:rPr>
              <w:t xml:space="preserve">2</w:t>
            </w:r>
            <w:r>
              <w:rPr>
                <w:rFonts w:hint="eastAsia" w:ascii="Times New Roman" w:hAnsi="Times New Roman" w:eastAsia="宋体" w:cs="Times New Roman"/>
                <w:color w:val="auto"/>
                <w:sz w:val="22"/>
                <w:szCs w:val="22"/>
                <w:highlight w:val="none"/>
                <w:lang w:bidi="ar"/>
              </w:rPr>
              <w:t xml:space="preserve">0W，风速≥9m/s，风量≥4600m³/h，电压/频率为220V/50Hz，噪声≤55dB。</w:t>
            </w: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遮断效果佳，风路升级体现高风速，低噪音运转。</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4</w:t>
            </w:r>
            <w:r>
              <w:rPr>
                <w:rFonts w:hint="eastAsia" w:cs="Times New Roman"/>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风幕机</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1200*160*200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贯流式强力送风轻松在室内外之间形成一道隐形的风幕墙，隔开室内外空气的同时，更可将灰尘，飞虫等阻挡于室外。电机功率≥</w:t>
            </w:r>
            <w:r>
              <w:rPr>
                <w:rFonts w:hint="eastAsia" w:cs="Times New Roman"/>
                <w:color w:val="auto"/>
                <w:sz w:val="22"/>
                <w:szCs w:val="22"/>
                <w:highlight w:val="none"/>
                <w:lang w:val="en-US" w:eastAsia="zh-CN" w:bidi="ar"/>
              </w:rPr>
              <w:t xml:space="preserve">18</w:t>
            </w:r>
            <w:r>
              <w:rPr>
                <w:rFonts w:hint="eastAsia" w:ascii="Times New Roman" w:hAnsi="Times New Roman" w:eastAsia="宋体" w:cs="Times New Roman"/>
                <w:color w:val="auto"/>
                <w:sz w:val="22"/>
                <w:szCs w:val="22"/>
                <w:highlight w:val="none"/>
                <w:lang w:bidi="ar"/>
              </w:rPr>
              <w:t xml:space="preserve">0W，风速≥9m/s，风量≥4600m³/h，电压/频率为220V/50Hz，噪声≤55dB。</w:t>
            </w: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遮断效果佳，风路升级体现高风速，低噪音运转。</w:t>
            </w:r>
            <w:r/>
          </w:p>
        </w:tc>
        <w:tc>
          <w:tcPr>
            <w:shd w:val="clear" w:color="auto" w:fill="auto"/>
            <w:tcBorders>
              <w:top w:val="singl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4</w:t>
            </w:r>
            <w:r>
              <w:rPr>
                <w:rFonts w:hint="eastAsia"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土豆脱皮机</w:t>
            </w:r>
            <w:r/>
          </w:p>
        </w:tc>
        <w:tc>
          <w:tcPr>
            <w:shd w:val="clear" w:color="auto" w:fill="auto"/>
            <w:tcBorders>
              <w:top w:val="single" w:color="000000" w:sz="4" w:space="0"/>
              <w:left w:val="single" w:color="000000" w:sz="4" w:space="0"/>
              <w:bottom w:val="non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485*680*805</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non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电功率：≥1500W 380V/ 50Hz</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产量： ≥260</w:t>
            </w:r>
            <w:r>
              <w:rPr>
                <w:rFonts w:hint="eastAsia" w:ascii="Times New Roman" w:hAnsi="Times New Roman" w:eastAsia="宋体" w:cs="Times New Roman"/>
                <w:color w:val="auto"/>
                <w:sz w:val="22"/>
                <w:szCs w:val="22"/>
                <w:highlight w:val="none"/>
                <w:lang w:eastAsia="zh-CN" w:bidi="ar"/>
              </w:rPr>
              <w:t xml:space="preserve">kg</w:t>
            </w:r>
            <w:r>
              <w:rPr>
                <w:rFonts w:ascii="Times New Roman" w:hAnsi="Times New Roman" w:eastAsia="宋体" w:cs="Times New Roman"/>
                <w:color w:val="auto"/>
                <w:sz w:val="22"/>
                <w:szCs w:val="22"/>
                <w:highlight w:val="none"/>
                <w:lang w:bidi="ar"/>
              </w:rPr>
              <w:t xml:space="preserve">/小时</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定时器： 0~5 分钟。</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风冷马达可以长时间连续使用；</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自动土豆卸料系统；四脚带轮可移动，带密闭的卸料口；接触食品的零部件严格采用符合食品安全卫生标准的材料制作。</w:t>
            </w:r>
            <w:r/>
          </w:p>
        </w:tc>
        <w:tc>
          <w:tcPr>
            <w:shd w:val="clear" w:color="auto" w:fill="auto"/>
            <w:tcBorders>
              <w:top w:val="singl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4</w:t>
            </w:r>
            <w:r>
              <w:rPr>
                <w:rFonts w:hint="eastAsia" w:cs="Times New Roman"/>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1200*660*1800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材质：内外胆采用SUS304不锈钢板≥1.0mm厚制作，一次密度保温发泡层，门带锁</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带可视玻璃。</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功能：对刀具粘板功能性设备，360度循环高温消毒，内置紫外线</w:t>
            </w:r>
            <w:r>
              <w:rPr>
                <w:rFonts w:hint="eastAsia" w:ascii="Times New Roman" w:hAnsi="Times New Roman" w:eastAsia="宋体" w:cs="Times New Roman"/>
                <w:color w:val="auto"/>
                <w:sz w:val="22"/>
                <w:szCs w:val="22"/>
                <w:highlight w:val="none"/>
                <w:lang w:eastAsia="zh-CN" w:bidi="ar"/>
              </w:rPr>
              <w:t xml:space="preserve">消毒</w:t>
            </w:r>
            <w:r>
              <w:rPr>
                <w:rFonts w:ascii="Times New Roman" w:hAnsi="Times New Roman" w:eastAsia="宋体" w:cs="Times New Roman"/>
                <w:color w:val="auto"/>
                <w:sz w:val="22"/>
                <w:szCs w:val="22"/>
                <w:highlight w:val="none"/>
                <w:lang w:bidi="ar"/>
              </w:rPr>
              <w:t xml:space="preserve">灯和石英高温消毒灯管，</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自动控温和时间调节器。防水等级：≥IPX4.</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功率：≥2350W，电压：220V。</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消毒效果：对大肠杆菌、金黄色葡萄球菌杀灭率达99%。消杀时间：每次至少60分钟。</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4</w:t>
            </w:r>
            <w:r>
              <w:rPr>
                <w:rFonts w:hint="eastAsia" w:cs="Times New Roman"/>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燃气大锅灶（1000大锅）</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1200*1350*800+450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12"/>
              </w:num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灶面板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304，厚度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 ≥1.2mm，前脸面板、后背板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≥1.2mm，侧面板、后封板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≥1.0mm，架子30方管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201，厚度≥1.2mm，灶腿50方管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201，厚度≥1.2mm，标配调节脚。</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2.</w:t>
            </w:r>
            <w:r>
              <w:rPr>
                <w:rFonts w:ascii="Times New Roman" w:hAnsi="Times New Roman" w:eastAsia="宋体" w:cs="Times New Roman"/>
                <w:color w:val="auto"/>
                <w:sz w:val="22"/>
                <w:szCs w:val="22"/>
                <w:highlight w:val="none"/>
                <w:lang w:bidi="ar"/>
              </w:rPr>
              <w:t xml:space="preserve">一体高铝耐火炉膛，特殊工艺处理，经久耐用。</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3.</w:t>
            </w:r>
            <w:r>
              <w:rPr>
                <w:rFonts w:ascii="Times New Roman" w:hAnsi="Times New Roman" w:eastAsia="宋体" w:cs="Times New Roman"/>
                <w:color w:val="auto"/>
                <w:sz w:val="22"/>
                <w:szCs w:val="22"/>
                <w:highlight w:val="none"/>
                <w:lang w:bidi="ar"/>
              </w:rPr>
              <w:t xml:space="preserve">通过微电脑控制燃气阀的进气量和风机转速，使小火到大火的全过程燃气量和进风量始终处于最佳比例，火焰温度可达1300，提升工作效率。</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4.</w:t>
            </w:r>
            <w:r>
              <w:rPr>
                <w:rFonts w:ascii="Times New Roman" w:hAnsi="Times New Roman" w:eastAsia="宋体" w:cs="Times New Roman"/>
                <w:color w:val="auto"/>
                <w:sz w:val="22"/>
                <w:szCs w:val="22"/>
                <w:highlight w:val="none"/>
                <w:lang w:bidi="ar"/>
              </w:rPr>
              <w:t xml:space="preserve">空气和燃气始终处于最佳比例，燃烧充分，燃气利用率高，节能燃气费用30%以上。</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5.无级</w:t>
            </w:r>
            <w:r>
              <w:rPr>
                <w:rFonts w:ascii="Times New Roman" w:hAnsi="Times New Roman" w:eastAsia="宋体" w:cs="Times New Roman"/>
                <w:color w:val="auto"/>
                <w:sz w:val="22"/>
                <w:szCs w:val="22"/>
                <w:highlight w:val="none"/>
                <w:lang w:bidi="ar"/>
              </w:rPr>
              <w:t xml:space="preserve">调节火力，操作更简便。</w:t>
            </w:r>
            <w:r>
              <w:rPr>
                <w:rFonts w:ascii="Times New Roman" w:hAnsi="Times New Roman" w:eastAsia="宋体" w:cs="Times New Roman"/>
                <w:color w:val="auto"/>
                <w:sz w:val="22"/>
                <w:szCs w:val="22"/>
                <w:highlight w:val="none"/>
                <w:lang w:bidi="ar"/>
              </w:rPr>
              <w:br/>
            </w:r>
            <w:r>
              <w:rPr>
                <w:rFonts w:hint="eastAsia" w:cs="Times New Roman"/>
                <w:b w:val="0"/>
                <w:bCs w:val="0"/>
                <w:color w:val="auto"/>
                <w:sz w:val="22"/>
                <w:szCs w:val="22"/>
                <w:highlight w:val="none"/>
                <w:lang w:val="en-US" w:eastAsia="zh-CN" w:bidi="ar"/>
              </w:rPr>
              <w:t xml:space="preserve">6</w:t>
            </w:r>
            <w:r>
              <w:rPr>
                <w:rFonts w:hint="eastAsia" w:ascii="Times New Roman" w:hAnsi="Times New Roman" w:eastAsia="宋体" w:cs="Times New Roman"/>
                <w:b w:val="0"/>
                <w:bCs w:val="0"/>
                <w:color w:val="auto"/>
                <w:sz w:val="22"/>
                <w:szCs w:val="22"/>
                <w:highlight w:val="none"/>
                <w:lang w:val="en-US" w:eastAsia="zh-CN" w:bidi="ar"/>
              </w:rPr>
              <w:t xml:space="preserve">.</w:t>
            </w:r>
            <w:r>
              <w:rPr>
                <w:rFonts w:hint="eastAsia" w:cs="Times New Roman"/>
                <w:b w:val="0"/>
                <w:bCs w:val="0"/>
                <w:color w:val="auto"/>
                <w:sz w:val="22"/>
                <w:szCs w:val="22"/>
                <w:highlight w:val="none"/>
                <w:lang w:val="en-US" w:eastAsia="zh-CN" w:bidi="ar"/>
              </w:rPr>
              <w:t xml:space="preserve">符</w:t>
            </w:r>
            <w:r>
              <w:rPr>
                <w:rFonts w:hint="eastAsia" w:cs="Times New Roman"/>
                <w:color w:val="auto"/>
                <w:sz w:val="22"/>
                <w:szCs w:val="22"/>
                <w:highlight w:val="none"/>
                <w:lang w:val="en-US" w:eastAsia="zh-CN" w:bidi="ar"/>
              </w:rPr>
              <w:t xml:space="preserve">合GB30720-2025能效等级为一级</w:t>
            </w:r>
            <w:r>
              <w:rPr>
                <w:rFonts w:hint="eastAsia" w:ascii="Times New Roman" w:hAnsi="Times New Roman" w:eastAsia="宋体" w:cs="Times New Roman"/>
                <w:color w:val="auto"/>
                <w:sz w:val="22"/>
                <w:szCs w:val="22"/>
                <w:highlight w:val="none"/>
                <w:lang w:eastAsia="zh-CN" w:bidi="ar"/>
              </w:rPr>
              <w:t xml:space="preserve">。</w:t>
            </w:r>
            <w:r/>
          </w:p>
          <w:p>
            <w:pPr>
              <w:numPr>
                <w:ilvl w:val="-1"/>
                <w:numId w:val="0"/>
              </w:numPr>
              <w:ind w:left="0"/>
              <w:jc w:val="left"/>
              <w:spacing w:after="62"/>
              <w:widowControl/>
              <w:rPr>
                <w:rFonts w:hint="default" w:eastAsia="宋体" w:cs="Times New Roman"/>
                <w:b/>
                <w:bCs/>
                <w:color w:val="auto"/>
                <w:sz w:val="22"/>
                <w:highlight w:val="none"/>
                <w:lang w:val="en-US" w:eastAsia="zh-CN" w:bidi="ar"/>
              </w:rPr>
            </w:pPr>
            <w:r>
              <w:rPr>
                <w:rFonts w:ascii="Times New Roman" w:hAnsi="Times New Roman" w:eastAsia="宋体" w:cs="Times New Roman"/>
                <w:b/>
                <w:bCs/>
                <w:color w:val="auto"/>
                <w:sz w:val="22"/>
                <w:szCs w:val="22"/>
                <w:highlight w:val="none"/>
                <w:lang w:bidi="ar"/>
              </w:rPr>
              <w:t xml:space="preserve">▲</w:t>
            </w:r>
            <w:r>
              <w:rPr>
                <w:rFonts w:hint="default" w:ascii="Times New Roman" w:eastAsia="宋体" w:cs="Times New Roman"/>
                <w:b/>
                <w:bCs/>
                <w:color w:val="auto"/>
                <w:sz w:val="22"/>
                <w:szCs w:val="22"/>
                <w:highlight w:val="none"/>
                <w:lang w:val="en-US" w:eastAsia="zh-CN" w:bidi="ar"/>
              </w:rPr>
              <w:t xml:space="preserve">热效率＞65%，</w:t>
            </w:r>
            <w:r>
              <w:rPr>
                <w:rFonts w:hint="default" w:eastAsia="宋体" w:cs="Times New Roman"/>
                <w:b/>
                <w:bCs/>
                <w:color w:val="auto"/>
                <w:sz w:val="22"/>
                <w:highlight w:val="none"/>
                <w:lang w:val="en-US" w:eastAsia="zh-CN" w:bidi="ar"/>
              </w:rPr>
              <w:t xml:space="preserve">提供带有CMA或CNAS标识的检测报告扫描件，加盖投标人公章。</w:t>
            </w:r>
            <w:r/>
          </w:p>
          <w:p>
            <w:pPr>
              <w:pStyle w:val="1079"/>
            </w:pPr>
            <w:r>
              <w:rPr>
                <w:rFonts w:ascii="Times New Roman" w:hAnsi="Times New Roman" w:eastAsia="宋体" w:cs="Times New Roman"/>
                <w:b/>
                <w:bCs/>
                <w:color w:val="auto"/>
                <w:sz w:val="22"/>
                <w:szCs w:val="22"/>
                <w:highlight w:val="none"/>
                <w:lang w:bidi="ar"/>
              </w:rPr>
              <w:t xml:space="preserve">▲</w:t>
            </w:r>
            <w:r>
              <w:rPr>
                <w:rFonts w:hint="default" w:ascii="Times New Roman" w:hAnsi="Times New Roman" w:eastAsia="宋体" w:cs="Times New Roman"/>
                <w:b/>
                <w:bCs/>
                <w:color w:val="auto"/>
                <w:sz w:val="22"/>
                <w:szCs w:val="22"/>
                <w:highlight w:val="none"/>
                <w:lang w:bidi="ar"/>
              </w:rPr>
              <w:t xml:space="preserve">设</w:t>
            </w:r>
            <w:r>
              <w:rPr>
                <w:rFonts w:hint="default" w:hAnsi="Arial" w:eastAsia="宋体" w:cs="Times New Roman"/>
                <w:b/>
                <w:bCs/>
                <w:color w:val="auto"/>
                <w:sz w:val="22"/>
                <w:highlight w:val="none"/>
                <w:lang w:val="en-US" w:eastAsia="zh-CN" w:bidi="ar"/>
              </w:rPr>
              <w:t xml:space="preserve">备有自</w:t>
            </w:r>
            <w:r>
              <w:rPr>
                <w:rFonts w:hint="default" w:eastAsia="宋体" w:cs="Times New Roman"/>
                <w:b/>
                <w:bCs/>
                <w:color w:val="auto"/>
                <w:sz w:val="22"/>
                <w:highlight w:val="none"/>
                <w:lang w:val="en-US" w:eastAsia="zh-CN" w:bidi="ar"/>
              </w:rPr>
              <w:t xml:space="preserve">动燃烧器控制系统，提供产品功能说明书或满足此项功能的承诺函（格式自拟）。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4</w:t>
            </w:r>
            <w:r>
              <w:rPr>
                <w:rFonts w:hint="eastAsia"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燃气炒灶</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1000*1200*800+450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13"/>
              </w:numPr>
              <w:jc w:val="left"/>
              <w:spacing w:after="62"/>
              <w:widowControl/>
              <w:rPr>
                <w:rFonts w:ascii="Times New Roman" w:hAnsi="Times New Roman" w:eastAsia="宋体" w:cs="Times New Roman"/>
                <w:color w:val="auto"/>
                <w:sz w:val="22"/>
                <w:szCs w:val="22"/>
                <w:highlight w:val="none"/>
                <w:lang w:bidi="ar"/>
              </w:rPr>
            </w:pPr>
            <w:r>
              <w:rPr>
                <w:rFonts w:ascii="Times New Roman" w:hAnsi="Times New Roman" w:eastAsia="宋体" w:cs="Times New Roman"/>
                <w:color w:val="auto"/>
                <w:sz w:val="22"/>
                <w:szCs w:val="22"/>
                <w:highlight w:val="none"/>
                <w:lang w:bidi="ar"/>
              </w:rPr>
              <w:t xml:space="preserve">灶面板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304，厚度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≥1.2mm，前脸面板、后背板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≥1.2mm，侧面板、后封板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≥1.0mm，架子30方管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201，厚度≥1.2mm，灶腿50方管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201，厚度≥1.2mm，标配调节脚。</w:t>
            </w:r>
            <w:r/>
          </w:p>
          <w:p>
            <w:pPr>
              <w:numPr>
                <w:ilvl w:val="0"/>
                <w:numId w:val="13"/>
              </w:num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一体高温钢精铸炉膛，特殊工艺处理，经久耐用。</w:t>
            </w:r>
            <w:r/>
          </w:p>
          <w:p>
            <w:pPr>
              <w:numPr>
                <w:ilvl w:val="0"/>
                <w:numId w:val="13"/>
              </w:num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一体成型不锈钢炉头，无螺丝固定，堵塞时无需工具，手动即可轻松取下清洗。</w:t>
            </w:r>
            <w:r/>
          </w:p>
          <w:p>
            <w:pPr>
              <w:numPr>
                <w:ilvl w:val="0"/>
                <w:numId w:val="13"/>
              </w:numPr>
              <w:jc w:val="left"/>
              <w:spacing w:after="62"/>
              <w:widowControl/>
              <w:rPr>
                <w:rFonts w:hint="eastAsia"/>
                <w:color w:val="auto"/>
                <w:highlight w:val="none"/>
              </w:rPr>
            </w:pPr>
            <w:r>
              <w:rPr>
                <w:rFonts w:ascii="Times New Roman" w:hAnsi="Times New Roman" w:eastAsia="宋体" w:cs="Times New Roman"/>
                <w:color w:val="auto"/>
                <w:sz w:val="22"/>
                <w:szCs w:val="22"/>
                <w:highlight w:val="none"/>
                <w:lang w:bidi="ar"/>
              </w:rPr>
              <w:t xml:space="preserve">通过微电脑控制燃气阀的进气量和风机转速，使小火到大火的全过程燃。</w:t>
            </w:r>
            <w:r/>
          </w:p>
          <w:p>
            <w:pPr>
              <w:numPr>
                <w:ilvl w:val="0"/>
                <w:numId w:val="13"/>
              </w:numPr>
              <w:jc w:val="left"/>
              <w:spacing w:after="62"/>
              <w:widowControl/>
              <w:rPr>
                <w:rFonts w:hint="eastAsia"/>
                <w:color w:val="auto"/>
                <w:highlight w:val="none"/>
              </w:rPr>
            </w:pPr>
            <w:r>
              <w:rPr>
                <w:rFonts w:ascii="Times New Roman" w:hAnsi="Times New Roman" w:eastAsia="宋体" w:cs="Times New Roman"/>
                <w:color w:val="auto"/>
                <w:sz w:val="22"/>
                <w:szCs w:val="22"/>
                <w:highlight w:val="none"/>
                <w:lang w:bidi="ar"/>
              </w:rPr>
              <w:t xml:space="preserve">空气和燃气始终处于最佳比例，燃烧充分，燃气利用率高，节能燃气费用30%以上。</w:t>
            </w:r>
            <w:r/>
          </w:p>
          <w:p>
            <w:pPr>
              <w:numPr>
                <w:ilvl w:val="0"/>
                <w:numId w:val="0"/>
              </w:numPr>
              <w:jc w:val="left"/>
              <w:spacing w:after="62"/>
              <w:widowControl/>
              <w:rPr>
                <w:rFonts w:ascii="Times New Roman" w:hAnsi="Times New Roman" w:eastAsia="宋体" w:cs="Times New Roman"/>
                <w:color w:val="auto"/>
                <w:sz w:val="22"/>
                <w:szCs w:val="22"/>
                <w:highlight w:val="none"/>
              </w:rPr>
            </w:pPr>
            <w:r>
              <w:rPr>
                <w:rFonts w:hint="eastAsia" w:cs="Times New Roman"/>
                <w:b w:val="0"/>
                <w:bCs w:val="0"/>
                <w:color w:val="000000" w:themeColor="text1"/>
                <w:sz w:val="22"/>
                <w:szCs w:val="22"/>
                <w:highlight w:val="none"/>
                <w:lang w:val="en-US" w:eastAsia="zh-CN" w:bidi="ar"/>
                <w14:textFill>
                  <w14:solidFill>
                    <w14:schemeClr w14:val="tx1"/>
                  </w14:solidFill>
                </w14:textFill>
              </w:rPr>
              <w:t xml:space="preserve">6</w:t>
            </w:r>
            <w:r>
              <w:rPr>
                <w:rFonts w:hint="eastAsia" w:ascii="Times New Roman" w:hAnsi="Times New Roman" w:eastAsia="宋体" w:cs="Times New Roman"/>
                <w:b w:val="0"/>
                <w:bCs w:val="0"/>
                <w:color w:val="000000" w:themeColor="text1"/>
                <w:sz w:val="22"/>
                <w:szCs w:val="22"/>
                <w:highlight w:val="none"/>
                <w:lang w:val="en-US" w:eastAsia="zh-CN" w:bidi="ar"/>
                <w14:textFill>
                  <w14:solidFill>
                    <w14:schemeClr w14:val="tx1"/>
                  </w14:solidFill>
                </w14:textFill>
              </w:rPr>
              <w:t xml:space="preserve">.</w:t>
            </w:r>
            <w:r>
              <w:rPr>
                <w:rFonts w:hint="eastAsia" w:cs="Times New Roman"/>
                <w:color w:val="000000" w:themeColor="text1"/>
                <w:sz w:val="22"/>
                <w:szCs w:val="22"/>
                <w:highlight w:val="none"/>
                <w:lang w:val="en-US" w:eastAsia="zh-CN" w:bidi="ar"/>
                <w14:textFill>
                  <w14:solidFill>
                    <w14:schemeClr w14:val="tx1"/>
                  </w14:solidFill>
                </w14:textFill>
              </w:rPr>
              <w:t xml:space="preserve">符合GB30720-2025能效等级为一级</w:t>
            </w:r>
            <w:r>
              <w:rPr>
                <w:rFonts w:hint="eastAsia" w:ascii="Times New Roman" w:hAnsi="Times New Roman" w:eastAsia="宋体" w:cs="Times New Roman"/>
                <w:color w:val="000000" w:themeColor="text1"/>
                <w:sz w:val="22"/>
                <w:szCs w:val="22"/>
                <w:highlight w:val="none"/>
                <w:lang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4</w:t>
            </w:r>
            <w:r>
              <w:rPr>
                <w:rFonts w:hint="eastAsia"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燃气大锅灶（800大锅）</w:t>
            </w:r>
            <w:r/>
          </w:p>
          <w:p>
            <w:pPr>
              <w:pStyle w:val="1109"/>
              <w:rPr>
                <w:color w:val="auto"/>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both"/>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1000*1200*800+450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0"/>
              </w:num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灶面板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304，厚度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 ≥1.2mm，前脸面板、后背板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≥1.2mm，侧面板、后封板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≥1.0mm，架子30方管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201，厚度≥1.2mm，灶腿50方管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201，厚度≥1.2mm，标配调节脚。</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2.</w:t>
            </w:r>
            <w:r>
              <w:rPr>
                <w:rFonts w:ascii="Times New Roman" w:hAnsi="Times New Roman" w:eastAsia="宋体" w:cs="Times New Roman"/>
                <w:color w:val="auto"/>
                <w:sz w:val="22"/>
                <w:szCs w:val="22"/>
                <w:highlight w:val="none"/>
                <w:lang w:bidi="ar"/>
              </w:rPr>
              <w:t xml:space="preserve">一体高铝耐火炉膛，特殊工艺处理，经久耐用。</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3.</w:t>
            </w:r>
            <w:r>
              <w:rPr>
                <w:rFonts w:ascii="Times New Roman" w:hAnsi="Times New Roman" w:eastAsia="宋体" w:cs="Times New Roman"/>
                <w:color w:val="auto"/>
                <w:sz w:val="22"/>
                <w:szCs w:val="22"/>
                <w:highlight w:val="none"/>
                <w:lang w:bidi="ar"/>
              </w:rPr>
              <w:t xml:space="preserve">通过微电脑控制燃气阀的进气量和风机转速，使小火到大火的全过程燃气量和进风量始终处于最佳比例，火焰温度可达1300，提升工作效率。</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4.</w:t>
            </w:r>
            <w:r>
              <w:rPr>
                <w:rFonts w:ascii="Times New Roman" w:hAnsi="Times New Roman" w:eastAsia="宋体" w:cs="Times New Roman"/>
                <w:color w:val="auto"/>
                <w:sz w:val="22"/>
                <w:szCs w:val="22"/>
                <w:highlight w:val="none"/>
                <w:lang w:bidi="ar"/>
              </w:rPr>
              <w:t xml:space="preserve">空气和燃气始终处于最佳比例，燃烧充分，燃气利用率高，节能燃气费用30%以上。</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5.</w:t>
            </w:r>
            <w:r>
              <w:rPr>
                <w:rFonts w:ascii="Times New Roman" w:hAnsi="Times New Roman" w:eastAsia="宋体" w:cs="Times New Roman"/>
                <w:color w:val="auto"/>
                <w:sz w:val="22"/>
                <w:szCs w:val="22"/>
                <w:highlight w:val="none"/>
                <w:lang w:bidi="ar"/>
              </w:rPr>
              <w:t xml:space="preserve">自动检测火焰，遇到意外熄火时会自动关闭电磁阀并报警。</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6.无级</w:t>
            </w:r>
            <w:r>
              <w:rPr>
                <w:rFonts w:ascii="Times New Roman" w:hAnsi="Times New Roman" w:eastAsia="宋体" w:cs="Times New Roman"/>
                <w:color w:val="auto"/>
                <w:sz w:val="22"/>
                <w:szCs w:val="22"/>
                <w:highlight w:val="none"/>
                <w:lang w:bidi="ar"/>
              </w:rPr>
              <w:t xml:space="preserve">调节火力，操作更简便。</w:t>
            </w:r>
            <w:r/>
          </w:p>
          <w:p>
            <w:pPr>
              <w:numPr>
                <w:ilvl w:val="0"/>
                <w:numId w:val="0"/>
              </w:numPr>
              <w:jc w:val="left"/>
              <w:spacing w:after="62"/>
              <w:widowControl/>
              <w:rPr>
                <w:rFonts w:hint="eastAsia" w:eastAsia="宋体"/>
                <w:color w:val="auto"/>
                <w:highlight w:val="none"/>
              </w:rPr>
            </w:pPr>
            <w:r>
              <w:rPr>
                <w:rFonts w:hint="eastAsia" w:ascii="Times New Roman" w:hAnsi="Times New Roman" w:eastAsia="宋体" w:cs="Times New Roman"/>
                <w:color w:val="auto"/>
                <w:sz w:val="22"/>
                <w:szCs w:val="22"/>
                <w:highlight w:val="none"/>
                <w:lang w:val="en-US" w:eastAsia="zh-CN" w:bidi="ar"/>
              </w:rPr>
              <w:t xml:space="preserve">7.</w:t>
            </w:r>
            <w:r>
              <w:rPr>
                <w:rFonts w:hint="eastAsia" w:cs="Times New Roman"/>
                <w:color w:val="000000" w:themeColor="text1"/>
                <w:sz w:val="22"/>
                <w:szCs w:val="22"/>
                <w:highlight w:val="none"/>
                <w:lang w:val="en-US" w:eastAsia="zh-CN" w:bidi="ar"/>
                <w14:textFill>
                  <w14:solidFill>
                    <w14:schemeClr w14:val="tx1"/>
                  </w14:solidFill>
                </w14:textFill>
              </w:rPr>
              <w:t xml:space="preserve">符合GB30720-2025能效等级为一级</w:t>
            </w:r>
            <w:r>
              <w:rPr>
                <w:rFonts w:hint="eastAsia" w:ascii="Times New Roman" w:hAnsi="Times New Roman" w:eastAsia="宋体" w:cs="Times New Roman"/>
                <w:color w:val="000000" w:themeColor="text1"/>
                <w:sz w:val="22"/>
                <w:szCs w:val="22"/>
                <w:highlight w:val="none"/>
                <w:lang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29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4</w:t>
            </w:r>
            <w:r>
              <w:rPr>
                <w:rFonts w:hint="eastAsia" w:cs="Times New Roman"/>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lang w:bidi="ar"/>
              </w:rPr>
            </w:pPr>
            <w:r>
              <w:rPr>
                <w:rFonts w:ascii="Times New Roman" w:hAnsi="Times New Roman" w:eastAsia="宋体" w:cs="Times New Roman"/>
                <w:color w:val="auto"/>
                <w:sz w:val="22"/>
                <w:szCs w:val="22"/>
                <w:highlight w:val="none"/>
                <w:lang w:bidi="ar"/>
              </w:rPr>
              <w:t xml:space="preserve">主机箱采用SUS304-1.0mm不锈钢板材，灭火系统连接管采用SUS304-0.8mm不锈钢管，喷嘴采用360度无死角转动喷嘴：</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1.所投产品具备：（1）功能：需与消防水</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或者自来水</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管路相连，设备具有自动启动，应急启动模式，（2）系统装置组成：控制箱、管路、喷嘴探测器、易熔连接片、金属拉索、滑轮三通、滑轮弯头</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释放机构、驱动瓶、水流控制阀、单向阀、减压阀。</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2.灭火装置配置远程控制模块，能同时兼容消控中心信号反馈、切断燃气电磁阀、关闭排风风机等功能；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3.氮气瓶充装压力：10MPa ；药剂喷洒时间：≥26秒，</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食用油专用灭火剂应为绿色环保型灭火药剂，无色、无味、灭火效率快且不复燃。</w:t>
            </w:r>
            <w:r/>
          </w:p>
          <w:p>
            <w:pPr>
              <w:jc w:val="left"/>
              <w:keepLines w:val="0"/>
              <w:keepNext w:val="0"/>
              <w:pageBreakBefore w:val="0"/>
              <w:spacing w:line="240" w:lineRule="auto"/>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b/>
                <w:bCs/>
                <w:color w:val="auto"/>
                <w:sz w:val="22"/>
                <w:szCs w:val="22"/>
                <w:highlight w:val="none"/>
                <w:lang w:bidi="ar"/>
              </w:rPr>
              <w:t xml:space="preserve">▲</w:t>
            </w:r>
            <w:r>
              <w:rPr>
                <w:rFonts w:hint="eastAsia" w:cs="Times New Roman"/>
                <w:b/>
                <w:bCs/>
                <w:color w:val="auto"/>
                <w:sz w:val="22"/>
                <w:szCs w:val="22"/>
                <w:highlight w:val="none"/>
                <w:lang w:val="en-US" w:eastAsia="zh-CN" w:bidi="ar"/>
              </w:rPr>
              <w:t xml:space="preserve">4</w:t>
            </w:r>
            <w:r>
              <w:rPr>
                <w:rFonts w:hint="eastAsia" w:ascii="Times New Roman" w:hAnsi="Times New Roman" w:eastAsia="宋体" w:cs="Times New Roman"/>
                <w:b/>
                <w:bCs/>
                <w:color w:val="auto"/>
                <w:sz w:val="22"/>
                <w:szCs w:val="22"/>
                <w:highlight w:val="none"/>
                <w:lang w:val="en-US" w:eastAsia="zh-CN" w:bidi="ar"/>
              </w:rPr>
              <w:t xml:space="preserve">.</w:t>
            </w:r>
            <w:r>
              <w:rPr>
                <w:rFonts w:hint="eastAsia" w:ascii="Times New Roman" w:hAnsi="Times New Roman" w:eastAsia="宋体" w:cs="Times New Roman"/>
                <w:b/>
                <w:bCs/>
                <w:color w:val="auto"/>
                <w:sz w:val="22"/>
                <w:szCs w:val="22"/>
                <w:highlight w:val="none"/>
                <w:lang w:bidi="ar"/>
              </w:rPr>
              <w:t xml:space="preserve">厨房灭火系统须具有有效消防产品认证证书，提供证书扫描件加盖投标人公章。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eastAsia="zh-CN"/>
              </w:rPr>
            </w:pPr>
            <w:r>
              <w:rPr>
                <w:rFonts w:hint="eastAsia" w:cs="Times New Roman"/>
                <w:color w:val="auto"/>
                <w:sz w:val="22"/>
                <w:szCs w:val="22"/>
                <w:highlight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炉拼台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400*1200*800+450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优质SUS304不锈钢磨砂板，面板1.0mm</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侧板1.0mm；置高450mm不锈钢后挡炉背板；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横通采用￠25*1.0mm不锈钢管连接，立管采用￠38*1.0mm不锈钢管连可调节高度子弹脚。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5</w:t>
            </w:r>
            <w:r>
              <w:rPr>
                <w:rFonts w:hint="eastAsia" w:cs="Times New Roman"/>
                <w:color w:val="auto"/>
                <w:sz w:val="22"/>
                <w:szCs w:val="22"/>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灶封板</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17200*2100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采用SUS304不锈钢管不小于1.0mm制作。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80.22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m²</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5</w:t>
            </w:r>
            <w:r>
              <w:rPr>
                <w:rFonts w:hint="eastAsia"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电磁摇摆汤炉</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200L</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≥25</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/380v，容量：≥200L。</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可倾斜式设计，0~90 度汤锅可倾斜角度 , 便于食物的投入或取出。</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环流立体加热，双向滚动沸腾，使食材充分受热，有效提高加热效率。</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无死角球底设计，清洗更方便。</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材质：SUS304不锈钢加厚机身，耐腐蚀，经久耐用。</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水龙头：配备 SUS304 不锈钢摇摆水龙头，可以 180度旋转，安全防漏。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5</w:t>
            </w:r>
            <w:r>
              <w:rPr>
                <w:rFonts w:hint="eastAsia" w:cs="Times New Roman"/>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color w:val="auto"/>
                <w:highlight w:val="none"/>
              </w:rPr>
            </w:pPr>
            <w:r>
              <w:rPr>
                <w:rFonts w:ascii="Times New Roman" w:hAnsi="Times New Roman" w:eastAsia="宋体" w:cs="Times New Roman"/>
                <w:color w:val="auto"/>
                <w:sz w:val="22"/>
                <w:szCs w:val="22"/>
                <w:highlight w:val="none"/>
                <w:lang w:bidi="ar"/>
              </w:rPr>
              <w:t xml:space="preserve">电蒸箱</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1100*750*1700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规格：24盘</w:t>
            </w:r>
            <w:r>
              <w:rPr>
                <w:rFonts w:hint="eastAsia" w:ascii="Times New Roman" w:hAnsi="Times New Roman" w:eastAsia="宋体" w:cs="Times New Roman"/>
                <w:color w:val="auto"/>
                <w:sz w:val="22"/>
                <w:szCs w:val="22"/>
                <w:highlight w:val="none"/>
                <w:lang w:val="en-US" w:eastAsia="zh-CN" w:bidi="ar"/>
              </w:rPr>
              <w:t xml:space="preserve">  功率380V 24kW；</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主材SUS304不锈钢板材制作，隔条50%防脱落，包括内部全不锈钢加强。保证长期使用结构安全可靠，无腐蚀现象。优质不锈钢材质加长双</w:t>
            </w:r>
            <w:r>
              <w:rPr>
                <w:rFonts w:hint="eastAsia" w:ascii="Times New Roman" w:hAnsi="Times New Roman" w:eastAsia="宋体" w:cs="Times New Roman"/>
                <w:color w:val="auto"/>
                <w:sz w:val="22"/>
                <w:szCs w:val="22"/>
                <w:highlight w:val="none"/>
                <w:lang w:eastAsia="zh-CN" w:bidi="ar"/>
              </w:rPr>
              <w:t xml:space="preserve">u</w:t>
            </w:r>
            <w:r>
              <w:rPr>
                <w:rFonts w:ascii="Times New Roman" w:hAnsi="Times New Roman" w:eastAsia="宋体" w:cs="Times New Roman"/>
                <w:color w:val="auto"/>
                <w:sz w:val="22"/>
                <w:szCs w:val="22"/>
                <w:highlight w:val="none"/>
                <w:lang w:bidi="ar"/>
              </w:rPr>
              <w:t xml:space="preserve">型优质发热管，电线符合国家标准，配有接地标准。自动进水功能。浮球优质不锈钢材质。蒸饭时箱内承受650帕微压状态，自动泄压，水的蒸发量每小时10公斤，既安全节能</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食物口感更佳。柜体采用高密度保温材料，使用过程中外壳表面温度在50摄氏度以内，不烫手。微电脑控制，带除垢功能，保温性能优良，安全节能。隔条50%防脱落，定时定温，缺水保护，过热保护 ，门打开防倾倒 ，水箱为整体一次成型。</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5</w:t>
            </w:r>
            <w:r>
              <w:rPr>
                <w:rFonts w:hint="eastAsia"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400*600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采用SUS304不锈钢，尺寸：≥400*600*4.8，卷边不割手。</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243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5</w:t>
            </w:r>
            <w:r>
              <w:rPr>
                <w:rFonts w:hint="eastAsia" w:cs="Times New Roman"/>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智能留样柜</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6"/>
                <w:szCs w:val="16"/>
                <w:highlight w:val="none"/>
              </w:rPr>
            </w:pPr>
            <w:r>
              <w:rPr>
                <w:rFonts w:ascii="Times New Roman" w:hAnsi="Times New Roman" w:eastAsia="宋体" w:cs="Times New Roman"/>
                <w:color w:val="auto"/>
                <w:sz w:val="16"/>
                <w:szCs w:val="16"/>
                <w:highlight w:val="none"/>
                <w:lang w:bidi="ar"/>
              </w:rPr>
              <w:t xml:space="preserve">600*800*1970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制冷方式：风冷，温度：2℃~8℃，门数：单门，有效留样空间：≥6层，额定电压及频率：220V</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50HZ，额定功率≤400W；</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箱体内外均采用食品级不锈钢，箱体整体发泡，中梁配加热丝，采用双层电加热防雾玻璃门，可拆卸门封条，自动回归门设计；品牌压缩机，纯铜蒸发器，在最高42℃的极端环境温度下也能正常制冷；</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配置离子食物保鲜系统，通过释放活氧抑制细菌生长，通过释放负离子延缓食物氧化，延长食物保鲜时间；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5</w:t>
            </w:r>
            <w:r>
              <w:rPr>
                <w:rFonts w:hint="eastAsia" w:cs="Times New Roman"/>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四门冷冻高身柜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1200*750*1900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容量：≥925L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功率：220V/≥428W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箱内温度：F-12~-18℃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采用内外201，门铰链SUS304不锈钢产品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采用国内一线品牌压缩机，温控均为一线品牌温控，温度更精确，箱内拼接采用倒圆弧设计，干净清爽更易清洁。</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橡胶轮带刹车，可换不锈钢调节脚。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带温度显示屏。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5</w:t>
            </w:r>
            <w:r>
              <w:rPr>
                <w:rFonts w:hint="eastAsia"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定制高温智控热风循环消毒房</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4800*3800*2400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总功率：380V/≥40</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门洞尺寸≥840*2000mm的门2套，含SUS304五金挂件，含真空玻璃可视窗。</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保温房板：采用100mm厚耐高温B1级阻燃岩棉保温板。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库房材料：双门采用磨砂SUS304不锈钢板，0.8MM厚。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地面：采用3mm压花防滑铝板，与外地面平行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消毒温度：30-130℃可调，可定时</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定温</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自带记忆功能。</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内照明：嵌入式LED灯（防水、防爆、防高温）；</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安全装置：</w:t>
            </w:r>
            <w:r>
              <w:rPr>
                <w:rFonts w:hint="eastAsia" w:ascii="Times New Roman" w:hAnsi="Times New Roman" w:eastAsia="宋体" w:cs="Times New Roman"/>
                <w:color w:val="auto"/>
                <w:sz w:val="22"/>
                <w:szCs w:val="22"/>
                <w:highlight w:val="none"/>
                <w:lang w:eastAsia="zh-CN" w:bidi="ar"/>
              </w:rPr>
              <w:t xml:space="preserve">电控</w:t>
            </w:r>
            <w:r>
              <w:rPr>
                <w:rFonts w:ascii="Times New Roman" w:hAnsi="Times New Roman" w:eastAsia="宋体" w:cs="Times New Roman"/>
                <w:color w:val="auto"/>
                <w:sz w:val="22"/>
                <w:szCs w:val="22"/>
                <w:highlight w:val="none"/>
                <w:lang w:bidi="ar"/>
              </w:rPr>
              <w:t xml:space="preserve">采用微电脑智能保护，拥有：超温保护、漏电保护及有障碍无法启动装置，内设自助应急开门装置确保任何情况下人员及设备的安全，使用警示报警闪灯提示故障，采用∅25mm不锈钢管防碰撞护栏。</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控制系统：采用智能控制系统，触屏操作更简单直观，拥有：实时温度显示、消毒时间倒计时显示、故障代码显示、一键式启动功能等可省去需要专人操作的麻烦。</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10</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强制循环系统：6组耐高温高湿强制循环风机，6套4</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的SUS304发热组件。</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消毒原理：利用强制空间热能循环产生无死角流动的130℃热风对消毒物品表面及缝隙穿透杀灭残留细菌、病毒。消毒效果：对大肠杆菌、金黄色葡萄球菌杀灭率达99%。消杀时间：每次至少60分钟。</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食堂消毒房可对餐具、厨具、食品容器进行高温/专业消杀，彻底杀灭细菌、病毒、大肠杆菌等有害微生物；有效去除油污残留、异味，杜绝碗筷交叉污染；抑制霉菌滋生，防止餐具发霉变质；从源头把控食堂食品安全，预防肠道传染病，保障就餐人员饮食卫生与健康。</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消毒房： 防鼠：门窗、缝隙封堵严实，防止老鼠进入污染餐具和消毒区域；防蝇：配备纱门纱窗、风幕等，阻挡苍蝇蚊虫飞入；防尘：密闭保洁，防止外界灰尘、杂物落入已消毒餐具，保持洁净无菌。</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13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5</w:t>
            </w:r>
            <w:r>
              <w:rPr>
                <w:rFonts w:hint="eastAsia"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四门保洁柜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1200*500*1800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主材采用SUS304不锈钢制作，台面厚度不小于1.0mm，下层、侧</w:t>
            </w:r>
            <w:r>
              <w:rPr>
                <w:rFonts w:hint="eastAsia" w:ascii="Times New Roman" w:hAnsi="Times New Roman" w:eastAsia="宋体" w:cs="Times New Roman"/>
                <w:color w:val="auto"/>
                <w:sz w:val="22"/>
                <w:szCs w:val="22"/>
                <w:highlight w:val="none"/>
                <w:lang w:eastAsia="zh-CN" w:bidi="ar"/>
              </w:rPr>
              <w:t xml:space="preserve">板</w:t>
            </w:r>
            <w:r>
              <w:rPr>
                <w:rFonts w:ascii="Times New Roman" w:hAnsi="Times New Roman" w:eastAsia="宋体" w:cs="Times New Roman"/>
                <w:color w:val="auto"/>
                <w:sz w:val="22"/>
                <w:szCs w:val="22"/>
                <w:highlight w:val="none"/>
                <w:lang w:bidi="ar"/>
              </w:rPr>
              <w:t xml:space="preserve">厚度不小于1.0mm</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并用不小于1.0mm厚不锈钢板折成加强筋加固；</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脚管采用Ф48*1.0mm厚不锈钢圆管，配置不锈钢可调子弹脚。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5</w:t>
            </w:r>
            <w:r>
              <w:rPr>
                <w:rFonts w:hint="eastAsia" w:cs="Times New Roman"/>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五格保温售饭工作台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1800*700*800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电压：220v、功率：3</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规格：智能恒温，可定时定温，高效加热管，快速升温，经久耐用，搭配探针实时掌控温度。</w:t>
            </w:r>
            <w:r>
              <w:rPr>
                <w:rFonts w:hint="eastAsia" w:ascii="Times New Roman" w:hAnsi="Times New Roman" w:eastAsia="宋体" w:cs="Times New Roman"/>
                <w:color w:val="auto"/>
                <w:sz w:val="22"/>
                <w:szCs w:val="22"/>
                <w:highlight w:val="none"/>
                <w:lang w:eastAsia="zh-CN" w:bidi="ar"/>
              </w:rPr>
              <w:t xml:space="preserve">铜质</w:t>
            </w:r>
            <w:r>
              <w:rPr>
                <w:rFonts w:ascii="Times New Roman" w:hAnsi="Times New Roman" w:eastAsia="宋体" w:cs="Times New Roman"/>
                <w:color w:val="auto"/>
                <w:sz w:val="22"/>
                <w:szCs w:val="22"/>
                <w:highlight w:val="none"/>
                <w:lang w:bidi="ar"/>
              </w:rPr>
              <w:t xml:space="preserve">阀门下水，安全不漏水。</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柜体采用SUS304不锈钢不小于1.2mm制作。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保温池底部增加38*25*1.0mm的加强筋。</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eastAsia="zh-CN"/>
              </w:rPr>
            </w:pPr>
            <w:r>
              <w:rPr>
                <w:rFonts w:hint="eastAsia" w:cs="Times New Roman"/>
                <w:color w:val="auto"/>
                <w:sz w:val="22"/>
                <w:szCs w:val="22"/>
                <w:highlight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530*330*150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SUS304不锈钢不小于1.0mm制作，与五格保温售饭工作台配套。</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6</w:t>
            </w:r>
            <w:r>
              <w:rPr>
                <w:rFonts w:hint="eastAsia" w:cs="Times New Roman"/>
                <w:color w:val="auto"/>
                <w:sz w:val="22"/>
                <w:szCs w:val="22"/>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1/1份数盘不带盖</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530*330*150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SUS304不锈钢不小于1.0mm制作，与五格保温售饭工作台配套。</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32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6</w:t>
            </w:r>
            <w:r>
              <w:rPr>
                <w:rFonts w:hint="eastAsia"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干手器</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auto"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156*176*207</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Style w:val="1415"/>
                <w:rFonts w:hint="default" w:ascii="Times New Roman" w:hAnsi="Times New Roman" w:cs="Times New Roman"/>
                <w:color w:val="auto"/>
                <w:highlight w:val="none"/>
                <w:lang w:bidi="ar"/>
              </w:rPr>
              <w:t xml:space="preserve">1.结构与材质：外壳须为一体成型设计。</w:t>
            </w:r>
            <w:r>
              <w:rPr>
                <w:rStyle w:val="1415"/>
                <w:rFonts w:hint="default" w:ascii="Times New Roman" w:hAnsi="Times New Roman" w:cs="Times New Roman"/>
                <w:color w:val="auto"/>
                <w:highlight w:val="none"/>
                <w:lang w:bidi="ar"/>
              </w:rPr>
              <w:br/>
            </w:r>
            <w:r>
              <w:rPr>
                <w:rStyle w:val="1415"/>
                <w:rFonts w:hint="default" w:ascii="Times New Roman" w:hAnsi="Times New Roman" w:cs="Times New Roman"/>
                <w:color w:val="auto"/>
                <w:highlight w:val="none"/>
                <w:lang w:bidi="ar"/>
              </w:rPr>
              <w:t xml:space="preserve">2.干手性能：</w:t>
            </w:r>
            <w:r>
              <w:rPr>
                <w:rStyle w:val="1415"/>
                <w:rFonts w:hint="default" w:ascii="Times New Roman" w:hAnsi="Times New Roman" w:cs="Times New Roman"/>
                <w:color w:val="auto"/>
                <w:highlight w:val="none"/>
                <w:lang w:bidi="ar"/>
              </w:rPr>
              <w:br/>
            </w:r>
            <w:r>
              <w:rPr>
                <w:rStyle w:val="1415"/>
                <w:rFonts w:hint="default" w:ascii="Times New Roman" w:hAnsi="Times New Roman" w:cs="Times New Roman"/>
                <w:color w:val="auto"/>
                <w:highlight w:val="none"/>
                <w:lang w:bidi="ar"/>
              </w:rPr>
              <w:t xml:space="preserve">采用双面出风模式。干手时间应不大于7秒（在标准测试条件下）。须内置空气压缩箱体以提升风速，实现风干与沥干同步进行。</w:t>
            </w:r>
            <w:r>
              <w:rPr>
                <w:rStyle w:val="1415"/>
                <w:rFonts w:hint="default" w:ascii="Times New Roman" w:hAnsi="Times New Roman" w:cs="Times New Roman"/>
                <w:color w:val="auto"/>
                <w:highlight w:val="none"/>
                <w:lang w:bidi="ar"/>
              </w:rPr>
              <w:br/>
            </w:r>
            <w:r>
              <w:rPr>
                <w:rStyle w:val="1415"/>
                <w:rFonts w:hint="default" w:ascii="Times New Roman" w:hAnsi="Times New Roman" w:cs="Times New Roman"/>
                <w:color w:val="auto"/>
                <w:highlight w:val="none"/>
                <w:lang w:bidi="ar"/>
              </w:rPr>
              <w:t xml:space="preserve">3.核心部件：</w:t>
            </w:r>
            <w:r>
              <w:rPr>
                <w:rStyle w:val="1415"/>
                <w:rFonts w:hint="default" w:ascii="Times New Roman" w:hAnsi="Times New Roman" w:cs="Times New Roman"/>
                <w:color w:val="auto"/>
                <w:highlight w:val="none"/>
                <w:lang w:bidi="ar"/>
              </w:rPr>
              <w:br/>
            </w:r>
            <w:r>
              <w:rPr>
                <w:rStyle w:val="1415"/>
                <w:rFonts w:hint="default" w:ascii="Times New Roman" w:hAnsi="Times New Roman" w:cs="Times New Roman"/>
                <w:color w:val="auto"/>
                <w:highlight w:val="none"/>
                <w:lang w:bidi="ar"/>
              </w:rPr>
              <w:t xml:space="preserve">电机额定功率为2000W，须具备启动性能好、运行</w:t>
            </w:r>
            <w:r>
              <w:rPr>
                <w:rStyle w:val="1415"/>
                <w:rFonts w:hint="eastAsia" w:ascii="Times New Roman" w:hAnsi="Times New Roman" w:eastAsia="宋体" w:cs="Times New Roman"/>
                <w:color w:val="auto"/>
                <w:highlight w:val="none"/>
                <w:lang w:eastAsia="zh-CN" w:bidi="ar"/>
              </w:rPr>
              <w:t xml:space="preserve">噪声</w:t>
            </w:r>
            <w:r>
              <w:rPr>
                <w:rStyle w:val="1415"/>
                <w:rFonts w:hint="default" w:ascii="Times New Roman" w:hAnsi="Times New Roman" w:cs="Times New Roman"/>
                <w:color w:val="auto"/>
                <w:highlight w:val="none"/>
                <w:lang w:bidi="ar"/>
              </w:rPr>
              <w:t xml:space="preserve">低的特点。采用全金属涡轮增压风扇，并带降噪圆弧结构以控制运行</w:t>
            </w:r>
            <w:r>
              <w:rPr>
                <w:rStyle w:val="1415"/>
                <w:rFonts w:hint="eastAsia" w:ascii="Times New Roman" w:hAnsi="Times New Roman" w:eastAsia="宋体" w:cs="Times New Roman"/>
                <w:color w:val="auto"/>
                <w:highlight w:val="none"/>
                <w:lang w:eastAsia="zh-CN" w:bidi="ar"/>
              </w:rPr>
              <w:t xml:space="preserve">噪声</w:t>
            </w:r>
            <w:r>
              <w:rPr>
                <w:rStyle w:val="1415"/>
                <w:rFonts w:hint="default" w:ascii="Times New Roman" w:hAnsi="Times New Roman" w:cs="Times New Roman"/>
                <w:color w:val="auto"/>
                <w:highlight w:val="none"/>
                <w:lang w:bidi="ar"/>
              </w:rPr>
              <w:t xml:space="preserve">。</w:t>
            </w:r>
            <w:r>
              <w:rPr>
                <w:rStyle w:val="1415"/>
                <w:rFonts w:hint="default" w:ascii="Times New Roman" w:hAnsi="Times New Roman" w:cs="Times New Roman"/>
                <w:color w:val="auto"/>
                <w:highlight w:val="none"/>
                <w:lang w:bidi="ar"/>
              </w:rPr>
              <w:br/>
            </w:r>
            <w:r>
              <w:rPr>
                <w:rStyle w:val="1415"/>
                <w:rFonts w:hint="default" w:ascii="Times New Roman" w:hAnsi="Times New Roman" w:cs="Times New Roman"/>
                <w:color w:val="auto"/>
                <w:highlight w:val="none"/>
                <w:lang w:bidi="ar"/>
              </w:rPr>
              <w:t xml:space="preserve">4.感应技术：</w:t>
            </w:r>
            <w:r>
              <w:rPr>
                <w:rStyle w:val="1415"/>
                <w:rFonts w:hint="default" w:ascii="Times New Roman" w:hAnsi="Times New Roman" w:cs="Times New Roman"/>
                <w:color w:val="auto"/>
                <w:highlight w:val="none"/>
                <w:lang w:bidi="ar"/>
              </w:rPr>
              <w:br/>
            </w:r>
            <w:r>
              <w:rPr>
                <w:rStyle w:val="1415"/>
                <w:rFonts w:hint="default" w:ascii="Times New Roman" w:hAnsi="Times New Roman" w:cs="Times New Roman"/>
                <w:color w:val="auto"/>
                <w:highlight w:val="none"/>
                <w:lang w:bidi="ar"/>
              </w:rPr>
              <w:t xml:space="preserve">采用以波长为主要感应距离的近红外感应技术。</w:t>
            </w:r>
            <w:r>
              <w:rPr>
                <w:rStyle w:val="1415"/>
                <w:rFonts w:hint="default" w:ascii="Times New Roman" w:hAnsi="Times New Roman" w:cs="Times New Roman"/>
                <w:color w:val="auto"/>
                <w:highlight w:val="none"/>
                <w:lang w:bidi="ar"/>
              </w:rPr>
              <w:br/>
            </w:r>
            <w:r>
              <w:rPr>
                <w:rStyle w:val="1415"/>
                <w:rFonts w:hint="default" w:ascii="Times New Roman" w:hAnsi="Times New Roman" w:cs="Times New Roman"/>
                <w:color w:val="auto"/>
                <w:highlight w:val="none"/>
                <w:lang w:bidi="ar"/>
              </w:rPr>
              <w:t xml:space="preserve">配备高灵敏度的信号收发送感光元件，实现智能、快速、可靠的自动感应启停。</w:t>
            </w:r>
            <w:r/>
          </w:p>
        </w:tc>
        <w:tc>
          <w:tcPr>
            <w:shd w:val="clear" w:color="auto" w:fill="auto"/>
            <w:tcBorders>
              <w:top w:val="single" w:color="000000" w:sz="4" w:space="0"/>
              <w:left w:val="single" w:color="auto"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6469"/>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6</w:t>
            </w:r>
            <w:r>
              <w:rPr>
                <w:rFonts w:hint="eastAsia" w:cs="Times New Roman"/>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全自动长龙式洗碗机（含全自动分配器）</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3500*820*1550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最大洗涤速度（履带速度）：≥1.5米/分钟（4500碟/小时，8寸碟计算）；</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2.</w:t>
            </w:r>
            <w:r>
              <w:rPr>
                <w:rFonts w:ascii="Times New Roman" w:hAnsi="Times New Roman" w:eastAsia="宋体" w:cs="Times New Roman"/>
                <w:color w:val="auto"/>
                <w:sz w:val="22"/>
                <w:szCs w:val="22"/>
                <w:highlight w:val="none"/>
                <w:lang w:bidi="ar"/>
              </w:rPr>
              <w:t xml:space="preserve">机器总功率：≤50kW；</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3.</w:t>
            </w:r>
            <w:r>
              <w:rPr>
                <w:rFonts w:ascii="Times New Roman" w:hAnsi="Times New Roman" w:eastAsia="宋体" w:cs="Times New Roman"/>
                <w:color w:val="auto"/>
                <w:sz w:val="22"/>
                <w:szCs w:val="22"/>
                <w:highlight w:val="none"/>
                <w:lang w:bidi="ar"/>
              </w:rPr>
              <w:t xml:space="preserve">功能区块：入口区机器入口长度≥900mm，机器入口宽度≥612mm；机器入口高度≥440mm；入口区配置风罩，减少废热气对人的侵袭及向外溢出；进口端侧护板可拆卸，易于清洁，不留卫生死角，符合HACCP要求，入口配备感应传感器，自动检测餐具，操作更加</w:t>
            </w:r>
            <w:r>
              <w:rPr>
                <w:rFonts w:hint="eastAsia" w:ascii="Times New Roman" w:hAnsi="Times New Roman" w:eastAsia="宋体" w:cs="Times New Roman"/>
                <w:color w:val="auto"/>
                <w:sz w:val="22"/>
                <w:szCs w:val="22"/>
                <w:highlight w:val="none"/>
                <w:lang w:eastAsia="zh-CN" w:bidi="ar"/>
              </w:rPr>
              <w:t xml:space="preserve">方便</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4.</w:t>
            </w:r>
            <w:r>
              <w:rPr>
                <w:rFonts w:ascii="Times New Roman" w:hAnsi="Times New Roman" w:eastAsia="宋体" w:cs="Times New Roman"/>
                <w:color w:val="auto"/>
                <w:sz w:val="22"/>
                <w:szCs w:val="22"/>
                <w:highlight w:val="none"/>
                <w:lang w:bidi="ar"/>
              </w:rPr>
              <w:t xml:space="preserve">功能区块：主洗区清洗泵功率≥1.5kW，水缸容量≥82L，清洗温度：55~60℃，加热功率≤18kW，清洗臂抽屉式安装，清洁时装卸更加便捷，降低操作人员操作的复杂程度，洗臂材料：必须是不锈钢金属材料，耐油碱腐蚀；耐高温、不易变形、不易老化。洗臂数量≥上4根/组，下4根/组。</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5.</w:t>
            </w:r>
            <w:r>
              <w:rPr>
                <w:rFonts w:ascii="Times New Roman" w:hAnsi="Times New Roman" w:eastAsia="宋体" w:cs="Times New Roman"/>
                <w:color w:val="auto"/>
                <w:sz w:val="22"/>
                <w:szCs w:val="22"/>
                <w:highlight w:val="none"/>
                <w:lang w:bidi="ar"/>
              </w:rPr>
              <w:t xml:space="preserve">功能区块：双喷淋区，喷淋臂：含预喷淋臂，其材料必须是不锈钢金属材料，耐油碱腐蚀；耐高温、不易变形、不易老化。 喷淋温度≥82℃（当进水温度为10℃时实测） 耗水量≤350L  喷淋温度≥82℃  加热功率≤30kW；双道喷淋节能系统，预喷淋流量更大，清洁效果更佳，在降低水消耗量的同时，有效提升喷淋效果；</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6.</w:t>
            </w:r>
            <w:r>
              <w:rPr>
                <w:rFonts w:ascii="Times New Roman" w:hAnsi="Times New Roman" w:eastAsia="宋体" w:cs="Times New Roman"/>
                <w:color w:val="auto"/>
                <w:sz w:val="22"/>
                <w:szCs w:val="22"/>
                <w:highlight w:val="none"/>
                <w:lang w:bidi="ar"/>
              </w:rPr>
              <w:t xml:space="preserve">功能区块：出口区机器出口长度≥1200mm，机器出口工作面高度≤860mm   功能部分：出口区四周围边可拆，易于清洁，不留卫生死角，符合HACCP要求；洗臂、喷淋臂材料：必须是不锈钢金属材料，耐油碱腐蚀；耐高温、不易变形、不易老化。</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7.</w:t>
            </w:r>
            <w:r>
              <w:rPr>
                <w:rFonts w:ascii="Times New Roman" w:hAnsi="Times New Roman" w:eastAsia="宋体" w:cs="Times New Roman"/>
                <w:color w:val="auto"/>
                <w:sz w:val="22"/>
                <w:szCs w:val="22"/>
                <w:highlight w:val="none"/>
                <w:lang w:bidi="ar"/>
              </w:rPr>
              <w:t xml:space="preserve">传送系统：采用高强度工程塑料；整机防水，密封：清洗、喷淋模块保证完全密封，防水性更好，同时防止老鼠对线路的破坏，降低维修费用；机身SUS304不锈钢</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8.</w:t>
            </w:r>
            <w:r>
              <w:rPr>
                <w:rFonts w:ascii="Times New Roman" w:hAnsi="Times New Roman" w:eastAsia="宋体" w:cs="Times New Roman"/>
                <w:color w:val="auto"/>
                <w:sz w:val="22"/>
                <w:szCs w:val="22"/>
                <w:highlight w:val="none"/>
                <w:lang w:bidi="ar"/>
              </w:rPr>
              <w:t xml:space="preserve">控制系统：自动启动、延时，简化操作，操作人员只需简单培训便可上岗操作，手动+自动切换，机器控制出现故障可通过</w:t>
            </w:r>
            <w:r>
              <w:rPr>
                <w:rFonts w:hint="eastAsia" w:ascii="Times New Roman" w:hAnsi="Times New Roman" w:eastAsia="宋体" w:cs="Times New Roman"/>
                <w:color w:val="auto"/>
                <w:sz w:val="22"/>
                <w:szCs w:val="22"/>
                <w:highlight w:val="none"/>
                <w:lang w:eastAsia="zh-CN" w:bidi="ar"/>
              </w:rPr>
              <w:t xml:space="preserve">手动挡</w:t>
            </w:r>
            <w:r>
              <w:rPr>
                <w:rFonts w:ascii="Times New Roman" w:hAnsi="Times New Roman" w:eastAsia="宋体" w:cs="Times New Roman"/>
                <w:color w:val="auto"/>
                <w:sz w:val="22"/>
                <w:szCs w:val="22"/>
                <w:highlight w:val="none"/>
                <w:lang w:bidi="ar"/>
              </w:rPr>
              <w:t xml:space="preserve">位继续运行，保证机器的稳定性；电子温度显示，清晰、直观，观察方便*升温箱分级加热控制，双温度探头监测减小温度波动，达到最佳喷淋效果。</w:t>
            </w:r>
            <w:r>
              <w:rPr>
                <w:rFonts w:ascii="Times New Roman" w:hAnsi="Times New Roman" w:eastAsia="宋体" w:cs="Times New Roman"/>
                <w:color w:val="auto"/>
                <w:sz w:val="22"/>
                <w:szCs w:val="22"/>
                <w:highlight w:val="none"/>
                <w:lang w:bidi="ar"/>
              </w:rPr>
              <w:br/>
            </w:r>
            <w:r>
              <w:rPr>
                <w:rFonts w:hint="eastAsia" w:ascii="Times New Roman" w:hAnsi="Times New Roman" w:cs="Times New Roman" w:eastAsiaTheme="minorEastAsia"/>
                <w:b/>
                <w:bCs/>
                <w:color w:val="auto"/>
                <w:sz w:val="22"/>
                <w:szCs w:val="22"/>
                <w:highlight w:val="none"/>
              </w:rPr>
              <w:t xml:space="preserve">▲有商用洗碗机洗净性能认证证书</w:t>
            </w:r>
            <w:r>
              <w:rPr>
                <w:rFonts w:hint="eastAsia" w:ascii="Times New Roman" w:hAnsi="Times New Roman" w:cs="Times New Roman" w:eastAsiaTheme="minorEastAsia"/>
                <w:b/>
                <w:bCs/>
                <w:color w:val="auto"/>
                <w:sz w:val="22"/>
                <w:szCs w:val="22"/>
                <w:highlight w:val="none"/>
                <w:lang w:eastAsia="zh-CN"/>
              </w:rPr>
              <w:t xml:space="preserve">。</w:t>
            </w:r>
            <w:r>
              <w:rPr>
                <w:rFonts w:hint="eastAsia" w:ascii="Times New Roman" w:hAnsi="Times New Roman" w:cs="Times New Roman" w:eastAsiaTheme="minorEastAsia"/>
                <w:b/>
                <w:bCs/>
                <w:color w:val="auto"/>
                <w:sz w:val="22"/>
                <w:szCs w:val="22"/>
                <w:highlight w:val="none"/>
              </w:rPr>
              <w:t xml:space="preserve">提供认证</w:t>
            </w:r>
            <w:r>
              <w:rPr>
                <w:rFonts w:hint="eastAsia" w:cs="Times New Roman"/>
                <w:b/>
                <w:bCs/>
                <w:color w:val="auto"/>
                <w:sz w:val="22"/>
                <w:szCs w:val="22"/>
                <w:highlight w:val="none"/>
                <w:lang w:val="en-US" w:eastAsia="zh-CN"/>
              </w:rPr>
              <w:t xml:space="preserve">证书</w:t>
            </w:r>
            <w:r>
              <w:rPr>
                <w:rFonts w:hint="eastAsia" w:ascii="Times New Roman" w:hAnsi="Times New Roman" w:cs="Times New Roman" w:eastAsiaTheme="minorEastAsia"/>
                <w:b/>
                <w:bCs/>
                <w:color w:val="auto"/>
                <w:sz w:val="22"/>
                <w:szCs w:val="22"/>
                <w:highlight w:val="none"/>
                <w:lang w:val="en-US" w:eastAsia="zh-CN"/>
              </w:rPr>
              <w:t xml:space="preserve">扫描</w:t>
            </w:r>
            <w:r>
              <w:rPr>
                <w:rFonts w:hint="eastAsia" w:ascii="Times New Roman" w:hAnsi="Times New Roman" w:cs="Times New Roman" w:eastAsiaTheme="minorEastAsia"/>
                <w:b/>
                <w:bCs/>
                <w:color w:val="auto"/>
                <w:sz w:val="22"/>
                <w:szCs w:val="22"/>
                <w:highlight w:val="none"/>
              </w:rPr>
              <w:t xml:space="preserve">件</w:t>
            </w:r>
            <w:r>
              <w:rPr>
                <w:rFonts w:hint="eastAsia" w:ascii="Times New Roman" w:hAnsi="Times New Roman" w:cs="Times New Roman" w:eastAsiaTheme="minorEastAsia"/>
                <w:b/>
                <w:bCs/>
                <w:color w:val="auto"/>
                <w:sz w:val="22"/>
                <w:szCs w:val="22"/>
                <w:highlight w:val="none"/>
                <w:lang w:eastAsia="zh-CN"/>
              </w:rPr>
              <w:t xml:space="preserve">，</w:t>
            </w:r>
            <w:r>
              <w:rPr>
                <w:rFonts w:hint="eastAsia" w:ascii="Times New Roman" w:hAnsi="Times New Roman" w:cs="Times New Roman" w:eastAsiaTheme="minorEastAsia"/>
                <w:b/>
                <w:bCs/>
                <w:color w:val="auto"/>
                <w:sz w:val="22"/>
                <w:szCs w:val="22"/>
                <w:highlight w:val="none"/>
              </w:rPr>
              <w:t xml:space="preserve">并提供证书信息在“全国认证认可信息公共服务平台”网站查询</w:t>
            </w:r>
            <w:r>
              <w:rPr>
                <w:rFonts w:hint="eastAsia" w:ascii="Times New Roman" w:hAnsi="Times New Roman" w:cs="Times New Roman" w:eastAsiaTheme="minorEastAsia"/>
                <w:b/>
                <w:bCs/>
                <w:color w:val="auto"/>
                <w:sz w:val="22"/>
                <w:szCs w:val="22"/>
                <w:highlight w:val="none"/>
                <w:lang w:val="en-US" w:eastAsia="zh-CN"/>
              </w:rPr>
              <w:t xml:space="preserve">有效</w:t>
            </w:r>
            <w:r>
              <w:rPr>
                <w:rFonts w:hint="eastAsia" w:ascii="Times New Roman" w:hAnsi="Times New Roman" w:cs="Times New Roman" w:eastAsiaTheme="minorEastAsia"/>
                <w:b/>
                <w:bCs/>
                <w:color w:val="auto"/>
                <w:sz w:val="22"/>
                <w:szCs w:val="22"/>
                <w:highlight w:val="none"/>
              </w:rPr>
              <w:t xml:space="preserve">的截图，均加盖投标人公章。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0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6</w:t>
            </w:r>
            <w:r>
              <w:rPr>
                <w:rFonts w:hint="eastAsia"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洗碗机机用液</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洗涤剂20L/桶</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催干剂20L/桶</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洗碗机专用洗涤剂：本品全新配方呈碱性，</w:t>
            </w:r>
            <w:r>
              <w:rPr>
                <w:rFonts w:hint="eastAsia" w:ascii="Times New Roman" w:hAnsi="Times New Roman" w:eastAsia="宋体" w:cs="Times New Roman"/>
                <w:color w:val="auto"/>
                <w:sz w:val="22"/>
                <w:szCs w:val="22"/>
                <w:highlight w:val="none"/>
                <w:lang w:eastAsia="zh-CN" w:bidi="ar"/>
              </w:rPr>
              <w:t xml:space="preserve">含水</w:t>
            </w:r>
            <w:r>
              <w:rPr>
                <w:rFonts w:ascii="Times New Roman" w:hAnsi="Times New Roman" w:eastAsia="宋体" w:cs="Times New Roman"/>
                <w:color w:val="auto"/>
                <w:sz w:val="22"/>
                <w:szCs w:val="22"/>
                <w:highlight w:val="none"/>
                <w:lang w:bidi="ar"/>
              </w:rPr>
              <w:t xml:space="preserve">处理剂和污垢控制剂，浓缩型清洁剂，去污力，去除食物残渣，污渍及油脂。</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规格：每桶20L。 外观：红色或无色透明液体  总活性物含量≥10%。</w:t>
            </w:r>
            <w:r>
              <w:rPr>
                <w:rFonts w:hint="eastAsia" w:ascii="Times New Roman" w:hAnsi="Times New Roman" w:eastAsia="宋体" w:cs="Times New Roman"/>
                <w:color w:val="auto"/>
                <w:sz w:val="22"/>
                <w:szCs w:val="22"/>
                <w:highlight w:val="none"/>
                <w:lang w:eastAsia="zh-CN" w:bidi="ar"/>
              </w:rPr>
              <w:t xml:space="preserve">pH值</w:t>
            </w:r>
            <w:r>
              <w:rPr>
                <w:rFonts w:ascii="Times New Roman" w:hAnsi="Times New Roman" w:eastAsia="宋体" w:cs="Times New Roman"/>
                <w:color w:val="auto"/>
                <w:sz w:val="22"/>
                <w:szCs w:val="22"/>
                <w:highlight w:val="none"/>
                <w:lang w:bidi="ar"/>
              </w:rPr>
              <w:t xml:space="preserve">（1%水溶性）：≥12.  活碱：10.5±5.漂洗性：易清洗。</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溶解性：全溶。相对密度：1.23±0.005.保质期：2年   容量：20L。</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洗碗机专用催干剂：由表面活性剂复配而成，浓缩高效，提高洗碗机工作效率，通过降低水的表面张力，</w:t>
            </w:r>
            <w:r>
              <w:rPr>
                <w:rFonts w:hint="eastAsia" w:ascii="Times New Roman" w:hAnsi="Times New Roman" w:eastAsia="宋体" w:cs="Times New Roman"/>
                <w:color w:val="auto"/>
                <w:sz w:val="22"/>
                <w:szCs w:val="22"/>
                <w:highlight w:val="none"/>
                <w:lang w:eastAsia="zh-CN" w:bidi="ar"/>
              </w:rPr>
              <w:t xml:space="preserve">使</w:t>
            </w:r>
            <w:r>
              <w:rPr>
                <w:rFonts w:ascii="Times New Roman" w:hAnsi="Times New Roman" w:eastAsia="宋体" w:cs="Times New Roman"/>
                <w:color w:val="auto"/>
                <w:sz w:val="22"/>
                <w:szCs w:val="22"/>
                <w:highlight w:val="none"/>
                <w:lang w:bidi="ar"/>
              </w:rPr>
              <w:t xml:space="preserve">喷淋后的餐具形成无水渍，催干、消毒一次完成。</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催干剂必须与洗涤剂配合使用。规格：每桶20L。外观：清澈的蓝色液体。总活性物含量≥12%，</w:t>
            </w:r>
            <w:r>
              <w:rPr>
                <w:rFonts w:hint="eastAsia" w:ascii="Times New Roman" w:hAnsi="Times New Roman" w:eastAsia="宋体" w:cs="Times New Roman"/>
                <w:color w:val="auto"/>
                <w:sz w:val="22"/>
                <w:szCs w:val="22"/>
                <w:highlight w:val="none"/>
                <w:lang w:eastAsia="zh-CN" w:bidi="ar"/>
              </w:rPr>
              <w:t xml:space="preserve">pH值</w:t>
            </w:r>
            <w:r>
              <w:rPr>
                <w:rFonts w:ascii="Times New Roman" w:hAnsi="Times New Roman" w:eastAsia="宋体" w:cs="Times New Roman"/>
                <w:color w:val="auto"/>
                <w:sz w:val="22"/>
                <w:szCs w:val="22"/>
                <w:highlight w:val="none"/>
                <w:lang w:bidi="ar"/>
              </w:rPr>
              <w:t xml:space="preserve">：3~7.溶解性：全溶。相对密度：1.0575±0.005 。容量：20L。</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1桶洗碗机专用洗涤剂和1桶洗碗机专用催干剂为1组，为全自动长龙式洗碗机（含全自动分配器）耗材。</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组</w:t>
            </w:r>
            <w:r/>
          </w:p>
        </w:tc>
      </w:tr>
      <w:tr>
        <w:trPr>
          <w:jc w:val="center"/>
          <w:trHeight w:val="19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6</w:t>
            </w:r>
            <w:r>
              <w:rPr>
                <w:rFonts w:hint="eastAsia" w:cs="Times New Roman"/>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双门立式消毒柜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1310*620*1930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1.外形尺寸：≥1310*620*1930mm，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2.功率 ≥2.4kW/220V，消毒容积≥720L；</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3.采用优质不锈钢制作，整体发泡；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4.机械式旋钮控制系统，操作方便，带温控和定时功能，温度范围30~125°，时间范围0~90min；</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5.消毒效率高，灭菌力强，符合二星级消毒柜要求；</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6.对大肠杆菌的杀灭对数值＞3.00，对脊髓灰质炎病毒Ⅰ型疫苗株的灭活对数值＞4.00。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6</w:t>
            </w:r>
            <w:r>
              <w:rPr>
                <w:rFonts w:hint="eastAsia" w:cs="Times New Roman"/>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1.台面板采用SUS304，不小于1.0mm不锈钢板，配不小于1.0mm做加力筋；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2.层板采用国产SUS304，不小于1.0mm不锈钢板；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3.台脚采用Ф38mmX1.0mm不锈钢圆管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 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73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6</w:t>
            </w:r>
            <w:r>
              <w:rPr>
                <w:rFonts w:hint="eastAsia"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六门双温冰箱</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6"/>
                <w:szCs w:val="16"/>
                <w:highlight w:val="none"/>
              </w:rPr>
            </w:pPr>
            <w:r>
              <w:rPr>
                <w:rFonts w:ascii="Times New Roman" w:hAnsi="Times New Roman" w:eastAsia="宋体" w:cs="Times New Roman"/>
                <w:color w:val="auto"/>
                <w:sz w:val="16"/>
                <w:szCs w:val="16"/>
                <w:highlight w:val="none"/>
                <w:lang w:bidi="ar"/>
              </w:rPr>
              <w:t xml:space="preserve">1800*750*1950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容量：≥1453L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功率：220V/≥398W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箱内温度：+8~-18℃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采用内外201，门铰链304不锈钢产品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采用国内一线品牌压缩机，采用一线品牌温控，温度更精确，箱内拼接采用倒圆弧设计，干净清爽更易清洁。</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橡胶轮带刹车，可换不锈钢调节脚。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带温度显示屏。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rPr>
            </w:pPr>
            <w:r>
              <w:rPr>
                <w:rFonts w:hint="eastAsia" w:ascii="Times New Roman" w:hAnsi="Times New Roman" w:eastAsia="宋体" w:cs="Times New Roman"/>
                <w:color w:val="auto"/>
                <w:sz w:val="22"/>
                <w:szCs w:val="22"/>
                <w:highlight w:val="none"/>
                <w:lang w:val="en-US" w:eastAsia="zh-CN" w:bidi="ar"/>
              </w:rPr>
              <w:t xml:space="preserve">6</w:t>
            </w:r>
            <w:r>
              <w:rPr>
                <w:rFonts w:hint="eastAsia"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双头煮面炉</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1300*790*800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容量：≥70L*2 ；功率：≥9</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；电压：380V；内/外直径：≥45/51CM；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桶深：≥43CM；接线标准：100A；</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煮面炉柜身采用201不锈钢≥1.0mm</w:t>
            </w:r>
            <w:r>
              <w:rPr>
                <w:rFonts w:hint="eastAsia" w:ascii="Times New Roman" w:hAnsi="Times New Roman" w:eastAsia="宋体" w:cs="Times New Roman"/>
                <w:color w:val="auto"/>
                <w:sz w:val="22"/>
                <w:szCs w:val="22"/>
                <w:highlight w:val="none"/>
                <w:lang w:eastAsia="zh-CN" w:bidi="ar"/>
              </w:rPr>
              <w:t xml:space="preserve">厚</w:t>
            </w:r>
            <w:r>
              <w:rPr>
                <w:rFonts w:ascii="Times New Roman" w:hAnsi="Times New Roman" w:eastAsia="宋体" w:cs="Times New Roman"/>
                <w:color w:val="auto"/>
                <w:sz w:val="22"/>
                <w:szCs w:val="22"/>
                <w:highlight w:val="none"/>
                <w:lang w:bidi="ar"/>
              </w:rPr>
              <w:t xml:space="preserve">柜体，内胆采用SUS304不锈钢1.5mm厚。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eastAsia="zh-CN"/>
              </w:rPr>
            </w:pPr>
            <w:r>
              <w:rPr>
                <w:rFonts w:hint="eastAsia" w:cs="Times New Roman"/>
                <w:color w:val="auto"/>
                <w:sz w:val="22"/>
                <w:szCs w:val="22"/>
                <w:highlight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left"/>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数显温控J40系列包体长方形液压餐炉</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550*430*210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数显温控，220V，≥300W，容量9L，材质：SUS304不锈钢内胆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eastAsia="zh-CN"/>
              </w:rPr>
            </w:pPr>
            <w:r>
              <w:rPr>
                <w:rFonts w:hint="eastAsia" w:cs="Times New Roman"/>
                <w:color w:val="auto"/>
                <w:sz w:val="22"/>
                <w:szCs w:val="22"/>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620*655*700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不锈钢机身1.0mm厚，装备恒温装置，工作温度：50℃-300℃，大面积封闭加热，机械控温，快速升温，温度误差小，节能环保，降低能耗，电饼铛内胆采用铝合金制作，升温快，加热均匀，不</w:t>
            </w:r>
            <w:r>
              <w:rPr>
                <w:rFonts w:hint="eastAsia" w:ascii="Times New Roman" w:hAnsi="Times New Roman" w:eastAsia="宋体" w:cs="Times New Roman"/>
                <w:color w:val="auto"/>
                <w:sz w:val="18"/>
                <w:szCs w:val="18"/>
                <w:highlight w:val="none"/>
                <w:lang w:eastAsia="zh-CN" w:bidi="ar"/>
              </w:rPr>
              <w:t xml:space="preserve">黏附</w:t>
            </w:r>
            <w:r>
              <w:rPr>
                <w:rFonts w:hint="eastAsia" w:ascii="Times New Roman" w:hAnsi="Times New Roman" w:eastAsia="宋体" w:cs="Times New Roman"/>
                <w:color w:val="auto"/>
                <w:sz w:val="18"/>
                <w:szCs w:val="18"/>
                <w:highlight w:val="none"/>
                <w:lang w:bidi="ar"/>
              </w:rPr>
              <w:t xml:space="preserve">，容易脱模，油烟少，电功率：5KW380V/220V</w:t>
            </w:r>
            <w:r>
              <w:rPr>
                <w:rFonts w:hint="eastAsia" w:ascii="Times New Roman" w:hAnsi="Times New Roman" w:eastAsia="宋体" w:cs="Times New Roman"/>
                <w:color w:val="auto"/>
                <w:sz w:val="18"/>
                <w:szCs w:val="18"/>
                <w:highlight w:val="none"/>
                <w:lang w:bidi="ar"/>
              </w:rPr>
              <w:br/>
            </w:r>
            <w:r>
              <w:rPr>
                <w:rFonts w:hint="eastAsia" w:ascii="Times New Roman" w:hAnsi="Times New Roman" w:eastAsia="宋体" w:cs="Times New Roman"/>
                <w:color w:val="auto"/>
                <w:sz w:val="18"/>
                <w:szCs w:val="18"/>
                <w:highlight w:val="none"/>
                <w:lang w:bidi="ar"/>
              </w:rPr>
              <w:t xml:space="preserve">直径：50CM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台</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hint="eastAsia" w:ascii="Times New Roman" w:hAnsi="Times New Roman" w:eastAsia="宋体" w:cs="Times New Roman"/>
                <w:color w:val="auto"/>
                <w:sz w:val="22"/>
                <w:szCs w:val="22"/>
                <w:highlight w:val="none"/>
                <w:lang w:bidi="ar"/>
              </w:rPr>
              <w:t xml:space="preserve">7</w:t>
            </w:r>
            <w:r>
              <w:rPr>
                <w:rFonts w:hint="eastAsia" w:cs="Times New Roman"/>
                <w:color w:val="auto"/>
                <w:sz w:val="22"/>
                <w:szCs w:val="22"/>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暖汤煲</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13L</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尺寸： ≥38*38*41CM</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容量：</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≥13L,≥300W，外层三层隔热，外壳内胆：纯铝速热，可拆SUS304不锈钢内胆，0~80℃五段控温系统。</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7</w:t>
            </w:r>
            <w:r>
              <w:rPr>
                <w:rFonts w:hint="eastAsia"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勾柄厨具/汤勺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150ML</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SUS304不锈钢≥150ML，尺寸：柄长≥30cm.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7</w:t>
            </w:r>
            <w:r>
              <w:rPr>
                <w:rFonts w:hint="eastAsia" w:cs="Times New Roman"/>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精抛食品夹单齿</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24cm</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单齿加厚SUS304不锈钢制作。尺寸：≥24cm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7</w:t>
            </w:r>
            <w:r>
              <w:rPr>
                <w:rFonts w:hint="eastAsia"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餐夹搁盘</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15*28.5cm</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5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7</w:t>
            </w:r>
            <w:r>
              <w:rPr>
                <w:rFonts w:hint="eastAsia" w:cs="Times New Roman"/>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五格餐盘带盖</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290*230*40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食品级SUS304不锈钢≥1.0mm厚，盖子SUS304不锈钢。</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8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7</w:t>
            </w:r>
            <w:r>
              <w:rPr>
                <w:rFonts w:hint="eastAsia" w:cs="Times New Roman"/>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双层不锈钢小碗</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直径11.5cm</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内外SUS304不锈钢制作。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24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7</w:t>
            </w:r>
            <w:r>
              <w:rPr>
                <w:rFonts w:hint="eastAsia"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不锈钢小勺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18.5cm</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rPr>
            </w:pPr>
            <w:r>
              <w:rPr>
                <w:rFonts w:hint="eastAsia" w:ascii="Times New Roman" w:hAnsi="Times New Roman" w:eastAsia="宋体" w:cs="Times New Roman"/>
                <w:color w:val="auto"/>
                <w:sz w:val="22"/>
                <w:szCs w:val="22"/>
                <w:highlight w:val="none"/>
                <w:lang w:val="en-US" w:eastAsia="zh-CN" w:bidi="ar"/>
              </w:rPr>
              <w:t xml:space="preserve">7</w:t>
            </w:r>
            <w:r>
              <w:rPr>
                <w:rFonts w:hint="eastAsia"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≥直径80cm</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eastAsia="zh-CN"/>
              </w:rPr>
            </w:pPr>
            <w:r>
              <w:rPr>
                <w:rFonts w:hint="eastAsia" w:cs="Times New Roman"/>
                <w:color w:val="auto"/>
                <w:sz w:val="22"/>
                <w:szCs w:val="22"/>
                <w:highlight w:val="none"/>
                <w:lang w:val="en-US" w:eastAsia="zh-CN"/>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平板塑料垫板</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1500*1400*14</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采用PP材质，静载4000KG</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动载1200KG，耐高温135℃，耐低温-40℃，九个脚+4根钢（外边脚各1根钢，中间2根钢）</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0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eastAsia="zh-CN"/>
              </w:rPr>
            </w:pPr>
            <w:r>
              <w:rPr>
                <w:rFonts w:hint="eastAsia" w:cs="Times New Roman"/>
                <w:color w:val="auto"/>
                <w:sz w:val="22"/>
                <w:szCs w:val="22"/>
                <w:highlight w:val="none"/>
                <w:lang w:val="en-US" w:eastAsia="zh-CN"/>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（一楼主厨间）机械静电光解复合式集烟罩（油烟净化一体设备）</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17200*1500*780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0"/>
              </w:numPr>
              <w:jc w:val="left"/>
              <w:spacing w:after="62"/>
              <w:widowControl/>
              <w:rPr>
                <w:rFonts w:ascii="Times New Roman" w:cs="Times New Roman"/>
                <w:color w:val="auto"/>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本体采用优质不锈钢201板材，厚度≥1.0mm，净化率≥</w:t>
            </w:r>
            <w:r>
              <w:rPr>
                <w:rFonts w:hint="eastAsia" w:ascii="Times New Roman" w:hAnsi="Times New Roman" w:eastAsia="宋体" w:cs="Times New Roman"/>
                <w:color w:val="auto"/>
                <w:sz w:val="22"/>
                <w:szCs w:val="22"/>
                <w:highlight w:val="none"/>
                <w:lang w:val="en-US" w:eastAsia="zh-CN" w:bidi="ar"/>
              </w:rPr>
              <w:t xml:space="preserve">85</w:t>
            </w:r>
            <w:r>
              <w:rPr>
                <w:rFonts w:ascii="Times New Roman" w:hAnsi="Times New Roman" w:eastAsia="宋体" w:cs="Times New Roman"/>
                <w:color w:val="auto"/>
                <w:sz w:val="22"/>
                <w:szCs w:val="22"/>
                <w:highlight w:val="none"/>
                <w:lang w:bidi="ar"/>
              </w:rPr>
              <w:t xml:space="preserve">%。 设备集烟罩、抽排系统、风幕系统、净化系统为一体的油烟净化设备。</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设备通道式设计，方便拼接安装。单台设备独立控制，自带动力，整机额定功率1.9-2.4</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设备自带风幕风帘系统，有效防止油烟逃逸，提高油烟捕获效率。</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高清液晶显示屏，触摸按键。实时工作温度显示</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自带缺相检测，可调节过载保护</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 AC~220V风机自动识别兼容，无需手动。</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烹饪时所产生的油烟气体，随风机产生的气流，进入高速旋转的网盘，被网盘屏蔽拦截，并在其离心作用下分离；                                                                                                 6</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后经多层铝波纹丝网过滤并均分散流；再经过高低压电场使油烟颗粒荷电分离并吸附于电极上；</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最后采用UV-C光解净化工艺，对油烟颗粒物、蒸气和气味进行氧化反应。废油回收率高，管道风机不积油，大大降低了风管内因大颗粒废油堆积而引起的火灾隐患。</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节能环保，油烟排放符合国家排放标准。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rPr>
            </w:pPr>
            <w:r>
              <w:rPr>
                <w:rFonts w:hint="eastAsia" w:ascii="Times New Roman" w:hAnsi="Times New Roman" w:eastAsia="宋体" w:cs="Times New Roman"/>
                <w:color w:val="auto"/>
                <w:sz w:val="22"/>
                <w:szCs w:val="22"/>
                <w:highlight w:val="none"/>
                <w:lang w:val="en-US" w:eastAsia="zh-CN" w:bidi="ar"/>
              </w:rPr>
              <w:t xml:space="preserve">8</w:t>
            </w:r>
            <w:r>
              <w:rPr>
                <w:rFonts w:hint="eastAsia" w:cs="Times New Roman"/>
                <w:color w:val="auto"/>
                <w:sz w:val="22"/>
                <w:szCs w:val="22"/>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一楼蒸煮间集气罩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10500*1300*500*2</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8</w:t>
            </w:r>
            <w:r>
              <w:rPr>
                <w:rFonts w:hint="eastAsia"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一楼洗碗机集气罩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4000*1000*500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8</w:t>
            </w:r>
            <w:r>
              <w:rPr>
                <w:rFonts w:hint="eastAsia" w:cs="Times New Roman"/>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二楼洗碗机集气罩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4000*1000*500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8</w:t>
            </w:r>
            <w:r>
              <w:rPr>
                <w:rFonts w:hint="eastAsia"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二楼早餐间集气罩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1500*1000*500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8</w:t>
            </w:r>
            <w:r>
              <w:rPr>
                <w:rFonts w:hint="eastAsia" w:cs="Times New Roman"/>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5#轴流风机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210*225</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铜芯，全国联保</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220V/0.55</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全压：140Pa</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风量：1500m³/h.转速：2500r/mmin.</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8</w:t>
            </w:r>
            <w:r>
              <w:rPr>
                <w:rFonts w:hint="eastAsia" w:cs="Times New Roman"/>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4</w:t>
            </w:r>
            <w:r>
              <w:rPr>
                <w:rFonts w:hint="eastAsia" w:ascii="Times New Roman" w:hAnsi="Times New Roman" w:eastAsia="宋体" w:cs="Times New Roman"/>
                <w:color w:val="auto"/>
                <w:sz w:val="20"/>
                <w:szCs w:val="20"/>
                <w:highlight w:val="none"/>
                <w:lang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restart"/>
            <w:textDirection w:val="lrTb"/>
            <w:noWrap w:val="false"/>
          </w:tcPr>
          <w:p>
            <w:pPr>
              <w:numPr>
                <w:ilvl w:val="0"/>
                <w:numId w:val="14"/>
              </w:numPr>
              <w:jc w:val="left"/>
              <w:keepLines w:val="0"/>
              <w:keepNext w:val="0"/>
              <w:pageBreakBefore w:val="0"/>
              <w:spacing w:after="0" w:line="360" w:lineRule="exact"/>
              <w:widowControl w:val="off"/>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外壳采用不小于1.0mm双面烤漆钢板制作，内部双层静音棉孔板制作</w:t>
            </w:r>
            <w:r>
              <w:rPr>
                <w:rFonts w:hint="eastAsia" w:ascii="Times New Roman" w:hAnsi="Times New Roman" w:eastAsia="宋体" w:cs="Times New Roman"/>
                <w:color w:val="auto"/>
                <w:sz w:val="22"/>
                <w:szCs w:val="22"/>
                <w:highlight w:val="none"/>
                <w:lang w:eastAsia="zh-CN" w:bidi="ar"/>
              </w:rPr>
              <w:t xml:space="preserve">适当</w:t>
            </w:r>
            <w:r>
              <w:rPr>
                <w:rFonts w:ascii="Times New Roman" w:hAnsi="Times New Roman" w:eastAsia="宋体" w:cs="Times New Roman"/>
                <w:color w:val="auto"/>
                <w:sz w:val="22"/>
                <w:szCs w:val="22"/>
                <w:highlight w:val="none"/>
                <w:lang w:bidi="ar"/>
              </w:rPr>
              <w:t xml:space="preserve">加固以避免在正常运作时产生振动；</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轴承：采用耐腐蚀风机专用轴承；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电机：纯铜芯国标电机。</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叶轮：按三元流理论设计的机翼形前倾式风轮，厚度不小于1.0mm镀锌钢板制作，耐腐蚀性好，风机设有检修门，方便日后维护；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底部自带槽钢支架，便于安装。   </w:t>
            </w:r>
            <w:r>
              <w:rPr>
                <w:rFonts w:ascii="Times New Roman" w:hAnsi="Times New Roman" w:eastAsia="宋体" w:cs="Times New Roman"/>
                <w:b/>
                <w:bCs/>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8</w:t>
            </w:r>
            <w:r>
              <w:rPr>
                <w:rFonts w:hint="eastAsia"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低噪音厢式风机（新风风机）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5.5</w:t>
            </w:r>
            <w:r>
              <w:rPr>
                <w:rFonts w:hint="eastAsia" w:ascii="Times New Roman" w:hAnsi="Times New Roman" w:eastAsia="宋体" w:cs="Times New Roman"/>
                <w:color w:val="auto"/>
                <w:sz w:val="20"/>
                <w:szCs w:val="20"/>
                <w:highlight w:val="none"/>
                <w:lang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left"/>
              <w:spacing w:after="62"/>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rPr>
            </w:pPr>
            <w:r>
              <w:rPr>
                <w:rFonts w:hint="eastAsia" w:ascii="Times New Roman" w:hAnsi="Times New Roman" w:eastAsia="宋体" w:cs="Times New Roman"/>
                <w:color w:val="auto"/>
                <w:sz w:val="22"/>
                <w:szCs w:val="22"/>
                <w:highlight w:val="none"/>
                <w:lang w:val="en-US" w:eastAsia="zh-CN" w:bidi="ar"/>
              </w:rPr>
              <w:t xml:space="preserve">8</w:t>
            </w:r>
            <w:r>
              <w:rPr>
                <w:rFonts w:hint="eastAsia"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22</w:t>
            </w:r>
            <w:r>
              <w:rPr>
                <w:rFonts w:hint="eastAsia" w:ascii="Times New Roman" w:hAnsi="Times New Roman" w:eastAsia="宋体" w:cs="Times New Roman"/>
                <w:color w:val="auto"/>
                <w:sz w:val="20"/>
                <w:szCs w:val="20"/>
                <w:highlight w:val="none"/>
                <w:lang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left"/>
              <w:spacing w:after="62"/>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p>
        </w:tc>
      </w:tr>
      <w:tr>
        <w:trPr>
          <w:jc w:val="center"/>
          <w:trHeight w:val="6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18</w:t>
            </w:r>
            <w:r>
              <w:rPr>
                <w:rFonts w:hint="eastAsia" w:ascii="Times New Roman" w:hAnsi="Times New Roman" w:eastAsia="宋体" w:cs="Times New Roman"/>
                <w:color w:val="auto"/>
                <w:sz w:val="20"/>
                <w:szCs w:val="20"/>
                <w:highlight w:val="none"/>
                <w:lang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left"/>
              <w:spacing w:after="62"/>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eastAsia="zh-CN"/>
              </w:rPr>
            </w:pPr>
            <w:r>
              <w:rPr>
                <w:rFonts w:hint="eastAsia" w:cs="Times New Roman"/>
                <w:color w:val="auto"/>
                <w:sz w:val="22"/>
                <w:szCs w:val="22"/>
                <w:highlight w:val="none"/>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新风管道</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400*400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采用不锈钢不小于1.0mm板制作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9</w:t>
            </w:r>
            <w:r>
              <w:rPr>
                <w:rFonts w:hint="eastAsia" w:cs="Times New Roman"/>
                <w:color w:val="auto"/>
                <w:sz w:val="22"/>
                <w:szCs w:val="22"/>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排烟管道</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600*800</w:t>
            </w: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采用不锈钢不小于1.0mm板制作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9</w:t>
            </w:r>
            <w:r>
              <w:rPr>
                <w:rFonts w:hint="eastAsia"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弯头</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采用不锈钢不小于1.0mm板制作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9</w:t>
            </w:r>
            <w:r>
              <w:rPr>
                <w:rFonts w:hint="eastAsia" w:cs="Times New Roman"/>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含减震器、软连接、风机支架等。</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9</w:t>
            </w:r>
            <w:r>
              <w:rPr>
                <w:rFonts w:hint="eastAsia"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百叶窗</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采用SUS304不锈钢不小于1.0厚制作。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9</w:t>
            </w:r>
            <w:r>
              <w:rPr>
                <w:rFonts w:hint="eastAsia" w:cs="Times New Roman"/>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采用彩钢板制作，带锁。</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含风机缺项保护。</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内部电子元器件安装及项目接线端整齐。</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设置开、</w:t>
            </w:r>
            <w:r>
              <w:rPr>
                <w:rFonts w:hint="eastAsia" w:ascii="Times New Roman" w:hAnsi="Times New Roman" w:eastAsia="宋体" w:cs="Times New Roman"/>
                <w:color w:val="auto"/>
                <w:sz w:val="22"/>
                <w:szCs w:val="22"/>
                <w:highlight w:val="none"/>
                <w:lang w:eastAsia="zh-CN" w:bidi="ar"/>
              </w:rPr>
              <w:t xml:space="preserve">关键</w:t>
            </w:r>
            <w:r>
              <w:rPr>
                <w:rFonts w:ascii="Times New Roman" w:hAnsi="Times New Roman" w:eastAsia="宋体" w:cs="Times New Roman"/>
                <w:color w:val="auto"/>
                <w:sz w:val="22"/>
                <w:szCs w:val="22"/>
                <w:highlight w:val="none"/>
                <w:lang w:bidi="ar"/>
              </w:rPr>
              <w:t xml:space="preserve">，控制风机。</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lang w:val="en-US" w:eastAsia="zh-CN"/>
              </w:rPr>
            </w:pPr>
            <w:r>
              <w:rPr>
                <w:rFonts w:ascii="Times New Roman" w:hAnsi="Times New Roman" w:eastAsia="宋体" w:cs="Times New Roman"/>
                <w:color w:val="auto"/>
                <w:sz w:val="22"/>
                <w:szCs w:val="22"/>
                <w:highlight w:val="none"/>
                <w:lang w:bidi="ar"/>
              </w:rPr>
              <w:t xml:space="preserve">9</w:t>
            </w:r>
            <w:r>
              <w:rPr>
                <w:rFonts w:hint="eastAsia" w:cs="Times New Roman"/>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color w:val="auto"/>
                <w:highlight w:val="none"/>
                <w:vertAlign w:val="baseline"/>
                <w:lang w:val="en-US" w:eastAsia="zh-CN"/>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400*500*770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 xml:space="preserve">(</w:t>
            </w:r>
            <w:r>
              <w:rPr>
                <w:rFonts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tabs>
                <w:tab w:val="left" w:pos="1561" w:leader="none"/>
              </w:tabs>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交直流两用，可充电，采用LED数码显示，带计价功能；量程：≥150kg，采用智能高清显示器，计价可累计99次金额，带有去皮功能。不锈钢防水大按键，采用食品级不锈钢制作。充满电可持续使用1个月。</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rPr>
            </w:pPr>
            <w:r>
              <w:rPr>
                <w:rFonts w:hint="eastAsia" w:ascii="Times New Roman" w:hAnsi="Times New Roman" w:eastAsia="宋体" w:cs="Times New Roman"/>
                <w:color w:val="auto"/>
                <w:sz w:val="22"/>
                <w:szCs w:val="22"/>
                <w:highlight w:val="none"/>
                <w:lang w:val="en-US" w:eastAsia="zh-CN" w:bidi="ar"/>
              </w:rPr>
              <w:t xml:space="preserve">9</w:t>
            </w:r>
            <w:r>
              <w:rPr>
                <w:rFonts w:hint="eastAsia"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送餐保温箱（含2个1/2盆）</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bidi="ar"/>
              </w:rPr>
              <w:t xml:space="preserve">28~32L</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tabs>
                <w:tab w:val="left" w:pos="1561" w:leader="none"/>
              </w:tabs>
              <w:rPr>
                <w:rFonts w:hint="eastAsia" w:ascii="Times New Roman" w:hAnsi="Times New Roman" w:eastAsia="宋体" w:cs="Times New Roman"/>
                <w:color w:val="auto"/>
                <w:sz w:val="22"/>
                <w:szCs w:val="22"/>
                <w:highlight w:val="none"/>
              </w:rPr>
            </w:pPr>
            <w:r>
              <w:rPr>
                <w:rFonts w:hint="eastAsia" w:cs="Times New Roman"/>
                <w:color w:val="auto"/>
                <w:sz w:val="22"/>
                <w:szCs w:val="22"/>
                <w:highlight w:val="none"/>
                <w:lang w:val="en-US" w:eastAsia="zh-CN" w:bidi="ar"/>
              </w:rPr>
              <w:t xml:space="preserve">28~32L</w:t>
            </w:r>
            <w:r>
              <w:rPr>
                <w:rFonts w:hint="eastAsia" w:ascii="Times New Roman" w:hAnsi="Times New Roman" w:eastAsia="宋体" w:cs="Times New Roman"/>
                <w:color w:val="auto"/>
                <w:sz w:val="22"/>
                <w:szCs w:val="22"/>
                <w:highlight w:val="none"/>
                <w:lang w:bidi="ar"/>
              </w:rPr>
              <w:t xml:space="preserve">升保温箱空箱+2个1/2盆</w:t>
            </w:r>
            <w:r>
              <w:rPr>
                <w:rFonts w:hint="eastAsia" w:ascii="Times New Roman" w:hAnsi="Times New Roman" w:eastAsia="宋体" w:cs="Times New Roman"/>
                <w:color w:val="auto"/>
                <w:sz w:val="22"/>
                <w:szCs w:val="22"/>
                <w:highlight w:val="none"/>
                <w:lang w:val="en-US" w:eastAsia="zh-CN" w:bidi="ar"/>
              </w:rPr>
              <w:t xml:space="preserve">为1件。</w:t>
            </w:r>
            <w:r>
              <w:rPr>
                <w:rFonts w:hint="eastAsia" w:ascii="Times New Roman" w:hAnsi="Times New Roman" w:eastAsia="宋体" w:cs="Times New Roman"/>
                <w:color w:val="auto"/>
                <w:sz w:val="22"/>
                <w:szCs w:val="22"/>
                <w:highlight w:val="none"/>
                <w:lang w:bidi="ar"/>
              </w:rPr>
              <w:t xml:space="preserve">保温箱空箱</w:t>
            </w:r>
            <w:r>
              <w:rPr>
                <w:rFonts w:hint="eastAsia" w:ascii="Times New Roman" w:hAnsi="Times New Roman" w:eastAsia="宋体" w:cs="Times New Roman"/>
                <w:color w:val="auto"/>
                <w:sz w:val="22"/>
                <w:szCs w:val="22"/>
                <w:highlight w:val="none"/>
                <w:lang w:val="en-US" w:eastAsia="zh-CN" w:bidi="ar"/>
              </w:rPr>
              <w:t xml:space="preserve">为</w:t>
            </w:r>
            <w:r>
              <w:rPr>
                <w:rFonts w:hint="eastAsia" w:cs="Times New Roman"/>
                <w:color w:val="auto"/>
                <w:sz w:val="22"/>
                <w:szCs w:val="22"/>
                <w:highlight w:val="none"/>
                <w:lang w:val="en-US" w:eastAsia="zh-CN" w:bidi="ar"/>
              </w:rPr>
              <w:t xml:space="preserve">PP材质</w:t>
            </w:r>
            <w:r>
              <w:rPr>
                <w:rFonts w:hint="eastAsia" w:ascii="Times New Roman" w:hAnsi="Times New Roman" w:eastAsia="宋体" w:cs="Times New Roman"/>
                <w:color w:val="auto"/>
                <w:sz w:val="22"/>
                <w:szCs w:val="22"/>
                <w:highlight w:val="none"/>
                <w:lang w:bidi="ar"/>
              </w:rPr>
              <w:t xml:space="preserve">，</w:t>
            </w:r>
            <w:r>
              <w:rPr>
                <w:rFonts w:hint="eastAsia" w:ascii="Times New Roman" w:hAnsi="Times New Roman" w:eastAsia="宋体" w:cs="Times New Roman"/>
                <w:color w:val="auto"/>
                <w:sz w:val="22"/>
                <w:szCs w:val="22"/>
                <w:highlight w:val="none"/>
                <w:lang w:val="en-US" w:eastAsia="zh-CN" w:bidi="ar"/>
              </w:rPr>
              <w:t xml:space="preserve">内胆2个</w:t>
            </w:r>
            <w:r>
              <w:rPr>
                <w:rFonts w:hint="eastAsia" w:ascii="Times New Roman" w:hAnsi="Times New Roman" w:eastAsia="宋体" w:cs="Times New Roman"/>
                <w:color w:val="auto"/>
                <w:sz w:val="22"/>
                <w:szCs w:val="22"/>
                <w:highlight w:val="none"/>
                <w:lang w:bidi="ar"/>
              </w:rPr>
              <w:t xml:space="preserve">1/2盆为</w:t>
            </w:r>
            <w:r>
              <w:rPr>
                <w:rFonts w:hint="eastAsia" w:ascii="Times New Roman" w:hAnsi="Times New Roman" w:eastAsia="宋体" w:cs="Times New Roman"/>
                <w:color w:val="auto"/>
                <w:sz w:val="22"/>
                <w:szCs w:val="22"/>
                <w:highlight w:val="none"/>
                <w:lang w:val="en-US" w:eastAsia="zh-CN" w:bidi="ar"/>
              </w:rPr>
              <w:t xml:space="preserve">304</w:t>
            </w:r>
            <w:r>
              <w:rPr>
                <w:rFonts w:hint="eastAsia" w:ascii="Times New Roman" w:hAnsi="Times New Roman" w:eastAsia="宋体" w:cs="Times New Roman"/>
                <w:color w:val="auto"/>
                <w:sz w:val="22"/>
                <w:szCs w:val="22"/>
                <w:highlight w:val="none"/>
                <w:lang w:bidi="ar"/>
              </w:rPr>
              <w:t xml:space="preserve">不锈钢</w:t>
            </w:r>
            <w:r>
              <w:rPr>
                <w:rFonts w:hint="eastAsia" w:ascii="Times New Roman" w:hAnsi="Times New Roman" w:eastAsia="宋体" w:cs="Times New Roman"/>
                <w:color w:val="auto"/>
                <w:sz w:val="22"/>
                <w:szCs w:val="22"/>
                <w:highlight w:val="none"/>
                <w:lang w:val="en-US" w:eastAsia="zh-CN" w:bidi="ar"/>
              </w:rPr>
              <w:t xml:space="preserve">制作并带不锈钢盖</w:t>
            </w:r>
            <w:r>
              <w:rPr>
                <w:rFonts w:hint="eastAsia" w:ascii="Times New Roman" w:hAnsi="Times New Roman" w:eastAsia="宋体" w:cs="Times New Roman"/>
                <w:color w:val="auto"/>
                <w:sz w:val="22"/>
                <w:szCs w:val="22"/>
                <w:highlight w:val="none"/>
                <w:lang w:bidi="ar"/>
              </w:rPr>
              <w:t xml:space="preserve">。（外观颜色：</w:t>
            </w:r>
            <w:r>
              <w:rPr>
                <w:rFonts w:hint="eastAsia" w:cs="Times New Roman"/>
                <w:color w:val="auto"/>
                <w:sz w:val="22"/>
                <w:szCs w:val="22"/>
                <w:highlight w:val="none"/>
                <w:lang w:val="en-US" w:eastAsia="zh-CN" w:bidi="ar"/>
              </w:rPr>
              <w:t xml:space="preserve">红</w:t>
            </w:r>
            <w:r>
              <w:rPr>
                <w:rFonts w:hint="eastAsia" w:ascii="Times New Roman" w:hAnsi="Times New Roman" w:eastAsia="宋体" w:cs="Times New Roman"/>
                <w:color w:val="auto"/>
                <w:sz w:val="22"/>
                <w:szCs w:val="22"/>
                <w:highlight w:val="none"/>
                <w:lang w:bidi="ar"/>
              </w:rPr>
              <w:t xml:space="preserve">色、蓝色、绿色各</w:t>
            </w:r>
            <w:r>
              <w:rPr>
                <w:rFonts w:hint="eastAsia" w:ascii="Times New Roman" w:hAnsi="Times New Roman" w:eastAsia="宋体" w:cs="Times New Roman"/>
                <w:color w:val="auto"/>
                <w:sz w:val="22"/>
                <w:szCs w:val="22"/>
                <w:highlight w:val="none"/>
                <w:lang w:val="en-US" w:eastAsia="zh-CN" w:bidi="ar"/>
              </w:rPr>
              <w:t xml:space="preserve">35</w:t>
            </w:r>
            <w:r>
              <w:rPr>
                <w:rFonts w:hint="eastAsia" w:ascii="Times New Roman" w:hAnsi="Times New Roman" w:eastAsia="宋体" w:cs="Times New Roman"/>
                <w:color w:val="auto"/>
                <w:sz w:val="22"/>
                <w:szCs w:val="22"/>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件</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lang w:val="en-US"/>
              </w:rPr>
            </w:pPr>
            <w:r>
              <w:rPr>
                <w:rFonts w:hint="eastAsia" w:ascii="Times New Roman" w:hAnsi="Times New Roman" w:eastAsia="宋体" w:cs="Times New Roman"/>
                <w:color w:val="auto"/>
                <w:sz w:val="22"/>
                <w:szCs w:val="22"/>
                <w:highlight w:val="none"/>
                <w:lang w:val="en-US" w:eastAsia="zh-CN" w:bidi="ar"/>
              </w:rPr>
              <w:t xml:space="preserve">9</w:t>
            </w:r>
            <w:r>
              <w:rPr>
                <w:rFonts w:hint="eastAsia"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410*45*50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 xml:space="preserve">(</w:t>
            </w:r>
            <w:r>
              <w:rPr>
                <w:rFonts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tabs>
                <w:tab w:val="left" w:pos="1561" w:leader="none"/>
              </w:tabs>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304不锈钢制作</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每根至少5个挂钩</w:t>
            </w:r>
            <w:r>
              <w:rPr>
                <w:rFonts w:hint="eastAsia" w:ascii="Times New Roman" w:hAnsi="Times New Roman" w:eastAsia="宋体" w:cs="Times New Roman"/>
                <w:color w:val="auto"/>
                <w:sz w:val="22"/>
                <w:szCs w:val="22"/>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根</w:t>
            </w:r>
            <w:r/>
          </w:p>
        </w:tc>
      </w:tr>
    </w:tbl>
    <w:p>
      <w:pPr>
        <w:pStyle w:val="1079"/>
        <w:rPr>
          <w:color w:val="auto"/>
        </w:rPr>
      </w:pPr>
      <w:r>
        <w:rPr>
          <w:color w:val="auto"/>
        </w:rPr>
      </w:r>
      <w:r/>
    </w:p>
    <w:tbl>
      <w:tblPr>
        <w:tblStyle w:val="1078"/>
        <w:tblW w:w="14045" w:type="dxa"/>
        <w:tblInd w:w="93" w:type="dxa"/>
        <w:tblLayout w:type="fixed"/>
        <w:tblCellMar>
          <w:left w:w="108" w:type="dxa"/>
          <w:top w:w="0" w:type="dxa"/>
          <w:right w:w="108" w:type="dxa"/>
          <w:bottom w:w="0" w:type="dxa"/>
        </w:tblCellMar>
        <w:tblLook w:val="04A0" w:firstRow="1" w:lastRow="0" w:firstColumn="1" w:lastColumn="0" w:noHBand="0" w:noVBand="1"/>
      </w:tblPr>
      <w:tblGrid>
        <w:gridCol w:w="726"/>
        <w:gridCol w:w="142"/>
        <w:gridCol w:w="1148"/>
        <w:gridCol w:w="396"/>
        <w:gridCol w:w="1781"/>
        <w:gridCol w:w="1602"/>
        <w:gridCol w:w="6420"/>
        <w:gridCol w:w="870"/>
        <w:gridCol w:w="90"/>
        <w:gridCol w:w="825"/>
        <w:gridCol w:w="45"/>
      </w:tblGrid>
      <w:tr>
        <w:trPr>
          <w:gridAfter w:val="1"/>
          <w:trHeight w:val="375"/>
        </w:trPr>
        <w:tc>
          <w:tcPr>
            <w:gridSpan w:val="10"/>
            <w:shd w:val="clear" w:color="auto" w:fill="auto"/>
            <w:tcBorders>
              <w:top w:val="none" w:color="000000" w:sz="4" w:space="0"/>
              <w:left w:val="none" w:color="000000" w:sz="4" w:space="0"/>
              <w:bottom w:val="none" w:color="000000" w:sz="4" w:space="0"/>
              <w:right w:val="none" w:color="000000" w:sz="4" w:space="0"/>
            </w:tcBorders>
            <w:tcW w:w="14000" w:type="dxa"/>
            <w:vAlign w:val="center"/>
            <w:textDirection w:val="lrTb"/>
            <w:noWrap/>
          </w:tcPr>
          <w:p>
            <w:pPr>
              <w:jc w:val="both"/>
              <w:spacing w:after="62"/>
              <w:widowControl/>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after="62"/>
              <w:widowControl/>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lang w:bidi="ar"/>
              </w:rPr>
              <w:t xml:space="preserve">②</w:t>
            </w:r>
            <w:r>
              <w:rPr>
                <w:rStyle w:val="1409"/>
                <w:rFonts w:hint="default" w:ascii="Times New Roman" w:hAnsi="Times New Roman" w:cs="Times New Roman"/>
                <w:color w:val="auto"/>
                <w:sz w:val="28"/>
                <w:szCs w:val="28"/>
                <w:highlight w:val="none"/>
                <w:lang w:bidi="ar"/>
              </w:rPr>
              <w:t xml:space="preserve">厨房工具采购清单及技术参数</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单位</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密胺面碗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φ200*80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采用密胺制作，规格：φ200*80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54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不锈钢留样盒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120*120*45</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采用SUS304不锈钢制作。规格：120*120*45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切菜刀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1号刀</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斩骨刀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削皮刀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81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聚酯切菜板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500*350*25/白色10块，绿色10块，红色5块，蓝色5块</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无毒无味、轻便耐用、耐腐蚀、易清洁、韧性强等因素；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7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聚酯切肉、砍骨板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φ450*40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无毒无味、轻便耐用、耐腐蚀、易清洁、韧性强等因素；厚度</w:t>
            </w:r>
            <w:r>
              <w:rPr>
                <w:rFonts w:hint="eastAsia" w:ascii="Times New Roman" w:hAnsi="Times New Roman" w:eastAsia="宋体" w:cs="Times New Roman"/>
                <w:color w:val="auto"/>
                <w:szCs w:val="21"/>
                <w:highlight w:val="none"/>
                <w:lang w:eastAsia="zh-CN" w:bidi="ar"/>
              </w:rPr>
              <w:t xml:space="preserve">：</w:t>
            </w:r>
            <w:r>
              <w:rPr>
                <w:rFonts w:ascii="Times New Roman" w:hAnsi="Times New Roman" w:eastAsia="宋体" w:cs="Times New Roman"/>
                <w:color w:val="auto"/>
                <w:szCs w:val="21"/>
                <w:highlight w:val="none"/>
                <w:lang w:bidi="ar"/>
              </w:rPr>
              <w:t xml:space="preserve">4.0cm。规格：φ450*40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铲刀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采用不锈钢制作。大号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铲刀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采用不锈钢制作。中号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打菜勺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3两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采用不锈钢制作。3两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打菜勺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6两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采用不锈钢制作。6两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打汤勺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8两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采用不锈钢制作。8两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不锈钢笊篱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φ300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采用不锈钢制作。φ300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157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塑料菜筐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640*440*350 中号</w:t>
            </w:r>
            <w:r>
              <w:rPr>
                <w:rFonts w:hint="eastAsia" w:ascii="Times New Roman" w:hAnsi="Times New Roman" w:eastAsia="宋体" w:cs="Times New Roman"/>
                <w:color w:val="auto"/>
                <w:szCs w:val="21"/>
                <w:highlight w:val="none"/>
                <w:lang w:eastAsia="zh-CN" w:bidi="ar"/>
              </w:rPr>
              <w:t xml:space="preserve">（</w:t>
            </w:r>
            <w:r>
              <w:rPr>
                <w:rFonts w:ascii="Times New Roman" w:hAnsi="Times New Roman" w:eastAsia="宋体" w:cs="Times New Roman"/>
                <w:color w:val="auto"/>
                <w:szCs w:val="21"/>
                <w:highlight w:val="none"/>
                <w:lang w:bidi="ar"/>
              </w:rPr>
              <w:t xml:space="preserve">绿筐20个、红筐10个、</w:t>
            </w:r>
            <w:r>
              <w:rPr>
                <w:rFonts w:hint="eastAsia" w:ascii="Times New Roman" w:hAnsi="Times New Roman" w:eastAsia="宋体" w:cs="Times New Roman"/>
                <w:color w:val="auto"/>
                <w:szCs w:val="21"/>
                <w:highlight w:val="none"/>
                <w:lang w:eastAsia="zh-CN" w:bidi="ar"/>
              </w:rPr>
              <w:t xml:space="preserve">篮筐</w:t>
            </w:r>
            <w:r>
              <w:rPr>
                <w:rFonts w:ascii="Times New Roman" w:hAnsi="Times New Roman" w:eastAsia="宋体" w:cs="Times New Roman"/>
                <w:color w:val="auto"/>
                <w:szCs w:val="21"/>
                <w:highlight w:val="none"/>
                <w:lang w:bidi="ar"/>
              </w:rPr>
              <w:t xml:space="preserve">10个</w:t>
            </w:r>
            <w:r>
              <w:rPr>
                <w:rFonts w:hint="eastAsia" w:ascii="Times New Roman" w:hAnsi="Times New Roman" w:eastAsia="宋体" w:cs="Times New Roman"/>
                <w:color w:val="auto"/>
                <w:szCs w:val="21"/>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采用人体无害的工程塑料一次性注塑成型。640*440*350 中号</w:t>
            </w:r>
            <w:r>
              <w:rPr>
                <w:rFonts w:hint="eastAsia" w:ascii="Times New Roman" w:hAnsi="Times New Roman" w:eastAsia="宋体" w:cs="Times New Roman"/>
                <w:color w:val="auto"/>
                <w:szCs w:val="21"/>
                <w:highlight w:val="none"/>
                <w:lang w:eastAsia="zh-CN" w:bidi="ar"/>
              </w:rPr>
              <w:t xml:space="preserve">（</w:t>
            </w:r>
            <w:r>
              <w:rPr>
                <w:rFonts w:ascii="Times New Roman" w:hAnsi="Times New Roman" w:eastAsia="宋体" w:cs="Times New Roman"/>
                <w:color w:val="auto"/>
                <w:szCs w:val="21"/>
                <w:highlight w:val="none"/>
                <w:lang w:bidi="ar"/>
              </w:rPr>
              <w:t xml:space="preserve">绿筐20个、红筐10个、</w:t>
            </w:r>
            <w:r>
              <w:rPr>
                <w:rFonts w:hint="eastAsia" w:ascii="Times New Roman" w:hAnsi="Times New Roman" w:eastAsia="宋体" w:cs="Times New Roman"/>
                <w:color w:val="auto"/>
                <w:szCs w:val="21"/>
                <w:highlight w:val="none"/>
                <w:lang w:eastAsia="zh-CN" w:bidi="ar"/>
              </w:rPr>
              <w:t xml:space="preserve">篮筐</w:t>
            </w:r>
            <w:r>
              <w:rPr>
                <w:rFonts w:ascii="Times New Roman" w:hAnsi="Times New Roman" w:eastAsia="宋体" w:cs="Times New Roman"/>
                <w:color w:val="auto"/>
                <w:szCs w:val="21"/>
                <w:highlight w:val="none"/>
                <w:lang w:bidi="ar"/>
              </w:rPr>
              <w:t xml:space="preserve">10个</w:t>
            </w:r>
            <w:r>
              <w:rPr>
                <w:rFonts w:hint="eastAsia" w:ascii="Times New Roman" w:hAnsi="Times New Roman" w:eastAsia="宋体" w:cs="Times New Roman"/>
                <w:color w:val="auto"/>
                <w:szCs w:val="21"/>
                <w:highlight w:val="none"/>
                <w:lang w:eastAsia="zh-CN" w:bidi="ar"/>
              </w:rPr>
              <w:t xml:space="preserve">）</w:t>
            </w:r>
            <w:r>
              <w:rPr>
                <w:rFonts w:ascii="Times New Roman" w:hAnsi="Times New Roman" w:eastAsia="宋体" w:cs="Times New Roman"/>
                <w:color w:val="auto"/>
                <w:szCs w:val="21"/>
                <w:highlight w:val="none"/>
                <w:lang w:bidi="ar"/>
              </w:rPr>
              <w:t xml:space="preserve">采用食品级材质，中标后，供货前，提供检测报告，否则拒收。</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51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塑料垃圾桶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bidi="ar"/>
              </w:rPr>
              <w:t xml:space="preserve">外形</w:t>
            </w:r>
            <w:r>
              <w:rPr>
                <w:rFonts w:ascii="Times New Roman" w:hAnsi="Times New Roman" w:eastAsia="宋体" w:cs="Times New Roman"/>
                <w:color w:val="auto"/>
                <w:szCs w:val="21"/>
                <w:highlight w:val="none"/>
                <w:lang w:bidi="ar"/>
              </w:rPr>
              <w:t xml:space="preserve">美观，采用优质工程材料制作，经久耐用。带轮。</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厨余垃圾桶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120升</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不锈钢脸盆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φ800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采用SUS304不锈钢制作，厚度：0.6mm。φ800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不锈钢脸盆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φ600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采用SUS304不锈钢制作，厚度：0.6mm。φ600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不锈钢脸盆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φ400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采用SUS304不锈钢制作，厚度：0.6mm。φ400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54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刀叉框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500*500*50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采用优质PP材料制作。规格：500*500*50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7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不锈钢方盘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600*400*40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采用不锈钢制作，厚度：0.8mm。规格：600*400*40</w:t>
            </w:r>
            <w:r>
              <w:rPr>
                <w:rFonts w:ascii="Times New Roman" w:hAnsi="Times New Roman" w:eastAsia="宋体" w:cs="Times New Roman"/>
                <w:color w:val="auto"/>
                <w:szCs w:val="21"/>
                <w:highlight w:val="none"/>
                <w:lang w:bidi="ar"/>
              </w:rPr>
              <w:br/>
            </w:r>
            <w:r>
              <w:rPr>
                <w:rFonts w:ascii="Times New Roman" w:hAnsi="Times New Roman" w:eastAsia="宋体" w:cs="Times New Roman"/>
                <w:color w:val="auto"/>
                <w:szCs w:val="21"/>
                <w:highlight w:val="none"/>
                <w:lang w:bidi="ar"/>
              </w:rPr>
              <w:t xml:space="preserve">带304钢印。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广式水勺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4斤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采用304不锈钢制作。4斤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长柄水勺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采用304不锈钢制作。160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炒勺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12两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采用304不锈钢制作。12两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漏勺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采用304不锈钢制作。300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宽边油隔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采用304不锈钢制作。10寸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饭勺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采用304不锈钢制作。常规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洗米箩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20KG</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采用304不锈钢制作。20KG</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荷花夹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9寸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采用304不锈钢制作。9寸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铲刀头连木柄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采用304不锈钢制作。18#</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把</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刨刀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小号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刀片</w:t>
            </w:r>
            <w:r>
              <w:rPr>
                <w:rFonts w:hint="eastAsia" w:ascii="Times New Roman" w:hAnsi="Times New Roman" w:eastAsia="宋体" w:cs="Times New Roman"/>
                <w:color w:val="auto"/>
                <w:szCs w:val="21"/>
                <w:highlight w:val="none"/>
                <w:lang w:eastAsia="zh-CN" w:bidi="ar"/>
              </w:rPr>
              <w:t xml:space="preserve">：</w:t>
            </w:r>
            <w:r>
              <w:rPr>
                <w:rFonts w:ascii="Times New Roman" w:hAnsi="Times New Roman" w:eastAsia="宋体" w:cs="Times New Roman"/>
                <w:color w:val="auto"/>
                <w:szCs w:val="21"/>
                <w:highlight w:val="none"/>
                <w:lang w:bidi="ar"/>
              </w:rPr>
              <w:t xml:space="preserve">采用304不锈钢制作；手柄：采用工程塑料制作。小号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鱼鳞刨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3寸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采用304不锈钢制作。3寸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肉锤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采用304不锈钢制作。大号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水果刀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采用304不锈钢制作。10寸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打蛋器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12寸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采用304不锈钢制作。12寸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油石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形状：长方形；材质：采用金刚砂制作。10寸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只</w:t>
            </w:r>
            <w:r/>
          </w:p>
        </w:tc>
      </w:tr>
      <w:tr>
        <w:trPr>
          <w:gridAfter w:val="1"/>
          <w:trHeight w:val="51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耐高温手套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材料：防火布、优质隔热棉。大号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副</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拖把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长条棉布拖</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防水手套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加长</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加长防水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双</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防水围裙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加长</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防水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件</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地刷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1.2m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毛巾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块</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水鞋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38/39/40/41/42各2双</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双</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马斗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油缸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调料缸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小勺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密格平框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50*50cm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密胺材质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杯框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50*50cm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密胺材质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磨刀石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80木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不锈钢保温桶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不锈钢保温桶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筷子消毒机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285*335*240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臭氧消毒，自动出筷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 xml:space="preserve">台</w:t>
            </w:r>
            <w:r/>
          </w:p>
        </w:tc>
      </w:tr>
      <w:tr>
        <w:trPr>
          <w:trHeight w:val="360"/>
        </w:trPr>
        <w:tc>
          <w:tcPr>
            <w:gridSpan w:val="11"/>
            <w:shd w:val="clear" w:color="auto" w:fill="auto"/>
            <w:tcBorders>
              <w:top w:val="none" w:color="000000" w:sz="4" w:space="0"/>
              <w:left w:val="none" w:color="000000" w:sz="4" w:space="0"/>
              <w:bottom w:val="none" w:color="000000" w:sz="4" w:space="0"/>
              <w:right w:val="none" w:color="000000" w:sz="4" w:space="0"/>
            </w:tcBorders>
            <w:tcW w:w="14045" w:type="dxa"/>
            <w:vAlign w:val="center"/>
            <w:textDirection w:val="lrTb"/>
            <w:noWrap/>
          </w:tcPr>
          <w:p>
            <w:pPr>
              <w:jc w:val="center"/>
              <w:spacing w:after="62"/>
              <w:widowControl/>
              <w:rPr>
                <w:rFonts w:ascii="Times New Roman" w:hAnsi="Times New Roman" w:eastAsia="方正公文楷体" w:cs="Times New Roman"/>
                <w:b/>
                <w:bCs/>
                <w:color w:val="auto"/>
                <w:sz w:val="28"/>
                <w:szCs w:val="28"/>
                <w:highlight w:val="none"/>
              </w:rPr>
            </w:pPr>
            <w:r>
              <w:rPr>
                <w:rFonts w:ascii="Times New Roman" w:hAnsi="Times New Roman" w:eastAsia="方正公文楷体" w:cs="Times New Roman"/>
                <w:b/>
                <w:bCs/>
                <w:color w:val="auto"/>
                <w:sz w:val="28"/>
                <w:szCs w:val="28"/>
                <w:highlight w:val="none"/>
                <w:lang w:bidi="ar"/>
              </w:rPr>
              <w:t xml:space="preserve">③食堂桌椅采购清单及技术参数</w:t>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规格型号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22"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技术参数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单位</w:t>
            </w:r>
            <w:r/>
          </w:p>
        </w:tc>
      </w:tr>
      <w:tr>
        <w:trPr>
          <w:trHeight w:val="2779"/>
        </w:trPr>
        <w:tc>
          <w:tcPr>
            <w:gridSpan w:val="2"/>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after="62"/>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after="62"/>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lang w:bidi="ar"/>
              </w:rPr>
              <w:t xml:space="preserve">翻转式四人连座折叠座椅</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spacing w:after="62"/>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lang w:bidi="ar"/>
              </w:rPr>
              <w:t xml:space="preserve">1200*1400*762</w:t>
            </w:r>
            <w:r/>
          </w:p>
          <w:p>
            <w:pPr>
              <w:pStyle w:val="1109"/>
              <w:ind w:left="0" w:firstLine="0"/>
              <w:jc w:val="both"/>
              <w:rPr>
                <w:rFonts w:hint="eastAsia" w:eastAsia="宋体"/>
                <w:color w:val="auto"/>
                <w:highlight w:val="none"/>
              </w:rPr>
            </w:pPr>
            <w:r>
              <w:rPr>
                <w:rFonts w:hint="eastAsia" w:ascii="Times New Roman" w:eastAsia="宋体" w:cs="Times New Roman"/>
                <w:b/>
                <w:bCs/>
                <w:color w:val="auto"/>
                <w:sz w:val="21"/>
                <w:szCs w:val="24"/>
                <w:highlight w:val="none"/>
                <w:lang w:eastAsia="zh-CN" w:bidi="ar"/>
              </w:rPr>
              <w:t xml:space="preserve">（±3%</w:t>
            </w:r>
            <w:r>
              <w:rPr>
                <w:rFonts w:hint="eastAsia" w:ascii="Times New Roman" w:eastAsia="宋体" w:cs="Times New Roman"/>
                <w:b/>
                <w:bCs/>
                <w:color w:val="auto"/>
                <w:sz w:val="21"/>
                <w:szCs w:val="24"/>
                <w:highlight w:val="none"/>
                <w:lang w:val="en-US" w:eastAsia="zh-CN" w:bidi="ar"/>
              </w:rPr>
              <w:t xml:space="preserve">之内</w:t>
            </w:r>
            <w:r>
              <w:rPr>
                <w:rFonts w:hint="eastAsia" w:ascii="Times New Roman" w:eastAsia="宋体" w:cs="Times New Roman"/>
                <w:b/>
                <w:bCs/>
                <w:color w:val="auto"/>
                <w:sz w:val="21"/>
                <w:szCs w:val="24"/>
                <w:highlight w:val="none"/>
                <w:lang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22" w:type="dxa"/>
            <w:vAlign w:val="center"/>
            <w:textDirection w:val="lrTb"/>
            <w:noWrap w:val="false"/>
          </w:tcPr>
          <w:p>
            <w:pPr>
              <w:pStyle w:val="1109"/>
              <w:ind w:left="0" w:firstLine="0"/>
              <w:keepLines w:val="0"/>
              <w:keepNext w:val="0"/>
              <w:pageBreakBefore w:val="0"/>
              <w:spacing w:line="360" w:lineRule="exact"/>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bidi="ar"/>
              </w:rPr>
              <w:t xml:space="preserve">1.桌面采用抗倍特板制作，桌面尺寸</w:t>
            </w:r>
            <w:r>
              <w:rPr>
                <w:rFonts w:hint="eastAsia" w:ascii="Times New Roman" w:eastAsia="宋体" w:cs="Times New Roman"/>
                <w:color w:val="auto"/>
                <w:sz w:val="24"/>
                <w:highlight w:val="none"/>
                <w:lang w:eastAsia="zh-CN" w:bidi="ar"/>
              </w:rPr>
              <w:t xml:space="preserve">：</w:t>
            </w:r>
            <w:r>
              <w:rPr>
                <w:rFonts w:hint="eastAsia" w:ascii="Times New Roman" w:hAnsi="Times New Roman" w:eastAsia="宋体" w:cs="Times New Roman"/>
                <w:color w:val="auto"/>
                <w:sz w:val="24"/>
                <w:highlight w:val="none"/>
                <w:lang w:bidi="ar"/>
              </w:rPr>
              <w:t xml:space="preserve">1200mm*600mm*12mm，桌面高762mm，颜色荷花白，面板四周采用CNC修边，四周倒角，圆润光滑不得有任何毛边。</w:t>
            </w:r>
            <w:r/>
          </w:p>
          <w:p>
            <w:pPr>
              <w:pStyle w:val="1109"/>
              <w:ind w:left="0" w:firstLine="0"/>
              <w:keepLines w:val="0"/>
              <w:keepNext w:val="0"/>
              <w:pageBreakBefore w:val="0"/>
              <w:spacing w:line="360" w:lineRule="exact"/>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bidi="ar"/>
              </w:rPr>
              <w:t xml:space="preserve">2.主框架采用SUS304材质50mm*50mm*1.5mm方管，中间连接采用SUS304材质50mm*50mm*1.5mm方管，托架采用SUS304材质25mm*50mm*1.5mm方管，翻转椅架采用SUS304材质直径38mm厚度3.0mm圆管。</w:t>
            </w:r>
            <w:r/>
          </w:p>
          <w:p>
            <w:pPr>
              <w:pStyle w:val="1109"/>
              <w:ind w:left="0" w:firstLine="0"/>
              <w:keepLines w:val="0"/>
              <w:keepNext w:val="0"/>
              <w:pageBreakBefore w:val="0"/>
              <w:spacing w:line="360" w:lineRule="exact"/>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bidi="ar"/>
              </w:rPr>
              <w:t xml:space="preserve">3.坐垫采用PP材质，直径300mm，坐垫高450mm，颜色为草绿色、棕色</w:t>
            </w:r>
            <w:r>
              <w:rPr>
                <w:rFonts w:hint="eastAsia" w:ascii="Times New Roman" w:eastAsia="宋体" w:cs="Times New Roman"/>
                <w:color w:val="auto"/>
                <w:sz w:val="24"/>
                <w:highlight w:val="none"/>
                <w:lang w:eastAsia="zh-CN" w:bidi="ar"/>
              </w:rPr>
              <w:t xml:space="preserve">、蓝色</w:t>
            </w:r>
            <w:r>
              <w:rPr>
                <w:rFonts w:hint="eastAsia" w:ascii="Times New Roman" w:eastAsia="宋体" w:cs="Times New Roman"/>
                <w:color w:val="auto"/>
                <w:sz w:val="24"/>
                <w:highlight w:val="none"/>
                <w:lang w:val="en-US" w:eastAsia="zh-CN" w:bidi="ar"/>
              </w:rPr>
              <w:t xml:space="preserve">等颜色</w:t>
            </w:r>
            <w:r>
              <w:rPr>
                <w:rFonts w:hint="eastAsia" w:ascii="Times New Roman" w:hAnsi="Times New Roman" w:eastAsia="宋体" w:cs="Times New Roman"/>
                <w:color w:val="auto"/>
                <w:sz w:val="24"/>
                <w:highlight w:val="none"/>
                <w:lang w:bidi="ar"/>
              </w:rPr>
              <w:t xml:space="preserve">，</w:t>
            </w:r>
            <w:r>
              <w:rPr>
                <w:rFonts w:hint="eastAsia" w:ascii="Times New Roman" w:hAnsi="Times New Roman" w:eastAsia="宋体" w:cs="Times New Roman"/>
                <w:b/>
                <w:bCs/>
                <w:color w:val="auto"/>
                <w:sz w:val="24"/>
                <w:highlight w:val="none"/>
                <w:lang w:bidi="ar"/>
              </w:rPr>
              <w:t xml:space="preserve">坐垫颜色由学校确定后制作</w:t>
            </w:r>
            <w:r>
              <w:rPr>
                <w:rFonts w:hint="eastAsia" w:ascii="Times New Roman" w:hAnsi="Times New Roman" w:eastAsia="宋体" w:cs="Times New Roman"/>
                <w:color w:val="auto"/>
                <w:sz w:val="24"/>
                <w:highlight w:val="none"/>
                <w:lang w:bidi="ar"/>
              </w:rPr>
              <w:t xml:space="preserve">。</w:t>
            </w:r>
            <w:r/>
          </w:p>
          <w:p>
            <w:pPr>
              <w:pStyle w:val="1109"/>
              <w:ind w:left="0" w:firstLine="0"/>
              <w:keepLines w:val="0"/>
              <w:keepNext w:val="0"/>
              <w:pageBreakBefore w:val="0"/>
              <w:spacing w:line="360" w:lineRule="exact"/>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bidi="ar"/>
              </w:rPr>
              <w:t xml:space="preserve">4.桌角轮子采用四个移动刹车静音车轮。</w:t>
            </w:r>
            <w:r/>
          </w:p>
          <w:p>
            <w:pPr>
              <w:pStyle w:val="1109"/>
              <w:numPr>
                <w:ilvl w:val="0"/>
                <w:numId w:val="0"/>
              </w:numPr>
              <w:keepLines w:val="0"/>
              <w:keepNext w:val="0"/>
              <w:pageBreakBefore w:val="0"/>
              <w:spacing w:line="360" w:lineRule="exact"/>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bidi="ar"/>
              </w:rPr>
              <w:t xml:space="preserve">5.桌面背面有十字加强筋</w:t>
            </w:r>
            <w:r>
              <w:rPr>
                <w:rFonts w:hint="eastAsia" w:ascii="Times New Roman" w:eastAsia="宋体" w:cs="Times New Roman"/>
                <w:color w:val="auto"/>
                <w:sz w:val="24"/>
                <w:highlight w:val="none"/>
                <w:lang w:eastAsia="zh-CN" w:bidi="ar"/>
              </w:rPr>
              <w:t xml:space="preserve">，加强筋与主骨架焊接牢固，无变形、无脱焊</w:t>
            </w:r>
            <w:r>
              <w:rPr>
                <w:rFonts w:hint="eastAsia" w:ascii="Times New Roman" w:hAnsi="Times New Roman" w:eastAsia="宋体" w:cs="Times New Roman"/>
                <w:color w:val="auto"/>
                <w:sz w:val="24"/>
                <w:highlight w:val="none"/>
                <w:lang w:bidi="ar"/>
              </w:rPr>
              <w:t xml:space="preserve">。</w:t>
            </w:r>
            <w:r/>
          </w:p>
          <w:p>
            <w:pPr>
              <w:pStyle w:val="1109"/>
              <w:numPr>
                <w:ilvl w:val="0"/>
                <w:numId w:val="0"/>
              </w:numPr>
              <w:keepLines w:val="0"/>
              <w:keepNext w:val="0"/>
              <w:pageBreakBefore w:val="0"/>
              <w:spacing w:line="360" w:lineRule="exact"/>
              <w:widowControl w:val="off"/>
              <w:rPr>
                <w:rFonts w:hint="eastAsia" w:ascii="Times New Roman" w:eastAsia="宋体" w:cs="Times New Roman"/>
                <w:color w:val="auto"/>
                <w:sz w:val="24"/>
                <w:highlight w:val="none"/>
              </w:rPr>
            </w:pPr>
            <w:r>
              <w:rPr>
                <w:rFonts w:hint="eastAsia" w:ascii="Times New Roman" w:eastAsia="宋体" w:cs="Times New Roman"/>
                <w:color w:val="auto"/>
                <w:sz w:val="24"/>
                <w:highlight w:val="none"/>
                <w:lang w:val="en-US" w:eastAsia="zh-CN" w:bidi="ar"/>
              </w:rPr>
              <w:t xml:space="preserve">6.</w:t>
            </w:r>
            <w:r>
              <w:rPr>
                <w:rFonts w:hint="eastAsia" w:ascii="Times New Roman" w:hAnsi="Times New Roman" w:eastAsia="宋体" w:cs="Times New Roman"/>
                <w:color w:val="auto"/>
                <w:sz w:val="24"/>
                <w:highlight w:val="none"/>
                <w:lang w:val="en-US" w:eastAsia="zh-CN" w:bidi="ar"/>
              </w:rPr>
              <w:t xml:space="preserve">所有金属连接点均为满焊</w:t>
            </w:r>
            <w:r>
              <w:rPr>
                <w:rFonts w:hint="eastAsia" w:ascii="Times New Roman" w:eastAsia="宋体" w:cs="Times New Roman"/>
                <w:color w:val="auto"/>
                <w:sz w:val="24"/>
                <w:highlight w:val="none"/>
                <w:lang w:val="en-US" w:eastAsia="zh-CN" w:bidi="ar"/>
              </w:rPr>
              <w:t xml:space="preserve">，翻转机构转轴、螺丝等配件材质均匀。</w:t>
            </w:r>
            <w:r/>
          </w:p>
          <w:p>
            <w:pPr>
              <w:pStyle w:val="1109"/>
              <w:ind w:left="0" w:firstLine="0"/>
              <w:keepLines w:val="0"/>
              <w:keepNext w:val="0"/>
              <w:pageBreakBefore w:val="0"/>
              <w:spacing w:line="360" w:lineRule="exact"/>
              <w:widowControl w:val="off"/>
              <w:rPr>
                <w:rFonts w:hint="eastAsia" w:ascii="Times New Roman" w:eastAsia="宋体" w:cs="Times New Roman"/>
                <w:color w:val="auto"/>
                <w:sz w:val="24"/>
                <w:highlight w:val="none"/>
              </w:rPr>
            </w:pPr>
            <w:r>
              <w:rPr>
                <w:rFonts w:hint="eastAsia" w:ascii="Times New Roman" w:eastAsia="宋体" w:cs="Times New Roman"/>
                <w:color w:val="auto"/>
                <w:sz w:val="24"/>
                <w:highlight w:val="none"/>
                <w:lang w:val="en-US" w:eastAsia="zh-CN" w:bidi="ar"/>
              </w:rPr>
              <w:t xml:space="preserve">7.目测检查所有部件无锈蚀、无毛刺，无裂纹、无气泡、无明显色差，所有紧固件无松动，徒手触摸座椅所有边角、焊接点、螺丝孔位及翻转机构活动部位，无刮手感觉。</w:t>
            </w:r>
            <w:r/>
          </w:p>
          <w:p>
            <w:pPr>
              <w:pStyle w:val="1109"/>
              <w:ind w:left="0" w:firstLine="0"/>
              <w:keepLines w:val="0"/>
              <w:keepNext w:val="0"/>
              <w:pageBreakBefore w:val="0"/>
              <w:spacing w:line="360" w:lineRule="exact"/>
              <w:widowControl w:val="off"/>
              <w:rPr>
                <w:rFonts w:hint="default" w:ascii="Times New Roman" w:eastAsia="宋体" w:cs="Times New Roman"/>
                <w:color w:val="auto"/>
                <w:sz w:val="24"/>
                <w:highlight w:val="none"/>
              </w:rPr>
            </w:pPr>
            <w:r>
              <w:rPr>
                <w:rFonts w:hint="eastAsia" w:ascii="Times New Roman" w:eastAsia="宋体" w:cs="Times New Roman"/>
                <w:color w:val="auto"/>
                <w:sz w:val="24"/>
                <w:highlight w:val="none"/>
                <w:lang w:val="en-US" w:eastAsia="zh-CN" w:bidi="ar"/>
              </w:rPr>
              <w:t xml:space="preserve">8.翻转顺畅、静置稳固、承重不变形；座椅置于水平地面，四脚（或底座）同时着地，无晃动。</w:t>
            </w:r>
            <w:r/>
          </w:p>
          <w:p>
            <w:pPr>
              <w:pStyle w:val="1109"/>
              <w:ind w:left="0" w:firstLine="0"/>
              <w:keepLines w:val="0"/>
              <w:keepNext w:val="0"/>
              <w:pageBreakBefore w:val="0"/>
              <w:spacing w:line="360" w:lineRule="exact"/>
              <w:widowControl w:val="off"/>
              <w:rPr>
                <w:rFonts w:hint="default"/>
                <w:color w:val="auto"/>
                <w:highlight w:val="none"/>
              </w:rPr>
            </w:pPr>
            <w:r>
              <w:rPr>
                <w:rFonts w:hint="eastAsia" w:ascii="Times New Roman" w:eastAsia="宋体" w:cs="Times New Roman"/>
                <w:color w:val="auto"/>
                <w:sz w:val="24"/>
                <w:highlight w:val="none"/>
                <w:lang w:val="en-US" w:eastAsia="zh-CN" w:bidi="ar"/>
              </w:rPr>
              <w:t xml:space="preserve">9.</w:t>
            </w:r>
            <w:r>
              <w:rPr>
                <w:rFonts w:hint="eastAsia" w:ascii="Times New Roman" w:eastAsia="宋体" w:cs="Times New Roman"/>
                <w:b/>
                <w:bCs/>
                <w:color w:val="auto"/>
                <w:sz w:val="24"/>
                <w:highlight w:val="none"/>
                <w:lang w:val="en-US" w:eastAsia="zh-CN" w:bidi="ar"/>
              </w:rPr>
              <w:t xml:space="preserve">尺寸误差在</w:t>
            </w:r>
            <w:r>
              <w:rPr>
                <w:rFonts w:hint="eastAsia" w:ascii="Times New Roman" w:eastAsia="宋体" w:cs="Times New Roman"/>
                <w:b/>
                <w:bCs/>
                <w:color w:val="auto"/>
                <w:sz w:val="21"/>
                <w:szCs w:val="24"/>
                <w:highlight w:val="none"/>
                <w:lang w:eastAsia="zh-CN" w:bidi="ar"/>
              </w:rPr>
              <w:t xml:space="preserve">±3%</w:t>
            </w:r>
            <w:r>
              <w:rPr>
                <w:rFonts w:hint="eastAsia" w:ascii="Times New Roman" w:eastAsia="宋体" w:cs="Times New Roman"/>
                <w:b/>
                <w:bCs/>
                <w:color w:val="auto"/>
                <w:sz w:val="24"/>
                <w:highlight w:val="none"/>
                <w:lang w:val="en-US" w:eastAsia="zh-CN" w:bidi="ar"/>
              </w:rPr>
              <w:t xml:space="preserve">之内</w:t>
            </w:r>
            <w:r>
              <w:rPr>
                <w:rFonts w:hint="eastAsia" w:ascii="Times New Roman" w:eastAsia="宋体" w:cs="Times New Roman"/>
                <w:color w:val="auto"/>
                <w:sz w:val="24"/>
                <w:highlight w:val="none"/>
                <w:lang w:val="en-US" w:eastAsia="zh-CN" w:bidi="ar"/>
              </w:rPr>
              <w:t xml:space="preserve">，参考图片如下：</w:t>
            </w:r>
            <w:r/>
          </w:p>
          <w:p>
            <w:pPr>
              <w:pStyle w:val="1109"/>
              <w:numPr>
                <w:ilvl w:val="0"/>
                <w:numId w:val="0"/>
              </w:numPr>
              <w:rPr>
                <w:rFonts w:hint="default" w:ascii="Times New Roman" w:eastAsia="宋体" w:cs="Times New Roman"/>
                <w:color w:val="auto"/>
                <w:sz w:val="24"/>
                <w:highlight w:val="none"/>
              </w:rPr>
            </w:pPr>
            <w:r>
              <w:rPr>
                <w:rFonts w:ascii="Times New Roman" w:hAnsi="Times New Roman" w:eastAsia="方正公文仿宋" w:cs="Times New Roman"/>
                <w:color w:val="auto"/>
                <w:sz w:val="28"/>
                <w:szCs w:val="28"/>
                <w:highlight w:val="none"/>
              </w:rPr>
              <mc:AlternateContent>
                <mc:Choice Requires="wpg">
                  <w:drawing>
                    <wp:inline xmlns:wp="http://schemas.openxmlformats.org/drawingml/2006/wordprocessingDrawing" distT="0" distB="0" distL="0" distR="0">
                      <wp:extent cx="4017645" cy="1838325"/>
                      <wp:effectExtent l="0" t="0" r="1905" b="9525"/>
                      <wp:docPr id="10" name="图片 7" descr="09821d09-4b54-4a1a-b430-5046e610cf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09821d09-4b54-4a1a-b430-5046e610cf30"/>
                              <pic:cNvPicPr>
                                <a:picLocks noChangeAspect="1"/>
                              </pic:cNvPicPr>
                              <pic:nvPr/>
                            </pic:nvPicPr>
                            <pic:blipFill>
                              <a:blip r:embed="rId24"/>
                              <a:stretch/>
                            </pic:blipFill>
                            <pic:spPr bwMode="auto">
                              <a:xfrm>
                                <a:off x="0" y="0"/>
                                <a:ext cx="4017644" cy="1838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16.3pt;height:144.8pt;mso-wrap-distance-left:0.0pt;mso-wrap-distance-top:0.0pt;mso-wrap-distance-right:0.0pt;mso-wrap-distance-bottom:0.0pt;" stroked="false">
                      <v:path textboxrect="0,0,0,0"/>
                      <v:imagedata r:id="rId24" o:title=""/>
                    </v:shape>
                  </w:pict>
                </mc:Fallback>
              </mc:AlternateConten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after="62"/>
              <w:widowControl/>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bidi="ar"/>
              </w:rPr>
              <w:t xml:space="preserve">624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lang w:bidi="ar"/>
              </w:rPr>
              <w:t xml:space="preserve">张</w:t>
            </w:r>
            <w:r/>
          </w:p>
        </w:tc>
      </w:tr>
    </w:tbl>
    <w:p>
      <w:pPr>
        <w:pStyle w:val="1109"/>
        <w:ind w:firstLine="0"/>
        <w:keepLines w:val="0"/>
        <w:keepNext w:val="0"/>
        <w:pageBreakBefore w:val="0"/>
        <w:spacing w:after="62"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rPr>
        <w:t xml:space="preserve">1.以"★"标注的为政府强制采购节能产品。投标人应当提供国家认可的节能产品认证机构出具的、处于有效期内的</w:t>
      </w:r>
      <w:r>
        <w:rPr>
          <w:rFonts w:hint="eastAsia" w:ascii="仿宋" w:hAnsi="仿宋" w:eastAsia="仿宋" w:cs="仿宋"/>
          <w:b/>
          <w:bCs/>
          <w:color w:val="auto"/>
          <w:sz w:val="24"/>
          <w:szCs w:val="24"/>
          <w:highlight w:val="none"/>
        </w:rPr>
        <w:t xml:space="preserve">《节能产品认证证书》，否则按无效投标处理。</w:t>
      </w:r>
      <w:r/>
    </w:p>
    <w:p>
      <w:pPr>
        <w:pStyle w:val="1109"/>
        <w:numPr>
          <w:ilvl w:val="0"/>
          <w:numId w:val="14"/>
        </w:numPr>
        <w:ind w:left="0" w:firstLine="0"/>
        <w:keepLines w:val="0"/>
        <w:keepNext w:val="0"/>
        <w:pageBreakBefore w:val="0"/>
        <w:spacing w:after="62"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以"◆"标注的为强制性认证(CCC)产品。投标人应当提供国家认可的强制性产品认证机构出具的、处于有效期内的《中国国家强制性产品认证证书》(CCC证书)，否则按无效投标处理。</w:t>
      </w:r>
      <w:r/>
    </w:p>
    <w:p>
      <w:pPr>
        <w:jc w:val="both"/>
        <w:keepLines w:val="0"/>
        <w:keepNext w:val="0"/>
        <w:pageBreakBefore w:val="0"/>
        <w:spacing w:after="0"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3.以"▲"标注的产品参数为评分项内容，未满足"▲"参数不构成无效投标，仅影响对应分值。</w:t>
      </w:r>
      <w:r>
        <w:rPr>
          <w:rFonts w:hint="eastAsia" w:ascii="仿宋" w:hAnsi="仿宋" w:eastAsia="仿宋" w:cs="仿宋"/>
          <w:b/>
          <w:bCs/>
          <w:color w:val="auto"/>
          <w:sz w:val="24"/>
          <w:szCs w:val="24"/>
          <w:highlight w:val="none"/>
        </w:rPr>
        <w:br w:type="page" w:clear="all"/>
      </w:r>
      <w:r/>
    </w:p>
    <w:p>
      <w:pPr>
        <w:keepLines w:val="0"/>
        <w:keepNext w:val="0"/>
        <w:pageBreakBefore w:val="0"/>
        <w:spacing w:line="480" w:lineRule="exact"/>
        <w:widowControl w:val="off"/>
        <w:rPr>
          <w:rFonts w:hint="eastAsia" w:ascii="仿宋" w:hAnsi="仿宋" w:eastAsia="仿宋" w:cs="仿宋"/>
          <w:b/>
          <w:color w:val="auto"/>
          <w:sz w:val="24"/>
          <w:szCs w:val="21"/>
          <w:highlight w:val="none"/>
        </w:rPr>
        <w:sectPr>
          <w:footerReference w:type="default" r:id="rId19"/>
          <w:footnotePr/>
          <w:endnotePr/>
          <w:type w:val="nextPage"/>
          <w:pgSz w:w="16838" w:h="11906" w:orient="landscape"/>
          <w:pgMar w:top="1366" w:right="1418" w:bottom="1587" w:left="1418" w:header="851" w:footer="907" w:gutter="0"/>
          <w:pgNumType w:start="42"/>
          <w:cols w:num="1" w:sep="0" w:space="0" w:equalWidth="1"/>
          <w:docGrid w:linePitch="360"/>
        </w:sectPr>
      </w:pPr>
      <w:r>
        <w:rPr>
          <w:rFonts w:hint="eastAsia" w:ascii="仿宋" w:hAnsi="仿宋" w:eastAsia="仿宋" w:cs="仿宋"/>
          <w:b/>
          <w:color w:val="auto"/>
          <w:sz w:val="24"/>
          <w:szCs w:val="21"/>
          <w:highlight w:val="none"/>
        </w:rPr>
      </w:r>
      <w:r/>
    </w:p>
    <w:p>
      <w:pPr>
        <w:ind w:left="0" w:right="0" w:firstLine="0"/>
        <w:jc w:val="both"/>
        <w:keepLines w:val="0"/>
        <w:keepNext w:val="0"/>
        <w:pageBreakBefore w:val="0"/>
        <w:spacing w:before="0" w:after="62" w:line="480" w:lineRule="exact"/>
        <w:widowControl w:val="off"/>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（四）采购标的需满足的服务标准、期限、效率等要求</w:t>
      </w:r>
      <w:r/>
    </w:p>
    <w:p>
      <w:pPr>
        <w:ind w:left="0" w:right="0" w:firstLine="0"/>
        <w:jc w:val="both"/>
        <w:keepLines w:val="0"/>
        <w:keepNext w:val="0"/>
        <w:pageBreakBefore w:val="0"/>
        <w:spacing w:before="0" w:after="62" w:line="480" w:lineRule="exact"/>
        <w:widowControl w:val="off"/>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1.投标人应保证货物是全新、未使用过的原厂合格产品，并完全符合投标文件的质量、规格和参数的要求。</w:t>
      </w:r>
      <w:r/>
    </w:p>
    <w:p>
      <w:pPr>
        <w:ind w:left="0" w:right="0" w:firstLine="0"/>
        <w:jc w:val="both"/>
        <w:keepLines w:val="0"/>
        <w:keepNext w:val="0"/>
        <w:pageBreakBefore w:val="0"/>
        <w:spacing w:before="0" w:after="62" w:line="4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2.投标人应保证其货物在正确安装、正常使用下，在其使用寿命期内应具有满意的性能。</w:t>
      </w:r>
      <w:r/>
    </w:p>
    <w:p>
      <w:pPr>
        <w:ind w:left="0" w:right="0" w:firstLine="0"/>
        <w:jc w:val="both"/>
        <w:spacing w:before="0" w:after="62"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三、商务要求</w:t>
      </w:r>
      <w:r/>
    </w:p>
    <w:p>
      <w:pPr>
        <w:ind w:right="0"/>
        <w:spacing w:before="0" w:after="62" w:line="479" w:lineRule="atLeast"/>
        <w:rPr>
          <w:color w:val="auto"/>
          <w:sz w:val="2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1"/>
          <w:highlight w:val="none"/>
        </w:rPr>
        <w:t xml:space="preserve">包括交付</w:t>
      </w:r>
      <w:r>
        <w:rPr>
          <w:rFonts w:hint="eastAsia" w:ascii="仿宋" w:hAnsi="仿宋" w:eastAsia="仿宋" w:cs="仿宋"/>
          <w:color w:val="auto"/>
          <w:sz w:val="24"/>
          <w:szCs w:val="21"/>
          <w:highlight w:val="none"/>
          <w:lang w:val="en-US" w:eastAsia="zh-CN"/>
        </w:rPr>
        <w:t xml:space="preserve">要求</w:t>
      </w:r>
      <w:r>
        <w:rPr>
          <w:rFonts w:hint="eastAsia" w:ascii="仿宋" w:hAnsi="仿宋" w:eastAsia="仿宋" w:cs="仿宋"/>
          <w:color w:val="auto"/>
          <w:sz w:val="24"/>
          <w:szCs w:val="21"/>
          <w:highlight w:val="none"/>
          <w:lang w:eastAsia="zh-CN"/>
        </w:rPr>
        <w:t xml:space="preserve">、安装调试、质保及售后服务要求</w:t>
      </w:r>
      <w:r>
        <w:rPr>
          <w:rFonts w:ascii="仿宋" w:hAnsi="仿宋" w:eastAsia="仿宋" w:cs="仿宋"/>
          <w:color w:val="auto"/>
          <w:sz w:val="24"/>
          <w:szCs w:val="21"/>
          <w:highlight w:val="none"/>
        </w:rPr>
        <w:t xml:space="preserve">、验收</w:t>
      </w:r>
      <w:r>
        <w:rPr>
          <w:rFonts w:hint="eastAsia" w:ascii="仿宋" w:hAnsi="仿宋" w:eastAsia="仿宋" w:cs="仿宋"/>
          <w:color w:val="auto"/>
          <w:sz w:val="24"/>
          <w:szCs w:val="21"/>
          <w:highlight w:val="none"/>
          <w:lang w:val="en-US" w:eastAsia="zh-CN"/>
        </w:rPr>
        <w:t xml:space="preserve">要求、付款方式</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履约保证金</w:t>
      </w:r>
      <w:r>
        <w:rPr>
          <w:rFonts w:ascii="仿宋" w:hAnsi="仿宋" w:eastAsia="仿宋" w:cs="仿宋"/>
          <w:color w:val="auto"/>
          <w:sz w:val="24"/>
          <w:szCs w:val="21"/>
          <w:highlight w:val="none"/>
        </w:rPr>
        <w:t xml:space="preserve">等：</w:t>
      </w:r>
      <w:r/>
    </w:p>
    <w:p>
      <w:pPr>
        <w:ind w:left="0" w:right="0" w:firstLine="0"/>
        <w:jc w:val="both"/>
        <w:spacing w:before="0" w:after="62"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（一）交付</w:t>
      </w:r>
      <w:r>
        <w:rPr>
          <w:rFonts w:hint="eastAsia" w:ascii="仿宋" w:hAnsi="仿宋" w:eastAsia="仿宋" w:cs="仿宋"/>
          <w:b/>
          <w:color w:val="auto"/>
          <w:sz w:val="28"/>
          <w:highlight w:val="none"/>
          <w:lang w:val="en-US" w:eastAsia="zh-CN"/>
        </w:rPr>
        <w:t xml:space="preserve">要求</w:t>
      </w:r>
      <w:r/>
    </w:p>
    <w:p>
      <w:pPr>
        <w:spacing w:after="62" w:line="460" w:lineRule="exact"/>
        <w:rPr>
          <w:rFonts w:hint="eastAsia"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eastAsia="zh-CN"/>
        </w:rPr>
        <w:t xml:space="preserve">1.</w:t>
      </w:r>
      <w:r>
        <w:rPr>
          <w:rFonts w:ascii="Times New Roman" w:hAnsi="Times New Roman" w:eastAsia="仿宋" w:cs="Times New Roman"/>
          <w:color w:val="auto"/>
          <w:sz w:val="24"/>
          <w:szCs w:val="24"/>
          <w:highlight w:val="none"/>
        </w:rPr>
        <w:t xml:space="preserve">标的数量：</w:t>
      </w:r>
      <w:r>
        <w:rPr>
          <w:rFonts w:hint="eastAsia" w:eastAsia="仿宋" w:cs="Times New Roman"/>
          <w:color w:val="auto"/>
          <w:sz w:val="24"/>
          <w:szCs w:val="24"/>
          <w:highlight w:val="none"/>
          <w:lang w:val="en-US" w:eastAsia="zh-CN"/>
        </w:rPr>
        <w:t xml:space="preserve">详见“</w:t>
      </w:r>
      <w:r>
        <w:rPr>
          <w:rFonts w:hint="eastAsia" w:ascii="Times New Roman" w:hAnsi="Times New Roman" w:eastAsia="仿宋" w:cs="Times New Roman"/>
          <w:color w:val="auto"/>
          <w:sz w:val="24"/>
          <w:szCs w:val="24"/>
          <w:highlight w:val="none"/>
        </w:rPr>
        <w:t xml:space="preserve">具体采购清单及技术要求</w:t>
      </w:r>
      <w:r>
        <w:rPr>
          <w:rFonts w:hint="eastAsia" w:eastAsia="仿宋" w:cs="Times New Roman"/>
          <w:color w:val="auto"/>
          <w:sz w:val="24"/>
          <w:szCs w:val="24"/>
          <w:highlight w:val="none"/>
          <w:lang w:eastAsia="zh-CN"/>
        </w:rPr>
        <w:t xml:space="preserve">”。</w:t>
      </w:r>
      <w:r/>
    </w:p>
    <w:p>
      <w:pPr>
        <w:spacing w:after="62" w:line="460" w:lineRule="exact"/>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2.</w:t>
      </w:r>
      <w:r>
        <w:rPr>
          <w:rFonts w:ascii="Times New Roman" w:hAnsi="Times New Roman" w:eastAsia="仿宋" w:cs="Times New Roman"/>
          <w:color w:val="auto"/>
          <w:sz w:val="24"/>
          <w:szCs w:val="24"/>
          <w:highlight w:val="none"/>
        </w:rPr>
        <w:t xml:space="preserve">供货周期：签订合同后</w:t>
      </w:r>
      <w:r>
        <w:rPr>
          <w:rFonts w:hint="eastAsia" w:eastAsia="仿宋" w:cs="Times New Roman"/>
          <w:color w:val="auto"/>
          <w:sz w:val="24"/>
          <w:szCs w:val="24"/>
          <w:highlight w:val="none"/>
          <w:lang w:val="en-US" w:eastAsia="zh-CN"/>
        </w:rPr>
        <w:t xml:space="preserve">25</w:t>
      </w:r>
      <w:r>
        <w:rPr>
          <w:rFonts w:ascii="Times New Roman" w:hAnsi="Times New Roman" w:eastAsia="仿宋" w:cs="Times New Roman"/>
          <w:color w:val="auto"/>
          <w:sz w:val="24"/>
          <w:szCs w:val="24"/>
          <w:highlight w:val="none"/>
        </w:rPr>
        <w:t xml:space="preserve">天内完成供货安装调试</w:t>
      </w: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安装应遵循食堂平面图、食堂功能区域清单详见采购公告附件</w:t>
      </w:r>
      <w:r>
        <w:rPr>
          <w:rFonts w:hint="eastAsia" w:eastAsia="仿宋" w:cs="Times New Roman"/>
          <w:color w:val="auto"/>
          <w:sz w:val="24"/>
          <w:szCs w:val="24"/>
          <w:highlight w:val="none"/>
          <w:lang w:eastAsia="zh-CN"/>
        </w:rPr>
        <w:t xml:space="preserve">）</w:t>
      </w:r>
      <w:r>
        <w:rPr>
          <w:rFonts w:ascii="Times New Roman" w:hAnsi="Times New Roman" w:eastAsia="仿宋" w:cs="Times New Roman"/>
          <w:color w:val="auto"/>
          <w:sz w:val="24"/>
          <w:szCs w:val="24"/>
          <w:highlight w:val="none"/>
        </w:rPr>
        <w:t xml:space="preserve">，并通过采购人验收。</w:t>
      </w:r>
      <w:r/>
    </w:p>
    <w:p>
      <w:pPr>
        <w:spacing w:after="62" w:line="460" w:lineRule="exact"/>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3.</w:t>
      </w:r>
      <w:r>
        <w:rPr>
          <w:rFonts w:ascii="Times New Roman" w:hAnsi="Times New Roman" w:eastAsia="仿宋" w:cs="Times New Roman"/>
          <w:color w:val="auto"/>
          <w:sz w:val="24"/>
          <w:szCs w:val="24"/>
          <w:highlight w:val="none"/>
        </w:rPr>
        <w:t xml:space="preserve">交货地点：南通市田家炳初级中学南园校区（南园路21号），具体按采购人指定地点送货、安装。</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（二）安装调试、质保及售后服务要求</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1.</w:t>
      </w:r>
      <w:r>
        <w:rPr>
          <w:rFonts w:ascii="Times New Roman" w:hAnsi="Times New Roman" w:eastAsia="仿宋" w:cs="Times New Roman"/>
          <w:bCs/>
          <w:color w:val="auto"/>
          <w:sz w:val="24"/>
          <w:szCs w:val="24"/>
          <w:highlight w:val="none"/>
        </w:rPr>
        <w:t xml:space="preserve">中标人负责标的物的现场安装调试，将采购物品按采购人要求摆放到位。</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2.</w:t>
      </w:r>
      <w:r>
        <w:rPr>
          <w:rFonts w:ascii="Times New Roman" w:hAnsi="Times New Roman" w:eastAsia="仿宋" w:cs="Times New Roman"/>
          <w:bCs/>
          <w:color w:val="auto"/>
          <w:sz w:val="24"/>
          <w:szCs w:val="24"/>
          <w:highlight w:val="none"/>
        </w:rPr>
        <w:t xml:space="preserve">中标人免费提供标的物组装和一般维修所必需的工具；</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3.</w:t>
      </w:r>
      <w:r>
        <w:rPr>
          <w:rFonts w:ascii="Times New Roman" w:hAnsi="Times New Roman" w:eastAsia="仿宋" w:cs="Times New Roman"/>
          <w:bCs/>
          <w:color w:val="auto"/>
          <w:sz w:val="24"/>
          <w:szCs w:val="24"/>
          <w:highlight w:val="none"/>
        </w:rPr>
        <w:t xml:space="preserve">中标人在合同规定的期限内对所提供的标的物实行现场维护，随时处理存在的故障，如现场不能维修解决的故障问题，须提供故障不能排除时的解决方案。</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4.</w:t>
      </w:r>
      <w:r>
        <w:rPr>
          <w:rFonts w:ascii="Times New Roman" w:hAnsi="Times New Roman" w:eastAsia="仿宋" w:cs="Times New Roman"/>
          <w:bCs/>
          <w:color w:val="auto"/>
          <w:sz w:val="24"/>
          <w:szCs w:val="24"/>
          <w:highlight w:val="none"/>
        </w:rPr>
        <w:t xml:space="preserve">中标人接到使用方通知后1小时内响应，2小时内上门服务，24小时内解决好问题。</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5.</w:t>
      </w:r>
      <w:r>
        <w:rPr>
          <w:rFonts w:ascii="Times New Roman" w:hAnsi="Times New Roman" w:eastAsia="仿宋" w:cs="Times New Roman"/>
          <w:b/>
          <w:color w:val="auto"/>
          <w:sz w:val="24"/>
          <w:szCs w:val="24"/>
          <w:highlight w:val="none"/>
        </w:rPr>
        <w:t xml:space="preserve">本项目厨房设备质保三年，食堂桌椅整体质保三年</w:t>
      </w:r>
      <w:r>
        <w:rPr>
          <w:rFonts w:ascii="Times New Roman" w:hAnsi="Times New Roman" w:eastAsia="仿宋" w:cs="Times New Roman"/>
          <w:bCs/>
          <w:color w:val="auto"/>
          <w:sz w:val="24"/>
          <w:szCs w:val="24"/>
          <w:highlight w:val="none"/>
        </w:rPr>
        <w:t xml:space="preserve">，中标人须承诺质保期满后提供终身维修服务，保证零配件供应，维修费用按照材料成本收取。</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6.</w:t>
      </w:r>
      <w:r>
        <w:rPr>
          <w:rFonts w:ascii="Times New Roman" w:hAnsi="Times New Roman" w:eastAsia="仿宋" w:cs="Times New Roman"/>
          <w:bCs/>
          <w:color w:val="auto"/>
          <w:sz w:val="24"/>
          <w:szCs w:val="24"/>
          <w:highlight w:val="none"/>
        </w:rPr>
        <w:t xml:space="preserve">中标人应对采购人技术人员进行维护、维修、培训，确保使用者了解维护方法和进行简单的维修操作。</w:t>
      </w:r>
      <w:r/>
    </w:p>
    <w:p>
      <w:pPr>
        <w:spacing w:after="62" w:line="460" w:lineRule="exact"/>
        <w:rPr>
          <w:rFonts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eastAsia="zh-CN"/>
        </w:rPr>
        <w:t xml:space="preserve">7.</w:t>
      </w:r>
      <w:r>
        <w:rPr>
          <w:rFonts w:ascii="Times New Roman" w:hAnsi="Times New Roman" w:eastAsia="仿宋" w:cs="Times New Roman"/>
          <w:bCs/>
          <w:color w:val="auto"/>
          <w:sz w:val="24"/>
          <w:szCs w:val="24"/>
          <w:highlight w:val="none"/>
        </w:rPr>
        <w:t xml:space="preserve">中标人提供现场技术培训，保证采购人使用人员能够正常操作产品的各种功能。</w:t>
      </w:r>
      <w:r/>
    </w:p>
    <w:p>
      <w:pPr>
        <w:ind w:left="0" w:right="0" w:firstLine="0"/>
        <w:jc w:val="both"/>
        <w:spacing w:before="0" w:after="0" w:line="479" w:lineRule="atLeast"/>
        <w:rPr>
          <w:rFonts w:hint="eastAsia" w:eastAsia="仿宋"/>
          <w:color w:val="auto"/>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（三）验收</w:t>
      </w:r>
      <w:r>
        <w:rPr>
          <w:rFonts w:hint="eastAsia" w:ascii="仿宋" w:hAnsi="仿宋" w:eastAsia="仿宋" w:cs="仿宋"/>
          <w:b/>
          <w:color w:val="auto"/>
          <w:sz w:val="28"/>
          <w:highlight w:val="none"/>
          <w:lang w:val="en-US" w:eastAsia="zh-CN"/>
        </w:rPr>
        <w:t xml:space="preserve">要求</w:t>
      </w:r>
      <w:r/>
    </w:p>
    <w:p>
      <w:pPr>
        <w:ind w:right="0"/>
        <w:jc w:val="both"/>
        <w:spacing w:before="0" w:after="0" w:line="479" w:lineRule="atLeast"/>
        <w:rPr>
          <w:b w:val="0"/>
          <w:bCs w:val="0"/>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4"/>
          <w:highlight w:val="none"/>
        </w:rPr>
        <w:t xml:space="preserve">1.招标文件技术规格书中明确的标准和技术要求；与合同货物有关的最新版本的中华人民共和国国家/国际标准和部颁标准；货物合格证书技术资料中的精度、质量要求；</w:t>
      </w:r>
      <w:r/>
    </w:p>
    <w:p>
      <w:pPr>
        <w:ind w:right="0"/>
        <w:jc w:val="both"/>
        <w:spacing w:before="0" w:after="0" w:line="479" w:lineRule="atLeast"/>
        <w:rPr>
          <w:rFonts w:ascii="仿宋" w:hAnsi="仿宋" w:eastAsia="仿宋" w:cs="仿宋"/>
          <w:b w:val="0"/>
          <w:bCs w:val="0"/>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4"/>
          <w:highlight w:val="none"/>
        </w:rPr>
        <w:t xml:space="preserve">供应商在澄清响应文件时作出的承诺，经采购单位确认后，将作为对货物的验收依据之一；双方签订的合同技术附件所规定的条款。</w:t>
      </w:r>
      <w:r/>
    </w:p>
    <w:p>
      <w:pPr>
        <w:spacing w:after="62" w:line="460" w:lineRule="exact"/>
        <w:rPr>
          <w:rFonts w:ascii="Times New Roman" w:hAnsi="Times New Roman" w:eastAsia="仿宋" w:cs="Times New Roman"/>
          <w:b w:val="0"/>
          <w:bCs w:val="0"/>
          <w:color w:val="auto"/>
          <w:sz w:val="24"/>
          <w:szCs w:val="24"/>
          <w:highlight w:val="none"/>
        </w:rPr>
      </w:pPr>
      <w:r>
        <w:rPr>
          <w:rFonts w:hint="eastAsia" w:ascii="仿宋" w:hAnsi="仿宋" w:eastAsia="仿宋" w:cs="仿宋"/>
          <w:b w:val="0"/>
          <w:bCs w:val="0"/>
          <w:color w:val="auto"/>
          <w:sz w:val="24"/>
          <w:highlight w:val="none"/>
          <w:lang w:val="en-US" w:eastAsia="zh-CN"/>
        </w:rPr>
        <w:t xml:space="preserve">2.</w:t>
      </w:r>
      <w:r>
        <w:rPr>
          <w:rFonts w:ascii="Times New Roman" w:hAnsi="Times New Roman" w:eastAsia="仿宋" w:cs="Times New Roman"/>
          <w:b w:val="0"/>
          <w:bCs w:val="0"/>
          <w:color w:val="auto"/>
          <w:sz w:val="24"/>
          <w:szCs w:val="24"/>
          <w:highlight w:val="none"/>
        </w:rPr>
        <w:t xml:space="preserve">在接到供应商以书面形式提出验收申请后，在5个工作日内及时组织相关专业技术人员，按国家制造和安装的标准要求执行，必要时</w:t>
      </w:r>
      <w:r>
        <w:rPr>
          <w:rFonts w:hint="eastAsia" w:ascii="Times New Roman" w:hAnsi="Times New Roman" w:eastAsia="仿宋" w:cs="Times New Roman"/>
          <w:b w:val="0"/>
          <w:bCs w:val="0"/>
          <w:color w:val="auto"/>
          <w:sz w:val="24"/>
          <w:szCs w:val="24"/>
          <w:highlight w:val="none"/>
          <w:lang w:eastAsia="zh-CN"/>
        </w:rPr>
        <w:t xml:space="preserve">邀请</w:t>
      </w:r>
      <w:r>
        <w:rPr>
          <w:rFonts w:hint="eastAsia" w:ascii="Times New Roman" w:hAnsi="Times New Roman" w:eastAsia="仿宋" w:cs="Times New Roman"/>
          <w:b w:val="0"/>
          <w:bCs w:val="0"/>
          <w:color w:val="auto"/>
          <w:sz w:val="24"/>
          <w:szCs w:val="24"/>
          <w:highlight w:val="none"/>
        </w:rPr>
        <w:t xml:space="preserve">设计公司</w:t>
      </w:r>
      <w:r>
        <w:rPr>
          <w:rFonts w:hint="eastAsia" w:ascii="Times New Roman" w:hAnsi="Times New Roman" w:eastAsia="仿宋" w:cs="Times New Roman"/>
          <w:b w:val="0"/>
          <w:bCs w:val="0"/>
          <w:color w:val="auto"/>
          <w:sz w:val="24"/>
          <w:szCs w:val="24"/>
          <w:highlight w:val="none"/>
          <w:lang w:val="en-US" w:eastAsia="zh-CN"/>
        </w:rPr>
        <w:t xml:space="preserve">及</w:t>
      </w:r>
      <w:r>
        <w:rPr>
          <w:rFonts w:ascii="Times New Roman" w:hAnsi="Times New Roman" w:eastAsia="仿宋" w:cs="Times New Roman"/>
          <w:b w:val="0"/>
          <w:bCs w:val="0"/>
          <w:color w:val="auto"/>
          <w:sz w:val="24"/>
          <w:szCs w:val="24"/>
          <w:highlight w:val="none"/>
        </w:rPr>
        <w:t xml:space="preserve">第三方质检等部门共同参与验收，并出具验收报告，作为支付货款的依据</w:t>
      </w:r>
      <w:r/>
    </w:p>
    <w:p>
      <w:pPr>
        <w:spacing w:after="62" w:line="460" w:lineRule="exact"/>
        <w:rPr>
          <w:rFonts w:ascii="Times New Roman" w:hAnsi="Times New Roman" w:eastAsia="仿宋" w:cs="Times New Roman"/>
          <w:b w:val="0"/>
          <w:bCs w:val="0"/>
          <w:color w:val="auto"/>
          <w:sz w:val="24"/>
          <w:szCs w:val="24"/>
          <w:highlight w:val="none"/>
        </w:rPr>
      </w:pPr>
      <w:r>
        <w:rPr>
          <w:rFonts w:hint="eastAsia" w:eastAsia="仿宋" w:cs="Times New Roman"/>
          <w:b w:val="0"/>
          <w:bCs w:val="0"/>
          <w:color w:val="auto"/>
          <w:sz w:val="24"/>
          <w:szCs w:val="24"/>
          <w:highlight w:val="none"/>
          <w:lang w:val="en-US" w:eastAsia="zh-CN"/>
        </w:rPr>
        <w:t xml:space="preserve">3</w:t>
      </w:r>
      <w:r>
        <w:rPr>
          <w:rFonts w:hint="eastAsia" w:ascii="Times New Roman" w:hAnsi="Times New Roman" w:eastAsia="仿宋" w:cs="Times New Roman"/>
          <w:b w:val="0"/>
          <w:bCs w:val="0"/>
          <w:color w:val="auto"/>
          <w:sz w:val="24"/>
          <w:szCs w:val="24"/>
          <w:highlight w:val="none"/>
          <w:lang w:eastAsia="zh-CN"/>
        </w:rPr>
        <w:t xml:space="preserve">.</w:t>
      </w:r>
      <w:r>
        <w:rPr>
          <w:rFonts w:ascii="Times New Roman" w:hAnsi="Times New Roman" w:eastAsia="仿宋" w:cs="Times New Roman"/>
          <w:b w:val="0"/>
          <w:bCs w:val="0"/>
          <w:color w:val="auto"/>
          <w:sz w:val="24"/>
          <w:szCs w:val="24"/>
          <w:highlight w:val="none"/>
        </w:rPr>
        <w:t xml:space="preserve">所供产品交付使用时，供应商必须向需方提供产品说明书、质量保证书、保修卡、合格证等必须具备的相关资料和必备的附件。中标人必须负责所采购产品的运输，并派有经验的技术人员到现场进行卸货、安装，经调试、检测合格后交付使用，其费用由中标人承担，包含在报价中。 </w:t>
      </w:r>
      <w:r/>
    </w:p>
    <w:p>
      <w:pPr>
        <w:spacing w:after="62" w:line="460" w:lineRule="exact"/>
        <w:rPr>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lang w:eastAsia="zh-CN"/>
        </w:rPr>
        <w:t xml:space="preserve">4.</w:t>
      </w:r>
      <w:r>
        <w:rPr>
          <w:rFonts w:ascii="Times New Roman" w:hAnsi="Times New Roman" w:eastAsia="仿宋" w:cs="Times New Roman"/>
          <w:b w:val="0"/>
          <w:bCs w:val="0"/>
          <w:color w:val="auto"/>
          <w:sz w:val="24"/>
          <w:szCs w:val="24"/>
          <w:highlight w:val="none"/>
        </w:rPr>
        <w:t xml:space="preserve">不锈钢材质焊接拼缝处应无明显缝隙，无虚焊，表面需打磨抛光处理（所有焊接用氩弧焊焊接）。</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（四）付款方式</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1.货物到场、安装调试完毕，并经采购人验收合格后收到中标人正规发票付至货款的100%。</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2.因中标人发票错误、迟延等问题而导致采购人无法付款的，采购人不承担责任。</w:t>
      </w:r>
      <w:r/>
    </w:p>
    <w:p>
      <w:pPr>
        <w:ind w:left="0" w:right="0" w:firstLine="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（五）履约保证金</w:t>
      </w:r>
      <w:r/>
    </w:p>
    <w:p>
      <w:pPr>
        <w:spacing w:line="480" w:lineRule="exact"/>
        <w:rPr>
          <w:rFonts w:ascii="仿宋" w:hAnsi="仿宋" w:eastAsia="仿宋"/>
          <w:color w:val="000000"/>
          <w:sz w:val="24"/>
          <w:szCs w:val="24"/>
          <w:highlight w:val="none"/>
        </w:rPr>
      </w:pPr>
      <w:r>
        <w:rPr>
          <w:rFonts w:ascii="仿宋" w:hAnsi="仿宋" w:eastAsia="仿宋" w:cs="仿宋"/>
          <w:color w:val="auto"/>
          <w:sz w:val="24"/>
          <w:highlight w:val="none"/>
        </w:rPr>
        <w:t xml:space="preserve">1.本项目</w:t>
      </w:r>
      <w:r>
        <w:rPr>
          <w:rFonts w:ascii="仿宋" w:hAnsi="仿宋" w:eastAsia="仿宋" w:cs="仿宋"/>
          <w:b/>
          <w:bCs/>
          <w:color w:val="auto"/>
          <w:sz w:val="24"/>
          <w:highlight w:val="none"/>
        </w:rPr>
        <w:t xml:space="preserve">履约保证金为项目成交价的10%</w:t>
      </w:r>
      <w:r>
        <w:rPr>
          <w:rFonts w:ascii="仿宋" w:hAnsi="仿宋" w:eastAsia="仿宋" w:cs="仿宋"/>
          <w:color w:val="auto"/>
          <w:sz w:val="24"/>
          <w:highlight w:val="none"/>
        </w:rPr>
        <w:t xml:space="preserve">，</w:t>
      </w:r>
      <w:r>
        <w:rPr>
          <w:rFonts w:hint="eastAsia" w:ascii="仿宋" w:hAnsi="仿宋" w:eastAsia="仿宋"/>
          <w:color w:val="000000"/>
          <w:sz w:val="24"/>
          <w:szCs w:val="24"/>
          <w:highlight w:val="none"/>
          <w:lang w:eastAsia="zh-CN"/>
        </w:rPr>
        <w:t xml:space="preserve">中标人应在中标通知书发出之日起至合同签订前，以支票、汇票、本票或金融机构、担保机构出具的保函等非现金形式提交履约保证金。中标人凭中标通知书与采购人签订合同。因中标人原因超期未签订合同的，视为自动放弃成交资格。</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全部履行合同义务，经采购人验收合格无质量、进度等问题的，采购人在验收合格后一次性退还履约保证金，采购人若逾期退还履约保证金的，按照逾期部分的每日0.05%支付违约金；</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3.发生以下情况的，履约保证金不予退还或部分退还：</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a.签订合同后，</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不履行合同义务的，采购人有权全额扣除履约保证金，全额不予退还，同时采购人亦有权终止合同，中标人还须承担相应的法律赔偿责任。</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b.</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在履约过程中发生违约行为，给采购人造成损失的，采购人有权在</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缴纳的履约保证金中予以扣款，以弥补采购人经济损失，不足的部分</w:t>
      </w:r>
      <w:r>
        <w:rPr>
          <w:rFonts w:hint="eastAsia" w:ascii="仿宋" w:hAnsi="仿宋" w:eastAsia="仿宋" w:cs="仿宋"/>
          <w:color w:val="auto"/>
          <w:sz w:val="24"/>
          <w:highlight w:val="none"/>
          <w:lang w:eastAsia="zh-CN"/>
        </w:rPr>
        <w:t xml:space="preserve">中标人</w:t>
      </w:r>
      <w:r>
        <w:rPr>
          <w:rFonts w:ascii="仿宋" w:hAnsi="仿宋" w:eastAsia="仿宋" w:cs="仿宋"/>
          <w:color w:val="auto"/>
          <w:sz w:val="24"/>
          <w:highlight w:val="none"/>
        </w:rPr>
        <w:t xml:space="preserve">另外补齐。</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p>
    <w:p>
      <w:pPr>
        <w:ind w:right="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ind w:left="0" w:right="0" w:firstLine="0"/>
        <w:jc w:val="both"/>
        <w:keepLines w:val="0"/>
        <w:keepNext w:val="0"/>
        <w:pageBreakBefore w:val="0"/>
        <w:spacing w:before="0" w:after="0" w:line="480" w:lineRule="exact"/>
        <w:widowControl w:val="off"/>
        <w:rPr>
          <w:rFonts w:ascii="宋体" w:hAnsi="宋体" w:eastAsia="宋体" w:cs="宋体"/>
          <w:b/>
          <w:i w:val="0"/>
          <w:iCs w:val="0"/>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i w:val="0"/>
          <w:iCs w:val="0"/>
          <w:color w:val="auto"/>
          <w:sz w:val="28"/>
          <w:szCs w:val="28"/>
          <w:highlight w:val="none"/>
        </w:rPr>
        <w:t xml:space="preserve">四、采购需求中必须满足的实质性要求</w:t>
      </w:r>
      <w:r/>
    </w:p>
    <w:p>
      <w:pPr>
        <w:ind w:left="0" w:right="0" w:firstLine="0"/>
        <w:jc w:val="both"/>
        <w:keepLines w:val="0"/>
        <w:keepNext w:val="0"/>
        <w:pageBreakBefore w:val="0"/>
        <w:spacing w:before="0" w:after="0" w:line="480" w:lineRule="exact"/>
        <w:widowControl w:val="off"/>
        <w:rPr>
          <w:rFonts w:hint="eastAsia" w:ascii="仿宋" w:hAnsi="仿宋" w:eastAsia="仿宋" w:cs="仿宋"/>
          <w:b/>
          <w:i w:val="0"/>
          <w:iCs w:val="0"/>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i w:val="0"/>
          <w:iCs w:val="0"/>
          <w:color w:val="auto"/>
          <w:sz w:val="24"/>
          <w:szCs w:val="24"/>
          <w:highlight w:val="none"/>
          <w:u w:val="single"/>
          <w:lang w:val="en-US" w:eastAsia="zh-CN"/>
        </w:rPr>
        <w:t xml:space="preserve">1.报价实质性要求</w:t>
      </w:r>
      <w:r/>
    </w:p>
    <w:p>
      <w:pPr>
        <w:pStyle w:val="1079"/>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single"/>
          <w:lang w:val="en-US" w:eastAsia="zh-CN"/>
        </w:rPr>
      </w:pPr>
      <w:r>
        <w:rPr>
          <w:rFonts w:hint="eastAsia" w:ascii="仿宋" w:hAnsi="仿宋" w:eastAsia="仿宋" w:cs="仿宋"/>
          <w:b w:val="0"/>
          <w:bCs/>
          <w:i w:val="0"/>
          <w:iCs w:val="0"/>
          <w:color w:val="auto"/>
          <w:sz w:val="24"/>
          <w:szCs w:val="24"/>
          <w:highlight w:val="none"/>
          <w:u w:val="single"/>
          <w:lang w:val="en-US" w:eastAsia="zh-CN"/>
        </w:rPr>
        <w:t xml:space="preserve">1.1供应商应对所投项目的全部内容进行报价，只选择其中部分内容报价者，视为无效报价。</w:t>
      </w:r>
      <w:r/>
    </w:p>
    <w:p>
      <w:pPr>
        <w:pStyle w:val="1079"/>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single"/>
          <w:lang w:val="en-US" w:eastAsia="zh-CN"/>
        </w:rPr>
      </w:pPr>
      <w:r>
        <w:rPr>
          <w:rFonts w:hint="eastAsia" w:ascii="仿宋" w:hAnsi="仿宋" w:eastAsia="仿宋" w:cs="仿宋"/>
          <w:b w:val="0"/>
          <w:bCs/>
          <w:i w:val="0"/>
          <w:iCs w:val="0"/>
          <w:color w:val="auto"/>
          <w:sz w:val="24"/>
          <w:szCs w:val="24"/>
          <w:highlight w:val="none"/>
          <w:u w:val="single"/>
          <w:lang w:val="en-US" w:eastAsia="zh-CN"/>
        </w:rPr>
        <w:t xml:space="preserve">1.2 供应商所投产品的总报价不得高于限价，若发现超出限价的，视为无效报价。</w:t>
      </w:r>
      <w:r/>
    </w:p>
    <w:p>
      <w:pPr>
        <w:pStyle w:val="1079"/>
        <w:keepLines w:val="0"/>
        <w:keepNext w:val="0"/>
        <w:pageBreakBefore w:val="0"/>
        <w:spacing w:line="480" w:lineRule="exact"/>
        <w:widowControl w:val="off"/>
        <w:rPr>
          <w:rFonts w:hint="eastAsia" w:ascii="仿宋" w:hAnsi="仿宋" w:eastAsia="仿宋" w:cs="仿宋"/>
          <w:b/>
          <w:i w:val="0"/>
          <w:iCs w:val="0"/>
          <w:color w:val="auto"/>
          <w:sz w:val="24"/>
          <w:szCs w:val="24"/>
          <w:highlight w:val="none"/>
          <w:u w:val="single"/>
        </w:rPr>
      </w:pPr>
      <w:r>
        <w:rPr>
          <w:rFonts w:hint="eastAsia" w:ascii="仿宋" w:hAnsi="仿宋" w:eastAsia="仿宋" w:cs="仿宋"/>
          <w:b/>
          <w:i w:val="0"/>
          <w:iCs w:val="0"/>
          <w:color w:val="auto"/>
          <w:sz w:val="24"/>
          <w:szCs w:val="24"/>
          <w:highlight w:val="none"/>
          <w:u w:val="single"/>
          <w:lang w:val="en-US" w:eastAsia="zh-CN"/>
        </w:rPr>
        <w:t xml:space="preserve">2.</w:t>
      </w:r>
      <w:r>
        <w:rPr>
          <w:rFonts w:hint="eastAsia" w:ascii="仿宋" w:hAnsi="仿宋" w:eastAsia="仿宋" w:cs="仿宋"/>
          <w:b/>
          <w:i w:val="0"/>
          <w:iCs w:val="0"/>
          <w:color w:val="auto"/>
          <w:sz w:val="24"/>
          <w:szCs w:val="24"/>
          <w:highlight w:val="none"/>
          <w:u w:val="single"/>
        </w:rPr>
        <w:t xml:space="preserve">技术部分实质性要求（</w:t>
      </w:r>
      <w:r>
        <w:rPr>
          <w:rFonts w:hint="eastAsia" w:ascii="仿宋" w:hAnsi="仿宋" w:eastAsia="仿宋" w:cs="仿宋"/>
          <w:b/>
          <w:i w:val="0"/>
          <w:iCs w:val="0"/>
          <w:color w:val="auto"/>
          <w:sz w:val="24"/>
          <w:szCs w:val="24"/>
          <w:highlight w:val="none"/>
          <w:u w:val="single"/>
          <w:lang w:val="en-US" w:eastAsia="zh-CN"/>
        </w:rPr>
        <w:t xml:space="preserve">该部分内容必须在</w:t>
      </w:r>
      <w:r>
        <w:rPr>
          <w:rFonts w:hint="default" w:ascii="仿宋" w:hAnsi="仿宋" w:eastAsia="仿宋" w:cs="仿宋"/>
          <w:b/>
          <w:i w:val="0"/>
          <w:iCs w:val="0"/>
          <w:color w:val="auto"/>
          <w:sz w:val="24"/>
          <w:szCs w:val="24"/>
          <w:highlight w:val="none"/>
          <w:u w:val="single"/>
          <w:lang w:val="en-US" w:eastAsia="zh-CN"/>
        </w:rPr>
        <w:t xml:space="preserve">”</w:t>
      </w:r>
      <w:r>
        <w:rPr>
          <w:rFonts w:hint="eastAsia" w:ascii="仿宋" w:hAnsi="仿宋" w:eastAsia="仿宋" w:cs="仿宋"/>
          <w:b/>
          <w:i w:val="0"/>
          <w:iCs w:val="0"/>
          <w:color w:val="auto"/>
          <w:sz w:val="24"/>
          <w:szCs w:val="24"/>
          <w:highlight w:val="none"/>
          <w:u w:val="single"/>
        </w:rPr>
        <w:t xml:space="preserve">技术要求响应及偏离表</w:t>
      </w:r>
      <w:r>
        <w:rPr>
          <w:rFonts w:hint="default" w:ascii="仿宋" w:hAnsi="仿宋" w:eastAsia="仿宋" w:cs="仿宋"/>
          <w:b/>
          <w:i w:val="0"/>
          <w:iCs w:val="0"/>
          <w:color w:val="auto"/>
          <w:sz w:val="24"/>
          <w:szCs w:val="24"/>
          <w:highlight w:val="none"/>
          <w:u w:val="single"/>
          <w:lang w:val="en-US" w:eastAsia="zh-CN"/>
        </w:rPr>
        <w:t xml:space="preserve">”</w:t>
      </w:r>
      <w:r>
        <w:rPr>
          <w:rFonts w:hint="eastAsia" w:ascii="仿宋" w:hAnsi="仿宋" w:eastAsia="仿宋" w:cs="仿宋"/>
          <w:b/>
          <w:i w:val="0"/>
          <w:iCs w:val="0"/>
          <w:color w:val="auto"/>
          <w:sz w:val="24"/>
          <w:szCs w:val="24"/>
          <w:highlight w:val="none"/>
          <w:u w:val="single"/>
          <w:lang w:val="en-US" w:eastAsia="zh-CN"/>
        </w:rPr>
        <w:t xml:space="preserve">章节内呈现，</w:t>
      </w:r>
      <w:r>
        <w:rPr>
          <w:rFonts w:hint="eastAsia" w:ascii="仿宋" w:hAnsi="仿宋" w:eastAsia="仿宋" w:cs="仿宋"/>
          <w:b/>
          <w:i w:val="0"/>
          <w:iCs w:val="0"/>
          <w:color w:val="auto"/>
          <w:sz w:val="24"/>
          <w:szCs w:val="24"/>
          <w:highlight w:val="none"/>
          <w:u w:val="single"/>
        </w:rPr>
        <w:t xml:space="preserve">佐证材料须在《技术要求响应及偏离表》下方</w:t>
      </w:r>
      <w:r>
        <w:rPr>
          <w:rFonts w:hint="eastAsia" w:ascii="仿宋" w:hAnsi="仿宋" w:eastAsia="仿宋" w:cs="仿宋"/>
          <w:b/>
          <w:i w:val="0"/>
          <w:iCs w:val="0"/>
          <w:color w:val="auto"/>
          <w:sz w:val="24"/>
          <w:szCs w:val="24"/>
          <w:highlight w:val="none"/>
          <w:u w:val="single"/>
          <w:lang w:val="en-US" w:eastAsia="zh-CN"/>
        </w:rPr>
        <w:t xml:space="preserve">逐条</w:t>
      </w:r>
      <w:r>
        <w:rPr>
          <w:rFonts w:hint="eastAsia" w:ascii="仿宋" w:hAnsi="仿宋" w:eastAsia="仿宋" w:cs="仿宋"/>
          <w:b/>
          <w:i w:val="0"/>
          <w:iCs w:val="0"/>
          <w:color w:val="auto"/>
          <w:sz w:val="24"/>
          <w:szCs w:val="24"/>
          <w:highlight w:val="none"/>
          <w:u w:val="single"/>
        </w:rPr>
        <w:t xml:space="preserve">列明）</w:t>
      </w:r>
      <w:r/>
    </w:p>
    <w:p>
      <w:pPr>
        <w:pStyle w:val="1079"/>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single"/>
          <w:lang w:val="en-US" w:eastAsia="zh-CN"/>
        </w:rPr>
      </w:pPr>
      <w:r>
        <w:rPr>
          <w:rFonts w:hint="eastAsia" w:ascii="仿宋" w:hAnsi="仿宋" w:eastAsia="仿宋" w:cs="仿宋"/>
          <w:b w:val="0"/>
          <w:bCs/>
          <w:i w:val="0"/>
          <w:iCs w:val="0"/>
          <w:color w:val="auto"/>
          <w:sz w:val="24"/>
          <w:szCs w:val="24"/>
          <w:highlight w:val="none"/>
          <w:u w:val="single"/>
          <w:lang w:val="en-US" w:eastAsia="zh-CN"/>
        </w:rPr>
        <w:t xml:space="preserve">2.1本项目所有产品参数均不接受负偏离，存在负偏离则视为未能实质性响应招标文件，作无效标处理。</w:t>
      </w:r>
      <w:r/>
    </w:p>
    <w:p>
      <w:pPr>
        <w:pStyle w:val="1079"/>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single"/>
          <w:lang w:val="en-US" w:eastAsia="zh-CN"/>
        </w:rPr>
      </w:pPr>
      <w:r>
        <w:rPr>
          <w:rFonts w:hint="eastAsia" w:ascii="仿宋" w:hAnsi="仿宋" w:eastAsia="仿宋" w:cs="仿宋"/>
          <w:b w:val="0"/>
          <w:bCs/>
          <w:i w:val="0"/>
          <w:iCs w:val="0"/>
          <w:color w:val="auto"/>
          <w:sz w:val="24"/>
          <w:szCs w:val="24"/>
          <w:highlight w:val="none"/>
          <w:u w:val="single"/>
          <w:lang w:val="en-US" w:eastAsia="zh-CN"/>
        </w:rPr>
        <w:t xml:space="preserve">2.2机械静电光解复合式集烟罩餐饮业油烟净化一体机/设备须提供书面承诺，承诺满足GB 18483-2001饮食业油烟排放标准中油烟净化效率≥85%的要求，且承诺中标后在验收时提供第三方检测机构出具的检测报告（请投标人做出书面承诺，格式自拟）。</w:t>
      </w:r>
      <w:r/>
    </w:p>
    <w:p>
      <w:pPr>
        <w:pStyle w:val="1079"/>
        <w:keepLines w:val="0"/>
        <w:keepNext w:val="0"/>
        <w:pageBreakBefore w:val="0"/>
        <w:spacing w:line="480" w:lineRule="exact"/>
        <w:widowControl w:val="off"/>
        <w:rPr>
          <w:rFonts w:hint="default" w:ascii="仿宋" w:hAnsi="仿宋" w:eastAsia="仿宋" w:cs="仿宋"/>
          <w:b w:val="0"/>
          <w:bCs/>
          <w:i w:val="0"/>
          <w:iCs w:val="0"/>
          <w:color w:val="auto"/>
          <w:sz w:val="24"/>
          <w:szCs w:val="24"/>
          <w:highlight w:val="none"/>
          <w:u w:val="single"/>
          <w:lang w:val="en-US" w:eastAsia="zh-CN"/>
        </w:rPr>
      </w:pPr>
      <w:r>
        <w:rPr>
          <w:rFonts w:hint="eastAsia" w:ascii="仿宋" w:hAnsi="仿宋" w:eastAsia="仿宋" w:cs="仿宋"/>
          <w:b w:val="0"/>
          <w:bCs/>
          <w:i w:val="0"/>
          <w:iCs w:val="0"/>
          <w:color w:val="auto"/>
          <w:sz w:val="24"/>
          <w:szCs w:val="24"/>
          <w:highlight w:val="none"/>
          <w:u w:val="single"/>
          <w:lang w:val="en-US" w:eastAsia="zh-CN"/>
        </w:rPr>
        <w:t xml:space="preserve">2.3节能产品政府强制采购产品：采购需求产品属于《节能产品政府采购品目清单》中，技术参数以“★”标注的为政府强制采购产品。投标人应当根据采购文件要求投标时提供国家认可的认证机构出具的、处于有效期内的《节能产品认证证书》，否则按无效投标处理。（须清晰标明证书内的所投产品型号）</w:t>
      </w:r>
      <w:r/>
    </w:p>
    <w:p>
      <w:pPr>
        <w:pStyle w:val="1079"/>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single"/>
          <w:lang w:val="en-US" w:eastAsia="zh-CN"/>
        </w:rPr>
      </w:pPr>
      <w:r>
        <w:rPr>
          <w:rFonts w:hint="eastAsia" w:ascii="仿宋" w:hAnsi="仿宋" w:eastAsia="仿宋" w:cs="仿宋"/>
          <w:b w:val="0"/>
          <w:bCs/>
          <w:i w:val="0"/>
          <w:iCs w:val="0"/>
          <w:color w:val="auto"/>
          <w:sz w:val="24"/>
          <w:szCs w:val="24"/>
          <w:highlight w:val="none"/>
          <w:u w:val="single"/>
          <w:lang w:val="en-US" w:eastAsia="zh-CN"/>
        </w:rPr>
        <w:t xml:space="preserve">2.4CCC认证：提供标注“◆”产品的，投标单位应当根据采购文件要求投标时提供国家认可的认证机构出具的、处于有效期内的《中国国家强制性产品认证证书》，否则按无投标处理。（须清晰标明证书内的所投产品型号）</w:t>
      </w:r>
      <w:r/>
    </w:p>
    <w:p>
      <w:pPr>
        <w:pStyle w:val="1079"/>
        <w:keepLines w:val="0"/>
        <w:keepNext w:val="0"/>
        <w:pageBreakBefore w:val="0"/>
        <w:spacing w:line="480" w:lineRule="exact"/>
        <w:widowControl w:val="off"/>
        <w:rPr>
          <w:rFonts w:hint="eastAsia" w:ascii="仿宋" w:hAnsi="仿宋" w:eastAsia="仿宋" w:cs="仿宋"/>
          <w:b/>
          <w:i w:val="0"/>
          <w:iCs w:val="0"/>
          <w:color w:val="auto"/>
          <w:sz w:val="24"/>
          <w:szCs w:val="24"/>
          <w:highlight w:val="none"/>
          <w:u w:val="single"/>
        </w:rPr>
      </w:pPr>
      <w:r>
        <w:rPr>
          <w:rFonts w:hint="eastAsia" w:ascii="仿宋" w:hAnsi="仿宋" w:eastAsia="仿宋" w:cs="仿宋"/>
          <w:b/>
          <w:i w:val="0"/>
          <w:iCs w:val="0"/>
          <w:color w:val="auto"/>
          <w:sz w:val="24"/>
          <w:szCs w:val="24"/>
          <w:highlight w:val="none"/>
          <w:u w:val="single"/>
          <w:lang w:val="en-US" w:eastAsia="zh-CN"/>
        </w:rPr>
        <w:t xml:space="preserve">3.</w:t>
      </w:r>
      <w:r>
        <w:rPr>
          <w:rFonts w:hint="eastAsia" w:ascii="仿宋" w:hAnsi="仿宋" w:eastAsia="仿宋" w:cs="仿宋"/>
          <w:b/>
          <w:i w:val="0"/>
          <w:iCs w:val="0"/>
          <w:color w:val="auto"/>
          <w:sz w:val="24"/>
          <w:szCs w:val="24"/>
          <w:highlight w:val="none"/>
          <w:u w:val="single"/>
        </w:rPr>
        <w:t xml:space="preserve">商务部分实质性要求（</w:t>
      </w:r>
      <w:r>
        <w:rPr>
          <w:rFonts w:hint="eastAsia" w:ascii="仿宋" w:hAnsi="仿宋" w:eastAsia="仿宋" w:cs="仿宋"/>
          <w:b/>
          <w:i w:val="0"/>
          <w:iCs w:val="0"/>
          <w:color w:val="auto"/>
          <w:sz w:val="24"/>
          <w:szCs w:val="24"/>
          <w:highlight w:val="none"/>
          <w:u w:val="single"/>
          <w:lang w:val="en-US" w:eastAsia="zh-CN"/>
        </w:rPr>
        <w:t xml:space="preserve">该部分内容必须在</w:t>
      </w:r>
      <w:r>
        <w:rPr>
          <w:rFonts w:hint="default" w:ascii="仿宋" w:hAnsi="仿宋" w:eastAsia="仿宋" w:cs="仿宋"/>
          <w:b/>
          <w:i w:val="0"/>
          <w:iCs w:val="0"/>
          <w:color w:val="auto"/>
          <w:sz w:val="24"/>
          <w:szCs w:val="24"/>
          <w:highlight w:val="none"/>
          <w:u w:val="single"/>
          <w:lang w:val="en-US" w:eastAsia="zh-CN"/>
        </w:rPr>
        <w:t xml:space="preserve">”</w:t>
      </w:r>
      <w:r>
        <w:rPr>
          <w:rFonts w:hint="eastAsia" w:ascii="仿宋" w:hAnsi="仿宋" w:eastAsia="仿宋" w:cs="仿宋"/>
          <w:b/>
          <w:i w:val="0"/>
          <w:iCs w:val="0"/>
          <w:color w:val="auto"/>
          <w:sz w:val="24"/>
          <w:szCs w:val="24"/>
          <w:highlight w:val="none"/>
          <w:u w:val="single"/>
          <w:lang w:val="en-US" w:eastAsia="zh-CN"/>
        </w:rPr>
        <w:t xml:space="preserve">商务</w:t>
      </w:r>
      <w:r>
        <w:rPr>
          <w:rFonts w:hint="eastAsia" w:ascii="仿宋" w:hAnsi="仿宋" w:eastAsia="仿宋" w:cs="仿宋"/>
          <w:b/>
          <w:i w:val="0"/>
          <w:iCs w:val="0"/>
          <w:color w:val="auto"/>
          <w:sz w:val="24"/>
          <w:szCs w:val="24"/>
          <w:highlight w:val="none"/>
          <w:u w:val="single"/>
        </w:rPr>
        <w:t xml:space="preserve">要求响应及偏离表</w:t>
      </w:r>
      <w:r>
        <w:rPr>
          <w:rFonts w:hint="default" w:ascii="仿宋" w:hAnsi="仿宋" w:eastAsia="仿宋" w:cs="仿宋"/>
          <w:b/>
          <w:i w:val="0"/>
          <w:iCs w:val="0"/>
          <w:color w:val="auto"/>
          <w:sz w:val="24"/>
          <w:szCs w:val="24"/>
          <w:highlight w:val="none"/>
          <w:u w:val="single"/>
          <w:lang w:val="en-US" w:eastAsia="zh-CN"/>
        </w:rPr>
        <w:t xml:space="preserve">”</w:t>
      </w:r>
      <w:r>
        <w:rPr>
          <w:rFonts w:hint="eastAsia" w:ascii="仿宋" w:hAnsi="仿宋" w:eastAsia="仿宋" w:cs="仿宋"/>
          <w:b/>
          <w:i w:val="0"/>
          <w:iCs w:val="0"/>
          <w:color w:val="auto"/>
          <w:sz w:val="24"/>
          <w:szCs w:val="24"/>
          <w:highlight w:val="none"/>
          <w:u w:val="single"/>
          <w:lang w:val="en-US" w:eastAsia="zh-CN"/>
        </w:rPr>
        <w:t xml:space="preserve">章节内呈现，</w:t>
      </w:r>
      <w:r>
        <w:rPr>
          <w:rFonts w:hint="eastAsia" w:ascii="仿宋" w:hAnsi="仿宋" w:eastAsia="仿宋" w:cs="仿宋"/>
          <w:b/>
          <w:i w:val="0"/>
          <w:iCs w:val="0"/>
          <w:color w:val="auto"/>
          <w:sz w:val="24"/>
          <w:szCs w:val="24"/>
          <w:highlight w:val="none"/>
          <w:u w:val="single"/>
        </w:rPr>
        <w:t xml:space="preserve">佐证材料须在《商务要求响应及偏离表》下方</w:t>
      </w:r>
      <w:r>
        <w:rPr>
          <w:rFonts w:hint="eastAsia" w:ascii="仿宋" w:hAnsi="仿宋" w:eastAsia="仿宋" w:cs="仿宋"/>
          <w:b/>
          <w:i w:val="0"/>
          <w:iCs w:val="0"/>
          <w:color w:val="auto"/>
          <w:sz w:val="24"/>
          <w:szCs w:val="24"/>
          <w:highlight w:val="none"/>
          <w:u w:val="single"/>
          <w:lang w:val="en-US" w:eastAsia="zh-CN"/>
        </w:rPr>
        <w:t xml:space="preserve">逐条</w:t>
      </w:r>
      <w:r>
        <w:rPr>
          <w:rFonts w:hint="eastAsia" w:ascii="仿宋" w:hAnsi="仿宋" w:eastAsia="仿宋" w:cs="仿宋"/>
          <w:b/>
          <w:i w:val="0"/>
          <w:iCs w:val="0"/>
          <w:color w:val="auto"/>
          <w:sz w:val="24"/>
          <w:szCs w:val="24"/>
          <w:highlight w:val="none"/>
          <w:u w:val="single"/>
        </w:rPr>
        <w:t xml:space="preserve">列明）</w:t>
      </w:r>
      <w:r/>
    </w:p>
    <w:p>
      <w:pPr>
        <w:pStyle w:val="1079"/>
        <w:keepLines w:val="0"/>
        <w:keepNext w:val="0"/>
        <w:pageBreakBefore w:val="0"/>
        <w:spacing w:line="480" w:lineRule="exact"/>
        <w:widowControl w:val="off"/>
        <w:rPr>
          <w:rFonts w:hint="eastAsia" w:ascii="仿宋" w:hAnsi="仿宋" w:eastAsia="仿宋" w:cs="仿宋"/>
          <w:b w:val="0"/>
          <w:bCs/>
          <w:i w:val="0"/>
          <w:iCs w:val="0"/>
          <w:color w:val="auto"/>
          <w:sz w:val="24"/>
          <w:szCs w:val="24"/>
          <w:highlight w:val="none"/>
          <w:u w:val="single"/>
        </w:rPr>
      </w:pPr>
      <w:r>
        <w:rPr>
          <w:rFonts w:hint="eastAsia" w:ascii="仿宋" w:hAnsi="仿宋" w:eastAsia="仿宋" w:cs="仿宋"/>
          <w:b w:val="0"/>
          <w:bCs/>
          <w:i w:val="0"/>
          <w:iCs w:val="0"/>
          <w:color w:val="auto"/>
          <w:sz w:val="24"/>
          <w:szCs w:val="24"/>
          <w:highlight w:val="none"/>
          <w:u w:val="single"/>
          <w:lang w:val="en-US" w:eastAsia="zh-CN"/>
        </w:rPr>
        <w:t xml:space="preserve">3.1</w:t>
      </w:r>
      <w:r>
        <w:rPr>
          <w:rFonts w:hint="eastAsia" w:ascii="仿宋" w:hAnsi="仿宋" w:eastAsia="仿宋" w:cs="仿宋"/>
          <w:b w:val="0"/>
          <w:bCs/>
          <w:i w:val="0"/>
          <w:iCs w:val="0"/>
          <w:color w:val="auto"/>
          <w:sz w:val="24"/>
          <w:szCs w:val="24"/>
          <w:highlight w:val="none"/>
          <w:u w:val="single"/>
        </w:rPr>
        <w:t xml:space="preserve">中标人须</w:t>
      </w:r>
      <w:r>
        <w:rPr>
          <w:rFonts w:hint="eastAsia" w:ascii="仿宋" w:hAnsi="仿宋" w:eastAsia="仿宋" w:cs="仿宋"/>
          <w:b w:val="0"/>
          <w:bCs/>
          <w:i w:val="0"/>
          <w:iCs w:val="0"/>
          <w:color w:val="auto"/>
          <w:sz w:val="24"/>
          <w:szCs w:val="24"/>
          <w:highlight w:val="none"/>
          <w:u w:val="single"/>
          <w:lang w:val="en-US" w:eastAsia="zh-CN"/>
        </w:rPr>
        <w:t xml:space="preserve">承诺</w:t>
      </w:r>
      <w:r>
        <w:rPr>
          <w:rFonts w:hint="eastAsia" w:ascii="仿宋" w:hAnsi="仿宋" w:eastAsia="仿宋" w:cs="仿宋"/>
          <w:b w:val="0"/>
          <w:bCs/>
          <w:i w:val="0"/>
          <w:iCs w:val="0"/>
          <w:color w:val="auto"/>
          <w:sz w:val="24"/>
          <w:szCs w:val="24"/>
          <w:highlight w:val="none"/>
          <w:u w:val="single"/>
        </w:rPr>
        <w:t xml:space="preserve">完成与所供产品相关的阀门、龙头、连接件等厨具设备安装需要的所有配件、附件，相关材料费、辅材费、安装费、税金等包含在总报价之中（请投标人做出书面承诺，格式自拟）。</w:t>
      </w:r>
      <w:r/>
    </w:p>
    <w:p>
      <w:pPr>
        <w:pStyle w:val="1079"/>
        <w:keepLines w:val="0"/>
        <w:keepNext w:val="0"/>
        <w:pageBreakBefore w:val="0"/>
        <w:spacing w:line="480" w:lineRule="exact"/>
        <w:widowControl w:val="off"/>
        <w:rPr>
          <w:i w:val="0"/>
          <w:iCs w:val="0"/>
          <w:color w:val="auto"/>
          <w:sz w:val="24"/>
          <w:szCs w:val="24"/>
          <w:highlight w:val="none"/>
        </w:rPr>
      </w:pPr>
      <w:r>
        <w:rPr>
          <w:rFonts w:ascii="仿宋" w:hAnsi="仿宋" w:eastAsia="仿宋" w:cs="仿宋"/>
          <w:b w:val="0"/>
          <w:bCs/>
          <w:i w:val="0"/>
          <w:iCs w:val="0"/>
          <w:color w:val="auto"/>
          <w:sz w:val="24"/>
          <w:szCs w:val="24"/>
          <w:highlight w:val="red"/>
          <w:u w:val="single"/>
        </w:rPr>
        <w:br w:type="page" w:clear="all"/>
      </w:r>
      <w:r/>
    </w:p>
    <w:p>
      <w:pPr>
        <w:pStyle w:val="1109"/>
        <w:ind w:firstLine="600"/>
        <w:jc w:val="center"/>
        <w:rPr>
          <w:rFonts w:hint="eastAsia" w:ascii="黑体" w:eastAsia="黑体"/>
          <w:bCs/>
          <w:color w:val="auto"/>
          <w:sz w:val="44"/>
          <w:szCs w:val="28"/>
          <w:highlight w:val="none"/>
        </w:rPr>
        <w:outlineLvl w:val="0"/>
      </w:pPr>
      <w:r/>
      <w:bookmarkStart w:id="195" w:name="_Toc12359"/>
      <w:r>
        <w:rPr>
          <w:rFonts w:hint="eastAsia" w:ascii="黑体" w:eastAsia="黑体"/>
          <w:bCs/>
          <w:color w:val="auto"/>
          <w:sz w:val="44"/>
          <w:szCs w:val="28"/>
          <w:highlight w:val="none"/>
        </w:rPr>
        <w:t xml:space="preserve">第五章  </w:t>
      </w:r>
      <w:r>
        <w:rPr>
          <w:rFonts w:hint="eastAsia" w:ascii="黑体" w:eastAsia="黑体"/>
          <w:b/>
          <w:bCs/>
          <w:color w:val="auto"/>
          <w:sz w:val="44"/>
          <w:szCs w:val="28"/>
          <w:highlight w:val="none"/>
        </w:rPr>
        <w:t xml:space="preserve">评标方法与评标标准</w:t>
      </w:r>
      <w:bookmarkEnd w:id="195"/>
      <w:r/>
      <w:r/>
    </w:p>
    <w:p>
      <w:pPr>
        <w:ind w:firstLine="512"/>
        <w:jc w:val="left"/>
        <w:keepLines w:val="0"/>
        <w:keepNext w:val="0"/>
        <w:pageBreakBefore w:val="0"/>
        <w:spacing w:before="120" w:after="120" w:line="460" w:lineRule="exact"/>
        <w:widowControl w:val="off"/>
        <w:rPr>
          <w:rFonts w:hint="eastAsia" w:ascii="仿宋" w:hAnsi="仿宋" w:eastAsia="仿宋" w:cs="Arial"/>
          <w:color w:val="auto"/>
          <w:sz w:val="28"/>
          <w:szCs w:val="28"/>
          <w:highlight w:val="none"/>
        </w:rPr>
      </w:pPr>
      <w:r/>
      <w:bookmarkStart w:id="200" w:name="_GoBack"/>
      <w:r>
        <w:rPr>
          <w:rFonts w:ascii="仿宋" w:hAnsi="仿宋" w:eastAsia="仿宋" w:cs="Arial"/>
          <w:color w:val="auto"/>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auto"/>
          <w:sz w:val="28"/>
          <w:szCs w:val="28"/>
          <w:highlight w:val="none"/>
        </w:rPr>
        <w:t xml:space="preserve">。本项目选取1名中标候选人。</w:t>
      </w:r>
      <w:bookmarkEnd w:id="192"/>
      <w:r/>
      <w:bookmarkEnd w:id="193"/>
      <w:r/>
      <w:bookmarkEnd w:id="194"/>
      <w:r/>
      <w:r/>
    </w:p>
    <w:p>
      <w:pPr>
        <w:ind w:firstLine="562"/>
        <w:jc w:val="left"/>
        <w:keepLines w:val="0"/>
        <w:keepNext w:val="0"/>
        <w:pageBreakBefore w:val="0"/>
        <w:spacing w:before="120" w:after="120" w:line="460" w:lineRule="exact"/>
        <w:widowControl w:val="off"/>
        <w:rPr>
          <w:rFonts w:hint="eastAsia" w:ascii="仿宋" w:hAnsi="仿宋" w:eastAsia="仿宋"/>
          <w:b/>
          <w:color w:val="auto"/>
          <w:sz w:val="28"/>
          <w:szCs w:val="28"/>
          <w:highlight w:val="none"/>
        </w:rPr>
      </w:pPr>
      <w:r/>
      <w:bookmarkStart w:id="196" w:name="_Toc120614282"/>
      <w:r/>
      <w:bookmarkStart w:id="197" w:name="_Toc26554094"/>
      <w:r/>
      <w:bookmarkStart w:id="198" w:name="_Toc49090576"/>
      <w:r>
        <w:rPr>
          <w:rFonts w:hint="eastAsia" w:ascii="仿宋" w:hAnsi="仿宋" w:eastAsia="仿宋"/>
          <w:b/>
          <w:color w:val="auto"/>
          <w:sz w:val="28"/>
          <w:szCs w:val="28"/>
          <w:highlight w:val="none"/>
        </w:rPr>
        <w:t xml:space="preserve">评标方法与评标标准</w:t>
      </w:r>
      <w:r/>
    </w:p>
    <w:p>
      <w:pPr>
        <w:ind w:firstLine="562"/>
        <w:jc w:val="left"/>
        <w:keepLines w:val="0"/>
        <w:keepNext w:val="0"/>
        <w:pageBreakBefore w:val="0"/>
        <w:spacing w:before="120" w:after="120" w:line="46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1.价格分：</w:t>
      </w:r>
      <w:r>
        <w:rPr>
          <w:rFonts w:hint="eastAsia" w:ascii="仿宋" w:hAnsi="仿宋" w:eastAsia="仿宋"/>
          <w:b/>
          <w:color w:val="auto"/>
          <w:sz w:val="28"/>
          <w:szCs w:val="28"/>
          <w:highlight w:val="none"/>
          <w:lang w:val="en-US" w:eastAsia="zh-CN"/>
        </w:rPr>
        <w:t xml:space="preserve">50</w:t>
      </w:r>
      <w:r>
        <w:rPr>
          <w:rFonts w:hint="eastAsia" w:ascii="仿宋" w:hAnsi="仿宋" w:eastAsia="仿宋"/>
          <w:b/>
          <w:color w:val="auto"/>
          <w:sz w:val="28"/>
          <w:szCs w:val="28"/>
          <w:highlight w:val="none"/>
        </w:rPr>
        <w:t xml:space="preserve">分</w:t>
      </w:r>
      <w:r/>
    </w:p>
    <w:p>
      <w:pPr>
        <w:ind w:firstLine="560"/>
        <w:jc w:val="left"/>
        <w:keepLines w:val="0"/>
        <w:keepNext w:val="0"/>
        <w:pageBreakBefore w:val="0"/>
        <w:spacing w:before="120" w:after="120" w:line="460" w:lineRule="exact"/>
        <w:widowControl w:val="off"/>
        <w:rPr>
          <w:rFonts w:hint="eastAsia" w:ascii="仿宋" w:hAnsi="仿宋" w:eastAsia="仿宋"/>
          <w:b/>
          <w:color w:val="auto"/>
          <w:sz w:val="24"/>
          <w:szCs w:val="24"/>
          <w:highlight w:val="none"/>
        </w:rPr>
      </w:pPr>
      <w:r>
        <w:rPr>
          <w:rFonts w:hint="eastAsia" w:ascii="仿宋" w:hAnsi="仿宋" w:eastAsia="仿宋"/>
          <w:color w:val="auto"/>
          <w:sz w:val="24"/>
          <w:szCs w:val="24"/>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p>
      <w:pPr>
        <w:ind w:left="562"/>
        <w:jc w:val="left"/>
        <w:keepLines w:val="0"/>
        <w:keepNext w:val="0"/>
        <w:pageBreakBefore w:val="0"/>
        <w:spacing w:before="120" w:after="62" w:line="460" w:lineRule="exact"/>
        <w:widowControl w:val="off"/>
        <w:rPr>
          <w:rFonts w:hint="eastAsia" w:ascii="Times New Roman" w:hAnsi="Times New Roman" w:eastAsia="仿宋" w:cs="Times New Roman"/>
          <w:b/>
          <w:color w:val="auto"/>
          <w:sz w:val="28"/>
          <w:szCs w:val="28"/>
          <w:highlight w:val="none"/>
        </w:rPr>
      </w:pPr>
      <w:r>
        <w:rPr>
          <w:rFonts w:hint="eastAsia" w:ascii="Times New Roman" w:hAnsi="Times New Roman" w:eastAsia="仿宋" w:cs="Times New Roman"/>
          <w:b/>
          <w:color w:val="auto"/>
          <w:sz w:val="28"/>
          <w:szCs w:val="28"/>
          <w:highlight w:val="none"/>
          <w:lang w:val="en-US" w:eastAsia="zh-CN"/>
        </w:rPr>
        <w:t xml:space="preserve">2.</w:t>
      </w:r>
      <w:r>
        <w:rPr>
          <w:rFonts w:hint="eastAsia" w:ascii="Times New Roman" w:hAnsi="Times New Roman" w:eastAsia="仿宋" w:cs="Times New Roman"/>
          <w:b/>
          <w:color w:val="auto"/>
          <w:sz w:val="28"/>
          <w:szCs w:val="28"/>
          <w:highlight w:val="none"/>
        </w:rPr>
        <w:t xml:space="preserve">技术分：</w:t>
      </w:r>
      <w:r>
        <w:rPr>
          <w:rFonts w:hint="eastAsia" w:eastAsia="仿宋" w:cs="Times New Roman"/>
          <w:b/>
          <w:color w:val="auto"/>
          <w:sz w:val="28"/>
          <w:szCs w:val="28"/>
          <w:highlight w:val="none"/>
          <w:lang w:val="en-US" w:eastAsia="zh-CN"/>
        </w:rPr>
        <w:t xml:space="preserve">26</w:t>
      </w:r>
      <w:r>
        <w:rPr>
          <w:rFonts w:hint="eastAsia" w:ascii="Times New Roman" w:hAnsi="Times New Roman" w:eastAsia="仿宋" w:cs="Times New Roman"/>
          <w:b/>
          <w:color w:val="auto"/>
          <w:sz w:val="28"/>
          <w:szCs w:val="28"/>
          <w:highlight w:val="none"/>
        </w:rPr>
        <w:t xml:space="preserve">分</w:t>
      </w:r>
      <w:r/>
    </w:p>
    <w:p>
      <w:pPr>
        <w:ind w:firstLine="560"/>
        <w:jc w:val="left"/>
        <w:keepLines w:val="0"/>
        <w:keepNext w:val="0"/>
        <w:pageBreakBefore w:val="0"/>
        <w:spacing w:before="120" w:after="62" w:line="460" w:lineRule="exact"/>
        <w:widowControl w:val="off"/>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 xml:space="preserve">各投标人得分为评委会成员评分的算术平均分，分值保留小数点后两位。</w:t>
      </w:r>
      <w:bookmarkEnd w:id="200"/>
      <w:r/>
      <w:r/>
    </w:p>
    <w:tbl>
      <w:tblPr>
        <w:tblStyle w:val="1101"/>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046"/>
        <w:gridCol w:w="898"/>
        <w:gridCol w:w="5189"/>
        <w:gridCol w:w="1138"/>
      </w:tblGrid>
      <w:tr>
        <w:trPr>
          <w:jc w:val="center"/>
        </w:trPr>
        <w:tc>
          <w:tcPr>
            <w:tcW w:w="898"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序号</w:t>
            </w:r>
            <w:r/>
          </w:p>
        </w:tc>
        <w:tc>
          <w:tcPr>
            <w:tcW w:w="0" w:type="auto"/>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评分点名称</w:t>
            </w:r>
            <w:r/>
          </w:p>
        </w:tc>
        <w:tc>
          <w:tcPr>
            <w:tcW w:w="898"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分值</w:t>
            </w:r>
            <w:r/>
          </w:p>
        </w:tc>
        <w:tc>
          <w:tcPr>
            <w:tcW w:w="5188"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评审标准</w:t>
            </w:r>
            <w:r/>
          </w:p>
        </w:tc>
        <w:tc>
          <w:tcPr>
            <w:tcW w:w="1138" w:type="dxa"/>
            <w:vAlign w:val="center"/>
            <w:textDirection w:val="lrTb"/>
            <w:noWrap w:val="false"/>
          </w:tcPr>
          <w:p>
            <w:pPr>
              <w:ind w:left="0" w:right="0" w:firstLine="0"/>
              <w:jc w:val="center"/>
              <w:spacing w:after="62" w:line="240" w:lineRule="auto"/>
              <w:rPr>
                <w:rFonts w:hint="eastAsia" w:ascii="Times New Roman" w:hAnsi="Times New Roman" w:eastAsia="方正公文仿宋" w:cs="Times New Roman"/>
                <w:color w:val="auto"/>
                <w:sz w:val="24"/>
                <w:highlight w:val="none"/>
                <w:lang w:val="en-US" w:eastAsia="zh-CN"/>
              </w:rPr>
            </w:pPr>
            <w:r>
              <w:rPr>
                <w:rFonts w:hint="eastAsia" w:eastAsia="方正公文仿宋" w:cs="Times New Roman"/>
                <w:color w:val="auto"/>
                <w:sz w:val="24"/>
                <w:highlight w:val="none"/>
                <w:lang w:val="en-US" w:eastAsia="zh-CN"/>
              </w:rPr>
              <w:t xml:space="preserve">主/客观分</w:t>
            </w:r>
            <w:r/>
          </w:p>
        </w:tc>
      </w:tr>
      <w:tr>
        <w:trPr>
          <w:jc w:val="center"/>
        </w:trPr>
        <w:tc>
          <w:tcPr>
            <w:shd w:val="clear" w:color="auto" w:fill="auto"/>
            <w:tcW w:w="898" w:type="dxa"/>
            <w:vAlign w:val="center"/>
            <w:textDirection w:val="lrTb"/>
            <w:noWrap w:val="false"/>
          </w:tcPr>
          <w:p>
            <w:pPr>
              <w:ind w:left="0" w:right="0" w:firstLine="0"/>
              <w:jc w:val="center"/>
              <w:spacing w:after="62" w:line="240" w:lineRule="auto"/>
              <w:rPr>
                <w:rFonts w:hint="default" w:eastAsia="方正公文仿宋" w:cs="Times New Roman"/>
                <w:color w:val="auto"/>
                <w:sz w:val="24"/>
                <w:highlight w:val="none"/>
                <w:lang w:val="en-US" w:eastAsia="zh-CN"/>
              </w:rPr>
            </w:pPr>
            <w:r>
              <w:rPr>
                <w:rFonts w:hint="eastAsia" w:eastAsia="方正公文仿宋" w:cs="Times New Roman"/>
                <w:color w:val="auto"/>
                <w:sz w:val="24"/>
                <w:highlight w:val="none"/>
                <w:lang w:val="en-US" w:eastAsia="zh-CN"/>
              </w:rPr>
              <w:t xml:space="preserve">1</w:t>
            </w:r>
            <w:r/>
          </w:p>
        </w:tc>
        <w:tc>
          <w:tcPr>
            <w:shd w:val="clear" w:color="auto" w:fill="auto"/>
            <w:tcW w:w="0" w:type="auto"/>
            <w:vAlign w:val="center"/>
            <w:textDirection w:val="lrTb"/>
            <w:noWrap w:val="false"/>
          </w:tcPr>
          <w:p>
            <w:pPr>
              <w:ind w:left="0" w:right="0" w:firstLine="0"/>
              <w:jc w:val="center"/>
              <w:spacing w:after="62" w:line="240" w:lineRule="auto"/>
              <w:rPr>
                <w:rFonts w:hint="eastAsia" w:ascii="Times New Roman" w:hAnsi="Times New Roman" w:eastAsia="方正公文仿宋" w:cs="Times New Roman"/>
                <w:color w:val="auto"/>
                <w:sz w:val="24"/>
                <w:szCs w:val="22"/>
                <w:highlight w:val="none"/>
                <w:lang w:eastAsia="zh-CN"/>
              </w:rPr>
            </w:pPr>
            <w:r>
              <w:rPr>
                <w:rFonts w:hint="eastAsia" w:ascii="Times New Roman" w:hAnsi="Times New Roman" w:eastAsia="方正公文仿宋" w:cs="Times New Roman"/>
                <w:color w:val="auto"/>
                <w:sz w:val="24"/>
                <w:szCs w:val="22"/>
                <w:highlight w:val="none"/>
                <w:lang w:eastAsia="zh-CN"/>
              </w:rPr>
              <w:t xml:space="preserve">产品认证证书及检测报告</w:t>
            </w:r>
            <w:r/>
          </w:p>
        </w:tc>
        <w:tc>
          <w:tcPr>
            <w:shd w:val="clear" w:color="auto" w:fill="auto"/>
            <w:tcW w:w="898" w:type="dxa"/>
            <w:vAlign w:val="center"/>
            <w:textDirection w:val="lrTb"/>
            <w:noWrap w:val="false"/>
          </w:tcPr>
          <w:p>
            <w:pPr>
              <w:ind w:left="0" w:right="0" w:firstLine="0"/>
              <w:jc w:val="center"/>
              <w:spacing w:after="62" w:line="240" w:lineRule="auto"/>
              <w:rPr>
                <w:rFonts w:hint="default" w:eastAsia="方正公文仿宋" w:cs="Times New Roman"/>
                <w:color w:val="auto"/>
                <w:sz w:val="24"/>
                <w:highlight w:val="none"/>
                <w:lang w:val="en-US" w:eastAsia="zh-CN"/>
              </w:rPr>
            </w:pPr>
            <w:r>
              <w:rPr>
                <w:rFonts w:hint="eastAsia" w:eastAsia="方正公文仿宋" w:cs="Times New Roman"/>
                <w:color w:val="auto"/>
                <w:sz w:val="24"/>
                <w:highlight w:val="none"/>
                <w:lang w:val="en-US" w:eastAsia="zh-CN"/>
              </w:rPr>
              <w:t xml:space="preserve">5</w:t>
            </w:r>
            <w:r/>
          </w:p>
        </w:tc>
        <w:tc>
          <w:tcPr>
            <w:shd w:val="clear" w:color="auto" w:fill="auto"/>
            <w:tcW w:w="5188" w:type="dxa"/>
            <w:vAlign w:val="center"/>
            <w:textDirection w:val="lrTb"/>
            <w:noWrap w:val="false"/>
          </w:tcPr>
          <w:p>
            <w:pPr>
              <w:keepLines w:val="0"/>
              <w:keepNext w:val="0"/>
              <w:pageBreakBefore w:val="0"/>
              <w:spacing w:after="0" w:line="360" w:lineRule="exact"/>
              <w:widowControl w:val="off"/>
              <w:rPr>
                <w:rFonts w:hint="eastAsia" w:ascii="Times New Roman" w:hAnsi="Times New Roman" w:eastAsia="方正公文仿宋" w:cs="Times New Roman"/>
                <w:color w:val="auto"/>
                <w:sz w:val="24"/>
                <w:szCs w:val="22"/>
                <w:highlight w:val="none"/>
                <w:lang w:eastAsia="zh-CN"/>
              </w:rPr>
            </w:pPr>
            <w:r>
              <w:rPr>
                <w:rFonts w:hint="eastAsia" w:ascii="Times New Roman" w:hAnsi="Times New Roman" w:eastAsia="方正公文仿宋" w:cs="Times New Roman"/>
                <w:b/>
                <w:bCs/>
                <w:color w:val="auto"/>
                <w:sz w:val="24"/>
                <w:highlight w:val="none"/>
              </w:rPr>
              <w:t xml:space="preserve">技术参数中所有带</w:t>
            </w:r>
            <w:r>
              <w:rPr>
                <w:rFonts w:hint="eastAsia" w:ascii="仿宋" w:hAnsi="仿宋" w:eastAsia="仿宋" w:cs="仿宋"/>
                <w:b/>
                <w:bCs/>
                <w:color w:val="auto"/>
                <w:sz w:val="24"/>
                <w:szCs w:val="24"/>
                <w:highlight w:val="none"/>
                <w:lang w:bidi="ar"/>
              </w:rPr>
              <w:t xml:space="preserve">▲</w:t>
            </w:r>
            <w:r>
              <w:rPr>
                <w:rFonts w:hint="eastAsia" w:ascii="Times New Roman" w:hAnsi="Times New Roman" w:eastAsia="方正公文仿宋" w:cs="Times New Roman"/>
                <w:b/>
                <w:bCs/>
                <w:color w:val="auto"/>
                <w:sz w:val="24"/>
                <w:highlight w:val="none"/>
              </w:rPr>
              <w:t xml:space="preserve">的条款，投标时</w:t>
            </w:r>
            <w:r>
              <w:rPr>
                <w:rFonts w:hint="eastAsia" w:ascii="Times New Roman" w:hAnsi="Times New Roman" w:eastAsia="方正公文仿宋" w:cs="Times New Roman"/>
                <w:b/>
                <w:bCs/>
                <w:color w:val="auto"/>
                <w:sz w:val="24"/>
                <w:highlight w:val="none"/>
                <w:lang w:val="en-US" w:eastAsia="zh-CN"/>
              </w:rPr>
              <w:t xml:space="preserve">按技术参数中的要求提供对应材料：</w:t>
            </w:r>
            <w:r/>
          </w:p>
          <w:p>
            <w:pPr>
              <w:ind w:left="0" w:right="0" w:firstLine="0"/>
              <w:spacing w:after="62" w:line="240" w:lineRule="auto"/>
              <w:rPr>
                <w:rFonts w:hint="eastAsia" w:ascii="Times New Roman" w:hAnsi="Times New Roman" w:eastAsia="方正公文仿宋" w:cs="Times New Roman"/>
                <w:color w:val="auto"/>
                <w:sz w:val="24"/>
                <w:szCs w:val="22"/>
                <w:highlight w:val="none"/>
                <w:lang w:eastAsia="zh-CN"/>
              </w:rPr>
            </w:pPr>
            <w:r>
              <w:rPr>
                <w:rFonts w:hint="eastAsia" w:ascii="Times New Roman" w:hAnsi="Times New Roman" w:eastAsia="方正公文仿宋" w:cs="Times New Roman"/>
                <w:color w:val="auto"/>
                <w:sz w:val="24"/>
                <w:szCs w:val="22"/>
                <w:highlight w:val="none"/>
                <w:lang w:eastAsia="zh-CN"/>
              </w:rPr>
              <w:t xml:space="preserve">1.燃气大锅灶（1000大锅）：热效率在满足能效等级为一级的前提下，具备CMA或CNAS认证检测报告且满足更高指标的。</w:t>
            </w:r>
            <w:r/>
          </w:p>
          <w:p>
            <w:pPr>
              <w:ind w:left="0" w:right="0" w:firstLine="0"/>
              <w:spacing w:after="62" w:line="240" w:lineRule="auto"/>
              <w:rPr>
                <w:rFonts w:hint="eastAsia" w:ascii="Times New Roman" w:hAnsi="Times New Roman" w:eastAsia="方正公文仿宋" w:cs="Times New Roman"/>
                <w:color w:val="auto"/>
                <w:sz w:val="24"/>
                <w:szCs w:val="22"/>
                <w:highlight w:val="none"/>
                <w:lang w:eastAsia="zh-CN"/>
              </w:rPr>
            </w:pPr>
            <w:r>
              <w:rPr>
                <w:rFonts w:hint="eastAsia" w:ascii="Times New Roman" w:hAnsi="Times New Roman" w:eastAsia="方正公文仿宋" w:cs="Times New Roman"/>
                <w:color w:val="auto"/>
                <w:sz w:val="24"/>
                <w:szCs w:val="22"/>
                <w:highlight w:val="none"/>
                <w:lang w:eastAsia="zh-CN"/>
              </w:rPr>
              <w:t xml:space="preserve">①热效率≥74%，得</w:t>
            </w:r>
            <w:r>
              <w:rPr>
                <w:rFonts w:hint="eastAsia" w:ascii="Times New Roman" w:hAnsi="Times New Roman" w:eastAsia="方正公文仿宋" w:cs="Times New Roman"/>
                <w:color w:val="auto"/>
                <w:sz w:val="24"/>
                <w:szCs w:val="22"/>
                <w:highlight w:val="none"/>
                <w:lang w:val="en-US" w:eastAsia="zh-CN"/>
              </w:rPr>
              <w:t xml:space="preserve">2</w:t>
            </w:r>
            <w:r>
              <w:rPr>
                <w:rFonts w:hint="eastAsia" w:ascii="Times New Roman" w:hAnsi="Times New Roman" w:eastAsia="方正公文仿宋" w:cs="Times New Roman"/>
                <w:color w:val="auto"/>
                <w:sz w:val="24"/>
                <w:szCs w:val="22"/>
                <w:highlight w:val="none"/>
                <w:lang w:eastAsia="zh-CN"/>
              </w:rPr>
              <w:t xml:space="preserve">分；热效率＞65%，得</w:t>
            </w:r>
            <w:r>
              <w:rPr>
                <w:rFonts w:hint="eastAsia" w:ascii="Times New Roman" w:hAnsi="Times New Roman" w:eastAsia="方正公文仿宋" w:cs="Times New Roman"/>
                <w:color w:val="auto"/>
                <w:sz w:val="24"/>
                <w:szCs w:val="22"/>
                <w:highlight w:val="none"/>
                <w:lang w:val="en-US" w:eastAsia="zh-CN"/>
              </w:rPr>
              <w:t xml:space="preserve">1</w:t>
            </w:r>
            <w:r>
              <w:rPr>
                <w:rFonts w:hint="eastAsia" w:ascii="Times New Roman" w:hAnsi="Times New Roman" w:eastAsia="方正公文仿宋" w:cs="Times New Roman"/>
                <w:color w:val="auto"/>
                <w:sz w:val="24"/>
                <w:szCs w:val="22"/>
                <w:highlight w:val="none"/>
                <w:lang w:eastAsia="zh-CN"/>
              </w:rPr>
              <w:t xml:space="preserve">分，否则得0分；</w:t>
            </w:r>
            <w:r/>
          </w:p>
          <w:p>
            <w:pPr>
              <w:ind w:left="0" w:right="0" w:firstLine="0"/>
              <w:spacing w:after="62" w:line="240" w:lineRule="auto"/>
              <w:rPr>
                <w:rFonts w:hint="eastAsia" w:ascii="Times New Roman" w:hAnsi="Times New Roman" w:eastAsia="方正公文仿宋" w:cs="Times New Roman"/>
                <w:color w:val="auto"/>
                <w:sz w:val="24"/>
                <w:szCs w:val="22"/>
                <w:highlight w:val="none"/>
                <w:lang w:eastAsia="zh-CN"/>
              </w:rPr>
            </w:pPr>
            <w:r>
              <w:rPr>
                <w:rFonts w:hint="eastAsia" w:ascii="Times New Roman" w:hAnsi="Times New Roman" w:eastAsia="方正公文仿宋" w:cs="Times New Roman"/>
                <w:color w:val="auto"/>
                <w:sz w:val="24"/>
                <w:szCs w:val="22"/>
                <w:highlight w:val="none"/>
                <w:lang w:eastAsia="zh-CN"/>
              </w:rPr>
              <w:t xml:space="preserve">②设备有自动燃烧器控制系统的，得1分，否则得0分。提供产品功能说明书或满足此项功能的承诺函（格式自拟）。</w:t>
            </w:r>
            <w:r/>
          </w:p>
          <w:p>
            <w:pPr>
              <w:ind w:left="0" w:right="0" w:firstLine="0"/>
              <w:spacing w:after="62" w:line="240" w:lineRule="auto"/>
              <w:rPr>
                <w:rFonts w:hint="eastAsia" w:ascii="Times New Roman" w:hAnsi="Times New Roman" w:eastAsia="方正公文仿宋" w:cs="Times New Roman"/>
                <w:color w:val="auto"/>
                <w:sz w:val="24"/>
                <w:szCs w:val="22"/>
                <w:highlight w:val="none"/>
                <w:lang w:eastAsia="zh-CN"/>
              </w:rPr>
            </w:pPr>
            <w:r>
              <w:rPr>
                <w:rFonts w:hint="eastAsia" w:ascii="Times New Roman" w:hAnsi="Times New Roman" w:eastAsia="方正公文仿宋" w:cs="Times New Roman"/>
                <w:color w:val="auto"/>
                <w:sz w:val="24"/>
                <w:szCs w:val="22"/>
                <w:highlight w:val="none"/>
                <w:lang w:eastAsia="zh-CN"/>
              </w:rPr>
              <w:t xml:space="preserve">本项最高</w:t>
            </w:r>
            <w:r>
              <w:rPr>
                <w:rFonts w:hint="eastAsia" w:ascii="Times New Roman" w:hAnsi="Times New Roman" w:eastAsia="方正公文仿宋" w:cs="Times New Roman"/>
                <w:color w:val="auto"/>
                <w:sz w:val="24"/>
                <w:szCs w:val="22"/>
                <w:highlight w:val="none"/>
                <w:lang w:val="en-US" w:eastAsia="zh-CN"/>
              </w:rPr>
              <w:t xml:space="preserve">3</w:t>
            </w:r>
            <w:r>
              <w:rPr>
                <w:rFonts w:hint="eastAsia" w:ascii="Times New Roman" w:hAnsi="Times New Roman" w:eastAsia="方正公文仿宋" w:cs="Times New Roman"/>
                <w:color w:val="auto"/>
                <w:sz w:val="24"/>
                <w:szCs w:val="22"/>
                <w:highlight w:val="none"/>
                <w:lang w:eastAsia="zh-CN"/>
              </w:rPr>
              <w:t xml:space="preserve">分。</w:t>
            </w:r>
            <w:r/>
          </w:p>
          <w:p>
            <w:pPr>
              <w:ind w:left="0" w:right="0" w:firstLine="0"/>
              <w:spacing w:after="62" w:line="240" w:lineRule="auto"/>
              <w:rPr>
                <w:rFonts w:hint="eastAsia" w:ascii="Times New Roman" w:hAnsi="Times New Roman" w:eastAsia="方正公文仿宋" w:cs="Times New Roman"/>
                <w:color w:val="auto"/>
                <w:sz w:val="24"/>
                <w:szCs w:val="22"/>
                <w:highlight w:val="none"/>
                <w:lang w:eastAsia="zh-CN"/>
              </w:rPr>
            </w:pPr>
            <w:r>
              <w:rPr>
                <w:rFonts w:hint="eastAsia" w:ascii="Times New Roman" w:hAnsi="Times New Roman" w:eastAsia="方正公文仿宋" w:cs="Times New Roman"/>
                <w:color w:val="auto"/>
                <w:sz w:val="24"/>
                <w:szCs w:val="22"/>
                <w:highlight w:val="none"/>
                <w:lang w:val="en-US" w:eastAsia="zh-CN"/>
              </w:rPr>
              <w:t xml:space="preserve">2</w:t>
            </w:r>
            <w:r>
              <w:rPr>
                <w:rFonts w:hint="eastAsia" w:ascii="Times New Roman" w:hAnsi="Times New Roman" w:eastAsia="方正公文仿宋" w:cs="Times New Roman"/>
                <w:color w:val="auto"/>
                <w:sz w:val="24"/>
                <w:szCs w:val="22"/>
                <w:highlight w:val="none"/>
                <w:lang w:eastAsia="zh-CN"/>
              </w:rPr>
              <w:t xml:space="preserve">全自动长龙式洗碗机：有商用洗碗机洗净性能认证证书扫描件证明，提供“全国认证认可信息公共服务平台”查询截图的，得</w:t>
            </w:r>
            <w:r>
              <w:rPr>
                <w:rFonts w:hint="eastAsia" w:ascii="Times New Roman" w:hAnsi="Times New Roman" w:eastAsia="方正公文仿宋" w:cs="Times New Roman"/>
                <w:color w:val="auto"/>
                <w:sz w:val="24"/>
                <w:szCs w:val="22"/>
                <w:highlight w:val="none"/>
                <w:lang w:val="en-US" w:eastAsia="zh-CN"/>
              </w:rPr>
              <w:t xml:space="preserve">1</w:t>
            </w:r>
            <w:r>
              <w:rPr>
                <w:rFonts w:hint="eastAsia" w:ascii="Times New Roman" w:hAnsi="Times New Roman" w:eastAsia="方正公文仿宋" w:cs="Times New Roman"/>
                <w:color w:val="auto"/>
                <w:sz w:val="24"/>
                <w:szCs w:val="22"/>
                <w:highlight w:val="none"/>
                <w:lang w:eastAsia="zh-CN"/>
              </w:rPr>
              <w:t xml:space="preserve">分，否则得0分。本项最高</w:t>
            </w:r>
            <w:r>
              <w:rPr>
                <w:rFonts w:hint="eastAsia" w:ascii="Times New Roman" w:hAnsi="Times New Roman" w:eastAsia="方正公文仿宋" w:cs="Times New Roman"/>
                <w:color w:val="auto"/>
                <w:sz w:val="24"/>
                <w:szCs w:val="22"/>
                <w:highlight w:val="none"/>
                <w:lang w:val="en-US" w:eastAsia="zh-CN"/>
              </w:rPr>
              <w:t xml:space="preserve">1</w:t>
            </w:r>
            <w:r>
              <w:rPr>
                <w:rFonts w:hint="eastAsia" w:ascii="Times New Roman" w:hAnsi="Times New Roman" w:eastAsia="方正公文仿宋" w:cs="Times New Roman"/>
                <w:color w:val="auto"/>
                <w:sz w:val="24"/>
                <w:szCs w:val="22"/>
                <w:highlight w:val="none"/>
                <w:lang w:eastAsia="zh-CN"/>
              </w:rPr>
              <w:t xml:space="preserve">分。</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eastAsia" w:ascii="Times New Roman" w:hAnsi="Times New Roman" w:eastAsia="方正公文仿宋" w:cs="Times New Roman"/>
                <w:color w:val="auto"/>
                <w:sz w:val="24"/>
                <w:szCs w:val="22"/>
                <w:highlight w:val="none"/>
                <w:lang w:val="en-US" w:eastAsia="zh-CN"/>
              </w:rPr>
              <w:t xml:space="preserve">3.</w:t>
            </w:r>
            <w:r>
              <w:rPr>
                <w:rFonts w:hint="eastAsia" w:ascii="Times New Roman" w:hAnsi="Times New Roman" w:eastAsia="方正公文仿宋" w:cs="Times New Roman"/>
                <w:color w:val="auto"/>
                <w:sz w:val="24"/>
                <w:szCs w:val="22"/>
                <w:highlight w:val="none"/>
                <w:lang w:eastAsia="zh-CN"/>
              </w:rPr>
              <w:t xml:space="preserve">厨房灭火系统须具有有效消防产品认证证书，提供证书扫描件加盖投标人公章。得</w:t>
            </w:r>
            <w:r>
              <w:rPr>
                <w:rFonts w:hint="eastAsia" w:ascii="Times New Roman" w:hAnsi="Times New Roman" w:eastAsia="方正公文仿宋" w:cs="Times New Roman"/>
                <w:color w:val="auto"/>
                <w:sz w:val="24"/>
                <w:szCs w:val="22"/>
                <w:highlight w:val="none"/>
                <w:lang w:val="en-US" w:eastAsia="zh-CN"/>
              </w:rPr>
              <w:t xml:space="preserve">1</w:t>
            </w:r>
            <w:r>
              <w:rPr>
                <w:rFonts w:hint="eastAsia" w:ascii="Times New Roman" w:hAnsi="Times New Roman" w:eastAsia="方正公文仿宋" w:cs="Times New Roman"/>
                <w:color w:val="auto"/>
                <w:sz w:val="24"/>
                <w:szCs w:val="22"/>
                <w:highlight w:val="none"/>
                <w:lang w:eastAsia="zh-CN"/>
              </w:rPr>
              <w:t xml:space="preserve">分，否则得0分。本项最高</w:t>
            </w:r>
            <w:r>
              <w:rPr>
                <w:rFonts w:hint="eastAsia" w:ascii="Times New Roman" w:hAnsi="Times New Roman" w:eastAsia="方正公文仿宋" w:cs="Times New Roman"/>
                <w:color w:val="auto"/>
                <w:sz w:val="24"/>
                <w:szCs w:val="22"/>
                <w:highlight w:val="none"/>
                <w:lang w:val="en-US" w:eastAsia="zh-CN"/>
              </w:rPr>
              <w:t xml:space="preserve">1</w:t>
            </w:r>
            <w:r>
              <w:rPr>
                <w:rFonts w:hint="eastAsia" w:ascii="Times New Roman" w:hAnsi="Times New Roman" w:eastAsia="方正公文仿宋" w:cs="Times New Roman"/>
                <w:color w:val="auto"/>
                <w:sz w:val="24"/>
                <w:szCs w:val="22"/>
                <w:highlight w:val="none"/>
                <w:lang w:eastAsia="zh-CN"/>
              </w:rPr>
              <w:t xml:space="preserve">分。</w:t>
            </w:r>
            <w:r/>
          </w:p>
        </w:tc>
        <w:tc>
          <w:tcPr>
            <w:shd w:val="clear" w:color="auto" w:fill="auto"/>
            <w:tcW w:w="1138" w:type="dxa"/>
            <w:vAlign w:val="center"/>
            <w:textDirection w:val="lrTb"/>
            <w:noWrap w:val="false"/>
          </w:tcPr>
          <w:p>
            <w:pPr>
              <w:ind w:left="0" w:right="0" w:firstLine="0"/>
              <w:jc w:val="center"/>
              <w:spacing w:after="62" w:line="240" w:lineRule="auto"/>
              <w:rPr>
                <w:rFonts w:hint="eastAsia" w:eastAsia="方正公文仿宋" w:cs="Times New Roman"/>
                <w:color w:val="auto"/>
                <w:sz w:val="24"/>
                <w:highlight w:val="none"/>
                <w:lang w:val="en-US" w:eastAsia="zh-CN"/>
              </w:rPr>
            </w:pPr>
            <w:r>
              <w:rPr>
                <w:rFonts w:hint="eastAsia" w:eastAsia="方正公文仿宋" w:cs="Times New Roman"/>
                <w:color w:val="auto"/>
                <w:sz w:val="24"/>
                <w:highlight w:val="none"/>
                <w:lang w:val="en-US" w:eastAsia="zh-CN"/>
              </w:rPr>
              <w:t xml:space="preserve">客观分</w:t>
            </w:r>
            <w:r/>
          </w:p>
        </w:tc>
      </w:tr>
      <w:tr>
        <w:trPr>
          <w:jc w:val="center"/>
        </w:trPr>
        <w:tc>
          <w:tcPr>
            <w:shd w:val="clear" w:color="auto" w:fill="auto"/>
            <w:tcW w:w="898" w:type="dxa"/>
            <w:vAlign w:val="center"/>
            <w:textDirection w:val="lrTb"/>
            <w:noWrap w:val="false"/>
          </w:tcPr>
          <w:p>
            <w:pPr>
              <w:ind w:left="0" w:right="0" w:firstLine="0"/>
              <w:jc w:val="center"/>
              <w:spacing w:after="62" w:line="240" w:lineRule="auto"/>
              <w:rPr>
                <w:rFonts w:hint="eastAsia" w:ascii="Times New Roman" w:hAnsi="Times New Roman" w:eastAsia="方正公文仿宋" w:cs="Times New Roman"/>
                <w:color w:val="auto"/>
                <w:sz w:val="24"/>
                <w:szCs w:val="22"/>
                <w:highlight w:val="none"/>
                <w:lang w:val="en-US" w:eastAsia="zh-CN"/>
              </w:rPr>
            </w:pPr>
            <w:r>
              <w:rPr>
                <w:rFonts w:hint="eastAsia" w:eastAsia="方正公文仿宋" w:cs="Times New Roman"/>
                <w:color w:val="auto"/>
                <w:sz w:val="24"/>
                <w:highlight w:val="none"/>
                <w:lang w:val="en-US" w:eastAsia="zh-CN"/>
              </w:rPr>
              <w:t xml:space="preserve">2</w:t>
            </w:r>
            <w:r/>
          </w:p>
        </w:tc>
        <w:tc>
          <w:tcPr>
            <w:shd w:val="clear" w:color="auto" w:fill="auto"/>
            <w:tcW w:w="0" w:type="auto"/>
            <w:vAlign w:val="center"/>
            <w:textDirection w:val="lrTb"/>
            <w:noWrap w:val="false"/>
          </w:tcPr>
          <w:p>
            <w:pPr>
              <w:ind w:left="0" w:right="0" w:firstLine="0"/>
              <w:jc w:val="center"/>
              <w:spacing w:after="62" w:line="240" w:lineRule="auto"/>
              <w:rPr>
                <w:rFonts w:hint="default" w:ascii="Times New Roman" w:hAnsi="Times New Roman" w:eastAsia="方正公文仿宋" w:cs="Times New Roman"/>
                <w:b w:val="0"/>
                <w:bCs/>
                <w:color w:val="auto"/>
                <w:sz w:val="24"/>
                <w:szCs w:val="22"/>
                <w:highlight w:val="none"/>
                <w:lang w:eastAsia="zh-CN"/>
              </w:rPr>
            </w:pPr>
            <w:r>
              <w:rPr>
                <w:rFonts w:hint="eastAsia" w:ascii="Times New Roman" w:hAnsi="Times New Roman" w:eastAsia="方正公文仿宋" w:cs="Times New Roman"/>
                <w:color w:val="auto"/>
                <w:sz w:val="24"/>
                <w:szCs w:val="22"/>
                <w:highlight w:val="none"/>
                <w:lang w:eastAsia="zh-CN"/>
              </w:rPr>
              <w:t xml:space="preserve">深化设计并根据现场情况提供方案</w:t>
            </w:r>
            <w:r/>
          </w:p>
        </w:tc>
        <w:tc>
          <w:tcPr>
            <w:shd w:val="clear" w:color="auto" w:fill="auto"/>
            <w:tcW w:w="898" w:type="dxa"/>
            <w:vAlign w:val="center"/>
            <w:textDirection w:val="lrTb"/>
            <w:noWrap w:val="false"/>
          </w:tcPr>
          <w:p>
            <w:pPr>
              <w:ind w:left="0" w:right="0" w:firstLine="0"/>
              <w:jc w:val="center"/>
              <w:spacing w:after="62" w:line="240" w:lineRule="auto"/>
              <w:rPr>
                <w:rFonts w:hint="eastAsia" w:ascii="Times New Roman" w:hAnsi="Times New Roman" w:eastAsia="方正公文仿宋" w:cs="Times New Roman"/>
                <w:color w:val="auto"/>
                <w:sz w:val="24"/>
                <w:szCs w:val="22"/>
                <w:highlight w:val="none"/>
                <w:lang w:val="en-US" w:eastAsia="zh-CN"/>
              </w:rPr>
            </w:pPr>
            <w:r>
              <w:rPr>
                <w:rFonts w:hint="eastAsia" w:eastAsia="方正公文仿宋" w:cs="Times New Roman"/>
                <w:color w:val="auto"/>
                <w:sz w:val="24"/>
                <w:highlight w:val="none"/>
                <w:lang w:val="en-US" w:eastAsia="zh-CN"/>
              </w:rPr>
              <w:t xml:space="preserve">6</w:t>
            </w:r>
            <w:r/>
          </w:p>
        </w:tc>
        <w:tc>
          <w:tcPr>
            <w:shd w:val="clear" w:color="auto" w:fill="auto"/>
            <w:tcW w:w="5188" w:type="dxa"/>
            <w:vAlign w:val="center"/>
            <w:textDirection w:val="lrTb"/>
            <w:noWrap w:val="false"/>
          </w:tcPr>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为了采购人选择更优方案，投标人可以根据需求采购清单产品和技术参数配置，结合自行勘察现场的情况，提供学校的深化设计方案，深化设计方案能够提供涉及放置空间与安装的产品，在水、电、气这3方面的深化设计方案含优化建议（涉及到的费用均已包含）。方案至少应包括：①平面图；②水电位图；③电点位图；④燃气点位施工图等；⑤排烟系统图。</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评委根据各投标人提供的方案进行综合打分：</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方案全面内容完整，具体内容与本项目高度契合，布置点位可实施性强、便于实际操作管理，工艺流程和设施点位等符合消防安全和食药监等管理规范，优化意见针对性强且具有可操作性的，</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每项内容阐述合理、条理清晰、针对性强、切实可行且不存在瑕疵的得</w:t>
            </w:r>
            <w:r>
              <w:rPr>
                <w:rFonts w:hint="eastAsia" w:eastAsia="方正公文仿宋" w:cs="Times New Roman"/>
                <w:color w:val="auto"/>
                <w:sz w:val="24"/>
                <w:szCs w:val="22"/>
                <w:highlight w:val="none"/>
                <w:lang w:val="en-US" w:eastAsia="zh-CN"/>
              </w:rPr>
              <w:t xml:space="preserve">6</w:t>
            </w:r>
            <w:r>
              <w:rPr>
                <w:rFonts w:hint="default" w:ascii="Times New Roman" w:hAnsi="Times New Roman" w:eastAsia="方正公文仿宋" w:cs="Times New Roman"/>
                <w:color w:val="auto"/>
                <w:sz w:val="24"/>
                <w:szCs w:val="22"/>
                <w:highlight w:val="none"/>
                <w:lang w:eastAsia="zh-CN"/>
              </w:rPr>
              <w:t xml:space="preserve">分；</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存在1处瑕疵的得</w:t>
            </w:r>
            <w:r>
              <w:rPr>
                <w:rFonts w:hint="eastAsia" w:eastAsia="方正公文仿宋" w:cs="Times New Roman"/>
                <w:color w:val="auto"/>
                <w:sz w:val="24"/>
                <w:szCs w:val="22"/>
                <w:highlight w:val="none"/>
                <w:lang w:val="en-US" w:eastAsia="zh-CN"/>
              </w:rPr>
              <w:t xml:space="preserve">4</w:t>
            </w:r>
            <w:r>
              <w:rPr>
                <w:rFonts w:hint="default" w:ascii="Times New Roman" w:hAnsi="Times New Roman" w:eastAsia="方正公文仿宋" w:cs="Times New Roman"/>
                <w:color w:val="auto"/>
                <w:sz w:val="24"/>
                <w:szCs w:val="22"/>
                <w:highlight w:val="none"/>
                <w:lang w:eastAsia="zh-CN"/>
              </w:rPr>
              <w:t xml:space="preserve">分；</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存在2处瑕疵的得</w:t>
            </w:r>
            <w:r>
              <w:rPr>
                <w:rFonts w:hint="eastAsia" w:eastAsia="方正公文仿宋" w:cs="Times New Roman"/>
                <w:color w:val="auto"/>
                <w:sz w:val="24"/>
                <w:szCs w:val="22"/>
                <w:highlight w:val="none"/>
                <w:lang w:val="en-US" w:eastAsia="zh-CN"/>
              </w:rPr>
              <w:t xml:space="preserve">2</w:t>
            </w:r>
            <w:r>
              <w:rPr>
                <w:rFonts w:hint="default" w:ascii="Times New Roman" w:hAnsi="Times New Roman" w:eastAsia="方正公文仿宋" w:cs="Times New Roman"/>
                <w:color w:val="auto"/>
                <w:sz w:val="24"/>
                <w:szCs w:val="22"/>
                <w:highlight w:val="none"/>
                <w:lang w:eastAsia="zh-CN"/>
              </w:rPr>
              <w:t xml:space="preserve">分；</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未进行阐述或不满足采购需求或存在3处及以上瑕疵的得0分。</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未提供的不得分。</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注：以上所称“瑕疵”是指：</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①内容空洞，缺乏可量化的关键信息、具体措施或明确承诺；</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②未专门针对本项目的特点和需求，或机械套用其他项目模板而未作针对性修改；</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③ 对同一问题的表述前后矛盾，令评委无法确认其真实意图；</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④存在明显的逻辑漏洞、常识性错误或违背行业标准；</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⑤方案或承诺违背采购文件实质性要求，或在现有技术条件下不可能实现。</w:t>
            </w:r>
            <w:r/>
          </w:p>
          <w:p>
            <w:pPr>
              <w:ind w:left="0" w:right="0" w:firstLine="0"/>
              <w:spacing w:after="62" w:line="240" w:lineRule="auto"/>
              <w:rPr>
                <w:rFonts w:hint="default" w:ascii="Times New Roman" w:hAnsi="Times New Roman" w:eastAsia="方正公文仿宋" w:cs="Times New Roman"/>
                <w:color w:val="auto"/>
                <w:sz w:val="24"/>
                <w:szCs w:val="22"/>
                <w:highlight w:val="none"/>
                <w:lang w:eastAsia="zh-CN"/>
              </w:rPr>
            </w:pPr>
            <w:r>
              <w:rPr>
                <w:rFonts w:hint="default" w:ascii="Times New Roman" w:hAnsi="Times New Roman" w:eastAsia="方正公文仿宋" w:cs="Times New Roman"/>
                <w:color w:val="auto"/>
                <w:sz w:val="24"/>
                <w:szCs w:val="22"/>
                <w:highlight w:val="none"/>
                <w:lang w:eastAsia="zh-CN"/>
              </w:rPr>
              <w:t xml:space="preserve">未提供或不贴切项目要求的均不得分，本项最高得</w:t>
            </w:r>
            <w:r>
              <w:rPr>
                <w:rFonts w:hint="eastAsia" w:eastAsia="方正公文仿宋" w:cs="Times New Roman"/>
                <w:color w:val="auto"/>
                <w:sz w:val="24"/>
                <w:szCs w:val="22"/>
                <w:highlight w:val="none"/>
                <w:lang w:val="en-US" w:eastAsia="zh-CN"/>
              </w:rPr>
              <w:t xml:space="preserve">6</w:t>
            </w:r>
            <w:r>
              <w:rPr>
                <w:rFonts w:hint="default" w:ascii="Times New Roman" w:hAnsi="Times New Roman" w:eastAsia="方正公文仿宋" w:cs="Times New Roman"/>
                <w:color w:val="auto"/>
                <w:sz w:val="24"/>
                <w:szCs w:val="22"/>
                <w:highlight w:val="none"/>
                <w:lang w:eastAsia="zh-CN"/>
              </w:rPr>
              <w:t xml:space="preserve">分。</w:t>
            </w:r>
            <w:r/>
          </w:p>
        </w:tc>
        <w:tc>
          <w:tcPr>
            <w:shd w:val="clear" w:color="auto" w:fill="auto"/>
            <w:tcW w:w="1138" w:type="dxa"/>
            <w:vAlign w:val="center"/>
            <w:textDirection w:val="lrTb"/>
            <w:noWrap w:val="false"/>
          </w:tcPr>
          <w:p>
            <w:pPr>
              <w:ind w:left="0" w:right="0" w:firstLine="0"/>
              <w:jc w:val="center"/>
              <w:spacing w:after="62" w:line="240" w:lineRule="auto"/>
              <w:rPr>
                <w:rFonts w:hint="eastAsia" w:ascii="Times New Roman" w:hAnsi="Times New Roman" w:eastAsia="方正公文仿宋" w:cs="Times New Roman"/>
                <w:color w:val="auto"/>
                <w:sz w:val="24"/>
                <w:szCs w:val="22"/>
                <w:highlight w:val="none"/>
                <w:lang w:val="en-US" w:eastAsia="zh-CN"/>
              </w:rPr>
            </w:pPr>
            <w:r>
              <w:rPr>
                <w:rFonts w:hint="eastAsia" w:eastAsia="方正公文仿宋" w:cs="Times New Roman"/>
                <w:color w:val="auto"/>
                <w:sz w:val="24"/>
                <w:highlight w:val="none"/>
                <w:lang w:val="en-US" w:eastAsia="zh-CN"/>
              </w:rPr>
              <w:t xml:space="preserve">主观分</w:t>
            </w:r>
            <w:r/>
          </w:p>
        </w:tc>
      </w:tr>
      <w:tr>
        <w:trPr>
          <w:jc w:val="center"/>
        </w:trPr>
        <w:tc>
          <w:tcPr>
            <w:shd w:val="clear" w:color="auto" w:fill="auto"/>
            <w:tcW w:w="898" w:type="dxa"/>
            <w:vAlign w:val="center"/>
            <w:textDirection w:val="lrTb"/>
            <w:noWrap w:val="false"/>
          </w:tcPr>
          <w:p>
            <w:pPr>
              <w:ind w:left="0" w:right="0" w:firstLine="0"/>
              <w:jc w:val="center"/>
              <w:spacing w:after="62" w:line="240" w:lineRule="auto"/>
              <w:widowControl/>
              <w:rPr>
                <w:rFonts w:hint="default" w:ascii="Times New Roman" w:hAnsi="Times New Roman" w:eastAsia="方正公文仿宋" w:cs="Times New Roman"/>
                <w:color w:val="auto"/>
                <w:sz w:val="24"/>
                <w:szCs w:val="22"/>
                <w:highlight w:val="none"/>
                <w:lang w:val="en-US" w:eastAsia="zh-CN"/>
              </w:rPr>
            </w:pPr>
            <w:r>
              <w:rPr>
                <w:rFonts w:hint="eastAsia" w:eastAsia="方正公文仿宋" w:cs="Times New Roman"/>
                <w:color w:val="auto"/>
                <w:sz w:val="24"/>
                <w:szCs w:val="22"/>
                <w:highlight w:val="none"/>
                <w:lang w:val="en-US" w:eastAsia="zh-CN"/>
              </w:rPr>
              <w:t xml:space="preserve">3</w:t>
            </w:r>
            <w:r/>
          </w:p>
        </w:tc>
        <w:tc>
          <w:tcPr>
            <w:shd w:val="clear" w:color="auto" w:fill="auto"/>
            <w:tcW w:w="0" w:type="auto"/>
            <w:vAlign w:val="center"/>
            <w:textDirection w:val="lrTb"/>
            <w:noWrap w:val="false"/>
          </w:tcPr>
          <w:p>
            <w:pPr>
              <w:ind w:left="0" w:right="0" w:firstLine="0"/>
              <w:jc w:val="center"/>
              <w:spacing w:after="62" w:line="240" w:lineRule="auto"/>
              <w:widowControl/>
              <w:rPr>
                <w:rFonts w:hint="default" w:ascii="Times New Roman" w:hAnsi="Times New Roman" w:eastAsia="方正公文仿宋" w:cs="Times New Roman"/>
                <w:color w:val="auto"/>
                <w:sz w:val="24"/>
                <w:szCs w:val="22"/>
                <w:highlight w:val="none"/>
                <w:lang w:eastAsia="zh-CN"/>
              </w:rPr>
            </w:pPr>
            <w:r>
              <w:rPr>
                <w:rFonts w:hint="eastAsia" w:ascii="Times New Roman" w:hAnsi="Times New Roman" w:eastAsia="方正公文仿宋" w:cs="Times New Roman"/>
                <w:color w:val="auto"/>
                <w:sz w:val="24"/>
                <w:szCs w:val="24"/>
                <w:highlight w:val="none"/>
              </w:rPr>
              <w:t xml:space="preserve">质量延保</w:t>
            </w:r>
            <w:r/>
          </w:p>
        </w:tc>
        <w:tc>
          <w:tcPr>
            <w:shd w:val="clear" w:color="auto" w:fill="auto"/>
            <w:tcW w:w="898" w:type="dxa"/>
            <w:vAlign w:val="center"/>
            <w:textDirection w:val="lrTb"/>
            <w:noWrap w:val="false"/>
          </w:tcPr>
          <w:p>
            <w:pPr>
              <w:ind w:left="0" w:right="0" w:firstLine="0"/>
              <w:jc w:val="center"/>
              <w:spacing w:after="62" w:line="240" w:lineRule="auto"/>
              <w:widowControl/>
              <w:rPr>
                <w:rFonts w:hint="eastAsia" w:ascii="Times New Roman" w:hAnsi="Times New Roman" w:eastAsia="方正公文仿宋" w:cs="Times New Roman"/>
                <w:b/>
                <w:bCs/>
                <w:color w:val="auto"/>
                <w:sz w:val="24"/>
                <w:szCs w:val="22"/>
                <w:highlight w:val="none"/>
                <w:lang w:eastAsia="zh-CN"/>
              </w:rPr>
            </w:pPr>
            <w:r>
              <w:rPr>
                <w:rFonts w:hint="eastAsia" w:ascii="仿宋" w:hAnsi="仿宋" w:eastAsia="仿宋" w:cs="仿宋"/>
                <w:b/>
                <w:bCs/>
                <w:color w:val="auto"/>
                <w:sz w:val="24"/>
                <w:highlight w:val="none"/>
                <w:lang w:val="en-US" w:eastAsia="zh-CN"/>
              </w:rPr>
              <w:t xml:space="preserve">6</w:t>
            </w:r>
            <w:r/>
          </w:p>
        </w:tc>
        <w:tc>
          <w:tcPr>
            <w:shd w:val="clear" w:color="auto" w:fill="auto"/>
            <w:tcW w:w="5188" w:type="dxa"/>
            <w:vAlign w:val="center"/>
            <w:textDirection w:val="lrTb"/>
            <w:noWrap w:val="false"/>
          </w:tcPr>
          <w:p>
            <w:pPr>
              <w:pStyle w:val="1083"/>
              <w:ind w:left="0" w:right="0" w:firstLine="0"/>
              <w:keepLines w:val="0"/>
              <w:keepNext w:val="0"/>
              <w:pageBreakBefore w:val="0"/>
              <w:spacing w:before="157" w:after="0"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rPr>
              <w:t xml:space="preserve">在满足质保期的前提下，对本项目提供整体质量延保服务，提供承诺函，格式自拟，每延长1年，得3分，最高6分</w:t>
            </w:r>
            <w:r>
              <w:rPr>
                <w:rFonts w:hint="eastAsia" w:ascii="Times New Roman" w:hAnsi="Times New Roman" w:eastAsia="方正公文仿宋" w:cs="Times New Roman"/>
                <w:color w:val="auto"/>
                <w:sz w:val="24"/>
                <w:szCs w:val="24"/>
                <w:highlight w:val="none"/>
                <w:lang w:eastAsia="zh-CN"/>
              </w:rPr>
              <w:t xml:space="preserve">。</w:t>
            </w:r>
            <w:r/>
          </w:p>
        </w:tc>
        <w:tc>
          <w:tcPr>
            <w:shd w:val="clear" w:color="auto" w:fill="auto"/>
            <w:tcW w:w="1138" w:type="dxa"/>
            <w:vAlign w:val="center"/>
            <w:textDirection w:val="lrTb"/>
            <w:noWrap w:val="false"/>
          </w:tcPr>
          <w:p>
            <w:pPr>
              <w:pStyle w:val="1083"/>
              <w:ind w:left="0" w:right="0" w:firstLine="0"/>
              <w:jc w:val="center"/>
              <w:spacing w:after="62" w:line="240" w:lineRule="auto"/>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val="en-US" w:eastAsia="zh-CN"/>
              </w:rPr>
              <w:t xml:space="preserve">客观分</w:t>
            </w:r>
            <w:r/>
          </w:p>
        </w:tc>
      </w:tr>
      <w:tr>
        <w:trPr>
          <w:jc w:val="center"/>
        </w:trPr>
        <w:tc>
          <w:tcPr>
            <w:shd w:val="clear" w:color="auto" w:fill="auto"/>
            <w:tcW w:w="898" w:type="dxa"/>
            <w:vAlign w:val="center"/>
            <w:textDirection w:val="lrTb"/>
            <w:noWrap w:val="false"/>
          </w:tcPr>
          <w:p>
            <w:pPr>
              <w:ind w:left="0" w:right="0" w:firstLine="0"/>
              <w:jc w:val="center"/>
              <w:spacing w:after="62" w:line="240" w:lineRule="auto"/>
              <w:rPr>
                <w:rFonts w:hint="default" w:ascii="Times New Roman" w:hAnsi="Times New Roman" w:eastAsia="方正公文仿宋" w:cs="Times New Roman"/>
                <w:color w:val="auto"/>
                <w:sz w:val="24"/>
                <w:szCs w:val="22"/>
                <w:highlight w:val="none"/>
                <w:lang w:val="en-US" w:eastAsia="zh-CN"/>
              </w:rPr>
            </w:pPr>
            <w:r>
              <w:rPr>
                <w:rFonts w:hint="eastAsia" w:eastAsia="方正公文仿宋" w:cs="Times New Roman"/>
                <w:color w:val="auto"/>
                <w:sz w:val="24"/>
                <w:szCs w:val="22"/>
                <w:highlight w:val="none"/>
                <w:lang w:val="en-US" w:eastAsia="zh-CN"/>
              </w:rPr>
              <w:t xml:space="preserve">4</w:t>
            </w:r>
            <w:r/>
          </w:p>
        </w:tc>
        <w:tc>
          <w:tcPr>
            <w:shd w:val="clear" w:color="auto" w:fill="auto"/>
            <w:tcW w:w="0" w:type="auto"/>
            <w:vAlign w:val="center"/>
            <w:textDirection w:val="lrTb"/>
            <w:noWrap w:val="false"/>
          </w:tcPr>
          <w:p>
            <w:pPr>
              <w:ind w:left="0" w:right="0" w:firstLine="0"/>
              <w:jc w:val="center"/>
              <w:spacing w:after="62" w:line="240" w:lineRule="auto"/>
              <w:rPr>
                <w:rFonts w:hint="default" w:ascii="Times New Roman" w:hAnsi="Times New Roman" w:eastAsia="方正公文仿宋" w:cs="Times New Roman"/>
                <w:color w:val="auto"/>
                <w:sz w:val="24"/>
                <w:szCs w:val="22"/>
                <w:highlight w:val="none"/>
                <w:lang w:eastAsia="zh-CN"/>
              </w:rPr>
            </w:pPr>
            <w:r>
              <w:rPr>
                <w:rFonts w:ascii="Times New Roman" w:hAnsi="Times New Roman" w:eastAsia="方正公文仿宋" w:cs="Times New Roman"/>
                <w:color w:val="auto"/>
                <w:sz w:val="24"/>
                <w:highlight w:val="none"/>
              </w:rPr>
              <w:t xml:space="preserve">业绩</w:t>
            </w:r>
            <w:r/>
          </w:p>
        </w:tc>
        <w:tc>
          <w:tcPr>
            <w:shd w:val="clear" w:color="auto" w:fill="auto"/>
            <w:tcW w:w="898" w:type="dxa"/>
            <w:vAlign w:val="center"/>
            <w:textDirection w:val="lrTb"/>
            <w:noWrap w:val="false"/>
          </w:tcPr>
          <w:p>
            <w:pPr>
              <w:ind w:left="0" w:right="0" w:firstLine="0"/>
              <w:jc w:val="center"/>
              <w:spacing w:after="62" w:line="240" w:lineRule="auto"/>
              <w:rPr>
                <w:rFonts w:hint="eastAsia" w:ascii="Times New Roman" w:hAnsi="Times New Roman" w:eastAsia="方正公文仿宋" w:cs="Times New Roman"/>
                <w:color w:val="auto"/>
                <w:sz w:val="24"/>
                <w:szCs w:val="22"/>
                <w:highlight w:val="none"/>
                <w:lang w:eastAsia="zh-CN"/>
              </w:rPr>
            </w:pPr>
            <w:r>
              <w:rPr>
                <w:rFonts w:hint="eastAsia" w:eastAsia="方正公文仿宋" w:cs="Times New Roman"/>
                <w:color w:val="auto"/>
                <w:sz w:val="24"/>
                <w:highlight w:val="none"/>
                <w:lang w:val="en-US" w:eastAsia="zh-CN"/>
              </w:rPr>
              <w:t xml:space="preserve">5</w:t>
            </w:r>
            <w:r/>
          </w:p>
        </w:tc>
        <w:tc>
          <w:tcPr>
            <w:shd w:val="clear" w:color="auto" w:fill="auto"/>
            <w:tcW w:w="5188" w:type="dxa"/>
            <w:vAlign w:val="top"/>
            <w:textDirection w:val="lrTb"/>
            <w:noWrap w:val="false"/>
          </w:tcPr>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投标人2022 年1月1日（以合同签订时间为准）以来与本次采购类似项目业绩，每提供1个业绩得</w:t>
            </w:r>
            <w:r>
              <w:rPr>
                <w:rFonts w:hint="eastAsia" w:ascii="Times New Roman" w:hAnsi="Times New Roman" w:eastAsia="方正公文仿宋" w:cs="Times New Roman"/>
                <w:color w:val="auto"/>
                <w:sz w:val="24"/>
                <w:szCs w:val="24"/>
                <w:highlight w:val="none"/>
                <w:lang w:val="en-US" w:eastAsia="zh-CN"/>
              </w:rPr>
              <w:t xml:space="preserve">2.5</w:t>
            </w:r>
            <w:r>
              <w:rPr>
                <w:rFonts w:hint="eastAsia" w:ascii="Times New Roman" w:hAnsi="Times New Roman" w:eastAsia="方正公文仿宋" w:cs="Times New Roman"/>
                <w:color w:val="auto"/>
                <w:sz w:val="24"/>
                <w:szCs w:val="24"/>
                <w:highlight w:val="none"/>
              </w:rPr>
              <w:t xml:space="preserve">分，最多</w:t>
            </w:r>
            <w:r>
              <w:rPr>
                <w:rFonts w:hint="eastAsia" w:ascii="Times New Roman" w:hAnsi="Times New Roman" w:eastAsia="方正公文仿宋" w:cs="Times New Roman"/>
                <w:color w:val="auto"/>
                <w:sz w:val="24"/>
                <w:szCs w:val="24"/>
                <w:highlight w:val="none"/>
                <w:lang w:val="en-US" w:eastAsia="zh-CN"/>
              </w:rPr>
              <w:t xml:space="preserve">5</w:t>
            </w:r>
            <w:r>
              <w:rPr>
                <w:rFonts w:hint="eastAsia" w:ascii="Times New Roman" w:hAnsi="Times New Roman" w:eastAsia="方正公文仿宋" w:cs="Times New Roman"/>
                <w:color w:val="auto"/>
                <w:sz w:val="24"/>
                <w:szCs w:val="24"/>
                <w:highlight w:val="none"/>
              </w:rPr>
              <w:t xml:space="preserve">分。</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每个业绩须同时提供：</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①有效销售合同扫描件（如合同无法体现类似采购内容，则需另外提供采购单位盖章的采购清单或证明材料），</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②不少于合同价60%的结算发票复印件加盖公章</w:t>
            </w:r>
            <w:r>
              <w:rPr>
                <w:rFonts w:hint="eastAsia" w:ascii="Times New Roman" w:hAnsi="Times New Roman" w:eastAsia="方正公文仿宋" w:cs="Times New Roman"/>
                <w:color w:val="auto"/>
                <w:sz w:val="24"/>
                <w:szCs w:val="24"/>
                <w:highlight w:val="none"/>
                <w:lang w:eastAsia="zh-CN"/>
              </w:rPr>
              <w:t xml:space="preserve">。</w:t>
            </w:r>
            <w:r/>
          </w:p>
          <w:p>
            <w:pPr>
              <w:pStyle w:val="1083"/>
              <w:ind w:left="0" w:right="0" w:firstLine="0"/>
              <w:keepLines w:val="0"/>
              <w:keepNext w:val="0"/>
              <w:pageBreakBefore w:val="0"/>
              <w:spacing w:after="62" w:line="240" w:lineRule="auto"/>
              <w:widowControl w:val="off"/>
              <w:rPr>
                <w:rFonts w:hint="default"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rPr>
              <w:t xml:space="preserve">注：中标后三日内提供原件核查，核查后发现虚假提供的，依照相关法律法规规定处理。</w:t>
            </w:r>
            <w:r/>
          </w:p>
        </w:tc>
        <w:tc>
          <w:tcPr>
            <w:shd w:val="clear" w:color="auto" w:fill="auto"/>
            <w:tcW w:w="1138" w:type="dxa"/>
            <w:vAlign w:val="center"/>
            <w:textDirection w:val="lrTb"/>
            <w:noWrap w:val="false"/>
          </w:tcPr>
          <w:p>
            <w:pPr>
              <w:ind w:left="0" w:right="0" w:firstLine="0"/>
              <w:jc w:val="center"/>
              <w:spacing w:after="62" w:line="240" w:lineRule="auto"/>
              <w:widowControl/>
              <w:rPr>
                <w:rFonts w:hint="default" w:ascii="Times New Roman" w:hAnsi="Times New Roman" w:eastAsia="方正公文仿宋" w:cs="Times New Roman"/>
                <w:color w:val="auto"/>
                <w:sz w:val="24"/>
                <w:szCs w:val="22"/>
                <w:highlight w:val="none"/>
                <w:lang w:eastAsia="zh-CN"/>
              </w:rPr>
            </w:pPr>
            <w:r>
              <w:rPr>
                <w:rFonts w:ascii="Times New Roman" w:hAnsi="Times New Roman" w:eastAsia="方正公文仿宋" w:cs="Times New Roman"/>
                <w:color w:val="auto"/>
                <w:sz w:val="24"/>
                <w:highlight w:val="none"/>
              </w:rPr>
              <w:t xml:space="preserve">客观分</w:t>
            </w:r>
            <w:r/>
          </w:p>
        </w:tc>
      </w:tr>
      <w:tr>
        <w:trPr>
          <w:jc w:val="center"/>
          <w:trHeight w:val="1454"/>
        </w:trPr>
        <w:tc>
          <w:tcPr>
            <w:shd w:val="clear" w:color="auto" w:fill="auto"/>
            <w:tcW w:w="898" w:type="dxa"/>
            <w:vAlign w:val="center"/>
            <w:textDirection w:val="lrTb"/>
            <w:noWrap w:val="false"/>
          </w:tcPr>
          <w:p>
            <w:pPr>
              <w:pStyle w:val="1083"/>
              <w:ind w:left="0" w:right="0" w:firstLine="0"/>
              <w:jc w:val="center"/>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val="en-US" w:eastAsia="zh-CN"/>
              </w:rPr>
            </w:pPr>
            <w:r>
              <w:rPr>
                <w:rFonts w:hint="eastAsia" w:ascii="Times New Roman" w:hAnsi="Times New Roman" w:eastAsia="方正公文仿宋" w:cs="Times New Roman"/>
                <w:color w:val="auto"/>
                <w:sz w:val="24"/>
                <w:szCs w:val="24"/>
                <w:highlight w:val="none"/>
                <w:lang w:val="en-US" w:eastAsia="zh-CN"/>
              </w:rPr>
              <w:t xml:space="preserve">5</w:t>
            </w:r>
            <w:r/>
          </w:p>
        </w:tc>
        <w:tc>
          <w:tcPr>
            <w:shd w:val="clear" w:color="auto" w:fill="auto"/>
            <w:tcW w:w="0" w:type="auto"/>
            <w:vAlign w:val="center"/>
            <w:textDirection w:val="lrTb"/>
            <w:noWrap w:val="false"/>
          </w:tcPr>
          <w:p>
            <w:pPr>
              <w:pStyle w:val="1083"/>
              <w:ind w:left="0" w:right="0" w:firstLine="0"/>
              <w:jc w:val="center"/>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lang w:eastAsia="zh-CN"/>
              </w:rPr>
              <w:t xml:space="preserve">利旧</w:t>
            </w:r>
            <w:r>
              <w:rPr>
                <w:rFonts w:hint="eastAsia" w:ascii="Times New Roman" w:hAnsi="Times New Roman" w:eastAsia="方正公文仿宋" w:cs="Times New Roman"/>
                <w:color w:val="auto"/>
                <w:sz w:val="24"/>
                <w:szCs w:val="24"/>
                <w:highlight w:val="none"/>
                <w:lang w:val="en-US" w:eastAsia="zh-CN"/>
              </w:rPr>
              <w:t xml:space="preserve">承诺</w:t>
            </w:r>
            <w:r/>
          </w:p>
        </w:tc>
        <w:tc>
          <w:tcPr>
            <w:shd w:val="clear" w:color="auto" w:fill="auto"/>
            <w:tcW w:w="898" w:type="dxa"/>
            <w:vAlign w:val="center"/>
            <w:textDirection w:val="lrTb"/>
            <w:noWrap w:val="false"/>
          </w:tcPr>
          <w:p>
            <w:pPr>
              <w:pStyle w:val="1083"/>
              <w:ind w:left="0" w:right="0" w:firstLine="0"/>
              <w:jc w:val="center"/>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val="en-US" w:eastAsia="zh-CN"/>
              </w:rPr>
            </w:pPr>
            <w:r>
              <w:rPr>
                <w:rFonts w:hint="eastAsia" w:ascii="Times New Roman" w:hAnsi="Times New Roman" w:eastAsia="方正公文仿宋" w:cs="Times New Roman"/>
                <w:color w:val="auto"/>
                <w:sz w:val="24"/>
                <w:szCs w:val="24"/>
                <w:highlight w:val="none"/>
                <w:lang w:val="en-US" w:eastAsia="zh-CN"/>
              </w:rPr>
              <w:t xml:space="preserve">2</w:t>
            </w:r>
            <w:r/>
          </w:p>
        </w:tc>
        <w:tc>
          <w:tcPr>
            <w:shd w:val="clear" w:color="auto" w:fill="auto"/>
            <w:tcW w:w="5188" w:type="dxa"/>
            <w:vAlign w:val="top"/>
            <w:textDirection w:val="lrTb"/>
            <w:noWrap w:val="false"/>
          </w:tcPr>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lang w:eastAsia="zh-CN"/>
              </w:rPr>
              <w:t xml:space="preserve">食堂功能区域清单中利旧的产品，须提供免费搬运、送货、安装、调试服务至甲方指定地点，提供承诺函，格式自拟。有承诺函的，得</w:t>
            </w:r>
            <w:r>
              <w:rPr>
                <w:rFonts w:hint="eastAsia" w:ascii="Times New Roman" w:hAnsi="Times New Roman" w:eastAsia="方正公文仿宋" w:cs="Times New Roman"/>
                <w:color w:val="auto"/>
                <w:sz w:val="24"/>
                <w:szCs w:val="24"/>
                <w:highlight w:val="none"/>
                <w:lang w:val="en-US" w:eastAsia="zh-CN"/>
              </w:rPr>
              <w:t xml:space="preserve">2</w:t>
            </w:r>
            <w:r>
              <w:rPr>
                <w:rFonts w:hint="eastAsia" w:ascii="Times New Roman" w:hAnsi="Times New Roman" w:eastAsia="方正公文仿宋" w:cs="Times New Roman"/>
                <w:color w:val="auto"/>
                <w:sz w:val="24"/>
                <w:szCs w:val="24"/>
                <w:highlight w:val="none"/>
                <w:lang w:eastAsia="zh-CN"/>
              </w:rPr>
              <w:t xml:space="preserve">分，未承诺0分。</w:t>
            </w:r>
            <w:r/>
          </w:p>
        </w:tc>
        <w:tc>
          <w:tcPr>
            <w:shd w:val="clear" w:color="auto" w:fill="auto"/>
            <w:tcW w:w="1138" w:type="dxa"/>
            <w:vAlign w:val="center"/>
            <w:textDirection w:val="lrTb"/>
            <w:noWrap w:val="false"/>
          </w:tcPr>
          <w:p>
            <w:pPr>
              <w:pStyle w:val="1083"/>
              <w:ind w:left="0" w:right="0" w:firstLine="0"/>
              <w:jc w:val="center"/>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lang w:val="en-US" w:eastAsia="zh-CN"/>
              </w:rPr>
              <w:t xml:space="preserve">客观分</w:t>
            </w:r>
            <w:r/>
          </w:p>
        </w:tc>
      </w:tr>
      <w:tr>
        <w:trPr>
          <w:jc w:val="center"/>
          <w:trHeight w:val="2584"/>
        </w:trPr>
        <w:tc>
          <w:tcPr>
            <w:shd w:val="clear" w:color="auto" w:fill="auto"/>
            <w:tcW w:w="898" w:type="dxa"/>
            <w:vAlign w:val="center"/>
            <w:textDirection w:val="lrTb"/>
            <w:noWrap w:val="false"/>
          </w:tcPr>
          <w:p>
            <w:pPr>
              <w:ind w:left="0" w:right="0" w:firstLine="0"/>
              <w:jc w:val="center"/>
              <w:spacing w:after="62" w:line="240" w:lineRule="auto"/>
              <w:rPr>
                <w:rFonts w:hint="default" w:ascii="Times New Roman" w:hAnsi="Times New Roman" w:eastAsia="方正公文仿宋" w:cs="Times New Roman"/>
                <w:color w:val="auto"/>
                <w:sz w:val="24"/>
                <w:highlight w:val="none"/>
                <w:lang w:val="en-US" w:eastAsia="zh-CN"/>
              </w:rPr>
            </w:pPr>
            <w:r>
              <w:rPr>
                <w:rFonts w:hint="eastAsia" w:eastAsia="方正公文仿宋" w:cs="Times New Roman"/>
                <w:color w:val="auto"/>
                <w:sz w:val="24"/>
                <w:highlight w:val="none"/>
                <w:lang w:val="en-US" w:eastAsia="zh-CN"/>
              </w:rPr>
              <w:t xml:space="preserve">6</w:t>
            </w:r>
            <w:r/>
          </w:p>
        </w:tc>
        <w:tc>
          <w:tcPr>
            <w:shd w:val="clear" w:color="auto" w:fill="auto"/>
            <w:tcW w:w="1046"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节能环保</w:t>
            </w:r>
            <w:r/>
          </w:p>
        </w:tc>
        <w:tc>
          <w:tcPr>
            <w:shd w:val="clear" w:color="auto" w:fill="auto"/>
            <w:tcW w:w="898" w:type="dxa"/>
            <w:vAlign w:val="center"/>
            <w:textDirection w:val="lrTb"/>
            <w:noWrap w:val="false"/>
          </w:tcPr>
          <w:p>
            <w:pPr>
              <w:ind w:left="0" w:right="0" w:firstLine="0"/>
              <w:jc w:val="center"/>
              <w:spacing w:after="62" w:line="240" w:lineRule="auto"/>
              <w:rPr>
                <w:rFonts w:hint="eastAsia" w:ascii="Times New Roman" w:hAnsi="Times New Roman" w:eastAsia="方正公文仿宋" w:cs="Times New Roman"/>
                <w:color w:val="auto"/>
                <w:sz w:val="24"/>
                <w:highlight w:val="none"/>
                <w:lang w:val="en-US" w:eastAsia="zh-CN"/>
              </w:rPr>
            </w:pPr>
            <w:r>
              <w:rPr>
                <w:rFonts w:hint="eastAsia" w:eastAsia="方正公文仿宋" w:cs="Times New Roman"/>
                <w:color w:val="auto"/>
                <w:sz w:val="24"/>
                <w:highlight w:val="none"/>
                <w:lang w:val="en-US" w:eastAsia="zh-CN"/>
              </w:rPr>
              <w:t xml:space="preserve">2</w:t>
            </w:r>
            <w:r/>
          </w:p>
        </w:tc>
        <w:tc>
          <w:tcPr>
            <w:shd w:val="clear" w:color="auto" w:fill="auto"/>
            <w:tcW w:w="5188" w:type="dxa"/>
            <w:textDirection w:val="lrTb"/>
            <w:noWrap w:val="false"/>
          </w:tcPr>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投标产品属于财政部</w:t>
            </w:r>
            <w:r>
              <w:rPr>
                <w:rFonts w:hint="eastAsia" w:ascii="Times New Roman" w:hAnsi="Times New Roman" w:eastAsia="方正公文仿宋" w:cs="Times New Roman"/>
                <w:color w:val="auto"/>
                <w:sz w:val="24"/>
                <w:szCs w:val="24"/>
                <w:highlight w:val="none"/>
                <w:lang w:eastAsia="zh-CN"/>
              </w:rPr>
              <w:t xml:space="preserve">国家发展改革委</w:t>
            </w:r>
            <w:r>
              <w:rPr>
                <w:rFonts w:hint="eastAsia" w:ascii="Times New Roman" w:hAnsi="Times New Roman" w:eastAsia="方正公文仿宋" w:cs="Times New Roman"/>
                <w:color w:val="auto"/>
                <w:sz w:val="24"/>
                <w:szCs w:val="24"/>
                <w:highlight w:val="none"/>
              </w:rPr>
              <w:t xml:space="preserve">公布的“节能产品品目清单”范围内的（强制采购产品除外），供应商提供国家确定的认证机构出具的、处于有效期之内的该节能产品认证证书复印件，有1个得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分，最多得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val="en-US" w:eastAsia="zh-CN"/>
              </w:rPr>
              <w:t xml:space="preserve">注：本项须提供标注“★”产品（感应水龙头、水龙头）以外的</w:t>
            </w:r>
            <w:r>
              <w:rPr>
                <w:rFonts w:hint="eastAsia" w:ascii="Times New Roman" w:hAnsi="Times New Roman" w:eastAsia="方正公文仿宋" w:cs="Times New Roman"/>
                <w:color w:val="auto"/>
                <w:sz w:val="24"/>
                <w:szCs w:val="24"/>
                <w:highlight w:val="none"/>
              </w:rPr>
              <w:t xml:space="preserve">节能产品认证证书</w:t>
            </w:r>
            <w:r>
              <w:rPr>
                <w:rFonts w:hint="eastAsia" w:ascii="Times New Roman" w:hAnsi="Times New Roman" w:eastAsia="方正公文仿宋" w:cs="Times New Roman"/>
                <w:color w:val="auto"/>
                <w:sz w:val="24"/>
                <w:szCs w:val="24"/>
                <w:highlight w:val="none"/>
                <w:lang w:eastAsia="zh-CN"/>
              </w:rPr>
              <w:t xml:space="preserve">。</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lang w:val="en-US" w:eastAsia="zh-CN"/>
              </w:rPr>
              <w:t xml:space="preserve">2.</w:t>
            </w:r>
            <w:r>
              <w:rPr>
                <w:rFonts w:hint="eastAsia" w:ascii="Times New Roman" w:hAnsi="Times New Roman" w:eastAsia="方正公文仿宋" w:cs="Times New Roman"/>
                <w:color w:val="auto"/>
                <w:sz w:val="24"/>
                <w:szCs w:val="24"/>
                <w:highlight w:val="none"/>
              </w:rPr>
              <w:t xml:space="preserve">投标产品属于财政部、生态环境部公布的“环境标志产品品目清单”范围内提供的，供应商提供国家确定的认证机构出具的、处于有效期内的该环保产品认证证书复印件，有1个得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分，最多得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w:t>
            </w:r>
            <w:r/>
          </w:p>
        </w:tc>
        <w:tc>
          <w:tcPr>
            <w:shd w:val="clear" w:color="auto" w:fill="auto"/>
            <w:tcW w:w="1138" w:type="dxa"/>
            <w:vAlign w:val="center"/>
            <w:textDirection w:val="lrTb"/>
            <w:noWrap w:val="false"/>
          </w:tcPr>
          <w:p>
            <w:pPr>
              <w:ind w:left="0" w:right="0" w:firstLine="0"/>
              <w:jc w:val="center"/>
              <w:spacing w:after="62" w:line="240" w:lineRule="auto"/>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客观分</w:t>
            </w:r>
            <w:r/>
          </w:p>
        </w:tc>
      </w:tr>
    </w:tbl>
    <w:p>
      <w:pPr>
        <w:ind w:left="562"/>
        <w:jc w:val="left"/>
        <w:spacing w:before="120" w:after="62" w:line="480" w:lineRule="exact"/>
        <w:rPr>
          <w:rFonts w:hint="eastAsia" w:ascii="Times New Roman" w:hAnsi="Times New Roman" w:eastAsia="仿宋" w:cs="Times New Roman"/>
          <w:b/>
          <w:color w:val="auto"/>
          <w:sz w:val="28"/>
          <w:szCs w:val="28"/>
          <w:highlight w:val="none"/>
        </w:rPr>
      </w:pPr>
      <w:r>
        <w:rPr>
          <w:rFonts w:hint="eastAsia" w:ascii="Times New Roman" w:hAnsi="Times New Roman" w:eastAsia="仿宋" w:cs="Times New Roman"/>
          <w:b/>
          <w:color w:val="auto"/>
          <w:sz w:val="28"/>
          <w:szCs w:val="28"/>
          <w:highlight w:val="none"/>
          <w:lang w:val="en-US" w:eastAsia="zh-CN"/>
        </w:rPr>
        <w:t xml:space="preserve">3.</w:t>
      </w:r>
      <w:r>
        <w:rPr>
          <w:rFonts w:hint="eastAsia" w:ascii="Times New Roman" w:hAnsi="Times New Roman" w:eastAsia="仿宋" w:cs="Times New Roman"/>
          <w:b/>
          <w:color w:val="auto"/>
          <w:sz w:val="28"/>
          <w:szCs w:val="28"/>
          <w:highlight w:val="none"/>
        </w:rPr>
        <w:t xml:space="preserve">商务分：</w:t>
      </w:r>
      <w:r>
        <w:rPr>
          <w:rFonts w:hint="eastAsia" w:eastAsia="仿宋" w:cs="Times New Roman"/>
          <w:b/>
          <w:color w:val="auto"/>
          <w:sz w:val="28"/>
          <w:szCs w:val="28"/>
          <w:highlight w:val="none"/>
          <w:lang w:val="en-US" w:eastAsia="zh-CN"/>
        </w:rPr>
        <w:t xml:space="preserve">24</w:t>
      </w:r>
      <w:r>
        <w:rPr>
          <w:rFonts w:hint="eastAsia" w:ascii="Times New Roman" w:hAnsi="Times New Roman" w:eastAsia="仿宋" w:cs="Times New Roman"/>
          <w:b/>
          <w:color w:val="auto"/>
          <w:sz w:val="28"/>
          <w:szCs w:val="28"/>
          <w:highlight w:val="none"/>
        </w:rPr>
        <w:t xml:space="preserve">分</w:t>
      </w:r>
      <w:r/>
    </w:p>
    <w:p>
      <w:pPr>
        <w:ind w:firstLine="560"/>
        <w:jc w:val="left"/>
        <w:spacing w:line="500" w:lineRule="exact"/>
        <w:rPr>
          <w:rFonts w:eastAsia="方正仿宋_GBK"/>
          <w:color w:val="auto"/>
          <w:sz w:val="28"/>
          <w:szCs w:val="28"/>
          <w:highlight w:val="none"/>
        </w:rPr>
      </w:pPr>
      <w:r>
        <w:rPr>
          <w:rFonts w:eastAsia="方正仿宋_GBK"/>
          <w:color w:val="auto"/>
          <w:sz w:val="28"/>
          <w:szCs w:val="28"/>
          <w:highlight w:val="none"/>
        </w:rPr>
        <w:t xml:space="preserve">各投标人得分为评委会成员评分的算术平均分，分值保留小数点后两位。</w:t>
      </w:r>
      <w:r/>
    </w:p>
    <w:tbl>
      <w:tblPr>
        <w:tblStyle w:val="1101"/>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064"/>
        <w:gridCol w:w="900"/>
        <w:gridCol w:w="5205"/>
        <w:gridCol w:w="1120"/>
      </w:tblGrid>
      <w:tr>
        <w:trPr>
          <w:jc w:val="center"/>
        </w:trPr>
        <w:tc>
          <w:tcPr>
            <w:tcW w:w="88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序号</w:t>
            </w:r>
            <w:r/>
          </w:p>
        </w:tc>
        <w:tc>
          <w:tcPr>
            <w:tcW w:w="1064"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评分点名称</w:t>
            </w:r>
            <w:r/>
          </w:p>
        </w:tc>
        <w:tc>
          <w:tcPr>
            <w:tcW w:w="90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分值</w:t>
            </w:r>
            <w:r/>
          </w:p>
        </w:tc>
        <w:tc>
          <w:tcPr>
            <w:tcW w:w="5205"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评审标准</w:t>
            </w:r>
            <w:r/>
          </w:p>
        </w:tc>
        <w:tc>
          <w:tcPr>
            <w:tcW w:w="112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hint="eastAsia" w:eastAsia="方正公文仿宋" w:cs="Times New Roman"/>
                <w:color w:val="auto"/>
                <w:sz w:val="24"/>
                <w:highlight w:val="none"/>
                <w:lang w:val="en-US" w:eastAsia="zh-CN"/>
              </w:rPr>
              <w:t xml:space="preserve">主/客观分</w:t>
            </w:r>
            <w:r/>
          </w:p>
        </w:tc>
      </w:tr>
      <w:tr>
        <w:trPr>
          <w:jc w:val="center"/>
        </w:trPr>
        <w:tc>
          <w:tcPr>
            <w:tcW w:w="880" w:type="dxa"/>
            <w:vAlign w:val="center"/>
            <w:textDirection w:val="lrTb"/>
            <w:noWrap w:val="false"/>
          </w:tcPr>
          <w:p>
            <w:pPr>
              <w:ind w:left="0" w:right="0" w:firstLine="0"/>
              <w:jc w:val="center"/>
              <w:spacing w:after="62" w:line="240" w:lineRule="auto"/>
              <w:rPr>
                <w:rFonts w:hint="eastAsia" w:ascii="Times New Roman" w:hAnsi="Times New Roman" w:eastAsia="方正公文仿宋" w:cs="Times New Roman"/>
                <w:color w:val="auto"/>
                <w:sz w:val="24"/>
                <w:highlight w:val="none"/>
                <w:lang w:val="en-US" w:eastAsia="zh-CN"/>
              </w:rPr>
            </w:pPr>
            <w:r>
              <w:rPr>
                <w:rFonts w:hint="eastAsia" w:ascii="Times New Roman" w:hAnsi="Times New Roman" w:eastAsia="方正公文仿宋" w:cs="Times New Roman"/>
                <w:color w:val="auto"/>
                <w:sz w:val="24"/>
                <w:highlight w:val="none"/>
                <w:lang w:val="en-US" w:eastAsia="zh-CN"/>
              </w:rPr>
              <w:t xml:space="preserve">1</w:t>
            </w:r>
            <w:r/>
          </w:p>
        </w:tc>
        <w:tc>
          <w:tcPr>
            <w:tcW w:w="1064" w:type="dxa"/>
            <w:vAlign w:val="center"/>
            <w:textDirection w:val="lrTb"/>
            <w:noWrap w:val="false"/>
          </w:tcPr>
          <w:p>
            <w:pPr>
              <w:ind w:left="0" w:right="0" w:firstLine="0"/>
              <w:jc w:val="center"/>
              <w:spacing w:after="62" w:line="240" w:lineRule="auto"/>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color w:val="auto"/>
                <w:sz w:val="24"/>
                <w:highlight w:val="none"/>
                <w:lang w:eastAsia="zh-CN"/>
              </w:rPr>
              <w:t xml:space="preserve">施工安装方案</w:t>
            </w:r>
            <w:r/>
          </w:p>
        </w:tc>
        <w:tc>
          <w:tcPr>
            <w:tcW w:w="900" w:type="dxa"/>
            <w:vAlign w:val="center"/>
            <w:textDirection w:val="lrTb"/>
            <w:noWrap w:val="false"/>
          </w:tcPr>
          <w:p>
            <w:pPr>
              <w:pStyle w:val="1083"/>
              <w:ind w:left="0" w:right="0" w:firstLine="0"/>
              <w:jc w:val="center"/>
              <w:keepLines w:val="0"/>
              <w:keepNext w:val="0"/>
              <w:pageBreakBefore w:val="0"/>
              <w:spacing w:after="62" w:line="240" w:lineRule="auto"/>
              <w:widowControl w:val="off"/>
              <w:rPr>
                <w:rFonts w:hint="default" w:ascii="Times New Roman" w:hAnsi="Times New Roman" w:eastAsia="方正公文仿宋" w:cs="Times New Roman"/>
                <w:color w:val="auto"/>
                <w:sz w:val="24"/>
                <w:szCs w:val="24"/>
                <w:highlight w:val="none"/>
                <w:lang w:val="en-US" w:eastAsia="zh-CN"/>
              </w:rPr>
            </w:pPr>
            <w:r>
              <w:rPr>
                <w:rFonts w:hint="eastAsia" w:ascii="Times New Roman" w:hAnsi="Times New Roman" w:eastAsia="方正公文仿宋" w:cs="Times New Roman"/>
                <w:color w:val="auto"/>
                <w:sz w:val="24"/>
                <w:szCs w:val="24"/>
                <w:highlight w:val="none"/>
                <w:lang w:val="en-US" w:eastAsia="zh-CN"/>
              </w:rPr>
              <w:t xml:space="preserve">6</w:t>
            </w:r>
            <w:r/>
          </w:p>
        </w:tc>
        <w:tc>
          <w:tcPr>
            <w:shd w:val="clear" w:color="auto" w:fill="auto"/>
            <w:tcW w:w="5205" w:type="dxa"/>
            <w:vAlign w:val="center"/>
            <w:textDirection w:val="lrTb"/>
            <w:noWrap w:val="false"/>
          </w:tcPr>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eastAsia="zh-CN"/>
              </w:rPr>
              <w:t xml:space="preserve">评委根据投标人提供的现场安装方案</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微软雅黑" w:hAnsi="微软雅黑" w:eastAsia="微软雅黑" w:cs="微软雅黑"/>
                <w:color w:val="auto"/>
                <w:sz w:val="24"/>
                <w:szCs w:val="24"/>
                <w:highlight w:val="none"/>
              </w:rPr>
              <w:t xml:space="preserve">①</w:t>
            </w:r>
            <w:r>
              <w:rPr>
                <w:rFonts w:hint="eastAsia" w:ascii="Times New Roman" w:hAnsi="Times New Roman" w:eastAsia="方正公文仿宋" w:cs="Times New Roman"/>
                <w:color w:val="auto"/>
                <w:sz w:val="24"/>
                <w:szCs w:val="24"/>
                <w:highlight w:val="none"/>
                <w:lang w:eastAsia="zh-CN"/>
              </w:rPr>
              <w:t xml:space="preserve">安装人员的配备；</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default" w:ascii="Times New Roman" w:hAnsi="Times New Roman" w:eastAsia="方正公文仿宋" w:cs="Times New Roman"/>
                <w:color w:val="auto"/>
                <w:sz w:val="24"/>
                <w:szCs w:val="24"/>
                <w:highlight w:val="none"/>
                <w:lang w:eastAsia="zh-CN"/>
              </w:rPr>
              <w:t xml:space="preserve">②</w:t>
            </w:r>
            <w:r>
              <w:rPr>
                <w:rFonts w:hint="eastAsia" w:ascii="Times New Roman" w:hAnsi="Times New Roman" w:eastAsia="方正公文仿宋" w:cs="Times New Roman"/>
                <w:color w:val="auto"/>
                <w:sz w:val="24"/>
                <w:szCs w:val="24"/>
                <w:highlight w:val="none"/>
                <w:lang w:eastAsia="zh-CN"/>
              </w:rPr>
              <w:t xml:space="preserve">机械设施的配备；</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default" w:ascii="Times New Roman" w:hAnsi="Times New Roman" w:eastAsia="方正公文仿宋" w:cs="Times New Roman"/>
                <w:color w:val="auto"/>
                <w:sz w:val="24"/>
                <w:szCs w:val="24"/>
                <w:highlight w:val="none"/>
                <w:lang w:eastAsia="zh-CN"/>
              </w:rPr>
              <w:t xml:space="preserve">③</w:t>
            </w:r>
            <w:r>
              <w:rPr>
                <w:rFonts w:hint="eastAsia" w:ascii="Times New Roman" w:hAnsi="Times New Roman" w:eastAsia="方正公文仿宋" w:cs="Times New Roman"/>
                <w:color w:val="auto"/>
                <w:sz w:val="24"/>
                <w:szCs w:val="24"/>
                <w:highlight w:val="none"/>
                <w:lang w:eastAsia="zh-CN"/>
              </w:rPr>
              <w:t xml:space="preserve">特种作业人员上岗；</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微软雅黑" w:hAnsi="微软雅黑" w:eastAsia="微软雅黑" w:cs="微软雅黑"/>
                <w:color w:val="auto"/>
                <w:sz w:val="24"/>
                <w:szCs w:val="24"/>
                <w:highlight w:val="none"/>
                <w:lang w:eastAsia="zh-CN"/>
              </w:rPr>
              <w:t xml:space="preserve">④</w:t>
            </w:r>
            <w:r>
              <w:rPr>
                <w:rFonts w:hint="eastAsia" w:ascii="Times New Roman" w:hAnsi="Times New Roman" w:eastAsia="方正公文仿宋" w:cs="Times New Roman"/>
                <w:color w:val="auto"/>
                <w:sz w:val="24"/>
                <w:szCs w:val="24"/>
                <w:highlight w:val="none"/>
                <w:lang w:eastAsia="zh-CN"/>
              </w:rPr>
              <w:t xml:space="preserve">安全文明措施落实等方面对方案进行综合打分。</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eastAsia="zh-CN"/>
              </w:rPr>
              <w:t xml:space="preserve">每项内容阐述合理、条理清晰、针对性强、切实可行且不存在瑕疵的得</w:t>
            </w:r>
            <w:r>
              <w:rPr>
                <w:rFonts w:hint="eastAsia" w:ascii="Times New Roman" w:hAnsi="Times New Roman" w:eastAsia="方正公文仿宋" w:cs="Times New Roman"/>
                <w:color w:val="auto"/>
                <w:sz w:val="24"/>
                <w:szCs w:val="24"/>
                <w:highlight w:val="none"/>
                <w:lang w:val="en-US" w:eastAsia="zh-CN"/>
              </w:rPr>
              <w:t xml:space="preserve">6</w:t>
            </w:r>
            <w:r>
              <w:rPr>
                <w:rFonts w:hint="eastAsia" w:ascii="Times New Roman" w:hAnsi="Times New Roman" w:eastAsia="方正公文仿宋" w:cs="Times New Roman"/>
                <w:color w:val="auto"/>
                <w:sz w:val="24"/>
                <w:szCs w:val="24"/>
                <w:highlight w:val="none"/>
                <w:lang w:eastAsia="zh-CN"/>
              </w:rPr>
              <w:t xml:space="preserve">分；</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eastAsia="zh-CN"/>
              </w:rPr>
              <w:t xml:space="preserve">存在1处瑕疵的得</w:t>
            </w:r>
            <w:r>
              <w:rPr>
                <w:rFonts w:hint="eastAsia" w:ascii="Times New Roman" w:hAnsi="Times New Roman" w:eastAsia="方正公文仿宋" w:cs="Times New Roman"/>
                <w:color w:val="auto"/>
                <w:sz w:val="24"/>
                <w:szCs w:val="24"/>
                <w:highlight w:val="none"/>
                <w:lang w:val="en-US" w:eastAsia="zh-CN"/>
              </w:rPr>
              <w:t xml:space="preserve">3</w:t>
            </w:r>
            <w:r>
              <w:rPr>
                <w:rFonts w:hint="eastAsia" w:ascii="Times New Roman" w:hAnsi="Times New Roman" w:eastAsia="方正公文仿宋" w:cs="Times New Roman"/>
                <w:color w:val="auto"/>
                <w:sz w:val="24"/>
                <w:szCs w:val="24"/>
                <w:highlight w:val="none"/>
                <w:lang w:eastAsia="zh-CN"/>
              </w:rPr>
              <w:t xml:space="preserve">分；</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eastAsia="zh-CN"/>
              </w:rPr>
              <w:t xml:space="preserve">存在</w:t>
            </w:r>
            <w:r>
              <w:rPr>
                <w:rFonts w:hint="eastAsia" w:ascii="Times New Roman" w:hAnsi="Times New Roman" w:eastAsia="方正公文仿宋" w:cs="Times New Roman"/>
                <w:color w:val="auto"/>
                <w:sz w:val="24"/>
                <w:szCs w:val="24"/>
                <w:highlight w:val="none"/>
                <w:lang w:val="en-US" w:eastAsia="zh-CN"/>
              </w:rPr>
              <w:t xml:space="preserve">2</w:t>
            </w:r>
            <w:r>
              <w:rPr>
                <w:rFonts w:hint="eastAsia" w:ascii="Times New Roman" w:hAnsi="Times New Roman" w:eastAsia="方正公文仿宋" w:cs="Times New Roman"/>
                <w:color w:val="auto"/>
                <w:sz w:val="24"/>
                <w:szCs w:val="24"/>
                <w:highlight w:val="none"/>
                <w:lang w:eastAsia="zh-CN"/>
              </w:rPr>
              <w:t xml:space="preserve">处瑕疵的得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lang w:eastAsia="zh-CN"/>
              </w:rPr>
              <w:t xml:space="preserve">分；</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eastAsia="zh-CN"/>
              </w:rPr>
              <w:t xml:space="preserve">未进行阐述或不满足采购需求或存在3处及以上瑕疵的得</w:t>
            </w:r>
            <w:r>
              <w:rPr>
                <w:rFonts w:hint="eastAsia" w:ascii="Times New Roman" w:hAnsi="Times New Roman" w:eastAsia="方正公文仿宋" w:cs="Times New Roman"/>
                <w:color w:val="auto"/>
                <w:sz w:val="24"/>
                <w:szCs w:val="24"/>
                <w:highlight w:val="none"/>
                <w:lang w:val="en-US" w:eastAsia="zh-CN"/>
              </w:rPr>
              <w:t xml:space="preserve">0</w:t>
            </w:r>
            <w:r>
              <w:rPr>
                <w:rFonts w:hint="eastAsia" w:ascii="Times New Roman" w:hAnsi="Times New Roman" w:eastAsia="方正公文仿宋" w:cs="Times New Roman"/>
                <w:color w:val="auto"/>
                <w:sz w:val="24"/>
                <w:szCs w:val="24"/>
                <w:highlight w:val="none"/>
                <w:lang w:eastAsia="zh-CN"/>
              </w:rPr>
              <w:t xml:space="preserve">分。</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val="en-US" w:eastAsia="zh-CN"/>
              </w:rPr>
            </w:pPr>
            <w:r>
              <w:rPr>
                <w:rFonts w:hint="eastAsia" w:ascii="Times New Roman" w:hAnsi="Times New Roman" w:eastAsia="方正公文仿宋" w:cs="Times New Roman"/>
                <w:color w:val="auto"/>
                <w:sz w:val="24"/>
                <w:szCs w:val="24"/>
                <w:highlight w:val="none"/>
                <w:lang w:val="en-US" w:eastAsia="zh-CN"/>
              </w:rPr>
              <w:t xml:space="preserve">未提供的不得分。</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eastAsia="zh-CN"/>
              </w:rPr>
              <w:t xml:space="preserve">注：以上所称“瑕疵”是指：</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eastAsia="zh-CN"/>
              </w:rPr>
              <w:t xml:space="preserve">①内容空洞，缺乏可量化的关键信息、具体措施或明确承诺；</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eastAsia="zh-CN"/>
              </w:rPr>
              <w:t xml:space="preserve">②未专门针对本项目的特点和需求，或机械套用其他项目模板而未作针对性修改；</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eastAsia="zh-CN"/>
              </w:rPr>
              <w:t xml:space="preserve">③ 对同一问题的表述前后矛盾，令评委无法确认其真实意图；</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eastAsia="zh-CN"/>
              </w:rPr>
              <w:t xml:space="preserve">④存在明显的逻辑漏洞、常识性错误或违背行业标准；</w:t>
            </w:r>
            <w:r/>
          </w:p>
          <w:p>
            <w:pPr>
              <w:pStyle w:val="1083"/>
              <w:ind w:left="0" w:right="0" w:firstLine="0"/>
              <w:keepLines w:val="0"/>
              <w:keepNext w:val="0"/>
              <w:pageBreakBefore w:val="0"/>
              <w:spacing w:after="62" w:line="240" w:lineRule="auto"/>
              <w:widowControl w:val="off"/>
              <w:rPr>
                <w:rFonts w:hint="eastAsia"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eastAsia="zh-CN"/>
              </w:rPr>
              <w:t xml:space="preserve">⑤方案或承诺违背采购文件实质性要求，或在现有技术条件下不可能实现。</w:t>
            </w:r>
            <w:r/>
          </w:p>
          <w:p>
            <w:pPr>
              <w:pStyle w:val="1083"/>
              <w:ind w:left="0" w:right="0" w:firstLine="0"/>
              <w:keepLines w:val="0"/>
              <w:keepNext w:val="0"/>
              <w:pageBreakBefore w:val="0"/>
              <w:spacing w:after="62" w:line="240" w:lineRule="auto"/>
              <w:widowControl w:val="off"/>
              <w:rPr>
                <w:rFonts w:hint="default" w:ascii="Times New Roman" w:hAnsi="Times New Roman" w:eastAsia="方正公文仿宋" w:cs="Times New Roman"/>
                <w:color w:val="auto"/>
                <w:sz w:val="24"/>
                <w:szCs w:val="24"/>
                <w:highlight w:val="none"/>
                <w:lang w:eastAsia="zh-CN"/>
              </w:rPr>
            </w:pPr>
            <w:r>
              <w:rPr>
                <w:rFonts w:hint="eastAsia" w:ascii="Times New Roman" w:hAnsi="Times New Roman" w:eastAsia="方正公文仿宋" w:cs="Times New Roman"/>
                <w:color w:val="auto"/>
                <w:sz w:val="24"/>
                <w:szCs w:val="24"/>
                <w:highlight w:val="none"/>
                <w:lang w:eastAsia="zh-CN"/>
              </w:rPr>
              <w:t xml:space="preserve">未提供或不贴切项目要求的均不得分，本项最高得</w:t>
            </w:r>
            <w:r>
              <w:rPr>
                <w:rFonts w:hint="eastAsia" w:ascii="Times New Roman" w:hAnsi="Times New Roman" w:eastAsia="方正公文仿宋" w:cs="Times New Roman"/>
                <w:color w:val="auto"/>
                <w:sz w:val="24"/>
                <w:szCs w:val="24"/>
                <w:highlight w:val="none"/>
                <w:lang w:val="en-US" w:eastAsia="zh-CN"/>
              </w:rPr>
              <w:t xml:space="preserve">6</w:t>
            </w:r>
            <w:r>
              <w:rPr>
                <w:rFonts w:hint="eastAsia" w:ascii="Times New Roman" w:hAnsi="Times New Roman" w:eastAsia="方正公文仿宋" w:cs="Times New Roman"/>
                <w:color w:val="auto"/>
                <w:sz w:val="24"/>
                <w:szCs w:val="24"/>
                <w:highlight w:val="none"/>
                <w:lang w:eastAsia="zh-CN"/>
              </w:rPr>
              <w:t xml:space="preserve">分。</w:t>
            </w:r>
            <w:r/>
          </w:p>
        </w:tc>
        <w:tc>
          <w:tcPr>
            <w:tcW w:w="1120" w:type="dxa"/>
            <w:vAlign w:val="center"/>
            <w:textDirection w:val="lrTb"/>
            <w:noWrap w:val="false"/>
          </w:tcPr>
          <w:p>
            <w:pPr>
              <w:ind w:left="0" w:right="0" w:firstLine="0"/>
              <w:jc w:val="center"/>
              <w:spacing w:after="62" w:line="240" w:lineRule="auto"/>
              <w:rPr>
                <w:rFonts w:hint="default" w:ascii="Times New Roman" w:hAnsi="Times New Roman" w:eastAsia="方正公文仿宋" w:cs="Times New Roman"/>
                <w:color w:val="auto"/>
                <w:sz w:val="24"/>
                <w:highlight w:val="none"/>
                <w:lang w:val="en-US" w:eastAsia="zh-CN"/>
              </w:rPr>
            </w:pPr>
            <w:r>
              <w:rPr>
                <w:rFonts w:hint="eastAsia" w:eastAsia="方正公文仿宋" w:cs="Times New Roman"/>
                <w:color w:val="auto"/>
                <w:sz w:val="24"/>
                <w:highlight w:val="none"/>
                <w:lang w:val="en-US" w:eastAsia="zh-CN"/>
              </w:rPr>
              <w:t xml:space="preserve">主观分</w:t>
            </w:r>
            <w:r/>
          </w:p>
        </w:tc>
      </w:tr>
      <w:tr>
        <w:trPr>
          <w:jc w:val="center"/>
        </w:trPr>
        <w:tc>
          <w:tcPr>
            <w:tcW w:w="880" w:type="dxa"/>
            <w:vAlign w:val="center"/>
            <w:textDirection w:val="lrTb"/>
            <w:noWrap w:val="false"/>
          </w:tcPr>
          <w:p>
            <w:pPr>
              <w:ind w:left="0" w:right="0" w:firstLine="0"/>
              <w:jc w:val="center"/>
              <w:spacing w:after="62" w:line="240" w:lineRule="auto"/>
              <w:rPr>
                <w:rFonts w:hint="eastAsia" w:ascii="Times New Roman" w:hAnsi="Times New Roman" w:eastAsia="方正公文仿宋" w:cs="Times New Roman"/>
                <w:color w:val="auto"/>
                <w:sz w:val="24"/>
                <w:highlight w:val="none"/>
              </w:rPr>
            </w:pPr>
            <w:r>
              <w:rPr>
                <w:rFonts w:hint="eastAsia" w:eastAsia="方正公文仿宋" w:cs="Times New Roman"/>
                <w:color w:val="auto"/>
                <w:sz w:val="24"/>
                <w:highlight w:val="none"/>
                <w:lang w:val="en-US" w:eastAsia="zh-CN"/>
              </w:rPr>
              <w:t xml:space="preserve">2</w:t>
            </w:r>
            <w:r/>
          </w:p>
        </w:tc>
        <w:tc>
          <w:tcPr>
            <w:shd w:val="clear" w:color="auto" w:fill="auto"/>
            <w:tcW w:w="1064" w:type="dxa"/>
            <w:vAlign w:val="center"/>
            <w:textDirection w:val="lrTb"/>
            <w:noWrap w:val="false"/>
          </w:tcPr>
          <w:p>
            <w:pPr>
              <w:ind w:left="0" w:right="0" w:firstLine="0"/>
              <w:jc w:val="center"/>
              <w:spacing w:after="62" w:line="240" w:lineRule="auto"/>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安装调试方案</w:t>
            </w:r>
            <w:r/>
          </w:p>
        </w:tc>
        <w:tc>
          <w:tcPr>
            <w:shd w:val="clear" w:color="auto" w:fill="auto"/>
            <w:tcW w:w="900" w:type="dxa"/>
            <w:vAlign w:val="center"/>
            <w:textDirection w:val="lrTb"/>
            <w:noWrap w:val="false"/>
          </w:tcPr>
          <w:p>
            <w:pPr>
              <w:ind w:left="0" w:right="0" w:firstLine="0"/>
              <w:jc w:val="center"/>
              <w:spacing w:after="62" w:line="240" w:lineRule="auto"/>
              <w:widowControl/>
              <w:rPr>
                <w:rFonts w:hint="eastAsia" w:ascii="Times New Roman" w:hAnsi="Times New Roman" w:eastAsia="方正公文仿宋" w:cs="Times New Roman"/>
                <w:color w:val="auto"/>
                <w:sz w:val="24"/>
                <w:highlight w:val="none"/>
              </w:rPr>
            </w:pPr>
            <w:r>
              <w:rPr>
                <w:rFonts w:hint="eastAsia" w:eastAsia="方正公文仿宋" w:cs="Times New Roman"/>
                <w:color w:val="auto"/>
                <w:sz w:val="24"/>
                <w:highlight w:val="none"/>
                <w:lang w:val="en-US" w:eastAsia="zh-CN"/>
              </w:rPr>
              <w:t xml:space="preserve">6</w:t>
            </w:r>
            <w:r/>
          </w:p>
        </w:tc>
        <w:tc>
          <w:tcPr>
            <w:shd w:val="clear" w:color="auto" w:fill="auto"/>
            <w:tcW w:w="5205" w:type="dxa"/>
            <w:vAlign w:val="center"/>
            <w:textDirection w:val="lrTb"/>
            <w:noWrap w:val="false"/>
          </w:tcPr>
          <w:p>
            <w:pPr>
              <w:ind w:left="0" w:right="0" w:firstLine="0"/>
              <w:spacing w:after="62" w:line="240" w:lineRule="auto"/>
              <w:rPr>
                <w:rFonts w:hint="eastAsia" w:ascii="Times New Roman" w:hAnsi="Times New Roman" w:eastAsia="方正公文仿宋" w:cs="Times New Roman"/>
                <w:color w:val="auto"/>
                <w:sz w:val="24"/>
                <w:highlight w:val="none"/>
                <w:lang w:val="en-US" w:eastAsia="zh-CN"/>
              </w:rPr>
            </w:pPr>
            <w:r>
              <w:rPr>
                <w:rFonts w:hint="eastAsia" w:ascii="Times New Roman" w:hAnsi="Times New Roman" w:eastAsia="方正公文仿宋" w:cs="Times New Roman"/>
                <w:color w:val="auto"/>
                <w:sz w:val="24"/>
                <w:highlight w:val="none"/>
                <w:lang w:val="en-US" w:eastAsia="zh-CN"/>
              </w:rPr>
              <w:t xml:space="preserve">现场安装人员配备齐全，包括但不限于：</w:t>
            </w:r>
            <w:r/>
          </w:p>
          <w:p>
            <w:pPr>
              <w:ind w:left="0" w:right="0" w:firstLine="0"/>
              <w:spacing w:after="62" w:line="240" w:lineRule="auto"/>
              <w:rPr>
                <w:rFonts w:hint="eastAsia" w:ascii="Times New Roman" w:hAnsi="Times New Roman" w:eastAsia="方正公文仿宋" w:cs="Times New Roman"/>
                <w:color w:val="auto"/>
                <w:sz w:val="24"/>
                <w:highlight w:val="none"/>
                <w:lang w:val="en-US" w:eastAsia="zh-CN"/>
              </w:rPr>
            </w:pPr>
            <w:r>
              <w:rPr>
                <w:rFonts w:hint="eastAsia" w:ascii="Times New Roman" w:hAnsi="Times New Roman" w:eastAsia="方正公文仿宋" w:cs="Times New Roman"/>
                <w:color w:val="auto"/>
                <w:sz w:val="24"/>
                <w:highlight w:val="none"/>
                <w:lang w:val="en-US" w:eastAsia="zh-CN"/>
              </w:rPr>
              <w:t xml:space="preserve">①电工和焊工等作业人员持证上岗；</w:t>
            </w:r>
            <w:r/>
          </w:p>
          <w:p>
            <w:pPr>
              <w:ind w:left="0" w:right="0" w:firstLine="0"/>
              <w:spacing w:after="62" w:line="240" w:lineRule="auto"/>
              <w:rPr>
                <w:rFonts w:hint="eastAsia" w:ascii="Times New Roman" w:hAnsi="Times New Roman" w:eastAsia="方正公文仿宋" w:cs="Times New Roman"/>
                <w:color w:val="auto"/>
                <w:sz w:val="24"/>
                <w:highlight w:val="none"/>
                <w:lang w:val="en-US" w:eastAsia="zh-CN"/>
              </w:rPr>
            </w:pPr>
            <w:r>
              <w:rPr>
                <w:rFonts w:hint="eastAsia" w:ascii="Times New Roman" w:hAnsi="Times New Roman" w:eastAsia="方正公文仿宋" w:cs="Times New Roman"/>
                <w:color w:val="auto"/>
                <w:sz w:val="24"/>
                <w:highlight w:val="none"/>
                <w:lang w:val="en-US" w:eastAsia="zh-CN"/>
              </w:rPr>
              <w:t xml:space="preserve">②机械设施配备齐全；</w:t>
            </w:r>
            <w:r/>
          </w:p>
          <w:p>
            <w:pPr>
              <w:ind w:left="0" w:right="0" w:firstLine="0"/>
              <w:spacing w:after="62" w:line="240" w:lineRule="auto"/>
              <w:rPr>
                <w:rFonts w:hint="eastAsia" w:ascii="Times New Roman" w:hAnsi="Times New Roman" w:eastAsia="方正公文仿宋" w:cs="Times New Roman"/>
                <w:color w:val="auto"/>
                <w:sz w:val="24"/>
                <w:highlight w:val="none"/>
                <w:lang w:val="en-US" w:eastAsia="zh-CN"/>
              </w:rPr>
            </w:pPr>
            <w:r>
              <w:rPr>
                <w:rFonts w:hint="eastAsia" w:ascii="Times New Roman" w:hAnsi="Times New Roman" w:eastAsia="方正公文仿宋" w:cs="Times New Roman"/>
                <w:color w:val="auto"/>
                <w:sz w:val="24"/>
                <w:highlight w:val="none"/>
                <w:lang w:val="en-US" w:eastAsia="zh-CN"/>
              </w:rPr>
              <w:t xml:space="preserve">③安全文明措施落实；</w:t>
            </w:r>
            <w:r/>
          </w:p>
          <w:p>
            <w:pPr>
              <w:ind w:left="0" w:right="0" w:firstLine="0"/>
              <w:spacing w:after="62" w:line="240" w:lineRule="auto"/>
              <w:rPr>
                <w:rFonts w:hint="eastAsia" w:ascii="Times New Roman" w:hAnsi="Times New Roman" w:eastAsia="方正公文仿宋" w:cs="Times New Roman"/>
                <w:color w:val="auto"/>
                <w:sz w:val="24"/>
                <w:highlight w:val="none"/>
                <w:lang w:val="en-US" w:eastAsia="zh-CN"/>
              </w:rPr>
            </w:pPr>
            <w:r>
              <w:rPr>
                <w:rFonts w:hint="eastAsia" w:ascii="Times New Roman" w:hAnsi="Times New Roman" w:eastAsia="方正公文仿宋" w:cs="Times New Roman"/>
                <w:color w:val="auto"/>
                <w:sz w:val="24"/>
                <w:highlight w:val="none"/>
                <w:lang w:val="en-US" w:eastAsia="zh-CN"/>
              </w:rPr>
              <w:t xml:space="preserve">④调试服务及时到位；针对以上单个方案进行评分：</w:t>
            </w:r>
            <w:r/>
          </w:p>
          <w:p>
            <w:pPr>
              <w:ind w:left="0" w:right="0" w:firstLine="0"/>
              <w:spacing w:after="62" w:line="240" w:lineRule="auto"/>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color w:val="auto"/>
                <w:sz w:val="24"/>
                <w:highlight w:val="none"/>
                <w:lang w:eastAsia="zh-CN"/>
              </w:rPr>
              <w:t xml:space="preserve">.每项内容阐述合理、条理清晰、针对性强、切实可行且不存在瑕疵的得</w:t>
            </w:r>
            <w:r>
              <w:rPr>
                <w:rFonts w:hint="eastAsia" w:ascii="Times New Roman" w:hAnsi="Times New Roman" w:eastAsia="方正公文仿宋" w:cs="Times New Roman"/>
                <w:color w:val="auto"/>
                <w:sz w:val="24"/>
                <w:highlight w:val="none"/>
                <w:lang w:val="en-US" w:eastAsia="zh-CN"/>
              </w:rPr>
              <w:t xml:space="preserve">6</w:t>
            </w:r>
            <w:r>
              <w:rPr>
                <w:rFonts w:hint="eastAsia" w:ascii="Times New Roman" w:hAnsi="Times New Roman" w:eastAsia="方正公文仿宋" w:cs="Times New Roman"/>
                <w:color w:val="auto"/>
                <w:sz w:val="24"/>
                <w:highlight w:val="none"/>
                <w:lang w:eastAsia="zh-CN"/>
              </w:rPr>
              <w:t xml:space="preserve">分；</w:t>
            </w:r>
            <w:r/>
          </w:p>
          <w:p>
            <w:pPr>
              <w:ind w:left="0" w:right="0" w:firstLine="0"/>
              <w:spacing w:after="62" w:line="240" w:lineRule="auto"/>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color w:val="auto"/>
                <w:sz w:val="24"/>
                <w:highlight w:val="none"/>
                <w:lang w:eastAsia="zh-CN"/>
              </w:rPr>
              <w:t xml:space="preserve">存在1处瑕疵的得</w:t>
            </w:r>
            <w:r>
              <w:rPr>
                <w:rFonts w:hint="eastAsia" w:ascii="Times New Roman" w:hAnsi="Times New Roman" w:eastAsia="方正公文仿宋" w:cs="Times New Roman"/>
                <w:color w:val="auto"/>
                <w:sz w:val="24"/>
                <w:highlight w:val="none"/>
                <w:lang w:val="en-US" w:eastAsia="zh-CN"/>
              </w:rPr>
              <w:t xml:space="preserve">3</w:t>
            </w:r>
            <w:r>
              <w:rPr>
                <w:rFonts w:hint="eastAsia" w:ascii="Times New Roman" w:hAnsi="Times New Roman" w:eastAsia="方正公文仿宋" w:cs="Times New Roman"/>
                <w:color w:val="auto"/>
                <w:sz w:val="24"/>
                <w:highlight w:val="none"/>
                <w:lang w:eastAsia="zh-CN"/>
              </w:rPr>
              <w:t xml:space="preserve">分；</w:t>
            </w:r>
            <w:r/>
          </w:p>
          <w:p>
            <w:pPr>
              <w:ind w:left="0" w:right="0" w:firstLine="0"/>
              <w:spacing w:after="62" w:line="240" w:lineRule="auto"/>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color w:val="auto"/>
                <w:sz w:val="24"/>
                <w:highlight w:val="none"/>
                <w:lang w:eastAsia="zh-CN"/>
              </w:rPr>
              <w:t xml:space="preserve">存在</w:t>
            </w:r>
            <w:r>
              <w:rPr>
                <w:rFonts w:hint="eastAsia" w:ascii="Times New Roman" w:hAnsi="Times New Roman" w:eastAsia="方正公文仿宋" w:cs="Times New Roman"/>
                <w:color w:val="auto"/>
                <w:sz w:val="24"/>
                <w:highlight w:val="none"/>
                <w:lang w:val="en-US" w:eastAsia="zh-CN"/>
              </w:rPr>
              <w:t xml:space="preserve">2</w:t>
            </w:r>
            <w:r>
              <w:rPr>
                <w:rFonts w:hint="eastAsia" w:ascii="Times New Roman" w:hAnsi="Times New Roman" w:eastAsia="方正公文仿宋" w:cs="Times New Roman"/>
                <w:color w:val="auto"/>
                <w:sz w:val="24"/>
                <w:highlight w:val="none"/>
                <w:lang w:eastAsia="zh-CN"/>
              </w:rPr>
              <w:t xml:space="preserve">处瑕疵的得</w:t>
            </w: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color w:val="auto"/>
                <w:sz w:val="24"/>
                <w:highlight w:val="none"/>
                <w:lang w:eastAsia="zh-CN"/>
              </w:rPr>
              <w:t xml:space="preserve">分；</w:t>
            </w:r>
            <w:r/>
          </w:p>
          <w:p>
            <w:pPr>
              <w:ind w:left="0" w:right="0" w:firstLine="0"/>
              <w:spacing w:after="62" w:line="240" w:lineRule="auto"/>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color w:val="auto"/>
                <w:sz w:val="24"/>
                <w:highlight w:val="none"/>
                <w:lang w:eastAsia="zh-CN"/>
              </w:rPr>
              <w:t xml:space="preserve">未进行阐述或不满足采购需求或存在3处及以上瑕疵的得</w:t>
            </w:r>
            <w:r>
              <w:rPr>
                <w:rFonts w:hint="eastAsia" w:ascii="Times New Roman" w:hAnsi="Times New Roman" w:eastAsia="方正公文仿宋" w:cs="Times New Roman"/>
                <w:color w:val="auto"/>
                <w:sz w:val="24"/>
                <w:highlight w:val="none"/>
                <w:lang w:val="en-US" w:eastAsia="zh-CN"/>
              </w:rPr>
              <w:t xml:space="preserve">0</w:t>
            </w:r>
            <w:r>
              <w:rPr>
                <w:rFonts w:hint="eastAsia" w:ascii="Times New Roman" w:hAnsi="Times New Roman" w:eastAsia="方正公文仿宋" w:cs="Times New Roman"/>
                <w:color w:val="auto"/>
                <w:sz w:val="24"/>
                <w:highlight w:val="none"/>
                <w:lang w:eastAsia="zh-CN"/>
              </w:rPr>
              <w:t xml:space="preserve">分。</w:t>
            </w:r>
            <w:r/>
          </w:p>
          <w:p>
            <w:pPr>
              <w:ind w:left="0" w:right="0" w:firstLine="0"/>
              <w:spacing w:after="62" w:line="240" w:lineRule="auto"/>
              <w:rPr>
                <w:rFonts w:hint="eastAsia" w:ascii="Times New Roman" w:hAnsi="Times New Roman" w:eastAsia="方正公文仿宋" w:cs="Times New Roman"/>
                <w:color w:val="auto"/>
                <w:sz w:val="24"/>
                <w:highlight w:val="none"/>
                <w:lang w:val="en-US" w:eastAsia="zh-CN"/>
              </w:rPr>
            </w:pPr>
            <w:r>
              <w:rPr>
                <w:rFonts w:hint="eastAsia" w:ascii="Times New Roman" w:hAnsi="Times New Roman" w:eastAsia="方正公文仿宋" w:cs="Times New Roman"/>
                <w:color w:val="auto"/>
                <w:sz w:val="24"/>
                <w:highlight w:val="none"/>
                <w:lang w:val="en-US" w:eastAsia="zh-CN"/>
              </w:rPr>
              <w:t xml:space="preserve">未提供的不得分。</w:t>
            </w:r>
            <w:r/>
          </w:p>
          <w:p>
            <w:pPr>
              <w:ind w:left="0" w:right="0" w:firstLine="0"/>
              <w:spacing w:after="62" w:line="240" w:lineRule="auto"/>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color w:val="auto"/>
                <w:sz w:val="24"/>
                <w:highlight w:val="none"/>
                <w:lang w:eastAsia="zh-CN"/>
              </w:rPr>
              <w:t xml:space="preserve">注：以上所称“瑕疵”是指：</w:t>
            </w:r>
            <w:r/>
          </w:p>
          <w:p>
            <w:pPr>
              <w:ind w:left="0" w:right="0" w:firstLine="0"/>
              <w:spacing w:after="62" w:line="240" w:lineRule="auto"/>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color w:val="auto"/>
                <w:sz w:val="24"/>
                <w:highlight w:val="none"/>
                <w:lang w:eastAsia="zh-CN"/>
              </w:rPr>
              <w:t xml:space="preserve">①内容空洞，缺乏可量化的关键信息、具体措施或明确承诺；</w:t>
            </w:r>
            <w:r/>
          </w:p>
          <w:p>
            <w:pPr>
              <w:ind w:left="0" w:right="0" w:firstLine="0"/>
              <w:spacing w:after="62" w:line="240" w:lineRule="auto"/>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color w:val="auto"/>
                <w:sz w:val="24"/>
                <w:highlight w:val="none"/>
                <w:lang w:eastAsia="zh-CN"/>
              </w:rPr>
              <w:t xml:space="preserve">②未专门针对本项目的特点和需求，或机械套用其他项目模板而未作针对性修改；</w:t>
            </w:r>
            <w:r/>
          </w:p>
          <w:p>
            <w:pPr>
              <w:ind w:left="0" w:right="0" w:firstLine="0"/>
              <w:spacing w:after="62" w:line="240" w:lineRule="auto"/>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color w:val="auto"/>
                <w:sz w:val="24"/>
                <w:highlight w:val="none"/>
                <w:lang w:eastAsia="zh-CN"/>
              </w:rPr>
              <w:t xml:space="preserve">③ 对同一问题的表述前后矛盾，令评委无法确认其真实意图；</w:t>
            </w:r>
            <w:r/>
          </w:p>
          <w:p>
            <w:pPr>
              <w:ind w:left="0" w:right="0" w:firstLine="0"/>
              <w:spacing w:after="62" w:line="240" w:lineRule="auto"/>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color w:val="auto"/>
                <w:sz w:val="24"/>
                <w:highlight w:val="none"/>
                <w:lang w:eastAsia="zh-CN"/>
              </w:rPr>
              <w:t xml:space="preserve">④存在明显的逻辑漏洞、常识性错误或违背行业标准；</w:t>
            </w:r>
            <w:r/>
          </w:p>
          <w:p>
            <w:pPr>
              <w:ind w:left="0" w:right="0" w:firstLine="0"/>
              <w:spacing w:after="62" w:line="240" w:lineRule="auto"/>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color w:val="auto"/>
                <w:sz w:val="24"/>
                <w:highlight w:val="none"/>
                <w:lang w:eastAsia="zh-CN"/>
              </w:rPr>
              <w:t xml:space="preserve">⑤方案或承诺违背采购文件实质性要求，或在现有技术条件下不可能实现。</w:t>
            </w:r>
            <w:r/>
          </w:p>
          <w:p>
            <w:pPr>
              <w:ind w:left="0" w:right="0" w:firstLine="0"/>
              <w:spacing w:after="62" w:line="240" w:lineRule="auto"/>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color w:val="auto"/>
                <w:sz w:val="24"/>
                <w:highlight w:val="none"/>
                <w:lang w:val="en-US" w:eastAsia="zh-CN"/>
              </w:rPr>
              <w:t xml:space="preserve">2</w:t>
            </w:r>
            <w:r>
              <w:rPr>
                <w:rFonts w:hint="eastAsia" w:ascii="Times New Roman" w:hAnsi="Times New Roman" w:eastAsia="方正公文仿宋" w:cs="Times New Roman"/>
                <w:color w:val="auto"/>
                <w:sz w:val="24"/>
                <w:highlight w:val="none"/>
                <w:lang w:eastAsia="zh-CN"/>
              </w:rPr>
              <w:t xml:space="preserve">.食堂功能区域清单中利旧的产品，须提供免费搬运、送货、安装、调试服务至甲方指定地点，提供承诺函，格式自拟。有承诺函的，得</w:t>
            </w:r>
            <w:r>
              <w:rPr>
                <w:rFonts w:hint="eastAsia" w:ascii="Times New Roman" w:hAnsi="Times New Roman" w:eastAsia="方正公文仿宋" w:cs="Times New Roman"/>
                <w:color w:val="auto"/>
                <w:sz w:val="24"/>
                <w:highlight w:val="none"/>
                <w:lang w:val="en-US" w:eastAsia="zh-CN"/>
              </w:rPr>
              <w:t xml:space="preserve">2</w:t>
            </w:r>
            <w:r>
              <w:rPr>
                <w:rFonts w:hint="eastAsia" w:ascii="Times New Roman" w:hAnsi="Times New Roman" w:eastAsia="方正公文仿宋" w:cs="Times New Roman"/>
                <w:color w:val="auto"/>
                <w:sz w:val="24"/>
                <w:highlight w:val="none"/>
                <w:lang w:eastAsia="zh-CN"/>
              </w:rPr>
              <w:t xml:space="preserve">分，未承诺0分。</w:t>
            </w:r>
            <w:r/>
          </w:p>
        </w:tc>
        <w:tc>
          <w:tcPr>
            <w:shd w:val="clear" w:color="auto" w:fill="auto"/>
            <w:tcW w:w="1120" w:type="dxa"/>
            <w:vAlign w:val="center"/>
            <w:textDirection w:val="lrTb"/>
            <w:noWrap w:val="false"/>
          </w:tcPr>
          <w:p>
            <w:pPr>
              <w:ind w:left="0" w:right="0" w:firstLine="0"/>
              <w:jc w:val="center"/>
              <w:spacing w:after="62" w:line="240" w:lineRule="auto"/>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主观分</w:t>
            </w:r>
            <w:r/>
          </w:p>
        </w:tc>
      </w:tr>
      <w:tr>
        <w:trPr>
          <w:jc w:val="center"/>
          <w:trHeight w:val="1701"/>
        </w:trPr>
        <w:tc>
          <w:tcPr>
            <w:shd w:val="clear" w:color="auto" w:fill="auto"/>
            <w:tcW w:w="880" w:type="dxa"/>
            <w:vAlign w:val="center"/>
            <w:textDirection w:val="lrTb"/>
            <w:noWrap w:val="false"/>
          </w:tcPr>
          <w:p>
            <w:pPr>
              <w:ind w:left="0" w:right="0" w:firstLine="0"/>
              <w:jc w:val="center"/>
              <w:spacing w:after="62" w:line="240" w:lineRule="auto"/>
              <w:widowControl/>
              <w:rPr>
                <w:rFonts w:hint="default" w:ascii="Times New Roman" w:hAnsi="Times New Roman" w:eastAsia="方正公文仿宋" w:cs="Times New Roman"/>
                <w:color w:val="auto"/>
                <w:sz w:val="24"/>
                <w:highlight w:val="none"/>
              </w:rPr>
            </w:pPr>
            <w:r>
              <w:rPr>
                <w:rFonts w:hint="eastAsia" w:eastAsia="方正公文仿宋" w:cs="Times New Roman"/>
                <w:color w:val="auto"/>
                <w:sz w:val="24"/>
                <w:highlight w:val="none"/>
                <w:lang w:val="en-US" w:eastAsia="zh-CN"/>
              </w:rPr>
              <w:t xml:space="preserve">3</w:t>
            </w:r>
            <w:r/>
          </w:p>
        </w:tc>
        <w:tc>
          <w:tcPr>
            <w:shd w:val="clear" w:color="auto" w:fill="auto"/>
            <w:tcW w:w="1064" w:type="dxa"/>
            <w:vAlign w:val="center"/>
            <w:textDirection w:val="lrTb"/>
            <w:noWrap w:val="false"/>
          </w:tcPr>
          <w:p>
            <w:pPr>
              <w:ind w:left="0" w:right="0" w:firstLine="0"/>
              <w:jc w:val="center"/>
              <w:spacing w:after="62" w:line="240" w:lineRule="auto"/>
              <w:widowControl/>
              <w:rPr>
                <w:rFonts w:ascii="Times New Roman" w:hAnsi="Times New Roman" w:eastAsia="方正公文仿宋" w:cs="Times New Roman"/>
                <w:color w:val="auto"/>
                <w:sz w:val="24"/>
                <w:highlight w:val="none"/>
              </w:rPr>
            </w:pPr>
            <w:r>
              <w:rPr>
                <w:rFonts w:hint="eastAsia" w:ascii="方正公文仿宋" w:hAnsi="方正公文仿宋" w:eastAsia="方正公文仿宋" w:cs="方正公文仿宋"/>
                <w:b w:val="0"/>
                <w:bCs/>
                <w:color w:val="auto"/>
                <w:sz w:val="24"/>
                <w:szCs w:val="24"/>
                <w:highlight w:val="none"/>
                <w:lang w:bidi="ar"/>
              </w:rPr>
              <w:t xml:space="preserve">配合措施及</w:t>
            </w:r>
            <w:r>
              <w:rPr>
                <w:rFonts w:hint="eastAsia" w:ascii="方正公文仿宋" w:hAnsi="方正公文仿宋" w:eastAsia="方正公文仿宋" w:cs="方正公文仿宋"/>
                <w:b w:val="0"/>
                <w:bCs/>
                <w:color w:val="auto"/>
                <w:sz w:val="24"/>
                <w:szCs w:val="24"/>
                <w:highlight w:val="none"/>
                <w:lang w:val="en-US" w:eastAsia="zh-CN" w:bidi="ar"/>
              </w:rPr>
              <w:t xml:space="preserve">确保项目实施</w:t>
            </w:r>
            <w:r>
              <w:rPr>
                <w:rFonts w:hint="eastAsia" w:ascii="方正公文仿宋" w:hAnsi="方正公文仿宋" w:eastAsia="方正公文仿宋" w:cs="方正公文仿宋"/>
                <w:b w:val="0"/>
                <w:bCs/>
                <w:color w:val="auto"/>
                <w:sz w:val="24"/>
                <w:szCs w:val="24"/>
                <w:highlight w:val="none"/>
                <w:lang w:bidi="ar"/>
              </w:rPr>
              <w:t xml:space="preserve">方案</w:t>
            </w:r>
            <w:r/>
          </w:p>
        </w:tc>
        <w:tc>
          <w:tcPr>
            <w:shd w:val="clear" w:color="auto" w:fill="auto"/>
            <w:tcW w:w="900" w:type="dxa"/>
            <w:vAlign w:val="center"/>
            <w:textDirection w:val="lrTb"/>
            <w:noWrap w:val="false"/>
          </w:tcPr>
          <w:p>
            <w:pPr>
              <w:ind w:left="0" w:right="0" w:firstLine="0"/>
              <w:jc w:val="center"/>
              <w:spacing w:after="62" w:line="240" w:lineRule="auto"/>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6</w:t>
            </w:r>
            <w:r/>
          </w:p>
        </w:tc>
        <w:tc>
          <w:tcPr>
            <w:shd w:val="clear" w:color="auto" w:fill="auto"/>
            <w:tcW w:w="5205" w:type="dxa"/>
            <w:vAlign w:val="center"/>
            <w:textDirection w:val="lrTb"/>
            <w:noWrap w:val="false"/>
          </w:tcPr>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评审委员会根据供应商提供的：</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①招标文件内容及施工情况提供的配合方案；</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②确保项目进行的施工方案及配合措施方案；</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③项目与各专业施工配合措施方案；</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整套配合保障内容阐述完整合理、逻辑条理清晰、完全贴合本项目采购需求，各项保障措施量化明确、落地性强、无任何瑕疵的得6分；</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存在1处瑕疵的得</w:t>
            </w:r>
            <w:r>
              <w:rPr>
                <w:rFonts w:hint="eastAsia" w:ascii="Times New Roman" w:hAnsi="Times New Roman" w:eastAsia="方正公文仿宋" w:cs="Times New Roman"/>
                <w:color w:val="auto"/>
                <w:sz w:val="24"/>
                <w:szCs w:val="24"/>
                <w:highlight w:val="none"/>
                <w:lang w:val="en-US" w:eastAsia="zh-CN"/>
              </w:rPr>
              <w:t xml:space="preserve">3</w:t>
            </w:r>
            <w:r>
              <w:rPr>
                <w:rFonts w:hint="eastAsia" w:ascii="Times New Roman" w:hAnsi="Times New Roman" w:eastAsia="方正公文仿宋" w:cs="Times New Roman"/>
                <w:color w:val="auto"/>
                <w:sz w:val="24"/>
                <w:szCs w:val="24"/>
                <w:highlight w:val="none"/>
              </w:rPr>
              <w:t xml:space="preserve">分；</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存在</w:t>
            </w:r>
            <w:r>
              <w:rPr>
                <w:rFonts w:hint="eastAsia" w:ascii="Times New Roman" w:hAnsi="Times New Roman" w:eastAsia="方正公文仿宋" w:cs="Times New Roman"/>
                <w:color w:val="auto"/>
                <w:sz w:val="24"/>
                <w:szCs w:val="24"/>
                <w:highlight w:val="none"/>
                <w:lang w:val="en-US" w:eastAsia="zh-CN"/>
              </w:rPr>
              <w:t xml:space="preserve">2</w:t>
            </w:r>
            <w:r>
              <w:rPr>
                <w:rFonts w:hint="eastAsia" w:ascii="Times New Roman" w:hAnsi="Times New Roman" w:eastAsia="方正公文仿宋" w:cs="Times New Roman"/>
                <w:color w:val="auto"/>
                <w:sz w:val="24"/>
                <w:szCs w:val="24"/>
                <w:highlight w:val="none"/>
              </w:rPr>
              <w:t xml:space="preserve">处瑕疵的得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未完整阐述保障配合内容、核心措施不满足项目实施要求，或存在3处及以上瑕疵的得</w:t>
            </w:r>
            <w:r>
              <w:rPr>
                <w:rFonts w:hint="eastAsia" w:ascii="Times New Roman" w:hAnsi="Times New Roman" w:eastAsia="方正公文仿宋" w:cs="Times New Roman"/>
                <w:color w:val="auto"/>
                <w:sz w:val="24"/>
                <w:szCs w:val="24"/>
                <w:highlight w:val="none"/>
                <w:lang w:val="en-US" w:eastAsia="zh-CN"/>
              </w:rPr>
              <w:t xml:space="preserve">0</w:t>
            </w:r>
            <w:r>
              <w:rPr>
                <w:rFonts w:hint="eastAsia" w:ascii="Times New Roman" w:hAnsi="Times New Roman" w:eastAsia="方正公文仿宋" w:cs="Times New Roman"/>
                <w:color w:val="auto"/>
                <w:sz w:val="24"/>
                <w:szCs w:val="24"/>
                <w:highlight w:val="none"/>
              </w:rPr>
              <w:t xml:space="preserve">分；</w:t>
            </w:r>
            <w:r/>
          </w:p>
          <w:p>
            <w:pPr>
              <w:pStyle w:val="1083"/>
              <w:ind w:left="0" w:right="0" w:firstLine="0"/>
              <w:keepLines w:val="0"/>
              <w:keepNext w:val="0"/>
              <w:pageBreakBefore w:val="0"/>
              <w:spacing w:after="0" w:line="240" w:lineRule="auto"/>
              <w:widowControl w:val="off"/>
              <w:rPr>
                <w:rFonts w:hint="eastAsia" w:ascii="Times New Roman" w:eastAsia="方正公文仿宋" w:cs="Times New Roman"/>
                <w:color w:val="auto"/>
                <w:sz w:val="24"/>
                <w:szCs w:val="24"/>
                <w:highlight w:val="none"/>
                <w:lang w:val="en-US" w:eastAsia="zh-CN"/>
              </w:rPr>
            </w:pPr>
            <w:r>
              <w:rPr>
                <w:rFonts w:hint="eastAsia" w:ascii="Times New Roman" w:eastAsia="方正公文仿宋" w:cs="Times New Roman"/>
                <w:color w:val="auto"/>
                <w:sz w:val="24"/>
                <w:szCs w:val="24"/>
                <w:highlight w:val="none"/>
                <w:lang w:val="en-US" w:eastAsia="zh-CN"/>
              </w:rPr>
              <w:t xml:space="preserve">未提供的不得分。</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注：以上所称“瑕疵”是指：</w:t>
            </w:r>
            <w:r/>
          </w:p>
          <w:p>
            <w:pPr>
              <w:pStyle w:val="1083"/>
              <w:numPr>
                <w:ilvl w:val="0"/>
                <w:numId w:val="0"/>
              </w:numPr>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eastAsia="方正公文仿宋" w:cs="Times New Roman"/>
                <w:color w:val="auto"/>
                <w:sz w:val="24"/>
                <w:szCs w:val="24"/>
                <w:highlight w:val="none"/>
                <w:lang w:eastAsia="zh-CN"/>
              </w:rPr>
              <w:t xml:space="preserve">①</w:t>
            </w:r>
            <w:r>
              <w:rPr>
                <w:rFonts w:hint="eastAsia" w:ascii="Times New Roman" w:hAnsi="Times New Roman" w:eastAsia="方正公文仿宋" w:cs="Times New Roman"/>
                <w:color w:val="auto"/>
                <w:sz w:val="24"/>
                <w:szCs w:val="24"/>
                <w:highlight w:val="none"/>
              </w:rPr>
              <w:t xml:space="preserve">内容空洞笼统，缺少可量化管控指标、落地执行细则、专人对接机制、时限承诺等关键实质性信息；</w:t>
            </w:r>
            <w:r/>
          </w:p>
          <w:p>
            <w:pPr>
              <w:pStyle w:val="1083"/>
              <w:numPr>
                <w:ilvl w:val="0"/>
                <w:numId w:val="0"/>
              </w:numPr>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② 未结合本项目工期、场地、设备、交付要求定制编制，直接套用通用模板，无针对性调整适配内容；</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③ 人员对接、交叉施工、进度保障、售后配合等内容前后表述冲突，评审无法判定实际执行标准；</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④ 保障方案存在流程逻辑漏洞、行业实施常识错误、不符合现行项目管理规范标准；</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⑤ 人员配置、资源投入、进度保障、协调配合相关承诺违背采购文件硬性要求，或现有人力、技术、资源条件下无法落地兑现；</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⑥ 未针对甲方、监理、其他施工单位的多方协同制定专项配合管控措施，无冲突协调、现场配合应急处置机制。</w:t>
            </w:r>
            <w:r/>
          </w:p>
        </w:tc>
        <w:tc>
          <w:tcPr>
            <w:shd w:val="clear" w:color="auto" w:fill="auto"/>
            <w:tcW w:w="1120" w:type="dxa"/>
            <w:vAlign w:val="center"/>
            <w:textDirection w:val="lrTb"/>
            <w:noWrap w:val="false"/>
          </w:tcPr>
          <w:p>
            <w:pPr>
              <w:pStyle w:val="1083"/>
              <w:ind w:left="0" w:right="0" w:firstLine="0"/>
              <w:spacing w:after="62" w:line="240" w:lineRule="auto"/>
              <w:rPr>
                <w:rFonts w:ascii="Times New Roman" w:hAnsi="Times New Roman" w:eastAsia="方正公文仿宋" w:cs="Times New Roman"/>
                <w:color w:val="auto"/>
                <w:sz w:val="24"/>
                <w:szCs w:val="24"/>
                <w:highlight w:val="none"/>
              </w:rPr>
            </w:pPr>
            <w:r>
              <w:rPr>
                <w:rFonts w:hint="eastAsia" w:ascii="方正公文仿宋" w:hAnsi="方正公文仿宋" w:eastAsia="方正公文仿宋" w:cs="方正公文仿宋"/>
                <w:color w:val="auto"/>
                <w:sz w:val="24"/>
                <w:highlight w:val="none"/>
                <w:lang w:val="en-US" w:eastAsia="zh-CN"/>
              </w:rPr>
              <w:t xml:space="preserve">主观分</w:t>
            </w:r>
            <w:r/>
          </w:p>
        </w:tc>
      </w:tr>
      <w:tr>
        <w:trPr>
          <w:jc w:val="center"/>
          <w:trHeight w:val="2866"/>
        </w:trPr>
        <w:tc>
          <w:tcPr>
            <w:shd w:val="clear" w:color="auto" w:fill="auto"/>
            <w:tcW w:w="880" w:type="dxa"/>
            <w:vAlign w:val="center"/>
            <w:textDirection w:val="lrTb"/>
            <w:noWrap w:val="false"/>
          </w:tcPr>
          <w:p>
            <w:pPr>
              <w:ind w:left="0" w:right="0" w:firstLine="0"/>
              <w:jc w:val="center"/>
              <w:spacing w:after="62" w:line="240" w:lineRule="auto"/>
              <w:widowControl/>
              <w:rPr>
                <w:rFonts w:hint="default" w:ascii="Times New Roman" w:hAnsi="Times New Roman" w:eastAsia="方正公文仿宋" w:cs="Times New Roman"/>
                <w:color w:val="auto"/>
                <w:sz w:val="24"/>
                <w:highlight w:val="none"/>
              </w:rPr>
            </w:pPr>
            <w:r>
              <w:rPr>
                <w:rFonts w:hint="eastAsia" w:eastAsia="方正公文仿宋" w:cs="Times New Roman"/>
                <w:color w:val="auto"/>
                <w:sz w:val="24"/>
                <w:highlight w:val="none"/>
                <w:lang w:val="en-US" w:eastAsia="zh-CN"/>
              </w:rPr>
              <w:t xml:space="preserve">4</w:t>
            </w:r>
            <w:r/>
          </w:p>
        </w:tc>
        <w:tc>
          <w:tcPr>
            <w:shd w:val="clear" w:color="auto" w:fill="auto"/>
            <w:tcW w:w="1064" w:type="dxa"/>
            <w:vAlign w:val="center"/>
            <w:textDirection w:val="lrTb"/>
            <w:noWrap w:val="false"/>
          </w:tcPr>
          <w:p>
            <w:pPr>
              <w:ind w:left="0" w:right="0" w:firstLine="0"/>
              <w:jc w:val="center"/>
              <w:spacing w:after="62" w:line="240" w:lineRule="auto"/>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培训、售后服务方案</w:t>
            </w:r>
            <w:r/>
          </w:p>
        </w:tc>
        <w:tc>
          <w:tcPr>
            <w:shd w:val="clear" w:color="auto" w:fill="auto"/>
            <w:tcW w:w="900" w:type="dxa"/>
            <w:vAlign w:val="center"/>
            <w:textDirection w:val="lrTb"/>
            <w:noWrap w:val="false"/>
          </w:tcPr>
          <w:p>
            <w:pPr>
              <w:ind w:left="0" w:right="0" w:firstLine="0"/>
              <w:jc w:val="center"/>
              <w:spacing w:after="62" w:line="240" w:lineRule="auto"/>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lang w:val="en-US" w:eastAsia="zh-CN"/>
              </w:rPr>
              <w:t xml:space="preserve">6</w:t>
            </w:r>
            <w:r/>
          </w:p>
        </w:tc>
        <w:tc>
          <w:tcPr>
            <w:shd w:val="clear" w:color="auto" w:fill="auto"/>
            <w:tcW w:w="5205" w:type="dxa"/>
            <w:vAlign w:val="center"/>
            <w:textDirection w:val="lrTb"/>
            <w:noWrap w:val="false"/>
          </w:tcPr>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评审委员会根据供应商的</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①服务响应时间、服务措施及人员培训；</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②专业服务团队及应急方案；</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③备品备件；</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整套培训及售后服务内容阐述完整详实、条理清晰、贴合本项目全部采购需求，所有培训计划、售后保障举措量化清晰、落地可行，无任何瑕疵的得6分；</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存在1处瑕疵的得</w:t>
            </w:r>
            <w:r>
              <w:rPr>
                <w:rFonts w:hint="eastAsia" w:ascii="Times New Roman" w:hAnsi="Times New Roman" w:eastAsia="方正公文仿宋" w:cs="Times New Roman"/>
                <w:color w:val="auto"/>
                <w:sz w:val="24"/>
                <w:szCs w:val="24"/>
                <w:highlight w:val="none"/>
                <w:lang w:val="en-US" w:eastAsia="zh-CN"/>
              </w:rPr>
              <w:t xml:space="preserve">3</w:t>
            </w:r>
            <w:r>
              <w:rPr>
                <w:rFonts w:hint="eastAsia" w:ascii="Times New Roman" w:hAnsi="Times New Roman" w:eastAsia="方正公文仿宋" w:cs="Times New Roman"/>
                <w:color w:val="auto"/>
                <w:sz w:val="24"/>
                <w:szCs w:val="24"/>
                <w:highlight w:val="none"/>
              </w:rPr>
              <w:t xml:space="preserve">分；</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存在2处瑕疵的得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仅简单简述、核心培训/售后内容不满足采购要求，或存在3处及以上瑕疵的得</w:t>
            </w:r>
            <w:r>
              <w:rPr>
                <w:rFonts w:hint="eastAsia" w:ascii="Times New Roman" w:hAnsi="Times New Roman" w:eastAsia="方正公文仿宋" w:cs="Times New Roman"/>
                <w:color w:val="auto"/>
                <w:sz w:val="24"/>
                <w:szCs w:val="24"/>
                <w:highlight w:val="none"/>
                <w:lang w:val="en-US" w:eastAsia="zh-CN"/>
              </w:rPr>
              <w:t xml:space="preserve">0</w:t>
            </w:r>
            <w:r>
              <w:rPr>
                <w:rFonts w:hint="eastAsia" w:ascii="Times New Roman" w:hAnsi="Times New Roman" w:eastAsia="方正公文仿宋" w:cs="Times New Roman"/>
                <w:color w:val="auto"/>
                <w:sz w:val="24"/>
                <w:szCs w:val="24"/>
                <w:highlight w:val="none"/>
              </w:rPr>
              <w:t xml:space="preserve">分；</w:t>
            </w:r>
            <w:r/>
          </w:p>
          <w:p>
            <w:pPr>
              <w:pStyle w:val="1083"/>
              <w:ind w:left="0" w:right="0" w:firstLine="0"/>
              <w:keepLines w:val="0"/>
              <w:keepNext w:val="0"/>
              <w:pageBreakBefore w:val="0"/>
              <w:spacing w:after="0" w:line="240" w:lineRule="auto"/>
              <w:widowControl w:val="off"/>
              <w:rPr>
                <w:rFonts w:hint="eastAsia" w:ascii="Times New Roman" w:eastAsia="方正公文仿宋" w:cs="Times New Roman"/>
                <w:color w:val="auto"/>
                <w:sz w:val="24"/>
                <w:szCs w:val="24"/>
                <w:highlight w:val="none"/>
                <w:lang w:val="en-US" w:eastAsia="zh-CN"/>
              </w:rPr>
            </w:pPr>
            <w:r>
              <w:rPr>
                <w:rFonts w:hint="eastAsia" w:ascii="Times New Roman" w:eastAsia="方正公文仿宋" w:cs="Times New Roman"/>
                <w:color w:val="auto"/>
                <w:sz w:val="24"/>
                <w:szCs w:val="24"/>
                <w:highlight w:val="none"/>
                <w:lang w:val="en-US" w:eastAsia="zh-CN"/>
              </w:rPr>
              <w:t xml:space="preserve">未提供的不得分。</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注：以上所称“瑕疵”是指：</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① 内容空洞笼统，缺少可量化培训课时、参训人员层级、售后响应时效、备品备件储备量、维保周期、上门服务时限等关键信息与明确承诺；</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② 未结合本项目设备类型、使用人员、运维场景、使用周期定制方案，直接套用通用模板，未针对本项目需求做专项调整；</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③ 培训安排、报修流程、故障处置、质保维保、增值服务等内容前后表述矛盾，评审无法确认实际执行标准；</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④ 培训计划、售后维保流程存在逻辑漏洞、行业服务常识错误，不符合对应设备运维、服务行业规范标准；</w:t>
            </w:r>
            <w:r/>
          </w:p>
          <w:p>
            <w:pPr>
              <w:pStyle w:val="1083"/>
              <w:ind w:left="0" w:right="0" w:firstLine="0"/>
              <w:keepLines w:val="0"/>
              <w:keepNext w:val="0"/>
              <w:pageBreakBefore w:val="0"/>
              <w:spacing w:after="0" w:line="240" w:lineRule="auto"/>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⑤ 培训目标、售后时效、质保范围、故障修复承诺违背采购文件实质性条款，或现有人员、仓储、技术条件下无法兑现；</w:t>
            </w:r>
            <w:r/>
          </w:p>
          <w:p>
            <w:pPr>
              <w:pStyle w:val="1083"/>
              <w:ind w:left="0" w:right="0" w:firstLine="0"/>
              <w:keepLines w:val="0"/>
              <w:keepNext w:val="0"/>
              <w:pageBreakBefore w:val="0"/>
              <w:spacing w:after="0" w:line="240" w:lineRule="auto"/>
              <w:widowControl w:val="off"/>
              <w:rPr>
                <w:rFonts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⑥ 未区分操作岗、管理岗、运维岗制定分层培训方案，无重大故障应急处置、定期巡检、客户回访专项保障措施。</w:t>
            </w:r>
            <w:r/>
          </w:p>
        </w:tc>
        <w:tc>
          <w:tcPr>
            <w:shd w:val="clear" w:color="auto" w:fill="auto"/>
            <w:tcW w:w="1120" w:type="dxa"/>
            <w:vAlign w:val="center"/>
            <w:textDirection w:val="lrTb"/>
            <w:noWrap w:val="false"/>
          </w:tcPr>
          <w:p>
            <w:pPr>
              <w:pStyle w:val="1083"/>
              <w:ind w:left="0" w:right="0" w:firstLine="0"/>
              <w:spacing w:after="62" w:line="240" w:lineRule="auto"/>
              <w:rPr>
                <w:rFonts w:ascii="Times New Roman" w:hAnsi="Times New Roman" w:eastAsia="方正公文仿宋" w:cs="Times New Roman"/>
                <w:color w:val="auto"/>
                <w:sz w:val="24"/>
                <w:szCs w:val="24"/>
                <w:highlight w:val="none"/>
              </w:rPr>
            </w:pPr>
            <w:r>
              <w:rPr>
                <w:rFonts w:ascii="Times New Roman" w:hAnsi="Times New Roman" w:eastAsia="方正公文仿宋" w:cs="Times New Roman"/>
                <w:color w:val="auto"/>
                <w:sz w:val="24"/>
                <w:szCs w:val="24"/>
                <w:highlight w:val="none"/>
              </w:rPr>
              <w:t xml:space="preserve">主观分</w:t>
            </w:r>
            <w:r/>
          </w:p>
        </w:tc>
      </w:tr>
    </w:tbl>
    <w:p>
      <w:pPr>
        <w:rPr>
          <w:rFonts w:ascii="Times New Roman" w:eastAsia="方正公文仿宋" w:cs="Times New Roman"/>
          <w:color w:val="auto"/>
          <w:sz w:val="28"/>
          <w:szCs w:val="28"/>
          <w:highlight w:val="none"/>
        </w:rPr>
      </w:pPr>
      <w:r>
        <w:rPr>
          <w:rFonts w:ascii="Times New Roman" w:eastAsia="方正公文仿宋" w:cs="Times New Roman"/>
          <w:color w:val="auto"/>
          <w:sz w:val="28"/>
          <w:szCs w:val="28"/>
          <w:highlight w:val="none"/>
        </w:rPr>
        <w:br w:type="page" w:clear="all"/>
      </w:r>
      <w:r/>
    </w:p>
    <w:p>
      <w:pPr>
        <w:pStyle w:val="1109"/>
        <w:jc w:val="center"/>
        <w:rPr>
          <w:rFonts w:hint="eastAsia"/>
          <w:color w:val="auto"/>
          <w:highlight w:val="none"/>
        </w:rPr>
        <w:outlineLvl w:val="0"/>
      </w:pPr>
      <w:r/>
      <w:bookmarkStart w:id="199" w:name="_Toc5488"/>
      <w:r>
        <w:rPr>
          <w:rFonts w:hint="eastAsia" w:ascii="黑体" w:hAnsi="Times New Roman" w:eastAsia="黑体" w:cs="Times New Roman"/>
          <w:b/>
          <w:bCs/>
          <w:color w:val="auto"/>
          <w:sz w:val="44"/>
          <w:szCs w:val="28"/>
          <w:highlight w:val="none"/>
        </w:rPr>
        <w:t xml:space="preserve">第六章</w:t>
      </w:r>
      <w:r>
        <w:rPr>
          <w:rFonts w:hint="eastAsia" w:ascii="黑体" w:hAnsi="Times New Roman" w:eastAsia="黑体" w:cs="Times New Roman"/>
          <w:b/>
          <w:bCs/>
          <w:color w:val="auto"/>
          <w:sz w:val="44"/>
          <w:szCs w:val="28"/>
          <w:highlight w:val="none"/>
          <w:lang w:val="en-US" w:eastAsia="zh-CN"/>
        </w:rPr>
        <w:t xml:space="preserve"> 投标文件格式</w:t>
      </w:r>
      <w:bookmarkEnd w:id="199"/>
      <w:r/>
      <w:r/>
    </w:p>
    <w:p>
      <w:pPr>
        <w:jc w:val="left"/>
        <w:keepLines w:val="0"/>
        <w:keepNext w:val="0"/>
        <w:widowControl/>
        <w:rPr>
          <w:rFonts w:hint="eastAsia" w:ascii="仿宋" w:hAnsi="仿宋" w:eastAsia="仿宋" w:cs="仿宋"/>
          <w:b/>
          <w:bCs w:val="0"/>
          <w:color w:val="ff0000"/>
          <w:sz w:val="28"/>
          <w:szCs w:val="28"/>
        </w:rPr>
        <w:suppressLineNumbers w:val="0"/>
      </w:pPr>
      <w:r>
        <w:rPr>
          <w:rStyle w:val="1102"/>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1109"/>
        <w:jc w:val="center"/>
        <w:rPr>
          <w:rFonts w:hint="eastAsia"/>
          <w:color w:val="auto"/>
          <w:highlight w:val="none"/>
        </w:rPr>
      </w:pPr>
      <w:r>
        <w:rPr>
          <w:rFonts w:hint="eastAsia"/>
          <w:color w:val="auto"/>
          <w:highlight w:val="none"/>
        </w:rPr>
      </w:r>
      <w:r/>
    </w:p>
    <w:p>
      <w:pPr>
        <w:pStyle w:val="1109"/>
        <w:jc w:val="center"/>
        <w:rPr>
          <w:rFonts w:hint="eastAsia"/>
          <w:color w:val="auto"/>
          <w:highlight w:val="none"/>
        </w:rPr>
      </w:pPr>
      <w:r>
        <w:rPr>
          <w:rFonts w:hint="eastAsia"/>
          <w:color w:val="auto"/>
          <w:highlight w:val="none"/>
        </w:rPr>
      </w:r>
      <w:r/>
    </w:p>
    <w:p>
      <w:pPr>
        <w:pStyle w:val="1109"/>
        <w:jc w:val="center"/>
        <w:rPr>
          <w:rFonts w:hint="default"/>
          <w:color w:val="auto"/>
          <w:highlight w:val="none"/>
        </w:rPr>
      </w:pPr>
      <w:r>
        <w:rPr>
          <w:rFonts w:hint="default"/>
          <w:color w:val="auto"/>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Style w:val="1109"/>
        <w:ind w:firstLine="600"/>
        <w:rPr>
          <w:rFonts w:hint="eastAsia"/>
          <w:color w:val="auto"/>
          <w:highlight w:val="none"/>
        </w:rPr>
      </w:pPr>
      <w:r>
        <w:rPr>
          <w:rFonts w:hint="eastAsia"/>
          <w:color w:val="auto"/>
          <w:highlight w:val="none"/>
        </w:rPr>
      </w:r>
      <w:r/>
    </w:p>
    <w:p>
      <w:pPr>
        <w:pStyle w:val="1109"/>
        <w:ind w:firstLine="600"/>
        <w:rPr>
          <w:rFonts w:hint="eastAsia"/>
          <w:color w:val="auto"/>
          <w:highlight w:val="none"/>
        </w:rPr>
      </w:pPr>
      <w:r>
        <w:rPr>
          <w:rFonts w:hint="eastAsia"/>
          <w:color w:val="auto"/>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ind w:left="480"/>
        <w:keepLines w:val="0"/>
        <w:keepNext w:val="0"/>
        <w:pageBreakBefore w:val="0"/>
        <w:spacing w:line="44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一、基本目录</w:t>
      </w:r>
      <w:r/>
    </w:p>
    <w:p>
      <w:pPr>
        <w:ind w:left="480"/>
        <w:keepLines w:val="0"/>
        <w:keepNext w:val="0"/>
        <w:pageBreakBefore w:val="0"/>
        <w:spacing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开标一览表（格式见附件</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p>
    <w:p>
      <w:pPr>
        <w:ind w:left="480"/>
        <w:keepLines w:val="0"/>
        <w:keepNext w:val="0"/>
        <w:pageBreakBefore w:val="0"/>
        <w:spacing w:line="44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投标分项报价表（格式见</w:t>
      </w:r>
      <w:r>
        <w:rPr>
          <w:rFonts w:ascii="仿宋" w:hAnsi="仿宋" w:eastAsia="仿宋"/>
          <w:color w:val="auto"/>
          <w:sz w:val="28"/>
          <w:szCs w:val="28"/>
          <w:highlight w:val="none"/>
        </w:rPr>
        <w:t xml:space="preserve">附件2</w:t>
      </w:r>
      <w:r>
        <w:rPr>
          <w:rFonts w:hint="eastAsia" w:ascii="仿宋" w:hAnsi="仿宋" w:eastAsia="仿宋"/>
          <w:color w:val="auto"/>
          <w:sz w:val="28"/>
          <w:szCs w:val="28"/>
          <w:highlight w:val="none"/>
        </w:rPr>
        <w:t xml:space="preserve">）</w:t>
      </w:r>
      <w:r/>
    </w:p>
    <w:p>
      <w:pPr>
        <w:ind w:left="480"/>
        <w:keepLines w:val="0"/>
        <w:keepNext w:val="0"/>
        <w:pageBreakBefore w:val="0"/>
        <w:spacing w:line="44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二</w:t>
      </w:r>
      <w:r>
        <w:rPr>
          <w:rFonts w:ascii="仿宋" w:hAnsi="仿宋" w:eastAsia="仿宋"/>
          <w:b/>
          <w:color w:val="auto"/>
          <w:sz w:val="28"/>
          <w:szCs w:val="28"/>
          <w:highlight w:val="none"/>
        </w:rPr>
        <w:t xml:space="preserve">、资格审查内容</w:t>
      </w:r>
      <w:r/>
    </w:p>
    <w:p>
      <w:pPr>
        <w:ind w:firstLine="560"/>
        <w:keepLines w:val="0"/>
        <w:keepNext w:val="0"/>
        <w:pageBreakBefore w:val="0"/>
        <w:spacing w:line="440" w:lineRule="exact"/>
        <w:widowControl w:val="off"/>
        <w:rPr>
          <w:rFonts w:ascii="宋体" w:hAnsi="宋体" w:eastAsia="仿宋"/>
          <w:b/>
          <w:color w:val="auto"/>
          <w:sz w:val="30"/>
          <w:szCs w:val="30"/>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投标人符合</w:t>
      </w:r>
      <w:r>
        <w:rPr>
          <w:rFonts w:hint="eastAsia" w:ascii="仿宋" w:hAnsi="仿宋" w:eastAsia="仿宋"/>
          <w:color w:val="auto"/>
          <w:sz w:val="28"/>
          <w:szCs w:val="28"/>
          <w:highlight w:val="none"/>
          <w:lang w:eastAsia="zh-CN"/>
        </w:rPr>
        <w:t xml:space="preserve">《中华人民共和国政府采购法》</w:t>
      </w:r>
      <w:r>
        <w:rPr>
          <w:rFonts w:hint="eastAsia" w:ascii="仿宋" w:hAnsi="仿宋" w:eastAsia="仿宋"/>
          <w:color w:val="auto"/>
          <w:sz w:val="28"/>
          <w:szCs w:val="28"/>
          <w:highlight w:val="none"/>
        </w:rPr>
        <w:t xml:space="preserve">第二十二条规定条件的声明函（格式见附件</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p>
    <w:p>
      <w:pPr>
        <w:pStyle w:val="1351"/>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特定资格要求的证明文件（如果本项目对投标人</w:t>
      </w:r>
      <w:r>
        <w:rPr>
          <w:rFonts w:ascii="仿宋" w:hAnsi="仿宋" w:eastAsia="仿宋"/>
          <w:color w:val="auto"/>
          <w:sz w:val="28"/>
          <w:szCs w:val="28"/>
          <w:highlight w:val="none"/>
        </w:rPr>
        <w:t xml:space="preserve">做出特定资格要求的</w:t>
      </w:r>
      <w:r>
        <w:rPr>
          <w:rFonts w:hint="eastAsia" w:ascii="仿宋" w:hAnsi="仿宋" w:eastAsia="仿宋"/>
          <w:color w:val="auto"/>
          <w:sz w:val="28"/>
          <w:szCs w:val="28"/>
          <w:highlight w:val="none"/>
        </w:rPr>
        <w:t xml:space="preserve">，必须提供）</w:t>
      </w:r>
      <w:r/>
    </w:p>
    <w:p>
      <w:pPr>
        <w:pStyle w:val="1351"/>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提供有效的营业执照复印件加盖公章</w:t>
      </w:r>
      <w:r/>
    </w:p>
    <w:p>
      <w:pPr>
        <w:pStyle w:val="1351"/>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法定代表人身份证明</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见附件</w:t>
      </w:r>
      <w:r>
        <w:rPr>
          <w:rFonts w:hint="eastAsia" w:ascii="仿宋" w:hAnsi="仿宋" w:eastAsia="仿宋"/>
          <w:color w:val="auto"/>
          <w:sz w:val="28"/>
          <w:szCs w:val="28"/>
          <w:highlight w:val="none"/>
          <w:lang w:val="en-US" w:eastAsia="zh-CN"/>
        </w:rPr>
        <w:t xml:space="preserve">4</w:t>
      </w:r>
      <w:r>
        <w:rPr>
          <w:rFonts w:ascii="仿宋" w:hAnsi="仿宋" w:eastAsia="仿宋"/>
          <w:color w:val="auto"/>
          <w:sz w:val="28"/>
          <w:szCs w:val="28"/>
          <w:highlight w:val="none"/>
        </w:rPr>
        <w:t xml:space="preserve">）</w:t>
      </w:r>
      <w:r/>
    </w:p>
    <w:p>
      <w:pPr>
        <w:pStyle w:val="1351"/>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eastAsia="方正仿宋_GBK"/>
          <w:color w:val="auto"/>
          <w:sz w:val="28"/>
          <w:szCs w:val="28"/>
          <w:highlight w:val="none"/>
          <w:lang w:val="zh-CN"/>
        </w:rPr>
        <w:t xml:space="preserve">法定代表人授权委托书</w:t>
      </w:r>
      <w:r>
        <w:rPr>
          <w:rFonts w:hint="eastAsia" w:ascii="仿宋" w:hAnsi="仿宋" w:eastAsia="仿宋"/>
          <w:color w:val="auto"/>
          <w:sz w:val="28"/>
          <w:szCs w:val="28"/>
          <w:highlight w:val="none"/>
        </w:rPr>
        <w:t xml:space="preserve">（格式见附件</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w:t>
      </w:r>
      <w:r/>
    </w:p>
    <w:p>
      <w:pPr>
        <w:ind w:left="0" w:right="0" w:firstLine="560"/>
        <w:jc w:val="both"/>
        <w:keepLines w:val="0"/>
        <w:keepNext w:val="0"/>
        <w:pageBreakBefore w:val="0"/>
        <w:spacing w:before="0" w:after="0" w:line="440" w:lineRule="exact"/>
        <w:widowControl w:val="off"/>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6.投标函（格式见附件</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w:t>
      </w:r>
      <w:r/>
    </w:p>
    <w:p>
      <w:pPr>
        <w:ind w:left="0" w:right="0" w:firstLine="560"/>
        <w:jc w:val="both"/>
        <w:keepLines w:val="0"/>
        <w:keepNext w:val="0"/>
        <w:pageBreakBefore w:val="0"/>
        <w:spacing w:before="0" w:after="0" w:line="440" w:lineRule="exact"/>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7.中小微企业声明函（如果本项目专门面向中小微型企业采购，则必须提供。格式见附件9）</w:t>
      </w:r>
      <w:r/>
    </w:p>
    <w:p>
      <w:pPr>
        <w:ind w:left="0" w:right="0" w:firstLine="56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8.残疾人福利性单位声明函（如果本项目专门面向中小微型企业采购，供应商为残疾人福利性单位并提供本单位制造的货物，或者提供其他残疾人福利性单位制造的货物，则必须提供。格式见附件10）</w:t>
      </w:r>
      <w:r/>
    </w:p>
    <w:p>
      <w:pPr>
        <w:ind w:left="0" w:right="0" w:firstLine="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备注：上述“资格审查内容”中1、3、4、6条投标人必须在投标文件中提供相关材料，否则作无效投标处理；2、5、7、8条如招标文件要求必须提供相关材料而未提供的，作无效投标处理。</w:t>
      </w:r>
      <w:r/>
    </w:p>
    <w:p>
      <w:pPr>
        <w:ind w:left="480"/>
        <w:keepLines w:val="0"/>
        <w:keepNext w:val="0"/>
        <w:pageBreakBefore w:val="0"/>
        <w:spacing w:line="440" w:lineRule="exact"/>
        <w:widowControl w:val="off"/>
        <w:rPr>
          <w:rFonts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三</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符合性</w:t>
      </w:r>
      <w:r>
        <w:rPr>
          <w:rFonts w:ascii="仿宋" w:hAnsi="仿宋" w:eastAsia="仿宋"/>
          <w:b/>
          <w:color w:val="auto"/>
          <w:sz w:val="28"/>
          <w:szCs w:val="28"/>
          <w:highlight w:val="none"/>
        </w:rPr>
        <w:t xml:space="preserve">审查内容</w:t>
      </w:r>
      <w:r/>
    </w:p>
    <w:p>
      <w:pPr>
        <w:ind w:firstLine="560"/>
        <w:keepLines w:val="0"/>
        <w:keepNext w:val="0"/>
        <w:pageBreakBefore w:val="0"/>
        <w:spacing w:line="440" w:lineRule="exact"/>
        <w:widowControl w:val="o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投标人必须</w:t>
      </w:r>
      <w:r>
        <w:rPr>
          <w:rFonts w:ascii="仿宋" w:hAnsi="仿宋" w:eastAsia="仿宋"/>
          <w:b/>
          <w:bCs/>
          <w:color w:val="auto"/>
          <w:sz w:val="28"/>
          <w:szCs w:val="28"/>
          <w:highlight w:val="none"/>
        </w:rPr>
        <w:t xml:space="preserve">对</w:t>
      </w:r>
      <w:r>
        <w:rPr>
          <w:rFonts w:hint="eastAsia" w:ascii="仿宋" w:hAnsi="仿宋" w:eastAsia="仿宋"/>
          <w:b/>
          <w:bCs/>
          <w:color w:val="auto"/>
          <w:sz w:val="28"/>
          <w:szCs w:val="28"/>
          <w:highlight w:val="none"/>
        </w:rPr>
        <w:t xml:space="preserve">采购需求中</w:t>
      </w:r>
      <w:r>
        <w:rPr>
          <w:rFonts w:ascii="仿宋" w:hAnsi="仿宋" w:eastAsia="仿宋"/>
          <w:b/>
          <w:bCs/>
          <w:color w:val="auto"/>
          <w:sz w:val="28"/>
          <w:szCs w:val="28"/>
          <w:highlight w:val="none"/>
        </w:rPr>
        <w:t xml:space="preserve">加下划线的实质性要求</w:t>
      </w:r>
      <w:r>
        <w:rPr>
          <w:rFonts w:hint="eastAsia" w:ascii="仿宋" w:hAnsi="仿宋" w:eastAsia="仿宋"/>
          <w:b/>
          <w:bCs/>
          <w:color w:val="auto"/>
          <w:sz w:val="28"/>
          <w:szCs w:val="28"/>
          <w:highlight w:val="none"/>
        </w:rPr>
        <w:t xml:space="preserve">逐条</w:t>
      </w:r>
      <w:r>
        <w:rPr>
          <w:rFonts w:ascii="仿宋" w:hAnsi="仿宋" w:eastAsia="仿宋"/>
          <w:b/>
          <w:bCs/>
          <w:color w:val="auto"/>
          <w:sz w:val="28"/>
          <w:szCs w:val="28"/>
          <w:highlight w:val="none"/>
        </w:rPr>
        <w:t xml:space="preserve">做出响应，并按照招标</w:t>
      </w:r>
      <w:r>
        <w:rPr>
          <w:rFonts w:hint="eastAsia" w:ascii="仿宋" w:hAnsi="仿宋" w:eastAsia="仿宋"/>
          <w:b/>
          <w:bCs/>
          <w:color w:val="auto"/>
          <w:sz w:val="28"/>
          <w:szCs w:val="28"/>
          <w:highlight w:val="none"/>
        </w:rPr>
        <w:t xml:space="preserve">文件</w:t>
      </w:r>
      <w:r>
        <w:rPr>
          <w:rFonts w:ascii="仿宋" w:hAnsi="仿宋" w:eastAsia="仿宋"/>
          <w:b/>
          <w:bCs/>
          <w:color w:val="auto"/>
          <w:sz w:val="28"/>
          <w:szCs w:val="28"/>
          <w:highlight w:val="none"/>
        </w:rPr>
        <w:t xml:space="preserve">要求提供</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，否则</w:t>
      </w:r>
      <w:r>
        <w:rPr>
          <w:rFonts w:hint="eastAsia" w:ascii="仿宋" w:hAnsi="仿宋" w:eastAsia="仿宋"/>
          <w:b/>
          <w:bCs/>
          <w:color w:val="auto"/>
          <w:sz w:val="28"/>
          <w:szCs w:val="28"/>
          <w:highlight w:val="none"/>
          <w:lang w:eastAsia="zh-CN"/>
        </w:rPr>
        <w:t xml:space="preserve">作</w:t>
      </w:r>
      <w:r>
        <w:rPr>
          <w:rFonts w:hint="eastAsia" w:ascii="仿宋" w:hAnsi="仿宋" w:eastAsia="仿宋"/>
          <w:b/>
          <w:bCs/>
          <w:color w:val="auto"/>
          <w:sz w:val="28"/>
          <w:szCs w:val="28"/>
          <w:highlight w:val="none"/>
        </w:rPr>
        <w:t xml:space="preserve">无效投标处理。</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技术要求响应及偏离表（格式见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商务要求响应及偏离表（格式见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w:t>
      </w:r>
      <w:r/>
    </w:p>
    <w:p>
      <w:pPr>
        <w:ind w:left="0" w:right="0" w:firstLine="48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四、价格扣除证明文件</w:t>
      </w:r>
      <w:r/>
    </w:p>
    <w:p>
      <w:pPr>
        <w:ind w:left="0" w:right="0" w:firstLine="560"/>
        <w:jc w:val="both"/>
        <w:keepLines w:val="0"/>
        <w:keepNext w:val="0"/>
        <w:pageBreakBefore w:val="0"/>
        <w:spacing w:before="0" w:after="0" w:line="44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1.中小微企业声明函（格式见附件</w:t>
      </w:r>
      <w:r>
        <w:rPr>
          <w:rFonts w:hint="eastAsia" w:ascii="仿宋" w:hAnsi="仿宋" w:eastAsia="仿宋" w:cs="仿宋"/>
          <w:color w:val="auto"/>
          <w:sz w:val="28"/>
          <w:highlight w:val="none"/>
          <w:lang w:val="en-US" w:eastAsia="zh-CN"/>
        </w:rPr>
        <w:t xml:space="preserve">9</w:t>
      </w:r>
      <w:r>
        <w:rPr>
          <w:rFonts w:ascii="仿宋" w:hAnsi="仿宋" w:eastAsia="仿宋" w:cs="仿宋"/>
          <w:color w:val="auto"/>
          <w:sz w:val="28"/>
          <w:highlight w:val="none"/>
        </w:rPr>
        <w:t xml:space="preserve">）</w:t>
      </w:r>
      <w:r/>
    </w:p>
    <w:p>
      <w:pPr>
        <w:ind w:left="0" w:right="0" w:firstLine="560"/>
        <w:jc w:val="both"/>
        <w:keepLines w:val="0"/>
        <w:keepNext w:val="0"/>
        <w:pageBreakBefore w:val="0"/>
        <w:spacing w:before="0" w:after="0" w:line="440" w:lineRule="exact"/>
        <w:widowControl w:val="off"/>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2.残疾人福利性单位声明函（格式见附件</w:t>
      </w:r>
      <w:r>
        <w:rPr>
          <w:rFonts w:hint="eastAsia" w:ascii="仿宋" w:hAnsi="仿宋" w:eastAsia="仿宋" w:cs="仿宋"/>
          <w:color w:val="auto"/>
          <w:sz w:val="28"/>
          <w:highlight w:val="none"/>
          <w:lang w:val="en-US" w:eastAsia="zh-CN"/>
        </w:rPr>
        <w:t xml:space="preserve">10</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或</w:t>
      </w:r>
      <w:r>
        <w:rPr>
          <w:rFonts w:hint="eastAsia" w:ascii="仿宋" w:hAnsi="仿宋" w:eastAsia="仿宋"/>
          <w:b w:val="0"/>
          <w:bCs w:val="0"/>
          <w:color w:val="auto"/>
          <w:sz w:val="28"/>
          <w:szCs w:val="28"/>
          <w:highlight w:val="none"/>
          <w:lang w:val="en-US" w:eastAsia="zh-CN"/>
        </w:rPr>
        <w:t xml:space="preserve">属于监狱企业的证明文件</w:t>
      </w:r>
      <w:r/>
    </w:p>
    <w:p>
      <w:pPr>
        <w:ind w:left="0" w:right="0" w:firstLine="560"/>
        <w:jc w:val="both"/>
        <w:keepLines w:val="0"/>
        <w:keepNext w:val="0"/>
        <w:pageBreakBefore w:val="0"/>
        <w:spacing w:before="0" w:after="0" w:line="440" w:lineRule="exact"/>
        <w:widowControl w:val="off"/>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关于符合本国产品标准的声明函</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lang w:val="en-US" w:eastAsia="zh-CN"/>
        </w:rPr>
        <w:t xml:space="preserve">格式见</w:t>
      </w:r>
      <w:r>
        <w:rPr>
          <w:rFonts w:hint="eastAsia" w:ascii="仿宋" w:hAnsi="仿宋" w:eastAsia="仿宋" w:cs="仿宋"/>
          <w:color w:val="auto"/>
          <w:sz w:val="28"/>
          <w:highlight w:val="none"/>
        </w:rPr>
        <w:t xml:space="preserve">附件</w:t>
      </w:r>
      <w:r>
        <w:rPr>
          <w:rFonts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w:t>
      </w:r>
      <w:r/>
    </w:p>
    <w:p>
      <w:pPr>
        <w:spacing w:line="480" w:lineRule="exact"/>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 </w:t>
      </w:r>
      <w:r/>
    </w:p>
    <w:p>
      <w:pPr>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开标一览表</w:t>
      </w:r>
      <w:r/>
    </w:p>
    <w:p>
      <w:pPr>
        <w:ind w:firstLine="482"/>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投标人全称（加盖CA电子签章）：</w:t>
      </w:r>
      <w:r/>
    </w:p>
    <w:p>
      <w:pPr>
        <w:ind w:firstLine="482"/>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p>
      <w:pPr>
        <w:ind w:firstLine="482"/>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项目编号：</w:t>
      </w:r>
      <w:r/>
    </w:p>
    <w:tbl>
      <w:tblPr>
        <w:tblStyle w:val="107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投标总报价</w:t>
            </w: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bidi="ar-SA"/>
              </w:rPr>
              <w:t xml:space="preserve">小写：                             （人民币：元）</w:t>
            </w: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bidi="ar-SA"/>
              </w:rPr>
              <w:t xml:space="preserve">核心产品品牌</w:t>
            </w:r>
            <w:r/>
          </w:p>
        </w:tc>
        <w:tc>
          <w:tcPr>
            <w:tcW w:w="6405" w:type="dxa"/>
            <w:vAlign w:val="center"/>
            <w:textDirection w:val="lrTb"/>
            <w:noWrap w:val="false"/>
          </w:tcPr>
          <w:p>
            <w:pPr>
              <w:jc w:val="left"/>
              <w:spacing w:line="480" w:lineRule="exact"/>
              <w:widowControl w:val="off"/>
              <w:rPr>
                <w:rFonts w:ascii="仿宋" w:hAnsi="仿宋" w:eastAsia="仿宋" w:cs="宋体"/>
                <w:color w:val="auto"/>
                <w:sz w:val="28"/>
                <w:szCs w:val="28"/>
                <w:highlight w:val="none"/>
              </w:rPr>
            </w:pPr>
            <w:r>
              <w:rPr>
                <w:rFonts w:ascii="仿宋" w:hAnsi="仿宋" w:eastAsia="仿宋" w:cs="宋体"/>
                <w:color w:val="auto"/>
                <w:sz w:val="28"/>
                <w:szCs w:val="28"/>
                <w:highlight w:val="none"/>
              </w:rPr>
            </w:r>
            <w:r/>
          </w:p>
        </w:tc>
      </w:tr>
    </w:tbl>
    <w:p>
      <w:pPr>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p>
    <w:p>
      <w:pPr>
        <w:pStyle w:val="1139"/>
        <w:ind w:firstLine="0"/>
        <w:rPr>
          <w:b/>
          <w:color w:val="auto"/>
          <w:highlight w:val="none"/>
        </w:rPr>
      </w:pPr>
      <w:r>
        <w:rPr>
          <w:rFonts w:hint="eastAsia"/>
          <w:b/>
          <w:color w:val="auto"/>
          <w:highlight w:val="none"/>
        </w:rPr>
        <w:t xml:space="preserve">本附件格式仅作参考，投标人以苏采云平台实际情况进行填报。</w:t>
      </w:r>
      <w:r/>
    </w:p>
    <w:p>
      <w:pPr>
        <w:spacing w:line="480" w:lineRule="exact"/>
        <w:rPr>
          <w:rFonts w:ascii="仿宋" w:hAnsi="仿宋" w:eastAsia="仿宋"/>
          <w:b/>
          <w:color w:val="auto"/>
          <w:sz w:val="28"/>
          <w:szCs w:val="28"/>
          <w:highlight w:val="none"/>
        </w:rPr>
      </w:pPr>
      <w:r>
        <w:rPr>
          <w:color w:val="auto"/>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2</w:t>
      </w:r>
      <w:r>
        <w:rPr>
          <w:rFonts w:hint="eastAsia" w:ascii="仿宋" w:hAnsi="仿宋" w:eastAsia="仿宋"/>
          <w:b/>
          <w:color w:val="auto"/>
          <w:sz w:val="28"/>
          <w:szCs w:val="28"/>
          <w:highlight w:val="none"/>
        </w:rPr>
        <w:t xml:space="preserve"> </w:t>
      </w:r>
      <w:r/>
    </w:p>
    <w:p>
      <w:pPr>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投标分项报价表</w:t>
      </w:r>
      <w:r/>
    </w:p>
    <w:tbl>
      <w:tblPr>
        <w:tblStyle w:val="1078"/>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产品</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规格</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lang w:val="en-US" w:eastAsia="zh-CN" w:bidi="ar-SA"/>
              </w:rPr>
              <w:t xml:space="preserve">合同签订后</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640"/>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4</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投标总报价（人民币：元）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p>
        </w:tc>
      </w:tr>
    </w:tbl>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1.投标报价采用总承包方式，“投标总报价”应包括所投货物（包含与货物相关的服务）费用、安装调试费、测试验收费、培训费、运行维护费用、税金、国际（如果</w:t>
      </w:r>
      <w:r>
        <w:rPr>
          <w:rFonts w:ascii="仿宋" w:hAnsi="仿宋" w:eastAsia="仿宋"/>
          <w:b/>
          <w:bCs/>
          <w:color w:val="auto"/>
          <w:sz w:val="28"/>
          <w:szCs w:val="28"/>
          <w:highlight w:val="none"/>
        </w:rPr>
        <w:t xml:space="preserve">有</w:t>
      </w:r>
      <w:r>
        <w:rPr>
          <w:rFonts w:hint="eastAsia" w:ascii="仿宋" w:hAnsi="仿宋" w:eastAsia="仿宋"/>
          <w:b/>
          <w:bCs/>
          <w:color w:val="auto"/>
          <w:sz w:val="28"/>
          <w:szCs w:val="28"/>
          <w:highlight w:val="none"/>
        </w:rPr>
        <w:t xml:space="preserve">）国内运输保险、报关清关（如果</w:t>
      </w:r>
      <w:r>
        <w:rPr>
          <w:rFonts w:ascii="仿宋" w:hAnsi="仿宋" w:eastAsia="仿宋"/>
          <w:b/>
          <w:bCs/>
          <w:color w:val="auto"/>
          <w:sz w:val="28"/>
          <w:szCs w:val="28"/>
          <w:highlight w:val="none"/>
        </w:rPr>
        <w:t xml:space="preserve">有</w:t>
      </w:r>
      <w:r>
        <w:rPr>
          <w:rFonts w:hint="eastAsia" w:ascii="仿宋" w:hAnsi="仿宋" w:eastAsia="仿宋"/>
          <w:b/>
          <w:bCs/>
          <w:color w:val="auto"/>
          <w:sz w:val="28"/>
          <w:szCs w:val="28"/>
          <w:highlight w:val="none"/>
        </w:rPr>
        <w:t xml:space="preserve">）、开证（如果</w:t>
      </w:r>
      <w:r>
        <w:rPr>
          <w:rFonts w:ascii="仿宋" w:hAnsi="仿宋" w:eastAsia="仿宋"/>
          <w:b/>
          <w:bCs/>
          <w:color w:val="auto"/>
          <w:sz w:val="28"/>
          <w:szCs w:val="28"/>
          <w:highlight w:val="none"/>
        </w:rPr>
        <w:t xml:space="preserve">有</w:t>
      </w:r>
      <w:r>
        <w:rPr>
          <w:rFonts w:hint="eastAsia" w:ascii="仿宋" w:hAnsi="仿宋" w:eastAsia="仿宋"/>
          <w:b/>
          <w:bCs/>
          <w:color w:val="auto"/>
          <w:sz w:val="28"/>
          <w:szCs w:val="28"/>
          <w:highlight w:val="none"/>
        </w:rPr>
        <w:t xml:space="preserve">）、办理全套免税手续费用（如果</w:t>
      </w:r>
      <w:r>
        <w:rPr>
          <w:rFonts w:ascii="仿宋" w:hAnsi="仿宋" w:eastAsia="仿宋"/>
          <w:b/>
          <w:bCs/>
          <w:color w:val="auto"/>
          <w:sz w:val="28"/>
          <w:szCs w:val="28"/>
          <w:highlight w:val="none"/>
        </w:rPr>
        <w:t xml:space="preserve">有</w:t>
      </w:r>
      <w:r>
        <w:rPr>
          <w:rFonts w:hint="eastAsia" w:ascii="仿宋" w:hAnsi="仿宋" w:eastAsia="仿宋"/>
          <w:b/>
          <w:bCs/>
          <w:color w:val="auto"/>
          <w:sz w:val="28"/>
          <w:szCs w:val="28"/>
          <w:highlight w:val="none"/>
        </w:rPr>
        <w:t xml:space="preserve">）及其他有关的为完成本项目发生的所有费用，招标文件中另有规定的除外。</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2.“投标分项报价表”中“投标总报价”数额应当与“开标一览表”中“投标总报价”数额一致。</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3.投标人需认真填写本报价表，尤其注意规格型号的准确填写。</w:t>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pStyle w:val="1109"/>
        <w:rPr>
          <w:rFonts w:hint="eastAsia"/>
          <w:color w:val="auto"/>
          <w:highlight w:val="none"/>
        </w:rPr>
      </w:pPr>
      <w:r>
        <w:rPr>
          <w:rFonts w:hint="eastAsia"/>
          <w:color w:val="auto"/>
          <w:highlight w:val="none"/>
        </w:rPr>
      </w:r>
      <w:r/>
    </w:p>
    <w:p>
      <w:pPr>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spacing w:line="480" w:lineRule="exact"/>
        <w:rPr>
          <w:rFonts w:hint="eastAsia"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3</w:t>
      </w:r>
      <w:r/>
    </w:p>
    <w:p>
      <w:pPr>
        <w:jc w:val="center"/>
        <w:rPr>
          <w:rFonts w:hint="eastAsia" w:ascii="仿宋" w:hAnsi="仿宋" w:eastAsia="仿宋"/>
          <w:b/>
          <w:color w:val="auto"/>
          <w:sz w:val="30"/>
          <w:szCs w:val="30"/>
          <w:highlight w:val="none"/>
        </w:rPr>
      </w:pPr>
      <w:r>
        <w:rPr>
          <w:rFonts w:hint="eastAsia" w:ascii="仿宋" w:hAnsi="仿宋" w:eastAsia="仿宋"/>
          <w:b/>
          <w:color w:val="auto"/>
          <w:sz w:val="30"/>
          <w:szCs w:val="30"/>
          <w:highlight w:val="none"/>
        </w:rPr>
        <w:t xml:space="preserve">投标人符合</w:t>
      </w:r>
      <w:r>
        <w:rPr>
          <w:rFonts w:hint="eastAsia" w:ascii="仿宋" w:hAnsi="仿宋" w:eastAsia="仿宋"/>
          <w:b/>
          <w:color w:val="auto"/>
          <w:sz w:val="30"/>
          <w:szCs w:val="30"/>
          <w:highlight w:val="none"/>
          <w:lang w:eastAsia="zh-CN"/>
        </w:rPr>
        <w:t xml:space="preserve">《中华人民共和国政府采购法》</w:t>
      </w:r>
      <w:r>
        <w:rPr>
          <w:rFonts w:hint="eastAsia" w:ascii="仿宋" w:hAnsi="仿宋" w:eastAsia="仿宋"/>
          <w:b/>
          <w:color w:val="auto"/>
          <w:sz w:val="30"/>
          <w:szCs w:val="30"/>
          <w:highlight w:val="none"/>
        </w:rPr>
        <w:t xml:space="preserve">第二十二条规定条件的声明函</w:t>
      </w:r>
      <w:r/>
    </w:p>
    <w:p>
      <w:pPr>
        <w:spacing w:line="460" w:lineRule="exact"/>
        <w:rPr>
          <w:rFonts w:hint="eastAsia" w:ascii="仿宋" w:hAnsi="仿宋" w:eastAsia="仿宋"/>
          <w:b/>
          <w:bCs/>
          <w:color w:val="auto"/>
          <w:sz w:val="44"/>
          <w:szCs w:val="44"/>
          <w:highlight w:val="none"/>
        </w:rPr>
      </w:pPr>
      <w:r>
        <w:rPr>
          <w:rFonts w:hint="eastAsia" w:ascii="仿宋" w:hAnsi="仿宋" w:eastAsia="仿宋"/>
          <w:b/>
          <w:bCs/>
          <w:color w:val="auto"/>
          <w:sz w:val="24"/>
          <w:szCs w:val="21"/>
          <w:highlight w:val="none"/>
        </w:rPr>
        <w:t xml:space="preserve">                       </w:t>
      </w:r>
      <w:r>
        <w:rPr>
          <w:rFonts w:hint="eastAsia" w:ascii="仿宋" w:hAnsi="仿宋" w:eastAsia="仿宋"/>
          <w:b/>
          <w:bCs/>
          <w:color w:val="auto"/>
          <w:sz w:val="44"/>
          <w:szCs w:val="44"/>
          <w:highlight w:val="none"/>
        </w:rPr>
        <w:t xml:space="preserve">   </w:t>
      </w:r>
      <w:r/>
    </w:p>
    <w:p>
      <w:pPr>
        <w:ind w:firstLine="560"/>
        <w:spacing w:line="520" w:lineRule="exact"/>
        <w:rPr>
          <w:rFonts w:hint="eastAsia" w:ascii="仿宋" w:hAnsi="仿宋" w:eastAsia="仿宋"/>
          <w:b/>
          <w:bCs/>
          <w:color w:val="auto"/>
          <w:sz w:val="28"/>
          <w:highlight w:val="none"/>
        </w:rPr>
      </w:pPr>
      <w:r>
        <w:rPr>
          <w:rFonts w:hint="eastAsia" w:ascii="仿宋" w:hAnsi="仿宋" w:eastAsia="仿宋"/>
          <w:bCs/>
          <w:color w:val="auto"/>
          <w:sz w:val="28"/>
          <w:highlight w:val="none"/>
        </w:rPr>
        <w:t xml:space="preserve">我单位参加</w:t>
      </w:r>
      <w:r>
        <w:rPr>
          <w:rFonts w:hint="eastAsia" w:ascii="仿宋" w:hAnsi="仿宋" w:eastAsia="仿宋"/>
          <w:bCs/>
          <w:color w:val="auto"/>
          <w:sz w:val="28"/>
          <w:szCs w:val="21"/>
          <w:highlight w:val="none"/>
          <w:u w:val="single"/>
        </w:rPr>
        <w:t xml:space="preserve">________________ _</w:t>
      </w:r>
      <w:r>
        <w:rPr>
          <w:rFonts w:hint="eastAsia" w:ascii="仿宋" w:hAnsi="仿宋" w:eastAsia="仿宋"/>
          <w:bCs/>
          <w:color w:val="auto"/>
          <w:sz w:val="28"/>
          <w:szCs w:val="21"/>
          <w:highlight w:val="none"/>
        </w:rPr>
        <w:t xml:space="preserve">（项目名称），</w:t>
      </w:r>
      <w:r>
        <w:rPr>
          <w:rFonts w:hint="eastAsia" w:ascii="仿宋" w:hAnsi="仿宋" w:eastAsia="仿宋"/>
          <w:bCs/>
          <w:color w:val="auto"/>
          <w:sz w:val="28"/>
          <w:szCs w:val="21"/>
          <w:highlight w:val="none"/>
          <w:u w:val="single"/>
        </w:rPr>
        <w:t xml:space="preserve">_______ __________</w:t>
      </w:r>
      <w:r>
        <w:rPr>
          <w:rFonts w:hint="eastAsia" w:ascii="仿宋" w:hAnsi="仿宋" w:eastAsia="仿宋"/>
          <w:bCs/>
          <w:color w:val="auto"/>
          <w:sz w:val="28"/>
          <w:szCs w:val="21"/>
          <w:highlight w:val="none"/>
        </w:rPr>
        <w:t xml:space="preserve">（项目编号）投标活动。针对《中华人民共和国政府采购法》第二十二条规定做出如下声明：</w:t>
      </w:r>
      <w:r/>
    </w:p>
    <w:p>
      <w:pPr>
        <w:ind w:firstLine="482"/>
        <w:spacing w:line="520" w:lineRule="exact"/>
        <w:rPr>
          <w:rFonts w:hint="eastAsia" w:ascii="仿宋" w:hAnsi="仿宋" w:eastAsia="仿宋"/>
          <w:color w:val="auto"/>
          <w:sz w:val="28"/>
          <w:highlight w:val="none"/>
        </w:rPr>
      </w:pPr>
      <w:r>
        <w:rPr>
          <w:rFonts w:hint="eastAsia" w:ascii="仿宋" w:hAnsi="仿宋" w:eastAsia="仿宋"/>
          <w:bCs/>
          <w:color w:val="auto"/>
          <w:sz w:val="28"/>
          <w:szCs w:val="21"/>
          <w:highlight w:val="none"/>
        </w:rPr>
        <w:t xml:space="preserve">1.我单位具有独立承担民事责任的能力；</w:t>
      </w:r>
      <w:r/>
    </w:p>
    <w:p>
      <w:pPr>
        <w:ind w:firstLine="482"/>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2.我单位具有良好的商业信誉和健全的财务会计制度；</w:t>
      </w:r>
      <w:r/>
    </w:p>
    <w:p>
      <w:pPr>
        <w:ind w:firstLine="482"/>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3.我单位具有履行合同所必需的设备和专业技术能力；</w:t>
      </w:r>
      <w:r/>
    </w:p>
    <w:p>
      <w:pPr>
        <w:ind w:firstLine="482"/>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4.我单位有依法缴纳税收和社会保障资金的良好记录；</w:t>
      </w:r>
      <w:r/>
    </w:p>
    <w:p>
      <w:pPr>
        <w:ind w:firstLine="482"/>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6.我单位满足法律、行政法规规定的其他条件。</w:t>
      </w:r>
      <w:r/>
    </w:p>
    <w:p>
      <w:pPr>
        <w:pStyle w:val="1109"/>
        <w:ind w:firstLine="640"/>
        <w:rPr>
          <w:rFonts w:hint="eastAsia" w:ascii="仿宋" w:hAnsi="仿宋" w:eastAsia="仿宋"/>
          <w:color w:val="auto"/>
          <w:sz w:val="32"/>
          <w:highlight w:val="none"/>
        </w:rPr>
      </w:pPr>
      <w:r>
        <w:rPr>
          <w:rFonts w:hint="eastAsia" w:ascii="仿宋" w:hAnsi="仿宋" w:eastAsia="仿宋"/>
          <w:color w:val="auto"/>
          <w:sz w:val="32"/>
          <w:highlight w:val="none"/>
        </w:rPr>
      </w:r>
      <w:r/>
    </w:p>
    <w:p>
      <w:pPr>
        <w:jc w:val="center"/>
        <w:spacing w:line="46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              承诺人名称（公章）：</w:t>
      </w:r>
      <w:r/>
    </w:p>
    <w:p>
      <w:pPr>
        <w:jc w:val="right"/>
        <w:spacing w:line="46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    </w:t>
      </w:r>
      <w:r/>
    </w:p>
    <w:p>
      <w:pPr>
        <w:jc w:val="right"/>
        <w:spacing w:line="46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                                 日期：</w:t>
      </w:r>
      <w:r>
        <w:rPr>
          <w:rFonts w:hint="eastAsia" w:ascii="仿宋" w:hAnsi="仿宋" w:eastAsia="仿宋"/>
          <w:bCs/>
          <w:color w:val="auto"/>
          <w:sz w:val="28"/>
          <w:szCs w:val="21"/>
          <w:highlight w:val="none"/>
          <w:u w:val="single"/>
        </w:rPr>
        <w:t xml:space="preserve">______</w:t>
      </w:r>
      <w:r>
        <w:rPr>
          <w:rFonts w:hint="eastAsia" w:ascii="仿宋" w:hAnsi="仿宋" w:eastAsia="仿宋"/>
          <w:bCs/>
          <w:color w:val="auto"/>
          <w:sz w:val="28"/>
          <w:szCs w:val="21"/>
          <w:highlight w:val="none"/>
        </w:rPr>
        <w:t xml:space="preserve">年</w:t>
      </w:r>
      <w:r>
        <w:rPr>
          <w:rFonts w:hint="eastAsia" w:ascii="仿宋" w:hAnsi="仿宋" w:eastAsia="仿宋"/>
          <w:bCs/>
          <w:color w:val="auto"/>
          <w:sz w:val="28"/>
          <w:szCs w:val="21"/>
          <w:highlight w:val="none"/>
          <w:u w:val="single"/>
        </w:rPr>
        <w:t xml:space="preserve">    </w:t>
      </w:r>
      <w:r>
        <w:rPr>
          <w:rFonts w:hint="eastAsia" w:ascii="仿宋" w:hAnsi="仿宋" w:eastAsia="仿宋"/>
          <w:bCs/>
          <w:color w:val="auto"/>
          <w:sz w:val="28"/>
          <w:szCs w:val="21"/>
          <w:highlight w:val="none"/>
        </w:rPr>
        <w:t xml:space="preserve">月</w:t>
      </w:r>
      <w:r>
        <w:rPr>
          <w:rFonts w:hint="eastAsia" w:ascii="仿宋" w:hAnsi="仿宋" w:eastAsia="仿宋"/>
          <w:bCs/>
          <w:color w:val="auto"/>
          <w:sz w:val="28"/>
          <w:szCs w:val="21"/>
          <w:highlight w:val="none"/>
          <w:u w:val="single"/>
        </w:rPr>
        <w:t xml:space="preserve">    </w:t>
      </w:r>
      <w:r>
        <w:rPr>
          <w:rFonts w:hint="eastAsia" w:ascii="仿宋" w:hAnsi="仿宋" w:eastAsia="仿宋"/>
          <w:bCs/>
          <w:color w:val="auto"/>
          <w:sz w:val="28"/>
          <w:szCs w:val="21"/>
          <w:highlight w:val="none"/>
        </w:rPr>
        <w:t xml:space="preserve">日</w:t>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80" w:lineRule="exact"/>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4</w:t>
      </w:r>
      <w:r/>
    </w:p>
    <w:p>
      <w:pPr>
        <w:pStyle w:val="1109"/>
        <w:ind w:firstLine="600"/>
        <w:rPr>
          <w:color w:val="auto"/>
          <w:highlight w:val="none"/>
        </w:rPr>
      </w:pPr>
      <w:r>
        <w:rPr>
          <w:color w:val="auto"/>
          <w:highlight w:val="none"/>
        </w:rPr>
      </w:r>
      <w:r/>
    </w:p>
    <w:p>
      <w:pPr>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仿宋" w:hAnsi="仿宋" w:eastAsia="仿宋"/>
          <w:color w:val="auto"/>
          <w:sz w:val="28"/>
          <w:highlight w:val="none"/>
        </w:rPr>
      </w:pPr>
      <w:r>
        <w:rPr>
          <w:rFonts w:ascii="宋体" w:hAnsi="宋体"/>
          <w:color w:val="auto"/>
          <w:sz w:val="24"/>
          <w:highlight w:val="none"/>
          <w:u w:val="single"/>
        </w:rPr>
        <w:t xml:space="preserve">  </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先生/女士：</w:t>
      </w:r>
      <w:r>
        <w:rPr>
          <w:rFonts w:ascii="仿宋" w:hAnsi="仿宋" w:eastAsia="仿宋"/>
          <w:color w:val="auto"/>
          <w:sz w:val="28"/>
          <w:highlight w:val="none"/>
        </w:rPr>
        <w:t xml:space="preserve"> </w:t>
      </w:r>
      <w:r>
        <w:rPr>
          <w:rFonts w:hint="eastAsia" w:ascii="仿宋" w:hAnsi="仿宋" w:eastAsia="仿宋"/>
          <w:color w:val="auto"/>
          <w:sz w:val="28"/>
          <w:highlight w:val="none"/>
        </w:rPr>
        <w:t xml:space="preserve">现任我单位</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职务，为法定代表人，特此证明。</w:t>
      </w:r>
      <w:r/>
    </w:p>
    <w:p>
      <w:pPr>
        <w:ind w:firstLine="480"/>
        <w:spacing w:line="48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身份证号码：</w:t>
      </w:r>
      <w:r>
        <w:rPr>
          <w:rFonts w:ascii="仿宋" w:hAnsi="仿宋" w:eastAsia="仿宋"/>
          <w:color w:val="auto"/>
          <w:sz w:val="28"/>
          <w:highlight w:val="none"/>
          <w:u w:val="single"/>
        </w:rPr>
        <w:t xml:space="preserve">                                               </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1109"/>
        <w:ind w:firstLine="602"/>
        <w:rPr>
          <w:b/>
          <w:color w:val="auto"/>
          <w:highlight w:val="none"/>
        </w:rPr>
      </w:pPr>
      <w:r>
        <w:rPr>
          <w:rFonts w:hint="eastAsia"/>
          <w:b/>
          <w:color w:val="auto"/>
          <w:highlight w:val="none"/>
        </w:rPr>
        <w:t xml:space="preserve">注：提供法定代表人有效期内的身份证复印件</w:t>
      </w:r>
      <w:r/>
    </w:p>
    <w:p>
      <w:pPr>
        <w:pStyle w:val="1109"/>
        <w:ind w:firstLine="600"/>
        <w:rPr>
          <w:rFonts w:hint="eastAsia"/>
          <w:color w:val="auto"/>
          <w:highlight w:val="none"/>
        </w:rPr>
      </w:pPr>
      <w:r>
        <w:rPr>
          <w:rFonts w:hint="eastAsia"/>
          <w:color w:val="auto"/>
          <w:highlight w:val="none"/>
        </w:rPr>
      </w:r>
      <w:r/>
    </w:p>
    <w:p>
      <w:pPr>
        <w:spacing w:line="480" w:lineRule="exact"/>
        <w:rPr>
          <w:rFonts w:hint="eastAsia" w:ascii="仿宋" w:hAnsi="仿宋" w:eastAsia="仿宋"/>
          <w:b/>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5</w:t>
      </w:r>
      <w:r/>
    </w:p>
    <w:p>
      <w:pPr>
        <w:jc w:val="center"/>
        <w:rPr>
          <w:rFonts w:ascii="Calibri" w:hAnsi="Calibri"/>
          <w:color w:val="auto"/>
          <w:sz w:val="32"/>
          <w:szCs w:val="32"/>
          <w:highlight w:val="none"/>
        </w:rPr>
      </w:pPr>
      <w:r>
        <w:rPr>
          <w:rFonts w:hint="eastAsia" w:ascii="Calibri" w:hAnsi="Calibri"/>
          <w:color w:val="auto"/>
          <w:sz w:val="32"/>
          <w:szCs w:val="32"/>
          <w:highlight w:val="none"/>
        </w:rPr>
        <w:t xml:space="preserve">法定代表人授权委托书</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本授权书声明：____________（投标人名称）授权________________（被授权人的姓名）为我方就JSZC-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被授权人身份证号码：</w:t>
      </w:r>
      <w:r>
        <w:rPr>
          <w:rFonts w:hint="eastAsia" w:ascii="仿宋" w:hAnsi="仿宋" w:eastAsia="仿宋"/>
          <w:color w:val="auto"/>
          <w:sz w:val="28"/>
          <w:szCs w:val="28"/>
          <w:highlight w:val="none"/>
          <w:u w:val="single"/>
        </w:rPr>
        <w:t xml:space="preserve">                              </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被授权人联系电话：（手机）</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授权单位名称：</w:t>
      </w:r>
      <w:r>
        <w:rPr>
          <w:rFonts w:hint="eastAsia" w:ascii="仿宋" w:hAnsi="仿宋" w:eastAsia="仿宋"/>
          <w:color w:val="auto"/>
          <w:sz w:val="28"/>
          <w:szCs w:val="28"/>
          <w:highlight w:val="none"/>
          <w:u w:val="single"/>
        </w:rPr>
        <w:t xml:space="preserve">（加盖CA电子公章）</w:t>
      </w:r>
      <w:r/>
    </w:p>
    <w:p>
      <w:pPr>
        <w:ind w:firstLine="560"/>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p>
    <w:p>
      <w:pPr>
        <w:pStyle w:val="1109"/>
        <w:ind w:firstLine="600"/>
        <w:rPr>
          <w:color w:val="auto"/>
          <w:highlight w:val="none"/>
        </w:rPr>
      </w:pPr>
      <w:r>
        <w:rPr>
          <w:color w:val="auto"/>
          <w:highlight w:val="none"/>
        </w:rPr>
      </w:r>
      <w:r/>
    </w:p>
    <w:p>
      <w:pPr>
        <w:pStyle w:val="1109"/>
        <w:ind w:firstLine="602"/>
        <w:rPr>
          <w:rFonts w:hint="eastAsia"/>
          <w:b/>
          <w:color w:val="auto"/>
          <w:highlight w:val="none"/>
        </w:rPr>
      </w:pPr>
      <w:r>
        <w:rPr>
          <w:rFonts w:hint="eastAsia"/>
          <w:b/>
          <w:color w:val="auto"/>
          <w:highlight w:val="none"/>
        </w:rPr>
        <w:t xml:space="preserve">注：提供代理人有效期内的身份证复印件</w:t>
      </w:r>
      <w:r/>
    </w:p>
    <w:p>
      <w:pPr>
        <w:spacing w:line="480" w:lineRule="exact"/>
        <w:tabs>
          <w:tab w:val="left" w:pos="360" w:leader="none"/>
        </w:tabs>
        <w:rPr>
          <w:rFonts w:ascii="仿宋" w:hAnsi="仿宋" w:eastAsia="仿宋"/>
          <w:b/>
          <w:color w:val="auto"/>
          <w:sz w:val="28"/>
          <w:szCs w:val="28"/>
          <w:highlight w:val="none"/>
        </w:rPr>
      </w:pPr>
      <w:r>
        <w:rPr>
          <w:rFonts w:ascii="仿宋" w:hAnsi="仿宋" w:eastAsia="仿宋" w:cs="Arial"/>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6</w:t>
      </w:r>
      <w:r>
        <w:rPr>
          <w:rFonts w:ascii="仿宋" w:hAnsi="仿宋" w:eastAsia="仿宋"/>
          <w:b/>
          <w:color w:val="auto"/>
          <w:sz w:val="28"/>
          <w:szCs w:val="28"/>
          <w:highlight w:val="none"/>
        </w:rPr>
        <w:t xml:space="preserve">                      </w:t>
      </w:r>
      <w:r/>
    </w:p>
    <w:p>
      <w:pPr>
        <w:jc w:val="center"/>
        <w:spacing w:line="480" w:lineRule="exact"/>
        <w:tabs>
          <w:tab w:val="left" w:pos="360" w:leader="none"/>
        </w:tabs>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投标函</w:t>
      </w:r>
      <w:r/>
    </w:p>
    <w:p>
      <w:pPr>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致：南通市教育技术中心</w:t>
      </w:r>
      <w:r/>
    </w:p>
    <w:p>
      <w:pPr>
        <w:ind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号招标文件，正式授权下述签字人_____</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代表我方_______（投标人的名称），全权处理本次项目投标的有关事宜。</w:t>
      </w:r>
      <w:r/>
    </w:p>
    <w:p>
      <w:pPr>
        <w:ind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ind w:firstLine="48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2.我们完全理解贵方不一定将合同授予最低报价的投标人。</w:t>
      </w:r>
      <w:r/>
    </w:p>
    <w:p>
      <w:pPr>
        <w:ind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.一旦我方中标</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我方将根据招标文件的规定，严格履行合同的责任和义务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并保证在招标文件规定的时</w:t>
      </w:r>
      <w:r>
        <w:rPr>
          <w:rFonts w:hint="eastAsia" w:ascii="仿宋" w:hAnsi="仿宋" w:eastAsia="仿宋"/>
          <w:color w:val="auto"/>
          <w:sz w:val="28"/>
          <w:szCs w:val="28"/>
          <w:highlight w:val="none"/>
          <w:lang w:eastAsia="zh-CN"/>
        </w:rPr>
        <w:t xml:space="preserve">间内</w:t>
      </w:r>
      <w:r>
        <w:rPr>
          <w:rFonts w:hint="eastAsia" w:ascii="仿宋" w:hAnsi="仿宋" w:eastAsia="仿宋"/>
          <w:color w:val="auto"/>
          <w:sz w:val="28"/>
          <w:szCs w:val="28"/>
          <w:highlight w:val="none"/>
        </w:rPr>
        <w:t xml:space="preserve">完成项目，交付买方验收、使用。</w:t>
      </w:r>
      <w:r/>
    </w:p>
    <w:p>
      <w:pPr>
        <w:ind w:left="425"/>
        <w:jc w:val="left"/>
        <w:spacing w:line="48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.与本投标有关的正式通讯地址为：</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邮        编：</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电        话：</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传        真：</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投标人开户行：</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账        号： </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jc w:val="left"/>
        <w:spacing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left"/>
        <w:spacing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7</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技术要求响应及偏离表</w:t>
      </w:r>
      <w:r/>
    </w:p>
    <w:tbl>
      <w:tblPr>
        <w:tblStyle w:val="10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技术要求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bl>
    <w:p>
      <w:pPr>
        <w:spacing w:line="480" w:lineRule="exact"/>
        <w:rPr>
          <w:color w:val="auto"/>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rPr>
          <w:rFonts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1.投标人需</w:t>
      </w:r>
      <w:r>
        <w:rPr>
          <w:rFonts w:ascii="仿宋" w:hAnsi="仿宋" w:eastAsia="仿宋"/>
          <w:b/>
          <w:bCs/>
          <w:color w:val="auto"/>
          <w:sz w:val="28"/>
          <w:szCs w:val="28"/>
          <w:highlight w:val="none"/>
        </w:rPr>
        <w:t xml:space="preserve">对技术</w:t>
      </w:r>
      <w:r>
        <w:rPr>
          <w:rFonts w:hint="eastAsia" w:ascii="仿宋" w:hAnsi="仿宋" w:eastAsia="仿宋"/>
          <w:b/>
          <w:bCs/>
          <w:color w:val="auto"/>
          <w:sz w:val="28"/>
          <w:szCs w:val="28"/>
          <w:highlight w:val="none"/>
        </w:rPr>
        <w:t xml:space="preserve">要求</w:t>
      </w:r>
      <w:r>
        <w:rPr>
          <w:rFonts w:ascii="仿宋" w:hAnsi="仿宋" w:eastAsia="仿宋"/>
          <w:b/>
          <w:bCs/>
          <w:color w:val="auto"/>
          <w:sz w:val="28"/>
          <w:szCs w:val="28"/>
          <w:highlight w:val="none"/>
        </w:rPr>
        <w:t xml:space="preserve">逐条做出明确响应</w:t>
      </w:r>
      <w:r>
        <w:rPr>
          <w:rFonts w:hint="eastAsia"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2.如果招标</w:t>
      </w:r>
      <w:r>
        <w:rPr>
          <w:rFonts w:ascii="仿宋" w:hAnsi="仿宋" w:eastAsia="仿宋"/>
          <w:b/>
          <w:bCs/>
          <w:color w:val="auto"/>
          <w:sz w:val="28"/>
          <w:szCs w:val="28"/>
          <w:highlight w:val="none"/>
        </w:rPr>
        <w:t xml:space="preserve">文件要求提供</w:t>
      </w:r>
      <w:r>
        <w:rPr>
          <w:rFonts w:hint="eastAsia" w:ascii="仿宋" w:hAnsi="仿宋" w:eastAsia="仿宋"/>
          <w:b/>
          <w:bCs/>
          <w:color w:val="auto"/>
          <w:sz w:val="28"/>
          <w:szCs w:val="28"/>
          <w:highlight w:val="none"/>
          <w:lang w:eastAsia="zh-CN"/>
        </w:rPr>
        <w:t xml:space="preserve">佐证材料</w:t>
      </w:r>
      <w:r>
        <w:rPr>
          <w:rFonts w:ascii="仿宋" w:hAnsi="仿宋" w:eastAsia="仿宋"/>
          <w:b/>
          <w:bCs/>
          <w:color w:val="auto"/>
          <w:sz w:val="28"/>
          <w:szCs w:val="28"/>
          <w:highlight w:val="none"/>
        </w:rPr>
        <w:t xml:space="preserve">，投标人</w:t>
      </w:r>
      <w:r>
        <w:rPr>
          <w:rFonts w:hint="eastAsia" w:ascii="仿宋" w:hAnsi="仿宋" w:eastAsia="仿宋"/>
          <w:b/>
          <w:bCs/>
          <w:color w:val="auto"/>
          <w:sz w:val="28"/>
          <w:szCs w:val="28"/>
          <w:highlight w:val="none"/>
        </w:rPr>
        <w:t xml:space="preserve">需</w:t>
      </w:r>
      <w:r>
        <w:rPr>
          <w:rFonts w:ascii="仿宋" w:hAnsi="仿宋" w:eastAsia="仿宋"/>
          <w:b/>
          <w:bCs/>
          <w:color w:val="auto"/>
          <w:sz w:val="28"/>
          <w:szCs w:val="28"/>
          <w:highlight w:val="none"/>
        </w:rPr>
        <w:t xml:space="preserve">将</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列于</w:t>
      </w:r>
      <w:r>
        <w:rPr>
          <w:rFonts w:ascii="仿宋" w:hAnsi="仿宋" w:eastAsia="仿宋"/>
          <w:b/>
          <w:bCs/>
          <w:color w:val="auto"/>
          <w:sz w:val="28"/>
          <w:szCs w:val="28"/>
          <w:highlight w:val="none"/>
        </w:rPr>
        <w:t xml:space="preserve">该表之下。</w:t>
      </w:r>
      <w:r/>
    </w:p>
    <w:p>
      <w:pPr>
        <w:pStyle w:val="1109"/>
        <w:ind w:firstLine="0"/>
        <w:rPr>
          <w:rFonts w:hint="eastAsia" w:ascii="仿宋" w:hAnsi="仿宋" w:eastAsia="仿宋"/>
          <w:b/>
          <w:color w:val="auto"/>
          <w:sz w:val="28"/>
          <w:szCs w:val="28"/>
          <w:highlight w:val="none"/>
        </w:rPr>
      </w:pPr>
      <w:r>
        <w:rPr>
          <w:color w:val="auto"/>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8</w:t>
      </w:r>
      <w:r/>
    </w:p>
    <w:p>
      <w:pPr>
        <w:jc w:val="cente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商务要求响应及偏离表</w:t>
      </w:r>
      <w:r/>
    </w:p>
    <w:tbl>
      <w:tblPr>
        <w:tblStyle w:val="10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商务要求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tc>
      </w:tr>
    </w:tbl>
    <w:p>
      <w:pPr>
        <w:spacing w:line="480" w:lineRule="exact"/>
        <w:rPr>
          <w:color w:val="auto"/>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rPr>
          <w:rFonts w:ascii="仿宋" w:hAnsi="仿宋" w:eastAsia="仿宋"/>
          <w:b/>
          <w:bCs/>
          <w:color w:val="auto"/>
          <w:sz w:val="28"/>
          <w:szCs w:val="28"/>
          <w:highlight w:val="none"/>
        </w:rPr>
        <w:t xml:space="preserve">：</w:t>
      </w:r>
      <w:r/>
    </w:p>
    <w:p>
      <w:pPr>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1.投标人需</w:t>
      </w:r>
      <w:r>
        <w:rPr>
          <w:rFonts w:ascii="仿宋" w:hAnsi="仿宋" w:eastAsia="仿宋"/>
          <w:b/>
          <w:bCs/>
          <w:color w:val="auto"/>
          <w:sz w:val="28"/>
          <w:szCs w:val="28"/>
          <w:highlight w:val="none"/>
        </w:rPr>
        <w:t xml:space="preserve">对</w:t>
      </w:r>
      <w:r>
        <w:rPr>
          <w:rFonts w:hint="eastAsia" w:ascii="仿宋" w:hAnsi="仿宋" w:eastAsia="仿宋"/>
          <w:b/>
          <w:bCs/>
          <w:color w:val="auto"/>
          <w:sz w:val="28"/>
          <w:szCs w:val="28"/>
          <w:highlight w:val="none"/>
        </w:rPr>
        <w:t xml:space="preserve">商务要求</w:t>
      </w:r>
      <w:r>
        <w:rPr>
          <w:rFonts w:ascii="仿宋" w:hAnsi="仿宋" w:eastAsia="仿宋"/>
          <w:b/>
          <w:bCs/>
          <w:color w:val="auto"/>
          <w:sz w:val="28"/>
          <w:szCs w:val="28"/>
          <w:highlight w:val="none"/>
        </w:rPr>
        <w:t xml:space="preserve">逐条做出明确响应</w:t>
      </w:r>
      <w:r>
        <w:rPr>
          <w:rFonts w:hint="eastAsia" w:ascii="仿宋" w:hAnsi="仿宋" w:eastAsia="仿宋"/>
          <w:b/>
          <w:bCs/>
          <w:color w:val="auto"/>
          <w:sz w:val="28"/>
          <w:szCs w:val="28"/>
          <w:highlight w:val="none"/>
        </w:rPr>
        <w:t xml:space="preserve">。</w:t>
      </w:r>
      <w:r/>
    </w:p>
    <w:p>
      <w:pPr>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2.如果招标</w:t>
      </w:r>
      <w:r>
        <w:rPr>
          <w:rFonts w:ascii="仿宋" w:hAnsi="仿宋" w:eastAsia="仿宋"/>
          <w:b/>
          <w:bCs/>
          <w:color w:val="auto"/>
          <w:sz w:val="28"/>
          <w:szCs w:val="28"/>
          <w:highlight w:val="none"/>
        </w:rPr>
        <w:t xml:space="preserve">文件要求提供</w:t>
      </w:r>
      <w:r>
        <w:rPr>
          <w:rFonts w:hint="eastAsia" w:ascii="仿宋" w:hAnsi="仿宋" w:eastAsia="仿宋"/>
          <w:b/>
          <w:bCs/>
          <w:color w:val="auto"/>
          <w:sz w:val="28"/>
          <w:szCs w:val="28"/>
          <w:highlight w:val="none"/>
          <w:lang w:eastAsia="zh-CN"/>
        </w:rPr>
        <w:t xml:space="preserve">佐证材料</w:t>
      </w:r>
      <w:r>
        <w:rPr>
          <w:rFonts w:ascii="仿宋" w:hAnsi="仿宋" w:eastAsia="仿宋"/>
          <w:b/>
          <w:bCs/>
          <w:color w:val="auto"/>
          <w:sz w:val="28"/>
          <w:szCs w:val="28"/>
          <w:highlight w:val="none"/>
        </w:rPr>
        <w:t xml:space="preserve">，投标人</w:t>
      </w:r>
      <w:r>
        <w:rPr>
          <w:rFonts w:hint="eastAsia" w:ascii="仿宋" w:hAnsi="仿宋" w:eastAsia="仿宋"/>
          <w:b/>
          <w:bCs/>
          <w:color w:val="auto"/>
          <w:sz w:val="28"/>
          <w:szCs w:val="28"/>
          <w:highlight w:val="none"/>
        </w:rPr>
        <w:t xml:space="preserve">需</w:t>
      </w:r>
      <w:r>
        <w:rPr>
          <w:rFonts w:ascii="仿宋" w:hAnsi="仿宋" w:eastAsia="仿宋"/>
          <w:b/>
          <w:bCs/>
          <w:color w:val="auto"/>
          <w:sz w:val="28"/>
          <w:szCs w:val="28"/>
          <w:highlight w:val="none"/>
        </w:rPr>
        <w:t xml:space="preserve">将</w:t>
      </w:r>
      <w:r>
        <w:rPr>
          <w:rFonts w:hint="eastAsia" w:ascii="仿宋" w:hAnsi="仿宋" w:eastAsia="仿宋"/>
          <w:b/>
          <w:bCs/>
          <w:color w:val="auto"/>
          <w:sz w:val="28"/>
          <w:szCs w:val="28"/>
          <w:highlight w:val="none"/>
          <w:lang w:eastAsia="zh-CN"/>
        </w:rPr>
        <w:t xml:space="preserve">佐证材料</w:t>
      </w:r>
      <w:r>
        <w:rPr>
          <w:rFonts w:hint="eastAsia" w:ascii="仿宋" w:hAnsi="仿宋" w:eastAsia="仿宋"/>
          <w:b/>
          <w:bCs/>
          <w:color w:val="auto"/>
          <w:sz w:val="28"/>
          <w:szCs w:val="28"/>
          <w:highlight w:val="none"/>
        </w:rPr>
        <w:t xml:space="preserve">列于</w:t>
      </w:r>
      <w:r>
        <w:rPr>
          <w:rFonts w:ascii="仿宋" w:hAnsi="仿宋" w:eastAsia="仿宋"/>
          <w:b/>
          <w:bCs/>
          <w:color w:val="auto"/>
          <w:sz w:val="28"/>
          <w:szCs w:val="28"/>
          <w:highlight w:val="none"/>
        </w:rPr>
        <w:t xml:space="preserve">该表之下。</w:t>
      </w:r>
      <w:r/>
    </w:p>
    <w:p>
      <w:pPr>
        <w:rPr>
          <w:rFonts w:hint="eastAsia" w:ascii="仿宋" w:hAnsi="仿宋" w:eastAsia="仿宋"/>
          <w:b/>
          <w:color w:val="auto"/>
          <w:sz w:val="28"/>
          <w:szCs w:val="28"/>
          <w:highlight w:val="none"/>
        </w:rPr>
      </w:pPr>
      <w:r>
        <w:rPr>
          <w:rFonts w:ascii="仿宋" w:hAnsi="仿宋" w:eastAsia="仿宋"/>
          <w:b/>
          <w:color w:val="auto"/>
          <w:sz w:val="28"/>
          <w:szCs w:val="28"/>
          <w:highlight w:val="none"/>
        </w:rPr>
        <w:br w:type="page" w:clear="all"/>
      </w:r>
      <w:bookmarkEnd w:id="184"/>
      <w:r/>
      <w:bookmarkEnd w:id="185"/>
      <w:r/>
      <w:bookmarkEnd w:id="196"/>
      <w:r/>
      <w:bookmarkEnd w:id="197"/>
      <w:r/>
      <w:bookmarkEnd w:id="198"/>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9</w:t>
      </w:r>
      <w:r/>
    </w:p>
    <w:p>
      <w:pPr>
        <w:ind w:firstLine="281"/>
        <w:jc w:val="center"/>
        <w:keepLines w:val="0"/>
        <w:keepNext w:val="0"/>
        <w:pageBreakBefore w:val="0"/>
        <w:spacing w:line="56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的规定，本公司（联合体）参加南通市教育技术中心组织的</w:t>
      </w:r>
      <w:r>
        <w:rPr>
          <w:rFonts w:hint="eastAsia" w:ascii="仿宋" w:hAnsi="仿宋" w:eastAsia="仿宋"/>
          <w:b/>
          <w:bCs/>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rPr>
          <w:rFonts w:hint="eastAsia" w:ascii="仿宋" w:hAnsi="仿宋" w:eastAsia="仿宋"/>
          <w:b/>
          <w:bCs/>
          <w:color w:val="auto"/>
          <w:sz w:val="28"/>
          <w:szCs w:val="28"/>
          <w:highlight w:val="none"/>
          <w:u w:val="single"/>
        </w:rPr>
        <w:t xml:space="preserve">（项目名称）</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工信部联企业</w:t>
      </w:r>
      <w:r>
        <w:rPr>
          <w:rFonts w:hint="eastAsia" w:ascii="仿宋" w:hAnsi="仿宋" w:eastAsia="仿宋"/>
          <w:color w:val="auto"/>
          <w:sz w:val="28"/>
          <w:szCs w:val="28"/>
          <w:highlight w:val="none"/>
          <w:lang w:eastAsia="zh-CN"/>
        </w:rPr>
        <w:t xml:space="preserve">〔2011〕300号）</w:t>
      </w:r>
      <w:r>
        <w:rPr>
          <w:rFonts w:hint="eastAsia" w:ascii="仿宋" w:hAnsi="仿宋" w:eastAsia="仿宋"/>
          <w:color w:val="auto"/>
          <w:sz w:val="28"/>
          <w:szCs w:val="28"/>
          <w:highlight w:val="none"/>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b/>
          <w:bCs/>
          <w:color w:val="auto"/>
          <w:sz w:val="28"/>
          <w:szCs w:val="28"/>
          <w:highlight w:val="none"/>
          <w:u w:val="single"/>
        </w:rPr>
        <w:t xml:space="preserve">（标的名称</w:t>
      </w:r>
      <w:r>
        <w:rPr>
          <w:rFonts w:hint="eastAsia" w:ascii="仿宋" w:hAnsi="仿宋" w:eastAsia="仿宋"/>
          <w:color w:val="auto"/>
          <w:sz w:val="28"/>
          <w:szCs w:val="28"/>
          <w:highlight w:val="none"/>
          <w:u w:val="single"/>
        </w:rPr>
        <w:t xml:space="preserve">）</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日  期：</w:t>
      </w:r>
      <w:r/>
    </w:p>
    <w:p>
      <w:pPr>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t xml:space="preserve">注意：</w:t>
      </w:r>
      <w:r/>
    </w:p>
    <w:p>
      <w:pPr>
        <w:ind w:firstLine="482"/>
        <w:keepLines w:val="0"/>
        <w:keepNext w:val="0"/>
        <w:pageBreakBefore w:val="0"/>
        <w:spacing w:line="300" w:lineRule="exact"/>
        <w:widowControl w:val="off"/>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t xml:space="preserve">本项目采购清单“②厨房工具采购清单及技术参数”表格中的设备是低值易耗品无需提供中小微企业声明。</w:t>
      </w:r>
      <w:r/>
    </w:p>
    <w:p>
      <w:pPr>
        <w:ind w:firstLine="482"/>
        <w:keepLines w:val="0"/>
        <w:keepNext w:val="0"/>
        <w:pageBreakBefore w:val="0"/>
        <w:spacing w:line="300" w:lineRule="exact"/>
        <w:widowControl w:val="off"/>
        <w:rPr>
          <w:rFonts w:hint="eastAsia"/>
        </w:rPr>
      </w:pPr>
      <w:r>
        <w:rPr>
          <w:rFonts w:hint="eastAsia" w:ascii="仿宋" w:hAnsi="仿宋" w:eastAsia="仿宋" w:cs="仿宋"/>
          <w:b/>
          <w:bCs/>
          <w:color w:val="ff0000"/>
          <w:sz w:val="24"/>
          <w:szCs w:val="24"/>
          <w:highlight w:val="none"/>
        </w:rPr>
        <w:t xml:space="preserve">本项目采购清单“①食堂功能区域设备采购清单及技术参数”中97种设备和“③食堂桌椅采购清单及技术参数”翻转式四人连座折叠座椅，请按顺序逐条填写中小微企业具体情况。</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.供应商应对照《工业和信息化部、国家统计局、国家发展和改革委员会、财政部关于印发中小企业划型标准规定的通知》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0</w:t>
      </w:r>
      <w:r/>
    </w:p>
    <w:p>
      <w:pPr>
        <w:ind w:left="561" w:hanging="141"/>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）的规定，本单位为符合条件的残疾人福利性单位，且本单位参加______单位的采购文件编号为</w:t>
      </w:r>
      <w:r>
        <w:rPr>
          <w:rFonts w:ascii="仿宋" w:hAnsi="仿宋" w:eastAsia="仿宋"/>
          <w:color w:val="auto"/>
          <w:sz w:val="28"/>
          <w:szCs w:val="28"/>
          <w:highlight w:val="none"/>
        </w:rPr>
        <w:t xml:space="preserve">JSZC-320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84"/>
        <w:spacing w:line="480"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59" w:firstLine="584"/>
        <w:jc w:val="right"/>
        <w:spacing w:line="480"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p>
    <w:p>
      <w:pPr>
        <w:ind w:firstLine="562"/>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bCs/>
          <w:color w:val="auto"/>
          <w:sz w:val="28"/>
          <w:szCs w:val="28"/>
          <w:highlight w:val="none"/>
        </w:rPr>
        <w:t xml:space="preserve">声明函</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否则将</w:t>
      </w:r>
      <w:r>
        <w:rPr>
          <w:rFonts w:hint="eastAsia" w:ascii="仿宋" w:hAnsi="仿宋" w:eastAsia="仿宋"/>
          <w:b/>
          <w:bCs/>
          <w:color w:val="auto"/>
          <w:sz w:val="28"/>
          <w:szCs w:val="28"/>
          <w:highlight w:val="none"/>
        </w:rPr>
        <w:t xml:space="preserve">不能</w:t>
      </w:r>
      <w:r>
        <w:rPr>
          <w:rFonts w:ascii="仿宋" w:hAnsi="仿宋" w:eastAsia="仿宋"/>
          <w:b/>
          <w:bCs/>
          <w:color w:val="auto"/>
          <w:sz w:val="28"/>
          <w:szCs w:val="28"/>
          <w:highlight w:val="none"/>
        </w:rPr>
        <w:t xml:space="preserve">通过资格审查</w:t>
      </w:r>
      <w:r>
        <w:rPr>
          <w:rFonts w:hint="eastAsia" w:ascii="仿宋" w:hAnsi="仿宋" w:eastAsia="仿宋"/>
          <w:b/>
          <w:bCs/>
          <w:color w:val="auto"/>
          <w:sz w:val="28"/>
          <w:szCs w:val="28"/>
          <w:highlight w:val="none"/>
        </w:rPr>
        <w:t xml:space="preserve">。</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2.非专门面向中小微型企业采购的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，供应商如不提供此声明函，价格将不做相应扣除。</w:t>
      </w:r>
      <w:r/>
    </w:p>
    <w:p>
      <w:pPr>
        <w:ind w:firstLine="560"/>
        <w:spacing w:line="48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.中标/</w:t>
      </w:r>
      <w:r>
        <w:rPr>
          <w:rFonts w:hint="eastAsia" w:ascii="仿宋" w:hAnsi="仿宋" w:eastAsia="仿宋"/>
          <w:b/>
          <w:bCs/>
          <w:color w:val="auto"/>
          <w:sz w:val="28"/>
          <w:szCs w:val="28"/>
          <w:highlight w:val="none"/>
          <w:lang w:eastAsia="zh-CN"/>
        </w:rPr>
        <w:t xml:space="preserve">中标人</w:t>
      </w:r>
      <w:r>
        <w:rPr>
          <w:rFonts w:hint="eastAsia" w:ascii="仿宋" w:hAnsi="仿宋" w:eastAsia="仿宋"/>
          <w:b/>
          <w:bCs/>
          <w:color w:val="auto"/>
          <w:sz w:val="28"/>
          <w:szCs w:val="28"/>
          <w:highlight w:val="none"/>
        </w:rPr>
        <w:t xml:space="preserve">为残疾人福利性单位的，此声明函将随中标/成交结果同时公告，接受社会监督。</w:t>
      </w:r>
      <w:r/>
    </w:p>
    <w:p>
      <w:pPr>
        <w:ind w:firstLine="560"/>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1</w:t>
      </w:r>
      <w:r/>
    </w:p>
    <w:p>
      <w:pPr>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关于符合本国产品标准的声明函（采购包号：**）</w:t>
      </w:r>
      <w:r/>
    </w:p>
    <w:p>
      <w:pPr>
        <w:pStyle w:val="1099"/>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9"/>
        <w:ind w:firstLine="420"/>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auto"/>
          <w:sz w:val="24"/>
          <w:szCs w:val="22"/>
          <w:highlight w:val="none"/>
          <w:lang w:eastAsia="zh-CN"/>
        </w:rPr>
        <w:t xml:space="preserve">2026</w:t>
      </w:r>
      <w:r>
        <w:rPr>
          <w:rFonts w:hint="eastAsia" w:ascii="仿宋" w:hAnsi="仿宋" w:eastAsia="仿宋" w:cs="仿宋"/>
          <w:color w:val="auto"/>
          <w:sz w:val="24"/>
          <w:szCs w:val="22"/>
          <w:highlight w:val="none"/>
        </w:rPr>
        <w:t xml:space="preserve">〕34号）的规定，本公司（单位）提供的以下产品属于本国产品。具体情况如下：</w:t>
      </w:r>
      <w:r/>
    </w:p>
    <w:p>
      <w:pPr>
        <w:pStyle w:val="10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1.</w:t>
      </w:r>
      <w:r>
        <w:rPr>
          <w:rStyle w:val="1104"/>
          <w:rFonts w:hint="eastAsia" w:ascii="仿宋" w:hAnsi="仿宋" w:eastAsia="仿宋" w:cs="仿宋"/>
          <w:i w:val="0"/>
          <w:color w:val="auto"/>
          <w:sz w:val="24"/>
          <w:szCs w:val="22"/>
          <w:highlight w:val="none"/>
          <w:u w:val="single"/>
          <w:shd w:val="clear" w:color="auto" w:fill="ffffff"/>
        </w:rPr>
        <w:t xml:space="preserve">（产品名称1）</w:t>
      </w:r>
      <w:r>
        <w:rPr>
          <w:rStyle w:val="1104"/>
          <w:rFonts w:hint="eastAsia" w:ascii="仿宋" w:hAnsi="仿宋" w:eastAsia="仿宋" w:cs="仿宋"/>
          <w:i w:val="0"/>
          <w:color w:val="auto"/>
          <w:sz w:val="24"/>
          <w:szCs w:val="22"/>
          <w:highlight w:val="none"/>
          <w:shd w:val="clear" w:color="auto" w:fill="ffffff"/>
          <w:vertAlign w:val="superscript"/>
        </w:rPr>
        <w:t xml:space="preserve">1</w:t>
      </w:r>
      <w:r>
        <w:rPr>
          <w:rFonts w:hint="eastAsia" w:ascii="仿宋" w:hAnsi="仿宋" w:eastAsia="仿宋" w:cs="仿宋"/>
          <w:color w:val="auto"/>
          <w:sz w:val="24"/>
          <w:szCs w:val="22"/>
          <w:highlight w:val="none"/>
          <w:shd w:val="clear" w:color="auto" w:fill="ffffff"/>
        </w:rPr>
        <w:t xml:space="preserve">，生产厂为</w:t>
      </w:r>
      <w:r>
        <w:rPr>
          <w:rStyle w:val="1104"/>
          <w:rFonts w:hint="eastAsia" w:ascii="仿宋" w:hAnsi="仿宋" w:eastAsia="仿宋" w:cs="仿宋"/>
          <w:i w:val="0"/>
          <w:color w:val="auto"/>
          <w:sz w:val="24"/>
          <w:szCs w:val="22"/>
          <w:highlight w:val="none"/>
          <w:u w:val="single"/>
          <w:shd w:val="clear" w:color="auto" w:fill="ffffff"/>
        </w:rPr>
        <w:t xml:space="preserve">（厂名）</w:t>
      </w:r>
      <w:r>
        <w:rPr>
          <w:rStyle w:val="1104"/>
          <w:rFonts w:hint="eastAsia" w:ascii="仿宋" w:hAnsi="仿宋" w:eastAsia="仿宋" w:cs="仿宋"/>
          <w:i w:val="0"/>
          <w:color w:val="auto"/>
          <w:sz w:val="24"/>
          <w:szCs w:val="22"/>
          <w:highlight w:val="none"/>
          <w:shd w:val="clear" w:color="auto" w:fill="ffffff"/>
          <w:vertAlign w:val="superscript"/>
        </w:rPr>
        <w:t xml:space="preserve">2</w:t>
      </w:r>
      <w:r>
        <w:rPr>
          <w:rFonts w:hint="eastAsia" w:ascii="仿宋" w:hAnsi="仿宋" w:eastAsia="仿宋" w:cs="仿宋"/>
          <w:color w:val="auto"/>
          <w:sz w:val="24"/>
          <w:szCs w:val="22"/>
          <w:highlight w:val="none"/>
          <w:shd w:val="clear" w:color="auto" w:fill="ffffff"/>
        </w:rPr>
        <w:t xml:space="preserve">，厂址为</w:t>
      </w:r>
      <w:r>
        <w:rPr>
          <w:rStyle w:val="1104"/>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Fonts w:hint="eastAsia" w:ascii="仿宋" w:hAnsi="仿宋" w:eastAsia="仿宋" w:cs="仿宋"/>
          <w:color w:val="auto"/>
          <w:sz w:val="24"/>
          <w:szCs w:val="22"/>
          <w:highlight w:val="none"/>
          <w:u w:val="single"/>
          <w:shd w:val="clear" w:color="auto" w:fill="ffffff"/>
        </w:rPr>
        <w:t xml:space="preserve"> </w:t>
      </w:r>
      <w:r>
        <w:rPr>
          <w:rStyle w:val="1104"/>
          <w:rFonts w:hint="eastAsia" w:ascii="仿宋" w:hAnsi="仿宋" w:eastAsia="仿宋" w:cs="仿宋"/>
          <w:i w:val="0"/>
          <w:strike/>
          <w:color w:val="auto"/>
          <w:sz w:val="24"/>
          <w:szCs w:val="22"/>
          <w:highlight w:val="none"/>
          <w:u w:val="single"/>
          <w:shd w:val="clear" w:color="auto" w:fill="ffffff"/>
        </w:rPr>
        <w:t xml:space="preserve">（产品名称1）</w:t>
      </w:r>
      <w:r>
        <w:rPr>
          <w:rStyle w:val="1104"/>
          <w:rFonts w:hint="eastAsia" w:ascii="仿宋" w:hAnsi="仿宋" w:eastAsia="仿宋" w:cs="仿宋"/>
          <w:i w:val="0"/>
          <w:color w:val="auto"/>
          <w:sz w:val="24"/>
          <w:szCs w:val="22"/>
          <w:highlight w:val="none"/>
          <w:u w:val="single"/>
          <w:shd w:val="clear" w:color="auto" w:fill="ffffff"/>
        </w:rPr>
        <w:t xml:space="preserve"> </w:t>
      </w:r>
      <w:r>
        <w:rPr>
          <w:rFonts w:hint="eastAsia" w:ascii="仿宋" w:hAnsi="仿宋" w:eastAsia="仿宋" w:cs="仿宋"/>
          <w:color w:val="auto"/>
          <w:sz w:val="24"/>
          <w:szCs w:val="22"/>
          <w:highlight w:val="none"/>
          <w:shd w:val="clear" w:color="auto" w:fill="ffffff"/>
        </w:rPr>
        <w:t xml:space="preserve">的中国境内生产的组件成本占比≥</w:t>
      </w:r>
      <w:r>
        <w:rPr>
          <w:rStyle w:val="1104"/>
          <w:rFonts w:hint="eastAsia" w:ascii="仿宋" w:hAnsi="仿宋" w:eastAsia="仿宋" w:cs="仿宋"/>
          <w:i w:val="0"/>
          <w:strike/>
          <w:color w:val="auto"/>
          <w:sz w:val="24"/>
          <w:szCs w:val="22"/>
          <w:highlight w:val="none"/>
          <w:u w:val="single"/>
          <w:shd w:val="clear" w:color="auto" w:fill="ffffff"/>
        </w:rPr>
        <w:t xml:space="preserve">（规定比例）</w:t>
      </w:r>
      <w:r>
        <w:rPr>
          <w:rStyle w:val="1104"/>
          <w:rFonts w:hint="eastAsia" w:ascii="仿宋" w:hAnsi="仿宋" w:eastAsia="仿宋" w:cs="仿宋"/>
          <w:i w:val="0"/>
          <w:color w:val="auto"/>
          <w:sz w:val="24"/>
          <w:szCs w:val="22"/>
          <w:highlight w:val="none"/>
          <w:shd w:val="clear" w:color="auto" w:fill="ffffff"/>
          <w:vertAlign w:val="superscript"/>
        </w:rPr>
        <w:t xml:space="preserve">3</w:t>
      </w:r>
      <w:r>
        <w:rPr>
          <w:rFonts w:hint="eastAsia" w:ascii="仿宋" w:hAnsi="仿宋" w:eastAsia="仿宋" w:cs="仿宋"/>
          <w:color w:val="auto"/>
          <w:sz w:val="24"/>
          <w:szCs w:val="22"/>
          <w:highlight w:val="none"/>
          <w:shd w:val="clear" w:color="auto" w:fill="ffffff"/>
        </w:rPr>
        <w:t xml:space="preserve">。</w:t>
      </w:r>
      <w:r>
        <w:rPr>
          <w:rStyle w:val="1104"/>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1104"/>
          <w:rFonts w:hint="eastAsia" w:ascii="仿宋" w:hAnsi="仿宋" w:eastAsia="仿宋" w:cs="仿宋"/>
          <w:i w:val="0"/>
          <w:strike/>
          <w:color w:val="auto"/>
          <w:sz w:val="24"/>
          <w:szCs w:val="22"/>
          <w:highlight w:val="none"/>
          <w:u w:val="single"/>
          <w:shd w:val="clear" w:color="auto" w:fill="ffffff"/>
        </w:rPr>
        <w:t xml:space="preserve">（关键组件）</w:t>
      </w:r>
      <w:r>
        <w:rPr>
          <w:rStyle w:val="1104"/>
          <w:rFonts w:hint="eastAsia" w:ascii="仿宋" w:hAnsi="仿宋" w:eastAsia="仿宋" w:cs="仿宋"/>
          <w:i w:val="0"/>
          <w:color w:val="auto"/>
          <w:sz w:val="24"/>
          <w:szCs w:val="22"/>
          <w:highlight w:val="none"/>
          <w:shd w:val="clear" w:color="auto" w:fill="ffffff"/>
          <w:vertAlign w:val="superscript"/>
        </w:rPr>
        <w:t xml:space="preserve">4</w:t>
      </w:r>
      <w:r>
        <w:rPr>
          <w:rFonts w:hint="eastAsia" w:ascii="仿宋" w:hAnsi="仿宋" w:eastAsia="仿宋" w:cs="仿宋"/>
          <w:color w:val="auto"/>
          <w:sz w:val="24"/>
          <w:szCs w:val="22"/>
          <w:highlight w:val="none"/>
          <w:shd w:val="clear" w:color="auto" w:fill="ffffff"/>
        </w:rPr>
        <w:t xml:space="preserve">在中国境内生产。</w:t>
      </w:r>
      <w:r>
        <w:rPr>
          <w:rStyle w:val="1104"/>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1104"/>
          <w:rFonts w:hint="eastAsia" w:ascii="仿宋" w:hAnsi="仿宋" w:eastAsia="仿宋" w:cs="仿宋"/>
          <w:i w:val="0"/>
          <w:strike/>
          <w:color w:val="auto"/>
          <w:sz w:val="24"/>
          <w:szCs w:val="22"/>
          <w:highlight w:val="none"/>
          <w:u w:val="single"/>
          <w:shd w:val="clear" w:color="auto" w:fill="ffffff"/>
        </w:rPr>
        <w:t xml:space="preserve">（关键工序）</w:t>
      </w:r>
      <w:r>
        <w:rPr>
          <w:rStyle w:val="1104"/>
          <w:rFonts w:hint="eastAsia" w:ascii="仿宋" w:hAnsi="仿宋" w:eastAsia="仿宋" w:cs="仿宋"/>
          <w:i w:val="0"/>
          <w:color w:val="auto"/>
          <w:sz w:val="24"/>
          <w:szCs w:val="22"/>
          <w:highlight w:val="none"/>
          <w:shd w:val="clear" w:color="auto" w:fill="ffffff"/>
          <w:vertAlign w:val="superscript"/>
        </w:rPr>
        <w:t xml:space="preserve">5</w:t>
      </w:r>
      <w:r>
        <w:rPr>
          <w:rFonts w:hint="eastAsia" w:ascii="仿宋" w:hAnsi="仿宋" w:eastAsia="仿宋" w:cs="仿宋"/>
          <w:color w:val="auto"/>
          <w:sz w:val="24"/>
          <w:szCs w:val="22"/>
          <w:highlight w:val="none"/>
          <w:shd w:val="clear" w:color="auto" w:fill="ffffff"/>
        </w:rPr>
        <w:t xml:space="preserve">在中国境内完成。</w:t>
      </w:r>
      <w:r/>
    </w:p>
    <w:p>
      <w:pPr>
        <w:pStyle w:val="10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2.</w:t>
      </w:r>
      <w:r>
        <w:rPr>
          <w:rStyle w:val="1104"/>
          <w:rFonts w:hint="eastAsia" w:ascii="仿宋" w:hAnsi="仿宋" w:eastAsia="仿宋" w:cs="仿宋"/>
          <w:i w:val="0"/>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，生产厂为</w:t>
      </w:r>
      <w:r>
        <w:rPr>
          <w:rStyle w:val="1104"/>
          <w:rFonts w:hint="eastAsia" w:ascii="仿宋" w:hAnsi="仿宋" w:eastAsia="仿宋" w:cs="仿宋"/>
          <w:i w:val="0"/>
          <w:color w:val="auto"/>
          <w:sz w:val="24"/>
          <w:szCs w:val="22"/>
          <w:highlight w:val="none"/>
          <w:u w:val="single"/>
          <w:shd w:val="clear" w:color="auto" w:fill="ffffff"/>
        </w:rPr>
        <w:t xml:space="preserve">（厂名）</w:t>
      </w:r>
      <w:r>
        <w:rPr>
          <w:rFonts w:hint="eastAsia" w:ascii="仿宋" w:hAnsi="仿宋" w:eastAsia="仿宋" w:cs="仿宋"/>
          <w:color w:val="auto"/>
          <w:sz w:val="24"/>
          <w:szCs w:val="22"/>
          <w:highlight w:val="none"/>
          <w:shd w:val="clear" w:color="auto" w:fill="ffffff"/>
        </w:rPr>
        <w:t xml:space="preserve">，厂址为</w:t>
      </w:r>
      <w:r>
        <w:rPr>
          <w:rStyle w:val="1104"/>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Style w:val="1104"/>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的中国境内生产的组件成本占比≥</w:t>
      </w:r>
      <w:r>
        <w:rPr>
          <w:rStyle w:val="1104"/>
          <w:rFonts w:hint="eastAsia" w:ascii="仿宋" w:hAnsi="仿宋" w:eastAsia="仿宋" w:cs="仿宋"/>
          <w:i w:val="0"/>
          <w:strike/>
          <w:color w:val="auto"/>
          <w:sz w:val="24"/>
          <w:szCs w:val="22"/>
          <w:highlight w:val="none"/>
          <w:u w:val="single"/>
          <w:shd w:val="clear" w:color="auto" w:fill="ffffff"/>
        </w:rPr>
        <w:t xml:space="preserve">（规定比例）</w:t>
      </w:r>
      <w:r>
        <w:rPr>
          <w:rFonts w:hint="eastAsia" w:ascii="仿宋" w:hAnsi="仿宋" w:eastAsia="仿宋" w:cs="仿宋"/>
          <w:color w:val="auto"/>
          <w:sz w:val="24"/>
          <w:szCs w:val="22"/>
          <w:highlight w:val="none"/>
          <w:shd w:val="clear" w:color="auto" w:fill="ffffff"/>
        </w:rPr>
        <w:t xml:space="preserve">。</w:t>
      </w:r>
      <w:r>
        <w:rPr>
          <w:rStyle w:val="1104"/>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w:t>
      </w:r>
      <w:r>
        <w:rPr>
          <w:rStyle w:val="1104"/>
          <w:rFonts w:hint="eastAsia" w:ascii="仿宋" w:hAnsi="仿宋" w:eastAsia="仿宋" w:cs="仿宋"/>
          <w:i w:val="0"/>
          <w:strike/>
          <w:color w:val="auto"/>
          <w:sz w:val="24"/>
          <w:szCs w:val="22"/>
          <w:highlight w:val="none"/>
          <w:u w:val="single"/>
          <w:shd w:val="clear" w:color="auto" w:fill="ffffff"/>
        </w:rPr>
        <w:t xml:space="preserve">（关键组件）</w:t>
      </w:r>
      <w:r>
        <w:rPr>
          <w:rFonts w:hint="eastAsia" w:ascii="仿宋" w:hAnsi="仿宋" w:eastAsia="仿宋" w:cs="仿宋"/>
          <w:color w:val="auto"/>
          <w:sz w:val="24"/>
          <w:szCs w:val="22"/>
          <w:highlight w:val="none"/>
          <w:shd w:val="clear" w:color="auto" w:fill="ffffff"/>
        </w:rPr>
        <w:t xml:space="preserve">在中国境内生产。</w:t>
      </w:r>
      <w:r>
        <w:rPr>
          <w:rStyle w:val="1104"/>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1104"/>
          <w:rFonts w:hint="eastAsia" w:ascii="仿宋" w:hAnsi="仿宋" w:eastAsia="仿宋" w:cs="仿宋"/>
          <w:i w:val="0"/>
          <w:strike/>
          <w:color w:val="auto"/>
          <w:sz w:val="24"/>
          <w:szCs w:val="22"/>
          <w:highlight w:val="none"/>
          <w:u w:val="single"/>
          <w:shd w:val="clear" w:color="auto" w:fill="ffffff"/>
        </w:rPr>
        <w:t xml:space="preserve">（关键工序）</w:t>
      </w:r>
      <w:r>
        <w:rPr>
          <w:rFonts w:hint="eastAsia" w:ascii="仿宋" w:hAnsi="仿宋" w:eastAsia="仿宋" w:cs="仿宋"/>
          <w:color w:val="auto"/>
          <w:sz w:val="24"/>
          <w:szCs w:val="22"/>
          <w:highlight w:val="none"/>
          <w:shd w:val="clear" w:color="auto" w:fill="ffffff"/>
        </w:rPr>
        <w:t xml:space="preserve">在中国境内完成。</w:t>
      </w:r>
      <w:r/>
    </w:p>
    <w:p>
      <w:pPr>
        <w:pStyle w:val="10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w:t>
      </w:r>
      <w:r/>
    </w:p>
    <w:p>
      <w:pPr>
        <w:pStyle w:val="1099"/>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本公司（单位）对上述声明内容的真实性负责。如有虚假，愿承担相应法律责任。</w:t>
      </w:r>
      <w:r/>
    </w:p>
    <w:p>
      <w:pPr>
        <w:pStyle w:val="1099"/>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109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公司（单位）名称（盖章）：　        </w:t>
      </w:r>
      <w:r/>
    </w:p>
    <w:p>
      <w:pPr>
        <w:pStyle w:val="1099"/>
        <w:jc w:val="center"/>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                                日期：　   年　  月　  日         </w:t>
      </w:r>
      <w:r/>
    </w:p>
    <w:p>
      <w:pPr>
        <w:pStyle w:val="1099"/>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__________________</w:t>
      </w:r>
      <w:r/>
    </w:p>
    <w:p>
      <w:pPr>
        <w:pStyle w:val="109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1.产品如有型号，请在“产品名称”栏一并填写。</w:t>
      </w:r>
      <w:r/>
    </w:p>
    <w:p>
      <w:pPr>
        <w:pStyle w:val="109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2.生产厂名与厂址应与生产厂营业执照载明的相关信息保持一致。</w:t>
      </w:r>
      <w:r/>
    </w:p>
    <w:p>
      <w:pPr>
        <w:pStyle w:val="109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3.该产品的中国境内生产的组件成本占比相关要求实施前，“规定比例”栏可不填，下同。</w:t>
      </w:r>
      <w:r/>
    </w:p>
    <w:p>
      <w:pPr>
        <w:pStyle w:val="109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4.该产品的关键组件要求实施前，“关键组件”栏可不填，下同。</w:t>
      </w:r>
      <w:r/>
    </w:p>
    <w:p>
      <w:pPr>
        <w:pStyle w:val="109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5.该产品的关键工序要求实施前，“关键工序”栏可不填，下同。</w:t>
      </w:r>
      <w:r/>
    </w:p>
    <w:p>
      <w:pPr>
        <w:pStyle w:val="109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6.用斜线划除的地方无需填写。</w:t>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8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质疑函范本</w:t>
      </w:r>
      <w:r/>
    </w:p>
    <w:p>
      <w:pPr>
        <w:spacing w:before="290"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签章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公章：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w:t>
      </w:r>
      <w:r>
        <w:rPr>
          <w:rFonts w:hint="eastAsia" w:ascii="仿宋" w:hAnsi="仿宋" w:eastAsia="仿宋"/>
          <w:color w:val="auto"/>
          <w:sz w:val="28"/>
          <w:szCs w:val="28"/>
          <w:highlight w:val="none"/>
          <w:lang w:eastAsia="zh-CN"/>
        </w:rPr>
        <w:t xml:space="preserve">佐证材料</w:t>
      </w:r>
      <w:r>
        <w:rPr>
          <w:rFonts w:hint="eastAsia" w:ascii="仿宋" w:hAnsi="仿宋" w:eastAsia="仿宋"/>
          <w:color w:val="auto"/>
          <w:sz w:val="28"/>
          <w:szCs w:val="28"/>
          <w:highlight w:val="none"/>
        </w:rPr>
        <w:t xml:space="preserve">。</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auto"/>
          <w:sz w:val="24"/>
          <w:szCs w:val="24"/>
          <w:highlight w:val="none"/>
        </w:rPr>
      </w:pPr>
      <w:r>
        <w:rPr>
          <w:rFonts w:hint="eastAsia"/>
          <w:color w:val="auto"/>
          <w:sz w:val="24"/>
          <w:szCs w:val="24"/>
          <w:highlight w:val="none"/>
        </w:rPr>
      </w:r>
      <w:r/>
    </w:p>
    <w:sectPr>
      <w:footerReference w:type="default" r:id="rId20"/>
      <w:footerReference w:type="first" r:id="rId21"/>
      <w:footnotePr/>
      <w:endnotePr/>
      <w:type w:val="nextPage"/>
      <w:pgSz w:w="11906" w:h="16838" w:orient="portrait"/>
      <w:pgMar w:top="1418" w:right="1588" w:bottom="1418" w:left="1365" w:header="851" w:footer="907" w:gutter="0"/>
      <w:pgNumType w:start="64"/>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FangSong">
    <w:panose1 w:val="02010609060101010101"/>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方正公文楷体">
    <w:panose1 w:val="020B050302020202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方正公文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13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jc w:val="center"/>
      <w:rPr>
        <w:rFonts w:hint="default"/>
        <w:lang w:val="en-US" w:eastAsia="zh-CN"/>
      </w:rPr>
    </w:pPr>
    <w:r>
      <w:rPr>
        <w:rFonts w:hint="default"/>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13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133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26</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wrap="none" lIns="0" tIns="0" rIns="0" bIns="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26</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rPr>
        <w:rStyle w:val="1358"/>
      </w:rPr>
      <w:framePr w:wrap="around" w:vAnchor="text" w:hAnchor="margin" w:xAlign="center" w:y="1"/>
    </w:pPr>
    <w:r>
      <w:fldChar w:fldCharType="begin"/>
    </w:r>
    <w:r>
      <w:rPr>
        <w:rStyle w:val="1358"/>
      </w:rPr>
      <w:instrText xml:space="preserve">PAGE  </w:instrText>
    </w:r>
    <w:r>
      <w:fldChar w:fldCharType="separate"/>
    </w:r>
    <w:r>
      <w:rPr>
        <w:rStyle w:val="1358"/>
      </w:rPr>
      <w:t xml:space="preserve">1</w:t>
    </w:r>
    <w:r>
      <w:fldChar w:fldCharType="end"/>
    </w:r>
    <w:r/>
  </w:p>
  <w:p>
    <w:pPr>
      <w:pStyle w:val="133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27</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27</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jc w:val="center"/>
      <w:rPr>
        <w:rFonts w:hint="default" w:eastAsia="宋体"/>
        <w:lang w:val="en-US" w:eastAsia="zh-CN"/>
      </w:rPr>
    </w:pPr>
    <w:r>
      <w:rPr>
        <w:rFonts w:hint="default"/>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vert="horz" wrap="none" lIns="0" tIns="0" rIns="0" bIns="0" upright="0">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wrap="none" lIns="0" tIns="0" rIns="0" bIns="0" upright="0">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jc w:val="center"/>
      <w:rPr>
        <w:rFonts w:hint="default"/>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rFonts w:hint="eastAsia"/>
        <w:lang w:val="en-US" w:eastAsia="zh-CN"/>
      </w:rPr>
      <w:t xml:space="preserve">72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3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306"/>
      <w:isLgl w:val="false"/>
      <w:suff w:val="nothing"/>
      <w:lvlText w:val=""/>
      <w:lvlJc w:val="left"/>
      <w:pPr>
        <w:ind w:left="0" w:firstLine="0"/>
      </w:pPr>
      <w:rPr>
        <w:rFonts w:hint="eastAsia"/>
      </w:rPr>
    </w:lvl>
    <w:lvl w:ilvl="6">
      <w:start w:val="1"/>
      <w:numFmt w:val="decimal"/>
      <w:pStyle w:val="1308"/>
      <w:isLgl w:val="false"/>
      <w:suff w:val="nothing"/>
      <w:lvlText w:val=""/>
      <w:lvlJc w:val="left"/>
      <w:pPr>
        <w:ind w:left="0" w:firstLine="0"/>
      </w:pPr>
      <w:rPr>
        <w:rFonts w:hint="eastAsia"/>
      </w:rPr>
    </w:lvl>
    <w:lvl w:ilvl="7">
      <w:start w:val="1"/>
      <w:numFmt w:val="decimal"/>
      <w:pStyle w:val="1310"/>
      <w:isLgl w:val="false"/>
      <w:suff w:val="nothing"/>
      <w:lvlText w:val=""/>
      <w:lvlJc w:val="left"/>
      <w:pPr>
        <w:ind w:left="0" w:firstLine="0"/>
      </w:pPr>
      <w:rPr>
        <w:rFonts w:hint="eastAsia"/>
      </w:rPr>
    </w:lvl>
    <w:lvl w:ilvl="8">
      <w:start w:val="1"/>
      <w:numFmt w:val="decimal"/>
      <w:pStyle w:val="1312"/>
      <w:isLgl w:val="false"/>
      <w:suff w:val="nothing"/>
      <w:lvlText w:val=""/>
      <w:lvlJc w:val="left"/>
      <w:pPr>
        <w:ind w:left="0" w:firstLine="0"/>
      </w:pPr>
      <w:rPr>
        <w:rFonts w:hint="eastAsia"/>
      </w:rPr>
    </w:lvl>
  </w:abstractNum>
  <w:abstractNum w:abstractNumId="5">
    <w:multiLevelType w:val="hybridMultilevel"/>
    <w:lvl w:ilvl="0">
      <w:start w:val="1"/>
      <w:numFmt w:val="chineseCounting"/>
      <w:pStyle w:val="1114"/>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3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7" w:default="1">
    <w:name w:val="Normal"/>
    <w:next w:val="1079"/>
    <w:link w:val="1409"/>
    <w:uiPriority w:val="0"/>
    <w:qFormat/>
    <w:pPr>
      <w:jc w:val="both"/>
      <w:widowControl w:val="off"/>
    </w:pPr>
    <w:rPr>
      <w:rFonts w:hint="default" w:ascii="Times New Roman" w:hAnsi="Times New Roman" w:eastAsia="宋体" w:cs="Times New Roman"/>
      <w:sz w:val="21"/>
      <w:szCs w:val="22"/>
      <w:lang w:eastAsia="zh-CN"/>
    </w:rPr>
  </w:style>
  <w:style w:type="paragraph" w:styleId="1068">
    <w:name w:val="Heading 1"/>
    <w:basedOn w:val="1067"/>
    <w:next w:val="1067"/>
    <w:link w:val="1145"/>
    <w:uiPriority w:val="9"/>
    <w:qFormat/>
    <w:pPr>
      <w:keepLines/>
      <w:keepNext/>
      <w:spacing w:before="480" w:after="200"/>
      <w:outlineLvl w:val="0"/>
    </w:pPr>
    <w:rPr>
      <w:rFonts w:ascii="Arial" w:hAnsi="Arial" w:eastAsia="Arial" w:cs="Arial"/>
      <w:sz w:val="40"/>
      <w:szCs w:val="40"/>
    </w:rPr>
  </w:style>
  <w:style w:type="paragraph" w:styleId="1069">
    <w:name w:val="Heading 2"/>
    <w:basedOn w:val="1067"/>
    <w:next w:val="1067"/>
    <w:link w:val="1146"/>
    <w:uiPriority w:val="9"/>
    <w:unhideWhenUsed/>
    <w:qFormat/>
    <w:pPr>
      <w:keepLines/>
      <w:keepNext/>
      <w:spacing w:before="360" w:after="200"/>
      <w:outlineLvl w:val="1"/>
    </w:pPr>
    <w:rPr>
      <w:rFonts w:ascii="Arial" w:hAnsi="Arial" w:eastAsia="Arial" w:cs="Arial"/>
      <w:sz w:val="34"/>
    </w:rPr>
  </w:style>
  <w:style w:type="paragraph" w:styleId="1070">
    <w:name w:val="Heading 3"/>
    <w:basedOn w:val="1067"/>
    <w:next w:val="1067"/>
    <w:link w:val="1147"/>
    <w:uiPriority w:val="9"/>
    <w:unhideWhenUsed/>
    <w:qFormat/>
    <w:pPr>
      <w:keepLines/>
      <w:keepNext/>
      <w:spacing w:before="320" w:after="200"/>
      <w:outlineLvl w:val="2"/>
    </w:pPr>
    <w:rPr>
      <w:rFonts w:ascii="Arial" w:hAnsi="Arial" w:eastAsia="Arial" w:cs="Arial"/>
      <w:sz w:val="30"/>
      <w:szCs w:val="30"/>
    </w:rPr>
  </w:style>
  <w:style w:type="paragraph" w:styleId="1071">
    <w:name w:val="Heading 4"/>
    <w:basedOn w:val="1067"/>
    <w:next w:val="1067"/>
    <w:link w:val="1148"/>
    <w:uiPriority w:val="9"/>
    <w:unhideWhenUsed/>
    <w:qFormat/>
    <w:pPr>
      <w:keepLines/>
      <w:keepNext/>
      <w:spacing w:before="320" w:after="200"/>
      <w:outlineLvl w:val="3"/>
    </w:pPr>
    <w:rPr>
      <w:rFonts w:ascii="Arial" w:hAnsi="Arial" w:eastAsia="Arial" w:cs="Arial"/>
      <w:b/>
      <w:bCs/>
      <w:sz w:val="26"/>
      <w:szCs w:val="26"/>
    </w:rPr>
  </w:style>
  <w:style w:type="paragraph" w:styleId="1072">
    <w:name w:val="Heading 5"/>
    <w:basedOn w:val="1067"/>
    <w:next w:val="1067"/>
    <w:link w:val="1149"/>
    <w:uiPriority w:val="9"/>
    <w:unhideWhenUsed/>
    <w:qFormat/>
    <w:pPr>
      <w:keepLines/>
      <w:keepNext/>
      <w:spacing w:before="320" w:after="200"/>
      <w:outlineLvl w:val="4"/>
    </w:pPr>
    <w:rPr>
      <w:rFonts w:ascii="Arial" w:hAnsi="Arial" w:eastAsia="Arial" w:cs="Arial"/>
      <w:b/>
      <w:bCs/>
      <w:sz w:val="24"/>
      <w:szCs w:val="24"/>
    </w:rPr>
  </w:style>
  <w:style w:type="paragraph" w:styleId="1073">
    <w:name w:val="Heading 6"/>
    <w:basedOn w:val="1067"/>
    <w:next w:val="1067"/>
    <w:link w:val="1150"/>
    <w:uiPriority w:val="9"/>
    <w:unhideWhenUsed/>
    <w:qFormat/>
    <w:pPr>
      <w:keepLines/>
      <w:keepNext/>
      <w:spacing w:before="320" w:after="200"/>
      <w:outlineLvl w:val="5"/>
    </w:pPr>
    <w:rPr>
      <w:rFonts w:ascii="Arial" w:hAnsi="Arial" w:eastAsia="Arial" w:cs="Arial"/>
      <w:b/>
      <w:bCs/>
      <w:sz w:val="22"/>
      <w:szCs w:val="22"/>
    </w:rPr>
  </w:style>
  <w:style w:type="paragraph" w:styleId="1074">
    <w:name w:val="Heading 7"/>
    <w:basedOn w:val="1067"/>
    <w:next w:val="1067"/>
    <w:link w:val="1151"/>
    <w:uiPriority w:val="9"/>
    <w:unhideWhenUsed/>
    <w:qFormat/>
    <w:pPr>
      <w:keepLines/>
      <w:keepNext/>
      <w:spacing w:before="320" w:after="200"/>
      <w:outlineLvl w:val="6"/>
    </w:pPr>
    <w:rPr>
      <w:rFonts w:ascii="Arial" w:hAnsi="Arial" w:eastAsia="Arial" w:cs="Arial"/>
      <w:b/>
      <w:bCs/>
      <w:i/>
      <w:iCs/>
      <w:sz w:val="22"/>
      <w:szCs w:val="22"/>
    </w:rPr>
  </w:style>
  <w:style w:type="paragraph" w:styleId="1075">
    <w:name w:val="Heading 8"/>
    <w:basedOn w:val="1067"/>
    <w:next w:val="1067"/>
    <w:link w:val="1152"/>
    <w:uiPriority w:val="9"/>
    <w:unhideWhenUsed/>
    <w:qFormat/>
    <w:pPr>
      <w:keepLines/>
      <w:keepNext/>
      <w:spacing w:before="320" w:after="200"/>
      <w:outlineLvl w:val="7"/>
    </w:pPr>
    <w:rPr>
      <w:rFonts w:ascii="Arial" w:hAnsi="Arial" w:eastAsia="Arial" w:cs="Arial"/>
      <w:i/>
      <w:iCs/>
      <w:sz w:val="22"/>
      <w:szCs w:val="22"/>
    </w:rPr>
  </w:style>
  <w:style w:type="paragraph" w:styleId="1076">
    <w:name w:val="Heading 9"/>
    <w:basedOn w:val="1067"/>
    <w:next w:val="1067"/>
    <w:link w:val="1153"/>
    <w:uiPriority w:val="9"/>
    <w:unhideWhenUsed/>
    <w:qFormat/>
    <w:pPr>
      <w:keepLines/>
      <w:keepNext/>
      <w:spacing w:before="320" w:after="200"/>
      <w:outlineLvl w:val="8"/>
    </w:pPr>
    <w:rPr>
      <w:rFonts w:ascii="Arial" w:hAnsi="Arial" w:eastAsia="Arial" w:cs="Arial"/>
      <w:i/>
      <w:iCs/>
      <w:sz w:val="21"/>
      <w:szCs w:val="21"/>
    </w:rPr>
  </w:style>
  <w:style w:type="character" w:styleId="1077" w:default="1">
    <w:name w:val="Default Paragraph Font"/>
    <w:uiPriority w:val="1"/>
    <w:semiHidden/>
    <w:unhideWhenUsed/>
    <w:qFormat/>
  </w:style>
  <w:style w:type="table" w:styleId="1078" w:default="1">
    <w:name w:val="Normal Table"/>
    <w:uiPriority w:val="99"/>
    <w:semiHidden/>
    <w:unhideWhenUsed/>
    <w:qFormat/>
    <w:tblPr>
      <w:tblCellMar>
        <w:left w:w="108" w:type="dxa"/>
        <w:top w:w="0" w:type="dxa"/>
        <w:right w:w="108" w:type="dxa"/>
        <w:bottom w:w="0" w:type="dxa"/>
      </w:tblCellMar>
    </w:tblPr>
  </w:style>
  <w:style w:type="paragraph" w:styleId="1079">
    <w:name w:val="Body Text"/>
    <w:basedOn w:val="1067"/>
    <w:next w:val="1080"/>
    <w:uiPriority w:val="99"/>
    <w:qFormat/>
    <w:rPr>
      <w:rFonts w:ascii="楷体_GB2312" w:hAnsi="Arial" w:eastAsia="楷体_GB2312"/>
      <w:sz w:val="28"/>
      <w:szCs w:val="28"/>
    </w:rPr>
  </w:style>
  <w:style w:type="paragraph" w:styleId="1080" w:customStyle="1">
    <w:name w:val="Default"/>
    <w:next w:val="1067"/>
    <w:uiPriority w:val="0"/>
    <w:qFormat/>
    <w:pPr>
      <w:widowControl w:val="off"/>
    </w:pPr>
    <w:rPr>
      <w:rFonts w:hint="default" w:ascii="宋体" w:hAnsi="宋体" w:eastAsia="宋体" w:cs="宋体"/>
      <w:color w:val="000000"/>
      <w:sz w:val="24"/>
      <w:szCs w:val="24"/>
      <w:lang w:val="en-US" w:eastAsia="zh-CN" w:bidi="ar-SA"/>
    </w:rPr>
  </w:style>
  <w:style w:type="paragraph" w:styleId="1081">
    <w:name w:val="toc 7"/>
    <w:basedOn w:val="1067"/>
    <w:next w:val="1067"/>
    <w:uiPriority w:val="39"/>
    <w:unhideWhenUsed/>
    <w:qFormat/>
    <w:pPr>
      <w:ind w:left="1701" w:right="0" w:firstLine="0"/>
      <w:spacing w:after="57"/>
    </w:pPr>
  </w:style>
  <w:style w:type="paragraph" w:styleId="1082">
    <w:name w:val="Caption"/>
    <w:basedOn w:val="1067"/>
    <w:next w:val="10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83">
    <w:name w:val="Body Text Indent"/>
    <w:basedOn w:val="1067"/>
    <w:next w:val="1067"/>
    <w:uiPriority w:val="0"/>
    <w:qFormat/>
    <w:pPr>
      <w:ind w:firstLine="403"/>
      <w:spacing w:line="440" w:lineRule="exact"/>
    </w:pPr>
    <w:rPr>
      <w:rFonts w:ascii="宋体" w:hAnsi="宋体"/>
      <w:sz w:val="20"/>
      <w:szCs w:val="21"/>
    </w:rPr>
  </w:style>
  <w:style w:type="paragraph" w:styleId="1084">
    <w:name w:val="toc 5"/>
    <w:basedOn w:val="1067"/>
    <w:next w:val="1067"/>
    <w:uiPriority w:val="39"/>
    <w:unhideWhenUsed/>
    <w:qFormat/>
    <w:pPr>
      <w:ind w:left="1134" w:right="0" w:firstLine="0"/>
      <w:spacing w:after="57"/>
    </w:pPr>
  </w:style>
  <w:style w:type="paragraph" w:styleId="1085">
    <w:name w:val="toc 3"/>
    <w:basedOn w:val="1067"/>
    <w:next w:val="1067"/>
    <w:uiPriority w:val="39"/>
    <w:unhideWhenUsed/>
    <w:qFormat/>
    <w:pPr>
      <w:ind w:left="567" w:right="0" w:firstLine="0"/>
      <w:spacing w:after="57"/>
    </w:pPr>
  </w:style>
  <w:style w:type="paragraph" w:styleId="1086">
    <w:name w:val="Plain Text"/>
    <w:basedOn w:val="1067"/>
    <w:uiPriority w:val="0"/>
    <w:qFormat/>
    <w:rPr>
      <w:rFonts w:ascii="宋体" w:hAnsi="Courier New"/>
    </w:rPr>
  </w:style>
  <w:style w:type="paragraph" w:styleId="1087">
    <w:name w:val="toc 8"/>
    <w:basedOn w:val="1067"/>
    <w:next w:val="1067"/>
    <w:uiPriority w:val="39"/>
    <w:unhideWhenUsed/>
    <w:qFormat/>
    <w:pPr>
      <w:ind w:left="1984" w:right="0" w:firstLine="0"/>
      <w:spacing w:after="57"/>
    </w:pPr>
  </w:style>
  <w:style w:type="paragraph" w:styleId="1088">
    <w:name w:val="endnote text"/>
    <w:basedOn w:val="1067"/>
    <w:uiPriority w:val="99"/>
    <w:semiHidden/>
    <w:unhideWhenUsed/>
    <w:qFormat/>
    <w:pPr>
      <w:spacing w:after="0" w:line="240" w:lineRule="auto"/>
    </w:pPr>
    <w:rPr>
      <w:sz w:val="20"/>
    </w:rPr>
  </w:style>
  <w:style w:type="paragraph" w:styleId="1089">
    <w:name w:val="Footer"/>
    <w:basedOn w:val="1067"/>
    <w:uiPriority w:val="99"/>
    <w:unhideWhenUsed/>
    <w:qFormat/>
    <w:pPr>
      <w:spacing w:after="0" w:line="240" w:lineRule="auto"/>
      <w:tabs>
        <w:tab w:val="center" w:pos="7143" w:leader="none"/>
        <w:tab w:val="right" w:pos="14287" w:leader="none"/>
      </w:tabs>
    </w:pPr>
  </w:style>
  <w:style w:type="paragraph" w:styleId="1090">
    <w:name w:val="Header"/>
    <w:basedOn w:val="1067"/>
    <w:uiPriority w:val="99"/>
    <w:unhideWhenUsed/>
    <w:qFormat/>
    <w:pPr>
      <w:spacing w:after="0" w:line="240" w:lineRule="auto"/>
      <w:tabs>
        <w:tab w:val="center" w:pos="7143" w:leader="none"/>
        <w:tab w:val="right" w:pos="14287" w:leader="none"/>
      </w:tabs>
    </w:pPr>
  </w:style>
  <w:style w:type="paragraph" w:styleId="1091">
    <w:name w:val="toc 1"/>
    <w:basedOn w:val="1067"/>
    <w:next w:val="1067"/>
    <w:uiPriority w:val="39"/>
    <w:unhideWhenUsed/>
    <w:qFormat/>
    <w:pPr>
      <w:ind w:left="0" w:right="0" w:firstLine="0"/>
      <w:spacing w:after="57"/>
    </w:pPr>
  </w:style>
  <w:style w:type="paragraph" w:styleId="1092">
    <w:name w:val="toc 4"/>
    <w:basedOn w:val="1067"/>
    <w:next w:val="1067"/>
    <w:uiPriority w:val="39"/>
    <w:unhideWhenUsed/>
    <w:qFormat/>
    <w:pPr>
      <w:ind w:left="850" w:right="0" w:firstLine="0"/>
      <w:spacing w:after="57"/>
    </w:pPr>
  </w:style>
  <w:style w:type="paragraph" w:styleId="1093">
    <w:name w:val="Subtitle"/>
    <w:basedOn w:val="1067"/>
    <w:next w:val="1067"/>
    <w:uiPriority w:val="11"/>
    <w:qFormat/>
    <w:pPr>
      <w:spacing w:before="200" w:after="200"/>
    </w:pPr>
    <w:rPr>
      <w:sz w:val="24"/>
      <w:szCs w:val="24"/>
    </w:rPr>
  </w:style>
  <w:style w:type="paragraph" w:styleId="1094">
    <w:name w:val="footnote text"/>
    <w:basedOn w:val="1067"/>
    <w:uiPriority w:val="99"/>
    <w:semiHidden/>
    <w:unhideWhenUsed/>
    <w:qFormat/>
    <w:pPr>
      <w:spacing w:after="40" w:line="240" w:lineRule="auto"/>
    </w:pPr>
    <w:rPr>
      <w:sz w:val="18"/>
    </w:rPr>
  </w:style>
  <w:style w:type="paragraph" w:styleId="1095">
    <w:name w:val="toc 6"/>
    <w:basedOn w:val="1067"/>
    <w:next w:val="1067"/>
    <w:uiPriority w:val="39"/>
    <w:unhideWhenUsed/>
    <w:qFormat/>
    <w:pPr>
      <w:ind w:left="1417" w:right="0" w:firstLine="0"/>
      <w:spacing w:after="57"/>
    </w:pPr>
  </w:style>
  <w:style w:type="paragraph" w:styleId="1096">
    <w:name w:val="table of figures"/>
    <w:basedOn w:val="1067"/>
    <w:next w:val="1067"/>
    <w:uiPriority w:val="99"/>
    <w:unhideWhenUsed/>
    <w:qFormat/>
    <w:pPr>
      <w:spacing w:after="0" w:afterAutospacing="0"/>
    </w:pPr>
  </w:style>
  <w:style w:type="paragraph" w:styleId="1097">
    <w:name w:val="toc 2"/>
    <w:basedOn w:val="1067"/>
    <w:next w:val="1067"/>
    <w:uiPriority w:val="39"/>
    <w:unhideWhenUsed/>
    <w:qFormat/>
    <w:pPr>
      <w:ind w:left="283" w:right="0" w:firstLine="0"/>
      <w:spacing w:after="57"/>
    </w:pPr>
  </w:style>
  <w:style w:type="paragraph" w:styleId="1098">
    <w:name w:val="toc 9"/>
    <w:basedOn w:val="1067"/>
    <w:next w:val="1067"/>
    <w:uiPriority w:val="39"/>
    <w:unhideWhenUsed/>
    <w:qFormat/>
    <w:pPr>
      <w:ind w:left="2268" w:right="0" w:firstLine="0"/>
      <w:spacing w:after="57"/>
    </w:pPr>
  </w:style>
  <w:style w:type="paragraph" w:styleId="1099">
    <w:name w:val="Normal (Web)"/>
    <w:basedOn w:val="1067"/>
    <w:uiPriority w:val="0"/>
    <w:qFormat/>
    <w:pPr>
      <w:jc w:val="left"/>
      <w:spacing w:beforeAutospacing="1" w:afterAutospacing="1"/>
    </w:pPr>
    <w:rPr>
      <w:sz w:val="24"/>
    </w:rPr>
  </w:style>
  <w:style w:type="paragraph" w:styleId="1100">
    <w:name w:val="Title"/>
    <w:basedOn w:val="1067"/>
    <w:next w:val="1067"/>
    <w:uiPriority w:val="10"/>
    <w:qFormat/>
    <w:pPr>
      <w:contextualSpacing/>
      <w:spacing w:before="300" w:after="200"/>
    </w:pPr>
    <w:rPr>
      <w:sz w:val="48"/>
      <w:szCs w:val="48"/>
    </w:rPr>
  </w:style>
  <w:style w:type="table" w:styleId="11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2">
    <w:name w:val="Strong"/>
    <w:basedOn w:val="1077"/>
    <w:uiPriority w:val="22"/>
    <w:qFormat/>
    <w:rPr>
      <w:b/>
    </w:rPr>
  </w:style>
  <w:style w:type="character" w:styleId="1103">
    <w:name w:val="endnote reference"/>
    <w:uiPriority w:val="99"/>
    <w:semiHidden/>
    <w:unhideWhenUsed/>
    <w:qFormat/>
    <w:rPr>
      <w:vertAlign w:val="superscript"/>
    </w:rPr>
  </w:style>
  <w:style w:type="character" w:styleId="1104">
    <w:name w:val="Emphasis"/>
    <w:uiPriority w:val="0"/>
    <w:qFormat/>
    <w:rPr>
      <w:i/>
    </w:rPr>
  </w:style>
  <w:style w:type="character" w:styleId="1105">
    <w:name w:val="Hyperlink"/>
    <w:uiPriority w:val="99"/>
    <w:unhideWhenUsed/>
    <w:qFormat/>
    <w:rPr>
      <w:color w:val="0000ff" w:themeColor="hyperlink"/>
      <w:u w:val="single"/>
      <w14:textFill>
        <w14:solidFill>
          <w14:schemeClr w14:val="hlink"/>
        </w14:solidFill>
      </w14:textFill>
    </w:rPr>
  </w:style>
  <w:style w:type="character" w:styleId="1106">
    <w:name w:val="footnote reference"/>
    <w:uiPriority w:val="99"/>
    <w:unhideWhenUsed/>
    <w:qFormat/>
    <w:rPr>
      <w:vertAlign w:val="superscript"/>
    </w:rPr>
  </w:style>
  <w:style w:type="paragraph" w:styleId="1107" w:customStyle="1">
    <w:name w:val="正文首行缩进 21"/>
    <w:basedOn w:val="1108"/>
    <w:link w:val="1355"/>
    <w:uiPriority w:val="0"/>
    <w:qFormat/>
    <w:pPr>
      <w:ind w:left="0" w:firstLine="420"/>
      <w:spacing w:after="0" w:line="360" w:lineRule="auto"/>
    </w:pPr>
    <w:rPr>
      <w:rFonts w:ascii="宋体" w:hAnsi="宋体"/>
      <w:sz w:val="20"/>
      <w:szCs w:val="20"/>
    </w:rPr>
  </w:style>
  <w:style w:type="paragraph" w:styleId="1108" w:customStyle="1">
    <w:name w:val="正文文本缩进1"/>
    <w:basedOn w:val="1067"/>
    <w:next w:val="1107"/>
    <w:link w:val="1324"/>
    <w:uiPriority w:val="99"/>
    <w:unhideWhenUsed/>
    <w:qFormat/>
    <w:pPr>
      <w:ind w:left="420"/>
      <w:spacing w:after="120"/>
    </w:pPr>
  </w:style>
  <w:style w:type="paragraph" w:styleId="1109" w:customStyle="1">
    <w:name w:val="正文首行缩进11"/>
    <w:basedOn w:val="1110"/>
    <w:link w:val="1144"/>
    <w:uiPriority w:val="0"/>
    <w:qFormat/>
    <w:pPr>
      <w:ind w:firstLine="200"/>
      <w:spacing w:line="360" w:lineRule="auto"/>
    </w:pPr>
    <w:rPr>
      <w:rFonts w:ascii="仿宋_GB2312" w:hAnsi="Times New Roman" w:eastAsia="仿宋_GB2312"/>
      <w:sz w:val="30"/>
      <w:szCs w:val="30"/>
    </w:rPr>
  </w:style>
  <w:style w:type="paragraph" w:styleId="1110" w:customStyle="1">
    <w:name w:val="正文文本1"/>
    <w:basedOn w:val="1067"/>
    <w:next w:val="1067"/>
    <w:uiPriority w:val="0"/>
    <w:qFormat/>
    <w:rPr>
      <w:rFonts w:ascii="楷体_GB2312" w:hAnsi="Arial" w:eastAsia="楷体_GB2312"/>
      <w:sz w:val="28"/>
      <w:szCs w:val="28"/>
      <w:lang w:eastAsia="en-US"/>
    </w:rPr>
  </w:style>
  <w:style w:type="paragraph" w:styleId="1111" w:customStyle="1">
    <w:name w:val="正文文本缩进11"/>
    <w:basedOn w:val="1067"/>
    <w:next w:val="1112"/>
    <w:uiPriority w:val="0"/>
    <w:qFormat/>
    <w:pPr>
      <w:ind w:left="570"/>
      <w:spacing w:line="520" w:lineRule="exact"/>
    </w:pPr>
    <w:rPr>
      <w:rFonts w:hint="eastAsia" w:ascii="楷体_GB2312"/>
    </w:rPr>
  </w:style>
  <w:style w:type="paragraph" w:styleId="1112" w:customStyle="1">
    <w:name w:val="寄信人地址1"/>
    <w:basedOn w:val="1067"/>
    <w:uiPriority w:val="99"/>
    <w:unhideWhenUsed/>
    <w:qFormat/>
    <w:rPr>
      <w:rFonts w:ascii="Arial" w:hAnsi="Arial"/>
    </w:rPr>
  </w:style>
  <w:style w:type="paragraph" w:styleId="1113" w:customStyle="1">
    <w:name w:val="正文文本缩进 31"/>
    <w:basedOn w:val="1067"/>
    <w:link w:val="1345"/>
    <w:uiPriority w:val="0"/>
    <w:qFormat/>
    <w:pPr>
      <w:ind w:left="645" w:firstLine="645"/>
    </w:pPr>
    <w:rPr>
      <w:rFonts w:ascii="Arial" w:hAnsi="Arial" w:eastAsia="仿宋_GB2312"/>
      <w:color w:val="ffff00"/>
      <w:sz w:val="32"/>
      <w:szCs w:val="32"/>
    </w:rPr>
  </w:style>
  <w:style w:type="paragraph" w:styleId="1114" w:customStyle="1">
    <w:name w:val="标题 111"/>
    <w:basedOn w:val="1067"/>
    <w:next w:val="1067"/>
    <w:uiPriority w:val="0"/>
    <w:qFormat/>
    <w:pPr>
      <w:numPr>
        <w:ilvl w:val="0"/>
        <w:numId w:val="1"/>
      </w:numPr>
      <w:jc w:val="left"/>
      <w:keepLines/>
      <w:keepNext/>
      <w:outlineLvl w:val="0"/>
    </w:pPr>
    <w:rPr>
      <w:b/>
      <w:bCs/>
      <w:sz w:val="32"/>
      <w:szCs w:val="32"/>
    </w:rPr>
  </w:style>
  <w:style w:type="character" w:styleId="1115" w:customStyle="1">
    <w:name w:val="默认段落字体11"/>
    <w:link w:val="1067"/>
    <w:uiPriority w:val="1"/>
    <w:unhideWhenUsed/>
    <w:qFormat/>
  </w:style>
  <w:style w:type="table" w:styleId="1116" w:customStyle="1">
    <w:name w:val="普通表格11"/>
    <w:uiPriority w:val="99"/>
    <w:unhideWhenUsed/>
    <w:qFormat/>
    <w:tblPr/>
  </w:style>
  <w:style w:type="paragraph" w:styleId="1117" w:customStyle="1">
    <w:name w:val="目录 711"/>
    <w:basedOn w:val="1067"/>
    <w:next w:val="1067"/>
    <w:uiPriority w:val="39"/>
    <w:unhideWhenUsed/>
    <w:qFormat/>
    <w:pPr>
      <w:ind w:left="1701" w:right="0" w:firstLine="0"/>
      <w:spacing w:after="57"/>
    </w:pPr>
  </w:style>
  <w:style w:type="paragraph" w:styleId="1118" w:customStyle="1">
    <w:name w:val="正文文本1111"/>
    <w:basedOn w:val="1067"/>
    <w:next w:val="1067"/>
    <w:uiPriority w:val="0"/>
    <w:qFormat/>
    <w:rPr>
      <w:rFonts w:ascii="楷体_GB2312" w:hAnsi="Arial" w:eastAsia="楷体_GB2312"/>
      <w:sz w:val="28"/>
      <w:szCs w:val="28"/>
    </w:rPr>
  </w:style>
  <w:style w:type="paragraph" w:styleId="1119" w:customStyle="1">
    <w:name w:val="目录 511"/>
    <w:basedOn w:val="1067"/>
    <w:next w:val="1067"/>
    <w:uiPriority w:val="39"/>
    <w:unhideWhenUsed/>
    <w:qFormat/>
    <w:pPr>
      <w:ind w:left="1134" w:right="0" w:firstLine="0"/>
      <w:spacing w:after="57"/>
    </w:pPr>
  </w:style>
  <w:style w:type="paragraph" w:styleId="1120" w:customStyle="1">
    <w:name w:val="目录 311"/>
    <w:basedOn w:val="1067"/>
    <w:next w:val="1067"/>
    <w:uiPriority w:val="39"/>
    <w:unhideWhenUsed/>
    <w:qFormat/>
    <w:pPr>
      <w:ind w:left="567" w:right="0" w:firstLine="0"/>
      <w:spacing w:after="57"/>
    </w:pPr>
  </w:style>
  <w:style w:type="paragraph" w:styleId="1121" w:customStyle="1">
    <w:name w:val="纯文本11"/>
    <w:basedOn w:val="1067"/>
    <w:uiPriority w:val="0"/>
    <w:qFormat/>
    <w:rPr>
      <w:rFonts w:ascii="宋体" w:hAnsi="Courier New"/>
    </w:rPr>
  </w:style>
  <w:style w:type="paragraph" w:styleId="1122" w:customStyle="1">
    <w:name w:val="目录 811"/>
    <w:basedOn w:val="1067"/>
    <w:next w:val="1067"/>
    <w:uiPriority w:val="39"/>
    <w:unhideWhenUsed/>
    <w:qFormat/>
    <w:pPr>
      <w:ind w:left="1984" w:right="0" w:firstLine="0"/>
      <w:spacing w:after="57"/>
    </w:pPr>
  </w:style>
  <w:style w:type="paragraph" w:styleId="1123" w:customStyle="1">
    <w:name w:val="正文文本缩进 211"/>
    <w:basedOn w:val="1067"/>
    <w:uiPriority w:val="0"/>
    <w:qFormat/>
    <w:pPr>
      <w:ind w:firstLine="502"/>
      <w:spacing w:line="360" w:lineRule="auto"/>
      <w:tabs>
        <w:tab w:val="left" w:pos="0" w:leader="none"/>
      </w:tabs>
    </w:pPr>
    <w:rPr>
      <w:rFonts w:ascii="宋体" w:eastAsia="宋体"/>
      <w:b/>
      <w:bCs/>
      <w:sz w:val="24"/>
    </w:rPr>
  </w:style>
  <w:style w:type="paragraph" w:styleId="1124" w:customStyle="1">
    <w:name w:val="尾注文本1"/>
    <w:basedOn w:val="1067"/>
    <w:link w:val="1125"/>
    <w:uiPriority w:val="99"/>
    <w:unhideWhenUsed/>
    <w:qFormat/>
    <w:pPr>
      <w:spacing w:after="0" w:line="240" w:lineRule="auto"/>
    </w:pPr>
    <w:rPr>
      <w:sz w:val="20"/>
    </w:rPr>
  </w:style>
  <w:style w:type="character" w:styleId="1125" w:customStyle="1">
    <w:name w:val="Endnote Text Char"/>
    <w:link w:val="1124"/>
    <w:uiPriority w:val="99"/>
    <w:qFormat/>
    <w:rPr>
      <w:sz w:val="20"/>
    </w:rPr>
  </w:style>
  <w:style w:type="paragraph" w:styleId="1126" w:customStyle="1">
    <w:name w:val="目录 111"/>
    <w:basedOn w:val="1067"/>
    <w:next w:val="1067"/>
    <w:uiPriority w:val="39"/>
    <w:unhideWhenUsed/>
    <w:qFormat/>
    <w:pPr>
      <w:ind w:left="0" w:right="0" w:firstLine="0"/>
      <w:spacing w:after="57"/>
    </w:pPr>
  </w:style>
  <w:style w:type="paragraph" w:styleId="1127" w:customStyle="1">
    <w:name w:val="目录 411"/>
    <w:basedOn w:val="1067"/>
    <w:next w:val="1067"/>
    <w:uiPriority w:val="39"/>
    <w:unhideWhenUsed/>
    <w:qFormat/>
    <w:pPr>
      <w:ind w:left="850" w:right="0" w:firstLine="0"/>
      <w:spacing w:after="57"/>
    </w:pPr>
  </w:style>
  <w:style w:type="paragraph" w:styleId="1128" w:customStyle="1">
    <w:name w:val="副标题1"/>
    <w:basedOn w:val="1067"/>
    <w:next w:val="1067"/>
    <w:link w:val="1129"/>
    <w:uiPriority w:val="11"/>
    <w:qFormat/>
    <w:pPr>
      <w:spacing w:before="200" w:after="200"/>
    </w:pPr>
    <w:rPr>
      <w:sz w:val="24"/>
      <w:szCs w:val="24"/>
    </w:rPr>
  </w:style>
  <w:style w:type="character" w:styleId="1129" w:customStyle="1">
    <w:name w:val="Subtitle Char"/>
    <w:link w:val="1128"/>
    <w:uiPriority w:val="11"/>
    <w:qFormat/>
    <w:rPr>
      <w:sz w:val="24"/>
      <w:szCs w:val="24"/>
    </w:rPr>
  </w:style>
  <w:style w:type="paragraph" w:styleId="1130" w:customStyle="1">
    <w:name w:val="脚注文本1"/>
    <w:basedOn w:val="1067"/>
    <w:link w:val="1131"/>
    <w:uiPriority w:val="99"/>
    <w:unhideWhenUsed/>
    <w:qFormat/>
    <w:pPr>
      <w:spacing w:after="40" w:line="240" w:lineRule="auto"/>
    </w:pPr>
    <w:rPr>
      <w:sz w:val="18"/>
    </w:rPr>
  </w:style>
  <w:style w:type="character" w:styleId="1131" w:customStyle="1">
    <w:name w:val="Footnote Text Char"/>
    <w:link w:val="1130"/>
    <w:uiPriority w:val="99"/>
    <w:qFormat/>
    <w:rPr>
      <w:sz w:val="18"/>
    </w:rPr>
  </w:style>
  <w:style w:type="paragraph" w:styleId="1132" w:customStyle="1">
    <w:name w:val="目录 611"/>
    <w:basedOn w:val="1067"/>
    <w:next w:val="1067"/>
    <w:uiPriority w:val="39"/>
    <w:unhideWhenUsed/>
    <w:qFormat/>
    <w:pPr>
      <w:ind w:left="1417" w:right="0" w:firstLine="0"/>
      <w:spacing w:after="57"/>
    </w:pPr>
  </w:style>
  <w:style w:type="paragraph" w:styleId="1133" w:customStyle="1">
    <w:name w:val="图表目录11"/>
    <w:basedOn w:val="1067"/>
    <w:next w:val="1067"/>
    <w:uiPriority w:val="99"/>
    <w:unhideWhenUsed/>
    <w:qFormat/>
    <w:pPr>
      <w:spacing w:after="0" w:afterAutospacing="0"/>
    </w:pPr>
  </w:style>
  <w:style w:type="paragraph" w:styleId="1134" w:customStyle="1">
    <w:name w:val="目录 211"/>
    <w:basedOn w:val="1067"/>
    <w:next w:val="1067"/>
    <w:uiPriority w:val="39"/>
    <w:unhideWhenUsed/>
    <w:qFormat/>
    <w:pPr>
      <w:ind w:left="283" w:right="0" w:firstLine="0"/>
      <w:spacing w:after="57"/>
    </w:pPr>
  </w:style>
  <w:style w:type="paragraph" w:styleId="1135" w:customStyle="1">
    <w:name w:val="目录 911"/>
    <w:basedOn w:val="1067"/>
    <w:next w:val="1067"/>
    <w:uiPriority w:val="39"/>
    <w:unhideWhenUsed/>
    <w:qFormat/>
    <w:pPr>
      <w:ind w:left="2268" w:right="0" w:firstLine="0"/>
      <w:spacing w:after="57"/>
    </w:pPr>
  </w:style>
  <w:style w:type="paragraph" w:styleId="1136" w:customStyle="1">
    <w:name w:val="普通(网站)11"/>
    <w:basedOn w:val="1067"/>
    <w:uiPriority w:val="0"/>
    <w:qFormat/>
    <w:pPr>
      <w:jc w:val="left"/>
      <w:spacing w:before="100" w:beforeAutospacing="1" w:after="100" w:afterAutospacing="1" w:line="360" w:lineRule="auto"/>
      <w:widowControl/>
    </w:pPr>
    <w:rPr>
      <w:rFonts w:hint="eastAsia" w:ascii="宋体" w:hAnsi="宋体"/>
      <w:sz w:val="18"/>
      <w:szCs w:val="18"/>
    </w:rPr>
  </w:style>
  <w:style w:type="paragraph" w:styleId="1137" w:customStyle="1">
    <w:name w:val="标题11"/>
    <w:basedOn w:val="1067"/>
    <w:next w:val="1067"/>
    <w:link w:val="1138"/>
    <w:uiPriority w:val="10"/>
    <w:qFormat/>
    <w:pPr>
      <w:contextualSpacing/>
      <w:spacing w:before="300" w:after="200"/>
    </w:pPr>
    <w:rPr>
      <w:sz w:val="48"/>
      <w:szCs w:val="48"/>
    </w:rPr>
  </w:style>
  <w:style w:type="character" w:styleId="1138" w:customStyle="1">
    <w:name w:val="Title Char"/>
    <w:link w:val="1137"/>
    <w:uiPriority w:val="10"/>
    <w:qFormat/>
    <w:rPr>
      <w:sz w:val="48"/>
      <w:szCs w:val="48"/>
    </w:rPr>
  </w:style>
  <w:style w:type="paragraph" w:styleId="1139" w:customStyle="1">
    <w:name w:val="正文首行缩进121"/>
    <w:basedOn w:val="1118"/>
    <w:uiPriority w:val="0"/>
    <w:qFormat/>
    <w:pPr>
      <w:ind w:firstLine="200"/>
      <w:spacing w:line="360" w:lineRule="auto"/>
    </w:pPr>
    <w:rPr>
      <w:rFonts w:ascii="仿宋_GB2312" w:hAnsi="Times New Roman" w:eastAsia="仿宋_GB2312"/>
      <w:sz w:val="30"/>
      <w:szCs w:val="30"/>
    </w:rPr>
  </w:style>
  <w:style w:type="table" w:styleId="1140" w:customStyle="1">
    <w:name w:val="网格型11"/>
    <w:uiPriority w:val="59"/>
    <w:qFormat/>
    <w:pPr>
      <w:spacing w:after="0" w:line="240" w:lineRule="auto"/>
    </w:pPr>
    <w:tblPr/>
  </w:style>
  <w:style w:type="character" w:styleId="1141" w:customStyle="1">
    <w:name w:val="尾注引用1"/>
    <w:link w:val="1067"/>
    <w:uiPriority w:val="99"/>
    <w:unhideWhenUsed/>
    <w:qFormat/>
    <w:rPr>
      <w:vertAlign w:val="superscript"/>
    </w:rPr>
  </w:style>
  <w:style w:type="character" w:styleId="1142" w:customStyle="1">
    <w:name w:val="超链接12"/>
    <w:basedOn w:val="1115"/>
    <w:link w:val="1067"/>
    <w:uiPriority w:val="99"/>
    <w:unhideWhenUsed/>
    <w:qFormat/>
    <w:rPr>
      <w:color w:val="0000ff"/>
      <w:u w:val="single"/>
    </w:rPr>
  </w:style>
  <w:style w:type="character" w:styleId="1143" w:customStyle="1">
    <w:name w:val="脚注引用1"/>
    <w:link w:val="1067"/>
    <w:uiPriority w:val="99"/>
    <w:unhideWhenUsed/>
    <w:qFormat/>
    <w:rPr>
      <w:vertAlign w:val="superscript"/>
    </w:rPr>
  </w:style>
  <w:style w:type="character" w:styleId="1144" w:customStyle="1">
    <w:name w:val="正文首行缩进 字符"/>
    <w:link w:val="1109"/>
    <w:uiPriority w:val="0"/>
    <w:qFormat/>
    <w:rPr>
      <w:rFonts w:ascii="仿宋_GB2312" w:hAnsi="Times New Roman" w:eastAsia="仿宋_GB2312" w:cs="Times New Roman"/>
      <w:sz w:val="30"/>
      <w:szCs w:val="30"/>
    </w:rPr>
  </w:style>
  <w:style w:type="character" w:styleId="1145" w:customStyle="1">
    <w:name w:val="Heading 1 Char"/>
    <w:link w:val="1068"/>
    <w:uiPriority w:val="9"/>
    <w:qFormat/>
    <w:rPr>
      <w:rFonts w:ascii="Arial" w:hAnsi="Arial" w:eastAsia="Arial" w:cs="Arial"/>
      <w:sz w:val="40"/>
      <w:szCs w:val="40"/>
    </w:rPr>
  </w:style>
  <w:style w:type="character" w:styleId="1146" w:customStyle="1">
    <w:name w:val="Heading 2 Char"/>
    <w:link w:val="1069"/>
    <w:uiPriority w:val="9"/>
    <w:qFormat/>
    <w:rPr>
      <w:rFonts w:ascii="Arial" w:hAnsi="Arial" w:eastAsia="Arial" w:cs="Arial"/>
      <w:sz w:val="34"/>
    </w:rPr>
  </w:style>
  <w:style w:type="character" w:styleId="1147" w:customStyle="1">
    <w:name w:val="Heading 3 Char"/>
    <w:link w:val="1070"/>
    <w:uiPriority w:val="9"/>
    <w:qFormat/>
    <w:rPr>
      <w:rFonts w:ascii="Arial" w:hAnsi="Arial" w:eastAsia="Arial" w:cs="Arial"/>
      <w:sz w:val="30"/>
      <w:szCs w:val="30"/>
    </w:rPr>
  </w:style>
  <w:style w:type="character" w:styleId="1148" w:customStyle="1">
    <w:name w:val="Heading 4 Char"/>
    <w:link w:val="1071"/>
    <w:uiPriority w:val="9"/>
    <w:qFormat/>
    <w:rPr>
      <w:rFonts w:ascii="Arial" w:hAnsi="Arial" w:eastAsia="Arial" w:cs="Arial"/>
      <w:b/>
      <w:bCs/>
      <w:sz w:val="26"/>
      <w:szCs w:val="26"/>
    </w:rPr>
  </w:style>
  <w:style w:type="character" w:styleId="1149" w:customStyle="1">
    <w:name w:val="Heading 5 Char"/>
    <w:link w:val="1072"/>
    <w:uiPriority w:val="9"/>
    <w:qFormat/>
    <w:rPr>
      <w:rFonts w:ascii="Arial" w:hAnsi="Arial" w:eastAsia="Arial" w:cs="Arial"/>
      <w:b/>
      <w:bCs/>
      <w:sz w:val="24"/>
      <w:szCs w:val="24"/>
    </w:rPr>
  </w:style>
  <w:style w:type="character" w:styleId="1150" w:customStyle="1">
    <w:name w:val="Heading 6 Char"/>
    <w:link w:val="1073"/>
    <w:uiPriority w:val="9"/>
    <w:qFormat/>
    <w:rPr>
      <w:rFonts w:ascii="Arial" w:hAnsi="Arial" w:eastAsia="Arial" w:cs="Arial"/>
      <w:b/>
      <w:bCs/>
      <w:sz w:val="22"/>
      <w:szCs w:val="22"/>
    </w:rPr>
  </w:style>
  <w:style w:type="character" w:styleId="1151" w:customStyle="1">
    <w:name w:val="Heading 7 Char"/>
    <w:link w:val="1074"/>
    <w:uiPriority w:val="9"/>
    <w:qFormat/>
    <w:rPr>
      <w:rFonts w:ascii="Arial" w:hAnsi="Arial" w:eastAsia="Arial" w:cs="Arial"/>
      <w:b/>
      <w:bCs/>
      <w:i/>
      <w:iCs/>
      <w:sz w:val="22"/>
      <w:szCs w:val="22"/>
    </w:rPr>
  </w:style>
  <w:style w:type="character" w:styleId="1152" w:customStyle="1">
    <w:name w:val="Heading 8 Char"/>
    <w:link w:val="1075"/>
    <w:uiPriority w:val="9"/>
    <w:qFormat/>
    <w:rPr>
      <w:rFonts w:ascii="Arial" w:hAnsi="Arial" w:eastAsia="Arial" w:cs="Arial"/>
      <w:i/>
      <w:iCs/>
      <w:sz w:val="22"/>
      <w:szCs w:val="22"/>
    </w:rPr>
  </w:style>
  <w:style w:type="character" w:styleId="1153" w:customStyle="1">
    <w:name w:val="Heading 9 Char"/>
    <w:link w:val="1076"/>
    <w:uiPriority w:val="9"/>
    <w:qFormat/>
    <w:rPr>
      <w:rFonts w:ascii="Arial" w:hAnsi="Arial" w:eastAsia="Arial" w:cs="Arial"/>
      <w:i/>
      <w:iCs/>
      <w:sz w:val="21"/>
      <w:szCs w:val="21"/>
    </w:rPr>
  </w:style>
  <w:style w:type="paragraph" w:styleId="1154" w:customStyle="1">
    <w:name w:val="Caption1"/>
    <w:basedOn w:val="1067"/>
    <w:next w:val="1067"/>
    <w:uiPriority w:val="35"/>
    <w:unhideWhenUsed/>
    <w:qFormat/>
    <w:pPr>
      <w:spacing w:line="276" w:lineRule="auto"/>
    </w:pPr>
    <w:rPr>
      <w:b/>
      <w:bCs/>
      <w:color w:val="4f81bd"/>
      <w:sz w:val="18"/>
      <w:szCs w:val="18"/>
    </w:rPr>
  </w:style>
  <w:style w:type="paragraph" w:styleId="1155" w:customStyle="1">
    <w:name w:val="Footer1"/>
    <w:basedOn w:val="1067"/>
    <w:link w:val="1157"/>
    <w:uiPriority w:val="99"/>
    <w:unhideWhenUsed/>
    <w:qFormat/>
    <w:pPr>
      <w:spacing w:after="0" w:line="240" w:lineRule="auto"/>
      <w:tabs>
        <w:tab w:val="center" w:pos="7143" w:leader="none"/>
        <w:tab w:val="right" w:pos="14287" w:leader="none"/>
      </w:tabs>
    </w:pPr>
  </w:style>
  <w:style w:type="character" w:styleId="1156" w:customStyle="1">
    <w:name w:val="Footer Char"/>
    <w:link w:val="1155"/>
    <w:uiPriority w:val="99"/>
    <w:qFormat/>
  </w:style>
  <w:style w:type="character" w:styleId="1157" w:customStyle="1">
    <w:name w:val="Caption Char"/>
    <w:link w:val="1155"/>
    <w:uiPriority w:val="99"/>
    <w:qFormat/>
  </w:style>
  <w:style w:type="paragraph" w:styleId="1158" w:customStyle="1">
    <w:name w:val="Header1"/>
    <w:basedOn w:val="1067"/>
    <w:link w:val="1159"/>
    <w:uiPriority w:val="99"/>
    <w:unhideWhenUsed/>
    <w:qFormat/>
    <w:pPr>
      <w:spacing w:after="0" w:line="240" w:lineRule="auto"/>
      <w:tabs>
        <w:tab w:val="center" w:pos="7143" w:leader="none"/>
        <w:tab w:val="right" w:pos="14287" w:leader="none"/>
      </w:tabs>
    </w:pPr>
  </w:style>
  <w:style w:type="character" w:styleId="1159" w:customStyle="1">
    <w:name w:val="Header Char"/>
    <w:link w:val="1158"/>
    <w:uiPriority w:val="99"/>
    <w:qFormat/>
  </w:style>
  <w:style w:type="paragraph" w:styleId="1160" w:customStyle="1">
    <w:name w:val="正文文本11"/>
    <w:basedOn w:val="1067"/>
    <w:next w:val="1067"/>
    <w:link w:val="1161"/>
    <w:uiPriority w:val="0"/>
    <w:qFormat/>
    <w:rPr>
      <w:rFonts w:ascii="楷体_GB2312" w:hAnsi="Arial" w:eastAsia="楷体_GB2312"/>
      <w:sz w:val="28"/>
      <w:szCs w:val="28"/>
    </w:rPr>
  </w:style>
  <w:style w:type="character" w:styleId="1161" w:customStyle="1">
    <w:name w:val="正文文本 字符"/>
    <w:link w:val="1160"/>
    <w:uiPriority w:val="0"/>
    <w:qFormat/>
    <w:rPr>
      <w:rFonts w:ascii="楷体_GB2312" w:hAnsi="Arial" w:eastAsia="楷体_GB2312" w:cs="Times New Roman"/>
      <w:sz w:val="28"/>
      <w:szCs w:val="28"/>
    </w:rPr>
  </w:style>
  <w:style w:type="paragraph" w:styleId="1162">
    <w:name w:val="List Paragraph"/>
    <w:basedOn w:val="1067"/>
    <w:uiPriority w:val="34"/>
    <w:qFormat/>
    <w:pPr>
      <w:contextualSpacing/>
      <w:ind w:left="720"/>
    </w:pPr>
  </w:style>
  <w:style w:type="paragraph" w:styleId="1163">
    <w:name w:val="No Spacing"/>
    <w:uiPriority w:val="1"/>
    <w:qFormat/>
    <w:pPr>
      <w:spacing w:before="0" w:after="0" w:line="240" w:lineRule="auto"/>
    </w:pPr>
    <w:rPr>
      <w:rFonts w:hint="default" w:ascii="Times New Roman" w:hAnsi="Times New Roman" w:eastAsia="宋体" w:cs="Times New Roman"/>
    </w:rPr>
  </w:style>
  <w:style w:type="paragraph" w:styleId="1164">
    <w:name w:val="Quote"/>
    <w:basedOn w:val="1067"/>
    <w:next w:val="1067"/>
    <w:link w:val="1165"/>
    <w:uiPriority w:val="29"/>
    <w:qFormat/>
    <w:pPr>
      <w:ind w:left="720" w:right="720"/>
    </w:pPr>
    <w:rPr>
      <w:i/>
    </w:rPr>
  </w:style>
  <w:style w:type="character" w:styleId="1165" w:customStyle="1">
    <w:name w:val="Quote Char"/>
    <w:link w:val="1164"/>
    <w:uiPriority w:val="29"/>
    <w:qFormat/>
    <w:rPr>
      <w:i/>
    </w:rPr>
  </w:style>
  <w:style w:type="paragraph" w:styleId="1166">
    <w:name w:val="Intense Quote"/>
    <w:basedOn w:val="1067"/>
    <w:next w:val="1067"/>
    <w:link w:val="11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7" w:customStyle="1">
    <w:name w:val="Intense Quote Char"/>
    <w:link w:val="1166"/>
    <w:uiPriority w:val="30"/>
    <w:qFormat/>
    <w:rPr>
      <w:i/>
    </w:rPr>
  </w:style>
  <w:style w:type="table" w:styleId="1168" w:customStyle="1">
    <w:name w:val="Table Grid Light"/>
    <w:uiPriority w:val="59"/>
    <w:qFormat/>
    <w:pPr>
      <w:spacing w:after="0" w:line="240" w:lineRule="auto"/>
    </w:pPr>
    <w:tblPr/>
  </w:style>
  <w:style w:type="table" w:styleId="1169" w:customStyle="1">
    <w:name w:val="Plain Table 1"/>
    <w:uiPriority w:val="59"/>
    <w:qFormat/>
    <w:pPr>
      <w:spacing w:after="0" w:line="240" w:lineRule="auto"/>
    </w:pPr>
    <w:tblPr/>
  </w:style>
  <w:style w:type="table" w:styleId="1170" w:customStyle="1">
    <w:name w:val="Plain Table 2"/>
    <w:uiPriority w:val="59"/>
    <w:qFormat/>
    <w:pPr>
      <w:spacing w:after="0" w:line="240" w:lineRule="auto"/>
    </w:pPr>
    <w:tblPr/>
  </w:style>
  <w:style w:type="table" w:styleId="1171" w:customStyle="1">
    <w:name w:val="Plain Table 3"/>
    <w:uiPriority w:val="99"/>
    <w:qFormat/>
    <w:pPr>
      <w:spacing w:after="0" w:line="240" w:lineRule="auto"/>
    </w:pPr>
    <w:tblPr/>
  </w:style>
  <w:style w:type="table" w:styleId="1172" w:customStyle="1">
    <w:name w:val="Plain Table 4"/>
    <w:uiPriority w:val="99"/>
    <w:qFormat/>
    <w:pPr>
      <w:spacing w:after="0" w:line="240" w:lineRule="auto"/>
    </w:pPr>
    <w:tblPr/>
  </w:style>
  <w:style w:type="table" w:styleId="1173" w:customStyle="1">
    <w:name w:val="Plain Table 5"/>
    <w:uiPriority w:val="99"/>
    <w:qFormat/>
    <w:pPr>
      <w:spacing w:after="0" w:line="240" w:lineRule="auto"/>
    </w:pPr>
    <w:tblPr/>
  </w:style>
  <w:style w:type="table" w:styleId="1174" w:customStyle="1">
    <w:name w:val="Grid Table 1 Light"/>
    <w:uiPriority w:val="99"/>
    <w:qFormat/>
    <w:pPr>
      <w:spacing w:after="0" w:line="240" w:lineRule="auto"/>
    </w:pPr>
    <w:tblPr/>
  </w:style>
  <w:style w:type="table" w:styleId="1175" w:customStyle="1">
    <w:name w:val="Grid Table 1 Light - Accent 1"/>
    <w:uiPriority w:val="99"/>
    <w:qFormat/>
    <w:pPr>
      <w:spacing w:after="0" w:line="240" w:lineRule="auto"/>
    </w:pPr>
    <w:tblPr/>
  </w:style>
  <w:style w:type="table" w:styleId="1176" w:customStyle="1">
    <w:name w:val="Grid Table 1 Light - Accent 2"/>
    <w:uiPriority w:val="99"/>
    <w:qFormat/>
    <w:pPr>
      <w:spacing w:after="0" w:line="240" w:lineRule="auto"/>
    </w:pPr>
    <w:tblPr/>
  </w:style>
  <w:style w:type="table" w:styleId="1177" w:customStyle="1">
    <w:name w:val="Grid Table 1 Light - Accent 3"/>
    <w:uiPriority w:val="99"/>
    <w:qFormat/>
    <w:pPr>
      <w:spacing w:after="0" w:line="240" w:lineRule="auto"/>
    </w:pPr>
    <w:tblPr/>
  </w:style>
  <w:style w:type="table" w:styleId="1178" w:customStyle="1">
    <w:name w:val="Grid Table 1 Light - Accent 4"/>
    <w:uiPriority w:val="99"/>
    <w:qFormat/>
    <w:pPr>
      <w:spacing w:after="0" w:line="240" w:lineRule="auto"/>
    </w:pPr>
    <w:tblPr/>
  </w:style>
  <w:style w:type="table" w:styleId="1179" w:customStyle="1">
    <w:name w:val="Grid Table 1 Light - Accent 5"/>
    <w:uiPriority w:val="99"/>
    <w:qFormat/>
    <w:pPr>
      <w:spacing w:after="0" w:line="240" w:lineRule="auto"/>
    </w:pPr>
    <w:tblPr/>
  </w:style>
  <w:style w:type="table" w:styleId="1180" w:customStyle="1">
    <w:name w:val="Grid Table 1 Light - Accent 6"/>
    <w:uiPriority w:val="99"/>
    <w:qFormat/>
    <w:pPr>
      <w:spacing w:after="0" w:line="240" w:lineRule="auto"/>
    </w:pPr>
    <w:tblPr/>
  </w:style>
  <w:style w:type="table" w:styleId="1181" w:customStyle="1">
    <w:name w:val="Grid Table 2"/>
    <w:uiPriority w:val="99"/>
    <w:qFormat/>
    <w:pPr>
      <w:spacing w:after="0" w:line="240" w:lineRule="auto"/>
    </w:pPr>
    <w:tblPr/>
  </w:style>
  <w:style w:type="table" w:styleId="1182" w:customStyle="1">
    <w:name w:val="Grid Table 2 - Accent 1"/>
    <w:uiPriority w:val="99"/>
    <w:qFormat/>
    <w:pPr>
      <w:spacing w:after="0" w:line="240" w:lineRule="auto"/>
    </w:pPr>
    <w:tblPr/>
  </w:style>
  <w:style w:type="table" w:styleId="1183" w:customStyle="1">
    <w:name w:val="Grid Table 2 - Accent 2"/>
    <w:uiPriority w:val="99"/>
    <w:qFormat/>
    <w:pPr>
      <w:spacing w:after="0" w:line="240" w:lineRule="auto"/>
    </w:pPr>
    <w:tblPr/>
  </w:style>
  <w:style w:type="table" w:styleId="1184" w:customStyle="1">
    <w:name w:val="Grid Table 2 - Accent 3"/>
    <w:uiPriority w:val="99"/>
    <w:qFormat/>
    <w:pPr>
      <w:spacing w:after="0" w:line="240" w:lineRule="auto"/>
    </w:pPr>
    <w:tblPr/>
  </w:style>
  <w:style w:type="table" w:styleId="1185" w:customStyle="1">
    <w:name w:val="Grid Table 2 - Accent 4"/>
    <w:uiPriority w:val="99"/>
    <w:qFormat/>
    <w:pPr>
      <w:spacing w:after="0" w:line="240" w:lineRule="auto"/>
    </w:pPr>
    <w:tblPr/>
  </w:style>
  <w:style w:type="table" w:styleId="1186" w:customStyle="1">
    <w:name w:val="Grid Table 2 - Accent 5"/>
    <w:uiPriority w:val="99"/>
    <w:qFormat/>
    <w:pPr>
      <w:spacing w:after="0" w:line="240" w:lineRule="auto"/>
    </w:pPr>
    <w:tblPr/>
  </w:style>
  <w:style w:type="table" w:styleId="1187" w:customStyle="1">
    <w:name w:val="Grid Table 2 - Accent 6"/>
    <w:uiPriority w:val="99"/>
    <w:qFormat/>
    <w:pPr>
      <w:spacing w:after="0" w:line="240" w:lineRule="auto"/>
    </w:pPr>
    <w:tblPr/>
  </w:style>
  <w:style w:type="table" w:styleId="1188" w:customStyle="1">
    <w:name w:val="Grid Table 3"/>
    <w:uiPriority w:val="99"/>
    <w:qFormat/>
    <w:pPr>
      <w:spacing w:after="0" w:line="240" w:lineRule="auto"/>
    </w:pPr>
    <w:tblPr/>
  </w:style>
  <w:style w:type="table" w:styleId="1189" w:customStyle="1">
    <w:name w:val="Grid Table 3 - Accent 1"/>
    <w:uiPriority w:val="99"/>
    <w:qFormat/>
    <w:pPr>
      <w:spacing w:after="0" w:line="240" w:lineRule="auto"/>
    </w:pPr>
    <w:tblPr/>
  </w:style>
  <w:style w:type="table" w:styleId="1190" w:customStyle="1">
    <w:name w:val="Grid Table 3 - Accent 2"/>
    <w:uiPriority w:val="99"/>
    <w:qFormat/>
    <w:pPr>
      <w:spacing w:after="0" w:line="240" w:lineRule="auto"/>
    </w:pPr>
    <w:tblPr/>
  </w:style>
  <w:style w:type="table" w:styleId="1191" w:customStyle="1">
    <w:name w:val="Grid Table 3 - Accent 3"/>
    <w:uiPriority w:val="99"/>
    <w:qFormat/>
    <w:pPr>
      <w:spacing w:after="0" w:line="240" w:lineRule="auto"/>
    </w:pPr>
    <w:tblPr/>
  </w:style>
  <w:style w:type="table" w:styleId="1192" w:customStyle="1">
    <w:name w:val="Grid Table 3 - Accent 4"/>
    <w:uiPriority w:val="99"/>
    <w:qFormat/>
    <w:pPr>
      <w:spacing w:after="0" w:line="240" w:lineRule="auto"/>
    </w:pPr>
    <w:tblPr/>
  </w:style>
  <w:style w:type="table" w:styleId="1193" w:customStyle="1">
    <w:name w:val="Grid Table 3 - Accent 5"/>
    <w:uiPriority w:val="99"/>
    <w:qFormat/>
    <w:pPr>
      <w:spacing w:after="0" w:line="240" w:lineRule="auto"/>
    </w:pPr>
    <w:tblPr/>
  </w:style>
  <w:style w:type="table" w:styleId="1194" w:customStyle="1">
    <w:name w:val="Grid Table 3 - Accent 6"/>
    <w:uiPriority w:val="99"/>
    <w:qFormat/>
    <w:pPr>
      <w:spacing w:after="0" w:line="240" w:lineRule="auto"/>
    </w:pPr>
    <w:tblPr/>
  </w:style>
  <w:style w:type="table" w:styleId="1195" w:customStyle="1">
    <w:name w:val="Grid Table 4"/>
    <w:uiPriority w:val="59"/>
    <w:qFormat/>
    <w:pPr>
      <w:spacing w:after="0" w:line="240" w:lineRule="auto"/>
    </w:pPr>
    <w:tblPr/>
  </w:style>
  <w:style w:type="table" w:styleId="1196" w:customStyle="1">
    <w:name w:val="Grid Table 4 - Accent 1"/>
    <w:uiPriority w:val="59"/>
    <w:qFormat/>
    <w:pPr>
      <w:spacing w:after="0" w:line="240" w:lineRule="auto"/>
    </w:pPr>
    <w:tblPr/>
  </w:style>
  <w:style w:type="table" w:styleId="1197" w:customStyle="1">
    <w:name w:val="Grid Table 4 - Accent 2"/>
    <w:uiPriority w:val="59"/>
    <w:qFormat/>
    <w:pPr>
      <w:spacing w:after="0" w:line="240" w:lineRule="auto"/>
    </w:pPr>
    <w:tblPr/>
  </w:style>
  <w:style w:type="table" w:styleId="1198" w:customStyle="1">
    <w:name w:val="Grid Table 4 - Accent 3"/>
    <w:uiPriority w:val="59"/>
    <w:qFormat/>
    <w:pPr>
      <w:spacing w:after="0" w:line="240" w:lineRule="auto"/>
    </w:pPr>
    <w:tblPr/>
  </w:style>
  <w:style w:type="table" w:styleId="1199" w:customStyle="1">
    <w:name w:val="Grid Table 4 - Accent 4"/>
    <w:uiPriority w:val="59"/>
    <w:qFormat/>
    <w:pPr>
      <w:spacing w:after="0" w:line="240" w:lineRule="auto"/>
    </w:pPr>
    <w:tblPr/>
  </w:style>
  <w:style w:type="table" w:styleId="1200" w:customStyle="1">
    <w:name w:val="Grid Table 4 - Accent 5"/>
    <w:uiPriority w:val="59"/>
    <w:qFormat/>
    <w:pPr>
      <w:spacing w:after="0" w:line="240" w:lineRule="auto"/>
    </w:pPr>
    <w:tblPr/>
  </w:style>
  <w:style w:type="table" w:styleId="1201" w:customStyle="1">
    <w:name w:val="Grid Table 4 - Accent 6"/>
    <w:uiPriority w:val="59"/>
    <w:qFormat/>
    <w:pPr>
      <w:spacing w:after="0" w:line="240" w:lineRule="auto"/>
    </w:pPr>
    <w:tblPr/>
  </w:style>
  <w:style w:type="table" w:styleId="1202" w:customStyle="1">
    <w:name w:val="Grid Table 5 Dark"/>
    <w:uiPriority w:val="99"/>
    <w:qFormat/>
    <w:pPr>
      <w:spacing w:after="0" w:line="240" w:lineRule="auto"/>
    </w:pPr>
    <w:tblPr/>
  </w:style>
  <w:style w:type="table" w:styleId="1203" w:customStyle="1">
    <w:name w:val="Grid Table 5 Dark- Accent 1"/>
    <w:uiPriority w:val="99"/>
    <w:qFormat/>
    <w:pPr>
      <w:spacing w:after="0" w:line="240" w:lineRule="auto"/>
    </w:pPr>
    <w:tblPr/>
  </w:style>
  <w:style w:type="table" w:styleId="1204" w:customStyle="1">
    <w:name w:val="Grid Table 5 Dark - Accent 2"/>
    <w:uiPriority w:val="99"/>
    <w:qFormat/>
    <w:pPr>
      <w:spacing w:after="0" w:line="240" w:lineRule="auto"/>
    </w:pPr>
    <w:tblPr/>
  </w:style>
  <w:style w:type="table" w:styleId="1205" w:customStyle="1">
    <w:name w:val="Grid Table 5 Dark - Accent 3"/>
    <w:uiPriority w:val="99"/>
    <w:qFormat/>
    <w:pPr>
      <w:spacing w:after="0" w:line="240" w:lineRule="auto"/>
    </w:pPr>
    <w:tblPr/>
  </w:style>
  <w:style w:type="table" w:styleId="1206" w:customStyle="1">
    <w:name w:val="Grid Table 5 Dark- Accent 4"/>
    <w:uiPriority w:val="99"/>
    <w:qFormat/>
    <w:pPr>
      <w:spacing w:after="0" w:line="240" w:lineRule="auto"/>
    </w:pPr>
    <w:tblPr/>
  </w:style>
  <w:style w:type="table" w:styleId="1207" w:customStyle="1">
    <w:name w:val="Grid Table 5 Dark - Accent 5"/>
    <w:uiPriority w:val="99"/>
    <w:qFormat/>
    <w:pPr>
      <w:spacing w:after="0" w:line="240" w:lineRule="auto"/>
    </w:pPr>
    <w:tblPr/>
  </w:style>
  <w:style w:type="table" w:styleId="1208" w:customStyle="1">
    <w:name w:val="Grid Table 5 Dark - Accent 6"/>
    <w:uiPriority w:val="99"/>
    <w:qFormat/>
    <w:pPr>
      <w:spacing w:after="0" w:line="240" w:lineRule="auto"/>
    </w:pPr>
    <w:tblPr/>
  </w:style>
  <w:style w:type="table" w:styleId="1209" w:customStyle="1">
    <w:name w:val="Grid Table 6 Colorful"/>
    <w:uiPriority w:val="99"/>
    <w:qFormat/>
    <w:pPr>
      <w:spacing w:after="0" w:line="240" w:lineRule="auto"/>
    </w:pPr>
    <w:tblPr/>
  </w:style>
  <w:style w:type="table" w:styleId="1210" w:customStyle="1">
    <w:name w:val="Grid Table 6 Colorful - Accent 1"/>
    <w:uiPriority w:val="99"/>
    <w:qFormat/>
    <w:pPr>
      <w:spacing w:after="0" w:line="240" w:lineRule="auto"/>
    </w:pPr>
    <w:tblPr/>
  </w:style>
  <w:style w:type="table" w:styleId="1211" w:customStyle="1">
    <w:name w:val="Grid Table 6 Colorful - Accent 2"/>
    <w:uiPriority w:val="99"/>
    <w:qFormat/>
    <w:pPr>
      <w:spacing w:after="0" w:line="240" w:lineRule="auto"/>
    </w:pPr>
    <w:tblPr/>
  </w:style>
  <w:style w:type="table" w:styleId="1212" w:customStyle="1">
    <w:name w:val="Grid Table 6 Colorful - Accent 3"/>
    <w:uiPriority w:val="99"/>
    <w:qFormat/>
    <w:pPr>
      <w:spacing w:after="0" w:line="240" w:lineRule="auto"/>
    </w:pPr>
    <w:tblPr/>
  </w:style>
  <w:style w:type="table" w:styleId="1213" w:customStyle="1">
    <w:name w:val="Grid Table 6 Colorful - Accent 4"/>
    <w:uiPriority w:val="99"/>
    <w:qFormat/>
    <w:pPr>
      <w:spacing w:after="0" w:line="240" w:lineRule="auto"/>
    </w:pPr>
    <w:tblPr/>
  </w:style>
  <w:style w:type="table" w:styleId="1214" w:customStyle="1">
    <w:name w:val="Grid Table 6 Colorful - Accent 5"/>
    <w:uiPriority w:val="99"/>
    <w:qFormat/>
    <w:pPr>
      <w:spacing w:after="0" w:line="240" w:lineRule="auto"/>
    </w:pPr>
    <w:tblPr/>
  </w:style>
  <w:style w:type="table" w:styleId="1215" w:customStyle="1">
    <w:name w:val="Grid Table 6 Colorful - Accent 6"/>
    <w:uiPriority w:val="99"/>
    <w:qFormat/>
    <w:pPr>
      <w:spacing w:after="0" w:line="240" w:lineRule="auto"/>
    </w:pPr>
    <w:tblPr/>
  </w:style>
  <w:style w:type="table" w:styleId="1216" w:customStyle="1">
    <w:name w:val="Grid Table 7 Colorful"/>
    <w:uiPriority w:val="99"/>
    <w:qFormat/>
    <w:pPr>
      <w:spacing w:after="0" w:line="240" w:lineRule="auto"/>
    </w:pPr>
    <w:tblPr/>
  </w:style>
  <w:style w:type="table" w:styleId="1217" w:customStyle="1">
    <w:name w:val="Grid Table 7 Colorful - Accent 1"/>
    <w:uiPriority w:val="99"/>
    <w:qFormat/>
    <w:pPr>
      <w:spacing w:after="0" w:line="240" w:lineRule="auto"/>
    </w:pPr>
    <w:tblPr/>
  </w:style>
  <w:style w:type="table" w:styleId="1218" w:customStyle="1">
    <w:name w:val="Grid Table 7 Colorful - Accent 2"/>
    <w:uiPriority w:val="99"/>
    <w:qFormat/>
    <w:pPr>
      <w:spacing w:after="0" w:line="240" w:lineRule="auto"/>
    </w:pPr>
    <w:tblPr/>
  </w:style>
  <w:style w:type="table" w:styleId="1219" w:customStyle="1">
    <w:name w:val="Grid Table 7 Colorful - Accent 3"/>
    <w:uiPriority w:val="99"/>
    <w:qFormat/>
    <w:pPr>
      <w:spacing w:after="0" w:line="240" w:lineRule="auto"/>
    </w:pPr>
    <w:tblPr/>
  </w:style>
  <w:style w:type="table" w:styleId="1220" w:customStyle="1">
    <w:name w:val="Grid Table 7 Colorful - Accent 4"/>
    <w:uiPriority w:val="99"/>
    <w:qFormat/>
    <w:pPr>
      <w:spacing w:after="0" w:line="240" w:lineRule="auto"/>
    </w:pPr>
    <w:tblPr/>
  </w:style>
  <w:style w:type="table" w:styleId="1221" w:customStyle="1">
    <w:name w:val="Grid Table 7 Colorful - Accent 5"/>
    <w:uiPriority w:val="99"/>
    <w:qFormat/>
    <w:pPr>
      <w:spacing w:after="0" w:line="240" w:lineRule="auto"/>
    </w:pPr>
    <w:tblPr/>
  </w:style>
  <w:style w:type="table" w:styleId="1222" w:customStyle="1">
    <w:name w:val="Grid Table 7 Colorful - Accent 6"/>
    <w:uiPriority w:val="99"/>
    <w:qFormat/>
    <w:pPr>
      <w:spacing w:after="0" w:line="240" w:lineRule="auto"/>
    </w:pPr>
    <w:tblPr/>
  </w:style>
  <w:style w:type="table" w:styleId="1223" w:customStyle="1">
    <w:name w:val="List Table 1 Light"/>
    <w:uiPriority w:val="99"/>
    <w:qFormat/>
    <w:pPr>
      <w:spacing w:after="0" w:line="240" w:lineRule="auto"/>
    </w:pPr>
    <w:tblPr/>
  </w:style>
  <w:style w:type="table" w:styleId="1224" w:customStyle="1">
    <w:name w:val="List Table 1 Light - Accent 1"/>
    <w:uiPriority w:val="99"/>
    <w:qFormat/>
    <w:pPr>
      <w:spacing w:after="0" w:line="240" w:lineRule="auto"/>
    </w:pPr>
    <w:tblPr/>
  </w:style>
  <w:style w:type="table" w:styleId="1225" w:customStyle="1">
    <w:name w:val="List Table 1 Light - Accent 2"/>
    <w:uiPriority w:val="99"/>
    <w:qFormat/>
    <w:pPr>
      <w:spacing w:after="0" w:line="240" w:lineRule="auto"/>
    </w:pPr>
    <w:tblPr/>
  </w:style>
  <w:style w:type="table" w:styleId="1226" w:customStyle="1">
    <w:name w:val="List Table 1 Light - Accent 3"/>
    <w:uiPriority w:val="99"/>
    <w:qFormat/>
    <w:pPr>
      <w:spacing w:after="0" w:line="240" w:lineRule="auto"/>
    </w:pPr>
    <w:tblPr/>
  </w:style>
  <w:style w:type="table" w:styleId="1227" w:customStyle="1">
    <w:name w:val="List Table 1 Light - Accent 4"/>
    <w:uiPriority w:val="99"/>
    <w:qFormat/>
    <w:pPr>
      <w:spacing w:after="0" w:line="240" w:lineRule="auto"/>
    </w:pPr>
    <w:tblPr/>
  </w:style>
  <w:style w:type="table" w:styleId="1228" w:customStyle="1">
    <w:name w:val="List Table 1 Light - Accent 5"/>
    <w:uiPriority w:val="99"/>
    <w:qFormat/>
    <w:pPr>
      <w:spacing w:after="0" w:line="240" w:lineRule="auto"/>
    </w:pPr>
    <w:tblPr/>
  </w:style>
  <w:style w:type="table" w:styleId="1229" w:customStyle="1">
    <w:name w:val="List Table 1 Light - Accent 6"/>
    <w:uiPriority w:val="99"/>
    <w:qFormat/>
    <w:pPr>
      <w:spacing w:after="0" w:line="240" w:lineRule="auto"/>
    </w:pPr>
    <w:tblPr/>
  </w:style>
  <w:style w:type="table" w:styleId="1230" w:customStyle="1">
    <w:name w:val="List Table 2"/>
    <w:uiPriority w:val="99"/>
    <w:qFormat/>
    <w:pPr>
      <w:spacing w:after="0" w:line="240" w:lineRule="auto"/>
    </w:pPr>
    <w:tblPr/>
  </w:style>
  <w:style w:type="table" w:styleId="1231" w:customStyle="1">
    <w:name w:val="List Table 2 - Accent 1"/>
    <w:uiPriority w:val="99"/>
    <w:qFormat/>
    <w:pPr>
      <w:spacing w:after="0" w:line="240" w:lineRule="auto"/>
    </w:pPr>
    <w:tblPr/>
  </w:style>
  <w:style w:type="table" w:styleId="1232" w:customStyle="1">
    <w:name w:val="List Table 2 - Accent 2"/>
    <w:uiPriority w:val="99"/>
    <w:qFormat/>
    <w:pPr>
      <w:spacing w:after="0" w:line="240" w:lineRule="auto"/>
    </w:pPr>
    <w:tblPr/>
  </w:style>
  <w:style w:type="table" w:styleId="1233" w:customStyle="1">
    <w:name w:val="List Table 2 - Accent 3"/>
    <w:uiPriority w:val="99"/>
    <w:qFormat/>
    <w:pPr>
      <w:spacing w:after="0" w:line="240" w:lineRule="auto"/>
    </w:pPr>
    <w:tblPr/>
  </w:style>
  <w:style w:type="table" w:styleId="1234" w:customStyle="1">
    <w:name w:val="List Table 2 - Accent 4"/>
    <w:uiPriority w:val="99"/>
    <w:qFormat/>
    <w:pPr>
      <w:spacing w:after="0" w:line="240" w:lineRule="auto"/>
    </w:pPr>
    <w:tblPr/>
  </w:style>
  <w:style w:type="table" w:styleId="1235" w:customStyle="1">
    <w:name w:val="List Table 2 - Accent 5"/>
    <w:uiPriority w:val="99"/>
    <w:qFormat/>
    <w:pPr>
      <w:spacing w:after="0" w:line="240" w:lineRule="auto"/>
    </w:pPr>
    <w:tblPr/>
  </w:style>
  <w:style w:type="table" w:styleId="1236" w:customStyle="1">
    <w:name w:val="List Table 2 - Accent 6"/>
    <w:uiPriority w:val="99"/>
    <w:qFormat/>
    <w:pPr>
      <w:spacing w:after="0" w:line="240" w:lineRule="auto"/>
    </w:pPr>
    <w:tblPr/>
  </w:style>
  <w:style w:type="table" w:styleId="1237" w:customStyle="1">
    <w:name w:val="List Table 3"/>
    <w:uiPriority w:val="99"/>
    <w:qFormat/>
    <w:pPr>
      <w:spacing w:after="0" w:line="240" w:lineRule="auto"/>
    </w:pPr>
    <w:tblPr/>
  </w:style>
  <w:style w:type="table" w:styleId="1238" w:customStyle="1">
    <w:name w:val="List Table 3 - Accent 1"/>
    <w:uiPriority w:val="99"/>
    <w:qFormat/>
    <w:pPr>
      <w:spacing w:after="0" w:line="240" w:lineRule="auto"/>
    </w:pPr>
    <w:tblPr/>
  </w:style>
  <w:style w:type="table" w:styleId="1239" w:customStyle="1">
    <w:name w:val="List Table 3 - Accent 2"/>
    <w:uiPriority w:val="99"/>
    <w:qFormat/>
    <w:pPr>
      <w:spacing w:after="0" w:line="240" w:lineRule="auto"/>
    </w:pPr>
    <w:tblPr/>
  </w:style>
  <w:style w:type="table" w:styleId="1240" w:customStyle="1">
    <w:name w:val="List Table 3 - Accent 3"/>
    <w:uiPriority w:val="99"/>
    <w:qFormat/>
    <w:pPr>
      <w:spacing w:after="0" w:line="240" w:lineRule="auto"/>
    </w:pPr>
    <w:tblPr/>
  </w:style>
  <w:style w:type="table" w:styleId="1241" w:customStyle="1">
    <w:name w:val="List Table 3 - Accent 4"/>
    <w:uiPriority w:val="99"/>
    <w:qFormat/>
    <w:pPr>
      <w:spacing w:after="0" w:line="240" w:lineRule="auto"/>
    </w:pPr>
    <w:tblPr/>
  </w:style>
  <w:style w:type="table" w:styleId="1242" w:customStyle="1">
    <w:name w:val="List Table 3 - Accent 5"/>
    <w:uiPriority w:val="99"/>
    <w:qFormat/>
    <w:pPr>
      <w:spacing w:after="0" w:line="240" w:lineRule="auto"/>
    </w:pPr>
    <w:tblPr/>
  </w:style>
  <w:style w:type="table" w:styleId="1243" w:customStyle="1">
    <w:name w:val="List Table 3 - Accent 6"/>
    <w:uiPriority w:val="99"/>
    <w:qFormat/>
    <w:pPr>
      <w:spacing w:after="0" w:line="240" w:lineRule="auto"/>
    </w:pPr>
    <w:tblPr/>
  </w:style>
  <w:style w:type="table" w:styleId="1244" w:customStyle="1">
    <w:name w:val="List Table 4"/>
    <w:uiPriority w:val="99"/>
    <w:qFormat/>
    <w:pPr>
      <w:spacing w:after="0" w:line="240" w:lineRule="auto"/>
    </w:pPr>
    <w:tblPr/>
  </w:style>
  <w:style w:type="table" w:styleId="1245" w:customStyle="1">
    <w:name w:val="List Table 4 - Accent 1"/>
    <w:uiPriority w:val="99"/>
    <w:qFormat/>
    <w:pPr>
      <w:spacing w:after="0" w:line="240" w:lineRule="auto"/>
    </w:pPr>
    <w:tblPr/>
  </w:style>
  <w:style w:type="table" w:styleId="1246" w:customStyle="1">
    <w:name w:val="List Table 4 - Accent 2"/>
    <w:uiPriority w:val="99"/>
    <w:qFormat/>
    <w:pPr>
      <w:spacing w:after="0" w:line="240" w:lineRule="auto"/>
    </w:pPr>
    <w:tblPr/>
  </w:style>
  <w:style w:type="table" w:styleId="1247" w:customStyle="1">
    <w:name w:val="List Table 4 - Accent 3"/>
    <w:uiPriority w:val="99"/>
    <w:qFormat/>
    <w:pPr>
      <w:spacing w:after="0" w:line="240" w:lineRule="auto"/>
    </w:pPr>
    <w:tblPr/>
  </w:style>
  <w:style w:type="table" w:styleId="1248" w:customStyle="1">
    <w:name w:val="List Table 4 - Accent 4"/>
    <w:uiPriority w:val="99"/>
    <w:qFormat/>
    <w:pPr>
      <w:spacing w:after="0" w:line="240" w:lineRule="auto"/>
    </w:pPr>
    <w:tblPr/>
  </w:style>
  <w:style w:type="table" w:styleId="1249" w:customStyle="1">
    <w:name w:val="List Table 4 - Accent 5"/>
    <w:uiPriority w:val="99"/>
    <w:qFormat/>
    <w:pPr>
      <w:spacing w:after="0" w:line="240" w:lineRule="auto"/>
    </w:pPr>
    <w:tblPr/>
  </w:style>
  <w:style w:type="table" w:styleId="1250" w:customStyle="1">
    <w:name w:val="List Table 4 - Accent 6"/>
    <w:uiPriority w:val="99"/>
    <w:qFormat/>
    <w:pPr>
      <w:spacing w:after="0" w:line="240" w:lineRule="auto"/>
    </w:pPr>
    <w:tblPr/>
  </w:style>
  <w:style w:type="table" w:styleId="1251" w:customStyle="1">
    <w:name w:val="List Table 5 Dark"/>
    <w:uiPriority w:val="99"/>
    <w:qFormat/>
    <w:pPr>
      <w:spacing w:after="0" w:line="240" w:lineRule="auto"/>
    </w:pPr>
    <w:tblPr/>
  </w:style>
  <w:style w:type="table" w:styleId="1252" w:customStyle="1">
    <w:name w:val="List Table 5 Dark - Accent 1"/>
    <w:uiPriority w:val="99"/>
    <w:qFormat/>
    <w:pPr>
      <w:spacing w:after="0" w:line="240" w:lineRule="auto"/>
    </w:pPr>
    <w:tblPr/>
  </w:style>
  <w:style w:type="table" w:styleId="1253" w:customStyle="1">
    <w:name w:val="List Table 5 Dark - Accent 2"/>
    <w:uiPriority w:val="99"/>
    <w:qFormat/>
    <w:pPr>
      <w:spacing w:after="0" w:line="240" w:lineRule="auto"/>
    </w:pPr>
    <w:tblPr/>
  </w:style>
  <w:style w:type="table" w:styleId="1254" w:customStyle="1">
    <w:name w:val="List Table 5 Dark - Accent 3"/>
    <w:uiPriority w:val="99"/>
    <w:qFormat/>
    <w:pPr>
      <w:spacing w:after="0" w:line="240" w:lineRule="auto"/>
    </w:pPr>
    <w:tblPr/>
  </w:style>
  <w:style w:type="table" w:styleId="1255" w:customStyle="1">
    <w:name w:val="List Table 5 Dark - Accent 4"/>
    <w:uiPriority w:val="99"/>
    <w:qFormat/>
    <w:pPr>
      <w:spacing w:after="0" w:line="240" w:lineRule="auto"/>
    </w:pPr>
    <w:tblPr/>
  </w:style>
  <w:style w:type="table" w:styleId="1256" w:customStyle="1">
    <w:name w:val="List Table 5 Dark - Accent 5"/>
    <w:uiPriority w:val="99"/>
    <w:qFormat/>
    <w:pPr>
      <w:spacing w:after="0" w:line="240" w:lineRule="auto"/>
    </w:pPr>
    <w:tblPr/>
  </w:style>
  <w:style w:type="table" w:styleId="1257" w:customStyle="1">
    <w:name w:val="List Table 5 Dark - Accent 6"/>
    <w:uiPriority w:val="99"/>
    <w:qFormat/>
    <w:pPr>
      <w:spacing w:after="0" w:line="240" w:lineRule="auto"/>
    </w:pPr>
    <w:tblPr/>
  </w:style>
  <w:style w:type="table" w:styleId="1258" w:customStyle="1">
    <w:name w:val="List Table 6 Colorful"/>
    <w:uiPriority w:val="99"/>
    <w:qFormat/>
    <w:pPr>
      <w:spacing w:after="0" w:line="240" w:lineRule="auto"/>
    </w:pPr>
    <w:tblPr/>
  </w:style>
  <w:style w:type="table" w:styleId="1259" w:customStyle="1">
    <w:name w:val="List Table 6 Colorful - Accent 1"/>
    <w:uiPriority w:val="99"/>
    <w:qFormat/>
    <w:pPr>
      <w:spacing w:after="0" w:line="240" w:lineRule="auto"/>
    </w:pPr>
    <w:tblPr/>
  </w:style>
  <w:style w:type="table" w:styleId="1260" w:customStyle="1">
    <w:name w:val="List Table 6 Colorful - Accent 2"/>
    <w:uiPriority w:val="99"/>
    <w:qFormat/>
    <w:pPr>
      <w:spacing w:after="0" w:line="240" w:lineRule="auto"/>
    </w:pPr>
    <w:tblPr/>
  </w:style>
  <w:style w:type="table" w:styleId="1261" w:customStyle="1">
    <w:name w:val="List Table 6 Colorful - Accent 3"/>
    <w:uiPriority w:val="99"/>
    <w:qFormat/>
    <w:pPr>
      <w:spacing w:after="0" w:line="240" w:lineRule="auto"/>
    </w:pPr>
    <w:tblPr/>
  </w:style>
  <w:style w:type="table" w:styleId="1262" w:customStyle="1">
    <w:name w:val="List Table 6 Colorful - Accent 4"/>
    <w:uiPriority w:val="99"/>
    <w:qFormat/>
    <w:pPr>
      <w:spacing w:after="0" w:line="240" w:lineRule="auto"/>
    </w:pPr>
    <w:tblPr/>
  </w:style>
  <w:style w:type="table" w:styleId="1263" w:customStyle="1">
    <w:name w:val="List Table 6 Colorful - Accent 5"/>
    <w:uiPriority w:val="99"/>
    <w:qFormat/>
    <w:pPr>
      <w:spacing w:after="0" w:line="240" w:lineRule="auto"/>
    </w:pPr>
    <w:tblPr/>
  </w:style>
  <w:style w:type="table" w:styleId="1264" w:customStyle="1">
    <w:name w:val="List Table 6 Colorful - Accent 6"/>
    <w:uiPriority w:val="99"/>
    <w:qFormat/>
    <w:pPr>
      <w:spacing w:after="0" w:line="240" w:lineRule="auto"/>
    </w:pPr>
    <w:tblPr/>
  </w:style>
  <w:style w:type="table" w:styleId="1265" w:customStyle="1">
    <w:name w:val="List Table 7 Colorful"/>
    <w:uiPriority w:val="99"/>
    <w:qFormat/>
    <w:pPr>
      <w:spacing w:after="0" w:line="240" w:lineRule="auto"/>
    </w:pPr>
    <w:tblPr/>
  </w:style>
  <w:style w:type="table" w:styleId="1266" w:customStyle="1">
    <w:name w:val="List Table 7 Colorful - Accent 1"/>
    <w:uiPriority w:val="99"/>
    <w:qFormat/>
    <w:pPr>
      <w:spacing w:after="0" w:line="240" w:lineRule="auto"/>
    </w:pPr>
    <w:tblPr/>
  </w:style>
  <w:style w:type="table" w:styleId="1267" w:customStyle="1">
    <w:name w:val="List Table 7 Colorful - Accent 2"/>
    <w:uiPriority w:val="99"/>
    <w:qFormat/>
    <w:pPr>
      <w:spacing w:after="0" w:line="240" w:lineRule="auto"/>
    </w:pPr>
    <w:tblPr/>
  </w:style>
  <w:style w:type="table" w:styleId="1268" w:customStyle="1">
    <w:name w:val="List Table 7 Colorful - Accent 3"/>
    <w:uiPriority w:val="99"/>
    <w:qFormat/>
    <w:pPr>
      <w:spacing w:after="0" w:line="240" w:lineRule="auto"/>
    </w:pPr>
    <w:tblPr/>
  </w:style>
  <w:style w:type="table" w:styleId="1269" w:customStyle="1">
    <w:name w:val="List Table 7 Colorful - Accent 4"/>
    <w:uiPriority w:val="99"/>
    <w:qFormat/>
    <w:pPr>
      <w:spacing w:after="0" w:line="240" w:lineRule="auto"/>
    </w:pPr>
    <w:tblPr/>
  </w:style>
  <w:style w:type="table" w:styleId="1270" w:customStyle="1">
    <w:name w:val="List Table 7 Colorful - Accent 5"/>
    <w:uiPriority w:val="99"/>
    <w:qFormat/>
    <w:pPr>
      <w:spacing w:after="0" w:line="240" w:lineRule="auto"/>
    </w:pPr>
    <w:tblPr/>
  </w:style>
  <w:style w:type="table" w:styleId="1271" w:customStyle="1">
    <w:name w:val="List Table 7 Colorful - Accent 6"/>
    <w:uiPriority w:val="99"/>
    <w:qFormat/>
    <w:pPr>
      <w:spacing w:after="0" w:line="240" w:lineRule="auto"/>
    </w:pPr>
    <w:tblPr/>
  </w:style>
  <w:style w:type="table" w:styleId="1272" w:customStyle="1">
    <w:name w:val="Lined - Accent"/>
    <w:uiPriority w:val="99"/>
    <w:qFormat/>
    <w:pPr>
      <w:spacing w:after="0" w:line="240" w:lineRule="auto"/>
    </w:pPr>
    <w:rPr>
      <w:color w:val="404040"/>
    </w:rPr>
    <w:tblPr/>
  </w:style>
  <w:style w:type="table" w:styleId="1273" w:customStyle="1">
    <w:name w:val="Lined - Accent 1"/>
    <w:uiPriority w:val="99"/>
    <w:qFormat/>
    <w:pPr>
      <w:spacing w:after="0" w:line="240" w:lineRule="auto"/>
    </w:pPr>
    <w:rPr>
      <w:color w:val="404040"/>
    </w:rPr>
    <w:tblPr/>
  </w:style>
  <w:style w:type="table" w:styleId="1274" w:customStyle="1">
    <w:name w:val="Lined - Accent 2"/>
    <w:uiPriority w:val="99"/>
    <w:qFormat/>
    <w:pPr>
      <w:spacing w:after="0" w:line="240" w:lineRule="auto"/>
    </w:pPr>
    <w:rPr>
      <w:color w:val="404040"/>
    </w:rPr>
    <w:tblPr/>
  </w:style>
  <w:style w:type="table" w:styleId="1275" w:customStyle="1">
    <w:name w:val="Lined - Accent 3"/>
    <w:uiPriority w:val="99"/>
    <w:qFormat/>
    <w:pPr>
      <w:spacing w:after="0" w:line="240" w:lineRule="auto"/>
    </w:pPr>
    <w:rPr>
      <w:color w:val="404040"/>
    </w:rPr>
    <w:tblPr/>
  </w:style>
  <w:style w:type="table" w:styleId="1276" w:customStyle="1">
    <w:name w:val="Lined - Accent 4"/>
    <w:uiPriority w:val="99"/>
    <w:qFormat/>
    <w:pPr>
      <w:spacing w:after="0" w:line="240" w:lineRule="auto"/>
    </w:pPr>
    <w:rPr>
      <w:color w:val="404040"/>
    </w:rPr>
    <w:tblPr/>
  </w:style>
  <w:style w:type="table" w:styleId="1277" w:customStyle="1">
    <w:name w:val="Lined - Accent 5"/>
    <w:uiPriority w:val="99"/>
    <w:qFormat/>
    <w:pPr>
      <w:spacing w:after="0" w:line="240" w:lineRule="auto"/>
    </w:pPr>
    <w:rPr>
      <w:color w:val="404040"/>
    </w:rPr>
    <w:tblPr/>
  </w:style>
  <w:style w:type="table" w:styleId="1278" w:customStyle="1">
    <w:name w:val="Lined - Accent 6"/>
    <w:uiPriority w:val="99"/>
    <w:qFormat/>
    <w:pPr>
      <w:spacing w:after="0" w:line="240" w:lineRule="auto"/>
    </w:pPr>
    <w:rPr>
      <w:color w:val="404040"/>
    </w:rPr>
    <w:tblPr/>
  </w:style>
  <w:style w:type="table" w:styleId="1279" w:customStyle="1">
    <w:name w:val="Bordered &amp; Lined - Accent"/>
    <w:uiPriority w:val="99"/>
    <w:qFormat/>
    <w:pPr>
      <w:spacing w:after="0" w:line="240" w:lineRule="auto"/>
    </w:pPr>
    <w:rPr>
      <w:color w:val="404040"/>
    </w:rPr>
    <w:tblPr/>
  </w:style>
  <w:style w:type="table" w:styleId="1280" w:customStyle="1">
    <w:name w:val="Bordered &amp; Lined - Accent 1"/>
    <w:uiPriority w:val="99"/>
    <w:qFormat/>
    <w:pPr>
      <w:spacing w:after="0" w:line="240" w:lineRule="auto"/>
    </w:pPr>
    <w:rPr>
      <w:color w:val="404040"/>
    </w:rPr>
    <w:tblPr/>
  </w:style>
  <w:style w:type="table" w:styleId="1281" w:customStyle="1">
    <w:name w:val="Bordered &amp; Lined - Accent 2"/>
    <w:uiPriority w:val="99"/>
    <w:qFormat/>
    <w:pPr>
      <w:spacing w:after="0" w:line="240" w:lineRule="auto"/>
    </w:pPr>
    <w:rPr>
      <w:color w:val="404040"/>
    </w:rPr>
    <w:tblPr/>
  </w:style>
  <w:style w:type="table" w:styleId="1282" w:customStyle="1">
    <w:name w:val="Bordered &amp; Lined - Accent 3"/>
    <w:uiPriority w:val="99"/>
    <w:qFormat/>
    <w:pPr>
      <w:spacing w:after="0" w:line="240" w:lineRule="auto"/>
    </w:pPr>
    <w:rPr>
      <w:color w:val="404040"/>
    </w:rPr>
    <w:tblPr/>
  </w:style>
  <w:style w:type="table" w:styleId="1283" w:customStyle="1">
    <w:name w:val="Bordered &amp; Lined - Accent 4"/>
    <w:uiPriority w:val="99"/>
    <w:qFormat/>
    <w:pPr>
      <w:spacing w:after="0" w:line="240" w:lineRule="auto"/>
    </w:pPr>
    <w:rPr>
      <w:color w:val="404040"/>
    </w:rPr>
    <w:tblPr/>
  </w:style>
  <w:style w:type="table" w:styleId="1284" w:customStyle="1">
    <w:name w:val="Bordered &amp; Lined - Accent 5"/>
    <w:uiPriority w:val="99"/>
    <w:qFormat/>
    <w:pPr>
      <w:spacing w:after="0" w:line="240" w:lineRule="auto"/>
    </w:pPr>
    <w:rPr>
      <w:color w:val="404040"/>
    </w:rPr>
    <w:tblPr/>
  </w:style>
  <w:style w:type="table" w:styleId="1285" w:customStyle="1">
    <w:name w:val="Bordered &amp; Lined - Accent 6"/>
    <w:uiPriority w:val="99"/>
    <w:qFormat/>
    <w:pPr>
      <w:spacing w:after="0" w:line="240" w:lineRule="auto"/>
    </w:pPr>
    <w:rPr>
      <w:color w:val="404040"/>
    </w:rPr>
    <w:tblPr/>
  </w:style>
  <w:style w:type="table" w:styleId="1286" w:customStyle="1">
    <w:name w:val="Bordered"/>
    <w:uiPriority w:val="99"/>
    <w:qFormat/>
    <w:pPr>
      <w:spacing w:after="0" w:line="240" w:lineRule="auto"/>
    </w:pPr>
    <w:tblPr/>
  </w:style>
  <w:style w:type="table" w:styleId="1287" w:customStyle="1">
    <w:name w:val="Bordered - Accent 1"/>
    <w:uiPriority w:val="99"/>
    <w:qFormat/>
    <w:pPr>
      <w:spacing w:after="0" w:line="240" w:lineRule="auto"/>
    </w:pPr>
    <w:tblPr/>
  </w:style>
  <w:style w:type="table" w:styleId="1288" w:customStyle="1">
    <w:name w:val="Bordered - Accent 2"/>
    <w:uiPriority w:val="99"/>
    <w:qFormat/>
    <w:pPr>
      <w:spacing w:after="0" w:line="240" w:lineRule="auto"/>
    </w:pPr>
    <w:tblPr/>
  </w:style>
  <w:style w:type="table" w:styleId="1289" w:customStyle="1">
    <w:name w:val="Bordered - Accent 3"/>
    <w:uiPriority w:val="99"/>
    <w:qFormat/>
    <w:pPr>
      <w:spacing w:after="0" w:line="240" w:lineRule="auto"/>
    </w:pPr>
    <w:tblPr/>
  </w:style>
  <w:style w:type="table" w:styleId="1290" w:customStyle="1">
    <w:name w:val="Bordered - Accent 4"/>
    <w:uiPriority w:val="99"/>
    <w:qFormat/>
    <w:pPr>
      <w:spacing w:after="0" w:line="240" w:lineRule="auto"/>
    </w:pPr>
    <w:tblPr/>
  </w:style>
  <w:style w:type="table" w:styleId="1291" w:customStyle="1">
    <w:name w:val="Bordered - Accent 5"/>
    <w:uiPriority w:val="99"/>
    <w:qFormat/>
    <w:pPr>
      <w:spacing w:after="0" w:line="240" w:lineRule="auto"/>
    </w:pPr>
    <w:tblPr/>
  </w:style>
  <w:style w:type="table" w:styleId="1292" w:customStyle="1">
    <w:name w:val="Bordered - Accent 6"/>
    <w:uiPriority w:val="99"/>
    <w:qFormat/>
    <w:pPr>
      <w:spacing w:after="0" w:line="240" w:lineRule="auto"/>
    </w:pPr>
    <w:tblPr/>
  </w:style>
  <w:style w:type="paragraph" w:styleId="1293" w:customStyle="1">
    <w:name w:val="TOC Heading"/>
    <w:uiPriority w:val="39"/>
    <w:unhideWhenUsed/>
    <w:qFormat/>
    <w:rPr>
      <w:rFonts w:hint="default" w:ascii="Times New Roman" w:hAnsi="Times New Roman" w:eastAsia="宋体" w:cs="Times New Roman"/>
    </w:rPr>
  </w:style>
  <w:style w:type="paragraph" w:styleId="1294" w:customStyle="1">
    <w:name w:val="标题 11"/>
    <w:basedOn w:val="1067"/>
    <w:next w:val="1067"/>
    <w:link w:val="1295"/>
    <w:uiPriority w:val="0"/>
    <w:qFormat/>
    <w:pPr>
      <w:jc w:val="center"/>
      <w:keepNext/>
      <w:outlineLvl w:val="0"/>
    </w:pPr>
    <w:rPr>
      <w:rFonts w:ascii="楷体_GB2312" w:eastAsia="楷体_GB2312"/>
      <w:sz w:val="28"/>
      <w:szCs w:val="28"/>
    </w:rPr>
  </w:style>
  <w:style w:type="character" w:styleId="1295" w:customStyle="1">
    <w:name w:val="标题 1 字符"/>
    <w:link w:val="1294"/>
    <w:uiPriority w:val="0"/>
    <w:qFormat/>
    <w:rPr>
      <w:rFonts w:ascii="楷体_GB2312" w:hAnsi="Times New Roman" w:eastAsia="楷体_GB2312" w:cs="Times New Roman"/>
      <w:sz w:val="28"/>
      <w:szCs w:val="28"/>
    </w:rPr>
  </w:style>
  <w:style w:type="paragraph" w:styleId="1296" w:customStyle="1">
    <w:name w:val="标题 21"/>
    <w:basedOn w:val="1067"/>
    <w:next w:val="1297"/>
    <w:link w:val="1298"/>
    <w:uiPriority w:val="0"/>
    <w:qFormat/>
    <w:pPr>
      <w:jc w:val="center"/>
      <w:keepLines/>
      <w:keepNext/>
      <w:spacing w:before="260" w:after="260" w:line="416" w:lineRule="auto"/>
      <w:outlineLvl w:val="1"/>
    </w:pPr>
    <w:rPr>
      <w:rFonts w:ascii="Arial" w:hAnsi="Arial" w:eastAsia="幼圆"/>
      <w:b/>
      <w:bCs/>
      <w:sz w:val="44"/>
      <w:szCs w:val="44"/>
    </w:rPr>
  </w:style>
  <w:style w:type="paragraph" w:styleId="1297" w:customStyle="1">
    <w:name w:val="正文缩进1"/>
    <w:basedOn w:val="1067"/>
    <w:link w:val="1299"/>
    <w:uiPriority w:val="0"/>
    <w:qFormat/>
    <w:pPr>
      <w:ind w:firstLine="420"/>
    </w:pPr>
    <w:rPr>
      <w:sz w:val="20"/>
      <w:szCs w:val="21"/>
    </w:rPr>
  </w:style>
  <w:style w:type="character" w:styleId="1298" w:customStyle="1">
    <w:name w:val="标题 2 字符"/>
    <w:link w:val="1296"/>
    <w:uiPriority w:val="0"/>
    <w:qFormat/>
    <w:rPr>
      <w:rFonts w:ascii="Arial" w:hAnsi="Arial" w:eastAsia="幼圆" w:cs="Arial"/>
      <w:b/>
      <w:bCs/>
      <w:sz w:val="44"/>
      <w:szCs w:val="44"/>
    </w:rPr>
  </w:style>
  <w:style w:type="character" w:styleId="1299" w:customStyle="1">
    <w:name w:val="正文缩进 字符"/>
    <w:link w:val="1297"/>
    <w:uiPriority w:val="0"/>
    <w:qFormat/>
    <w:rPr>
      <w:szCs w:val="21"/>
    </w:rPr>
  </w:style>
  <w:style w:type="paragraph" w:styleId="1300" w:customStyle="1">
    <w:name w:val="标题 31"/>
    <w:basedOn w:val="1067"/>
    <w:next w:val="1297"/>
    <w:link w:val="1301"/>
    <w:uiPriority w:val="0"/>
    <w:qFormat/>
    <w:pPr>
      <w:keepLines/>
      <w:keepNext/>
      <w:spacing w:before="260" w:after="260" w:line="416" w:lineRule="auto"/>
      <w:outlineLvl w:val="2"/>
    </w:pPr>
    <w:rPr>
      <w:b/>
      <w:bCs/>
      <w:sz w:val="32"/>
      <w:szCs w:val="32"/>
    </w:rPr>
  </w:style>
  <w:style w:type="character" w:styleId="1301" w:customStyle="1">
    <w:name w:val="标题 3 字符"/>
    <w:link w:val="1300"/>
    <w:uiPriority w:val="0"/>
    <w:qFormat/>
    <w:rPr>
      <w:rFonts w:ascii="Times New Roman" w:hAnsi="Times New Roman" w:eastAsia="宋体" w:cs="Times New Roman"/>
      <w:b/>
      <w:bCs/>
      <w:sz w:val="32"/>
      <w:szCs w:val="32"/>
    </w:rPr>
  </w:style>
  <w:style w:type="paragraph" w:styleId="1302" w:customStyle="1">
    <w:name w:val="标题 41"/>
    <w:basedOn w:val="1067"/>
    <w:next w:val="1297"/>
    <w:link w:val="1303"/>
    <w:uiPriority w:val="0"/>
    <w:qFormat/>
    <w:pPr>
      <w:keepLines/>
      <w:keepNext/>
      <w:spacing w:before="280" w:after="290" w:line="376" w:lineRule="auto"/>
      <w:outlineLvl w:val="3"/>
    </w:pPr>
    <w:rPr>
      <w:rFonts w:ascii="Arial" w:hAnsi="Arial" w:eastAsia="黑体"/>
      <w:b/>
      <w:bCs/>
      <w:sz w:val="28"/>
      <w:szCs w:val="28"/>
    </w:rPr>
  </w:style>
  <w:style w:type="character" w:styleId="1303" w:customStyle="1">
    <w:name w:val="标题 4 字符"/>
    <w:link w:val="1302"/>
    <w:uiPriority w:val="0"/>
    <w:qFormat/>
    <w:rPr>
      <w:rFonts w:ascii="Arial" w:hAnsi="Arial" w:eastAsia="黑体" w:cs="Arial"/>
      <w:b/>
      <w:bCs/>
      <w:sz w:val="28"/>
      <w:szCs w:val="28"/>
    </w:rPr>
  </w:style>
  <w:style w:type="paragraph" w:styleId="1304" w:customStyle="1">
    <w:name w:val="标题 51"/>
    <w:basedOn w:val="1067"/>
    <w:next w:val="1297"/>
    <w:link w:val="1305"/>
    <w:uiPriority w:val="0"/>
    <w:qFormat/>
    <w:pPr>
      <w:keepNext/>
      <w:outlineLvl w:val="4"/>
    </w:pPr>
    <w:rPr>
      <w:rFonts w:ascii="宋体"/>
      <w:color w:val="000000"/>
      <w:sz w:val="28"/>
      <w:szCs w:val="28"/>
    </w:rPr>
  </w:style>
  <w:style w:type="character" w:styleId="1305" w:customStyle="1">
    <w:name w:val="标题 5 字符"/>
    <w:link w:val="1304"/>
    <w:uiPriority w:val="0"/>
    <w:qFormat/>
    <w:rPr>
      <w:rFonts w:ascii="宋体" w:hAnsi="Times New Roman" w:eastAsia="宋体" w:cs="Times New Roman"/>
      <w:color w:val="000000"/>
      <w:sz w:val="28"/>
      <w:szCs w:val="28"/>
    </w:rPr>
  </w:style>
  <w:style w:type="paragraph" w:styleId="1306" w:customStyle="1">
    <w:name w:val="标题 61"/>
    <w:basedOn w:val="1067"/>
    <w:next w:val="1067"/>
    <w:link w:val="1307"/>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307" w:customStyle="1">
    <w:name w:val="标题 6 字符"/>
    <w:link w:val="1306"/>
    <w:uiPriority w:val="0"/>
    <w:qFormat/>
    <w:rPr>
      <w:rFonts w:ascii="Arial" w:hAnsi="Arial" w:eastAsia="黑体" w:cs="Times New Roman"/>
      <w:b/>
      <w:bCs/>
      <w:sz w:val="24"/>
      <w:szCs w:val="24"/>
    </w:rPr>
  </w:style>
  <w:style w:type="paragraph" w:styleId="1308" w:customStyle="1">
    <w:name w:val="标题 71"/>
    <w:basedOn w:val="1067"/>
    <w:next w:val="1067"/>
    <w:link w:val="1309"/>
    <w:uiPriority w:val="0"/>
    <w:qFormat/>
    <w:pPr>
      <w:numPr>
        <w:ilvl w:val="6"/>
        <w:numId w:val="2"/>
      </w:numPr>
      <w:keepLines/>
      <w:keepNext/>
      <w:spacing w:before="240" w:after="64" w:line="320" w:lineRule="auto"/>
      <w:outlineLvl w:val="6"/>
    </w:pPr>
    <w:rPr>
      <w:b/>
      <w:bCs/>
      <w:sz w:val="24"/>
      <w:szCs w:val="24"/>
    </w:rPr>
  </w:style>
  <w:style w:type="character" w:styleId="1309" w:customStyle="1">
    <w:name w:val="标题 7 字符"/>
    <w:link w:val="1308"/>
    <w:uiPriority w:val="0"/>
    <w:qFormat/>
    <w:rPr>
      <w:rFonts w:ascii="Times New Roman" w:hAnsi="Times New Roman" w:eastAsia="宋体" w:cs="Times New Roman"/>
      <w:b/>
      <w:bCs/>
      <w:sz w:val="24"/>
      <w:szCs w:val="24"/>
    </w:rPr>
  </w:style>
  <w:style w:type="paragraph" w:styleId="1310" w:customStyle="1">
    <w:name w:val="标题 81"/>
    <w:basedOn w:val="1067"/>
    <w:next w:val="1067"/>
    <w:link w:val="1311"/>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311" w:customStyle="1">
    <w:name w:val="标题 8 字符"/>
    <w:link w:val="1310"/>
    <w:uiPriority w:val="0"/>
    <w:qFormat/>
    <w:rPr>
      <w:rFonts w:ascii="Arial" w:hAnsi="Arial" w:eastAsia="黑体" w:cs="Times New Roman"/>
      <w:sz w:val="24"/>
      <w:szCs w:val="24"/>
    </w:rPr>
  </w:style>
  <w:style w:type="paragraph" w:styleId="1312" w:customStyle="1">
    <w:name w:val="标题 91"/>
    <w:basedOn w:val="1067"/>
    <w:next w:val="1067"/>
    <w:link w:val="1313"/>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313" w:customStyle="1">
    <w:name w:val="标题 9 字符"/>
    <w:link w:val="1312"/>
    <w:uiPriority w:val="0"/>
    <w:qFormat/>
    <w:rPr>
      <w:rFonts w:ascii="Arial" w:hAnsi="Arial" w:eastAsia="黑体" w:cs="Times New Roman"/>
      <w:szCs w:val="21"/>
    </w:rPr>
  </w:style>
  <w:style w:type="character" w:styleId="1314" w:customStyle="1">
    <w:name w:val="默认段落字体1"/>
    <w:link w:val="1067"/>
    <w:uiPriority w:val="1"/>
    <w:unhideWhenUsed/>
    <w:qFormat/>
  </w:style>
  <w:style w:type="table" w:styleId="1315" w:customStyle="1">
    <w:name w:val="普通表格1"/>
    <w:uiPriority w:val="99"/>
    <w:unhideWhenUsed/>
    <w:qFormat/>
    <w:tblPr/>
  </w:style>
  <w:style w:type="paragraph" w:styleId="1316" w:customStyle="1">
    <w:name w:val="列表 31"/>
    <w:basedOn w:val="1067"/>
    <w:uiPriority w:val="0"/>
    <w:qFormat/>
    <w:pPr>
      <w:ind w:left="100" w:hanging="200"/>
    </w:pPr>
    <w:rPr>
      <w:rFonts w:ascii="Times New Roman" w:hAnsi="Times New Roman" w:eastAsia="宋体" w:cs="Times New Roman"/>
      <w:szCs w:val="21"/>
    </w:rPr>
  </w:style>
  <w:style w:type="paragraph" w:styleId="1317" w:customStyle="1">
    <w:name w:val="目录 71"/>
    <w:basedOn w:val="1067"/>
    <w:next w:val="1067"/>
    <w:uiPriority w:val="0"/>
    <w:semiHidden/>
    <w:qFormat/>
    <w:pPr>
      <w:ind w:left="1260"/>
      <w:jc w:val="left"/>
    </w:pPr>
    <w:rPr>
      <w:rFonts w:ascii="Times New Roman" w:hAnsi="Times New Roman" w:eastAsia="宋体" w:cs="Times New Roman"/>
      <w:szCs w:val="21"/>
    </w:rPr>
  </w:style>
  <w:style w:type="paragraph" w:styleId="1318" w:customStyle="1">
    <w:name w:val="文档结构图1"/>
    <w:basedOn w:val="1067"/>
    <w:link w:val="1319"/>
    <w:uiPriority w:val="0"/>
    <w:semiHidden/>
    <w:qFormat/>
    <w:pPr>
      <w:shd w:val="clear" w:color="auto" w:fill="000080"/>
    </w:pPr>
    <w:rPr>
      <w:sz w:val="20"/>
      <w:szCs w:val="21"/>
    </w:rPr>
  </w:style>
  <w:style w:type="character" w:styleId="1319" w:customStyle="1">
    <w:name w:val="文档结构图 字符"/>
    <w:link w:val="1318"/>
    <w:uiPriority w:val="0"/>
    <w:semiHidden/>
    <w:qFormat/>
    <w:rPr>
      <w:rFonts w:ascii="Times New Roman" w:hAnsi="Times New Roman" w:eastAsia="宋体" w:cs="Times New Roman"/>
      <w:szCs w:val="21"/>
      <w:shd w:val="clear" w:color="auto" w:fill="000080"/>
    </w:rPr>
  </w:style>
  <w:style w:type="paragraph" w:styleId="1320" w:customStyle="1">
    <w:name w:val="批注文字1"/>
    <w:basedOn w:val="1067"/>
    <w:link w:val="1321"/>
    <w:uiPriority w:val="99"/>
    <w:unhideWhenUsed/>
    <w:qFormat/>
    <w:pPr>
      <w:jc w:val="left"/>
    </w:pPr>
  </w:style>
  <w:style w:type="character" w:styleId="1321" w:customStyle="1">
    <w:name w:val="批注文字 字符"/>
    <w:link w:val="1320"/>
    <w:uiPriority w:val="99"/>
    <w:semiHidden/>
    <w:qFormat/>
  </w:style>
  <w:style w:type="paragraph" w:styleId="1322" w:customStyle="1">
    <w:name w:val="正文文本 31"/>
    <w:basedOn w:val="1067"/>
    <w:link w:val="1323"/>
    <w:uiPriority w:val="0"/>
    <w:qFormat/>
    <w:rPr>
      <w:rFonts w:ascii="仿宋_GB2312" w:hAnsi="Arial" w:eastAsia="仿宋_GB2312"/>
      <w:sz w:val="32"/>
      <w:szCs w:val="32"/>
    </w:rPr>
  </w:style>
  <w:style w:type="character" w:styleId="1323" w:customStyle="1">
    <w:name w:val="正文文本 3 字符"/>
    <w:link w:val="1322"/>
    <w:uiPriority w:val="0"/>
    <w:qFormat/>
    <w:rPr>
      <w:rFonts w:ascii="仿宋_GB2312" w:hAnsi="Arial" w:eastAsia="仿宋_GB2312" w:cs="Times New Roman"/>
      <w:sz w:val="32"/>
      <w:szCs w:val="32"/>
    </w:rPr>
  </w:style>
  <w:style w:type="character" w:styleId="1324" w:customStyle="1">
    <w:name w:val="正文文本缩进 字符"/>
    <w:link w:val="1108"/>
    <w:uiPriority w:val="99"/>
    <w:semiHidden/>
    <w:qFormat/>
  </w:style>
  <w:style w:type="paragraph" w:styleId="1325" w:customStyle="1">
    <w:name w:val="列表 21"/>
    <w:basedOn w:val="1067"/>
    <w:uiPriority w:val="0"/>
    <w:qFormat/>
    <w:pPr>
      <w:ind w:left="100" w:hanging="200"/>
    </w:pPr>
    <w:rPr>
      <w:rFonts w:ascii="Times New Roman" w:hAnsi="Times New Roman" w:eastAsia="宋体" w:cs="Times New Roman"/>
      <w:szCs w:val="21"/>
    </w:rPr>
  </w:style>
  <w:style w:type="paragraph" w:styleId="1326" w:customStyle="1">
    <w:name w:val="目录 51"/>
    <w:basedOn w:val="1067"/>
    <w:next w:val="1067"/>
    <w:uiPriority w:val="0"/>
    <w:semiHidden/>
    <w:qFormat/>
    <w:pPr>
      <w:ind w:left="840"/>
      <w:jc w:val="left"/>
    </w:pPr>
    <w:rPr>
      <w:rFonts w:ascii="Times New Roman" w:hAnsi="Times New Roman" w:eastAsia="宋体" w:cs="Times New Roman"/>
      <w:szCs w:val="21"/>
    </w:rPr>
  </w:style>
  <w:style w:type="paragraph" w:styleId="1327" w:customStyle="1">
    <w:name w:val="目录 31"/>
    <w:basedOn w:val="1067"/>
    <w:next w:val="1067"/>
    <w:uiPriority w:val="0"/>
    <w:semiHidden/>
    <w:qFormat/>
    <w:pPr>
      <w:ind w:left="420"/>
      <w:jc w:val="left"/>
    </w:pPr>
    <w:rPr>
      <w:rFonts w:ascii="Times New Roman" w:hAnsi="Times New Roman" w:eastAsia="宋体" w:cs="Times New Roman"/>
      <w:i/>
      <w:iCs/>
      <w:szCs w:val="24"/>
    </w:rPr>
  </w:style>
  <w:style w:type="paragraph" w:styleId="1328" w:customStyle="1">
    <w:name w:val="纯文本1"/>
    <w:basedOn w:val="1067"/>
    <w:link w:val="1329"/>
    <w:uiPriority w:val="0"/>
    <w:qFormat/>
    <w:rPr>
      <w:rFonts w:ascii="宋体" w:hAnsi="Courier New"/>
      <w:sz w:val="20"/>
      <w:szCs w:val="21"/>
    </w:rPr>
  </w:style>
  <w:style w:type="character" w:styleId="1329" w:customStyle="1">
    <w:name w:val="纯文本 字符"/>
    <w:link w:val="1328"/>
    <w:uiPriority w:val="0"/>
    <w:qFormat/>
    <w:rPr>
      <w:rFonts w:ascii="宋体" w:hAnsi="Courier New" w:eastAsia="宋体" w:cs="Courier New"/>
      <w:szCs w:val="21"/>
    </w:rPr>
  </w:style>
  <w:style w:type="paragraph" w:styleId="1330" w:customStyle="1">
    <w:name w:val="目录 81"/>
    <w:basedOn w:val="1067"/>
    <w:next w:val="1067"/>
    <w:uiPriority w:val="0"/>
    <w:semiHidden/>
    <w:qFormat/>
    <w:pPr>
      <w:ind w:left="1470"/>
      <w:jc w:val="left"/>
    </w:pPr>
    <w:rPr>
      <w:rFonts w:ascii="Times New Roman" w:hAnsi="Times New Roman" w:eastAsia="宋体" w:cs="Times New Roman"/>
      <w:szCs w:val="21"/>
    </w:rPr>
  </w:style>
  <w:style w:type="paragraph" w:styleId="1331" w:customStyle="1">
    <w:name w:val="日期1"/>
    <w:basedOn w:val="1067"/>
    <w:next w:val="1067"/>
    <w:link w:val="1332"/>
    <w:uiPriority w:val="0"/>
    <w:qFormat/>
    <w:rPr>
      <w:sz w:val="24"/>
      <w:szCs w:val="24"/>
    </w:rPr>
  </w:style>
  <w:style w:type="character" w:styleId="1332" w:customStyle="1">
    <w:name w:val="日期 字符"/>
    <w:link w:val="1331"/>
    <w:uiPriority w:val="0"/>
    <w:qFormat/>
    <w:rPr>
      <w:rFonts w:ascii="Times New Roman" w:hAnsi="Times New Roman" w:eastAsia="宋体" w:cs="Times New Roman"/>
      <w:sz w:val="24"/>
      <w:szCs w:val="24"/>
    </w:rPr>
  </w:style>
  <w:style w:type="paragraph" w:styleId="1333" w:customStyle="1">
    <w:name w:val="正文文本缩进 21"/>
    <w:basedOn w:val="1067"/>
    <w:link w:val="1334"/>
    <w:uiPriority w:val="0"/>
    <w:qFormat/>
    <w:pPr>
      <w:ind w:left="630" w:firstLine="645"/>
    </w:pPr>
    <w:rPr>
      <w:rFonts w:ascii="Arial" w:hAnsi="Arial" w:eastAsia="仿宋_GB2312"/>
      <w:sz w:val="32"/>
      <w:szCs w:val="32"/>
    </w:rPr>
  </w:style>
  <w:style w:type="character" w:styleId="1334" w:customStyle="1">
    <w:name w:val="正文文本缩进 2 字符"/>
    <w:link w:val="1333"/>
    <w:uiPriority w:val="0"/>
    <w:qFormat/>
    <w:rPr>
      <w:rFonts w:ascii="Arial" w:hAnsi="Arial" w:eastAsia="仿宋_GB2312" w:cs="Arial"/>
      <w:sz w:val="32"/>
      <w:szCs w:val="32"/>
    </w:rPr>
  </w:style>
  <w:style w:type="paragraph" w:styleId="1335" w:customStyle="1">
    <w:name w:val="批注框文本1"/>
    <w:basedOn w:val="1067"/>
    <w:link w:val="1336"/>
    <w:uiPriority w:val="0"/>
    <w:semiHidden/>
    <w:qFormat/>
    <w:rPr>
      <w:sz w:val="18"/>
      <w:szCs w:val="18"/>
    </w:rPr>
  </w:style>
  <w:style w:type="character" w:styleId="1336" w:customStyle="1">
    <w:name w:val="批注框文本 字符"/>
    <w:link w:val="1335"/>
    <w:uiPriority w:val="0"/>
    <w:semiHidden/>
    <w:qFormat/>
    <w:rPr>
      <w:rFonts w:ascii="Times New Roman" w:hAnsi="Times New Roman" w:eastAsia="宋体" w:cs="Times New Roman"/>
      <w:sz w:val="18"/>
      <w:szCs w:val="18"/>
    </w:rPr>
  </w:style>
  <w:style w:type="paragraph" w:styleId="1337" w:customStyle="1">
    <w:name w:val="页脚1"/>
    <w:basedOn w:val="1067"/>
    <w:link w:val="1338"/>
    <w:uiPriority w:val="99"/>
    <w:qFormat/>
    <w:pPr>
      <w:jc w:val="left"/>
      <w:tabs>
        <w:tab w:val="center" w:pos="4153" w:leader="none"/>
        <w:tab w:val="right" w:pos="8306" w:leader="none"/>
      </w:tabs>
    </w:pPr>
    <w:rPr>
      <w:sz w:val="18"/>
      <w:szCs w:val="18"/>
    </w:rPr>
  </w:style>
  <w:style w:type="character" w:styleId="1338" w:customStyle="1">
    <w:name w:val="页脚 字符"/>
    <w:link w:val="1337"/>
    <w:uiPriority w:val="99"/>
    <w:qFormat/>
    <w:rPr>
      <w:rFonts w:ascii="Times New Roman" w:hAnsi="Times New Roman" w:eastAsia="宋体" w:cs="Times New Roman"/>
      <w:sz w:val="18"/>
      <w:szCs w:val="18"/>
    </w:rPr>
  </w:style>
  <w:style w:type="paragraph" w:styleId="1339" w:customStyle="1">
    <w:name w:val="页眉1"/>
    <w:basedOn w:val="1067"/>
    <w:link w:val="1340"/>
    <w:uiPriority w:val="99"/>
    <w:qFormat/>
    <w:pPr>
      <w:jc w:val="center"/>
      <w:tabs>
        <w:tab w:val="center" w:pos="4153" w:leader="none"/>
        <w:tab w:val="right" w:pos="8306" w:leader="none"/>
      </w:tabs>
      <w:pBdr>
        <w:bottom w:val="single" w:color="000000" w:sz="6" w:space="1"/>
      </w:pBdr>
    </w:pPr>
    <w:rPr>
      <w:sz w:val="18"/>
      <w:szCs w:val="18"/>
    </w:rPr>
  </w:style>
  <w:style w:type="character" w:styleId="1340" w:customStyle="1">
    <w:name w:val="页眉 字符"/>
    <w:link w:val="1339"/>
    <w:uiPriority w:val="99"/>
    <w:qFormat/>
    <w:rPr>
      <w:rFonts w:ascii="Times New Roman" w:hAnsi="Times New Roman" w:eastAsia="宋体" w:cs="Times New Roman"/>
      <w:sz w:val="18"/>
      <w:szCs w:val="18"/>
    </w:rPr>
  </w:style>
  <w:style w:type="paragraph" w:styleId="1341" w:customStyle="1">
    <w:name w:val="目录 11"/>
    <w:basedOn w:val="1067"/>
    <w:next w:val="1067"/>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342" w:customStyle="1">
    <w:name w:val="目录 41"/>
    <w:basedOn w:val="1067"/>
    <w:next w:val="1067"/>
    <w:uiPriority w:val="0"/>
    <w:semiHidden/>
    <w:qFormat/>
    <w:pPr>
      <w:ind w:left="630"/>
      <w:jc w:val="left"/>
    </w:pPr>
    <w:rPr>
      <w:rFonts w:ascii="Times New Roman" w:hAnsi="Times New Roman" w:eastAsia="宋体" w:cs="Times New Roman"/>
      <w:szCs w:val="21"/>
    </w:rPr>
  </w:style>
  <w:style w:type="paragraph" w:styleId="1343" w:customStyle="1">
    <w:name w:val="列表1"/>
    <w:basedOn w:val="1067"/>
    <w:uiPriority w:val="0"/>
    <w:qFormat/>
    <w:pPr>
      <w:ind w:left="200" w:hanging="200"/>
    </w:pPr>
    <w:rPr>
      <w:rFonts w:ascii="Times New Roman" w:hAnsi="Times New Roman" w:eastAsia="宋体" w:cs="Times New Roman"/>
      <w:szCs w:val="21"/>
    </w:rPr>
  </w:style>
  <w:style w:type="paragraph" w:styleId="1344" w:customStyle="1">
    <w:name w:val="目录 61"/>
    <w:basedOn w:val="1067"/>
    <w:next w:val="1067"/>
    <w:uiPriority w:val="0"/>
    <w:semiHidden/>
    <w:qFormat/>
    <w:pPr>
      <w:ind w:left="1050"/>
      <w:jc w:val="left"/>
    </w:pPr>
    <w:rPr>
      <w:rFonts w:ascii="Times New Roman" w:hAnsi="Times New Roman" w:eastAsia="宋体" w:cs="Times New Roman"/>
      <w:szCs w:val="21"/>
    </w:rPr>
  </w:style>
  <w:style w:type="character" w:styleId="1345" w:customStyle="1">
    <w:name w:val="正文文本缩进 3 字符"/>
    <w:link w:val="1113"/>
    <w:uiPriority w:val="0"/>
    <w:qFormat/>
    <w:rPr>
      <w:rFonts w:ascii="Arial" w:hAnsi="Arial" w:eastAsia="仿宋_GB2312" w:cs="Arial"/>
      <w:color w:val="ffff00"/>
      <w:sz w:val="32"/>
      <w:szCs w:val="32"/>
    </w:rPr>
  </w:style>
  <w:style w:type="paragraph" w:styleId="1346" w:customStyle="1">
    <w:name w:val="图表目录1"/>
    <w:basedOn w:val="1067"/>
    <w:next w:val="1067"/>
    <w:uiPriority w:val="0"/>
    <w:semiHidden/>
    <w:qFormat/>
    <w:pPr>
      <w:ind w:left="840" w:hanging="420"/>
    </w:pPr>
    <w:rPr>
      <w:rFonts w:ascii="Times New Roman" w:hAnsi="Times New Roman" w:eastAsia="宋体" w:cs="Times New Roman"/>
      <w:szCs w:val="21"/>
    </w:rPr>
  </w:style>
  <w:style w:type="paragraph" w:styleId="1347" w:customStyle="1">
    <w:name w:val="目录 21"/>
    <w:basedOn w:val="1067"/>
    <w:next w:val="1067"/>
    <w:uiPriority w:val="0"/>
    <w:semiHidden/>
    <w:qFormat/>
    <w:pPr>
      <w:ind w:left="210"/>
      <w:jc w:val="left"/>
    </w:pPr>
    <w:rPr>
      <w:rFonts w:ascii="Times New Roman" w:hAnsi="Times New Roman" w:eastAsia="宋体" w:cs="Times New Roman"/>
      <w:smallCaps/>
      <w:szCs w:val="24"/>
    </w:rPr>
  </w:style>
  <w:style w:type="paragraph" w:styleId="1348" w:customStyle="1">
    <w:name w:val="目录 91"/>
    <w:basedOn w:val="1067"/>
    <w:next w:val="1067"/>
    <w:uiPriority w:val="0"/>
    <w:semiHidden/>
    <w:qFormat/>
    <w:pPr>
      <w:ind w:left="1680"/>
      <w:jc w:val="left"/>
    </w:pPr>
    <w:rPr>
      <w:rFonts w:ascii="Times New Roman" w:hAnsi="Times New Roman" w:eastAsia="宋体" w:cs="Times New Roman"/>
      <w:szCs w:val="21"/>
    </w:rPr>
  </w:style>
  <w:style w:type="paragraph" w:styleId="1349" w:customStyle="1">
    <w:name w:val="正文文本 21"/>
    <w:basedOn w:val="1067"/>
    <w:link w:val="1350"/>
    <w:uiPriority w:val="0"/>
    <w:qFormat/>
    <w:pPr>
      <w:jc w:val="center"/>
      <w:widowControl/>
    </w:pPr>
    <w:rPr>
      <w:rFonts w:ascii="楷体_GB2312" w:eastAsia="楷体_GB2312"/>
      <w:sz w:val="28"/>
      <w:szCs w:val="28"/>
    </w:rPr>
  </w:style>
  <w:style w:type="character" w:styleId="1350" w:customStyle="1">
    <w:name w:val="正文文本 2 字符"/>
    <w:link w:val="1349"/>
    <w:uiPriority w:val="0"/>
    <w:qFormat/>
    <w:rPr>
      <w:rFonts w:ascii="楷体_GB2312" w:hAnsi="Times New Roman" w:eastAsia="楷体_GB2312" w:cs="Times New Roman"/>
      <w:sz w:val="28"/>
      <w:szCs w:val="28"/>
    </w:rPr>
  </w:style>
  <w:style w:type="paragraph" w:styleId="1351" w:customStyle="1">
    <w:name w:val="普通(网站)1"/>
    <w:basedOn w:val="1067"/>
    <w:uiPriority w:val="99"/>
    <w:qFormat/>
    <w:pPr>
      <w:jc w:val="left"/>
      <w:spacing w:before="100" w:beforeAutospacing="1" w:after="100" w:afterAutospacing="1"/>
      <w:widowControl/>
    </w:pPr>
    <w:rPr>
      <w:rFonts w:ascii="宋体" w:hAnsi="宋体" w:eastAsia="宋体" w:cs="宋体"/>
      <w:sz w:val="24"/>
      <w:szCs w:val="24"/>
    </w:rPr>
  </w:style>
  <w:style w:type="paragraph" w:styleId="1352" w:customStyle="1">
    <w:name w:val="索引 11"/>
    <w:basedOn w:val="1067"/>
    <w:next w:val="1067"/>
    <w:uiPriority w:val="0"/>
    <w:semiHidden/>
    <w:qFormat/>
    <w:pPr>
      <w:spacing w:line="240" w:lineRule="atLeast"/>
    </w:pPr>
    <w:rPr>
      <w:rFonts w:ascii="Times New Roman" w:hAnsi="Times New Roman" w:eastAsia="宋体" w:cs="Times New Roman"/>
      <w:b/>
      <w:bCs/>
      <w:szCs w:val="21"/>
    </w:rPr>
  </w:style>
  <w:style w:type="paragraph" w:styleId="1353" w:customStyle="1">
    <w:name w:val="批注主题1"/>
    <w:basedOn w:val="1320"/>
    <w:next w:val="1320"/>
    <w:link w:val="1354"/>
    <w:uiPriority w:val="0"/>
    <w:semiHidden/>
    <w:qFormat/>
    <w:rPr>
      <w:b/>
      <w:bCs/>
      <w:sz w:val="20"/>
      <w:szCs w:val="21"/>
    </w:rPr>
  </w:style>
  <w:style w:type="character" w:styleId="1354" w:customStyle="1">
    <w:name w:val="批注主题 字符"/>
    <w:link w:val="1353"/>
    <w:uiPriority w:val="0"/>
    <w:semiHidden/>
    <w:qFormat/>
    <w:rPr>
      <w:rFonts w:ascii="Times New Roman" w:hAnsi="Times New Roman" w:eastAsia="宋体" w:cs="Times New Roman"/>
      <w:b/>
      <w:bCs/>
      <w:szCs w:val="21"/>
    </w:rPr>
  </w:style>
  <w:style w:type="character" w:styleId="1355" w:customStyle="1">
    <w:name w:val="正文首行缩进 2 字符"/>
    <w:link w:val="1107"/>
    <w:uiPriority w:val="0"/>
    <w:qFormat/>
    <w:rPr>
      <w:rFonts w:ascii="宋体" w:hAnsi="宋体" w:eastAsia="宋体" w:cs="Times New Roman"/>
      <w:szCs w:val="20"/>
    </w:rPr>
  </w:style>
  <w:style w:type="table" w:styleId="1356" w:customStyle="1">
    <w:name w:val="网格型1"/>
    <w:basedOn w:val="1315"/>
    <w:uiPriority w:val="0"/>
    <w:qFormat/>
    <w:pPr>
      <w:jc w:val="both"/>
      <w:widowControl w:val="off"/>
    </w:pPr>
    <w:rPr>
      <w:rFonts w:ascii="Times New Roman" w:hAnsi="Times New Roman" w:eastAsia="宋体" w:cs="Times New Roman"/>
      <w:sz w:val="20"/>
      <w:szCs w:val="20"/>
    </w:rPr>
    <w:tblPr/>
  </w:style>
  <w:style w:type="character" w:styleId="1357" w:customStyle="1">
    <w:name w:val="要点1"/>
    <w:link w:val="1067"/>
    <w:uiPriority w:val="0"/>
    <w:qFormat/>
    <w:rPr>
      <w:b/>
      <w:bCs/>
    </w:rPr>
  </w:style>
  <w:style w:type="character" w:styleId="1358" w:customStyle="1">
    <w:name w:val="页码1"/>
    <w:link w:val="1067"/>
    <w:uiPriority w:val="0"/>
    <w:qFormat/>
  </w:style>
  <w:style w:type="character" w:styleId="1359" w:customStyle="1">
    <w:name w:val="访问过的超链接"/>
    <w:link w:val="1067"/>
    <w:uiPriority w:val="0"/>
    <w:qFormat/>
    <w:rPr>
      <w:color w:val="800080"/>
      <w:u w:val="single"/>
    </w:rPr>
  </w:style>
  <w:style w:type="character" w:styleId="1360" w:customStyle="1">
    <w:name w:val="超链接11"/>
    <w:link w:val="1067"/>
    <w:uiPriority w:val="99"/>
    <w:qFormat/>
    <w:rPr>
      <w:color w:val="0000ff"/>
      <w:u w:val="single"/>
    </w:rPr>
  </w:style>
  <w:style w:type="character" w:styleId="1361" w:customStyle="1">
    <w:name w:val="批注引用1"/>
    <w:link w:val="1067"/>
    <w:uiPriority w:val="0"/>
    <w:semiHidden/>
    <w:qFormat/>
    <w:rPr>
      <w:sz w:val="21"/>
      <w:szCs w:val="21"/>
    </w:rPr>
  </w:style>
  <w:style w:type="paragraph" w:styleId="1362" w:customStyle="1">
    <w:name w:val="段"/>
    <w:next w:val="1067"/>
    <w:uiPriority w:val="0"/>
    <w:qFormat/>
    <w:pPr>
      <w:ind w:firstLine="200"/>
      <w:jc w:val="both"/>
    </w:pPr>
    <w:rPr>
      <w:rFonts w:hint="default" w:ascii="宋体" w:hAnsi="Times New Roman" w:eastAsia="Times New Roman" w:cs="Times New Roman"/>
      <w:sz w:val="21"/>
      <w:lang w:eastAsia="zh-CN"/>
    </w:rPr>
  </w:style>
  <w:style w:type="character" w:styleId="1363" w:customStyle="1">
    <w:name w:val="font5 Char"/>
    <w:link w:val="1067"/>
    <w:uiPriority w:val="0"/>
    <w:qFormat/>
    <w:rPr>
      <w:rFonts w:ascii="宋体" w:hAnsi="宋体" w:eastAsia="宋体"/>
      <w:sz w:val="28"/>
      <w:szCs w:val="28"/>
      <w:lang w:val="en-US" w:eastAsia="zh-CN" w:bidi="ar-SA"/>
    </w:rPr>
  </w:style>
  <w:style w:type="character" w:styleId="1364" w:customStyle="1">
    <w:name w:val="二级目录 Char"/>
    <w:link w:val="1365"/>
    <w:uiPriority w:val="0"/>
    <w:qFormat/>
    <w:rPr>
      <w:b/>
      <w:sz w:val="30"/>
      <w:szCs w:val="28"/>
      <w:lang w:val="en-US" w:eastAsia="zh-CN" w:bidi="ar-SA"/>
    </w:rPr>
  </w:style>
  <w:style w:type="paragraph" w:styleId="1365" w:customStyle="1">
    <w:name w:val="二级目录"/>
    <w:next w:val="1067"/>
    <w:link w:val="1364"/>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366" w:customStyle="1">
    <w:name w:val="列出段落 Char"/>
    <w:link w:val="1367"/>
    <w:uiPriority w:val="0"/>
    <w:qFormat/>
    <w:rPr>
      <w:rFonts w:ascii="Calibri" w:hAnsi="Calibri"/>
      <w:sz w:val="24"/>
      <w:szCs w:val="24"/>
      <w:lang w:eastAsia="en-US" w:bidi="en-US"/>
    </w:rPr>
  </w:style>
  <w:style w:type="paragraph" w:styleId="1367" w:customStyle="1">
    <w:name w:val="列出段落1"/>
    <w:basedOn w:val="1067"/>
    <w:link w:val="1366"/>
    <w:uiPriority w:val="0"/>
    <w:qFormat/>
    <w:pPr>
      <w:contextualSpacing/>
      <w:ind w:left="720"/>
      <w:jc w:val="left"/>
      <w:widowControl/>
    </w:pPr>
    <w:rPr>
      <w:rFonts w:ascii="Calibri" w:hAnsi="Calibri"/>
      <w:sz w:val="24"/>
      <w:szCs w:val="24"/>
      <w:lang w:eastAsia="en-US" w:bidi="en-US"/>
    </w:rPr>
  </w:style>
  <w:style w:type="paragraph" w:styleId="1368" w:customStyle="1">
    <w:name w:val="Body Text(ch)"/>
    <w:basedOn w:val="1067"/>
    <w:next w:val="1160"/>
    <w:uiPriority w:val="0"/>
    <w:qFormat/>
    <w:pPr>
      <w:spacing w:after="120"/>
    </w:pPr>
    <w:rPr>
      <w:rFonts w:ascii="宋体" w:hAnsi="Arial" w:eastAsia="宋体" w:cs="Times New Roman"/>
      <w:bCs/>
      <w:iCs/>
      <w:szCs w:val="24"/>
    </w:rPr>
  </w:style>
  <w:style w:type="paragraph" w:styleId="1369" w:customStyle="1">
    <w:name w:val="xl27"/>
    <w:basedOn w:val="10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70" w:customStyle="1">
    <w:name w:val="xl26"/>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71" w:customStyle="1">
    <w:name w:val="Char"/>
    <w:basedOn w:val="1067"/>
    <w:uiPriority w:val="0"/>
    <w:qFormat/>
    <w:pPr>
      <w:ind w:firstLine="200"/>
      <w:tabs>
        <w:tab w:val="left" w:pos="360" w:leader="none"/>
      </w:tabs>
    </w:pPr>
    <w:rPr>
      <w:rFonts w:ascii="Times New Roman" w:hAnsi="Times New Roman" w:eastAsia="宋体" w:cs="Times New Roman"/>
      <w:sz w:val="28"/>
      <w:szCs w:val="30"/>
    </w:rPr>
  </w:style>
  <w:style w:type="paragraph" w:styleId="1372" w:customStyle="1">
    <w:name w:val=" Char"/>
    <w:basedOn w:val="1318"/>
    <w:uiPriority w:val="0"/>
    <w:qFormat/>
    <w:rPr>
      <w:rFonts w:ascii="Tahoma" w:hAnsi="Tahoma"/>
      <w:sz w:val="24"/>
      <w:szCs w:val="24"/>
    </w:rPr>
  </w:style>
  <w:style w:type="paragraph" w:styleId="1373" w:customStyle="1">
    <w:name w:val="普通正文"/>
    <w:basedOn w:val="1067"/>
    <w:uiPriority w:val="0"/>
    <w:qFormat/>
    <w:pPr>
      <w:ind w:firstLine="480"/>
      <w:jc w:val="left"/>
      <w:spacing w:before="120" w:after="120" w:line="360" w:lineRule="auto"/>
    </w:pPr>
    <w:rPr>
      <w:rFonts w:ascii="Arial" w:hAnsi="Arial" w:eastAsia="宋体" w:cs="Times New Roman"/>
      <w:sz w:val="24"/>
      <w:szCs w:val="24"/>
    </w:rPr>
  </w:style>
  <w:style w:type="paragraph" w:styleId="1374" w:customStyle="1">
    <w:name w:val="table_lines"/>
    <w:basedOn w:val="1067"/>
    <w:uiPriority w:val="0"/>
    <w:qFormat/>
    <w:pPr>
      <w:jc w:val="left"/>
      <w:widowControl/>
    </w:pPr>
    <w:rPr>
      <w:rFonts w:ascii="Times New Roman" w:hAnsi="Times New Roman" w:eastAsia="宋体" w:cs="Times New Roman"/>
      <w:sz w:val="20"/>
      <w:szCs w:val="20"/>
      <w:lang w:val="de-DE" w:eastAsia="de-DE"/>
    </w:rPr>
  </w:style>
  <w:style w:type="paragraph" w:styleId="137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376" w:customStyle="1">
    <w:name w:val="font7"/>
    <w:basedOn w:val="106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377" w:customStyle="1">
    <w:name w:val=" Char Char Char Char"/>
    <w:basedOn w:val="1318"/>
    <w:uiPriority w:val="0"/>
    <w:qFormat/>
    <w:pPr>
      <w:spacing w:line="360" w:lineRule="auto"/>
    </w:pPr>
    <w:rPr>
      <w:rFonts w:ascii="Tahoma" w:hAnsi="Tahoma"/>
      <w:sz w:val="24"/>
      <w:szCs w:val="24"/>
    </w:rPr>
  </w:style>
  <w:style w:type="paragraph" w:styleId="1378" w:customStyle="1">
    <w:name w:val="列出段落"/>
    <w:basedOn w:val="1067"/>
    <w:uiPriority w:val="34"/>
    <w:qFormat/>
    <w:pPr>
      <w:contextualSpacing/>
      <w:ind w:left="720"/>
      <w:jc w:val="left"/>
      <w:widowControl/>
    </w:pPr>
    <w:rPr>
      <w:rFonts w:ascii="Calibri" w:hAnsi="Calibri" w:eastAsia="宋体" w:cs="Times New Roman"/>
      <w:sz w:val="24"/>
      <w:szCs w:val="24"/>
      <w:lang w:eastAsia="en-US" w:bidi="en-US"/>
    </w:rPr>
  </w:style>
  <w:style w:type="paragraph" w:styleId="1379" w:customStyle="1">
    <w:name w:val="4"/>
    <w:basedOn w:val="1067"/>
    <w:next w:val="1113"/>
    <w:uiPriority w:val="0"/>
    <w:qFormat/>
    <w:pPr>
      <w:ind w:firstLine="420"/>
      <w:spacing w:line="360" w:lineRule="auto"/>
    </w:pPr>
    <w:rPr>
      <w:rFonts w:ascii="Times New Roman" w:hAnsi="Times New Roman" w:eastAsia="宋体" w:cs="Times New Roman"/>
      <w:color w:val="ff0000"/>
      <w:sz w:val="24"/>
      <w:szCs w:val="24"/>
    </w:rPr>
  </w:style>
  <w:style w:type="paragraph" w:styleId="1380" w:customStyle="1">
    <w:name w:val="普通 (Web)"/>
    <w:basedOn w:val="1067"/>
    <w:uiPriority w:val="0"/>
    <w:qFormat/>
    <w:pPr>
      <w:jc w:val="left"/>
      <w:spacing w:before="100" w:beforeAutospacing="1" w:after="100" w:afterAutospacing="1"/>
      <w:widowControl/>
    </w:pPr>
    <w:rPr>
      <w:rFonts w:ascii="宋体" w:hAnsi="宋体" w:eastAsia="宋体" w:cs="Times New Roman"/>
      <w:sz w:val="24"/>
      <w:szCs w:val="24"/>
    </w:rPr>
  </w:style>
  <w:style w:type="paragraph" w:styleId="1381" w:customStyle="1">
    <w:name w:val=" Char Char Char Char Char Char Char Char Char Char"/>
    <w:basedOn w:val="1067"/>
    <w:uiPriority w:val="0"/>
    <w:qFormat/>
    <w:pPr>
      <w:spacing w:line="360" w:lineRule="auto"/>
    </w:pPr>
    <w:rPr>
      <w:rFonts w:ascii="Times New Roman" w:hAnsi="Times New Roman" w:eastAsia="宋体" w:cs="Times New Roman"/>
      <w:sz w:val="24"/>
      <w:szCs w:val="20"/>
    </w:rPr>
  </w:style>
  <w:style w:type="paragraph" w:styleId="1382" w:customStyle="1">
    <w:name w:val="样式1"/>
    <w:basedOn w:val="1067"/>
    <w:uiPriority w:val="0"/>
    <w:qFormat/>
    <w:pPr>
      <w:numPr>
        <w:ilvl w:val="0"/>
        <w:numId w:val="4"/>
      </w:numPr>
    </w:pPr>
    <w:rPr>
      <w:rFonts w:ascii="宋体" w:hAnsi="宋体" w:eastAsia="宋体" w:cs="Times New Roman"/>
      <w:szCs w:val="21"/>
    </w:rPr>
  </w:style>
  <w:style w:type="paragraph" w:styleId="1383" w:customStyle="1">
    <w:name w:val="font6"/>
    <w:basedOn w:val="106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384" w:customStyle="1">
    <w:name w:val="xl25"/>
    <w:basedOn w:val="106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85" w:customStyle="1">
    <w:name w:val="图标"/>
    <w:basedOn w:val="1067"/>
    <w:next w:val="106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86" w:customStyle="1">
    <w:name w:val="标题3"/>
    <w:basedOn w:val="1067"/>
    <w:next w:val="1067"/>
    <w:uiPriority w:val="0"/>
    <w:qFormat/>
    <w:pPr>
      <w:ind w:firstLine="624"/>
      <w:spacing w:line="590" w:lineRule="atLeast"/>
    </w:pPr>
    <w:rPr>
      <w:rFonts w:ascii="方正黑体_GBK" w:hAnsi="Times New Roman" w:eastAsia="方正黑体_GBK" w:cs="Times New Roman"/>
      <w:sz w:val="32"/>
      <w:szCs w:val="32"/>
    </w:rPr>
  </w:style>
  <w:style w:type="paragraph" w:styleId="1387" w:customStyle="1">
    <w:name w:val="xl24"/>
    <w:basedOn w:val="10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88" w:customStyle="1">
    <w:name w:val="xl29"/>
    <w:basedOn w:val="106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89" w:customStyle="1">
    <w:name w:val="Char Char Char Char Char Char Char Char"/>
    <w:basedOn w:val="1067"/>
    <w:uiPriority w:val="0"/>
    <w:qFormat/>
    <w:pPr>
      <w:jc w:val="left"/>
      <w:spacing w:after="160" w:line="240" w:lineRule="exact"/>
      <w:widowControl/>
    </w:pPr>
    <w:rPr>
      <w:rFonts w:ascii="Verdana" w:hAnsi="Verdana" w:eastAsia="宋体" w:cs="Times New Roman"/>
      <w:sz w:val="20"/>
      <w:szCs w:val="20"/>
      <w:lang w:eastAsia="en-US"/>
    </w:rPr>
  </w:style>
  <w:style w:type="paragraph" w:styleId="1390" w:customStyle="1">
    <w:name w:val="xl28"/>
    <w:basedOn w:val="106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91" w:customStyle="1">
    <w:name w:val=" Char Char Char Char Char Char Char Char"/>
    <w:basedOn w:val="1067"/>
    <w:uiPriority w:val="0"/>
    <w:qFormat/>
    <w:pPr>
      <w:jc w:val="left"/>
      <w:spacing w:after="160" w:line="240" w:lineRule="exact"/>
      <w:widowControl/>
    </w:pPr>
    <w:rPr>
      <w:rFonts w:ascii="Verdana" w:hAnsi="Verdana" w:eastAsia="宋体" w:cs="Times New Roman"/>
      <w:sz w:val="20"/>
      <w:szCs w:val="20"/>
      <w:lang w:eastAsia="en-US"/>
    </w:rPr>
  </w:style>
  <w:style w:type="paragraph" w:styleId="1392" w:customStyle="1">
    <w:name w:val="xl30"/>
    <w:basedOn w:val="106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393" w:customStyle="1">
    <w:name w:val="Char Char Char Char"/>
    <w:basedOn w:val="1318"/>
    <w:uiPriority w:val="0"/>
    <w:qFormat/>
    <w:pPr>
      <w:spacing w:line="360" w:lineRule="auto"/>
    </w:pPr>
    <w:rPr>
      <w:rFonts w:ascii="Tahoma" w:hAnsi="Tahoma"/>
      <w:sz w:val="24"/>
      <w:szCs w:val="24"/>
    </w:rPr>
  </w:style>
  <w:style w:type="paragraph" w:styleId="1394" w:customStyle="1">
    <w:name w:val="table_1stline"/>
    <w:basedOn w:val="1067"/>
    <w:uiPriority w:val="0"/>
    <w:qFormat/>
    <w:pPr>
      <w:jc w:val="left"/>
      <w:spacing w:before="120"/>
      <w:widowControl/>
    </w:pPr>
    <w:rPr>
      <w:rFonts w:ascii="Times New Roman" w:hAnsi="Times New Roman" w:eastAsia="宋体" w:cs="Times New Roman"/>
      <w:bCs/>
      <w:sz w:val="20"/>
      <w:szCs w:val="20"/>
      <w:lang w:val="de-DE" w:eastAsia="de-DE"/>
    </w:rPr>
  </w:style>
  <w:style w:type="paragraph" w:styleId="1395" w:customStyle="1">
    <w:name w:val="font5"/>
    <w:basedOn w:val="106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396" w:customStyle="1">
    <w:name w:val="标题1"/>
    <w:basedOn w:val="1067"/>
    <w:next w:val="106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97" w:customStyle="1">
    <w:name w:val="修订"/>
    <w:uiPriority w:val="99"/>
    <w:semiHidden/>
    <w:qFormat/>
    <w:rPr>
      <w:rFonts w:hint="default" w:ascii="Times New Roman" w:hAnsi="Times New Roman" w:eastAsia="宋体" w:cs="Times New Roman"/>
      <w:sz w:val="21"/>
      <w:szCs w:val="21"/>
      <w:lang w:eastAsia="zh-CN"/>
    </w:rPr>
  </w:style>
  <w:style w:type="paragraph" w:styleId="1398"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399" w:customStyle="1">
    <w:name w:val="引文目录标题1"/>
    <w:basedOn w:val="1067"/>
    <w:next w:val="1067"/>
    <w:uiPriority w:val="0"/>
    <w:qFormat/>
    <w:pPr>
      <w:spacing w:before="120"/>
    </w:pPr>
    <w:rPr>
      <w:rFonts w:ascii="Arial" w:hAnsi="Arial"/>
      <w:sz w:val="24"/>
    </w:rPr>
  </w:style>
  <w:style w:type="character" w:styleId="1400" w:customStyle="1">
    <w:name w:val="超链接1"/>
    <w:link w:val="1067"/>
    <w:uiPriority w:val="0"/>
    <w:qFormat/>
    <w:rPr>
      <w:rFonts w:ascii="Times New Roman" w:hAnsi="Times New Roman" w:eastAsia="宋体" w:cs="Times New Roman"/>
      <w:sz w:val="21"/>
      <w:szCs w:val="24"/>
      <w:lang w:val="en-US" w:eastAsia="zh-CN" w:bidi="ar-SA"/>
    </w:rPr>
  </w:style>
  <w:style w:type="paragraph" w:styleId="1401" w:customStyle="1">
    <w:name w:val="正文首行缩进1"/>
    <w:basedOn w:val="1160"/>
    <w:uiPriority w:val="0"/>
    <w:qFormat/>
    <w:pPr>
      <w:ind w:firstLine="200"/>
      <w:spacing w:line="360" w:lineRule="auto"/>
    </w:pPr>
    <w:rPr>
      <w:rFonts w:ascii="仿宋_GB2312" w:hAnsi="Times New Roman" w:eastAsia="仿宋_GB2312"/>
      <w:sz w:val="30"/>
      <w:szCs w:val="30"/>
    </w:rPr>
  </w:style>
  <w:style w:type="paragraph" w:styleId="1402" w:customStyle="1">
    <w:name w:val="正文缩进2格"/>
    <w:basedOn w:val="1067"/>
    <w:uiPriority w:val="0"/>
    <w:qFormat/>
    <w:pPr>
      <w:ind w:firstLine="639"/>
      <w:spacing w:line="600" w:lineRule="exact"/>
    </w:pPr>
    <w:rPr>
      <w:rFonts w:ascii="仿宋_GB2312" w:hAnsi="宋体" w:eastAsia="仿宋_GB2312"/>
      <w:sz w:val="31"/>
      <w:szCs w:val="28"/>
      <w:lang w:eastAsia="en-US"/>
    </w:rPr>
  </w:style>
  <w:style w:type="paragraph" w:styleId="1403"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404" w:customStyle="1">
    <w:name w:val="普通(网站) Char"/>
    <w:basedOn w:val="1067"/>
    <w:uiPriority w:val="0"/>
    <w:qFormat/>
    <w:pPr>
      <w:spacing w:before="100" w:beforeAutospacing="1" w:after="100" w:afterAutospacing="1"/>
    </w:pPr>
    <w:rPr>
      <w:rFonts w:ascii="宋体" w:hAnsi="宋体" w:cs="宋体"/>
      <w:sz w:val="24"/>
    </w:rPr>
  </w:style>
  <w:style w:type="paragraph" w:styleId="1405" w:customStyle="1">
    <w:name w:val="正文首行缩进111"/>
    <w:basedOn w:val="1406"/>
    <w:uiPriority w:val="0"/>
    <w:qFormat/>
    <w:pPr>
      <w:ind w:firstLine="200"/>
      <w:spacing w:line="360" w:lineRule="auto"/>
    </w:pPr>
    <w:rPr>
      <w:rFonts w:ascii="仿宋_GB2312" w:hAnsi="Times New Roman" w:eastAsia="仿宋_GB2312"/>
      <w:sz w:val="30"/>
      <w:szCs w:val="30"/>
    </w:rPr>
  </w:style>
  <w:style w:type="paragraph" w:styleId="1406" w:customStyle="1">
    <w:name w:val="正文文本111"/>
    <w:basedOn w:val="1067"/>
    <w:next w:val="1067"/>
    <w:uiPriority w:val="0"/>
    <w:qFormat/>
    <w:rPr>
      <w:rFonts w:ascii="楷体_GB2312" w:hAnsi="Arial" w:eastAsia="楷体_GB2312"/>
      <w:sz w:val="28"/>
      <w:szCs w:val="28"/>
    </w:rPr>
  </w:style>
  <w:style w:type="paragraph" w:styleId="1407" w:customStyle="1">
    <w:name w:val="正文首行缩进12"/>
    <w:basedOn w:val="1408"/>
    <w:uiPriority w:val="0"/>
    <w:qFormat/>
    <w:pPr>
      <w:ind w:firstLine="200"/>
      <w:spacing w:line="360" w:lineRule="auto"/>
    </w:pPr>
    <w:rPr>
      <w:rFonts w:ascii="仿宋_GB2312" w:hAnsi="Times New Roman" w:eastAsia="仿宋_GB2312"/>
      <w:sz w:val="30"/>
      <w:szCs w:val="30"/>
    </w:rPr>
  </w:style>
  <w:style w:type="paragraph" w:styleId="1408" w:customStyle="1">
    <w:name w:val="正文文本12"/>
    <w:basedOn w:val="1067"/>
    <w:uiPriority w:val="0"/>
    <w:qFormat/>
    <w:rPr>
      <w:rFonts w:ascii="楷体_GB2312" w:hAnsi="Arial" w:eastAsia="楷体_GB2312"/>
      <w:sz w:val="28"/>
      <w:szCs w:val="28"/>
    </w:rPr>
  </w:style>
  <w:style w:type="character" w:styleId="1409" w:customStyle="1">
    <w:name w:val="font21"/>
    <w:basedOn w:val="1077"/>
    <w:link w:val="1067"/>
    <w:uiPriority w:val="0"/>
    <w:qFormat/>
    <w:rPr>
      <w:rFonts w:hint="eastAsia" w:ascii="宋体" w:hAnsi="宋体" w:eastAsia="宋体" w:cs="宋体"/>
      <w:color w:val="000000"/>
      <w:sz w:val="22"/>
      <w:szCs w:val="22"/>
      <w:u w:val="none"/>
    </w:rPr>
  </w:style>
  <w:style w:type="paragraph" w:styleId="1410" w:customStyle="1">
    <w:name w:val="方案正文"/>
    <w:basedOn w:val="1067"/>
    <w:uiPriority w:val="0"/>
    <w:qFormat/>
    <w:pPr>
      <w:contextualSpacing/>
      <w:ind w:firstLine="200"/>
      <w:jc w:val="left"/>
      <w:widowControl/>
    </w:pPr>
    <w:rPr>
      <w:rFonts w:eastAsia="宋体"/>
    </w:rPr>
  </w:style>
  <w:style w:type="character" w:styleId="1411" w:customStyle="1">
    <w:name w:val="font31"/>
    <w:basedOn w:val="1077"/>
    <w:uiPriority w:val="0"/>
    <w:qFormat/>
    <w:rPr>
      <w:rFonts w:ascii="楷体_GB2312" w:eastAsia="楷体_GB2312" w:cs="楷体_GB2312"/>
      <w:b/>
      <w:bCs/>
      <w:color w:val="000000"/>
      <w:sz w:val="28"/>
      <w:szCs w:val="28"/>
      <w:u w:val="none"/>
    </w:rPr>
  </w:style>
  <w:style w:type="character" w:styleId="1412" w:customStyle="1">
    <w:name w:val="font51"/>
    <w:basedOn w:val="1077"/>
    <w:uiPriority w:val="0"/>
    <w:qFormat/>
    <w:rPr>
      <w:rFonts w:hint="eastAsia" w:ascii="宋体" w:hAnsi="宋体" w:eastAsia="宋体" w:cs="宋体"/>
      <w:color w:val="000000"/>
      <w:sz w:val="24"/>
      <w:szCs w:val="24"/>
      <w:u w:val="none"/>
    </w:rPr>
  </w:style>
  <w:style w:type="character" w:styleId="1413" w:customStyle="1">
    <w:name w:val="font41"/>
    <w:basedOn w:val="1077"/>
    <w:uiPriority w:val="0"/>
    <w:qFormat/>
    <w:rPr>
      <w:rFonts w:hint="eastAsia" w:ascii="宋体" w:hAnsi="宋体" w:eastAsia="宋体" w:cs="宋体"/>
      <w:b/>
      <w:bCs/>
      <w:color w:val="000000"/>
      <w:sz w:val="24"/>
      <w:szCs w:val="24"/>
      <w:u w:val="none"/>
    </w:rPr>
  </w:style>
  <w:style w:type="character" w:styleId="1414" w:customStyle="1">
    <w:name w:val="font161"/>
    <w:basedOn w:val="1077"/>
    <w:uiPriority w:val="0"/>
    <w:qFormat/>
    <w:rPr>
      <w:rFonts w:hint="eastAsia" w:ascii="宋体" w:hAnsi="宋体" w:eastAsia="宋体" w:cs="宋体"/>
      <w:b/>
      <w:bCs/>
      <w:color w:val="000000"/>
      <w:sz w:val="22"/>
      <w:szCs w:val="22"/>
      <w:u w:val="none"/>
    </w:rPr>
  </w:style>
  <w:style w:type="character" w:styleId="1415" w:customStyle="1">
    <w:name w:val="font01"/>
    <w:basedOn w:val="1077"/>
    <w:uiPriority w:val="0"/>
    <w:qFormat/>
    <w:rPr>
      <w:rFonts w:hint="eastAsia" w:ascii="宋体" w:hAnsi="宋体" w:eastAsia="宋体" w:cs="宋体"/>
      <w:color w:val="000000"/>
      <w:sz w:val="22"/>
      <w:szCs w:val="22"/>
      <w:u w:val="none"/>
    </w:rPr>
  </w:style>
  <w:style w:type="paragraph" w:styleId="1416" w:customStyle="1">
    <w:name w:val="索引 41"/>
    <w:basedOn w:val="1067"/>
    <w:next w:val="1067"/>
    <w:uiPriority w:val="0"/>
    <w:semiHidden/>
    <w:qFormat/>
    <w:pPr>
      <w:ind w:left="1260"/>
    </w:pPr>
    <w:rPr>
      <w:rFonts w:eastAsia="Calibri" w:cs="宋体"/>
      <w:sz w:val="20"/>
      <w:lang w:val="zh-CN"/>
    </w:rPr>
  </w:style>
  <w:style w:type="numbering" w:styleId="14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E638C55-4E3A-4839-B869-FF3F2B1180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23</cp:revision>
  <dcterms:created xsi:type="dcterms:W3CDTF">2024-07-09T03:08:00Z</dcterms:created>
  <dcterms:modified xsi:type="dcterms:W3CDTF">2026-08-07T06:06:11Z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eyJoZGlkIjoiYzA5YWY4M2MwNGRhODk4ZjM0ZWM5YjZlMDk5M2I4YjQiLCJ1c2VySWQiOiIxNjU1OTQ5OTg4In0=</vt:lpwstr>
  </property>
  <property fmtid="{D5CDD505-2E9C-101B-9397-08002B2CF9AE}" pid="3" name="KSOProductBuildVer">
    <vt:lpwstr>2052-12.1.0.28043</vt:lpwstr>
  </property>
  <property fmtid="{D5CDD505-2E9C-101B-9397-08002B2CF9AE}" pid="4" name="ICV">
    <vt:lpwstr>DAAB739C12A34DF79B134CCD4FF03A99_13</vt:lpwstr>
  </property>
</Properties>
</file>