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104"/>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1105"/>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105"/>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default" w:eastAsia="宋体"/>
          <w:lang w:val="en-US" w:eastAsia="zh-CN"/>
        </w:rPr>
      </w:pPr>
      <w:r>
        <w:rPr>
          <w:rFonts w:hint="eastAsia"/>
        </w:rPr>
        <w:t xml:space="preserve">项目名称：</w:t>
      </w:r>
      <w:r>
        <w:rPr>
          <w:rFonts w:hint="eastAsia"/>
          <w:lang w:val="en-US" w:eastAsia="zh-CN"/>
        </w:rPr>
        <w:t xml:space="preserve">常州市金坛区第二人民医院血液透析信息系统采购项目</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rPr>
        <w:t xml:space="preserve">项目编号：</w:t>
      </w:r>
      <w:r>
        <w:rPr>
          <w:rFonts w:hint="eastAsia"/>
        </w:rPr>
        <w:t xml:space="preserve">JSZC-320413-JZCG-G2026-002</w:t>
      </w:r>
      <w:r>
        <w:rPr>
          <w:rFonts w:hint="eastAsia"/>
          <w:lang w:val="en-US" w:eastAsia="zh-CN"/>
        </w:rPr>
        <w:t xml:space="preserve">5</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Times New Roman" w:eastAsia="宋体"/>
          <w:lang w:val="en-US" w:eastAsia="zh-CN"/>
        </w:rPr>
        <w:t xml:space="preserve">常州市金坛区第二人民医院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ind w:firstLine="0"/>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rPr>
          <w:rFonts w:hint="eastAsia" w:ascii="宋体" w:hAnsi="宋体" w:eastAsia="宋体" w:cs="宋体"/>
          <w:color w:val="333333"/>
          <w:spacing w:val="8"/>
          <w:sz w:val="28"/>
          <w:szCs w:val="28"/>
        </w:rPr>
      </w:r>
      <w:r/>
    </w:p>
    <w:p>
      <w:pPr>
        <w:ind w:firstLine="0"/>
        <w:jc w:val="left"/>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left="0" w:firstLine="0"/>
        <w:jc w:val="both"/>
        <w:spacing w:line="360" w:lineRule="auto"/>
        <w:rPr>
          <w:rFonts w:hint="eastAsia"/>
        </w:rPr>
      </w:pPr>
      <w:r>
        <w:rPr>
          <w:rFonts w:hint="eastAsia"/>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104"/>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51"/>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51"/>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5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51"/>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5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51"/>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51"/>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51"/>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51"/>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20084"/>
      <w:r/>
      <w:bookmarkStart w:id="9" w:name="_Toc3337"/>
      <w:r/>
      <w:bookmarkStart w:id="10" w:name="_Toc16103"/>
      <w:r/>
      <w:bookmarkStart w:id="11" w:name="_Toc5725"/>
      <w:r/>
      <w:bookmarkStart w:id="12" w:name="_Toc548"/>
      <w:r/>
      <w:bookmarkStart w:id="13" w:name="_Toc16555"/>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05"/>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106"/>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JSZC-320413-JZCG-G2026-0025</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常州市金坛区第二人民医院血液透析信息系统采购项目</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35万元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35万元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09"/>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60"/>
        <w:gridCol w:w="911"/>
        <w:gridCol w:w="800"/>
        <w:gridCol w:w="3654"/>
        <w:gridCol w:w="815"/>
      </w:tblGrid>
      <w:tr>
        <w:trPr>
          <w:trHeight w:val="454"/>
        </w:trPr>
        <w:tc>
          <w:tcPr>
            <w:tcW w:w="3360"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91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36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themeColor="text1"/>
                <w:sz w:val="28"/>
                <w:szCs w:val="28"/>
                <w:u w:val="none"/>
                <w:lang w:val="en-US" w:eastAsia="zh-CN"/>
                <w14:textFill>
                  <w14:solidFill>
                    <w14:schemeClr w14:val="tx1"/>
                  </w14:solidFill>
                </w14:textFill>
              </w:rPr>
              <w:suppressLineNumbers w:val="0"/>
            </w:pPr>
            <w:r>
              <w:rPr>
                <w:rFonts w:hint="eastAsia" w:ascii="Times New Roman" w:eastAsia="宋体"/>
                <w:lang w:val="en-US" w:eastAsia="zh-CN"/>
              </w:rPr>
              <w:t xml:space="preserve">常州市金坛区第二人民医院血液透析信息系统采购项目</w:t>
            </w:r>
            <w:r/>
          </w:p>
        </w:tc>
        <w:tc>
          <w:tcPr>
            <w:tcW w:w="911"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cs="宋体"/>
          <w:b/>
          <w:bCs/>
          <w:color w:val="1d41d5"/>
          <w:spacing w:val="8"/>
          <w:sz w:val="28"/>
          <w:szCs w:val="28"/>
          <w:u w:val="single"/>
        </w:rPr>
        <w:t xml:space="preserve">合同签订之日起3个月内完成该系统建设后并通过验收，自采购人通过验收之日起免费维保期1年。</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106"/>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106"/>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106"/>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28359084"/>
      <w:r/>
      <w:bookmarkStart w:id="17" w:name="_Toc35393794"/>
      <w:r/>
      <w:bookmarkStart w:id="18" w:name="_Toc35393625"/>
      <w:r/>
      <w:bookmarkStart w:id="19" w:name="_Toc28359007"/>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08</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07</w:t>
      </w:r>
      <w:bookmarkStart w:id="54" w:name="_GoBack"/>
      <w:r/>
      <w:bookmarkEnd w:id="54"/>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106"/>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106"/>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106"/>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zh-TW" w:eastAsia="zh-CN"/>
        </w:rPr>
        <w:t xml:space="preserve">金坛区第二人民医院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吕先生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13961179737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常州市金坛区汇贤中路1006号</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left="0"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1131"/>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31"/>
          <w:rFonts w:hint="eastAsia" w:ascii="宋体" w:hAnsi="宋体" w:eastAsia="宋体" w:cs="宋体"/>
          <w:sz w:val="28"/>
          <w:szCs w:val="28"/>
        </w:rPr>
      </w:pPr>
      <w:r/>
      <w:bookmarkStart w:id="21" w:name="_Toc29535"/>
      <w:r/>
      <w:bookmarkStart w:id="22" w:name="_Toc7653"/>
      <w:r/>
      <w:bookmarkStart w:id="23" w:name="_Toc2993"/>
      <w:r/>
      <w:bookmarkStart w:id="24" w:name="_Toc11125"/>
      <w:r/>
      <w:bookmarkStart w:id="25" w:name="_Toc16227"/>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pStyle w:val="1105"/>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Style w:val="1131"/>
          <w:rFonts w:hint="eastAsia" w:ascii="宋体" w:hAnsi="宋体" w:eastAsia="宋体" w:cs="宋体"/>
          <w:sz w:val="28"/>
          <w:szCs w:val="28"/>
        </w:rPr>
      </w:r>
      <w:r>
        <w:rPr>
          <w:rStyle w:val="1131"/>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31"/>
          <w:rFonts w:hint="eastAsia" w:ascii="宋体" w:hAnsi="宋体" w:eastAsia="宋体" w:cs="宋体"/>
          <w:sz w:val="28"/>
          <w:szCs w:val="28"/>
        </w:rPr>
      </w:pPr>
      <w:r>
        <w:rPr>
          <w:rFonts w:hint="eastAsia" w:ascii="宋体" w:hAnsi="宋体" w:eastAsia="宋体" w:cs="宋体"/>
          <w:sz w:val="28"/>
          <w:szCs w:val="28"/>
        </w:rPr>
      </w:r>
      <w:r/>
    </w:p>
    <w:p>
      <w:pPr>
        <w:pStyle w:val="1106"/>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09"/>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w:t>
            </w:r>
            <w:r>
              <w:rPr>
                <w:rFonts w:hint="eastAsia" w:ascii="宋体" w:hAnsi="宋体" w:eastAsia="宋体" w:cs="宋体"/>
                <w:b/>
                <w:bCs/>
                <w:color w:val="1d41d5"/>
                <w:spacing w:val="8"/>
                <w:sz w:val="28"/>
                <w:szCs w:val="28"/>
                <w:u w:val="single"/>
                <w:lang w:val="zh-TW" w:eastAsia="zh-CN"/>
              </w:rPr>
              <w:t xml:space="preserve">金坛区第二人民医院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35</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23</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23</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22"/>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22"/>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22"/>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22"/>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bidi="ar-SA"/>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157"/>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106"/>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06"/>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106"/>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ind w:firstLine="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106"/>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106"/>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106"/>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rPr>
          <w:rFonts w:hint="eastAsia" w:ascii="宋体" w:hAnsi="宋体" w:eastAsia="宋体" w:cs="宋体"/>
          <w:sz w:val="28"/>
          <w:szCs w:val="28"/>
          <w:lang w:val="en-US" w:eastAsia="zh-CN"/>
        </w:rPr>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rPr>
          <w:rFonts w:hint="eastAsia" w:ascii="宋体" w:hAnsi="宋体" w:eastAsia="宋体" w:cs="宋体"/>
          <w:sz w:val="28"/>
          <w:szCs w:val="28"/>
          <w:lang w:val="en-US" w:eastAsia="zh-CN"/>
        </w:rPr>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32"/>
          <w:rFonts w:hint="eastAsia"/>
          <w:lang w:val="en-US" w:eastAsia="zh-CN"/>
        </w:rPr>
      </w:pPr>
      <w:r>
        <w:rPr>
          <w:rStyle w:val="1132"/>
          <w:rFonts w:hint="eastAsia"/>
          <w:lang w:val="en-US" w:eastAsia="zh-CN"/>
        </w:rPr>
        <w:br w:type="page" w:clear="all"/>
      </w:r>
      <w:r/>
    </w:p>
    <w:p>
      <w:pPr>
        <w:ind w:left="0" w:firstLine="3935"/>
        <w:jc w:val="both"/>
        <w:keepLines w:val="0"/>
        <w:keepNext w:val="0"/>
        <w:pageBreakBefore w:val="0"/>
        <w:spacing w:line="360" w:lineRule="auto"/>
        <w:widowControl w:val="off"/>
        <w:rPr>
          <w:rStyle w:val="1132"/>
          <w:rFonts w:hint="eastAsia"/>
          <w:lang w:val="en-US" w:eastAsia="zh-CN"/>
        </w:rPr>
        <w:outlineLvl w:val="9"/>
      </w:pPr>
      <w:r>
        <w:rPr>
          <w:rStyle w:val="1132"/>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5"/>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6"/>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106"/>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109"/>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15648"/>
      <w:r/>
      <w:bookmarkStart w:id="27" w:name="_Toc18937"/>
      <w:r/>
      <w:bookmarkStart w:id="28" w:name="_Toc19240"/>
      <w:r/>
      <w:bookmarkStart w:id="29" w:name="_Toc6649"/>
      <w:r/>
      <w:bookmarkStart w:id="30" w:name="_Toc7340"/>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5"/>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6"/>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106"/>
        <w:spacing w:line="240" w:lineRule="auto"/>
        <w:rPr>
          <w:rFonts w:hint="eastAsia"/>
          <w:lang w:val="en-US" w:eastAsia="zh-CN"/>
        </w:rPr>
      </w:pPr>
      <w:r>
        <w:rPr>
          <w:rFonts w:hint="eastAsia"/>
          <w:lang w:val="en-US" w:eastAsia="zh-CN"/>
        </w:rPr>
        <w:t xml:space="preserve">第二节  符合性审查要求</w:t>
      </w:r>
      <w:r/>
    </w:p>
    <w:tbl>
      <w:tblPr>
        <w:tblStyle w:val="1109"/>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952"/>
        <w:gridCol w:w="2988"/>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4952"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9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lang w:val="en-US" w:eastAsia="zh-CN"/>
              </w:rPr>
              <w:t xml:space="preserve">14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1106"/>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22"/>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22"/>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22"/>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22"/>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22"/>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1122"/>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22"/>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22"/>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22"/>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1106"/>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106"/>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 </w:t>
      </w:r>
      <w:bookmarkEnd w:id="32"/>
      <w:r>
        <w:rPr>
          <w:rFonts w:hint="eastAsia" w:ascii="黑体" w:hAnsi="黑体" w:eastAsia="黑体" w:cs="Times New Roman"/>
          <w:sz w:val="28"/>
          <w:szCs w:val="28"/>
          <w:lang w:val="en-US" w:eastAsia="zh-CN"/>
        </w:rPr>
        <w:t xml:space="preserve"> 评标标准</w:t>
      </w:r>
      <w:r/>
    </w:p>
    <w:tbl>
      <w:tblPr>
        <w:tblStyle w:val="1109"/>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9"/>
        <w:gridCol w:w="1348"/>
        <w:gridCol w:w="4920"/>
        <w:gridCol w:w="810"/>
        <w:gridCol w:w="675"/>
        <w:gridCol w:w="781"/>
        <w:gridCol w:w="681"/>
      </w:tblGrid>
      <w:tr>
        <w:trPr>
          <w:jc w:val="center"/>
        </w:trPr>
        <w:tc>
          <w:tcPr>
            <w:tcW w:w="639"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序号</w:t>
            </w:r>
            <w:r/>
          </w:p>
        </w:tc>
        <w:tc>
          <w:tcPr>
            <w:tcMar>
              <w:left w:w="108" w:type="dxa"/>
              <w:top w:w="0" w:type="dxa"/>
              <w:right w:w="108" w:type="dxa"/>
              <w:bottom w:w="0" w:type="dxa"/>
            </w:tcMar>
            <w:tcW w:w="1348"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评分因素</w:t>
            </w:r>
            <w:r/>
          </w:p>
        </w:tc>
        <w:tc>
          <w:tcPr>
            <w:tcMar>
              <w:left w:w="108" w:type="dxa"/>
              <w:top w:w="0" w:type="dxa"/>
              <w:right w:w="108" w:type="dxa"/>
              <w:bottom w:w="0" w:type="dxa"/>
            </w:tcMar>
            <w:tcW w:w="4920"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评分标准和评审材料</w:t>
            </w:r>
            <w:r/>
          </w:p>
        </w:tc>
        <w:tc>
          <w:tcPr>
            <w:tcMar>
              <w:left w:w="108" w:type="dxa"/>
              <w:top w:w="0" w:type="dxa"/>
              <w:right w:w="108" w:type="dxa"/>
              <w:bottom w:w="0" w:type="dxa"/>
            </w:tcMar>
            <w:tcW w:w="810" w:type="dxa"/>
            <w:vAlign w:val="center"/>
            <w:textDirection w:val="lrTb"/>
            <w:noWrap w:val="false"/>
          </w:tcPr>
          <w:p>
            <w:pPr>
              <w:ind w:firstLine="0"/>
              <w:jc w:val="center"/>
              <w:keepLines/>
              <w:keepNext/>
              <w:spacing w:line="240" w:lineRule="auto"/>
              <w:rPr>
                <w:rFonts w:ascii="宋体" w:hAnsi="宋体" w:eastAsia="宋体" w:cs="宋体"/>
                <w:b/>
                <w:szCs w:val="28"/>
              </w:rPr>
            </w:pPr>
            <w:r>
              <w:rPr>
                <w:rFonts w:hint="eastAsia" w:ascii="宋体" w:hAnsi="宋体" w:eastAsia="宋体" w:cs="宋体"/>
                <w:b/>
                <w:szCs w:val="28"/>
              </w:rPr>
              <w:t xml:space="preserve">最低分值</w:t>
            </w:r>
            <w:r/>
          </w:p>
        </w:tc>
        <w:tc>
          <w:tcPr>
            <w:tcW w:w="675" w:type="dxa"/>
            <w:vAlign w:val="center"/>
            <w:textDirection w:val="lrTb"/>
            <w:noWrap w:val="false"/>
          </w:tcPr>
          <w:p>
            <w:pPr>
              <w:ind w:firstLine="0"/>
              <w:jc w:val="center"/>
              <w:keepLines/>
              <w:keepNext/>
              <w:spacing w:line="240" w:lineRule="auto"/>
              <w:rPr>
                <w:rFonts w:ascii="宋体" w:hAnsi="宋体" w:eastAsia="宋体" w:cs="宋体"/>
                <w:b/>
                <w:szCs w:val="28"/>
              </w:rPr>
            </w:pPr>
            <w:r>
              <w:rPr>
                <w:rFonts w:hint="eastAsia" w:ascii="宋体" w:hAnsi="宋体" w:eastAsia="宋体" w:cs="宋体"/>
                <w:b/>
                <w:szCs w:val="28"/>
              </w:rPr>
              <w:t xml:space="preserve">最高分值</w:t>
            </w:r>
            <w:r/>
          </w:p>
        </w:tc>
        <w:tc>
          <w:tcPr>
            <w:tcW w:w="0" w:type="auto"/>
            <w:vAlign w:val="center"/>
            <w:textDirection w:val="lrTb"/>
            <w:noWrap w:val="false"/>
          </w:tcPr>
          <w:p>
            <w:pPr>
              <w:ind w:firstLine="0"/>
              <w:jc w:val="center"/>
              <w:keepLines/>
              <w:keepNext/>
              <w:spacing w:line="240" w:lineRule="auto"/>
              <w:rPr>
                <w:rFonts w:ascii="宋体" w:hAnsi="宋体" w:eastAsia="宋体" w:cs="宋体"/>
                <w:b/>
                <w:szCs w:val="28"/>
              </w:rPr>
            </w:pPr>
            <w:r>
              <w:rPr>
                <w:rFonts w:hint="eastAsia" w:ascii="宋体" w:hAnsi="宋体" w:eastAsia="宋体" w:cs="宋体"/>
                <w:b/>
                <w:szCs w:val="28"/>
              </w:rPr>
              <w:t xml:space="preserve">是否暗标评审</w:t>
            </w:r>
            <w:r/>
          </w:p>
        </w:tc>
        <w:tc>
          <w:tcPr>
            <w:tcW w:w="681" w:type="dxa"/>
            <w:vAlign w:val="center"/>
            <w:textDirection w:val="lrTb"/>
            <w:noWrap w:val="false"/>
          </w:tcPr>
          <w:p>
            <w:pPr>
              <w:ind w:firstLine="0"/>
              <w:jc w:val="center"/>
              <w:keepLines/>
              <w:keepNext/>
              <w:spacing w:line="240" w:lineRule="auto"/>
              <w:rPr>
                <w:rFonts w:ascii="宋体" w:hAnsi="宋体" w:eastAsia="宋体" w:cs="宋体"/>
                <w:b/>
                <w:szCs w:val="28"/>
              </w:rPr>
            </w:pPr>
            <w:r>
              <w:rPr>
                <w:rFonts w:hint="eastAsia" w:ascii="宋体" w:hAnsi="宋体" w:eastAsia="宋体" w:cs="宋体"/>
                <w:b/>
                <w:szCs w:val="28"/>
              </w:rPr>
              <w:t xml:space="preserve">是否客观分</w:t>
            </w:r>
            <w:r/>
          </w:p>
        </w:tc>
      </w:tr>
      <w:tr>
        <w:trPr>
          <w:jc w:val="center"/>
        </w:trPr>
        <w:tc>
          <w:tcPr>
            <w:tcW w:w="639"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1</w:t>
            </w:r>
            <w:r/>
          </w:p>
        </w:tc>
        <w:tc>
          <w:tcPr>
            <w:tcMar>
              <w:left w:w="108" w:type="dxa"/>
              <w:top w:w="0" w:type="dxa"/>
              <w:right w:w="108" w:type="dxa"/>
              <w:bottom w:w="0" w:type="dxa"/>
            </w:tcMar>
            <w:tcW w:w="1348"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价格</w:t>
            </w:r>
            <w:r/>
          </w:p>
        </w:tc>
        <w:tc>
          <w:tcPr>
            <w:tcMar>
              <w:left w:w="108" w:type="dxa"/>
              <w:top w:w="0" w:type="dxa"/>
              <w:right w:w="108" w:type="dxa"/>
              <w:bottom w:w="0" w:type="dxa"/>
            </w:tcMar>
            <w:tcW w:w="4920" w:type="dxa"/>
            <w:vAlign w:val="center"/>
            <w:textDirection w:val="lrTb"/>
            <w:noWrap w:val="false"/>
          </w:tcPr>
          <w:p>
            <w:pPr>
              <w:ind w:firstLine="0"/>
              <w:jc w:val="left"/>
              <w:keepLines/>
              <w:keepNext/>
              <w:spacing w:line="240" w:lineRule="auto"/>
              <w:widowControl/>
              <w:rPr>
                <w:rFonts w:ascii="宋体" w:hAnsi="宋体" w:eastAsia="宋体" w:cs="宋体"/>
                <w:bCs/>
                <w:szCs w:val="28"/>
              </w:rPr>
            </w:pPr>
            <w:r>
              <w:rPr>
                <w:rFonts w:hint="eastAsia" w:ascii="宋体" w:hAnsi="宋体" w:eastAsia="宋体" w:cs="宋体"/>
                <w:szCs w:val="28"/>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810"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ascii="宋体" w:hAnsi="宋体" w:eastAsia="宋体" w:cs="宋体"/>
                <w:b/>
                <w:szCs w:val="28"/>
              </w:rPr>
            </w:r>
            <w:r/>
          </w:p>
        </w:tc>
        <w:tc>
          <w:tcPr>
            <w:tcW w:w="681"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ascii="宋体" w:hAnsi="宋体" w:eastAsia="宋体" w:cs="宋体"/>
                <w:b/>
                <w:szCs w:val="28"/>
              </w:rPr>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rPr>
                <w:rFonts w:ascii="宋体" w:hAnsi="宋体" w:eastAsia="宋体" w:cs="宋体"/>
                <w:b/>
                <w:szCs w:val="28"/>
              </w:rPr>
            </w:pPr>
            <w:r>
              <w:rPr>
                <w:rFonts w:hint="eastAsia" w:ascii="宋体" w:eastAsia="宋体" w:cs="Times New Roman"/>
                <w:b/>
                <w:bCs/>
                <w:color w:val="ff0000"/>
                <w:szCs w:val="28"/>
              </w:rPr>
              <w:t xml:space="preserve">技术部分（主观分）</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rPr>
                <w:rFonts w:ascii="宋体" w:hAnsi="宋体" w:eastAsia="宋体" w:cs="宋体"/>
                <w:bCs/>
                <w:szCs w:val="28"/>
              </w:rPr>
            </w:pPr>
            <w:r>
              <w:rPr>
                <w:rFonts w:ascii="宋体" w:hAnsi="宋体" w:eastAsia="宋体" w:cs="宋体"/>
                <w:bCs/>
                <w:szCs w:val="28"/>
              </w:rPr>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40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2.1</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项目理解及需求分析</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（一）评分内容：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投标人对本项目的理解及需求分析，包含但不限于以下内容：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（1）项目背景分析；</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（2）对需求的理解；</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（3）对招标文件技术需求的功能说明。</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（二）评审依据：</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1.考察以上内容,每满足任意一项内容得20%，最高得60%。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2.在上述基础上，专家根据各投标人的具体响应内容按照量化的评审因素指标进一步评审。</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（1）方案总体设计科学合理对招标要求应答完整、清晰、有针对性的，评审为优加40%；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（2）方案总体设计较合理的，评审为良加20%；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（3）方案总体设计一般的，评审为中加10%；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（4）方案总体设计不完整的，评审为差不加分。</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（5）不提供不得分。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2.2</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实施方案</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（一）评分内容：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投标人具有成熟可靠的项目实施方案、并具有必要的质量管理措施，能保证项目正常稳定实施并保证产品稳定运行，包含但不限于以下内容：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（1）项目管理方案；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（2）人员部署方案；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（3）系统运行方案；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（4）验收方案。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（二）评审依据：</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1.考察以上内容,每满足任意一项内容得20%，最高得80%。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2.在上述基础上，专家根据各投标人的具体响应内容按照量化的评审因素指标进一步评审。</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（1）方案完整详细，科学合理、贴合实际，针对性强的，评审为优加20%；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（2）方案较完整，较科学合理、贴合实际，针对性较强的，评审为良加10%；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（3）方案简单、科学合理性一般，针对性一般的，评审为中加5%；</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（4）方案总体设计不完整的，评审为差不加分。</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（5）不提供不得分。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2.3</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售后服务方案</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（一）评分内容：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投标人针对本项目提供详细的售后服务方案，包含但不限于以下内容：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（1）运维服务方案；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（2）应急响应方案；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（3）保障方案。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（二）评审依据：</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1.考察以上内容,每满足任意一项内容得20%，最高得60%。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2.在上述基础上，专家根据各投标人的具体响应内容按照量化的评审因素指标进一步评审。</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（1）方案整体全面、完整的，评审为优加40%；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（2）方案较为全面、完整的，评审为良加20%；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（3）方案不够详细，较为粗略的，评审为中加10%；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（4）方案总体设计不完整的，评审为差不加分。</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（5）不提供不得分。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2.4</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培训方案</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（一）评分内容：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投标人针对本项目提供详细的培训方案，包含但不限于以下内容：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（1）培训内容；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（2）培训时间、地点安排；</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（3）培训目标、培训人数、和培训方法。</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（二）评审依据：</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1.考察以上内容,每满足任意一项内容得20%，最高得60%。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2.在上述基础上，专家根据各投标人的具体响应内容按照量化的评审因素指标进一步评审。</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（1）方案内容完整，可行性强、思路清晰、有重难点、结合实际分析表述详尽，评审为优加40%;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（2）方案内容较完整，可行性较强、思路较清晰、有重难点、结合实际分析表述较详尽，评审为良加20%;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（3）方案内容一般，思路一般，可行性一般，评审为中加10%;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（4）方案内容不完整，思路不清晰，无可行性，评审为差不加分;</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（5）未提供的不得分。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3</w:t>
            </w:r>
            <w:r/>
          </w:p>
        </w:tc>
        <w:tc>
          <w:tcPr>
            <w:tcMar>
              <w:left w:w="108" w:type="dxa"/>
              <w:top w:w="0" w:type="dxa"/>
              <w:right w:w="108" w:type="dxa"/>
              <w:bottom w:w="0" w:type="dxa"/>
            </w:tcMar>
            <w:tcW w:w="1348" w:type="dxa"/>
            <w:vAlign w:val="center"/>
            <w:textDirection w:val="lrTb"/>
            <w:noWrap w:val="false"/>
          </w:tcPr>
          <w:p>
            <w:pPr>
              <w:ind w:firstLine="0"/>
              <w:jc w:val="left"/>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商务部分（客观分）</w:t>
            </w:r>
            <w:r/>
          </w:p>
        </w:tc>
        <w:tc>
          <w:tcPr>
            <w:tcMar>
              <w:left w:w="108" w:type="dxa"/>
              <w:top w:w="0" w:type="dxa"/>
              <w:right w:w="108" w:type="dxa"/>
              <w:bottom w:w="0" w:type="dxa"/>
            </w:tcMar>
            <w:tcW w:w="4920" w:type="dxa"/>
            <w:vAlign w:val="center"/>
            <w:textDirection w:val="lrTb"/>
            <w:noWrap w:val="false"/>
          </w:tcPr>
          <w:p>
            <w:pPr>
              <w:ind w:firstLine="0"/>
              <w:jc w:val="left"/>
              <w:keepLines/>
              <w:keepNext/>
              <w:spacing w:line="240" w:lineRule="auto"/>
              <w:widowControl/>
              <w:rPr>
                <w:rFonts w:ascii="宋体" w:hAnsi="宋体" w:eastAsia="宋体" w:cs="宋体"/>
                <w:bCs/>
                <w:szCs w:val="28"/>
              </w:rPr>
            </w:pPr>
            <w:r>
              <w:rPr>
                <w:rFonts w:ascii="宋体" w:hAnsi="宋体" w:eastAsia="宋体" w:cs="宋体"/>
                <w:bCs/>
                <w:szCs w:val="28"/>
              </w:rPr>
            </w:r>
            <w:r/>
          </w:p>
        </w:tc>
        <w:tc>
          <w:tcPr>
            <w:tcMar>
              <w:left w:w="108" w:type="dxa"/>
              <w:top w:w="0" w:type="dxa"/>
              <w:right w:w="108" w:type="dxa"/>
              <w:bottom w:w="0" w:type="dxa"/>
            </w:tcMar>
            <w:tcW w:w="810"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50</w:t>
            </w:r>
            <w:r/>
          </w:p>
        </w:tc>
        <w:tc>
          <w:tcPr>
            <w:tcW w:w="0" w:type="auto"/>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3.1</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color w:val="000000"/>
                <w:spacing w:val="8"/>
                <w:szCs w:val="28"/>
              </w:rPr>
              <w:t xml:space="preserve">项目负责人</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投标人拟派驻本项目的项目负责人（限评1人，不得兼职）具有：</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1.</w:t>
            </w:r>
            <w:r>
              <w:rPr>
                <w:rFonts w:hint="eastAsia" w:ascii="宋体" w:hAnsi="宋体" w:eastAsia="宋体" w:cs="宋体"/>
                <w:b w:val="0"/>
                <w:bCs/>
                <w:color w:val="000000"/>
                <w:spacing w:val="8"/>
                <w:szCs w:val="28"/>
              </w:rPr>
              <w:t xml:space="preserve">系统规划与管理师证书得2分；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2.</w:t>
            </w:r>
            <w:r>
              <w:rPr>
                <w:rFonts w:hint="eastAsia" w:ascii="宋体" w:hAnsi="宋体" w:eastAsia="宋体" w:cs="宋体"/>
                <w:b w:val="0"/>
                <w:bCs/>
                <w:color w:val="000000"/>
                <w:spacing w:val="8"/>
                <w:szCs w:val="28"/>
              </w:rPr>
              <w:t xml:space="preserve">软件工程师证书得2分；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3.</w:t>
            </w:r>
            <w:r>
              <w:rPr>
                <w:rFonts w:hint="eastAsia" w:ascii="宋体" w:hAnsi="宋体" w:eastAsia="宋体" w:cs="宋体"/>
                <w:b w:val="0"/>
                <w:bCs/>
                <w:color w:val="000000"/>
                <w:spacing w:val="8"/>
                <w:szCs w:val="28"/>
              </w:rPr>
              <w:t xml:space="preserve">信息系统项目管理师证书得2分；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4.</w:t>
            </w:r>
            <w:r>
              <w:rPr>
                <w:rFonts w:hint="eastAsia" w:ascii="宋体" w:hAnsi="宋体" w:eastAsia="宋体" w:cs="宋体"/>
                <w:b w:val="0"/>
                <w:bCs/>
                <w:color w:val="000000"/>
                <w:spacing w:val="8"/>
                <w:szCs w:val="28"/>
              </w:rPr>
              <w:t xml:space="preserve">IT服务项目经理得2份。</w:t>
            </w:r>
            <w:r/>
          </w:p>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val="0"/>
                <w:bCs/>
                <w:color w:val="000000"/>
                <w:spacing w:val="8"/>
                <w:szCs w:val="28"/>
              </w:rPr>
              <w:t xml:space="preserve">本大项最高8分。</w:t>
            </w:r>
            <w:r/>
          </w:p>
          <w:p>
            <w:pPr>
              <w:ind w:firstLine="0"/>
              <w:jc w:val="left"/>
              <w:spacing w:line="240" w:lineRule="auto"/>
              <w:widowControl/>
              <w:rPr>
                <w:rFonts w:ascii="宋体" w:hAnsi="宋体" w:eastAsia="宋体" w:cs="宋体"/>
                <w:b/>
                <w:color w:val="ff0000"/>
                <w:spacing w:val="8"/>
                <w:szCs w:val="28"/>
              </w:rPr>
            </w:pPr>
            <w:r>
              <w:rPr>
                <w:rFonts w:hint="eastAsia" w:ascii="宋体" w:hAnsi="宋体" w:eastAsia="宋体" w:cs="宋体"/>
                <w:b/>
                <w:color w:val="ff0000"/>
                <w:spacing w:val="8"/>
                <w:szCs w:val="28"/>
              </w:rPr>
              <w:t xml:space="preserve">注：</w:t>
            </w:r>
            <w:r>
              <w:rPr>
                <w:rFonts w:ascii="宋体" w:hAnsi="宋体" w:eastAsia="宋体" w:cs="宋体"/>
                <w:b/>
                <w:color w:val="ff0000"/>
                <w:spacing w:val="8"/>
                <w:szCs w:val="28"/>
              </w:rPr>
              <w:t xml:space="preserve">1.提供</w:t>
            </w:r>
            <w:r>
              <w:rPr>
                <w:rFonts w:hint="eastAsia" w:ascii="宋体" w:hAnsi="宋体" w:eastAsia="宋体" w:cs="宋体"/>
                <w:b/>
                <w:color w:val="ff0000"/>
                <w:spacing w:val="8"/>
                <w:szCs w:val="28"/>
              </w:rPr>
              <w:t xml:space="preserve">相关证书材料；</w:t>
            </w:r>
            <w:r/>
          </w:p>
          <w:p>
            <w:pPr>
              <w:ind w:firstLine="594"/>
              <w:jc w:val="left"/>
              <w:spacing w:line="240" w:lineRule="auto"/>
              <w:widowControl/>
              <w:rPr>
                <w:rFonts w:ascii="宋体" w:hAnsi="宋体" w:eastAsia="宋体" w:cs="宋体"/>
                <w:b/>
                <w:color w:val="ff0000"/>
                <w:spacing w:val="8"/>
                <w:szCs w:val="28"/>
              </w:rPr>
            </w:pPr>
            <w:r>
              <w:rPr>
                <w:rFonts w:hint="eastAsia" w:ascii="宋体" w:hAnsi="宋体" w:eastAsia="宋体" w:cs="宋体"/>
                <w:b/>
                <w:color w:val="ff0000"/>
                <w:spacing w:val="8"/>
                <w:szCs w:val="28"/>
              </w:rPr>
              <w:t xml:space="preserve">2</w:t>
            </w:r>
            <w:r>
              <w:rPr>
                <w:rFonts w:ascii="宋体" w:hAnsi="宋体" w:eastAsia="宋体" w:cs="宋体"/>
                <w:b/>
                <w:color w:val="ff0000"/>
                <w:spacing w:val="8"/>
                <w:szCs w:val="28"/>
              </w:rPr>
              <w:t xml:space="preserve">.提供</w:t>
            </w:r>
            <w:r>
              <w:rPr>
                <w:rFonts w:hint="eastAsia" w:ascii="宋体" w:hAnsi="宋体" w:eastAsia="宋体" w:cs="宋体"/>
                <w:b/>
                <w:color w:val="ff0000"/>
                <w:spacing w:val="8"/>
                <w:szCs w:val="28"/>
              </w:rPr>
              <w:t xml:space="preserve">投标人</w:t>
            </w:r>
            <w:r>
              <w:rPr>
                <w:rFonts w:ascii="宋体" w:hAnsi="宋体" w:eastAsia="宋体" w:cs="宋体"/>
                <w:b/>
                <w:color w:val="ff0000"/>
                <w:spacing w:val="8"/>
                <w:szCs w:val="28"/>
              </w:rPr>
              <w:t xml:space="preserve">为其缴纳的近半年（响应文件提交截止时间往前推）任意一个月的社保缴纳证明材料；</w:t>
            </w:r>
            <w:r/>
          </w:p>
          <w:p>
            <w:pPr>
              <w:ind w:firstLine="0"/>
              <w:jc w:val="left"/>
              <w:spacing w:line="240" w:lineRule="auto"/>
              <w:widowControl/>
              <w:rPr>
                <w:rFonts w:ascii="宋体" w:hAnsi="宋体" w:eastAsia="宋体" w:cs="宋体"/>
                <w:bCs/>
                <w:szCs w:val="28"/>
              </w:rPr>
            </w:pPr>
            <w:r>
              <w:rPr>
                <w:rFonts w:ascii="宋体" w:hAnsi="宋体" w:eastAsia="宋体" w:cs="宋体"/>
                <w:b/>
                <w:color w:val="ff0000"/>
                <w:spacing w:val="8"/>
                <w:szCs w:val="28"/>
              </w:rPr>
              <w:t xml:space="preserve"> </w:t>
            </w:r>
            <w:r>
              <w:rPr>
                <w:rFonts w:hint="eastAsia" w:ascii="宋体" w:hAnsi="宋体" w:eastAsia="宋体" w:cs="宋体"/>
                <w:b/>
                <w:color w:val="ff0000"/>
                <w:spacing w:val="8"/>
                <w:szCs w:val="28"/>
              </w:rPr>
              <w:t xml:space="preserve">   3</w:t>
            </w:r>
            <w:r>
              <w:rPr>
                <w:rFonts w:ascii="宋体" w:hAnsi="宋体" w:eastAsia="宋体" w:cs="宋体"/>
                <w:b/>
                <w:color w:val="ff0000"/>
                <w:spacing w:val="8"/>
                <w:szCs w:val="28"/>
              </w:rPr>
              <w:t xml:space="preserve">.未按要求提供或提供不清晰导致专家无法判断的不得分。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8</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3.2</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color w:val="000000"/>
                <w:spacing w:val="8"/>
                <w:szCs w:val="28"/>
              </w:rPr>
              <w:t xml:space="preserve">技术负责人</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投标人拟派驻本项目的技术负责人（限评1人，不得兼职）具有：</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1.</w:t>
            </w:r>
            <w:r>
              <w:rPr>
                <w:rFonts w:hint="eastAsia" w:ascii="宋体" w:hAnsi="宋体" w:eastAsia="宋体" w:cs="宋体"/>
                <w:b w:val="0"/>
                <w:bCs/>
                <w:color w:val="000000"/>
                <w:spacing w:val="8"/>
                <w:szCs w:val="28"/>
              </w:rPr>
              <w:t xml:space="preserve">系统架构设计师得2分；</w:t>
            </w:r>
            <w:r/>
          </w:p>
          <w:p>
            <w:pPr>
              <w:ind w:firstLine="0"/>
              <w:jc w:val="left"/>
              <w:spacing w:line="240" w:lineRule="auto"/>
              <w:widowControl/>
              <w:rPr>
                <w:rFonts w:hint="eastAsia" w:ascii="宋体" w:hAnsi="宋体" w:eastAsia="宋体" w:cs="宋体"/>
                <w:b w:val="0"/>
                <w:bCs/>
                <w:color w:val="000000"/>
                <w:spacing w:val="8"/>
                <w:szCs w:val="28"/>
                <w:lang w:eastAsia="zh-CN"/>
              </w:rPr>
            </w:pPr>
            <w:r>
              <w:rPr>
                <w:rFonts w:hint="eastAsia" w:ascii="宋体" w:hAnsi="宋体" w:eastAsia="宋体" w:cs="宋体"/>
                <w:b w:val="0"/>
                <w:bCs/>
                <w:color w:val="000000"/>
                <w:spacing w:val="8"/>
                <w:szCs w:val="28"/>
                <w:lang w:val="en-US" w:eastAsia="zh-CN"/>
              </w:rPr>
              <w:t xml:space="preserve">2.</w:t>
            </w:r>
            <w:r>
              <w:rPr>
                <w:rFonts w:hint="eastAsia" w:ascii="宋体" w:hAnsi="宋体" w:eastAsia="宋体" w:cs="宋体"/>
                <w:b w:val="0"/>
                <w:bCs/>
                <w:color w:val="000000"/>
                <w:spacing w:val="8"/>
                <w:szCs w:val="28"/>
              </w:rPr>
              <w:t xml:space="preserve">系统规划与管理师得2分</w:t>
            </w:r>
            <w:r>
              <w:rPr>
                <w:rFonts w:hint="eastAsia" w:ascii="宋体" w:hAnsi="宋体" w:eastAsia="宋体" w:cs="宋体"/>
                <w:b w:val="0"/>
                <w:bCs/>
                <w:color w:val="000000"/>
                <w:spacing w:val="8"/>
                <w:szCs w:val="28"/>
                <w:lang w:eastAsia="zh-CN"/>
              </w:rPr>
              <w:t xml:space="preserve">；</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3.</w:t>
            </w:r>
            <w:r>
              <w:rPr>
                <w:rFonts w:hint="eastAsia" w:ascii="宋体" w:hAnsi="宋体" w:eastAsia="宋体" w:cs="宋体"/>
                <w:b w:val="0"/>
                <w:bCs/>
                <w:color w:val="000000"/>
                <w:spacing w:val="8"/>
                <w:szCs w:val="28"/>
              </w:rPr>
              <w:t xml:space="preserve">信息安全保障人员认证证书（安全运维）的得2分；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4.</w:t>
            </w:r>
            <w:r>
              <w:rPr>
                <w:rFonts w:hint="eastAsia" w:ascii="宋体" w:hAnsi="宋体" w:eastAsia="宋体" w:cs="宋体"/>
                <w:b w:val="0"/>
                <w:bCs/>
                <w:color w:val="000000"/>
                <w:spacing w:val="8"/>
                <w:szCs w:val="28"/>
              </w:rPr>
              <w:t xml:space="preserve">信息安全保障人员认证证书（风险管理）的得2分；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rPr>
              <w:t xml:space="preserve">本大项最高得8分。</w:t>
            </w:r>
            <w:r/>
          </w:p>
          <w:p>
            <w:pPr>
              <w:ind w:left="0" w:firstLine="0"/>
              <w:jc w:val="left"/>
              <w:spacing w:line="240" w:lineRule="auto"/>
              <w:widowControl w:val="off"/>
              <w:rPr>
                <w:rFonts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注：</w:t>
            </w:r>
            <w:r>
              <w:rPr>
                <w:rFonts w:ascii="宋体" w:hAnsi="宋体" w:eastAsia="宋体" w:cs="宋体"/>
                <w:b/>
                <w:bCs/>
                <w:color w:val="ff0000"/>
                <w:sz w:val="28"/>
                <w:szCs w:val="28"/>
                <w:lang w:val="en-US" w:eastAsia="zh-CN" w:bidi="ar-SA"/>
              </w:rPr>
              <w:t xml:space="preserve">1.提供</w:t>
            </w:r>
            <w:r>
              <w:rPr>
                <w:rFonts w:hint="eastAsia" w:ascii="宋体" w:hAnsi="宋体" w:eastAsia="宋体" w:cs="宋体"/>
                <w:b/>
                <w:bCs/>
                <w:color w:val="ff0000"/>
                <w:sz w:val="28"/>
                <w:szCs w:val="28"/>
                <w:lang w:val="en-US" w:eastAsia="zh-CN" w:bidi="ar-SA"/>
              </w:rPr>
              <w:t xml:space="preserve">相关证书材料；</w:t>
            </w:r>
            <w:r/>
          </w:p>
          <w:p>
            <w:pPr>
              <w:ind w:firstLine="562"/>
              <w:jc w:val="left"/>
              <w:spacing w:line="240" w:lineRule="auto"/>
              <w:rPr>
                <w:rFonts w:ascii="宋体" w:hAnsi="宋体" w:eastAsia="宋体" w:cs="宋体"/>
                <w:b/>
                <w:bCs/>
                <w:color w:val="ff0000"/>
                <w:szCs w:val="28"/>
              </w:rPr>
            </w:pPr>
            <w:r>
              <w:rPr>
                <w:rFonts w:hint="eastAsia" w:ascii="宋体" w:hAnsi="宋体" w:eastAsia="宋体" w:cs="宋体"/>
                <w:b/>
                <w:bCs/>
                <w:color w:val="ff0000"/>
                <w:szCs w:val="28"/>
              </w:rPr>
              <w:t xml:space="preserve">2</w:t>
            </w:r>
            <w:r>
              <w:rPr>
                <w:rFonts w:ascii="宋体" w:hAnsi="宋体" w:eastAsia="宋体" w:cs="宋体"/>
                <w:b/>
                <w:bCs/>
                <w:color w:val="ff0000"/>
                <w:szCs w:val="28"/>
              </w:rPr>
              <w:t xml:space="preserve">.提供</w:t>
            </w:r>
            <w:r>
              <w:rPr>
                <w:rFonts w:hint="eastAsia" w:ascii="宋体" w:hAnsi="宋体" w:eastAsia="宋体" w:cs="宋体"/>
                <w:b/>
                <w:bCs/>
                <w:color w:val="ff0000"/>
                <w:szCs w:val="28"/>
              </w:rPr>
              <w:t xml:space="preserve">响应</w:t>
            </w:r>
            <w:r>
              <w:rPr>
                <w:rFonts w:ascii="宋体" w:hAnsi="宋体" w:eastAsia="宋体" w:cs="宋体"/>
                <w:b/>
                <w:bCs/>
                <w:color w:val="ff0000"/>
                <w:szCs w:val="28"/>
              </w:rPr>
              <w:t xml:space="preserve">人为其缴纳的近半年（响应文件提交截止时间往前推）任意一个月的社保缴纳证明材料；</w:t>
            </w:r>
            <w:r/>
          </w:p>
          <w:p>
            <w:pPr>
              <w:ind w:firstLine="562"/>
              <w:jc w:val="left"/>
              <w:spacing w:line="240" w:lineRule="auto"/>
              <w:rPr>
                <w:rFonts w:ascii="宋体" w:hAnsi="宋体" w:eastAsia="宋体" w:cs="宋体"/>
                <w:b/>
                <w:bCs/>
                <w:szCs w:val="28"/>
              </w:rPr>
            </w:pPr>
            <w:r>
              <w:rPr>
                <w:rFonts w:hint="eastAsia" w:ascii="宋体" w:hAnsi="宋体" w:eastAsia="宋体" w:cs="宋体"/>
                <w:b/>
                <w:bCs/>
                <w:color w:val="ff0000"/>
                <w:szCs w:val="28"/>
              </w:rPr>
              <w:t xml:space="preserve">3</w:t>
            </w:r>
            <w:r>
              <w:rPr>
                <w:rFonts w:ascii="宋体" w:hAnsi="宋体" w:eastAsia="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8</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3.3</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网络安全负责人</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网络安全负责人（限评1人，不得兼职）具有：</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1.</w:t>
            </w:r>
            <w:r>
              <w:rPr>
                <w:rFonts w:hint="eastAsia" w:ascii="宋体" w:hAnsi="宋体" w:eastAsia="宋体" w:cs="宋体"/>
                <w:b w:val="0"/>
                <w:bCs/>
                <w:color w:val="000000"/>
                <w:spacing w:val="8"/>
                <w:szCs w:val="28"/>
              </w:rPr>
              <w:t xml:space="preserve">注册信息安全专业人员证书得2分；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2.</w:t>
            </w:r>
            <w:r>
              <w:rPr>
                <w:rFonts w:hint="eastAsia" w:ascii="宋体" w:hAnsi="宋体" w:eastAsia="宋体" w:cs="宋体"/>
                <w:b w:val="0"/>
                <w:bCs/>
                <w:color w:val="000000"/>
                <w:spacing w:val="8"/>
                <w:szCs w:val="28"/>
              </w:rPr>
              <w:t xml:space="preserve">信息安全保障人员认证证书（风险管理）得2分；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3.</w:t>
            </w:r>
            <w:r>
              <w:rPr>
                <w:rFonts w:hint="eastAsia" w:ascii="宋体" w:hAnsi="宋体" w:eastAsia="宋体" w:cs="宋体"/>
                <w:b w:val="0"/>
                <w:bCs/>
                <w:color w:val="000000"/>
                <w:spacing w:val="8"/>
                <w:szCs w:val="28"/>
              </w:rPr>
              <w:t xml:space="preserve">网络安全能力认证（网络安全技术I级）证书得2分；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4.</w:t>
            </w:r>
            <w:r>
              <w:rPr>
                <w:rFonts w:hint="eastAsia" w:ascii="宋体" w:hAnsi="宋体" w:eastAsia="宋体" w:cs="宋体"/>
                <w:b w:val="0"/>
                <w:bCs/>
                <w:color w:val="000000"/>
                <w:spacing w:val="8"/>
                <w:szCs w:val="28"/>
              </w:rPr>
              <w:t xml:space="preserve">数据安全官证书得2分；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rPr>
              <w:t xml:space="preserve">本大项最高得8分。</w:t>
            </w:r>
            <w:r/>
          </w:p>
          <w:p>
            <w:pPr>
              <w:ind w:left="0" w:firstLine="0"/>
              <w:jc w:val="left"/>
              <w:spacing w:line="240" w:lineRule="auto"/>
              <w:widowControl w:val="off"/>
              <w:rPr>
                <w:rFonts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注：1.提供相关证书材料；</w:t>
            </w:r>
            <w:r/>
          </w:p>
          <w:p>
            <w:pPr>
              <w:ind w:left="0" w:firstLine="0"/>
              <w:jc w:val="left"/>
              <w:spacing w:line="240" w:lineRule="auto"/>
              <w:widowControl w:val="off"/>
              <w:rPr>
                <w:rFonts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    2.提供响应人为其缴纳的近半年（响应文件提交截止时间往前推）任意一个月的社保缴纳证明材料；</w:t>
            </w:r>
            <w:r/>
          </w:p>
          <w:p>
            <w:pPr>
              <w:ind w:left="0" w:firstLine="0"/>
              <w:jc w:val="left"/>
              <w:spacing w:line="240" w:lineRule="auto"/>
              <w:widowControl w:val="off"/>
              <w:rPr>
                <w:rFonts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     3.未按要求提供或提供不清晰导致专家无法判断的不得分。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8</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3.4</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体系认证证书</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投标人具有国家认可且在有效期内的：</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cs="宋体"/>
                <w:b w:val="0"/>
                <w:bCs/>
                <w:color w:val="000000"/>
                <w:spacing w:val="8"/>
                <w:szCs w:val="28"/>
                <w:lang w:val="en-US" w:eastAsia="zh-CN"/>
              </w:rPr>
              <w:t xml:space="preserve">1.</w:t>
            </w:r>
            <w:r>
              <w:rPr>
                <w:rFonts w:hint="eastAsia" w:ascii="宋体" w:hAnsi="宋体" w:eastAsia="宋体" w:cs="宋体"/>
                <w:b w:val="0"/>
                <w:bCs/>
                <w:color w:val="000000"/>
                <w:spacing w:val="8"/>
                <w:szCs w:val="28"/>
              </w:rPr>
              <w:t xml:space="preserve">质量管理体系认证证书得4分；</w:t>
            </w:r>
            <w:r/>
          </w:p>
          <w:p>
            <w:pPr>
              <w:ind w:left="0" w:right="0" w:firstLine="0"/>
              <w:spacing w:before="0" w:after="0" w:line="420" w:lineRule="atLeast"/>
              <w:pBdr>
                <w:top w:val="none" w:color="000000" w:sz="4" w:space="0"/>
                <w:left w:val="none" w:color="000000" w:sz="4" w:space="0"/>
                <w:bottom w:val="none" w:color="000000" w:sz="4" w:space="0"/>
                <w:right w:val="none" w:color="000000" w:sz="4" w:space="0"/>
              </w:pBdr>
            </w:pPr>
            <w:r>
              <w:rPr>
                <w:rFonts w:hint="eastAsia" w:ascii="宋体" w:hAnsi="宋体" w:cs="宋体"/>
                <w:b w:val="0"/>
                <w:bCs/>
                <w:color w:val="000000"/>
                <w:spacing w:val="8"/>
                <w:szCs w:val="28"/>
                <w:lang w:val="en-US" w:eastAsia="zh-CN"/>
              </w:rPr>
              <w:t xml:space="preserve">2.</w:t>
            </w:r>
            <w:r>
              <w:rPr>
                <w:rFonts w:ascii="宋体" w:hAnsi="宋体" w:eastAsia="宋体" w:cs="宋体"/>
                <w:b w:val="0"/>
                <w:bCs/>
                <w:color w:val="000000"/>
                <w:spacing w:val="8"/>
                <w:szCs w:val="28"/>
              </w:rPr>
            </w:r>
            <w:r>
              <w:rPr>
                <w:rFonts w:ascii="SimSun" w:hAnsi="SimSun" w:eastAsia="SimSun" w:cs="SimSun"/>
                <w:color w:val="000000"/>
                <w:sz w:val="28"/>
              </w:rPr>
              <w:t xml:space="preserve">信息技术服务管理体系认证证书得4分；</w:t>
            </w:r>
            <w:r/>
            <w:r>
              <w:rPr>
                <w:rFonts w:hint="eastAsia" w:ascii="宋体" w:hAnsi="宋体" w:cs="宋体"/>
                <w:b w:val="0"/>
                <w:bCs/>
                <w:color w:val="000000"/>
                <w:spacing w:val="8"/>
                <w:szCs w:val="28"/>
                <w:lang w:val="en-US" w:eastAsia="zh-CN"/>
              </w:rPr>
            </w:r>
            <w:r/>
            <w:r/>
            <w:r>
              <w:rPr>
                <w:sz w:val="28"/>
              </w:rPr>
            </w:r>
          </w:p>
          <w:p>
            <w:pPr>
              <w:ind w:firstLine="0"/>
              <w:jc w:val="left"/>
              <w:spacing w:line="240" w:lineRule="auto"/>
              <w:rPr>
                <w:rFonts w:ascii="宋体" w:hAnsi="宋体" w:eastAsia="宋体" w:cs="宋体"/>
                <w:szCs w:val="28"/>
              </w:rPr>
            </w:pPr>
            <w:r>
              <w:rPr>
                <w:rFonts w:hint="eastAsia" w:ascii="宋体" w:hAnsi="宋体" w:eastAsia="宋体" w:cs="宋体"/>
                <w:szCs w:val="28"/>
                <w:lang w:val="en-US" w:eastAsia="zh-CN"/>
              </w:rPr>
              <w:t xml:space="preserve">3.</w:t>
            </w:r>
            <w:r>
              <w:rPr>
                <w:rFonts w:hint="eastAsia" w:ascii="宋体" w:hAnsi="宋体" w:eastAsia="宋体" w:cs="宋体"/>
                <w:szCs w:val="28"/>
              </w:rPr>
              <w:t xml:space="preserve">信息安全管理体系认证证书得4分；</w:t>
            </w:r>
            <w:r/>
          </w:p>
          <w:p>
            <w:pPr>
              <w:ind w:firstLine="0"/>
              <w:jc w:val="left"/>
              <w:spacing w:line="240" w:lineRule="auto"/>
              <w:rPr>
                <w:rFonts w:hint="eastAsia" w:ascii="宋体" w:hAnsi="宋体" w:eastAsia="宋体" w:cs="宋体"/>
                <w:szCs w:val="28"/>
                <w:lang w:eastAsia="zh-CN"/>
              </w:rPr>
            </w:pPr>
            <w:r>
              <w:rPr>
                <w:rFonts w:hint="eastAsia" w:ascii="宋体" w:hAnsi="宋体" w:eastAsia="宋体" w:cs="宋体"/>
                <w:szCs w:val="28"/>
                <w:lang w:val="en-US" w:eastAsia="zh-CN"/>
              </w:rPr>
              <w:t xml:space="preserve">4.</w:t>
            </w:r>
            <w:r>
              <w:rPr>
                <w:rFonts w:hint="eastAsia" w:ascii="宋体" w:hAnsi="宋体" w:eastAsia="宋体" w:cs="宋体"/>
                <w:szCs w:val="28"/>
              </w:rPr>
              <w:t xml:space="preserve">医疗器械质量管理体系认证证书得4分</w:t>
            </w:r>
            <w:r>
              <w:rPr>
                <w:rFonts w:hint="eastAsia" w:ascii="宋体" w:hAnsi="宋体" w:eastAsia="宋体" w:cs="宋体"/>
                <w:szCs w:val="28"/>
                <w:lang w:eastAsia="zh-CN"/>
              </w:rPr>
              <w:t xml:space="preserve">；</w:t>
            </w:r>
            <w:r/>
          </w:p>
          <w:p>
            <w:pPr>
              <w:ind w:firstLine="0"/>
              <w:jc w:val="left"/>
              <w:spacing w:line="240" w:lineRule="auto"/>
              <w:widowControl/>
              <w:rPr>
                <w:rFonts w:hint="eastAsia" w:ascii="宋体" w:hAnsi="宋体" w:eastAsia="宋体" w:cs="宋体"/>
                <w:b w:val="0"/>
                <w:bCs/>
                <w:color w:val="000000"/>
                <w:spacing w:val="8"/>
                <w:szCs w:val="28"/>
              </w:rPr>
            </w:pPr>
            <w:r>
              <w:rPr>
                <w:rFonts w:hint="eastAsia" w:ascii="宋体" w:hAnsi="宋体" w:eastAsia="宋体" w:cs="宋体"/>
                <w:b w:val="0"/>
                <w:bCs/>
                <w:color w:val="000000"/>
                <w:spacing w:val="8"/>
                <w:szCs w:val="28"/>
              </w:rPr>
              <w:t xml:space="preserve">本大项最高得</w:t>
            </w:r>
            <w:r>
              <w:rPr>
                <w:rFonts w:hint="eastAsia" w:ascii="宋体" w:hAnsi="宋体" w:cs="宋体"/>
                <w:b w:val="0"/>
                <w:bCs/>
                <w:color w:val="000000"/>
                <w:spacing w:val="8"/>
                <w:szCs w:val="28"/>
                <w:lang w:val="en-US" w:eastAsia="zh-CN"/>
              </w:rPr>
              <w:t xml:space="preserve">16</w:t>
            </w:r>
            <w:r>
              <w:rPr>
                <w:rFonts w:hint="eastAsia" w:ascii="宋体" w:hAnsi="宋体" w:eastAsia="宋体" w:cs="宋体"/>
                <w:b w:val="0"/>
                <w:bCs/>
                <w:color w:val="000000"/>
                <w:spacing w:val="8"/>
                <w:szCs w:val="28"/>
              </w:rPr>
              <w:t xml:space="preserve">分。</w:t>
            </w:r>
            <w:r/>
          </w:p>
          <w:p>
            <w:pPr>
              <w:ind w:firstLine="0"/>
              <w:jc w:val="left"/>
              <w:spacing w:line="240" w:lineRule="auto"/>
              <w:rPr>
                <w:rFonts w:ascii="宋体" w:hAnsi="宋体" w:eastAsia="宋体" w:cs="宋体"/>
                <w:b/>
                <w:bCs/>
                <w:color w:val="ff0000"/>
                <w:szCs w:val="28"/>
              </w:rPr>
            </w:pPr>
            <w:r>
              <w:rPr>
                <w:rFonts w:hint="eastAsia" w:ascii="宋体" w:hAnsi="宋体" w:eastAsia="宋体" w:cs="宋体"/>
                <w:b/>
                <w:bCs/>
                <w:color w:val="ff0000"/>
                <w:szCs w:val="28"/>
              </w:rPr>
              <w:t xml:space="preserve">注：1.提供证书材料；</w:t>
            </w:r>
            <w:r/>
          </w:p>
          <w:p>
            <w:pPr>
              <w:ind w:firstLine="0"/>
              <w:jc w:val="left"/>
              <w:spacing w:line="240" w:lineRule="auto"/>
              <w:rPr>
                <w:rFonts w:ascii="宋体" w:hAnsi="宋体" w:eastAsia="宋体" w:cs="宋体"/>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Cs w:val="28"/>
              </w:rPr>
              <w:t xml:space="preserve">    2.</w:t>
            </w:r>
            <w:r>
              <w:rPr>
                <w:rFonts w:ascii="宋体" w:hAnsi="宋体" w:eastAsia="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16</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3.5</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投标人业绩</w:t>
            </w:r>
            <w:r/>
          </w:p>
        </w:tc>
        <w:tc>
          <w:tcPr>
            <w:tcMar>
              <w:left w:w="108" w:type="dxa"/>
              <w:top w:w="0" w:type="dxa"/>
              <w:right w:w="108" w:type="dxa"/>
              <w:bottom w:w="0" w:type="dxa"/>
            </w:tcMar>
            <w:tcW w:w="4920" w:type="dxa"/>
            <w:vAlign w:val="center"/>
            <w:textDirection w:val="lrTb"/>
            <w:noWrap w:val="false"/>
          </w:tcPr>
          <w:p>
            <w:pPr>
              <w:ind w:left="0" w:firstLine="0"/>
              <w:jc w:val="left"/>
              <w:spacing w:before="0" w:beforeAutospacing="0" w:after="0" w:afterAutospacing="0" w:line="24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投标人自2023年1月1日以来承担过医疗类软件</w:t>
            </w:r>
            <w:r>
              <w:rPr>
                <w:rFonts w:hint="eastAsia" w:ascii="宋体" w:hAnsi="宋体" w:eastAsia="宋体" w:cs="宋体"/>
                <w:sz w:val="28"/>
                <w:szCs w:val="28"/>
                <w:lang w:val="en-US" w:eastAsia="zh-CN"/>
              </w:rPr>
              <w:t xml:space="preserve">开发建设</w:t>
            </w:r>
            <w:r>
              <w:rPr>
                <w:rFonts w:hint="eastAsia" w:ascii="宋体" w:hAnsi="宋体" w:eastAsia="宋体" w:cs="宋体"/>
                <w:sz w:val="28"/>
                <w:szCs w:val="28"/>
                <w:lang w:val="en-US" w:eastAsia="zh-CN" w:bidi="ar-SA"/>
              </w:rPr>
              <w:t xml:space="preserve">相关案例的，每有一个得2分，最高10分。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注：1.提供合同材料。</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2.项目业绩时间以合同签订时间为准。</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3.同一业主单位同一项目不同年度的业绩不重复计分。分包合同不予计算。</w:t>
            </w:r>
            <w:r/>
          </w:p>
          <w:p>
            <w:pPr>
              <w:ind w:firstLine="562"/>
              <w:jc w:val="left"/>
              <w:spacing w:line="240" w:lineRule="auto"/>
              <w:rPr>
                <w:rFonts w:ascii="宋体" w:hAnsi="宋体" w:eastAsia="宋体" w:cs="宋体"/>
                <w:b/>
                <w:bCs/>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Cs w:val="28"/>
                <w:highlight w:val="none"/>
                <w:lang w:val="en-US" w:eastAsia="zh-CN"/>
              </w:rPr>
              <w:t xml:space="preserve">4.</w:t>
            </w:r>
            <w:r>
              <w:rPr>
                <w:rFonts w:hint="eastAsia" w:ascii="宋体" w:hAnsi="宋体" w:eastAsia="宋体" w:cs="宋体"/>
                <w:b/>
                <w:bCs/>
                <w:color w:val="ff0000"/>
                <w:szCs w:val="28"/>
                <w:highlight w:val="none"/>
              </w:rPr>
              <w:t xml:space="preserve">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7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eastAsia="宋体" w:cs="Times New Roman"/>
        </w:rPr>
      </w:pPr>
      <w:r>
        <w:rPr>
          <w:rFonts w:hint="eastAsia" w:eastAsia="宋体" w:cs="Times New Roman"/>
          <w:b/>
          <w:bCs/>
          <w:color w:val="ff0000"/>
          <w:highlight w:val="yellow"/>
        </w:rPr>
        <w:t xml:space="preserve">技术部分序号2.1项目理解及需求分析：</w:t>
      </w:r>
      <w:r>
        <w:rPr>
          <w:rFonts w:hint="eastAsia" w:eastAsia="宋体" w:cs="Times New Roman"/>
        </w:rPr>
        <w:t xml:space="preserve">篇幅编制页数至少为</w:t>
      </w:r>
      <w:r>
        <w:rPr>
          <w:rFonts w:hint="eastAsia" w:cs="Times New Roman"/>
          <w:lang w:val="en-US" w:eastAsia="zh-CN"/>
        </w:rPr>
        <w:t xml:space="preserve">9</w:t>
      </w:r>
      <w:r>
        <w:rPr>
          <w:rFonts w:hint="eastAsia" w:eastAsia="宋体" w:cs="Times New Roman"/>
        </w:rPr>
        <w:t xml:space="preserve">页，但不得超过60页，若篇幅页数不足或超出，则2.1项目理解及需求分析不得分。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2</w:t>
      </w:r>
      <w:r>
        <w:rPr>
          <w:rFonts w:hint="eastAsia" w:eastAsia="宋体" w:cs="Times New Roman"/>
          <w:b/>
          <w:bCs/>
          <w:color w:val="ff0000"/>
          <w:highlight w:val="yellow"/>
        </w:rPr>
        <w:t xml:space="preserve">实施方案：</w:t>
      </w:r>
      <w:r>
        <w:rPr>
          <w:rFonts w:hint="eastAsia" w:eastAsia="宋体" w:cs="Times New Roman"/>
        </w:rPr>
        <w:t xml:space="preserve">篇幅编制页数至少为1</w:t>
      </w:r>
      <w:r>
        <w:rPr>
          <w:rFonts w:hint="eastAsia" w:cs="Times New Roman"/>
          <w:lang w:val="en-US" w:eastAsia="zh-CN"/>
        </w:rPr>
        <w:t xml:space="preserve">2</w:t>
      </w:r>
      <w:r>
        <w:rPr>
          <w:rFonts w:hint="eastAsia" w:eastAsia="宋体" w:cs="Times New Roman"/>
        </w:rPr>
        <w:t xml:space="preserve">页，但不得超过</w:t>
      </w:r>
      <w:r>
        <w:rPr>
          <w:rFonts w:hint="eastAsia" w:cs="Times New Roman"/>
          <w:lang w:val="en-US" w:eastAsia="zh-CN"/>
        </w:rPr>
        <w:t xml:space="preserve">80</w:t>
      </w:r>
      <w:r>
        <w:rPr>
          <w:rFonts w:hint="eastAsia" w:eastAsia="宋体" w:cs="Times New Roman"/>
        </w:rPr>
        <w:t xml:space="preserve">页，若篇幅页数不足或超出，则2.</w:t>
      </w:r>
      <w:r>
        <w:rPr>
          <w:rFonts w:hint="eastAsia" w:eastAsia="宋体" w:cs="Times New Roman"/>
          <w:lang w:val="en-US" w:eastAsia="zh-CN"/>
        </w:rPr>
        <w:t xml:space="preserve">2</w:t>
      </w:r>
      <w:r>
        <w:rPr>
          <w:rFonts w:hint="eastAsia" w:eastAsia="宋体" w:cs="Times New Roman"/>
        </w:rPr>
        <w:t xml:space="preserve">实施方案不得分。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3</w:t>
      </w:r>
      <w:r>
        <w:rPr>
          <w:rFonts w:hint="eastAsia" w:eastAsia="宋体" w:cs="Times New Roman"/>
          <w:b/>
          <w:bCs/>
          <w:color w:val="ff0000"/>
          <w:highlight w:val="yellow"/>
        </w:rPr>
        <w:t xml:space="preserve">售后服务方案：</w:t>
      </w:r>
      <w:r>
        <w:rPr>
          <w:rFonts w:hint="eastAsia" w:eastAsia="宋体" w:cs="Times New Roman"/>
        </w:rPr>
        <w:t xml:space="preserve">篇幅编制页数至少为</w:t>
      </w:r>
      <w:r>
        <w:rPr>
          <w:rFonts w:hint="eastAsia" w:cs="Times New Roman"/>
          <w:lang w:val="en-US" w:eastAsia="zh-CN"/>
        </w:rPr>
        <w:t xml:space="preserve">9</w:t>
      </w:r>
      <w:r>
        <w:rPr>
          <w:rFonts w:hint="eastAsia" w:eastAsia="宋体" w:cs="Times New Roman"/>
        </w:rPr>
        <w:t xml:space="preserve">页，但不得超过</w:t>
      </w:r>
      <w:r>
        <w:rPr>
          <w:rFonts w:hint="eastAsia"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3售后服务方案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4</w:t>
      </w:r>
      <w:r>
        <w:rPr>
          <w:rFonts w:hint="eastAsia" w:eastAsia="宋体" w:cs="Times New Roman"/>
          <w:b/>
          <w:bCs/>
          <w:color w:val="ff0000"/>
          <w:highlight w:val="yellow"/>
        </w:rPr>
        <w:t xml:space="preserve">培训方案：</w:t>
      </w:r>
      <w:r>
        <w:rPr>
          <w:rFonts w:hint="eastAsia" w:eastAsia="宋体" w:cs="Times New Roman"/>
        </w:rPr>
        <w:t xml:space="preserve">篇幅编制页数至少为</w:t>
      </w:r>
      <w:r>
        <w:rPr>
          <w:rFonts w:hint="eastAsia" w:cs="Times New Roman"/>
          <w:lang w:val="en-US" w:eastAsia="zh-CN"/>
        </w:rPr>
        <w:t xml:space="preserve">9</w:t>
      </w:r>
      <w:r>
        <w:rPr>
          <w:rFonts w:hint="eastAsia" w:eastAsia="宋体" w:cs="Times New Roman"/>
        </w:rPr>
        <w:t xml:space="preserve">页，但不得超过</w:t>
      </w:r>
      <w:r>
        <w:rPr>
          <w:rFonts w:hint="eastAsia"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4培训方案不</w:t>
      </w:r>
      <w:r>
        <w:rPr>
          <w:rFonts w:hint="eastAsia" w:eastAsia="宋体" w:cs="Times New Roman"/>
        </w:rPr>
        <w:t xml:space="preserve">得分。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6187"/>
      <w:r/>
      <w:bookmarkStart w:id="35" w:name="_Toc12777"/>
      <w:r/>
      <w:bookmarkStart w:id="36" w:name="_Toc10141"/>
      <w:r/>
      <w:bookmarkStart w:id="37" w:name="_Toc10212"/>
      <w:r/>
      <w:bookmarkStart w:id="38" w:name="_Toc8049"/>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51"/>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1"/>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05"/>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51"/>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51"/>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1106"/>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32"/>
          <w:rFonts w:hint="eastAsia" w:ascii="黑体" w:hAnsi="黑体" w:cs="黑体"/>
          <w:b/>
          <w:bCs/>
          <w:sz w:val="28"/>
          <w:szCs w:val="28"/>
          <w:lang w:val="en-US" w:eastAsia="zh-CN"/>
        </w:rPr>
        <w:t xml:space="preserve">第一节  </w:t>
      </w:r>
      <w:r>
        <w:rPr>
          <w:rStyle w:val="1132"/>
          <w:rFonts w:hint="eastAsia" w:ascii="黑体" w:hAnsi="黑体" w:eastAsia="黑体" w:cs="黑体"/>
          <w:b/>
          <w:bCs/>
          <w:sz w:val="28"/>
          <w:szCs w:val="28"/>
          <w:lang w:val="en-US" w:eastAsia="zh-CN"/>
        </w:rPr>
        <w:t xml:space="preserve">项目基本信息</w:t>
      </w:r>
      <w:r/>
    </w:p>
    <w:tbl>
      <w:tblPr>
        <w:tblStyle w:val="1109"/>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969"/>
        <w:gridCol w:w="3644"/>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969"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644" w:type="dxa"/>
            <w:vAlign w:val="center"/>
            <w:textDirection w:val="lrTb"/>
            <w:noWrap w:val="false"/>
          </w:tcPr>
          <w:p>
            <w:pPr>
              <w:ind w:left="0" w:right="0" w:firstLine="112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Times New Roman" w:eastAsia="宋体"/>
                <w:lang w:val="en-US" w:eastAsia="zh-CN"/>
              </w:rPr>
              <w:suppressLineNumbers w:val="0"/>
            </w:pPr>
            <w:r>
              <w:rPr>
                <w:rFonts w:hint="eastAsia" w:ascii="Times New Roman" w:eastAsia="宋体"/>
                <w:lang w:val="en-US" w:eastAsia="zh-CN"/>
              </w:rPr>
              <w:t xml:space="preserve">1</w:t>
            </w:r>
            <w:r/>
          </w:p>
        </w:tc>
        <w:tc>
          <w:tcPr>
            <w:tcW w:w="296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rPr>
              <w:suppressLineNumbers w:val="0"/>
            </w:pPr>
            <w:r>
              <w:rPr>
                <w:rFonts w:hint="eastAsia"/>
              </w:rPr>
              <w:t xml:space="preserve">JSZC-320413-JZCG-</w:t>
            </w:r>
            <w:r/>
          </w:p>
          <w:p>
            <w:pPr>
              <w:ind w:left="0" w:right="0" w:firstLine="0"/>
              <w:jc w:val="center"/>
              <w:keepLines w:val="0"/>
              <w:keepNext w:val="0"/>
              <w:pageBreakBefore w:val="0"/>
              <w:spacing w:before="0" w:beforeAutospacing="0" w:after="0" w:afterAutospacing="0" w:line="360" w:lineRule="auto"/>
              <w:widowControl w:val="off"/>
              <w:rPr>
                <w:rFonts w:hint="eastAsia" w:ascii="Times New Roman" w:eastAsia="宋体"/>
                <w:lang w:val="en-US" w:eastAsia="zh-CN"/>
              </w:rPr>
              <w:suppressLineNumbers w:val="0"/>
            </w:pPr>
            <w:r>
              <w:rPr>
                <w:rFonts w:hint="eastAsia"/>
              </w:rPr>
              <w:t xml:space="preserve">G2026-002</w:t>
            </w:r>
            <w:r>
              <w:rPr>
                <w:rFonts w:hint="eastAsia" w:ascii="Times New Roman" w:eastAsia="宋体"/>
                <w:lang w:val="en-US" w:eastAsia="zh-CN"/>
              </w:rPr>
              <w:t xml:space="preserve">5</w:t>
            </w:r>
            <w:r/>
          </w:p>
        </w:tc>
        <w:tc>
          <w:tcPr>
            <w:tcW w:w="364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Times New Roman" w:eastAsia="宋体"/>
                <w:lang w:val="en-US" w:eastAsia="zh-CN"/>
              </w:rPr>
              <w:suppressLineNumbers w:val="0"/>
            </w:pPr>
            <w:r>
              <w:rPr>
                <w:rFonts w:hint="eastAsia" w:ascii="Times New Roman" w:eastAsia="宋体"/>
                <w:lang w:val="en-US" w:eastAsia="zh-CN"/>
              </w:rPr>
              <w:t xml:space="preserve">常州市金坛区第二人民医院血液透析信息系统采购项目</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Times New Roman" w:eastAsia="宋体"/>
                <w:lang w:val="en-US" w:eastAsia="zh-CN"/>
              </w:rPr>
              <w:suppressLineNumbers w:val="0"/>
            </w:pPr>
            <w:r>
              <w:rPr>
                <w:rFonts w:hint="eastAsia" w:ascii="Times New Roman" w:eastAsia="宋体"/>
                <w:lang w:val="en-US" w:eastAsia="zh-CN"/>
              </w:rPr>
              <w:t xml:space="preserve">35</w:t>
            </w:r>
            <w:r/>
          </w:p>
        </w:tc>
      </w:tr>
    </w:tbl>
    <w:p>
      <w:pPr>
        <w:rPr>
          <w:rFonts w:hint="eastAsia"/>
          <w:lang w:val="en-US" w:eastAsia="zh-CN"/>
        </w:rPr>
      </w:pPr>
      <w:r>
        <w:rPr>
          <w:rFonts w:hint="eastAsia"/>
          <w:lang w:val="en-US" w:eastAsia="zh-CN"/>
        </w:rPr>
      </w:r>
      <w:r/>
    </w:p>
    <w:p>
      <w:pPr>
        <w:pStyle w:val="1106"/>
        <w:ind w:left="0" w:firstLine="0"/>
        <w:jc w:val="center"/>
        <w:pageBreakBefore w:val="0"/>
        <w:spacing w:before="0" w:after="0" w:line="360" w:lineRule="auto"/>
        <w:widowControl w:val="off"/>
        <w:rPr>
          <w:rStyle w:val="1132"/>
          <w:rFonts w:hint="eastAsia" w:ascii="黑体" w:hAnsi="黑体" w:cs="黑体"/>
          <w:b/>
          <w:bCs/>
          <w:sz w:val="28"/>
          <w:szCs w:val="28"/>
          <w:lang w:val="en-US" w:eastAsia="zh-CN"/>
        </w:rPr>
      </w:pPr>
      <w:r>
        <w:rPr>
          <w:rStyle w:val="1132"/>
          <w:rFonts w:hint="eastAsia" w:ascii="黑体" w:hAnsi="黑体" w:cs="黑体"/>
          <w:b/>
          <w:bCs/>
          <w:sz w:val="28"/>
          <w:szCs w:val="28"/>
          <w:lang w:val="en-US" w:eastAsia="zh-CN"/>
        </w:rPr>
        <w:t xml:space="preserve">第二节  项目概况</w:t>
      </w:r>
      <w:r/>
    </w:p>
    <w:p>
      <w:pPr>
        <w:ind w:firstLine="560"/>
        <w:jc w:val="left"/>
        <w:rPr>
          <w:rFonts w:ascii="宋体" w:hAnsi="宋体" w:eastAsia="宋体" w:cs="宋体"/>
          <w:szCs w:val="28"/>
        </w:rPr>
      </w:pPr>
      <w:r>
        <w:rPr>
          <w:rFonts w:hint="eastAsia" w:ascii="宋体" w:hAnsi="宋体" w:eastAsia="宋体" w:cs="宋体"/>
          <w:szCs w:val="28"/>
        </w:rPr>
        <w:t xml:space="preserve">随着国家智慧医院建设、医疗信息化规范化及慢性肾脏病诊疗服务需求持续增长，血液透析中心已成为医院重点临床科室，患者就诊人次逐年攀升，对</w:t>
      </w:r>
      <w:r>
        <w:rPr>
          <w:rFonts w:hint="eastAsia" w:ascii="宋体" w:hAnsi="宋体" w:eastAsia="宋体" w:cs="宋体"/>
          <w:bCs/>
          <w:szCs w:val="28"/>
        </w:rPr>
        <w:t xml:space="preserve">诊疗流程标准化、患者管理数字化、生命体征自动采集、药品耗材全程追溯、医疗质量智能管控、科室运营精细化等</w:t>
      </w:r>
      <w:r>
        <w:rPr>
          <w:rFonts w:hint="eastAsia" w:ascii="宋体" w:hAnsi="宋体" w:eastAsia="宋体" w:cs="宋体"/>
          <w:szCs w:val="28"/>
        </w:rPr>
        <w:t xml:space="preserve">要求不断提高。</w:t>
      </w:r>
      <w:r/>
    </w:p>
    <w:p>
      <w:pPr>
        <w:ind w:firstLine="0"/>
        <w:rPr>
          <w:rFonts w:hint="default"/>
          <w:lang w:val="en-US" w:eastAsia="zh-CN"/>
        </w:rPr>
      </w:pPr>
      <w:r>
        <w:rPr>
          <w:rFonts w:hint="eastAsia" w:ascii="宋体" w:hAnsi="宋体" w:eastAsia="宋体" w:cs="宋体"/>
          <w:sz w:val="28"/>
          <w:szCs w:val="28"/>
          <w:lang w:val="en-US" w:eastAsia="zh-CN" w:bidi="ar-SA"/>
        </w:rPr>
        <w:t xml:space="preserve">    依据《网络安全等级保护管理办法》《医院智慧服务分级评估标准体系》及血液透析专业诊疗管理规范要求，为打通前端采集终端、业务管理系统、医院现有HIS业务系统数据链路，</w:t>
      </w:r>
      <w:r>
        <w:rPr>
          <w:rFonts w:hint="eastAsia" w:ascii="宋体" w:hAnsi="宋体" w:eastAsia="宋体" w:cs="宋体"/>
          <w:bCs/>
          <w:sz w:val="28"/>
          <w:szCs w:val="28"/>
          <w:lang w:val="en-US" w:eastAsia="zh-CN" w:bidi="ar-SA"/>
        </w:rPr>
        <w:t xml:space="preserve">新建一体化血液透析信息管理软件，配套购置自助称重、血压检测、身份识别卡、移动平板电脑 、公示大屏、条码打印等终端设备，</w:t>
      </w:r>
      <w:r>
        <w:rPr>
          <w:rFonts w:hint="eastAsia" w:ascii="宋体" w:hAnsi="宋体" w:eastAsia="宋体" w:cs="宋体"/>
          <w:sz w:val="28"/>
          <w:szCs w:val="28"/>
          <w:lang w:val="en-US" w:eastAsia="zh-CN" w:bidi="ar-SA"/>
        </w:rPr>
        <w:t xml:space="preserve">搭建全流程信息化血液透析管理平台，实现诊疗、护理、排班、质控、耗材、设备、费用全链条信息化管理，保障医疗质量与患者信息安全，提升科室运营管理效率与服务能力。</w:t>
      </w:r>
      <w:r/>
    </w:p>
    <w:p>
      <w:pPr>
        <w:rPr>
          <w:rFonts w:hint="eastAsia"/>
          <w:lang w:val="en-US" w:eastAsia="zh-CN"/>
        </w:rPr>
      </w:pPr>
      <w:r/>
      <w:bookmarkStart w:id="39" w:name="_Hlk72073432"/>
      <w:r/>
      <w:r/>
    </w:p>
    <w:p>
      <w:pPr>
        <w:pStyle w:val="1106"/>
        <w:ind w:left="0" w:firstLine="0"/>
        <w:jc w:val="center"/>
        <w:pageBreakBefore w:val="0"/>
        <w:spacing w:before="0" w:after="0" w:line="360" w:lineRule="auto"/>
        <w:widowControl w:val="off"/>
        <w:rPr>
          <w:rStyle w:val="1132"/>
          <w:rFonts w:hint="eastAsia" w:ascii="黑体" w:hAnsi="黑体" w:cs="黑体"/>
          <w:b/>
          <w:bCs/>
          <w:sz w:val="28"/>
          <w:szCs w:val="28"/>
          <w:lang w:val="en-US" w:eastAsia="zh-CN"/>
        </w:rPr>
      </w:pPr>
      <w:r>
        <w:rPr>
          <w:rStyle w:val="1132"/>
          <w:rFonts w:hint="eastAsia" w:ascii="黑体" w:hAnsi="黑体" w:cs="黑体"/>
          <w:b/>
          <w:bCs/>
          <w:sz w:val="28"/>
          <w:szCs w:val="28"/>
          <w:lang w:val="en-US" w:eastAsia="zh-CN"/>
        </w:rPr>
        <w:t xml:space="preserve">第三节  服务需求明细</w:t>
      </w:r>
      <w:bookmarkEnd w:id="39"/>
      <w:r/>
      <w:r/>
    </w:p>
    <w:tbl>
      <w:tblPr>
        <w:tblStyle w:val="1109"/>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299"/>
        <w:gridCol w:w="3605"/>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67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829"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67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rPr>
              <w:suppressLineNumbers w:val="0"/>
            </w:pPr>
            <w:r>
              <w:rPr>
                <w:rFonts w:hint="eastAsia"/>
              </w:rPr>
              <w:t xml:space="preserve">JSZC-320413-JZCG-</w:t>
            </w:r>
            <w:r/>
          </w:p>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rPr>
              <w:t xml:space="preserve">G2026-002</w:t>
            </w:r>
            <w:r>
              <w:rPr>
                <w:rFonts w:hint="eastAsia" w:ascii="Times New Roman" w:eastAsia="宋体"/>
                <w:lang w:val="en-US" w:eastAsia="zh-CN"/>
              </w:rPr>
              <w:t xml:space="preserve">5</w:t>
            </w:r>
            <w:r/>
          </w:p>
        </w:tc>
        <w:tc>
          <w:tcPr>
            <w:tcW w:w="1829" w:type="pct"/>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Times New Roman" w:eastAsia="宋体"/>
                <w:lang w:val="en-US" w:eastAsia="zh-CN"/>
              </w:rPr>
              <w:t xml:space="preserve">常州市金坛区第二人民医院血液透析信息系统采购项目</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rPr>
          <w:rFonts w:hint="eastAsia"/>
          <w:lang w:val="en-US" w:eastAsia="zh-CN"/>
        </w:rPr>
      </w:pPr>
      <w:r>
        <w:rPr>
          <w:rFonts w:hint="eastAsia"/>
          <w:lang w:val="en-US" w:eastAsia="zh-CN"/>
        </w:rPr>
      </w:r>
      <w:r/>
    </w:p>
    <w:p>
      <w:pPr>
        <w:pStyle w:val="1104"/>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2</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eastAsia="宋体" w:cs="宋体"/>
                <w:sz w:val="28"/>
                <w:szCs w:val="28"/>
                <w:lang w:val="en-US" w:eastAsia="zh-CN"/>
              </w:rPr>
              <w:t xml:space="preserve">平板电脑、55英寸4K大屏液晶显示器、条码激光打印机3个配套硬件全部属于政府强制采购节能产品，</w:t>
            </w:r>
            <w:r>
              <w:rPr>
                <w:rFonts w:hint="default" w:ascii="宋体" w:hAnsi="宋体" w:eastAsia="宋体" w:cs="宋体"/>
                <w:sz w:val="28"/>
                <w:szCs w:val="28"/>
                <w:lang w:val="en-US" w:eastAsia="zh-CN"/>
              </w:rPr>
              <w:t xml:space="preserve">投标人</w:t>
            </w:r>
            <w:r>
              <w:rPr>
                <w:rFonts w:hint="eastAsia" w:ascii="宋体" w:hAnsi="宋体" w:eastAsia="宋体" w:cs="宋体"/>
                <w:sz w:val="28"/>
                <w:szCs w:val="28"/>
                <w:lang w:val="en-US" w:eastAsia="zh-CN"/>
              </w:rPr>
              <w:t xml:space="preserve">需</w:t>
            </w:r>
            <w:r>
              <w:rPr>
                <w:rFonts w:hint="default" w:ascii="宋体" w:hAnsi="宋体" w:eastAsia="宋体" w:cs="宋体"/>
                <w:sz w:val="28"/>
                <w:szCs w:val="28"/>
                <w:lang w:val="en-US" w:eastAsia="zh-CN"/>
              </w:rPr>
              <w:t xml:space="preserve">提供3个所投产品获得国家认可的认证机构出具的处于有效期内的节能产品认证证书</w:t>
            </w:r>
            <w:r>
              <w:rPr>
                <w:rFonts w:hint="eastAsia" w:ascii="宋体" w:hAnsi="宋体" w:eastAsia="宋体" w:cs="宋体"/>
                <w:sz w:val="28"/>
                <w:szCs w:val="28"/>
                <w:lang w:val="en-US" w:eastAsia="zh-CN"/>
              </w:rPr>
              <w:t xml:space="preserve">证明材料</w:t>
            </w:r>
            <w:r>
              <w:rPr>
                <w:rFonts w:hint="default" w:ascii="宋体" w:hAnsi="宋体" w:eastAsia="宋体" w:cs="宋体"/>
                <w:sz w:val="28"/>
                <w:szCs w:val="28"/>
                <w:lang w:val="en-US" w:eastAsia="zh-CN"/>
              </w:rPr>
              <w:t xml:space="preserve">上传至“</w:t>
            </w:r>
            <w:r>
              <w:rPr>
                <w:rFonts w:hint="eastAsia" w:ascii="宋体" w:hAnsi="宋体" w:eastAsia="宋体" w:cs="宋体"/>
                <w:sz w:val="28"/>
                <w:szCs w:val="28"/>
                <w:lang w:val="en-US" w:eastAsia="zh-CN"/>
              </w:rPr>
              <w:t xml:space="preserve">与评审相关的其他符合证明文件材料</w:t>
            </w:r>
            <w:r>
              <w:rPr>
                <w:rFonts w:hint="default" w:ascii="宋体" w:hAnsi="宋体" w:eastAsia="宋体" w:cs="宋体"/>
                <w:sz w:val="28"/>
                <w:szCs w:val="28"/>
                <w:lang w:val="en-US" w:eastAsia="zh-CN"/>
              </w:rPr>
              <w:t xml:space="preserve">”模块中，否则作无效投标文件处理。</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p>
    <w:p>
      <w:pPr>
        <w:rPr>
          <w:rFonts w:hint="eastAsia"/>
          <w:lang w:val="en-US" w:eastAsia="zh-CN"/>
        </w:rPr>
      </w:pPr>
      <w:r>
        <w:rPr>
          <w:rFonts w:hint="eastAsia"/>
          <w:lang w:val="en-US" w:eastAsia="zh-CN"/>
        </w:rPr>
      </w:r>
      <w:r/>
    </w:p>
    <w:p>
      <w:pPr>
        <w:pStyle w:val="1106"/>
        <w:ind w:left="0" w:firstLine="0"/>
        <w:jc w:val="center"/>
        <w:pageBreakBefore w:val="0"/>
        <w:spacing w:before="0" w:after="0" w:line="360" w:lineRule="auto"/>
        <w:widowControl w:val="off"/>
        <w:rPr>
          <w:rFonts w:hint="eastAsia" w:ascii="黑体" w:hAnsi="黑体" w:eastAsia="黑体" w:cs="黑体"/>
          <w:sz w:val="28"/>
          <w:szCs w:val="28"/>
        </w:rPr>
      </w:pPr>
      <w:r>
        <w:rPr>
          <w:rStyle w:val="1132"/>
          <w:rFonts w:hint="eastAsia" w:ascii="黑体" w:hAnsi="黑体" w:cs="黑体"/>
          <w:b/>
          <w:bCs/>
          <w:sz w:val="28"/>
          <w:szCs w:val="28"/>
          <w:lang w:val="en-US" w:eastAsia="zh-CN"/>
        </w:rPr>
        <w:t xml:space="preserve">★第五节  技术要求</w:t>
      </w:r>
      <w:r/>
    </w:p>
    <w:p>
      <w:pPr>
        <w:ind w:firstLine="562"/>
        <w:rPr>
          <w:rFonts w:ascii="宋体" w:hAnsi="宋体" w:eastAsia="宋体" w:cs="宋体"/>
          <w:b/>
          <w:bCs/>
          <w:szCs w:val="28"/>
        </w:rPr>
      </w:pPr>
      <w:r>
        <w:rPr>
          <w:rFonts w:hint="eastAsia" w:ascii="宋体" w:hAnsi="宋体" w:eastAsia="宋体" w:cs="宋体"/>
          <w:b/>
          <w:bCs/>
          <w:szCs w:val="28"/>
        </w:rPr>
        <w:t xml:space="preserve">一、项目背景</w:t>
      </w:r>
      <w:r/>
    </w:p>
    <w:p>
      <w:pPr>
        <w:ind w:firstLine="560"/>
        <w:rPr>
          <w:rFonts w:ascii="宋体" w:hAnsi="宋体" w:eastAsia="宋体" w:cs="宋体"/>
          <w:szCs w:val="28"/>
        </w:rPr>
      </w:pPr>
      <w:r>
        <w:rPr>
          <w:rFonts w:hint="eastAsia" w:ascii="宋体" w:hAnsi="宋体" w:eastAsia="宋体" w:cs="宋体"/>
          <w:szCs w:val="28"/>
        </w:rPr>
        <w:t xml:space="preserve">随着国家智慧医院建设、医疗信息化规范化及慢性肾脏病诊疗服务需求持续增长，血液透析中心已成为医院重点临床科室，患者就诊人次逐年攀升，对诊疗流程标准化、患者管理数字化、生命体征自动采集、药品耗材全程追溯、医疗质量智能管控、科室运营精细化等要求不断提高。</w:t>
      </w:r>
      <w:r/>
    </w:p>
    <w:p>
      <w:pPr>
        <w:ind w:firstLine="560"/>
        <w:rPr>
          <w:rFonts w:ascii="宋体" w:hAnsi="宋体" w:eastAsia="宋体" w:cs="宋体"/>
          <w:szCs w:val="28"/>
        </w:rPr>
      </w:pPr>
      <w:r>
        <w:rPr>
          <w:rFonts w:hint="eastAsia" w:ascii="宋体" w:hAnsi="宋体" w:eastAsia="宋体" w:cs="宋体"/>
          <w:szCs w:val="28"/>
        </w:rPr>
        <w:t xml:space="preserve">常州市金坛区第二人民医院现有血液透析中心仍采用传统人工登记、纸质病历、手工排班、线下核算费用与耗材台账管理模式，存在业务流程割裂、生命体征数据人工录入误差大、患者档案不完整、排班效率低、药品耗材管控粗放、质控人工统计工作量大、无统一信息化管理平台等问题，无法满足现代透析中心标准化运营、等级医院评审、医疗数据安全合规及智慧医院整体建设要求。</w:t>
      </w:r>
      <w:r/>
    </w:p>
    <w:p>
      <w:pPr>
        <w:ind w:firstLine="560"/>
        <w:rPr>
          <w:rFonts w:ascii="宋体" w:hAnsi="宋体" w:eastAsia="宋体" w:cs="宋体"/>
          <w:szCs w:val="28"/>
        </w:rPr>
      </w:pPr>
      <w:r>
        <w:rPr>
          <w:rFonts w:hint="eastAsia" w:ascii="宋体" w:hAnsi="宋体" w:eastAsia="宋体" w:cs="宋体"/>
          <w:szCs w:val="28"/>
        </w:rPr>
        <w:t xml:space="preserve">依据《网络安全等级保护管理办法》《医院智慧服务分级评估标准体系》及血液透析专业诊疗管理规范要求，为打通前端采集终端、业务管理系统、医院现有HIS业务系统数据链路，新建一体化血液透析信息管理软件，配套购置自助称重、血压检测、身份识别卡、移动平板电脑、公示大屏、条码打印等终端设备，搭建全流程信息化血液透析管理平台，实现诊疗、护理、排班、质控、耗材、设备、费用全链条信息化管理，保障医疗质量与患者信息安全，提升科室运营管理效率与服务能力，亟须实施本项目建设。</w:t>
      </w:r>
      <w:r/>
    </w:p>
    <w:p>
      <w:pPr>
        <w:ind w:firstLine="562"/>
        <w:rPr>
          <w:rFonts w:ascii="宋体" w:hAnsi="宋体" w:eastAsia="宋体" w:cs="宋体"/>
          <w:b/>
          <w:bCs/>
          <w:szCs w:val="28"/>
        </w:rPr>
      </w:pPr>
      <w:r/>
      <w:bookmarkStart w:id="40" w:name="heading_4"/>
      <w:r>
        <w:rPr>
          <w:rFonts w:hint="eastAsia" w:ascii="宋体" w:hAnsi="宋体" w:eastAsia="宋体" w:cs="宋体"/>
          <w:b/>
          <w:bCs/>
          <w:szCs w:val="28"/>
        </w:rPr>
        <w:t xml:space="preserve">二、项目建设内容</w:t>
      </w:r>
      <w:bookmarkEnd w:id="40"/>
      <w:r/>
      <w:r/>
    </w:p>
    <w:p>
      <w:pPr>
        <w:ind w:firstLine="562"/>
        <w:rPr>
          <w:rFonts w:ascii="宋体" w:hAnsi="宋体" w:eastAsia="宋体" w:cs="宋体"/>
          <w:b/>
          <w:bCs/>
          <w:szCs w:val="28"/>
        </w:rPr>
      </w:pPr>
      <w:r/>
      <w:bookmarkStart w:id="41" w:name="heading_5"/>
      <w:r>
        <w:rPr>
          <w:rFonts w:hint="eastAsia" w:ascii="宋体" w:hAnsi="宋体" w:eastAsia="宋体" w:cs="宋体"/>
          <w:b/>
          <w:bCs/>
          <w:szCs w:val="28"/>
          <w:lang w:val="en-US" w:eastAsia="zh-CN"/>
        </w:rPr>
        <w:t xml:space="preserve">1.</w:t>
      </w:r>
      <w:r>
        <w:rPr>
          <w:rFonts w:hint="eastAsia" w:ascii="宋体" w:hAnsi="宋体" w:eastAsia="宋体" w:cs="宋体"/>
          <w:b/>
          <w:bCs/>
          <w:szCs w:val="28"/>
        </w:rPr>
        <w:t xml:space="preserve">血液透析信息管理软件</w:t>
      </w:r>
      <w:bookmarkEnd w:id="41"/>
      <w:r/>
      <w:r/>
    </w:p>
    <w:p>
      <w:pPr>
        <w:ind w:firstLine="560"/>
        <w:jc w:val="left"/>
        <w:rPr>
          <w:rFonts w:ascii="宋体" w:hAnsi="宋体" w:eastAsia="宋体" w:cs="宋体"/>
          <w:szCs w:val="28"/>
        </w:rPr>
      </w:pPr>
      <w:r/>
      <w:bookmarkStart w:id="42" w:name="heading_6"/>
      <w:r>
        <w:rPr>
          <w:rFonts w:hint="eastAsia" w:ascii="宋体" w:hAnsi="宋体" w:eastAsia="宋体" w:cs="宋体"/>
          <w:szCs w:val="28"/>
        </w:rPr>
        <w:t xml:space="preserve">建设全模块一体化管理软件，包含2套配套设备。</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1.1患者自助称重模块</w:t>
      </w:r>
      <w:r/>
    </w:p>
    <w:p>
      <w:pPr>
        <w:ind w:left="280"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自助称重系统支持使用串口方式接收称重仪的数据，通过磁卡识别患者身份，通过后台数据服务中心将对应患者的体重数据进行收集，供医护人员临床使用。</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1.2患者自助测量血压模块</w:t>
      </w:r>
      <w:r/>
    </w:p>
    <w:p>
      <w:pPr>
        <w:ind w:left="280"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自助血压测量系统支持使用串口方式接收血压仪的数据，通过磁卡识别患者身份，通过后台数据服务中心将对应患者的血压数据进行收集，供医护人员临床使用。</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1.3患者透析管理</w:t>
      </w:r>
      <w:r/>
    </w:p>
    <w:p>
      <w:p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对患者信息进行全面的管理，并支持使用磁卡对患者进行身份识别。</w:t>
      </w:r>
      <w:r/>
    </w:p>
    <w:p>
      <w:pPr>
        <w:numPr>
          <w:numId w:val="0"/>
        </w:numPr>
        <w:ind w:firstLine="281"/>
        <w:jc w:val="left"/>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1.4患者透析排班</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1.4.1支持预设模板，直接调用即可完成排班工作</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1.4.2支持在排班时可以按医生下达的处方指定透析模式。</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1.4.3同时可查看上周排班、下周排班、其他周排班的排班表。</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1.4.4按固定日期排班也可按患者的透析频率排班。</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1.5医护交班</w:t>
      </w:r>
      <w:r/>
    </w:p>
    <w:p>
      <w:pPr>
        <w:ind w:left="560" w:firstLine="0"/>
        <w:jc w:val="left"/>
        <w:spacing w:line="360" w:lineRule="auto"/>
        <w:shd w:val="clear" w:color="auto" w:fill="ffffff"/>
        <w:widowControl w:val="off"/>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xml:space="preserve">  1.5.1交班管理，可以显示一个月的交班概况。</w:t>
      </w:r>
      <w:r/>
    </w:p>
    <w:p>
      <w:pPr>
        <w:ind w:left="560" w:firstLine="0"/>
        <w:jc w:val="left"/>
        <w:spacing w:line="360" w:lineRule="auto"/>
        <w:shd w:val="clear" w:color="auto" w:fill="ffffff"/>
        <w:widowControl w:val="off"/>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xml:space="preserve">  1.5.2支持查看每天的交班明细，包含患者交班在内的所有交班信息。</w:t>
      </w:r>
      <w:r/>
    </w:p>
    <w:p>
      <w:pPr>
        <w:ind w:left="560" w:firstLine="0"/>
        <w:jc w:val="left"/>
        <w:spacing w:line="360" w:lineRule="auto"/>
        <w:shd w:val="clear" w:color="auto" w:fill="ffffff"/>
        <w:widowControl w:val="off"/>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xml:space="preserve">  1.5.3交班可分为医生交班，护士交班。</w:t>
      </w:r>
      <w:r/>
    </w:p>
    <w:p>
      <w:pPr>
        <w:numPr>
          <w:numId w:val="0"/>
        </w:numPr>
        <w:ind w:left="0" w:right="0" w:firstLine="283"/>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1.6患者透析</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sz w:val="28"/>
          <w:szCs w:val="28"/>
          <w:lang w:val="en-US" w:eastAsia="zh-CN" w:bidi="ar-SA"/>
        </w:rPr>
        <w:t xml:space="preserve">  1.6.1治疗处方；分为长期处方和临时处方</w:t>
      </w:r>
      <w:r>
        <w:rPr>
          <w:rFonts w:hint="eastAsia" w:ascii="宋体" w:hAnsi="宋体" w:eastAsia="宋体" w:cs="宋体"/>
          <w:bCs/>
          <w:sz w:val="28"/>
          <w:szCs w:val="28"/>
          <w:lang w:val="en-US" w:eastAsia="zh-CN" w:bidi="ar-SA"/>
        </w:rPr>
        <w:t xml:space="preserve">。</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sz w:val="28"/>
          <w:szCs w:val="28"/>
          <w:lang w:val="en-US" w:eastAsia="zh-CN" w:bidi="ar-SA"/>
        </w:rPr>
        <w:t xml:space="preserve">  1.6.2医嘱模块：透析用药医嘱方便医生开立、撤销、使用。</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sz w:val="28"/>
          <w:szCs w:val="28"/>
          <w:lang w:val="en-US" w:eastAsia="zh-CN" w:bidi="ar-SA"/>
        </w:rPr>
        <w:t xml:space="preserve">  1.6.3检验检查：支持获取检验、检查报告文本数据。</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sz w:val="28"/>
          <w:szCs w:val="28"/>
          <w:lang w:val="en-US" w:eastAsia="zh-CN" w:bidi="ar-SA"/>
        </w:rPr>
        <w:t xml:space="preserve">  1.6.4病程模块：强大的透析患者病程管理模块，首次病程，病程记  录、透析小结书写、编辑便捷、检验检查数据插入直观、方便，告知书、同意书等全面集成。</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  1.6.5感染信息记录，包括四项检查等。</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  1.6.6支持获取患者挂号、住院信息。</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  1.6.7转归信息，包括转入、转出、退出。</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1.7护理管理</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1.7.1支持查看本班次的患者，分床位显示。 </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1.7.2护理记录：输入透析记录数据、血压等数据。并可以进行多项选择护理措施模板应用。</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1.7.3支持使护士上机查看治疗方案参数，下机透析器凝血分级，管路凝血分级。</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1.7.4患者评估模块：护士可以轻松完成内瘘评估、导管评估、专科评估，护理等级评估等。</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1.7.5健康宣教：根据患者情况进行健康宣教。</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1.7.6医嘱执行：护士可以直观的查看医生医嘱，对已下达的医嘱进行执行操作。</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1.7.7患者列表：支持区分班次及透析区。</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1.7.8患者透析治疗数据，支持查看患者透析情况。</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1.7.9账务核销，支持对患者进行治疗费用，耗材核销。</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1.8药品管理</w:t>
      </w:r>
      <w:r/>
    </w:p>
    <w:p>
      <w:pPr>
        <w:ind w:left="0" w:right="0" w:firstLine="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1.8.1药品入库：支持门诊或住院处药品入库。</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1.8.2药品出库：支持药品执行自动扣减出库。</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1.8.3药品追溯：支持对患者透析中针剂药品追溯。</w:t>
      </w:r>
      <w:r/>
    </w:p>
    <w:p>
      <w:pPr>
        <w:numPr>
          <w:numId w:val="0"/>
        </w:numPr>
        <w:ind w:firstLine="560"/>
        <w:jc w:val="left"/>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1.8.4药品库存：支持查询所有患者的药品库存情况。</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1.9透前准备</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1.9.1可以统计各透析患者所需用的透析器。</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1.9.2可以统计各透析患者所需用的透析液。</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1.9.3可以统计各透析患者所需用的抗凝用药。</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2.0费用管理</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2.0.1费用入库：门诊或住院处费用进行入库。</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2.0.2费用出库：费用计次核对扣减。</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2.0.3费用核对：支持对当天的透析患者进行费用核对。</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2.0.4费用追溯：支持追溯患者缴费明细。</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2.0.5费用库存：对于费用分类管理。</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2.0.6费用查询：支持查询整个科室的费用收入情况。</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2.0.7费用统计：支持统计整个科室的费用收入情况。</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2.1耗材管理</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2.1.1耗材入库，采购入库，耗材选择方便快捷。</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2.1.2支持耗材出库。</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2.1.3支持查看库存当耗材入库和出库情况。</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2.1.4支持统计查询各种透析器使用情况。</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2.1.5支持对患者耗材进行库存管理。</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2.2设备管理</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2.2.1设备建档：</w:t>
      </w:r>
      <w:r>
        <w:rPr>
          <w:rFonts w:hint="eastAsia" w:ascii="宋体" w:hAnsi="宋体" w:eastAsia="宋体" w:cs="宋体"/>
          <w:color w:val="000000"/>
          <w:sz w:val="28"/>
          <w:szCs w:val="28"/>
          <w:lang w:val="en-US" w:eastAsia="zh-CN" w:bidi="ar-SA"/>
        </w:rPr>
        <w:t xml:space="preserve">血液净化中心各类医疗设备的档案建立，设备的基本信息。</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xml:space="preserve">  2.2.2维修保养：记录使用、维修、保养等信息，并提供查询、统计、分析等报表。</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xml:space="preserve">  2.2.3机器消毒：记录设备消毒情况。</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color w:val="000000"/>
          <w:sz w:val="28"/>
          <w:szCs w:val="28"/>
          <w:lang w:val="en-US" w:eastAsia="zh-CN" w:bidi="ar-SA"/>
        </w:rPr>
        <w:t xml:space="preserve">  2.2.4透析机与床位：实现透析与床位配对管理。</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2.3查询统计</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2.3.1支持各类查询：患者检验检查结果查询；用药记录查询。患者透析充分性评估记录查询；患者事件（并发症）查询等；患者费用查询；耗材使用情况查询；患者透析记录查询等。 </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2.3.2支持各类统计：统计治疗总人次；治疗方式；血液透析总人次；透析滤过总人次；血液灌流人次、血浆置换人次；</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2.3.3实现血液净化中心的透析机统计；医护人员分类统计；血液透析总人次、透析滤过总人次、血液灌流人次等统计；患者转归情况统计；血管通路统计；并发症等统计。</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2.3.4护士工作量统计，操作简单，便捷，减轻了医护人员繁琐的手工统计，提高了工作效率。</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2.4质量控制</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2.4.1敏感指标：根据国家要求设计标准的敏感指标统计框架。</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2.4.2支持每个质控数据可以下钻查询明细，自定义查询质控评估项的数量。如：每班治疗例数与护士占比等指标。</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2.4.3支持每个质控数据可以下钻查询明细，自定义查询质控评估项的数量。质控数据项包含：机器总数、HD台数、HDF台数、CRRT台数、医生总数、护士总数等。</w:t>
      </w:r>
      <w:r/>
    </w:p>
    <w:p>
      <w:pPr>
        <w:numPr>
          <w:numId w:val="0"/>
        </w:numPr>
        <w:ind w:firstLine="560"/>
        <w:jc w:val="both"/>
        <w:spacing w:line="36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2.4.4支持每个质控数据可以直接查询明细，自定义查询质控评估项的数量。对未完成，不能耐受的透析治疗，指标数据项：低血压、高血压等。</w:t>
      </w:r>
      <w:r/>
    </w:p>
    <w:p>
      <w:pPr>
        <w:numPr>
          <w:numId w:val="0"/>
        </w:numPr>
        <w:ind w:firstLine="281"/>
        <w:jc w:val="both"/>
        <w:spacing w:line="360" w:lineRule="auto"/>
        <w:widowControl w:val="off"/>
        <w:rPr>
          <w:rFonts w:ascii="宋体" w:hAnsi="宋体" w:eastAsia="宋体" w:cs="宋体"/>
          <w:b/>
          <w:sz w:val="28"/>
          <w:szCs w:val="28"/>
          <w:lang w:val="en-US" w:eastAsia="zh-CN" w:bidi="ar-SA"/>
        </w:rPr>
      </w:pPr>
      <w:r>
        <w:rPr>
          <w:rFonts w:hint="eastAsia" w:ascii="宋体" w:hAnsi="宋体" w:eastAsia="宋体" w:cs="宋体"/>
          <w:b/>
          <w:sz w:val="28"/>
          <w:szCs w:val="28"/>
          <w:lang w:val="en-US" w:eastAsia="zh-CN" w:bidi="ar-SA"/>
        </w:rPr>
        <w:t xml:space="preserve">   2.5人力资源管理</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  2.5.1医生护士基本信息管理；</w:t>
      </w:r>
      <w:r/>
    </w:p>
    <w:p>
      <w:pPr>
        <w:numPr>
          <w:numId w:val="0"/>
        </w:numPr>
        <w:ind w:firstLine="560"/>
        <w:jc w:val="both"/>
        <w:spacing w:line="360" w:lineRule="auto"/>
        <w:widowControl w:val="off"/>
        <w:rPr>
          <w:rFonts w:ascii="宋体" w:hAnsi="宋体" w:eastAsia="宋体" w:cs="宋体"/>
          <w:bCs/>
          <w:sz w:val="28"/>
          <w:szCs w:val="28"/>
          <w:lang w:val="en-US" w:eastAsia="zh-CN" w:bidi="ar-SA"/>
        </w:rPr>
      </w:pPr>
      <w:r>
        <w:rPr>
          <w:rFonts w:hint="eastAsia" w:ascii="宋体" w:hAnsi="宋体" w:eastAsia="宋体" w:cs="宋体"/>
          <w:bCs/>
          <w:sz w:val="28"/>
          <w:szCs w:val="28"/>
          <w:lang w:val="en-US" w:eastAsia="zh-CN" w:bidi="ar-SA"/>
        </w:rPr>
        <w:t xml:space="preserve">  2.5.2医生护士职称管理；</w:t>
      </w:r>
      <w:r/>
    </w:p>
    <w:p>
      <w:pPr>
        <w:numPr>
          <w:numId w:val="0"/>
        </w:numPr>
        <w:ind w:firstLine="560"/>
        <w:jc w:val="both"/>
        <w:spacing w:line="360" w:lineRule="auto"/>
        <w:widowControl w:val="off"/>
        <w:rPr>
          <w:rFonts w:ascii="宋体" w:hAnsi="宋体" w:eastAsia="宋体" w:cs="宋体"/>
          <w:szCs w:val="28"/>
        </w:rPr>
      </w:pPr>
      <w:r>
        <w:rPr>
          <w:rFonts w:hint="eastAsia" w:ascii="宋体" w:hAnsi="宋体" w:eastAsia="宋体" w:cs="宋体"/>
          <w:bCs/>
          <w:sz w:val="28"/>
          <w:szCs w:val="28"/>
          <w:lang w:val="en-US" w:eastAsia="zh-CN" w:bidi="ar-SA"/>
        </w:rPr>
        <w:t xml:space="preserve">  2.5.3医生护士角色；</w:t>
      </w:r>
      <w:r/>
    </w:p>
    <w:p>
      <w:pPr>
        <w:ind w:firstLine="562"/>
        <w:rPr>
          <w:rFonts w:ascii="宋体" w:hAnsi="宋体" w:eastAsia="宋体" w:cs="宋体"/>
          <w:b/>
          <w:bCs/>
          <w:szCs w:val="28"/>
        </w:rPr>
      </w:pPr>
      <w:r>
        <w:rPr>
          <w:rFonts w:hint="eastAsia" w:ascii="宋体" w:hAnsi="宋体" w:eastAsia="宋体" w:cs="宋体"/>
          <w:b/>
          <w:bCs/>
          <w:szCs w:val="28"/>
          <w:lang w:val="en-US" w:eastAsia="zh-CN"/>
        </w:rPr>
        <w:t xml:space="preserve">2.</w:t>
      </w:r>
      <w:r>
        <w:rPr>
          <w:rFonts w:hint="eastAsia" w:ascii="宋体" w:hAnsi="宋体" w:eastAsia="宋体" w:cs="宋体"/>
          <w:b/>
          <w:bCs/>
          <w:szCs w:val="28"/>
        </w:rPr>
        <w:t xml:space="preserve">软件、服务及配套硬件设备</w:t>
      </w:r>
      <w:bookmarkEnd w:id="42"/>
      <w:r>
        <w:rPr>
          <w:rFonts w:hint="eastAsia" w:ascii="宋体" w:hAnsi="宋体" w:eastAsia="宋体" w:cs="宋体"/>
          <w:b/>
          <w:bCs/>
          <w:szCs w:val="28"/>
        </w:rPr>
        <w:t xml:space="preserve">清单</w:t>
      </w:r>
      <w:r/>
    </w:p>
    <w:tbl>
      <w:tblPr>
        <w:tblStyle w:val="11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81"/>
        <w:gridCol w:w="1613"/>
        <w:gridCol w:w="3894"/>
        <w:gridCol w:w="714"/>
        <w:gridCol w:w="3076"/>
      </w:tblGrid>
      <w:tr>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序号</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设备名称</w:t>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规格型号 / 主要技术特征</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数量</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服务及功能概况</w:t>
            </w:r>
            <w:r/>
          </w:p>
        </w:tc>
      </w:tr>
      <w:tr>
        <w:trPr>
          <w:trHeight w:val="90"/>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血液透析软件</w:t>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血液透析信息管理软件，对接院内及省平台</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ascii="宋体" w:hAnsi="宋体" w:eastAsia="宋体" w:cs="宋体"/>
                <w:szCs w:val="28"/>
              </w:rPr>
              <w:t xml:space="preserve">需满足“</w:t>
            </w:r>
            <w:r>
              <w:rPr>
                <w:rFonts w:hint="eastAsia" w:ascii="宋体" w:hAnsi="宋体" w:eastAsia="宋体" w:cs="宋体"/>
                <w:szCs w:val="28"/>
              </w:rPr>
              <w:t xml:space="preserve">二、项目建设内容”中“（一）血液透析信息管理软件</w:t>
            </w:r>
            <w:r>
              <w:rPr>
                <w:rFonts w:ascii="宋体" w:hAnsi="宋体" w:eastAsia="宋体" w:cs="宋体"/>
                <w:szCs w:val="28"/>
              </w:rPr>
              <w:t xml:space="preserve">”的要求</w:t>
            </w:r>
            <w:r/>
          </w:p>
        </w:tc>
      </w:tr>
      <w:tr>
        <w:trPr>
          <w:trHeight w:val="888"/>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2</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接口费用</w:t>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与院内HIS、LIS等系统做接口</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血液透析信息管理软件能调用HIS、LIS等系统数据</w:t>
            </w:r>
            <w:r/>
          </w:p>
        </w:tc>
      </w:tr>
      <w:tr>
        <w:trPr>
          <w:trHeight w:val="560"/>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3</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轮椅秤</w:t>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秤盘 80*80cm；量程 500KG；精度 ±0.1KG，分度值 0.1KG；预留 RS-232 串口对接系统；具备重置、数据保留、自动关机、自动除皮</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自助体重测量，实现患者体重自助采集、自动上传</w:t>
            </w:r>
            <w:r/>
          </w:p>
        </w:tc>
      </w:tr>
      <w:tr>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4</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臂式电子血压计</w:t>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适用臂围 17-42cm；成人模式；压力精度 ±3mmHg；收缩压 / 舒张压 / 平均压标准测量范围；脉率 40-240bpm；标配网口 / USB/WIFI 多通讯接口</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自助血压测量，实现患者血压自助采集、自动上传</w:t>
            </w:r>
            <w:r/>
          </w:p>
        </w:tc>
      </w:tr>
      <w:tr>
        <w:trPr>
          <w:trHeight w:val="718"/>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5</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ID 卡读卡器及ID芯片卡</w:t>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支持 ISO14443-TypeA 标准卡，3套读卡器和100张芯片卡</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患者身份刷卡识别、自助终端身份核验</w:t>
            </w:r>
            <w:r/>
          </w:p>
        </w:tc>
      </w:tr>
      <w:tr>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6</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 w:val="28"/>
                <w:szCs w:val="28"/>
              </w:rPr>
              <w:t xml:space="preserve">★</w:t>
            </w:r>
            <w:r>
              <w:rPr>
                <w:rFonts w:hint="eastAsia" w:ascii="宋体" w:hAnsi="宋体" w:eastAsia="宋体" w:cs="宋体"/>
                <w:szCs w:val="28"/>
              </w:rPr>
              <w:t xml:space="preserve">平板电脑（节能产品）</w:t>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≥10.5英寸；分辨率≥1920*1280；内存≥4GB；存储≥128GB</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7</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医护移动查房、护理记录等</w:t>
            </w:r>
            <w:r/>
          </w:p>
        </w:tc>
      </w:tr>
      <w:tr>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7</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 w:val="28"/>
                <w:szCs w:val="28"/>
              </w:rPr>
              <w:t xml:space="preserve">★</w:t>
            </w:r>
            <w:r>
              <w:rPr>
                <w:rFonts w:hint="eastAsia" w:ascii="宋体" w:hAnsi="宋体" w:eastAsia="宋体" w:cs="宋体"/>
                <w:szCs w:val="28"/>
              </w:rPr>
              <w:t xml:space="preserve">55 英寸 4K 大屏</w:t>
            </w:r>
            <w:r>
              <w:rPr>
                <w:rFonts w:hint="eastAsia" w:ascii="宋体" w:hAnsi="宋体" w:eastAsia="宋体" w:cs="宋体"/>
                <w:szCs w:val="28"/>
                <w:lang w:val="en-US" w:eastAsia="zh-CN"/>
              </w:rPr>
              <w:t xml:space="preserve">液晶</w:t>
            </w:r>
            <w:r>
              <w:rPr>
                <w:rFonts w:hint="eastAsia" w:ascii="宋体" w:hAnsi="宋体" w:eastAsia="宋体" w:cs="宋体"/>
                <w:szCs w:val="28"/>
              </w:rPr>
              <w:t xml:space="preserve">显示器</w:t>
            </w:r>
            <w:r>
              <w:rPr>
                <w:rFonts w:hint="eastAsia" w:ascii="宋体" w:hAnsi="宋体" w:eastAsia="宋体" w:cs="宋体"/>
                <w:szCs w:val="28"/>
              </w:rPr>
              <w:t xml:space="preserve">（节能产品）</w:t>
            </w:r>
            <w:r>
              <w:rPr>
                <w:rFonts w:hint="eastAsia" w:ascii="宋体" w:hAnsi="宋体" w:eastAsia="宋体" w:cs="宋体"/>
                <w:szCs w:val="28"/>
              </w:rPr>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≥55 英寸；分辨率≥3840*2160；运行内存≥3GB、存储≥64GB</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透析患者排床信息</w:t>
            </w:r>
            <w:r/>
          </w:p>
        </w:tc>
      </w:tr>
      <w:tr>
        <w:trPr/>
        <w:tc>
          <w:tcPr>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8</w:t>
            </w:r>
            <w:r/>
          </w:p>
        </w:tc>
        <w:tc>
          <w:tcPr>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 w:val="28"/>
                <w:szCs w:val="28"/>
              </w:rPr>
              <w:t xml:space="preserve">★</w:t>
            </w:r>
            <w:r>
              <w:rPr>
                <w:rFonts w:hint="eastAsia" w:ascii="宋体" w:hAnsi="宋体" w:eastAsia="宋体" w:cs="宋体"/>
                <w:szCs w:val="28"/>
              </w:rPr>
              <w:t xml:space="preserve">条码</w:t>
            </w:r>
            <w:r>
              <w:rPr>
                <w:rFonts w:hint="eastAsia" w:ascii="宋体" w:hAnsi="宋体" w:eastAsia="宋体" w:cs="宋体"/>
                <w:szCs w:val="28"/>
                <w:lang w:val="en-US" w:eastAsia="zh-CN"/>
              </w:rPr>
              <w:t xml:space="preserve">激光</w:t>
            </w:r>
            <w:r>
              <w:rPr>
                <w:rFonts w:hint="eastAsia" w:ascii="宋体" w:hAnsi="宋体" w:eastAsia="宋体" w:cs="宋体"/>
                <w:szCs w:val="28"/>
              </w:rPr>
              <w:t xml:space="preserve">打印机</w:t>
            </w:r>
            <w:r>
              <w:rPr>
                <w:rFonts w:hint="eastAsia" w:ascii="宋体" w:hAnsi="宋体" w:eastAsia="宋体" w:cs="宋体"/>
                <w:szCs w:val="28"/>
              </w:rPr>
              <w:t xml:space="preserve">（节能产品）</w:t>
            </w:r>
            <w:r>
              <w:rPr>
                <w:rFonts w:hint="eastAsia" w:ascii="宋体" w:hAnsi="宋体" w:eastAsia="宋体" w:cs="宋体"/>
                <w:szCs w:val="28"/>
              </w:rPr>
            </w:r>
            <w:r/>
          </w:p>
        </w:tc>
        <w:tc>
          <w:tcPr>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分辨率≥203dpi；打印宽度 25.4\104mm；打印速度 102\152mm/s</w:t>
            </w:r>
            <w:r/>
          </w:p>
        </w:tc>
        <w:tc>
          <w:tcPr>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2</w:t>
            </w:r>
            <w:r/>
          </w:p>
        </w:tc>
        <w:tc>
          <w:tcPr>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耗材标签等打印</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9</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一体化管理终端</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用于连接轮椅称1台和血压仪1台</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2</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ascii="宋体" w:hAnsi="宋体" w:eastAsia="宋体" w:cs="宋体"/>
                <w:szCs w:val="28"/>
              </w:rPr>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0" w:type="auto"/>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1613" w:type="dxa"/>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基础配套服务</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389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提供满足部署血透软件的基础环境、网络环境以及终端网络链接</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714" w:type="dxa"/>
            <w:vAlign w:val="center"/>
            <w:textDirection w:val="lrTb"/>
            <w:noWrap w:val="false"/>
          </w:tcPr>
          <w:p>
            <w:pPr>
              <w:ind w:firstLine="0"/>
              <w:rPr>
                <w:rFonts w:ascii="宋体" w:hAnsi="宋体" w:eastAsia="宋体" w:cs="宋体"/>
                <w:szCs w:val="28"/>
              </w:rPr>
            </w:pPr>
            <w:r>
              <w:rPr>
                <w:rFonts w:hint="eastAsia" w:ascii="宋体" w:hAnsi="宋体" w:eastAsia="宋体" w:cs="宋体"/>
                <w:szCs w:val="28"/>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60" w:type="dxa"/>
              <w:right w:w="120" w:type="dxa"/>
              <w:bottom w:w="30" w:type="dxa"/>
            </w:tcMar>
            <w:tcW w:w="0" w:type="auto"/>
            <w:vAlign w:val="center"/>
            <w:textDirection w:val="lrTb"/>
            <w:noWrap w:val="false"/>
          </w:tcPr>
          <w:p>
            <w:pPr>
              <w:ind w:firstLine="0"/>
              <w:jc w:val="left"/>
              <w:rPr>
                <w:rFonts w:ascii="宋体" w:hAnsi="宋体" w:eastAsia="宋体" w:cs="宋体"/>
                <w:szCs w:val="28"/>
              </w:rPr>
            </w:pPr>
            <w:r>
              <w:rPr>
                <w:rFonts w:hint="eastAsia" w:ascii="宋体" w:hAnsi="宋体" w:eastAsia="宋体" w:cs="宋体"/>
                <w:szCs w:val="28"/>
              </w:rPr>
              <w:t xml:space="preserve">满足业务的要求</w:t>
            </w:r>
            <w:r/>
          </w:p>
        </w:tc>
      </w:tr>
    </w:tbl>
    <w:p>
      <w:pPr>
        <w:ind w:firstLine="0"/>
        <w:rPr>
          <w:rFonts w:hint="default" w:ascii="宋体" w:hAnsi="宋体" w:eastAsia="宋体" w:cs="宋体"/>
          <w:b/>
          <w:color w:val="ff0000"/>
          <w:sz w:val="28"/>
          <w:highlight w:val="yellow"/>
        </w:rPr>
      </w:pPr>
      <w:r>
        <w:rPr>
          <w:rFonts w:hint="eastAsia" w:ascii="宋体" w:hAnsi="宋体" w:eastAsia="宋体" w:cs="宋体"/>
          <w:sz w:val="28"/>
          <w:szCs w:val="28"/>
        </w:rPr>
        <w:t xml:space="preserve">  ★</w:t>
      </w:r>
      <w:r>
        <w:rPr>
          <w:rFonts w:hint="default" w:ascii="宋体" w:hAnsi="宋体" w:eastAsia="宋体" w:cs="宋体"/>
          <w:b/>
          <w:color w:val="ff0000"/>
          <w:sz w:val="28"/>
          <w:highlight w:val="yellow"/>
        </w:rPr>
        <w:t xml:space="preserve">注：</w:t>
      </w:r>
      <w:r>
        <w:rPr>
          <w:rFonts w:hint="eastAsia" w:ascii="宋体" w:hAnsi="宋体" w:eastAsia="宋体" w:cs="宋体"/>
          <w:b/>
          <w:color w:val="ff0000"/>
          <w:sz w:val="28"/>
          <w:highlight w:val="yellow"/>
        </w:rPr>
        <w:t xml:space="preserve">平板电脑</w:t>
      </w:r>
      <w:r>
        <w:rPr>
          <w:rFonts w:hint="eastAsia" w:ascii="宋体" w:hAnsi="宋体" w:eastAsia="宋体" w:cs="宋体"/>
          <w:b/>
          <w:color w:val="ff0000"/>
          <w:sz w:val="28"/>
          <w:highlight w:val="yellow"/>
          <w:lang w:eastAsia="zh-CN"/>
        </w:rPr>
        <w:t xml:space="preserve">、</w:t>
      </w:r>
      <w:r>
        <w:rPr>
          <w:rFonts w:hint="eastAsia" w:ascii="宋体" w:hAnsi="宋体" w:eastAsia="宋体" w:cs="宋体"/>
          <w:b/>
          <w:color w:val="ff0000"/>
          <w:sz w:val="28"/>
          <w:highlight w:val="yellow"/>
        </w:rPr>
        <w:t xml:space="preserve">55 英寸 4K 大屏</w:t>
      </w:r>
      <w:r>
        <w:rPr>
          <w:rFonts w:hint="eastAsia" w:ascii="宋体" w:hAnsi="宋体" w:eastAsia="宋体" w:cs="宋体"/>
          <w:b/>
          <w:color w:val="ff0000"/>
          <w:sz w:val="28"/>
          <w:highlight w:val="yellow"/>
          <w:lang w:val="en-US" w:eastAsia="zh-CN"/>
        </w:rPr>
        <w:t xml:space="preserve">液晶</w:t>
      </w:r>
      <w:r>
        <w:rPr>
          <w:rFonts w:hint="eastAsia" w:ascii="宋体" w:hAnsi="宋体" w:eastAsia="宋体" w:cs="宋体"/>
          <w:b/>
          <w:color w:val="ff0000"/>
          <w:sz w:val="28"/>
          <w:highlight w:val="yellow"/>
        </w:rPr>
        <w:t xml:space="preserve">显示器</w:t>
      </w:r>
      <w:r>
        <w:rPr>
          <w:rFonts w:hint="eastAsia" w:ascii="宋体" w:hAnsi="宋体" w:eastAsia="宋体" w:cs="宋体"/>
          <w:b/>
          <w:color w:val="ff0000"/>
          <w:sz w:val="28"/>
          <w:highlight w:val="yellow"/>
          <w:lang w:eastAsia="zh-CN"/>
        </w:rPr>
        <w:t xml:space="preserve">、</w:t>
      </w:r>
      <w:r>
        <w:rPr>
          <w:rFonts w:hint="eastAsia" w:ascii="宋体" w:hAnsi="宋体" w:eastAsia="宋体" w:cs="宋体"/>
          <w:b/>
          <w:color w:val="ff0000"/>
          <w:sz w:val="28"/>
          <w:highlight w:val="yellow"/>
        </w:rPr>
        <w:t xml:space="preserve">条码</w:t>
      </w:r>
      <w:r>
        <w:rPr>
          <w:rFonts w:hint="eastAsia" w:ascii="宋体" w:hAnsi="宋体" w:eastAsia="宋体" w:cs="宋体"/>
          <w:b/>
          <w:color w:val="ff0000"/>
          <w:sz w:val="28"/>
          <w:highlight w:val="yellow"/>
          <w:lang w:val="en-US" w:eastAsia="zh-CN"/>
        </w:rPr>
        <w:t xml:space="preserve">激光</w:t>
      </w:r>
      <w:r>
        <w:rPr>
          <w:rFonts w:hint="eastAsia" w:ascii="宋体" w:hAnsi="宋体" w:eastAsia="宋体" w:cs="宋体"/>
          <w:b/>
          <w:color w:val="ff0000"/>
          <w:sz w:val="28"/>
          <w:highlight w:val="yellow"/>
        </w:rPr>
        <w:t xml:space="preserve">打印机</w:t>
      </w:r>
      <w:r>
        <w:rPr>
          <w:rFonts w:hint="eastAsia" w:ascii="宋体" w:hAnsi="宋体" w:eastAsia="宋体" w:cs="宋体"/>
          <w:b/>
          <w:color w:val="ff0000"/>
          <w:sz w:val="28"/>
          <w:highlight w:val="yellow"/>
          <w:lang w:val="en-US" w:eastAsia="zh-CN"/>
        </w:rPr>
        <w:t xml:space="preserve">3个</w:t>
      </w:r>
      <w:r>
        <w:rPr>
          <w:rFonts w:hint="eastAsia" w:ascii="宋体" w:hAnsi="宋体" w:eastAsia="宋体" w:cs="宋体"/>
          <w:b/>
          <w:color w:val="ff0000"/>
          <w:sz w:val="28"/>
          <w:highlight w:val="yellow"/>
        </w:rPr>
        <w:t xml:space="preserve">配套硬件</w:t>
      </w:r>
      <w:r>
        <w:rPr>
          <w:rFonts w:hint="eastAsia" w:ascii="宋体" w:hAnsi="宋体" w:eastAsia="宋体" w:cs="宋体"/>
          <w:b/>
          <w:color w:val="ff0000"/>
          <w:sz w:val="28"/>
          <w:highlight w:val="yellow"/>
          <w:lang w:val="en-US" w:eastAsia="zh-CN"/>
        </w:rPr>
        <w:t xml:space="preserve">全部属于</w:t>
      </w:r>
      <w:r>
        <w:rPr>
          <w:rFonts w:hint="eastAsia" w:ascii="宋体" w:hAnsi="宋体" w:eastAsia="宋体" w:cs="宋体"/>
          <w:b/>
          <w:color w:val="ff0000"/>
          <w:sz w:val="28"/>
          <w:highlight w:val="yellow"/>
        </w:rPr>
        <w:t xml:space="preserve">政府强制采购节能产品</w:t>
      </w:r>
      <w:r>
        <w:rPr>
          <w:rFonts w:hint="eastAsia" w:ascii="宋体" w:hAnsi="宋体" w:eastAsia="宋体" w:cs="宋体"/>
          <w:b/>
          <w:color w:val="ff0000"/>
          <w:sz w:val="28"/>
          <w:highlight w:val="yellow"/>
          <w:lang w:eastAsia="zh-CN"/>
        </w:rPr>
        <w:t xml:space="preserve">，</w:t>
      </w:r>
      <w:r>
        <w:rPr>
          <w:rFonts w:hint="default" w:ascii="宋体" w:hAnsi="宋体" w:eastAsia="宋体" w:cs="宋体"/>
          <w:b/>
          <w:color w:val="ff0000"/>
          <w:sz w:val="28"/>
          <w:highlight w:val="yellow"/>
        </w:rPr>
        <w:t xml:space="preserve">投标人</w:t>
      </w:r>
      <w:r>
        <w:rPr>
          <w:rFonts w:hint="eastAsia" w:ascii="宋体" w:hAnsi="宋体" w:eastAsia="宋体" w:cs="宋体"/>
          <w:b/>
          <w:color w:val="ff0000"/>
          <w:sz w:val="28"/>
          <w:highlight w:val="yellow"/>
          <w:lang w:val="en-US" w:eastAsia="zh-CN"/>
        </w:rPr>
        <w:t xml:space="preserve">需</w:t>
      </w:r>
      <w:r>
        <w:rPr>
          <w:rFonts w:hint="default" w:ascii="宋体" w:hAnsi="宋体" w:eastAsia="宋体" w:cs="宋体"/>
          <w:b/>
          <w:color w:val="ff0000"/>
          <w:sz w:val="28"/>
          <w:highlight w:val="yellow"/>
        </w:rPr>
        <w:t xml:space="preserve">提供</w:t>
      </w:r>
      <w:r>
        <w:rPr>
          <w:rFonts w:hint="default" w:ascii="宋体" w:hAnsi="宋体" w:eastAsia="宋体" w:cs="宋体"/>
          <w:b/>
          <w:color w:val="ff0000"/>
          <w:sz w:val="28"/>
          <w:highlight w:val="yellow"/>
        </w:rPr>
        <w:t xml:space="preserve">3个</w:t>
      </w:r>
      <w:r>
        <w:rPr>
          <w:rFonts w:hint="default" w:ascii="宋体" w:hAnsi="宋体" w:eastAsia="宋体" w:cs="宋体"/>
          <w:b/>
          <w:color w:val="ff0000"/>
          <w:sz w:val="28"/>
          <w:highlight w:val="yellow"/>
        </w:rPr>
        <w:t xml:space="preserve">所投产品获得国家认可的认证机构出具的处于有效期内的节能产品认证证书</w:t>
      </w:r>
      <w:r>
        <w:rPr>
          <w:rFonts w:hint="eastAsia" w:ascii="宋体" w:hAnsi="宋体" w:eastAsia="宋体" w:cs="宋体"/>
          <w:b/>
          <w:color w:val="ff0000"/>
          <w:sz w:val="28"/>
          <w:highlight w:val="yellow"/>
          <w:lang w:val="en-US" w:eastAsia="zh-CN"/>
        </w:rPr>
        <w:t xml:space="preserve">证明材料</w:t>
      </w:r>
      <w:r>
        <w:rPr>
          <w:rFonts w:hint="default" w:ascii="宋体" w:hAnsi="宋体" w:eastAsia="宋体" w:cs="宋体"/>
          <w:b/>
          <w:color w:val="ff0000"/>
          <w:sz w:val="28"/>
          <w:highlight w:val="yellow"/>
        </w:rPr>
        <w:t xml:space="preserve">上传至“</w:t>
      </w:r>
      <w:r>
        <w:rPr>
          <w:rFonts w:hint="eastAsia" w:ascii="宋体" w:hAnsi="宋体" w:eastAsia="宋体" w:cs="宋体"/>
          <w:b/>
          <w:color w:val="ff0000"/>
          <w:sz w:val="28"/>
          <w:highlight w:val="yellow"/>
          <w:lang w:val="en-US" w:eastAsia="zh-CN"/>
        </w:rPr>
        <w:t xml:space="preserve">与评审相关的其他符合证明文件材料</w:t>
      </w:r>
      <w:r>
        <w:rPr>
          <w:rFonts w:hint="default" w:ascii="宋体" w:hAnsi="宋体" w:eastAsia="宋体" w:cs="宋体"/>
          <w:b/>
          <w:color w:val="ff0000"/>
          <w:sz w:val="28"/>
          <w:highlight w:val="yellow"/>
        </w:rPr>
        <w:t xml:space="preserve">”模块中，否则作无效投标文件处理。</w:t>
      </w:r>
      <w:r/>
    </w:p>
    <w:p>
      <w:pPr>
        <w:ind w:firstLine="562"/>
        <w:rPr>
          <w:rFonts w:ascii="宋体" w:hAnsi="宋体" w:eastAsia="宋体" w:cs="宋体"/>
          <w:b/>
          <w:bCs/>
          <w:szCs w:val="28"/>
        </w:rPr>
      </w:pPr>
      <w:r/>
      <w:bookmarkStart w:id="43" w:name="heading_7"/>
      <w:r>
        <w:rPr>
          <w:rFonts w:hint="eastAsia" w:ascii="宋体" w:hAnsi="宋体" w:eastAsia="宋体" w:cs="宋体"/>
          <w:b/>
          <w:bCs/>
          <w:szCs w:val="28"/>
          <w:lang w:val="en-US" w:eastAsia="zh-CN"/>
        </w:rPr>
        <w:t xml:space="preserve">3.</w:t>
      </w:r>
      <w:r>
        <w:rPr>
          <w:rFonts w:hint="eastAsia" w:ascii="宋体" w:hAnsi="宋体" w:eastAsia="宋体" w:cs="宋体"/>
          <w:b/>
          <w:bCs/>
          <w:szCs w:val="28"/>
        </w:rPr>
        <w:t xml:space="preserve">整体服务通用要求</w:t>
      </w:r>
      <w:bookmarkEnd w:id="43"/>
      <w:r/>
      <w:r/>
    </w:p>
    <w:p>
      <w:pPr>
        <w:ind w:firstLine="560"/>
        <w:rPr>
          <w:rFonts w:ascii="宋体" w:hAnsi="宋体" w:eastAsia="宋体" w:cs="宋体"/>
          <w:szCs w:val="28"/>
        </w:rPr>
      </w:pPr>
      <w:r>
        <w:rPr>
          <w:rFonts w:hint="eastAsia" w:ascii="宋体" w:hAnsi="宋体" w:eastAsia="宋体" w:cs="宋体"/>
          <w:szCs w:val="28"/>
        </w:rPr>
        <w:t xml:space="preserve">负责系统整体部署、参数配置、业务流程定制、与医院现有业务系统接口开发及数据联调、与省平台对接（5年）；</w:t>
      </w:r>
      <w:r/>
    </w:p>
    <w:p>
      <w:pPr>
        <w:ind w:firstLine="560"/>
        <w:rPr>
          <w:rFonts w:ascii="宋体" w:hAnsi="宋体" w:eastAsia="宋体" w:cs="宋体"/>
          <w:szCs w:val="28"/>
        </w:rPr>
      </w:pPr>
      <w:r>
        <w:rPr>
          <w:rFonts w:hint="eastAsia" w:ascii="宋体" w:hAnsi="宋体" w:eastAsia="宋体" w:cs="宋体"/>
          <w:szCs w:val="28"/>
        </w:rPr>
        <w:t xml:space="preserve">需根据“软件、服务及配套硬件设备清单”提供分项报价清单。</w:t>
      </w:r>
      <w:r/>
    </w:p>
    <w:p>
      <w:pPr>
        <w:ind w:firstLine="560"/>
        <w:rPr>
          <w:rFonts w:ascii="宋体" w:hAnsi="宋体" w:eastAsia="宋体" w:cs="宋体"/>
          <w:szCs w:val="28"/>
        </w:rPr>
      </w:pPr>
      <w:r>
        <w:rPr>
          <w:rFonts w:hint="eastAsia" w:ascii="宋体" w:hAnsi="宋体" w:eastAsia="宋体" w:cs="宋体"/>
          <w:szCs w:val="28"/>
        </w:rPr>
        <w:t xml:space="preserve">提供全流程操作培训，覆盖医生、护士、科室管理员、设备管理员；</w:t>
      </w:r>
      <w:r/>
    </w:p>
    <w:p>
      <w:pPr>
        <w:ind w:firstLine="560"/>
        <w:rPr>
          <w:rFonts w:ascii="宋体" w:hAnsi="宋体" w:eastAsia="宋体" w:cs="宋体"/>
          <w:szCs w:val="28"/>
        </w:rPr>
      </w:pPr>
      <w:r>
        <w:rPr>
          <w:rFonts w:hint="eastAsia" w:ascii="宋体" w:hAnsi="宋体" w:eastAsia="宋体" w:cs="宋体"/>
          <w:szCs w:val="28"/>
        </w:rPr>
        <w:t xml:space="preserve">设立7×24 小时服务热线，验收后免费提供远程技术支持与业务咨询；远程维护30分钟内响应回复，一般性问题当场解决，评估后需现场处置的2小时内安排上门服务；</w:t>
      </w:r>
      <w:r/>
    </w:p>
    <w:p>
      <w:pPr>
        <w:ind w:firstLine="560"/>
        <w:rPr>
          <w:rFonts w:ascii="宋体" w:hAnsi="宋体" w:eastAsia="宋体" w:cs="宋体"/>
          <w:szCs w:val="28"/>
        </w:rPr>
      </w:pPr>
      <w:r>
        <w:rPr>
          <w:rFonts w:hint="eastAsia" w:ascii="宋体" w:hAnsi="宋体" w:eastAsia="宋体" w:cs="宋体"/>
          <w:szCs w:val="28"/>
        </w:rPr>
        <w:t xml:space="preserve">实施全过程遵守安全规范，所用软硬件、对接方式不得影响医院现有HIS、信息系统正常运行，使用完成后不驻留多余程序、销毁无关敏感文档；</w:t>
      </w:r>
      <w:r/>
    </w:p>
    <w:p>
      <w:pPr>
        <w:ind w:firstLine="560"/>
        <w:rPr>
          <w:rFonts w:ascii="宋体" w:hAnsi="宋体" w:eastAsia="宋体" w:cs="宋体"/>
          <w:szCs w:val="28"/>
        </w:rPr>
      </w:pPr>
      <w:r>
        <w:rPr>
          <w:rFonts w:hint="eastAsia" w:ascii="宋体" w:hAnsi="宋体" w:eastAsia="宋体" w:cs="宋体"/>
          <w:szCs w:val="28"/>
        </w:rPr>
        <w:t xml:space="preserve">实施前签订保密协议，对患者隐私、诊疗数据、医院内部业务信息严格保密；</w:t>
      </w:r>
      <w:r/>
    </w:p>
    <w:p>
      <w:pPr>
        <w:ind w:firstLine="560"/>
        <w:rPr>
          <w:rFonts w:ascii="宋体" w:hAnsi="宋体" w:eastAsia="宋体" w:cs="宋体"/>
          <w:szCs w:val="28"/>
        </w:rPr>
      </w:pPr>
      <w:r>
        <w:rPr>
          <w:rFonts w:hint="eastAsia" w:ascii="宋体" w:hAnsi="宋体" w:eastAsia="宋体" w:cs="宋体"/>
          <w:szCs w:val="28"/>
        </w:rPr>
        <w:t xml:space="preserve">提供完整项目文档：操作手册、运维手册、软件拓扑、接口文档、验收资料等全套软件产品实施交付资料。</w:t>
      </w:r>
      <w:r/>
    </w:p>
    <w:p>
      <w:pPr>
        <w:ind w:left="0" w:firstLine="0"/>
        <w:pageBreakBefore w:val="0"/>
        <w:spacing w:line="360" w:lineRule="auto"/>
        <w:rPr>
          <w:rFonts w:hint="default" w:ascii="宋体" w:hAnsi="宋体" w:eastAsia="宋体" w:cs="宋体"/>
          <w:sz w:val="28"/>
          <w:szCs w:val="28"/>
          <w:lang w:val="en-US" w:eastAsia="zh-CN"/>
        </w:rPr>
      </w:pPr>
      <w:r>
        <w:rPr>
          <w:rFonts w:hint="eastAsia" w:ascii="黑体" w:hAnsi="黑体" w:cs="黑体"/>
          <w:sz w:val="28"/>
          <w:szCs w:val="28"/>
          <w:lang w:val="en-US" w:eastAsia="zh-CN"/>
        </w:rPr>
        <w:t xml:space="preserve">三、</w:t>
      </w:r>
      <w:r>
        <w:rPr>
          <w:rFonts w:hint="eastAsia" w:ascii="宋体" w:hAnsi="宋体" w:cs="宋体"/>
          <w:b/>
          <w:bCs/>
          <w:sz w:val="28"/>
          <w:szCs w:val="28"/>
          <w:lang w:val="en-US" w:eastAsia="zh-CN"/>
        </w:rPr>
        <w:t xml:space="preserve">人员配备</w:t>
      </w:r>
      <w:r/>
    </w:p>
    <w:p>
      <w:pPr>
        <w:ind w:firstLine="0"/>
        <w:rPr>
          <w:rFonts w:hint="eastAsia" w:ascii="宋体" w:hAnsi="宋体" w:eastAsia="宋体" w:cs="宋体"/>
          <w:bCs/>
          <w:sz w:val="28"/>
          <w:szCs w:val="28"/>
          <w:lang w:val="en-US" w:eastAsia="zh-CN"/>
        </w:rPr>
      </w:pPr>
      <w:r>
        <w:rPr>
          <w:rFonts w:hint="eastAsia" w:ascii="宋体" w:hAnsi="宋体" w:eastAsia="宋体" w:cs="宋体"/>
          <w:bCs/>
          <w:sz w:val="28"/>
          <w:szCs w:val="28"/>
        </w:rPr>
        <w:t xml:space="preserve">    本项目</w:t>
      </w:r>
      <w:r>
        <w:rPr>
          <w:rFonts w:hint="eastAsia" w:ascii="宋体" w:hAnsi="宋体" w:eastAsia="宋体" w:cs="宋体"/>
          <w:bCs/>
          <w:sz w:val="28"/>
          <w:szCs w:val="28"/>
          <w:lang w:val="en-US" w:eastAsia="zh-CN"/>
        </w:rPr>
        <w:t xml:space="preserve">投标人需配备且不限于</w:t>
      </w:r>
      <w:r>
        <w:rPr>
          <w:rFonts w:hint="eastAsia" w:ascii="宋体" w:hAnsi="宋体" w:eastAsia="宋体" w:cs="宋体"/>
          <w:bCs/>
          <w:sz w:val="28"/>
          <w:szCs w:val="28"/>
          <w:lang w:val="zh-CN" w:eastAsia="zh-CN"/>
        </w:rPr>
        <w:t xml:space="preserve">项目</w:t>
      </w:r>
      <w:r>
        <w:rPr>
          <w:rFonts w:hint="eastAsia" w:ascii="宋体" w:hAnsi="宋体" w:eastAsia="宋体" w:cs="宋体"/>
          <w:bCs/>
          <w:sz w:val="28"/>
          <w:szCs w:val="28"/>
          <w:lang w:val="en-US" w:eastAsia="zh-CN"/>
        </w:rPr>
        <w:t xml:space="preserve">负责人1人，技术负责人1人，网络安全负责人1人，且以上人员不得兼职。</w:t>
      </w:r>
      <w:r/>
    </w:p>
    <w:p>
      <w:pPr>
        <w:rPr>
          <w:rFonts w:hint="default"/>
          <w:lang w:val="en-US" w:eastAsia="zh-CN"/>
        </w:rPr>
      </w:pPr>
      <w:r>
        <w:rPr>
          <w:rFonts w:hint="default"/>
          <w:lang w:val="en-US" w:eastAsia="zh-CN"/>
        </w:rPr>
      </w:r>
      <w:r/>
    </w:p>
    <w:p>
      <w:pPr>
        <w:pStyle w:val="1106"/>
        <w:ind w:left="0" w:firstLine="0"/>
        <w:jc w:val="center"/>
        <w:pageBreakBefore w:val="0"/>
        <w:spacing w:before="0" w:after="0" w:line="360" w:lineRule="auto"/>
        <w:widowControl w:val="off"/>
        <w:rPr>
          <w:rStyle w:val="1132"/>
          <w:rFonts w:hint="eastAsia" w:ascii="黑体" w:hAnsi="黑体" w:cs="黑体"/>
          <w:b/>
          <w:bCs/>
          <w:sz w:val="28"/>
          <w:szCs w:val="28"/>
          <w:lang w:val="en-US" w:eastAsia="zh-CN"/>
        </w:rPr>
      </w:pPr>
      <w:r>
        <w:rPr>
          <w:rStyle w:val="1132"/>
          <w:rFonts w:hint="eastAsia" w:ascii="黑体" w:hAnsi="黑体" w:cs="黑体"/>
          <w:b/>
          <w:bCs/>
          <w:sz w:val="28"/>
          <w:szCs w:val="28"/>
          <w:lang w:val="en-US" w:eastAsia="zh-CN"/>
        </w:rPr>
        <w:t xml:space="preserve">★第六节  商务要求</w:t>
      </w:r>
      <w:r/>
    </w:p>
    <w:p>
      <w:pPr>
        <w:numPr>
          <w:ilvl w:val="1"/>
          <w:numId w:val="2"/>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pStyle w:val="1112"/>
        <w:numPr>
          <w:ilvl w:val="0"/>
          <w:numId w:val="0"/>
        </w:numPr>
        <w:ind w:firstLine="1124"/>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cs="宋体"/>
          <w:b/>
          <w:bCs/>
          <w:color w:val="1d41d5"/>
          <w:spacing w:val="8"/>
          <w:sz w:val="28"/>
          <w:szCs w:val="28"/>
          <w:u w:val="single"/>
        </w:rPr>
        <w:t xml:space="preserve">合同签订之日起3个月内完成该系统建设后并通过验收，自采购人通过验收之日起免费维保期1年。</w:t>
      </w:r>
      <w:r/>
    </w:p>
    <w:p>
      <w:pPr>
        <w:pStyle w:val="1110"/>
        <w:ind w:firstLine="1124"/>
        <w:pageBreakBefore w:val="0"/>
        <w:spacing w:line="360" w:lineRule="auto"/>
        <w:rPr>
          <w:rFonts w:hint="eastAsia" w:ascii="宋体" w:hAnsi="宋体" w:eastAsia="宋体" w:cs="宋体"/>
          <w:b/>
          <w:sz w:val="28"/>
          <w:szCs w:val="28"/>
          <w:lang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常州市金坛区第二人民医院</w:t>
      </w:r>
      <w:r/>
    </w:p>
    <w:p>
      <w:pPr>
        <w:pStyle w:val="1166"/>
        <w:numPr>
          <w:ilvl w:val="1"/>
          <w:numId w:val="2"/>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firstLine="0"/>
        <w:rPr>
          <w:rFonts w:hint="eastAsia" w:ascii="宋体" w:hAnsi="宋体" w:eastAsia="宋体" w:cs="宋体"/>
          <w:b/>
          <w:sz w:val="28"/>
          <w:szCs w:val="28"/>
        </w:rPr>
      </w:pPr>
      <w:r>
        <w:rPr>
          <w:rFonts w:hint="eastAsia" w:ascii="宋体" w:hAnsi="宋体" w:cs="宋体"/>
          <w:b/>
          <w:sz w:val="28"/>
          <w:szCs w:val="28"/>
          <w:lang w:val="en-US" w:eastAsia="zh-CN"/>
        </w:rPr>
        <w:t xml:space="preserve">    3.</w:t>
      </w:r>
      <w:r>
        <w:rPr>
          <w:rFonts w:hint="eastAsia" w:ascii="宋体" w:hAnsi="宋体" w:eastAsia="宋体" w:cs="宋体"/>
          <w:b/>
          <w:sz w:val="28"/>
          <w:szCs w:val="28"/>
        </w:rPr>
        <w:t xml:space="preserve">付款方式</w:t>
      </w:r>
      <w:r/>
    </w:p>
    <w:p>
      <w:pPr>
        <w:ind w:firstLine="0"/>
        <w:rPr>
          <w:rFonts w:hint="eastAsia" w:ascii="宋体" w:hAnsi="宋体" w:eastAsia="宋体" w:cs="宋体"/>
          <w:b/>
          <w:sz w:val="28"/>
          <w:szCs w:val="28"/>
        </w:rPr>
      </w:pPr>
      <w:r>
        <w:rPr>
          <w:rFonts w:hint="eastAsia" w:ascii="宋体" w:hAnsi="宋体" w:eastAsia="宋体" w:cs="宋体"/>
          <w:bCs/>
          <w:color w:val="ff0000"/>
          <w:szCs w:val="28"/>
        </w:rPr>
        <w:t xml:space="preserve">    合同通过验收后只支付至合同价的70%，验收满1年后付清尾款。</w:t>
      </w:r>
      <w:r/>
    </w:p>
    <w:p>
      <w:pPr>
        <w:ind w:firstLine="0"/>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    4.履约验收</w:t>
      </w:r>
      <w:r/>
    </w:p>
    <w:p>
      <w:pPr>
        <w:ind w:firstLine="560"/>
        <w:spacing w:line="42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采购人将参照《江苏省政府采购履约验收管理办法》及《</w:t>
      </w:r>
      <w:r>
        <w:rPr>
          <w:rFonts w:hint="eastAsia" w:ascii="宋体" w:hAnsi="宋体" w:eastAsia="宋体" w:cs="宋体"/>
          <w:color w:val="000000"/>
        </w:rPr>
        <w:t xml:space="preserve">常州市金坛区第二人民医院血液透析信息系统项目</w:t>
      </w:r>
      <w:r>
        <w:rPr>
          <w:rFonts w:ascii="宋体" w:hAnsi="宋体" w:eastAsia="宋体" w:cs="宋体"/>
          <w:color w:val="000000"/>
        </w:rPr>
        <w:t xml:space="preserve">考核细则》组织验收考核。</w:t>
      </w:r>
      <w:r/>
    </w:p>
    <w:p>
      <w:pPr>
        <w:ind w:firstLine="0"/>
        <w:jc w:val="center"/>
        <w:rPr>
          <w:rFonts w:ascii="宋体" w:hAnsi="宋体" w:eastAsia="宋体" w:cs="宋体"/>
          <w:b/>
          <w:bCs/>
          <w:color w:val="000000"/>
          <w:szCs w:val="28"/>
        </w:rPr>
      </w:pPr>
      <w:r>
        <w:rPr>
          <w:rFonts w:hint="eastAsia" w:ascii="宋体" w:hAnsi="宋体" w:eastAsia="宋体" w:cs="宋体"/>
          <w:b/>
          <w:bCs/>
          <w:color w:val="000000"/>
          <w:szCs w:val="28"/>
        </w:rPr>
        <w:t xml:space="preserve">常州市金坛区第二人民医院血液透析信息系统项目</w:t>
      </w:r>
      <w:r/>
    </w:p>
    <w:p>
      <w:pPr>
        <w:ind w:firstLine="0"/>
        <w:jc w:val="center"/>
        <w:rPr>
          <w:rFonts w:ascii="宋体" w:hAnsi="宋体" w:eastAsia="宋体" w:cs="宋体"/>
          <w:b/>
          <w:bCs/>
          <w:color w:val="000000"/>
          <w:szCs w:val="28"/>
        </w:rPr>
      </w:pPr>
      <w:r>
        <w:rPr>
          <w:rFonts w:hint="eastAsia" w:ascii="宋体" w:hAnsi="宋体" w:eastAsia="宋体" w:cs="宋体"/>
          <w:b/>
          <w:bCs/>
          <w:color w:val="000000"/>
          <w:szCs w:val="28"/>
        </w:rPr>
        <w:t xml:space="preserve">考核细则</w:t>
      </w:r>
      <w:r/>
    </w:p>
    <w:tbl>
      <w:tblPr>
        <w:tblStyle w:val="1109"/>
        <w:tblpPr w:horzAnchor="page" w:tblpXSpec="center" w:vertAnchor="text" w:tblpY="401" w:leftFromText="180" w:topFromText="0" w:rightFromText="180" w:bottomFromText="0"/>
        <w:tblW w:w="10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426"/>
        <w:gridCol w:w="870"/>
        <w:gridCol w:w="1424"/>
        <w:gridCol w:w="2446"/>
        <w:gridCol w:w="3299"/>
        <w:gridCol w:w="795"/>
        <w:gridCol w:w="705"/>
      </w:tblGrid>
      <w:tr>
        <w:trPr>
          <w:jc w:val="center"/>
        </w:trPr>
        <w:tc>
          <w:tcPr>
            <w:tcMar>
              <w:left w:w="120" w:type="dxa"/>
              <w:top w:w="60" w:type="dxa"/>
              <w:right w:w="120" w:type="dxa"/>
              <w:bottom w:w="30" w:type="dxa"/>
            </w:tcMar>
            <w:tcW w:w="1426"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评价维度</w:t>
            </w:r>
            <w:r/>
          </w:p>
        </w:tc>
        <w:tc>
          <w:tcPr>
            <w:tcMar>
              <w:left w:w="120" w:type="dxa"/>
              <w:top w:w="60" w:type="dxa"/>
              <w:right w:w="120" w:type="dxa"/>
              <w:bottom w:w="30" w:type="dxa"/>
            </w:tcMar>
            <w:tcW w:w="870"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权重</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评价内容</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评分标准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得分</w:t>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备注</w:t>
            </w:r>
            <w:r/>
          </w:p>
        </w:tc>
      </w:tr>
      <w:tr>
        <w:trPr>
          <w:jc w:val="center"/>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功能达标性</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30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核心功能实现</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完全满足招标文件第五章 技术要求中所有功能模块，运行稳定得 15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核心功能满足，次要功能存在不影响使用的瑕疵得 10-14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部分核心功能未达标但不影响主要流程得 5-9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多数功能不满足或无法正常运行得 0-4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系统对接完整性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完成与 </w:t>
            </w:r>
            <w:r>
              <w:rPr>
                <w:rFonts w:hint="eastAsia" w:ascii="宋体" w:hAnsi="宋体" w:eastAsia="宋体" w:cs="Arial"/>
                <w:sz w:val="22"/>
                <w:szCs w:val="22"/>
              </w:rPr>
              <w:t xml:space="preserve">第三方</w:t>
            </w:r>
            <w:r>
              <w:rPr>
                <w:rFonts w:ascii="宋体" w:hAnsi="宋体" w:eastAsia="宋体" w:cs="Arial"/>
                <w:sz w:val="22"/>
                <w:szCs w:val="22"/>
              </w:rPr>
              <w:t xml:space="preserve">系统的对接，数据实时同步无误得 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主要系统对接完成，数据同步偶有延迟但可接受得 7-9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部分关键系统对接未完成，影响数据流通得 3-6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未实现有效对接得 0-2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标准符合性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完全满足</w:t>
            </w:r>
            <w:r>
              <w:rPr>
                <w:rFonts w:hint="eastAsia" w:ascii="宋体" w:hAnsi="宋体" w:eastAsia="宋体" w:cs="Arial"/>
                <w:sz w:val="22"/>
                <w:szCs w:val="22"/>
              </w:rPr>
              <w:t xml:space="preserve">系统</w:t>
            </w:r>
            <w:r>
              <w:rPr>
                <w:rFonts w:ascii="宋体" w:hAnsi="宋体" w:eastAsia="宋体" w:cs="Arial"/>
                <w:sz w:val="22"/>
                <w:szCs w:val="22"/>
              </w:rPr>
              <w:t xml:space="preserve">所有条款得 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基本符合，仅次要指标需完善得 3-4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核心指标不达标得 1-2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未达到三级标准得 0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Height w:val="1909"/>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施工周期</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10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工期履约情况</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在 </w:t>
            </w:r>
            <w:r>
              <w:rPr>
                <w:rFonts w:hint="eastAsia" w:ascii="宋体" w:hAnsi="宋体" w:eastAsia="宋体" w:cs="Arial"/>
                <w:sz w:val="22"/>
                <w:szCs w:val="22"/>
              </w:rPr>
              <w:t xml:space="preserve">90</w:t>
            </w:r>
            <w:r>
              <w:rPr>
                <w:rFonts w:ascii="宋体" w:hAnsi="宋体" w:eastAsia="宋体" w:cs="Arial"/>
                <w:sz w:val="22"/>
                <w:szCs w:val="22"/>
              </w:rPr>
              <w:t xml:space="preserve"> 天内按时或提前完成系统上线得 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延迟≤</w:t>
            </w:r>
            <w:r>
              <w:rPr>
                <w:rFonts w:hint="eastAsia" w:ascii="宋体" w:hAnsi="宋体" w:eastAsia="宋体" w:cs="Arial"/>
                <w:sz w:val="22"/>
                <w:szCs w:val="22"/>
              </w:rPr>
              <w:t xml:space="preserve">30</w:t>
            </w:r>
            <w:r>
              <w:rPr>
                <w:rFonts w:ascii="宋体" w:hAnsi="宋体" w:eastAsia="宋体" w:cs="Arial"/>
                <w:sz w:val="22"/>
                <w:szCs w:val="22"/>
              </w:rPr>
              <w:t xml:space="preserve"> 天且原因合理得 4-5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延迟 </w:t>
            </w:r>
            <w:r>
              <w:rPr>
                <w:rFonts w:hint="eastAsia" w:ascii="宋体" w:hAnsi="宋体" w:eastAsia="宋体" w:cs="Arial"/>
                <w:sz w:val="22"/>
                <w:szCs w:val="22"/>
              </w:rPr>
              <w:t xml:space="preserve">31</w:t>
            </w:r>
            <w:r>
              <w:rPr>
                <w:rFonts w:ascii="宋体" w:hAnsi="宋体" w:eastAsia="宋体" w:cs="Arial"/>
                <w:sz w:val="22"/>
                <w:szCs w:val="22"/>
              </w:rPr>
              <w:t xml:space="preserve">-</w:t>
            </w:r>
            <w:r>
              <w:rPr>
                <w:rFonts w:hint="eastAsia" w:ascii="宋体" w:hAnsi="宋体" w:eastAsia="宋体" w:cs="Arial"/>
                <w:sz w:val="22"/>
                <w:szCs w:val="22"/>
              </w:rPr>
              <w:t xml:space="preserve">60</w:t>
            </w:r>
            <w:r>
              <w:rPr>
                <w:rFonts w:ascii="宋体" w:hAnsi="宋体" w:eastAsia="宋体" w:cs="Arial"/>
                <w:sz w:val="22"/>
                <w:szCs w:val="22"/>
              </w:rPr>
              <w:t xml:space="preserve"> 天得 2-3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延迟＞</w:t>
            </w:r>
            <w:r>
              <w:rPr>
                <w:rFonts w:hint="eastAsia" w:ascii="宋体" w:hAnsi="宋体" w:eastAsia="宋体" w:cs="Arial"/>
                <w:sz w:val="22"/>
                <w:szCs w:val="22"/>
              </w:rPr>
              <w:t xml:space="preserve">60</w:t>
            </w:r>
            <w:r>
              <w:rPr>
                <w:rFonts w:ascii="宋体" w:hAnsi="宋体" w:eastAsia="宋体" w:cs="Arial"/>
                <w:sz w:val="22"/>
                <w:szCs w:val="22"/>
              </w:rPr>
              <w:t xml:space="preserve"> 天得 0-1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进度管理规范性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制定详细实施计划，关键节点 100% 按计划完成得 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计划完善，次要节点有延迟但不影响整体得 2-3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计划不明确，关键节点失控得 1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无有效进度管理得 0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服务质量</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20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培训服务效果</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w:t>
            </w:r>
            <w:r>
              <w:rPr>
                <w:rFonts w:hint="eastAsia" w:ascii="宋体" w:hAnsi="宋体" w:eastAsia="宋体" w:cs="Arial"/>
                <w:sz w:val="22"/>
                <w:szCs w:val="22"/>
              </w:rPr>
              <w:t xml:space="preserve">10</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完成对使用人员、管理人员的全面培训，用户 100% 掌握操作得 </w:t>
            </w:r>
            <w:r>
              <w:rPr>
                <w:rFonts w:hint="eastAsia" w:ascii="宋体" w:hAnsi="宋体" w:eastAsia="宋体" w:cs="Arial"/>
                <w:sz w:val="22"/>
                <w:szCs w:val="22"/>
              </w:rPr>
              <w:t xml:space="preserve">10</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培训充分，用户基本掌握核心操作得 </w:t>
            </w:r>
            <w:r>
              <w:rPr>
                <w:rFonts w:hint="eastAsia" w:ascii="宋体" w:hAnsi="宋体" w:eastAsia="宋体" w:cs="Arial"/>
                <w:sz w:val="22"/>
                <w:szCs w:val="22"/>
              </w:rPr>
              <w:t xml:space="preserve">6</w:t>
            </w:r>
            <w:r>
              <w:rPr>
                <w:rFonts w:ascii="宋体" w:hAnsi="宋体" w:eastAsia="宋体" w:cs="Arial"/>
                <w:sz w:val="22"/>
                <w:szCs w:val="22"/>
              </w:rPr>
              <w:t xml:space="preserve">-</w:t>
            </w:r>
            <w:r>
              <w:rPr>
                <w:rFonts w:hint="eastAsia" w:ascii="宋体" w:hAnsi="宋体" w:eastAsia="宋体" w:cs="Arial"/>
                <w:sz w:val="22"/>
                <w:szCs w:val="22"/>
              </w:rPr>
              <w:t xml:space="preserve">9</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培训不足，用户操作不熟练但可独立完成基础流程得 </w:t>
            </w:r>
            <w:r>
              <w:rPr>
                <w:rFonts w:hint="eastAsia" w:ascii="宋体" w:hAnsi="宋体" w:eastAsia="宋体" w:cs="Arial"/>
                <w:sz w:val="22"/>
                <w:szCs w:val="22"/>
              </w:rPr>
              <w:t xml:space="preserve">3</w:t>
            </w:r>
            <w:r>
              <w:rPr>
                <w:rFonts w:ascii="宋体" w:hAnsi="宋体" w:eastAsia="宋体" w:cs="Arial"/>
                <w:sz w:val="22"/>
                <w:szCs w:val="22"/>
              </w:rPr>
              <w:t xml:space="preserve">-</w:t>
            </w:r>
            <w:r>
              <w:rPr>
                <w:rFonts w:hint="eastAsia" w:ascii="宋体" w:hAnsi="宋体" w:eastAsia="宋体" w:cs="Arial"/>
                <w:sz w:val="22"/>
                <w:szCs w:val="22"/>
              </w:rPr>
              <w:t xml:space="preserve">5</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未开展有效培训得 0-</w:t>
            </w:r>
            <w:r>
              <w:rPr>
                <w:rFonts w:hint="eastAsia" w:ascii="宋体" w:hAnsi="宋体" w:eastAsia="宋体" w:cs="Arial"/>
                <w:sz w:val="22"/>
                <w:szCs w:val="22"/>
              </w:rPr>
              <w:t xml:space="preserve">2</w:t>
            </w:r>
            <w:r>
              <w:rPr>
                <w:rFonts w:ascii="宋体" w:hAnsi="宋体" w:eastAsia="宋体" w:cs="Arial"/>
                <w:sz w:val="22"/>
                <w:szCs w:val="22"/>
              </w:rPr>
              <w:t xml:space="preserve">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文档交付完整性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w:t>
            </w:r>
            <w:r>
              <w:rPr>
                <w:rFonts w:hint="eastAsia" w:ascii="宋体" w:hAnsi="宋体" w:eastAsia="宋体" w:cs="Arial"/>
                <w:sz w:val="22"/>
                <w:szCs w:val="22"/>
              </w:rPr>
              <w:t xml:space="preserve">10</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提供操作手册、接口文档等所有要求文档，规范易懂得</w:t>
            </w:r>
            <w:r>
              <w:rPr>
                <w:rFonts w:hint="eastAsia" w:ascii="宋体" w:hAnsi="宋体" w:eastAsia="宋体" w:cs="Arial"/>
                <w:sz w:val="22"/>
                <w:szCs w:val="22"/>
              </w:rPr>
              <w:t xml:space="preserve">10</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核心文档完整，次要文档缺失得 </w:t>
            </w:r>
            <w:r>
              <w:rPr>
                <w:rFonts w:hint="eastAsia" w:ascii="宋体" w:hAnsi="宋体" w:eastAsia="宋体" w:cs="Arial"/>
                <w:sz w:val="22"/>
                <w:szCs w:val="22"/>
              </w:rPr>
              <w:t xml:space="preserve">6</w:t>
            </w:r>
            <w:r>
              <w:rPr>
                <w:rFonts w:ascii="宋体" w:hAnsi="宋体" w:eastAsia="宋体" w:cs="Arial"/>
                <w:sz w:val="22"/>
                <w:szCs w:val="22"/>
              </w:rPr>
              <w:t xml:space="preserve">-</w:t>
            </w:r>
            <w:r>
              <w:rPr>
                <w:rFonts w:hint="eastAsia" w:ascii="宋体" w:hAnsi="宋体" w:eastAsia="宋体" w:cs="Arial"/>
                <w:sz w:val="22"/>
                <w:szCs w:val="22"/>
              </w:rPr>
              <w:t xml:space="preserve">9</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关键文档缺失或不规范得 </w:t>
            </w:r>
            <w:r>
              <w:rPr>
                <w:rFonts w:hint="eastAsia" w:ascii="宋体" w:hAnsi="宋体" w:eastAsia="宋体" w:cs="Arial"/>
                <w:sz w:val="22"/>
                <w:szCs w:val="22"/>
              </w:rPr>
              <w:t xml:space="preserve">3</w:t>
            </w:r>
            <w:r>
              <w:rPr>
                <w:rFonts w:ascii="宋体" w:hAnsi="宋体" w:eastAsia="宋体" w:cs="Arial"/>
                <w:sz w:val="22"/>
                <w:szCs w:val="22"/>
              </w:rPr>
              <w:t xml:space="preserve">-</w:t>
            </w:r>
            <w:r>
              <w:rPr>
                <w:rFonts w:hint="eastAsia" w:ascii="宋体" w:hAnsi="宋体" w:eastAsia="宋体" w:cs="Arial"/>
                <w:sz w:val="22"/>
                <w:szCs w:val="22"/>
              </w:rPr>
              <w:t xml:space="preserve">5</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未交付文档得 0-</w:t>
            </w:r>
            <w:r>
              <w:rPr>
                <w:rFonts w:hint="eastAsia" w:ascii="宋体" w:hAnsi="宋体" w:eastAsia="宋体" w:cs="Arial"/>
                <w:sz w:val="22"/>
                <w:szCs w:val="22"/>
              </w:rPr>
              <w:t xml:space="preserve">2</w:t>
            </w:r>
            <w:r>
              <w:rPr>
                <w:rFonts w:ascii="宋体" w:hAnsi="宋体" w:eastAsia="宋体" w:cs="Arial"/>
                <w:sz w:val="22"/>
                <w:szCs w:val="22"/>
              </w:rPr>
              <w:t xml:space="preserve">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响应与维护</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25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故障响应及时性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- 7*24 小时即时响应，重大故障 1 小时内处理、6 小时内修复得 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响应及时，多数故障按承诺时间修复得 7-9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响应延迟，修复时间超出承诺但可接受得 3-6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无有效响应或长期未修复得 0-2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维保期服务履行</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按约定提供 1 年免费维护，主动进行数据备份、系统优化得 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基本履行维保义务，需用户提醒得 7-9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部分维保承诺未履行（如未定期备份）得 3-6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未提供维保服务得 0-2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问题解决有效性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所有反馈问题一次性解决，无复发得 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多数问题解决，偶有复发但可快速处理得 3-4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部分问题未解决或反复出现得 1-2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问题未处理得 0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整体效果</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15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hint="eastAsia" w:ascii="宋体" w:hAnsi="宋体" w:eastAsia="宋体" w:cs="Arial"/>
                <w:sz w:val="22"/>
                <w:szCs w:val="22"/>
              </w:rPr>
              <w:t xml:space="preserve">业务科室</w:t>
            </w:r>
            <w:r>
              <w:rPr>
                <w:rFonts w:ascii="宋体" w:hAnsi="宋体" w:eastAsia="宋体" w:cs="Arial"/>
                <w:sz w:val="22"/>
                <w:szCs w:val="22"/>
              </w:rPr>
              <w:t xml:space="preserve">体验满意度</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（8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w:t>
            </w:r>
            <w:r>
              <w:rPr>
                <w:rFonts w:hint="eastAsia" w:ascii="宋体" w:hAnsi="宋体" w:eastAsia="宋体" w:cs="Arial"/>
                <w:sz w:val="22"/>
                <w:szCs w:val="22"/>
              </w:rPr>
              <w:t xml:space="preserve">业务科室</w:t>
            </w:r>
            <w:r>
              <w:rPr>
                <w:rFonts w:ascii="宋体" w:hAnsi="宋体" w:eastAsia="宋体" w:cs="Arial"/>
                <w:sz w:val="22"/>
                <w:szCs w:val="22"/>
              </w:rPr>
              <w:t xml:space="preserve">满意度≥90% 得 8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- 70%≤满意度＜90% 得 5-7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- 50%≤满意度＜70% 得 2-4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满意度＜50% 得 0-1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数据安全性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（7 分）</w:t>
            </w:r>
            <w:r/>
          </w:p>
          <w:p>
            <w:pPr>
              <w:ind w:firstLine="0"/>
              <w:jc w:val="left"/>
              <w:spacing w:before="20" w:after="20"/>
              <w:rPr>
                <w:rFonts w:ascii="宋体" w:hAnsi="宋体" w:eastAsia="宋体" w:cs="Arial"/>
                <w:sz w:val="22"/>
                <w:szCs w:val="22"/>
              </w:rPr>
            </w:pPr>
            <w:r>
              <w:rPr>
                <w:rFonts w:ascii="宋体" w:hAnsi="宋体" w:eastAsia="宋体" w:cs="Arial"/>
                <w:sz w:val="22"/>
                <w:szCs w:val="22"/>
              </w:rPr>
              <w:t xml:space="preserve">- 系统</w:t>
            </w:r>
            <w:r>
              <w:rPr>
                <w:rFonts w:hint="eastAsia" w:ascii="仿宋" w:hAnsi="仿宋" w:eastAsia="仿宋" w:cs="仿宋"/>
                <w:sz w:val="24"/>
                <w:szCs w:val="32"/>
              </w:rPr>
              <w:t xml:space="preserve">数据加密、权限控制、操作审计，保障隐私安全</w:t>
            </w:r>
            <w:r>
              <w:rPr>
                <w:rFonts w:ascii="宋体" w:hAnsi="宋体" w:eastAsia="宋体" w:cs="Arial"/>
                <w:sz w:val="22"/>
                <w:szCs w:val="22"/>
              </w:rPr>
              <w:t xml:space="preserve">得 7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存在 minor 安全隐患但已修复得 5-6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有未修复的安全风险得 2-4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发生数据安全事件得 0-1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总分</w:t>
            </w:r>
            <w:r/>
          </w:p>
        </w:tc>
        <w:tc>
          <w:tcPr>
            <w:gridSpan w:val="6"/>
            <w:tcMar>
              <w:left w:w="120" w:type="dxa"/>
              <w:top w:w="60" w:type="dxa"/>
              <w:right w:w="120" w:type="dxa"/>
              <w:bottom w:w="30" w:type="dxa"/>
            </w:tcMar>
            <w:tcW w:w="9539" w:type="dxa"/>
            <w:vAlign w:val="center"/>
            <w:textDirection w:val="lrTb"/>
            <w:noWrap w:val="false"/>
          </w:tcPr>
          <w:p>
            <w:pPr>
              <w:ind w:firstLine="88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分</w:t>
            </w:r>
            <w:r/>
          </w:p>
        </w:tc>
      </w:tr>
      <w:tr>
        <w:trPr>
          <w:jc w:val="center"/>
        </w:trPr>
        <w:tc>
          <w:tcPr>
            <w:tcMar>
              <w:left w:w="120" w:type="dxa"/>
              <w:top w:w="60" w:type="dxa"/>
              <w:right w:w="120" w:type="dxa"/>
              <w:bottom w:w="30" w:type="dxa"/>
            </w:tcMar>
            <w:tcW w:w="1426"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验收结论</w:t>
            </w:r>
            <w:r/>
          </w:p>
        </w:tc>
        <w:tc>
          <w:tcPr>
            <w:gridSpan w:val="6"/>
            <w:tcMar>
              <w:left w:w="120" w:type="dxa"/>
              <w:top w:w="60" w:type="dxa"/>
              <w:right w:w="120" w:type="dxa"/>
              <w:bottom w:w="30" w:type="dxa"/>
            </w:tcMar>
            <w:tcW w:w="9539"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合格（总分≥80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有条件合格（60≤总分＜80 分，需在____日内完成整改并复验）</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不合格（总分＜60 分，需重新实施）</w:t>
            </w:r>
            <w:r/>
          </w:p>
        </w:tc>
      </w:tr>
      <w:tr>
        <w:trPr>
          <w:jc w:val="center"/>
        </w:trPr>
        <w:tc>
          <w:tcPr>
            <w:tcMar>
              <w:left w:w="120" w:type="dxa"/>
              <w:top w:w="60" w:type="dxa"/>
              <w:right w:w="120" w:type="dxa"/>
              <w:bottom w:w="30" w:type="dxa"/>
            </w:tcMar>
            <w:tcW w:w="1426"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签字确认</w:t>
            </w:r>
            <w:r/>
          </w:p>
        </w:tc>
        <w:tc>
          <w:tcPr>
            <w:gridSpan w:val="3"/>
            <w:tcMar>
              <w:left w:w="120" w:type="dxa"/>
              <w:top w:w="60" w:type="dxa"/>
              <w:right w:w="120" w:type="dxa"/>
              <w:bottom w:w="30" w:type="dxa"/>
            </w:tcMar>
            <w:tcW w:w="4740"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甲方代表签字：_________</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日期：____年__月__日</w:t>
            </w:r>
            <w:r/>
          </w:p>
        </w:tc>
        <w:tc>
          <w:tcPr>
            <w:gridSpan w:val="3"/>
            <w:tcMar>
              <w:left w:w="120" w:type="dxa"/>
              <w:top w:w="60" w:type="dxa"/>
              <w:right w:w="120" w:type="dxa"/>
              <w:bottom w:w="30" w:type="dxa"/>
            </w:tcMar>
            <w:tcW w:w="4799"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hint="eastAsia" w:ascii="宋体" w:hAnsi="宋体" w:eastAsia="宋体" w:cs="Arial"/>
                <w:sz w:val="22"/>
                <w:szCs w:val="22"/>
              </w:rPr>
              <w:t xml:space="preserve">乙</w:t>
            </w:r>
            <w:r>
              <w:rPr>
                <w:rFonts w:ascii="宋体" w:hAnsi="宋体" w:eastAsia="宋体" w:cs="Arial"/>
                <w:sz w:val="22"/>
                <w:szCs w:val="22"/>
              </w:rPr>
              <w:t xml:space="preserve">方代表签字：_________</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日期：____年__月__日</w:t>
            </w:r>
            <w:r/>
          </w:p>
        </w:tc>
      </w:tr>
    </w:tbl>
    <w:p>
      <w:pPr>
        <w:rPr>
          <w:rStyle w:val="1132"/>
          <w:rFonts w:hint="eastAsia" w:ascii="黑体" w:hAnsi="黑体" w:cs="黑体"/>
          <w:b/>
          <w:bCs/>
          <w:sz w:val="28"/>
          <w:szCs w:val="28"/>
          <w:lang w:val="en-US" w:eastAsia="zh-CN"/>
        </w:rPr>
      </w:pPr>
      <w:r>
        <w:rPr>
          <w:rFonts w:hint="eastAsia" w:ascii="黑体" w:hAnsi="黑体" w:cs="黑体"/>
          <w:b/>
          <w:bCs/>
          <w:sz w:val="28"/>
          <w:szCs w:val="28"/>
          <w:lang w:val="en-US" w:eastAsia="zh-CN"/>
        </w:rPr>
      </w:r>
      <w:r/>
    </w:p>
    <w:p>
      <w:pPr>
        <w:pStyle w:val="1106"/>
        <w:ind w:left="0" w:firstLine="0"/>
        <w:jc w:val="center"/>
        <w:pageBreakBefore w:val="0"/>
        <w:spacing w:before="0" w:after="0" w:line="360" w:lineRule="auto"/>
        <w:widowControl w:val="off"/>
        <w:rPr>
          <w:rFonts w:hint="eastAsia" w:ascii="黑体" w:hAnsi="黑体" w:eastAsia="黑体" w:cs="黑体"/>
          <w:sz w:val="28"/>
          <w:szCs w:val="28"/>
        </w:rPr>
      </w:pPr>
      <w:r>
        <w:rPr>
          <w:rStyle w:val="1132"/>
          <w:rFonts w:hint="eastAsia" w:ascii="黑体" w:hAnsi="黑体" w:cs="黑体"/>
          <w:b/>
          <w:bCs/>
          <w:sz w:val="28"/>
          <w:szCs w:val="28"/>
          <w:lang w:val="en-US" w:eastAsia="zh-CN"/>
        </w:rPr>
        <w:t xml:space="preserve">★第七节  其他重要条款</w:t>
      </w:r>
      <w:r/>
    </w:p>
    <w:p>
      <w:pPr>
        <w:pStyle w:val="1112"/>
        <w:ind w:firstLine="523"/>
        <w:pageBreakBefore w:val="0"/>
        <w:spacing w:line="360" w:lineRule="auto"/>
        <w:rPr>
          <w:rFonts w:hint="eastAsia" w:ascii="宋体" w:hAnsi="宋体" w:eastAsia="宋体" w:cs="宋体"/>
          <w:sz w:val="28"/>
          <w:szCs w:val="28"/>
        </w:rPr>
      </w:pPr>
      <w:r/>
      <w:bookmarkStart w:id="44"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4"/>
      <w:r/>
      <w:r/>
    </w:p>
    <w:p>
      <w:pPr>
        <w:pStyle w:val="1112"/>
        <w:ind w:firstLine="448"/>
        <w:spacing w:before="60" w:after="60"/>
        <w:rPr>
          <w:rFonts w:ascii="宋体" w:hAnsi="宋体"/>
          <w:szCs w:val="21"/>
        </w:rPr>
      </w:pPr>
      <w:r>
        <w:rPr>
          <w:rFonts w:ascii="宋体" w:hAnsi="宋体"/>
          <w:szCs w:val="21"/>
        </w:rPr>
      </w:r>
      <w:r/>
    </w:p>
    <w:p>
      <w:pPr>
        <w:pStyle w:val="1166"/>
        <w:rPr>
          <w:rFonts w:hint="default"/>
          <w:lang w:val="en-US" w:eastAsia="zh-CN"/>
        </w:rPr>
      </w:pPr>
      <w:r>
        <w:rPr>
          <w:rFonts w:hint="default"/>
          <w:lang w:val="en-US" w:eastAsia="zh-CN"/>
        </w:rPr>
      </w:r>
      <w:r/>
    </w:p>
    <w:p>
      <w:pPr>
        <w:pStyle w:val="1110"/>
        <w:rPr>
          <w:rFonts w:hint="default"/>
          <w:lang w:val="en-US" w:eastAsia="zh-CN"/>
        </w:rPr>
      </w:pPr>
      <w:r>
        <w:rPr>
          <w:rFonts w:hint="default"/>
          <w:lang w:val="en-US" w:eastAsia="zh-CN"/>
        </w:rPr>
      </w:r>
      <w:r/>
    </w:p>
    <w:p>
      <w:pPr>
        <w:numPr>
          <w:ilvl w:val="0"/>
          <w:numId w:val="0"/>
        </w:numPr>
        <w:rPr>
          <w:rFonts w:hint="default"/>
          <w:lang w:val="en-US" w:eastAsia="zh-CN"/>
        </w:rPr>
      </w:pPr>
      <w:r>
        <w:rPr>
          <w:rFonts w:hint="default"/>
          <w:lang w:val="en-US" w:eastAsia="zh-CN"/>
        </w:rPr>
      </w:r>
      <w:r/>
    </w:p>
    <w:p>
      <w:pPr>
        <w:numPr>
          <w:ilvl w:val="0"/>
          <w:numId w:val="0"/>
        </w:numPr>
      </w:pPr>
      <w:r/>
      <w:r/>
    </w:p>
    <w:p>
      <w:pPr>
        <w:pStyle w:val="1110"/>
        <w:rPr>
          <w:rFonts w:hint="default" w:eastAsia="楷体_GB2312"/>
          <w:lang w:val="en-US" w:eastAsia="zh-CN"/>
        </w:rPr>
      </w:pPr>
      <w:r>
        <w:rPr>
          <w:rFonts w:hint="default" w:eastAsia="楷体_GB2312"/>
          <w:lang w:val="en-US" w:eastAsia="zh-CN"/>
        </w:rPr>
      </w:r>
      <w:r/>
    </w:p>
    <w:p>
      <w:pPr>
        <w:numPr>
          <w:ilvl w:val="0"/>
          <w:numId w:val="0"/>
        </w:numPr>
        <w:ind w:left="560"/>
        <w:rPr>
          <w:rFonts w:hint="default"/>
          <w:lang w:val="en-US" w:eastAsia="zh-CN"/>
        </w:rPr>
      </w:pPr>
      <w:r>
        <w:rPr>
          <w:rFonts w:hint="default"/>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4"/>
      <w:r/>
      <w:bookmarkEnd w:id="5"/>
      <w:r/>
      <w:bookmarkEnd w:id="6"/>
      <w:r/>
      <w:r/>
    </w:p>
    <w:p>
      <w:pPr>
        <w:ind w:firstLine="112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5"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05"/>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firstLine="0"/>
        <w:spacing w:line="240" w:lineRule="auto"/>
        <w:rPr>
          <w:rFonts w:ascii="宋体" w:hAnsi="宋体" w:eastAsia="宋体" w:cs="宋体"/>
          <w:bCs/>
          <w:szCs w:val="28"/>
        </w:rPr>
        <w:outlineLvl w:val="0"/>
      </w:pPr>
      <w:r>
        <w:rPr>
          <w:rFonts w:hint="eastAsia" w:ascii="宋体" w:hAnsi="宋体" w:eastAsia="宋体" w:cs="宋体"/>
          <w:b/>
          <w:bCs/>
          <w:sz w:val="28"/>
          <w:szCs w:val="28"/>
          <w:lang w:val="en-US" w:eastAsia="zh-CN"/>
        </w:rPr>
        <w:t xml:space="preserve">          </w:t>
      </w:r>
      <w:r>
        <w:rPr>
          <w:rFonts w:hint="eastAsia" w:ascii="宋体" w:hAnsi="宋体" w:eastAsia="宋体" w:cs="宋体"/>
          <w:b/>
          <w:bCs/>
          <w:szCs w:val="28"/>
        </w:rPr>
        <w:t xml:space="preserve"> </w:t>
      </w:r>
      <w:r>
        <w:rPr>
          <w:rFonts w:hint="eastAsia" w:ascii="宋体" w:hAnsi="宋体" w:eastAsia="宋体" w:cs="宋体"/>
          <w:szCs w:val="28"/>
        </w:rPr>
        <w:t xml:space="preserve">常州市金坛区政府采购合同（服务）（合同编号）</w:t>
      </w:r>
      <w:r/>
    </w:p>
    <w:p>
      <w:pPr>
        <w:ind w:firstLine="0"/>
        <w:spacing w:before="120" w:after="120" w:line="570" w:lineRule="exact"/>
        <w:rPr>
          <w:rFonts w:ascii="宋体" w:hAnsi="宋体" w:eastAsia="宋体" w:cs="宋体"/>
          <w:szCs w:val="28"/>
        </w:rPr>
      </w:pPr>
      <w:r>
        <w:rPr>
          <w:rFonts w:ascii="宋体" w:hAnsi="宋体" w:eastAsia="宋体" w:cs="宋体"/>
          <w:szCs w:val="28"/>
        </w:rPr>
      </w:r>
      <w:r/>
    </w:p>
    <w:p>
      <w:pPr>
        <w:ind w:firstLine="640"/>
        <w:spacing w:line="240" w:lineRule="auto"/>
        <w:rPr>
          <w:rFonts w:ascii="宋体" w:hAnsi="宋体" w:eastAsia="宋体" w:cs="宋体"/>
          <w:szCs w:val="28"/>
        </w:rPr>
      </w:pPr>
      <w:r>
        <w:rPr>
          <w:rFonts w:hint="eastAsia" w:ascii="宋体" w:hAnsi="宋体" w:eastAsia="宋体" w:cs="宋体"/>
          <w:szCs w:val="28"/>
        </w:rPr>
        <w:t xml:space="preserve">项目名称：</w:t>
      </w:r>
      <w:r/>
    </w:p>
    <w:p>
      <w:pPr>
        <w:ind w:firstLine="640"/>
        <w:spacing w:line="240" w:lineRule="auto"/>
        <w:rPr>
          <w:rFonts w:ascii="宋体" w:hAnsi="宋体" w:eastAsia="宋体" w:cs="宋体"/>
          <w:szCs w:val="28"/>
        </w:rPr>
      </w:pPr>
      <w:r>
        <w:rPr>
          <w:rFonts w:hint="eastAsia" w:ascii="宋体" w:hAnsi="宋体" w:eastAsia="宋体" w:cs="宋体"/>
          <w:szCs w:val="28"/>
        </w:rPr>
        <w:t xml:space="preserve">项目编号：</w:t>
      </w:r>
      <w:r/>
    </w:p>
    <w:p>
      <w:pPr>
        <w:ind w:firstLine="640"/>
        <w:spacing w:line="240" w:lineRule="auto"/>
        <w:rPr>
          <w:rFonts w:ascii="宋体" w:hAnsi="宋体" w:eastAsia="宋体" w:cs="宋体"/>
          <w:szCs w:val="28"/>
        </w:rPr>
      </w:pPr>
      <w:r>
        <w:rPr>
          <w:rFonts w:hint="eastAsia" w:ascii="宋体" w:hAnsi="宋体" w:eastAsia="宋体" w:cs="宋体"/>
          <w:szCs w:val="28"/>
        </w:rPr>
        <w:t xml:space="preserve">甲方：（买方）_________</w:t>
      </w:r>
      <w:r/>
    </w:p>
    <w:p>
      <w:pPr>
        <w:ind w:firstLine="640"/>
        <w:spacing w:line="240" w:lineRule="auto"/>
        <w:rPr>
          <w:rFonts w:ascii="宋体" w:hAnsi="宋体" w:eastAsia="宋体" w:cs="宋体"/>
          <w:szCs w:val="28"/>
        </w:rPr>
      </w:pPr>
      <w:r>
        <w:rPr>
          <w:rFonts w:hint="eastAsia" w:ascii="宋体" w:hAnsi="宋体" w:eastAsia="宋体" w:cs="宋体"/>
          <w:szCs w:val="28"/>
        </w:rPr>
        <w:t xml:space="preserve">乙方：（卖方）_________</w:t>
      </w:r>
      <w:r/>
    </w:p>
    <w:p>
      <w:pPr>
        <w:ind w:firstLine="640"/>
        <w:spacing w:line="240" w:lineRule="auto"/>
        <w:rPr>
          <w:rFonts w:ascii="宋体" w:hAnsi="宋体" w:eastAsia="宋体" w:cs="宋体"/>
          <w:szCs w:val="28"/>
        </w:rPr>
      </w:pPr>
      <w:r>
        <w:rPr>
          <w:rFonts w:hint="eastAsia" w:ascii="宋体" w:hAnsi="宋体" w:eastAsia="宋体" w:cs="宋体"/>
          <w:szCs w:val="28"/>
        </w:rPr>
        <w:t xml:space="preserve">甲、乙双方根据常州市金坛区政府采购中心</w:t>
      </w:r>
      <w:r>
        <w:rPr>
          <w:rFonts w:hint="eastAsia" w:ascii="宋体" w:hAnsi="宋体" w:eastAsia="宋体" w:cs="宋体"/>
          <w:szCs w:val="28"/>
          <w:u w:val="single"/>
        </w:rPr>
        <w:t xml:space="preserve">                    </w:t>
      </w:r>
      <w:r>
        <w:rPr>
          <w:rFonts w:hint="eastAsia" w:ascii="宋体" w:hAnsi="宋体" w:eastAsia="宋体" w:cs="宋体"/>
          <w:szCs w:val="28"/>
        </w:rPr>
        <w:t xml:space="preserve">项目公开招标的结果，签署本合同。</w:t>
      </w:r>
      <w:r/>
    </w:p>
    <w:p>
      <w:pPr>
        <w:ind w:firstLine="640"/>
        <w:rPr>
          <w:rFonts w:ascii="宋体" w:hAnsi="宋体" w:eastAsia="宋体" w:cs="宋体"/>
          <w:szCs w:val="28"/>
        </w:rPr>
      </w:pPr>
      <w:r>
        <w:rPr>
          <w:rFonts w:hint="eastAsia" w:ascii="宋体" w:hAnsi="宋体" w:eastAsia="宋体" w:cs="宋体"/>
          <w:szCs w:val="28"/>
        </w:rPr>
        <w:t xml:space="preserve">一、合同内容</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 标的名称：</w:t>
      </w:r>
      <w:r/>
    </w:p>
    <w:p>
      <w:pPr>
        <w:ind w:firstLine="640"/>
        <w:spacing w:line="240" w:lineRule="auto"/>
        <w:rPr>
          <w:rFonts w:ascii="宋体" w:hAnsi="宋体" w:eastAsia="宋体" w:cs="宋体"/>
          <w:szCs w:val="28"/>
        </w:rPr>
      </w:pPr>
      <w:r>
        <w:rPr>
          <w:rFonts w:hint="eastAsia" w:ascii="宋体" w:hAnsi="宋体" w:eastAsia="宋体" w:cs="宋体"/>
          <w:szCs w:val="28"/>
        </w:rPr>
        <w:t xml:space="preserve">1.2标的质量：</w:t>
      </w:r>
      <w:r/>
    </w:p>
    <w:p>
      <w:pPr>
        <w:ind w:firstLine="640"/>
        <w:spacing w:line="240" w:lineRule="auto"/>
        <w:rPr>
          <w:rFonts w:ascii="宋体" w:hAnsi="宋体" w:eastAsia="宋体" w:cs="宋体"/>
          <w:szCs w:val="28"/>
        </w:rPr>
      </w:pPr>
      <w:r>
        <w:rPr>
          <w:rFonts w:hint="eastAsia" w:ascii="宋体" w:hAnsi="宋体" w:eastAsia="宋体" w:cs="宋体"/>
          <w:szCs w:val="28"/>
        </w:rPr>
        <w:t xml:space="preserve">1.3 标的数量（规模）：</w:t>
      </w:r>
      <w:r/>
    </w:p>
    <w:p>
      <w:pPr>
        <w:ind w:firstLine="640"/>
        <w:spacing w:line="240" w:lineRule="auto"/>
        <w:rPr>
          <w:rFonts w:ascii="宋体" w:hAnsi="宋体" w:eastAsia="宋体" w:cs="宋体"/>
          <w:szCs w:val="28"/>
        </w:rPr>
      </w:pPr>
      <w:r>
        <w:rPr>
          <w:rFonts w:hint="eastAsia" w:ascii="宋体" w:hAnsi="宋体" w:eastAsia="宋体" w:cs="宋体"/>
          <w:szCs w:val="28"/>
        </w:rPr>
        <w:t xml:space="preserve">1.4 履行时间（期限）：</w:t>
      </w:r>
      <w:r/>
    </w:p>
    <w:p>
      <w:pPr>
        <w:ind w:firstLine="640"/>
        <w:spacing w:line="240" w:lineRule="auto"/>
        <w:rPr>
          <w:rFonts w:ascii="宋体" w:hAnsi="宋体" w:eastAsia="宋体" w:cs="宋体"/>
          <w:szCs w:val="28"/>
        </w:rPr>
      </w:pPr>
      <w:r>
        <w:rPr>
          <w:rFonts w:hint="eastAsia" w:ascii="宋体" w:hAnsi="宋体" w:eastAsia="宋体" w:cs="宋体"/>
          <w:szCs w:val="28"/>
        </w:rPr>
        <w:t xml:space="preserve">1.5 履行地点：</w:t>
      </w:r>
      <w:r/>
    </w:p>
    <w:p>
      <w:pPr>
        <w:ind w:firstLine="640"/>
        <w:spacing w:line="240" w:lineRule="auto"/>
        <w:rPr>
          <w:rFonts w:ascii="宋体" w:hAnsi="宋体" w:eastAsia="宋体" w:cs="宋体"/>
          <w:szCs w:val="28"/>
        </w:rPr>
      </w:pPr>
      <w:r>
        <w:rPr>
          <w:rFonts w:hint="eastAsia" w:ascii="宋体" w:hAnsi="宋体" w:eastAsia="宋体" w:cs="宋体"/>
          <w:szCs w:val="28"/>
        </w:rPr>
        <w:t xml:space="preserve">1.6履行方式：</w:t>
      </w:r>
      <w:r/>
    </w:p>
    <w:p>
      <w:pPr>
        <w:ind w:firstLine="640"/>
        <w:rPr>
          <w:rFonts w:ascii="宋体" w:hAnsi="宋体" w:eastAsia="宋体" w:cs="宋体"/>
          <w:szCs w:val="28"/>
        </w:rPr>
      </w:pPr>
      <w:r>
        <w:rPr>
          <w:rFonts w:hint="eastAsia" w:ascii="宋体" w:hAnsi="宋体" w:eastAsia="宋体" w:cs="宋体"/>
          <w:szCs w:val="28"/>
        </w:rPr>
        <w:t xml:space="preserve">二、合同金额</w:t>
      </w:r>
      <w:r/>
    </w:p>
    <w:p>
      <w:pPr>
        <w:ind w:firstLine="640"/>
        <w:spacing w:line="240" w:lineRule="auto"/>
        <w:rPr>
          <w:rFonts w:ascii="宋体" w:hAnsi="宋体" w:eastAsia="宋体" w:cs="宋体"/>
          <w:szCs w:val="28"/>
        </w:rPr>
      </w:pPr>
      <w:r>
        <w:rPr>
          <w:rFonts w:hint="eastAsia" w:ascii="宋体" w:hAnsi="宋体" w:eastAsia="宋体" w:cs="宋体"/>
          <w:szCs w:val="28"/>
        </w:rPr>
        <w:t xml:space="preserve">2.1本合同金额为（大写）：___________________________元整（_______________元）人民币或其他币种。</w:t>
      </w:r>
      <w:r/>
    </w:p>
    <w:p>
      <w:pPr>
        <w:ind w:firstLine="640"/>
        <w:rPr>
          <w:rFonts w:ascii="宋体" w:hAnsi="宋体" w:eastAsia="宋体" w:cs="宋体"/>
          <w:szCs w:val="28"/>
        </w:rPr>
      </w:pPr>
      <w:r>
        <w:rPr>
          <w:rFonts w:hint="eastAsia" w:ascii="宋体" w:hAnsi="宋体" w:eastAsia="宋体" w:cs="宋体"/>
          <w:szCs w:val="28"/>
        </w:rPr>
        <w:t xml:space="preserve">三、技术资料</w:t>
      </w:r>
      <w:r/>
    </w:p>
    <w:p>
      <w:pPr>
        <w:ind w:firstLine="640"/>
        <w:spacing w:line="240" w:lineRule="auto"/>
        <w:rPr>
          <w:rFonts w:ascii="宋体" w:hAnsi="宋体" w:eastAsia="宋体" w:cs="宋体"/>
          <w:szCs w:val="28"/>
        </w:rPr>
      </w:pPr>
      <w:r>
        <w:rPr>
          <w:rFonts w:hint="eastAsia" w:ascii="宋体" w:hAnsi="宋体" w:eastAsia="宋体" w:cs="宋体"/>
          <w:szCs w:val="28"/>
        </w:rPr>
        <w:t xml:space="preserve">3.1乙方应按招标文件规定的时间向甲方提供服务（包含与服务相关的货物）的有关技术资料。</w:t>
      </w:r>
      <w:r/>
    </w:p>
    <w:p>
      <w:pPr>
        <w:ind w:firstLine="640"/>
        <w:spacing w:line="240" w:lineRule="auto"/>
        <w:rPr>
          <w:rFonts w:ascii="宋体" w:hAnsi="宋体" w:eastAsia="宋体" w:cs="宋体"/>
          <w:szCs w:val="28"/>
        </w:rPr>
      </w:pPr>
      <w:r>
        <w:rPr>
          <w:rFonts w:hint="eastAsia" w:ascii="宋体" w:hAnsi="宋体" w:eastAsia="宋体" w:cs="宋体"/>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rPr>
          <w:rFonts w:ascii="宋体" w:hAnsi="宋体" w:eastAsia="宋体" w:cs="宋体"/>
          <w:szCs w:val="28"/>
        </w:rPr>
      </w:pPr>
      <w:r>
        <w:rPr>
          <w:rFonts w:hint="eastAsia" w:ascii="宋体" w:hAnsi="宋体" w:eastAsia="宋体" w:cs="宋体"/>
          <w:szCs w:val="28"/>
        </w:rPr>
        <w:t xml:space="preserve">四、知识产权</w:t>
      </w:r>
      <w:r/>
    </w:p>
    <w:p>
      <w:pPr>
        <w:ind w:firstLine="640"/>
        <w:spacing w:line="240" w:lineRule="auto"/>
        <w:rPr>
          <w:rFonts w:ascii="宋体" w:hAnsi="宋体" w:eastAsia="宋体" w:cs="宋体"/>
          <w:szCs w:val="28"/>
        </w:rPr>
      </w:pPr>
      <w:r>
        <w:rPr>
          <w:rFonts w:hint="eastAsia" w:ascii="宋体" w:hAnsi="宋体" w:eastAsia="宋体" w:cs="宋体"/>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40"/>
        <w:rPr>
          <w:rFonts w:ascii="宋体" w:hAnsi="宋体" w:eastAsia="宋体" w:cs="宋体"/>
          <w:szCs w:val="28"/>
          <w:u w:val="single"/>
        </w:rPr>
      </w:pPr>
      <w:r>
        <w:rPr>
          <w:rFonts w:hint="eastAsia" w:ascii="宋体" w:hAnsi="宋体" w:eastAsia="宋体" w:cs="宋体"/>
          <w:szCs w:val="28"/>
        </w:rPr>
        <w:t xml:space="preserve">五、产权担保</w:t>
      </w:r>
      <w:r/>
    </w:p>
    <w:p>
      <w:pPr>
        <w:ind w:firstLine="640"/>
        <w:spacing w:line="240" w:lineRule="auto"/>
        <w:rPr>
          <w:rFonts w:ascii="宋体" w:hAnsi="宋体" w:eastAsia="宋体" w:cs="宋体"/>
          <w:szCs w:val="28"/>
          <w:u w:val="single"/>
        </w:rPr>
      </w:pPr>
      <w:r>
        <w:rPr>
          <w:rFonts w:hint="eastAsia" w:ascii="宋体" w:hAnsi="宋体" w:eastAsia="宋体" w:cs="宋体"/>
          <w:szCs w:val="28"/>
        </w:rPr>
        <w:t xml:space="preserve">5.1乙方保证所交付的服务（包含与服务相关的货物）的所有权完全属于乙方且无任何抵押、查封等产权瑕疵。</w:t>
      </w:r>
      <w:r/>
    </w:p>
    <w:p>
      <w:pPr>
        <w:ind w:firstLine="640"/>
        <w:rPr>
          <w:rFonts w:ascii="宋体" w:hAnsi="宋体" w:eastAsia="宋体" w:cs="宋体"/>
          <w:szCs w:val="28"/>
        </w:rPr>
      </w:pPr>
      <w:r>
        <w:rPr>
          <w:rFonts w:hint="eastAsia" w:ascii="宋体" w:hAnsi="宋体" w:eastAsia="宋体" w:cs="宋体"/>
          <w:szCs w:val="28"/>
        </w:rPr>
        <w:t xml:space="preserve">六、履约保证金</w:t>
      </w:r>
      <w:r/>
    </w:p>
    <w:p>
      <w:pPr>
        <w:ind w:firstLine="560"/>
        <w:spacing w:line="570" w:lineRule="exact"/>
        <w:rPr>
          <w:rFonts w:ascii="宋体" w:hAnsi="宋体" w:eastAsia="宋体" w:cs="宋体"/>
          <w:szCs w:val="28"/>
        </w:rPr>
      </w:pPr>
      <w:r>
        <w:rPr>
          <w:rFonts w:hint="eastAsia" w:ascii="宋体" w:hAnsi="宋体" w:eastAsia="宋体" w:cs="宋体"/>
          <w:szCs w:val="28"/>
        </w:rPr>
        <w:t xml:space="preserve">本项目</w:t>
      </w:r>
      <w:r>
        <w:rPr>
          <w:rFonts w:hint="eastAsia" w:ascii="宋体" w:hAnsi="宋体" w:eastAsia="宋体" w:cs="宋体"/>
          <w:szCs w:val="28"/>
          <w:u w:val="single"/>
        </w:rPr>
        <w:t xml:space="preserve">不收取</w:t>
      </w:r>
      <w:r>
        <w:rPr>
          <w:rFonts w:hint="eastAsia" w:ascii="宋体" w:hAnsi="宋体" w:eastAsia="宋体" w:cs="宋体"/>
          <w:szCs w:val="28"/>
        </w:rPr>
        <w:t xml:space="preserve">履约保证金。</w:t>
      </w:r>
      <w:r/>
    </w:p>
    <w:p>
      <w:pPr>
        <w:ind w:firstLine="640"/>
        <w:rPr>
          <w:rFonts w:ascii="宋体" w:hAnsi="宋体" w:eastAsia="宋体" w:cs="宋体"/>
          <w:szCs w:val="28"/>
        </w:rPr>
      </w:pPr>
      <w:r>
        <w:rPr>
          <w:rFonts w:hint="eastAsia" w:ascii="宋体" w:hAnsi="宋体" w:eastAsia="宋体" w:cs="宋体"/>
          <w:szCs w:val="28"/>
        </w:rPr>
        <w:t xml:space="preserve">七、合同转包或分包</w:t>
      </w:r>
      <w:r/>
    </w:p>
    <w:p>
      <w:pPr>
        <w:ind w:firstLine="640"/>
        <w:spacing w:line="240" w:lineRule="auto"/>
        <w:rPr>
          <w:rFonts w:ascii="宋体" w:hAnsi="宋体" w:eastAsia="宋体" w:cs="宋体"/>
          <w:szCs w:val="28"/>
        </w:rPr>
      </w:pPr>
      <w:r>
        <w:rPr>
          <w:rFonts w:hint="eastAsia" w:ascii="宋体" w:hAnsi="宋体" w:eastAsia="宋体" w:cs="宋体"/>
          <w:szCs w:val="28"/>
        </w:rPr>
        <w:t xml:space="preserve">7.1乙方不得将合同标的转包给他人履行。</w:t>
      </w:r>
      <w:r/>
    </w:p>
    <w:p>
      <w:pPr>
        <w:ind w:firstLine="640"/>
        <w:spacing w:line="240" w:lineRule="auto"/>
        <w:rPr>
          <w:rFonts w:ascii="宋体" w:hAnsi="宋体" w:eastAsia="宋体" w:cs="宋体"/>
          <w:iCs/>
          <w:szCs w:val="28"/>
        </w:rPr>
      </w:pPr>
      <w:r>
        <w:rPr>
          <w:rFonts w:hint="eastAsia" w:ascii="宋体" w:hAnsi="宋体" w:eastAsia="宋体" w:cs="宋体"/>
          <w:szCs w:val="28"/>
        </w:rPr>
        <w:t xml:space="preserve">7.2乙方不得将合同标的分包给他人履行。</w:t>
      </w:r>
      <w:r/>
    </w:p>
    <w:p>
      <w:pPr>
        <w:ind w:firstLine="640"/>
        <w:spacing w:line="240" w:lineRule="auto"/>
        <w:rPr>
          <w:rFonts w:ascii="宋体" w:hAnsi="宋体" w:eastAsia="宋体" w:cs="宋体"/>
          <w:szCs w:val="28"/>
        </w:rPr>
      </w:pPr>
      <w:r>
        <w:rPr>
          <w:rFonts w:hint="eastAsia" w:ascii="宋体" w:hAnsi="宋体" w:eastAsia="宋体" w:cs="宋体"/>
          <w:szCs w:val="28"/>
        </w:rPr>
        <w:t xml:space="preserve">7.3乙方如有转包或未经甲方同意的分包行为，甲方有权解除合同。</w:t>
      </w:r>
      <w:r/>
    </w:p>
    <w:p>
      <w:pPr>
        <w:ind w:firstLine="640"/>
        <w:rPr>
          <w:rFonts w:ascii="宋体" w:hAnsi="宋体" w:eastAsia="宋体" w:cs="宋体"/>
          <w:szCs w:val="28"/>
        </w:rPr>
      </w:pPr>
      <w:r>
        <w:rPr>
          <w:rFonts w:hint="eastAsia" w:ascii="宋体" w:hAnsi="宋体" w:eastAsia="宋体" w:cs="宋体"/>
          <w:szCs w:val="28"/>
        </w:rPr>
        <w:t xml:space="preserve">八、合同款项支付</w:t>
      </w:r>
      <w:r/>
    </w:p>
    <w:p>
      <w:pPr>
        <w:ind w:firstLine="640"/>
        <w:rPr>
          <w:rFonts w:ascii="宋体" w:hAnsi="宋体" w:eastAsia="宋体" w:cs="宋体"/>
          <w:szCs w:val="28"/>
        </w:rPr>
      </w:pPr>
      <w:r>
        <w:rPr>
          <w:rFonts w:hint="eastAsia" w:ascii="宋体" w:hAnsi="宋体" w:eastAsia="宋体" w:cs="宋体"/>
          <w:color w:val="ff0000"/>
          <w:szCs w:val="28"/>
        </w:rPr>
        <w:t xml:space="preserve">合同通过验收后只支付至合同价的70%，验收满1年后付清尾款。</w:t>
      </w:r>
      <w:r/>
    </w:p>
    <w:p>
      <w:pPr>
        <w:ind w:firstLine="640"/>
        <w:rPr>
          <w:rFonts w:ascii="宋体" w:hAnsi="宋体" w:eastAsia="宋体" w:cs="宋体"/>
          <w:szCs w:val="28"/>
        </w:rPr>
      </w:pPr>
      <w:r>
        <w:rPr>
          <w:rFonts w:hint="eastAsia" w:ascii="宋体" w:hAnsi="宋体" w:eastAsia="宋体" w:cs="宋体"/>
          <w:szCs w:val="28"/>
        </w:rPr>
        <w:t xml:space="preserve">九、税费</w:t>
      </w:r>
      <w:r/>
    </w:p>
    <w:p>
      <w:pPr>
        <w:ind w:firstLine="640"/>
        <w:spacing w:line="240" w:lineRule="auto"/>
        <w:rPr>
          <w:rFonts w:ascii="宋体" w:hAnsi="宋体" w:eastAsia="宋体" w:cs="宋体"/>
          <w:szCs w:val="28"/>
        </w:rPr>
      </w:pPr>
      <w:r>
        <w:rPr>
          <w:rFonts w:hint="eastAsia" w:ascii="宋体" w:hAnsi="宋体" w:eastAsia="宋体" w:cs="宋体"/>
          <w:szCs w:val="28"/>
        </w:rPr>
        <w:t xml:space="preserve">9.1本合同执行中相关的一切税费均由乙方负担。</w:t>
      </w:r>
      <w:r/>
    </w:p>
    <w:p>
      <w:pPr>
        <w:ind w:firstLine="640"/>
        <w:rPr>
          <w:rFonts w:ascii="宋体" w:hAnsi="宋体" w:eastAsia="宋体" w:cs="宋体"/>
          <w:szCs w:val="28"/>
        </w:rPr>
      </w:pPr>
      <w:r>
        <w:rPr>
          <w:rFonts w:hint="eastAsia" w:ascii="宋体" w:hAnsi="宋体" w:eastAsia="宋体" w:cs="宋体"/>
          <w:szCs w:val="28"/>
        </w:rPr>
        <w:t xml:space="preserve">十、项目验收</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10.1甲方依法组织履约验收工作。</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10.3对于实际使用人和甲方分离的项目，甲方邀请实际使用人参与验收。</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10.4如有必要，甲方邀请参加本项目的其他供应商或第三方专业机构及专家参与验收，相关意见将作为验收书的参考资料。</w:t>
      </w:r>
      <w:r/>
    </w:p>
    <w:p>
      <w:pPr>
        <w:ind w:firstLine="560"/>
        <w:spacing w:line="420" w:lineRule="atLeast"/>
        <w:rPr>
          <w:rFonts w:ascii="宋体" w:hAnsi="宋体" w:eastAsia="宋体" w:cs="宋体"/>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8"/>
        </w:rPr>
        <w:t xml:space="preserve">10.5甲方成立验收小组，</w:t>
      </w:r>
      <w:r>
        <w:rPr>
          <w:rFonts w:ascii="宋体" w:hAnsi="宋体" w:eastAsia="宋体" w:cs="宋体"/>
          <w:color w:val="000000"/>
        </w:rPr>
        <w:t xml:space="preserve">采购人将参照《江苏省政府采购履约验收管理办法》及《</w:t>
      </w:r>
      <w:r>
        <w:rPr>
          <w:rFonts w:hint="eastAsia" w:ascii="宋体" w:hAnsi="宋体" w:eastAsia="宋体" w:cs="宋体"/>
          <w:color w:val="000000"/>
        </w:rPr>
        <w:t xml:space="preserve">常州市金坛区第二人民医院血液透析信息系统项目</w:t>
      </w:r>
      <w:r>
        <w:rPr>
          <w:rFonts w:ascii="宋体" w:hAnsi="宋体" w:eastAsia="宋体" w:cs="宋体"/>
          <w:color w:val="000000"/>
        </w:rPr>
        <w:t xml:space="preserve">考核细则》组织验收考核</w:t>
      </w:r>
      <w:r>
        <w:rPr>
          <w:rFonts w:hint="eastAsia" w:ascii="宋体" w:hAnsi="宋体" w:eastAsia="宋体" w:cs="宋体"/>
          <w:szCs w:val="28"/>
        </w:rPr>
        <w:t xml:space="preserve">,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rPr>
          <w:rFonts w:ascii="宋体" w:hAnsi="宋体" w:eastAsia="宋体" w:cs="宋体"/>
          <w:szCs w:val="28"/>
        </w:rPr>
      </w:pPr>
      <w:r>
        <w:rPr>
          <w:rFonts w:hint="eastAsia" w:ascii="宋体" w:hAnsi="宋体" w:eastAsia="宋体" w:cs="宋体"/>
          <w:szCs w:val="28"/>
        </w:rPr>
        <w:t xml:space="preserve">十一、违约责任</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11.1甲方无正当理由拒绝接受乙方提供服务的，甲方向乙方偿付拒绝接受服务合同价款总值的违约金。</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11.2甲方无故逾期验收和办理合同款项支付手续的,甲方应按逾期付款总额每日向乙方支付违约金。</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11.4乙方所提供服务的标准不符合合同规定及招标文件规定标准的，甲方有权拒绝接受服务，并可单方面解除合同。</w:t>
      </w:r>
      <w:r/>
    </w:p>
    <w:p>
      <w:pPr>
        <w:ind w:firstLine="640"/>
        <w:rPr>
          <w:rFonts w:ascii="宋体" w:hAnsi="宋体" w:eastAsia="宋体" w:cs="宋体"/>
          <w:szCs w:val="28"/>
        </w:rPr>
      </w:pPr>
      <w:r>
        <w:rPr>
          <w:rFonts w:hint="eastAsia" w:ascii="宋体" w:hAnsi="宋体" w:eastAsia="宋体" w:cs="宋体"/>
          <w:szCs w:val="28"/>
        </w:rPr>
        <w:t xml:space="preserve">十二、不可抗力事件处理</w:t>
      </w:r>
      <w:r/>
    </w:p>
    <w:p>
      <w:pPr>
        <w:ind w:firstLine="640"/>
        <w:spacing w:line="240" w:lineRule="auto"/>
        <w:rPr>
          <w:rFonts w:ascii="宋体" w:hAnsi="宋体" w:eastAsia="宋体" w:cs="宋体"/>
          <w:szCs w:val="28"/>
        </w:rPr>
      </w:pPr>
      <w:r>
        <w:rPr>
          <w:rFonts w:hint="eastAsia" w:ascii="宋体" w:hAnsi="宋体" w:eastAsia="宋体" w:cs="宋体"/>
          <w:szCs w:val="28"/>
        </w:rPr>
        <w:t xml:space="preserve">12.1在合同有效期内，任何一方因不可抗力事件导致不能履行合同，则合同履行期可延长，其延长期与不可抗力影响期相同。</w:t>
      </w:r>
      <w:r/>
    </w:p>
    <w:p>
      <w:pPr>
        <w:ind w:firstLine="640"/>
        <w:spacing w:line="240" w:lineRule="auto"/>
        <w:rPr>
          <w:rFonts w:ascii="宋体" w:hAnsi="宋体" w:eastAsia="宋体" w:cs="宋体"/>
          <w:szCs w:val="28"/>
        </w:rPr>
      </w:pPr>
      <w:r>
        <w:rPr>
          <w:rFonts w:hint="eastAsia" w:ascii="宋体" w:hAnsi="宋体" w:eastAsia="宋体" w:cs="宋体"/>
          <w:szCs w:val="28"/>
        </w:rPr>
        <w:t xml:space="preserve">12.2不可抗力事件发生后，应立即通知对方，并寄送有关权威机构出具的证明。</w:t>
      </w:r>
      <w:r/>
    </w:p>
    <w:p>
      <w:pPr>
        <w:ind w:firstLine="640"/>
        <w:spacing w:line="240" w:lineRule="auto"/>
        <w:rPr>
          <w:rFonts w:ascii="宋体" w:hAnsi="宋体" w:eastAsia="宋体" w:cs="宋体"/>
          <w:szCs w:val="28"/>
        </w:rPr>
      </w:pPr>
      <w:r>
        <w:rPr>
          <w:rFonts w:hint="eastAsia" w:ascii="宋体" w:hAnsi="宋体" w:eastAsia="宋体" w:cs="宋体"/>
          <w:szCs w:val="28"/>
        </w:rPr>
        <w:t xml:space="preserve">12.3不可抗力事件延续120天以上，双方应通过友好协商，确定是否继续履行合同。</w:t>
      </w:r>
      <w:r/>
    </w:p>
    <w:p>
      <w:pPr>
        <w:ind w:firstLine="640"/>
        <w:rPr>
          <w:rFonts w:ascii="宋体" w:hAnsi="宋体" w:eastAsia="宋体" w:cs="宋体"/>
          <w:szCs w:val="28"/>
        </w:rPr>
      </w:pPr>
      <w:r>
        <w:rPr>
          <w:rFonts w:hint="eastAsia" w:ascii="宋体" w:hAnsi="宋体" w:eastAsia="宋体" w:cs="宋体"/>
          <w:szCs w:val="28"/>
        </w:rPr>
        <w:t xml:space="preserve">十三、解决争议的方法</w:t>
      </w:r>
      <w:r/>
    </w:p>
    <w:p>
      <w:pPr>
        <w:ind w:firstLine="640"/>
        <w:spacing w:line="240" w:lineRule="auto"/>
        <w:rPr>
          <w:rFonts w:ascii="宋体" w:hAnsi="宋体" w:eastAsia="宋体" w:cs="宋体"/>
          <w:szCs w:val="28"/>
        </w:rPr>
      </w:pPr>
      <w:r>
        <w:rPr>
          <w:rFonts w:hint="eastAsia" w:ascii="宋体" w:hAnsi="宋体" w:eastAsia="宋体" w:cs="宋体"/>
          <w:szCs w:val="28"/>
        </w:rPr>
        <w:t xml:space="preserve">13.1双方在签订、履行合同中所发生的一切争议，应通过友好协商解决。如协商不成，由甲方住所地人民法院管辖。</w:t>
      </w:r>
      <w:r/>
    </w:p>
    <w:p>
      <w:pPr>
        <w:ind w:firstLine="640"/>
        <w:rPr>
          <w:rFonts w:ascii="宋体" w:hAnsi="宋体" w:eastAsia="宋体" w:cs="宋体"/>
          <w:szCs w:val="28"/>
        </w:rPr>
      </w:pPr>
      <w:r>
        <w:rPr>
          <w:rFonts w:hint="eastAsia" w:ascii="宋体" w:hAnsi="宋体" w:eastAsia="宋体" w:cs="宋体"/>
          <w:szCs w:val="28"/>
        </w:rPr>
        <w:t xml:space="preserve">十四、合同生效及其他</w:t>
      </w:r>
      <w:r/>
    </w:p>
    <w:p>
      <w:pPr>
        <w:ind w:firstLine="640"/>
        <w:spacing w:line="240" w:lineRule="auto"/>
        <w:rPr>
          <w:rFonts w:ascii="宋体" w:hAnsi="宋体" w:eastAsia="宋体" w:cs="宋体"/>
          <w:szCs w:val="28"/>
        </w:rPr>
      </w:pPr>
      <w:r>
        <w:rPr>
          <w:rFonts w:hint="eastAsia" w:ascii="宋体" w:hAnsi="宋体" w:eastAsia="宋体" w:cs="宋体"/>
          <w:szCs w:val="28"/>
        </w:rPr>
        <w:t xml:space="preserve">14.1合同经双方法定代表人或授权委托代表人签字并加盖单位公章后生效。</w:t>
      </w:r>
      <w:r/>
    </w:p>
    <w:p>
      <w:pPr>
        <w:ind w:firstLine="640"/>
        <w:spacing w:line="240" w:lineRule="auto"/>
        <w:rPr>
          <w:rFonts w:ascii="宋体" w:hAnsi="宋体" w:eastAsia="宋体" w:cs="宋体"/>
          <w:szCs w:val="28"/>
        </w:rPr>
      </w:pPr>
      <w:r>
        <w:rPr>
          <w:rFonts w:hint="eastAsia" w:ascii="宋体" w:hAnsi="宋体" w:eastAsia="宋体" w:cs="宋体"/>
          <w:szCs w:val="28"/>
        </w:rPr>
        <w:t xml:space="preserve">14.2本合同未尽事宜，遵照《中华人民共和国民法典》《中华人民共和国政府采购法》有关条文执行。</w:t>
      </w:r>
      <w:r/>
    </w:p>
    <w:p>
      <w:pPr>
        <w:ind w:firstLine="640"/>
        <w:spacing w:line="240" w:lineRule="auto"/>
        <w:rPr>
          <w:rFonts w:ascii="宋体" w:hAnsi="宋体" w:eastAsia="宋体" w:cs="宋体"/>
          <w:szCs w:val="28"/>
        </w:rPr>
      </w:pPr>
      <w:r>
        <w:rPr>
          <w:rFonts w:hint="eastAsia" w:ascii="宋体" w:hAnsi="宋体" w:eastAsia="宋体" w:cs="宋体"/>
          <w:szCs w:val="28"/>
        </w:rPr>
        <w:t xml:space="preserve">14.3本合同正本一式两份，具有同等法律效力，甲方、乙方各执一份。</w:t>
      </w:r>
      <w:r/>
    </w:p>
    <w:p>
      <w:pPr>
        <w:ind w:firstLine="640"/>
        <w:spacing w:line="240" w:lineRule="auto"/>
        <w:rPr>
          <w:rFonts w:ascii="宋体" w:hAnsi="宋体" w:eastAsia="宋体" w:cs="宋体"/>
          <w:szCs w:val="28"/>
        </w:rPr>
      </w:pPr>
      <w:r>
        <w:rPr>
          <w:rFonts w:ascii="宋体" w:hAnsi="宋体" w:eastAsia="宋体" w:cs="宋体"/>
          <w:szCs w:val="28"/>
        </w:rPr>
      </w:r>
      <w:r/>
    </w:p>
    <w:p>
      <w:pPr>
        <w:ind w:firstLine="0"/>
        <w:spacing w:line="240" w:lineRule="auto"/>
        <w:rPr>
          <w:rFonts w:ascii="宋体" w:hAnsi="宋体" w:eastAsia="宋体" w:cs="宋体"/>
          <w:szCs w:val="28"/>
        </w:rPr>
      </w:pPr>
      <w:r>
        <w:rPr>
          <w:rFonts w:hint="eastAsia" w:ascii="宋体" w:hAnsi="宋体" w:eastAsia="宋体" w:cs="宋体"/>
          <w:szCs w:val="28"/>
        </w:rPr>
        <w:t xml:space="preserve">甲方：                                 乙方：</w:t>
      </w:r>
      <w:r/>
    </w:p>
    <w:p>
      <w:pPr>
        <w:ind w:firstLine="0"/>
        <w:spacing w:line="240" w:lineRule="auto"/>
        <w:rPr>
          <w:rFonts w:ascii="宋体" w:hAnsi="宋体" w:eastAsia="宋体" w:cs="宋体"/>
          <w:szCs w:val="28"/>
        </w:rPr>
      </w:pPr>
      <w:r>
        <w:rPr>
          <w:rFonts w:hint="eastAsia" w:ascii="宋体" w:hAnsi="宋体" w:eastAsia="宋体" w:cs="宋体"/>
          <w:szCs w:val="28"/>
        </w:rPr>
        <w:t xml:space="preserve">地址：                                 地址：</w:t>
      </w:r>
      <w:r/>
    </w:p>
    <w:p>
      <w:pPr>
        <w:ind w:firstLine="0"/>
        <w:spacing w:line="240" w:lineRule="auto"/>
        <w:rPr>
          <w:rFonts w:ascii="宋体" w:hAnsi="宋体" w:eastAsia="宋体" w:cs="宋体"/>
          <w:szCs w:val="28"/>
        </w:rPr>
      </w:pPr>
      <w:r>
        <w:rPr>
          <w:rFonts w:hint="eastAsia" w:ascii="宋体" w:hAnsi="宋体" w:eastAsia="宋体" w:cs="宋体"/>
          <w:szCs w:val="28"/>
        </w:rPr>
        <w:t xml:space="preserve">法定代表人或授权代表：                 法定代表人或授权代表：</w:t>
      </w:r>
      <w:r/>
    </w:p>
    <w:p>
      <w:pPr>
        <w:ind w:firstLine="0"/>
        <w:spacing w:line="240" w:lineRule="auto"/>
        <w:rPr>
          <w:rFonts w:ascii="宋体" w:hAnsi="宋体" w:eastAsia="宋体" w:cs="宋体"/>
          <w:szCs w:val="28"/>
        </w:rPr>
      </w:pPr>
      <w:r>
        <w:rPr>
          <w:rFonts w:hint="eastAsia" w:ascii="宋体" w:hAnsi="宋体" w:eastAsia="宋体" w:cs="宋体"/>
          <w:szCs w:val="28"/>
        </w:rPr>
        <w:t xml:space="preserve">联系电话：                             联系电话：</w:t>
      </w:r>
      <w:r/>
    </w:p>
    <w:p>
      <w:pPr>
        <w:ind w:firstLine="0"/>
        <w:spacing w:line="240" w:lineRule="auto"/>
        <w:rPr>
          <w:rFonts w:ascii="宋体" w:hAnsi="宋体" w:eastAsia="宋体" w:cs="宋体"/>
          <w:szCs w:val="28"/>
        </w:rPr>
      </w:pPr>
      <w:r>
        <w:rPr>
          <w:rFonts w:hint="eastAsia" w:ascii="宋体" w:hAnsi="宋体" w:eastAsia="宋体" w:cs="宋体"/>
          <w:szCs w:val="28"/>
        </w:rPr>
        <w:t xml:space="preserve">签订日期：   年   月   日</w:t>
      </w:r>
      <w:bookmarkStart w:id="46" w:name="_Hlt16619369"/>
      <w:r/>
      <w:bookmarkEnd w:id="46"/>
      <w:r>
        <w:rPr>
          <w:rFonts w:hint="eastAsia" w:ascii="宋体" w:hAnsi="宋体" w:eastAsia="宋体" w:cs="宋体"/>
          <w:szCs w:val="28"/>
        </w:rPr>
        <w:t xml:space="preserve">              签订日期：   年   月   日</w:t>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bidi="ar-SA"/>
        </w:rPr>
      </w:r>
      <w:bookmarkEnd w:id="45"/>
      <w:r/>
      <w:r/>
    </w:p>
    <w:p>
      <w:pPr>
        <w:pStyle w:val="1105"/>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1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cs="宋体"/>
                <w:b/>
                <w:bCs/>
                <w:color w:val="1d41d5"/>
                <w:spacing w:val="8"/>
                <w:szCs w:val="28"/>
                <w:u w:val="single"/>
              </w:rPr>
              <w:suppressLineNumbers w:val="0"/>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pStyle w:val="1106"/>
              <w:ind w:left="0" w:right="0" w:firstLine="0"/>
              <w:jc w:val="left"/>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7" w:name="_Toc28025"/>
      <w:r/>
      <w:bookmarkStart w:id="48" w:name="_Toc7710"/>
      <w:r/>
      <w:bookmarkStart w:id="49" w:name="_Toc21548"/>
      <w:r/>
      <w:bookmarkStart w:id="50" w:name="_Toc17140"/>
      <w:r/>
      <w:bookmarkStart w:id="51" w:name="_Toc9364"/>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106"/>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06"/>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22"/>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106"/>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132"/>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1122"/>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22"/>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106"/>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致：常州市金坛区</w:t>
      </w:r>
      <w:r>
        <w:rPr>
          <w:rFonts w:hint="eastAsia" w:ascii="宋体" w:hAnsi="宋体" w:cs="宋体"/>
          <w:sz w:val="28"/>
          <w:szCs w:val="28"/>
          <w:lang w:val="en-US" w:eastAsia="zh-CN"/>
        </w:rPr>
        <w:t xml:space="preserve">第二人民医院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22"/>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22"/>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1122"/>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106"/>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1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22"/>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22"/>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22"/>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22"/>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22"/>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1122"/>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1106"/>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1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1106"/>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09"/>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122"/>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1122"/>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1122"/>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106"/>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09"/>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898"/>
        <w:gridCol w:w="2022"/>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2" w:name="_Hlk72092651"/>
            <w:r>
              <w:rPr>
                <w:rFonts w:hint="eastAsia" w:ascii="宋体" w:hAnsi="宋体" w:eastAsia="宋体" w:cs="宋体"/>
                <w:sz w:val="28"/>
                <w:szCs w:val="28"/>
              </w:rPr>
              <w:t xml:space="preserve">序号</w:t>
            </w:r>
            <w:r/>
          </w:p>
        </w:tc>
        <w:tc>
          <w:tcPr>
            <w:tcW w:w="3898"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022"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2"/>
            <w:r/>
            <w:r/>
          </w:p>
        </w:tc>
      </w:tr>
      <w:tr>
        <w:trPr>
          <w:trHeight w:val="403"/>
        </w:trPr>
        <w:tc>
          <w:tcPr>
            <w:tcW w:w="834" w:type="dxa"/>
            <w:vAlign w:val="center"/>
            <w:textDirection w:val="lrTb"/>
            <w:noWrap w:val="false"/>
          </w:tcPr>
          <w:p>
            <w:pPr>
              <w:ind w:left="0" w:right="0" w:firstLine="0"/>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3898"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202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cs="宋体"/>
                <w:bCs/>
                <w:sz w:val="28"/>
                <w:szCs w:val="28"/>
                <w:lang w:val="en-US" w:eastAsia="zh-CN"/>
              </w:rPr>
              <w:t xml:space="preserve">2</w:t>
            </w:r>
            <w:r/>
          </w:p>
        </w:tc>
        <w:tc>
          <w:tcPr>
            <w:tcW w:w="3898" w:type="dxa"/>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cs="宋体"/>
                <w:sz w:val="28"/>
                <w:szCs w:val="28"/>
                <w:lang w:val="en-US" w:eastAsia="zh-CN"/>
              </w:rPr>
              <w:suppressLineNumbers w:val="0"/>
            </w:pPr>
            <w:r>
              <w:rPr>
                <w:rFonts w:hint="eastAsia" w:ascii="宋体" w:hAnsi="宋体" w:eastAsia="宋体" w:cs="宋体"/>
                <w:sz w:val="28"/>
                <w:szCs w:val="28"/>
                <w:lang w:val="en-US" w:eastAsia="zh-CN"/>
              </w:rPr>
              <w:t xml:space="preserve">平板电脑、55英寸4K大屏液晶显示器、条码激光打印机3个配套硬件全部属于政府强制采购节能产品，</w:t>
            </w:r>
            <w:r>
              <w:rPr>
                <w:rFonts w:hint="default" w:ascii="宋体" w:hAnsi="宋体" w:eastAsia="宋体" w:cs="宋体"/>
                <w:sz w:val="28"/>
                <w:szCs w:val="28"/>
                <w:lang w:val="en-US" w:eastAsia="zh-CN"/>
              </w:rPr>
              <w:t xml:space="preserve">投标人</w:t>
            </w:r>
            <w:r>
              <w:rPr>
                <w:rFonts w:hint="eastAsia" w:ascii="宋体" w:hAnsi="宋体" w:eastAsia="宋体" w:cs="宋体"/>
                <w:sz w:val="28"/>
                <w:szCs w:val="28"/>
                <w:lang w:val="en-US" w:eastAsia="zh-CN"/>
              </w:rPr>
              <w:t xml:space="preserve">需</w:t>
            </w:r>
            <w:r>
              <w:rPr>
                <w:rFonts w:hint="default" w:ascii="宋体" w:hAnsi="宋体" w:eastAsia="宋体" w:cs="宋体"/>
                <w:sz w:val="28"/>
                <w:szCs w:val="28"/>
                <w:lang w:val="en-US" w:eastAsia="zh-CN"/>
              </w:rPr>
              <w:t xml:space="preserve">提供</w:t>
            </w:r>
            <w:r>
              <w:rPr>
                <w:rFonts w:hint="default" w:ascii="宋体" w:hAnsi="宋体" w:eastAsia="宋体" w:cs="宋体"/>
                <w:sz w:val="28"/>
                <w:szCs w:val="28"/>
                <w:lang w:val="en-US" w:eastAsia="zh-CN"/>
              </w:rPr>
              <w:t xml:space="preserve">3个</w:t>
            </w:r>
            <w:r>
              <w:rPr>
                <w:rFonts w:hint="default" w:ascii="宋体" w:hAnsi="宋体" w:eastAsia="宋体" w:cs="宋体"/>
                <w:sz w:val="28"/>
                <w:szCs w:val="28"/>
                <w:lang w:val="en-US" w:eastAsia="zh-CN"/>
              </w:rPr>
              <w:t xml:space="preserve">所投产品获得国家认可的认证机构出具的处于有效期内的节能产品认证证书</w:t>
            </w:r>
            <w:r>
              <w:rPr>
                <w:rFonts w:hint="eastAsia" w:ascii="宋体" w:hAnsi="宋体" w:eastAsia="宋体" w:cs="宋体"/>
                <w:sz w:val="28"/>
                <w:szCs w:val="28"/>
                <w:lang w:val="en-US" w:eastAsia="zh-CN"/>
              </w:rPr>
              <w:t xml:space="preserve">证明材料</w:t>
            </w:r>
            <w:r>
              <w:rPr>
                <w:rFonts w:hint="default" w:ascii="宋体" w:hAnsi="宋体" w:eastAsia="宋体" w:cs="宋体"/>
                <w:sz w:val="28"/>
                <w:szCs w:val="28"/>
                <w:lang w:val="en-US" w:eastAsia="zh-CN"/>
              </w:rPr>
              <w:t xml:space="preserve">上传至“</w:t>
            </w:r>
            <w:r>
              <w:rPr>
                <w:rFonts w:hint="eastAsia" w:ascii="宋体" w:hAnsi="宋体" w:eastAsia="宋体" w:cs="宋体"/>
                <w:sz w:val="28"/>
                <w:szCs w:val="28"/>
                <w:lang w:val="en-US" w:eastAsia="zh-CN"/>
              </w:rPr>
              <w:t xml:space="preserve">与评审相关的其他符合证明文件材料</w:t>
            </w:r>
            <w:r>
              <w:rPr>
                <w:rFonts w:hint="default" w:ascii="宋体" w:hAnsi="宋体" w:eastAsia="宋体" w:cs="宋体"/>
                <w:sz w:val="28"/>
                <w:szCs w:val="28"/>
                <w:lang w:val="en-US" w:eastAsia="zh-CN"/>
              </w:rPr>
              <w:t xml:space="preserve">”模块中，否则作无效投标文件处理。</w:t>
            </w:r>
            <w:r/>
          </w:p>
        </w:tc>
        <w:tc>
          <w:tcPr>
            <w:tcW w:w="2022"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2.“实质性条款具体内容”栏目，序号1至2内容任何修改将被视为非实质性响应，从而导致该投标（响应）被拒绝，作无效投标文件处理。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106"/>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53" w:name="_Ref493492102"/>
      <w:r/>
      <w:r/>
    </w:p>
    <w:p>
      <w:pPr>
        <w:pStyle w:val="1122"/>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22"/>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53"/>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第二人民医院</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09"/>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1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1122"/>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106"/>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2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22"/>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22"/>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1122"/>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22"/>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22"/>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2"/>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6"/>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67"/>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22"/>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22"/>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22"/>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6"/>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06"/>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ind w:left="0" w:right="0" w:firstLine="0"/>
        <w:spacing w:before="0" w:after="0" w:line="74" w:lineRule="atLeast"/>
        <w:rPr>
          <w:rFonts w:ascii="宋体" w:hAnsi="宋体" w:eastAsia="宋体" w:cs="宋体"/>
          <w:b/>
          <w:color w:val="ff0000"/>
          <w:sz w:val="28"/>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8"/>
          <w:highlight w:val="yellow"/>
        </w:rPr>
      </w:r>
      <w:r/>
    </w:p>
    <w:p>
      <w:pPr>
        <w:ind w:left="0" w:right="0" w:firstLine="0"/>
        <w:spacing w:before="0" w:after="0" w:line="74" w:lineRule="atLeast"/>
        <w:rPr>
          <w:rFonts w:hint="default" w:eastAsia="宋体" w:cs="Times New Roman"/>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8"/>
          <w:highlight w:val="none"/>
        </w:rPr>
        <w:t xml:space="preserve">    </w:t>
      </w:r>
      <w:r>
        <w:rPr>
          <w:rFonts w:ascii="宋体" w:hAnsi="宋体" w:eastAsia="宋体" w:cs="宋体"/>
          <w:b/>
          <w:color w:val="ff0000"/>
          <w:sz w:val="28"/>
          <w:highlight w:val="yellow"/>
        </w:rPr>
        <w:t xml:space="preserve">★节能产品认证证书</w:t>
      </w:r>
      <w:r>
        <w:rPr>
          <w:rFonts w:hint="eastAsia" w:ascii="宋体" w:hAnsi="宋体" w:eastAsia="宋体" w:cs="宋体"/>
          <w:b/>
          <w:color w:val="ff0000"/>
          <w:sz w:val="28"/>
          <w:highlight w:val="yellow"/>
          <w:lang w:val="en-US" w:eastAsia="zh-CN"/>
        </w:rPr>
        <w:t xml:space="preserve">证明材料</w:t>
      </w:r>
      <w:r/>
    </w:p>
    <w:p>
      <w:pPr>
        <w:ind w:left="0" w:right="0" w:firstLine="560"/>
        <w:spacing w:before="0" w:after="0" w:line="74" w:lineRule="atLeast"/>
        <w:rPr>
          <w:rFonts w:ascii="宋体" w:hAnsi="宋体" w:eastAsia="宋体" w:cs="宋体"/>
          <w:color w:val="000000"/>
          <w:sz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r>
      <w:r/>
    </w:p>
    <w:p>
      <w:pPr>
        <w:ind w:left="0" w:right="0" w:firstLine="560"/>
        <w:spacing w:before="0" w:after="0" w:line="74"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投标人名称（电子签章）：</w:t>
      </w:r>
      <w:r/>
    </w:p>
    <w:p>
      <w:pPr>
        <w:ind w:left="0" w:right="0" w:firstLine="0"/>
        <w:spacing w:before="0" w:after="0" w:line="74"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74"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日期：</w:t>
      </w:r>
      <w:r/>
    </w:p>
    <w:p>
      <w:pPr>
        <w:ind w:left="0" w:right="0" w:firstLine="560"/>
        <w:jc w:val="both"/>
        <w:spacing w:before="0" w:after="0" w:line="74"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line="42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8"/>
          <w:highlight w:val="none"/>
        </w:rPr>
        <w:t xml:space="preserve"> </w:t>
      </w:r>
      <w:r>
        <w:rPr>
          <w:rFonts w:ascii="宋体" w:hAnsi="宋体" w:eastAsia="宋体" w:cs="宋体"/>
          <w:b/>
          <w:color w:val="ff0000"/>
          <w:sz w:val="28"/>
          <w:highlight w:val="none"/>
        </w:rPr>
        <w:t xml:space="preserve">   </w:t>
      </w:r>
      <w:r>
        <w:rPr>
          <w:rFonts w:ascii="宋体" w:hAnsi="宋体" w:eastAsia="宋体" w:cs="宋体"/>
          <w:b/>
          <w:color w:val="ff0000"/>
          <w:sz w:val="28"/>
          <w:highlight w:val="yellow"/>
        </w:rPr>
        <w:t xml:space="preserve">注：</w:t>
      </w:r>
      <w:r>
        <w:rPr>
          <w:rFonts w:hint="default" w:ascii="宋体" w:hAnsi="宋体" w:eastAsia="宋体" w:cs="宋体"/>
          <w:b/>
          <w:color w:val="ff0000"/>
          <w:sz w:val="28"/>
          <w:highlight w:val="yellow"/>
        </w:rPr>
        <w:t xml:space="preserve">投标人</w:t>
      </w:r>
      <w:r>
        <w:rPr>
          <w:rFonts w:hint="eastAsia" w:ascii="宋体" w:hAnsi="宋体" w:eastAsia="宋体" w:cs="宋体"/>
          <w:b/>
          <w:color w:val="ff0000"/>
          <w:sz w:val="28"/>
          <w:highlight w:val="yellow"/>
          <w:lang w:val="en-US" w:eastAsia="zh-CN"/>
        </w:rPr>
        <w:t xml:space="preserve">需</w:t>
      </w:r>
      <w:r>
        <w:rPr>
          <w:rFonts w:hint="default" w:ascii="宋体" w:hAnsi="宋体" w:eastAsia="宋体" w:cs="宋体"/>
          <w:b/>
          <w:color w:val="ff0000"/>
          <w:sz w:val="28"/>
          <w:highlight w:val="yellow"/>
        </w:rPr>
        <w:t xml:space="preserve">提供所投产品获得国家认可的认证机构出具的处于有效期内的节能产品认证证书</w:t>
      </w:r>
      <w:r>
        <w:rPr>
          <w:rFonts w:hint="eastAsia" w:ascii="宋体" w:hAnsi="宋体" w:eastAsia="宋体" w:cs="宋体"/>
          <w:b/>
          <w:color w:val="ff0000"/>
          <w:sz w:val="28"/>
          <w:highlight w:val="yellow"/>
          <w:lang w:val="en-US" w:eastAsia="zh-CN"/>
        </w:rPr>
        <w:t xml:space="preserve">证明材料</w:t>
      </w:r>
      <w:r>
        <w:rPr>
          <w:rFonts w:hint="default" w:ascii="宋体" w:hAnsi="宋体" w:eastAsia="宋体" w:cs="宋体"/>
          <w:b/>
          <w:color w:val="ff0000"/>
          <w:sz w:val="28"/>
          <w:highlight w:val="yellow"/>
        </w:rPr>
        <w:t xml:space="preserve">上传至“</w:t>
      </w:r>
      <w:r>
        <w:rPr>
          <w:rFonts w:hint="eastAsia" w:ascii="宋体" w:hAnsi="宋体" w:eastAsia="宋体" w:cs="宋体"/>
          <w:b/>
          <w:color w:val="ff0000"/>
          <w:sz w:val="28"/>
          <w:highlight w:val="yellow"/>
          <w:lang w:val="en-US" w:eastAsia="zh-CN"/>
        </w:rPr>
        <w:t xml:space="preserve">与评审相关的其他符合证明文件材料</w:t>
      </w:r>
      <w:r>
        <w:rPr>
          <w:rFonts w:hint="default" w:ascii="宋体" w:hAnsi="宋体" w:eastAsia="宋体" w:cs="宋体"/>
          <w:b/>
          <w:color w:val="ff0000"/>
          <w:sz w:val="28"/>
          <w:highlight w:val="yellow"/>
        </w:rPr>
        <w:t xml:space="preserve">”模块中，否则作无效投标文件处理。</w:t>
      </w:r>
      <w:r/>
    </w:p>
    <w:p>
      <w:pPr>
        <w:pStyle w:val="1122"/>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22"/>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06"/>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22"/>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106"/>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7"/>
      <w:r/>
      <w:bookmarkEnd w:id="48"/>
      <w:r/>
      <w:bookmarkEnd w:id="49"/>
      <w:r/>
      <w:bookmarkEnd w:id="50"/>
      <w:r/>
      <w:bookmarkEnd w:id="51"/>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9"/>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Fonts w:hint="eastAsia"/>
      </w:rPr>
    </w:pPr>
    <w:r>
      <w:rPr>
        <w:rFonts w:hint="eastAsia"/>
      </w:rPr>
    </w:r>
    <w:r/>
  </w:p>
  <w:p>
    <w:pPr>
      <w:pStyle w:val="1120"/>
      <w:rPr>
        <w:rFonts w:hint="eastAsia"/>
      </w:rPr>
    </w:pPr>
    <w:r>
      <w:rPr>
        <w:rFonts w:hint="eastAsia"/>
      </w:rPr>
    </w:r>
    <w:r/>
  </w:p>
  <w:p>
    <w:pPr>
      <w:pStyle w:val="1120"/>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Fonts w:hint="eastAsia"/>
      </w:rPr>
    </w:pPr>
    <w:r>
      <w:rPr>
        <w:rFonts w:hint="eastAsia"/>
      </w:rPr>
    </w:r>
    <w:r/>
  </w:p>
  <w:p>
    <w:pPr>
      <w:pStyle w:val="1120"/>
      <w:rPr>
        <w:rFonts w:hint="eastAsia"/>
      </w:rPr>
    </w:pPr>
    <w:r>
      <w:rPr>
        <w:rFonts w:hint="eastAsia"/>
      </w:rPr>
    </w:r>
    <w:r/>
  </w:p>
  <w:p>
    <w:pPr>
      <w:pStyle w:val="1120"/>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7">
    <w:name w:val="Heading 1 Char"/>
    <w:basedOn w:val="1108"/>
    <w:link w:val="1104"/>
    <w:uiPriority w:val="9"/>
    <w:rPr>
      <w:rFonts w:ascii="Arial" w:hAnsi="Arial" w:eastAsia="Arial" w:cs="Arial"/>
      <w:sz w:val="40"/>
      <w:szCs w:val="40"/>
    </w:rPr>
  </w:style>
  <w:style w:type="character" w:styleId="938">
    <w:name w:val="Heading 2 Char"/>
    <w:basedOn w:val="1108"/>
    <w:link w:val="1105"/>
    <w:uiPriority w:val="9"/>
    <w:rPr>
      <w:rFonts w:ascii="Arial" w:hAnsi="Arial" w:eastAsia="Arial" w:cs="Arial"/>
      <w:sz w:val="34"/>
    </w:rPr>
  </w:style>
  <w:style w:type="character" w:styleId="939">
    <w:name w:val="Heading 3 Char"/>
    <w:basedOn w:val="1108"/>
    <w:link w:val="1106"/>
    <w:uiPriority w:val="9"/>
    <w:rPr>
      <w:rFonts w:ascii="Arial" w:hAnsi="Arial" w:eastAsia="Arial" w:cs="Arial"/>
      <w:sz w:val="30"/>
      <w:szCs w:val="30"/>
    </w:rPr>
  </w:style>
  <w:style w:type="character" w:styleId="940">
    <w:name w:val="Heading 4 Char"/>
    <w:basedOn w:val="1108"/>
    <w:link w:val="1107"/>
    <w:uiPriority w:val="9"/>
    <w:rPr>
      <w:rFonts w:ascii="Arial" w:hAnsi="Arial" w:eastAsia="Arial" w:cs="Arial"/>
      <w:b/>
      <w:bCs/>
      <w:sz w:val="26"/>
      <w:szCs w:val="26"/>
    </w:rPr>
  </w:style>
  <w:style w:type="paragraph" w:styleId="941">
    <w:name w:val="Heading 5"/>
    <w:basedOn w:val="1103"/>
    <w:next w:val="1103"/>
    <w:link w:val="942"/>
    <w:uiPriority w:val="9"/>
    <w:unhideWhenUsed/>
    <w:qFormat/>
    <w:pPr>
      <w:keepLines/>
      <w:keepNext/>
      <w:spacing w:before="320" w:after="200"/>
      <w:outlineLvl w:val="4"/>
    </w:pPr>
    <w:rPr>
      <w:rFonts w:ascii="Arial" w:hAnsi="Arial" w:eastAsia="Arial" w:cs="Arial"/>
      <w:b/>
      <w:bCs/>
      <w:sz w:val="24"/>
      <w:szCs w:val="24"/>
    </w:rPr>
  </w:style>
  <w:style w:type="character" w:styleId="942">
    <w:name w:val="Heading 5 Char"/>
    <w:basedOn w:val="1108"/>
    <w:link w:val="941"/>
    <w:uiPriority w:val="9"/>
    <w:rPr>
      <w:rFonts w:ascii="Arial" w:hAnsi="Arial" w:eastAsia="Arial" w:cs="Arial"/>
      <w:b/>
      <w:bCs/>
      <w:sz w:val="24"/>
      <w:szCs w:val="24"/>
    </w:rPr>
  </w:style>
  <w:style w:type="paragraph" w:styleId="943">
    <w:name w:val="Heading 6"/>
    <w:basedOn w:val="1103"/>
    <w:next w:val="1103"/>
    <w:link w:val="944"/>
    <w:uiPriority w:val="9"/>
    <w:unhideWhenUsed/>
    <w:qFormat/>
    <w:pPr>
      <w:keepLines/>
      <w:keepNext/>
      <w:spacing w:before="320" w:after="200"/>
      <w:outlineLvl w:val="5"/>
    </w:pPr>
    <w:rPr>
      <w:rFonts w:ascii="Arial" w:hAnsi="Arial" w:eastAsia="Arial" w:cs="Arial"/>
      <w:b/>
      <w:bCs/>
      <w:sz w:val="22"/>
      <w:szCs w:val="22"/>
    </w:rPr>
  </w:style>
  <w:style w:type="character" w:styleId="944">
    <w:name w:val="Heading 6 Char"/>
    <w:basedOn w:val="1108"/>
    <w:link w:val="943"/>
    <w:uiPriority w:val="9"/>
    <w:rPr>
      <w:rFonts w:ascii="Arial" w:hAnsi="Arial" w:eastAsia="Arial" w:cs="Arial"/>
      <w:b/>
      <w:bCs/>
      <w:sz w:val="22"/>
      <w:szCs w:val="22"/>
    </w:rPr>
  </w:style>
  <w:style w:type="paragraph" w:styleId="945">
    <w:name w:val="Heading 7"/>
    <w:basedOn w:val="1103"/>
    <w:next w:val="1103"/>
    <w:link w:val="946"/>
    <w:uiPriority w:val="9"/>
    <w:unhideWhenUsed/>
    <w:qFormat/>
    <w:pPr>
      <w:keepLines/>
      <w:keepNext/>
      <w:spacing w:before="320" w:after="200"/>
      <w:outlineLvl w:val="6"/>
    </w:pPr>
    <w:rPr>
      <w:rFonts w:ascii="Arial" w:hAnsi="Arial" w:eastAsia="Arial" w:cs="Arial"/>
      <w:b/>
      <w:bCs/>
      <w:i/>
      <w:iCs/>
      <w:sz w:val="22"/>
      <w:szCs w:val="22"/>
    </w:rPr>
  </w:style>
  <w:style w:type="character" w:styleId="946">
    <w:name w:val="Heading 7 Char"/>
    <w:basedOn w:val="1108"/>
    <w:link w:val="945"/>
    <w:uiPriority w:val="9"/>
    <w:rPr>
      <w:rFonts w:ascii="Arial" w:hAnsi="Arial" w:eastAsia="Arial" w:cs="Arial"/>
      <w:b/>
      <w:bCs/>
      <w:i/>
      <w:iCs/>
      <w:sz w:val="22"/>
      <w:szCs w:val="22"/>
    </w:rPr>
  </w:style>
  <w:style w:type="paragraph" w:styleId="947">
    <w:name w:val="Heading 8"/>
    <w:basedOn w:val="1103"/>
    <w:next w:val="1103"/>
    <w:link w:val="948"/>
    <w:uiPriority w:val="9"/>
    <w:unhideWhenUsed/>
    <w:qFormat/>
    <w:pPr>
      <w:keepLines/>
      <w:keepNext/>
      <w:spacing w:before="320" w:after="200"/>
      <w:outlineLvl w:val="7"/>
    </w:pPr>
    <w:rPr>
      <w:rFonts w:ascii="Arial" w:hAnsi="Arial" w:eastAsia="Arial" w:cs="Arial"/>
      <w:i/>
      <w:iCs/>
      <w:sz w:val="22"/>
      <w:szCs w:val="22"/>
    </w:rPr>
  </w:style>
  <w:style w:type="character" w:styleId="948">
    <w:name w:val="Heading 8 Char"/>
    <w:basedOn w:val="1108"/>
    <w:link w:val="947"/>
    <w:uiPriority w:val="9"/>
    <w:rPr>
      <w:rFonts w:ascii="Arial" w:hAnsi="Arial" w:eastAsia="Arial" w:cs="Arial"/>
      <w:i/>
      <w:iCs/>
      <w:sz w:val="22"/>
      <w:szCs w:val="22"/>
    </w:rPr>
  </w:style>
  <w:style w:type="paragraph" w:styleId="949">
    <w:name w:val="Heading 9"/>
    <w:basedOn w:val="1103"/>
    <w:next w:val="1103"/>
    <w:link w:val="950"/>
    <w:uiPriority w:val="9"/>
    <w:unhideWhenUsed/>
    <w:qFormat/>
    <w:pPr>
      <w:keepLines/>
      <w:keepNext/>
      <w:spacing w:before="320" w:after="200"/>
      <w:outlineLvl w:val="8"/>
    </w:pPr>
    <w:rPr>
      <w:rFonts w:ascii="Arial" w:hAnsi="Arial" w:eastAsia="Arial" w:cs="Arial"/>
      <w:i/>
      <w:iCs/>
      <w:sz w:val="21"/>
      <w:szCs w:val="21"/>
    </w:rPr>
  </w:style>
  <w:style w:type="character" w:styleId="950">
    <w:name w:val="Heading 9 Char"/>
    <w:basedOn w:val="1108"/>
    <w:link w:val="949"/>
    <w:uiPriority w:val="9"/>
    <w:rPr>
      <w:rFonts w:ascii="Arial" w:hAnsi="Arial" w:eastAsia="Arial" w:cs="Arial"/>
      <w:i/>
      <w:iCs/>
      <w:sz w:val="21"/>
      <w:szCs w:val="21"/>
    </w:rPr>
  </w:style>
  <w:style w:type="paragraph" w:styleId="951">
    <w:name w:val="No Spacing"/>
    <w:uiPriority w:val="1"/>
    <w:qFormat/>
    <w:pPr>
      <w:spacing w:before="0" w:after="0" w:line="240" w:lineRule="auto"/>
    </w:pPr>
  </w:style>
  <w:style w:type="character" w:styleId="952">
    <w:name w:val="Title Char"/>
    <w:basedOn w:val="1108"/>
    <w:link w:val="1123"/>
    <w:uiPriority w:val="10"/>
    <w:rPr>
      <w:sz w:val="48"/>
      <w:szCs w:val="48"/>
    </w:rPr>
  </w:style>
  <w:style w:type="paragraph" w:styleId="953">
    <w:name w:val="Subtitle"/>
    <w:basedOn w:val="1103"/>
    <w:next w:val="1103"/>
    <w:link w:val="954"/>
    <w:uiPriority w:val="11"/>
    <w:qFormat/>
    <w:pPr>
      <w:spacing w:before="200" w:after="200"/>
    </w:pPr>
    <w:rPr>
      <w:sz w:val="24"/>
      <w:szCs w:val="24"/>
    </w:rPr>
  </w:style>
  <w:style w:type="character" w:styleId="954">
    <w:name w:val="Subtitle Char"/>
    <w:basedOn w:val="1108"/>
    <w:link w:val="953"/>
    <w:uiPriority w:val="11"/>
    <w:rPr>
      <w:sz w:val="24"/>
      <w:szCs w:val="24"/>
    </w:rPr>
  </w:style>
  <w:style w:type="character" w:styleId="955">
    <w:name w:val="Quote Char"/>
    <w:link w:val="1166"/>
    <w:uiPriority w:val="29"/>
    <w:rPr>
      <w:i/>
    </w:rPr>
  </w:style>
  <w:style w:type="paragraph" w:styleId="956">
    <w:name w:val="Intense Quote"/>
    <w:basedOn w:val="1103"/>
    <w:next w:val="1103"/>
    <w:link w:val="9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7">
    <w:name w:val="Intense Quote Char"/>
    <w:link w:val="956"/>
    <w:uiPriority w:val="30"/>
    <w:rPr>
      <w:i/>
    </w:rPr>
  </w:style>
  <w:style w:type="character" w:styleId="958">
    <w:name w:val="Header Char"/>
    <w:basedOn w:val="1108"/>
    <w:link w:val="1120"/>
    <w:uiPriority w:val="99"/>
  </w:style>
  <w:style w:type="character" w:styleId="959">
    <w:name w:val="Footer Char"/>
    <w:basedOn w:val="1108"/>
    <w:link w:val="1119"/>
    <w:uiPriority w:val="99"/>
  </w:style>
  <w:style w:type="paragraph" w:styleId="960">
    <w:name w:val="Caption"/>
    <w:basedOn w:val="1103"/>
    <w:next w:val="1103"/>
    <w:uiPriority w:val="35"/>
    <w:semiHidden/>
    <w:unhideWhenUsed/>
    <w:qFormat/>
    <w:pPr>
      <w:spacing w:line="276" w:lineRule="auto"/>
    </w:pPr>
    <w:rPr>
      <w:b/>
      <w:bCs/>
      <w:color w:val="4f81bd" w:themeColor="accent1"/>
      <w:sz w:val="18"/>
      <w:szCs w:val="18"/>
    </w:rPr>
  </w:style>
  <w:style w:type="character" w:styleId="961">
    <w:name w:val="Caption Char"/>
    <w:basedOn w:val="960"/>
    <w:link w:val="1119"/>
    <w:uiPriority w:val="99"/>
  </w:style>
  <w:style w:type="table" w:styleId="962">
    <w:name w:val="Table Grid Light"/>
    <w:basedOn w:val="11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3">
    <w:name w:val="Plain Table 1"/>
    <w:basedOn w:val="11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2"/>
    <w:basedOn w:val="11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5">
    <w:name w:val="Plain Table 3"/>
    <w:basedOn w:val="11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6">
    <w:name w:val="Plain Table 4"/>
    <w:basedOn w:val="11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7">
    <w:name w:val="Plain Table 5"/>
    <w:basedOn w:val="11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8">
    <w:name w:val="Grid Table 1 Light"/>
    <w:basedOn w:val="11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9">
    <w:name w:val="Grid Table 1 Light - Accent 1"/>
    <w:basedOn w:val="11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0">
    <w:name w:val="Grid Table 1 Light - Accent 2"/>
    <w:basedOn w:val="11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1">
    <w:name w:val="Grid Table 1 Light - Accent 3"/>
    <w:basedOn w:val="11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2">
    <w:name w:val="Grid Table 1 Light - Accent 4"/>
    <w:basedOn w:val="11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3">
    <w:name w:val="Grid Table 1 Light - Accent 5"/>
    <w:basedOn w:val="11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4">
    <w:name w:val="Grid Table 1 Light - Accent 6"/>
    <w:basedOn w:val="11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5">
    <w:name w:val="Grid Table 2"/>
    <w:basedOn w:val="11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6">
    <w:name w:val="Grid Table 2 - Accent 1"/>
    <w:basedOn w:val="11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77">
    <w:name w:val="Grid Table 2 - Accent 2"/>
    <w:basedOn w:val="11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2 - Accent 3"/>
    <w:basedOn w:val="11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2 - Accent 4"/>
    <w:basedOn w:val="11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2 - Accent 5"/>
    <w:basedOn w:val="11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1">
    <w:name w:val="Grid Table 2 - Accent 6"/>
    <w:basedOn w:val="11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2">
    <w:name w:val="Grid Table 3"/>
    <w:basedOn w:val="11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3 - Accent 1"/>
    <w:basedOn w:val="11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4">
    <w:name w:val="Grid Table 3 - Accent 2"/>
    <w:basedOn w:val="11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5">
    <w:name w:val="Grid Table 3 - Accent 3"/>
    <w:basedOn w:val="11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4"/>
    <w:basedOn w:val="11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5"/>
    <w:basedOn w:val="11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6"/>
    <w:basedOn w:val="11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4"/>
    <w:basedOn w:val="11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0">
    <w:name w:val="Grid Table 4 - Accent 1"/>
    <w:basedOn w:val="11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1">
    <w:name w:val="Grid Table 4 - Accent 2"/>
    <w:basedOn w:val="11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2">
    <w:name w:val="Grid Table 4 - Accent 3"/>
    <w:basedOn w:val="11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3">
    <w:name w:val="Grid Table 4 - Accent 4"/>
    <w:basedOn w:val="11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4">
    <w:name w:val="Grid Table 4 - Accent 5"/>
    <w:basedOn w:val="11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5">
    <w:name w:val="Grid Table 4 - Accent 6"/>
    <w:basedOn w:val="11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6">
    <w:name w:val="Grid Table 5 Dark"/>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97">
    <w:name w:val="Grid Table 5 Dark- Accent 1"/>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8">
    <w:name w:val="Grid Table 5 Dark - Accent 2"/>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9">
    <w:name w:val="Grid Table 5 Dark - Accent 3"/>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0">
    <w:name w:val="Grid Table 5 Dark- Accent 4"/>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1">
    <w:name w:val="Grid Table 5 Dark - Accent 5"/>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2">
    <w:name w:val="Grid Table 5 Dark - Accent 6"/>
    <w:basedOn w:val="11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3">
    <w:name w:val="Grid Table 6 Colorful"/>
    <w:basedOn w:val="11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4">
    <w:name w:val="Grid Table 6 Colorful - Accent 1"/>
    <w:basedOn w:val="11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5">
    <w:name w:val="Grid Table 6 Colorful - Accent 2"/>
    <w:basedOn w:val="11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6">
    <w:name w:val="Grid Table 6 Colorful - Accent 3"/>
    <w:basedOn w:val="11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07">
    <w:name w:val="Grid Table 6 Colorful - Accent 4"/>
    <w:basedOn w:val="11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8">
    <w:name w:val="Grid Table 6 Colorful - Accent 5"/>
    <w:basedOn w:val="11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9">
    <w:name w:val="Grid Table 6 Colorful - Accent 6"/>
    <w:basedOn w:val="11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0">
    <w:name w:val="Grid Table 7 Colorful"/>
    <w:basedOn w:val="11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1">
    <w:name w:val="Grid Table 7 Colorful - Accent 1"/>
    <w:basedOn w:val="11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2">
    <w:name w:val="Grid Table 7 Colorful - Accent 2"/>
    <w:basedOn w:val="11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3">
    <w:name w:val="Grid Table 7 Colorful - Accent 3"/>
    <w:basedOn w:val="11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4">
    <w:name w:val="Grid Table 7 Colorful - Accent 4"/>
    <w:basedOn w:val="11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5">
    <w:name w:val="Grid Table 7 Colorful - Accent 5"/>
    <w:basedOn w:val="11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6">
    <w:name w:val="Grid Table 7 Colorful - Accent 6"/>
    <w:basedOn w:val="11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17">
    <w:name w:val="List Table 1 Light"/>
    <w:basedOn w:val="11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8">
    <w:name w:val="List Table 1 Light - Accent 1"/>
    <w:basedOn w:val="11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9">
    <w:name w:val="List Table 1 Light - Accent 2"/>
    <w:basedOn w:val="11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0">
    <w:name w:val="List Table 1 Light - Accent 3"/>
    <w:basedOn w:val="11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1">
    <w:name w:val="List Table 1 Light - Accent 4"/>
    <w:basedOn w:val="11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2">
    <w:name w:val="List Table 1 Light - Accent 5"/>
    <w:basedOn w:val="11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3">
    <w:name w:val="List Table 1 Light - Accent 6"/>
    <w:basedOn w:val="11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4">
    <w:name w:val="List Table 2"/>
    <w:basedOn w:val="11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5">
    <w:name w:val="List Table 2 - Accent 1"/>
    <w:basedOn w:val="11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6">
    <w:name w:val="List Table 2 - Accent 2"/>
    <w:basedOn w:val="11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27">
    <w:name w:val="List Table 2 - Accent 3"/>
    <w:basedOn w:val="11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8">
    <w:name w:val="List Table 2 - Accent 4"/>
    <w:basedOn w:val="11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9">
    <w:name w:val="List Table 2 - Accent 5"/>
    <w:basedOn w:val="11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0">
    <w:name w:val="List Table 2 - Accent 6"/>
    <w:basedOn w:val="11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1">
    <w:name w:val="List Table 3"/>
    <w:basedOn w:val="11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2">
    <w:name w:val="List Table 3 - Accent 1"/>
    <w:basedOn w:val="11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3">
    <w:name w:val="List Table 3 - Accent 2"/>
    <w:basedOn w:val="11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4">
    <w:name w:val="List Table 3 - Accent 3"/>
    <w:basedOn w:val="11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5">
    <w:name w:val="List Table 3 - Accent 4"/>
    <w:basedOn w:val="11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6">
    <w:name w:val="List Table 3 - Accent 5"/>
    <w:basedOn w:val="11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37">
    <w:name w:val="List Table 3 - Accent 6"/>
    <w:basedOn w:val="11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8">
    <w:name w:val="List Table 4"/>
    <w:basedOn w:val="11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9">
    <w:name w:val="List Table 4 - Accent 1"/>
    <w:basedOn w:val="11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0">
    <w:name w:val="List Table 4 - Accent 2"/>
    <w:basedOn w:val="11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1">
    <w:name w:val="List Table 4 - Accent 3"/>
    <w:basedOn w:val="11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2">
    <w:name w:val="List Table 4 - Accent 4"/>
    <w:basedOn w:val="11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3">
    <w:name w:val="List Table 4 - Accent 5"/>
    <w:basedOn w:val="11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4">
    <w:name w:val="List Table 4 - Accent 6"/>
    <w:basedOn w:val="11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5">
    <w:name w:val="List Table 5 Dark"/>
    <w:basedOn w:val="11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6">
    <w:name w:val="List Table 5 Dark - Accent 1"/>
    <w:basedOn w:val="11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7">
    <w:name w:val="List Table 5 Dark - Accent 2"/>
    <w:basedOn w:val="11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8">
    <w:name w:val="List Table 5 Dark - Accent 3"/>
    <w:basedOn w:val="11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4"/>
    <w:basedOn w:val="11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5"/>
    <w:basedOn w:val="11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6"/>
    <w:basedOn w:val="11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6 Colorful"/>
    <w:basedOn w:val="11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3">
    <w:name w:val="List Table 6 Colorful - Accent 1"/>
    <w:basedOn w:val="11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4">
    <w:name w:val="List Table 6 Colorful - Accent 2"/>
    <w:basedOn w:val="11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5">
    <w:name w:val="List Table 6 Colorful - Accent 3"/>
    <w:basedOn w:val="11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6">
    <w:name w:val="List Table 6 Colorful - Accent 4"/>
    <w:basedOn w:val="11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57">
    <w:name w:val="List Table 6 Colorful - Accent 5"/>
    <w:basedOn w:val="11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8">
    <w:name w:val="List Table 6 Colorful - Accent 6"/>
    <w:basedOn w:val="11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9">
    <w:name w:val="List Table 7 Colorful"/>
    <w:basedOn w:val="11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0">
    <w:name w:val="List Table 7 Colorful - Accent 1"/>
    <w:basedOn w:val="11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1">
    <w:name w:val="List Table 7 Colorful - Accent 2"/>
    <w:basedOn w:val="11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2">
    <w:name w:val="List Table 7 Colorful - Accent 3"/>
    <w:basedOn w:val="11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3">
    <w:name w:val="List Table 7 Colorful - Accent 4"/>
    <w:basedOn w:val="11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4">
    <w:name w:val="List Table 7 Colorful - Accent 5"/>
    <w:basedOn w:val="11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5">
    <w:name w:val="List Table 7 Colorful - Accent 6"/>
    <w:basedOn w:val="11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6">
    <w:name w:val="Lined - Accent"/>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7">
    <w:name w:val="Lined - Accent 1"/>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8">
    <w:name w:val="Lined - Accent 2"/>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9">
    <w:name w:val="Lined - Accent 3"/>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0">
    <w:name w:val="Lined - Accent 4"/>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1">
    <w:name w:val="Lined - Accent 5"/>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2">
    <w:name w:val="Lined - Accent 6"/>
    <w:basedOn w:val="11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3">
    <w:name w:val="Bordered &amp; Lined - Accent"/>
    <w:basedOn w:val="11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4">
    <w:name w:val="Bordered &amp; Lined - Accent 1"/>
    <w:basedOn w:val="11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5">
    <w:name w:val="Bordered &amp; Lined - Accent 2"/>
    <w:basedOn w:val="11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6">
    <w:name w:val="Bordered &amp; Lined - Accent 3"/>
    <w:basedOn w:val="11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7">
    <w:name w:val="Bordered &amp; Lined - Accent 4"/>
    <w:basedOn w:val="11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8">
    <w:name w:val="Bordered &amp; Lined - Accent 5"/>
    <w:basedOn w:val="11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9">
    <w:name w:val="Bordered &amp; Lined - Accent 6"/>
    <w:basedOn w:val="11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0">
    <w:name w:val="Bordered"/>
    <w:basedOn w:val="11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1">
    <w:name w:val="Bordered - Accent 1"/>
    <w:basedOn w:val="11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2">
    <w:name w:val="Bordered - Accent 2"/>
    <w:basedOn w:val="11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3">
    <w:name w:val="Bordered - Accent 3"/>
    <w:basedOn w:val="11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4">
    <w:name w:val="Bordered - Accent 4"/>
    <w:basedOn w:val="11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5">
    <w:name w:val="Bordered - Accent 5"/>
    <w:basedOn w:val="11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6">
    <w:name w:val="Bordered - Accent 6"/>
    <w:basedOn w:val="11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87">
    <w:name w:val="footnote text"/>
    <w:basedOn w:val="1103"/>
    <w:link w:val="1088"/>
    <w:uiPriority w:val="99"/>
    <w:semiHidden/>
    <w:unhideWhenUsed/>
    <w:pPr>
      <w:spacing w:after="40" w:line="240" w:lineRule="auto"/>
    </w:pPr>
    <w:rPr>
      <w:sz w:val="18"/>
    </w:rPr>
  </w:style>
  <w:style w:type="character" w:styleId="1088">
    <w:name w:val="Footnote Text Char"/>
    <w:link w:val="1087"/>
    <w:uiPriority w:val="99"/>
    <w:rPr>
      <w:sz w:val="18"/>
    </w:rPr>
  </w:style>
  <w:style w:type="character" w:styleId="1089">
    <w:name w:val="footnote reference"/>
    <w:basedOn w:val="1108"/>
    <w:uiPriority w:val="99"/>
    <w:unhideWhenUsed/>
    <w:rPr>
      <w:vertAlign w:val="superscript"/>
    </w:rPr>
  </w:style>
  <w:style w:type="paragraph" w:styleId="1090">
    <w:name w:val="endnote text"/>
    <w:basedOn w:val="1103"/>
    <w:link w:val="1091"/>
    <w:uiPriority w:val="99"/>
    <w:semiHidden/>
    <w:unhideWhenUsed/>
    <w:pPr>
      <w:spacing w:after="0" w:line="240" w:lineRule="auto"/>
    </w:pPr>
    <w:rPr>
      <w:sz w:val="20"/>
    </w:rPr>
  </w:style>
  <w:style w:type="character" w:styleId="1091">
    <w:name w:val="Endnote Text Char"/>
    <w:link w:val="1090"/>
    <w:uiPriority w:val="99"/>
    <w:rPr>
      <w:sz w:val="20"/>
    </w:rPr>
  </w:style>
  <w:style w:type="character" w:styleId="1092">
    <w:name w:val="endnote reference"/>
    <w:basedOn w:val="1108"/>
    <w:uiPriority w:val="99"/>
    <w:semiHidden/>
    <w:unhideWhenUsed/>
    <w:rPr>
      <w:vertAlign w:val="superscript"/>
    </w:rPr>
  </w:style>
  <w:style w:type="paragraph" w:styleId="1093">
    <w:name w:val="toc 2"/>
    <w:basedOn w:val="1103"/>
    <w:next w:val="1103"/>
    <w:uiPriority w:val="39"/>
    <w:unhideWhenUsed/>
    <w:pPr>
      <w:ind w:left="283" w:right="0" w:firstLine="0"/>
      <w:spacing w:after="57"/>
    </w:pPr>
  </w:style>
  <w:style w:type="paragraph" w:styleId="1094">
    <w:name w:val="toc 3"/>
    <w:basedOn w:val="1103"/>
    <w:next w:val="1103"/>
    <w:uiPriority w:val="39"/>
    <w:unhideWhenUsed/>
    <w:pPr>
      <w:ind w:left="567" w:right="0" w:firstLine="0"/>
      <w:spacing w:after="57"/>
    </w:pPr>
  </w:style>
  <w:style w:type="paragraph" w:styleId="1095">
    <w:name w:val="toc 4"/>
    <w:basedOn w:val="1103"/>
    <w:next w:val="1103"/>
    <w:uiPriority w:val="39"/>
    <w:unhideWhenUsed/>
    <w:pPr>
      <w:ind w:left="850" w:right="0" w:firstLine="0"/>
      <w:spacing w:after="57"/>
    </w:pPr>
  </w:style>
  <w:style w:type="paragraph" w:styleId="1096">
    <w:name w:val="toc 5"/>
    <w:basedOn w:val="1103"/>
    <w:next w:val="1103"/>
    <w:uiPriority w:val="39"/>
    <w:unhideWhenUsed/>
    <w:pPr>
      <w:ind w:left="1134" w:right="0" w:firstLine="0"/>
      <w:spacing w:after="57"/>
    </w:pPr>
  </w:style>
  <w:style w:type="paragraph" w:styleId="1097">
    <w:name w:val="toc 6"/>
    <w:basedOn w:val="1103"/>
    <w:next w:val="1103"/>
    <w:uiPriority w:val="39"/>
    <w:unhideWhenUsed/>
    <w:pPr>
      <w:ind w:left="1417" w:right="0" w:firstLine="0"/>
      <w:spacing w:after="57"/>
    </w:pPr>
  </w:style>
  <w:style w:type="paragraph" w:styleId="1098">
    <w:name w:val="toc 7"/>
    <w:basedOn w:val="1103"/>
    <w:next w:val="1103"/>
    <w:uiPriority w:val="39"/>
    <w:unhideWhenUsed/>
    <w:pPr>
      <w:ind w:left="1701" w:right="0" w:firstLine="0"/>
      <w:spacing w:after="57"/>
    </w:pPr>
  </w:style>
  <w:style w:type="paragraph" w:styleId="1099">
    <w:name w:val="toc 8"/>
    <w:basedOn w:val="1103"/>
    <w:next w:val="1103"/>
    <w:uiPriority w:val="39"/>
    <w:unhideWhenUsed/>
    <w:pPr>
      <w:ind w:left="1984" w:right="0" w:firstLine="0"/>
      <w:spacing w:after="57"/>
    </w:pPr>
  </w:style>
  <w:style w:type="paragraph" w:styleId="1100">
    <w:name w:val="toc 9"/>
    <w:basedOn w:val="1103"/>
    <w:next w:val="1103"/>
    <w:uiPriority w:val="39"/>
    <w:unhideWhenUsed/>
    <w:pPr>
      <w:ind w:left="2268" w:right="0" w:firstLine="0"/>
      <w:spacing w:after="57"/>
    </w:pPr>
  </w:style>
  <w:style w:type="paragraph" w:styleId="1101">
    <w:name w:val="TOC Heading"/>
    <w:uiPriority w:val="39"/>
    <w:unhideWhenUsed/>
  </w:style>
  <w:style w:type="paragraph" w:styleId="1102">
    <w:name w:val="table of figures"/>
    <w:basedOn w:val="1103"/>
    <w:next w:val="1103"/>
    <w:uiPriority w:val="99"/>
    <w:unhideWhenUsed/>
    <w:pPr>
      <w:spacing w:after="0" w:afterAutospacing="0"/>
    </w:pPr>
  </w:style>
  <w:style w:type="paragraph" w:styleId="1103" w:default="1">
    <w:name w:val="Normal"/>
    <w:next w:val="1110"/>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104">
    <w:name w:val="Heading 1"/>
    <w:basedOn w:val="1103"/>
    <w:next w:val="1103"/>
    <w:link w:val="1131"/>
    <w:uiPriority w:val="9"/>
    <w:qFormat/>
    <w:pPr>
      <w:jc w:val="center"/>
      <w:keepNext/>
      <w:tabs>
        <w:tab w:val="left" w:pos="200" w:leader="none"/>
      </w:tabs>
      <w:outlineLvl w:val="0"/>
    </w:pPr>
    <w:rPr>
      <w:rFonts w:ascii="宋体" w:hAnsi="宋体" w:eastAsia="黑体" w:cs="Times New Roman"/>
      <w:b/>
      <w:sz w:val="84"/>
      <w:szCs w:val="20"/>
    </w:rPr>
  </w:style>
  <w:style w:type="paragraph" w:styleId="1105">
    <w:name w:val="Heading 2"/>
    <w:basedOn w:val="1106"/>
    <w:next w:val="1107"/>
    <w:link w:val="1134"/>
    <w:uiPriority w:val="9"/>
    <w:qFormat/>
    <w:pPr>
      <w:jc w:val="center"/>
      <w:keepNext/>
      <w:outlineLvl w:val="1"/>
    </w:pPr>
    <w:rPr>
      <w:rFonts w:ascii="Times New Roman" w:hAnsi="Times New Roman" w:eastAsia="黑体" w:cs="Times New Roman"/>
      <w:sz w:val="44"/>
      <w:szCs w:val="28"/>
    </w:rPr>
  </w:style>
  <w:style w:type="paragraph" w:styleId="1106">
    <w:name w:val="Heading 3"/>
    <w:basedOn w:val="1103"/>
    <w:next w:val="1103"/>
    <w:link w:val="1132"/>
    <w:uiPriority w:val="9"/>
    <w:qFormat/>
    <w:pPr>
      <w:jc w:val="center"/>
      <w:keepLines/>
      <w:keepNext/>
      <w:outlineLvl w:val="2"/>
    </w:pPr>
    <w:rPr>
      <w:rFonts w:ascii="Times New Roman" w:hAnsi="Times New Roman" w:eastAsia="黑体" w:cs="Times New Roman"/>
      <w:szCs w:val="32"/>
    </w:rPr>
  </w:style>
  <w:style w:type="paragraph" w:styleId="1107">
    <w:name w:val="Heading 4"/>
    <w:basedOn w:val="1103"/>
    <w:next w:val="1103"/>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08" w:default="1">
    <w:name w:val="Default Paragraph Font"/>
    <w:uiPriority w:val="0"/>
    <w:semiHidden/>
    <w:qFormat/>
  </w:style>
  <w:style w:type="table" w:styleId="1109"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10">
    <w:name w:val="Body Text"/>
    <w:basedOn w:val="1103"/>
    <w:next w:val="1103"/>
    <w:uiPriority w:val="0"/>
    <w:qFormat/>
    <w:rPr>
      <w:rFonts w:ascii="楷体_GB2312" w:hAnsi="Arial" w:eastAsia="楷体_GB2312" w:cs="Times New Roman"/>
      <w:sz w:val="28"/>
      <w:szCs w:val="20"/>
    </w:rPr>
  </w:style>
  <w:style w:type="paragraph" w:styleId="1111">
    <w:name w:val="table of authorities"/>
    <w:basedOn w:val="1103"/>
    <w:next w:val="1103"/>
    <w:uiPriority w:val="99"/>
    <w:qFormat/>
    <w:pPr>
      <w:ind w:left="420"/>
    </w:pPr>
    <w:rPr>
      <w:szCs w:val="20"/>
    </w:rPr>
  </w:style>
  <w:style w:type="paragraph" w:styleId="1112">
    <w:name w:val="Normal Indent"/>
    <w:basedOn w:val="1103"/>
    <w:next w:val="1110"/>
    <w:uiPriority w:val="0"/>
    <w:qFormat/>
    <w:pPr>
      <w:ind w:firstLine="420"/>
    </w:pPr>
    <w:rPr>
      <w:rFonts w:ascii="Calibri" w:hAnsi="Calibri" w:cs="Times New Roman"/>
      <w:sz w:val="24"/>
      <w:szCs w:val="20"/>
    </w:rPr>
  </w:style>
  <w:style w:type="paragraph" w:styleId="1113">
    <w:name w:val="annotation text"/>
    <w:basedOn w:val="1103"/>
    <w:uiPriority w:val="99"/>
    <w:qFormat/>
    <w:pPr>
      <w:jc w:val="left"/>
      <w:spacing w:line="280" w:lineRule="atLeast"/>
      <w:widowControl/>
      <w:tabs>
        <w:tab w:val="left" w:pos="1134" w:leader="none"/>
      </w:tabs>
    </w:pPr>
    <w:rPr>
      <w:rFonts w:eastAsia="PMingLiU"/>
      <w:sz w:val="24"/>
      <w:szCs w:val="20"/>
      <w:lang w:eastAsia="zh-TW"/>
    </w:rPr>
  </w:style>
  <w:style w:type="paragraph" w:styleId="1114">
    <w:name w:val="Body Text Indent"/>
    <w:basedOn w:val="1103"/>
    <w:uiPriority w:val="99"/>
    <w:qFormat/>
    <w:pPr>
      <w:ind w:left="960"/>
      <w:spacing w:line="700" w:lineRule="exact"/>
    </w:pPr>
    <w:rPr>
      <w:sz w:val="44"/>
    </w:rPr>
  </w:style>
  <w:style w:type="paragraph" w:styleId="1115">
    <w:name w:val="Block Text"/>
    <w:basedOn w:val="1103"/>
    <w:uiPriority w:val="0"/>
    <w:qFormat/>
    <w:pPr>
      <w:ind w:left="1440" w:right="1440"/>
      <w:spacing w:after="120"/>
    </w:pPr>
  </w:style>
  <w:style w:type="paragraph" w:styleId="1116">
    <w:name w:val="Plain Text"/>
    <w:basedOn w:val="1103"/>
    <w:uiPriority w:val="0"/>
    <w:qFormat/>
    <w:rPr>
      <w:rFonts w:ascii="宋体" w:hAnsi="Courier New" w:cs="Times New Roman"/>
      <w:sz w:val="20"/>
      <w:szCs w:val="20"/>
    </w:rPr>
  </w:style>
  <w:style w:type="paragraph" w:styleId="1117">
    <w:name w:val="Date"/>
    <w:basedOn w:val="1103"/>
    <w:next w:val="1103"/>
    <w:uiPriority w:val="0"/>
    <w:qFormat/>
    <w:rPr>
      <w:rFonts w:ascii="Times New Roman" w:hAnsi="Times New Roman"/>
      <w:szCs w:val="20"/>
    </w:rPr>
  </w:style>
  <w:style w:type="paragraph" w:styleId="1118">
    <w:name w:val="Body Text Indent 2"/>
    <w:basedOn w:val="1103"/>
    <w:uiPriority w:val="0"/>
    <w:qFormat/>
    <w:pPr>
      <w:ind w:firstLine="480"/>
      <w:spacing w:line="360" w:lineRule="exact"/>
    </w:pPr>
    <w:rPr>
      <w:rFonts w:ascii="宋体" w:hAnsi="宋体" w:cs="宋体"/>
      <w:sz w:val="24"/>
    </w:rPr>
  </w:style>
  <w:style w:type="paragraph" w:styleId="1119">
    <w:name w:val="Footer"/>
    <w:basedOn w:val="1103"/>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20">
    <w:name w:val="Header"/>
    <w:basedOn w:val="110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21">
    <w:name w:val="toc 1"/>
    <w:basedOn w:val="1103"/>
    <w:next w:val="1103"/>
    <w:uiPriority w:val="0"/>
    <w:qFormat/>
    <w:pPr>
      <w:spacing w:line="300" w:lineRule="exact"/>
    </w:pPr>
    <w:rPr>
      <w:rFonts w:ascii="宋体" w:hAnsi="宋体"/>
      <w:szCs w:val="21"/>
    </w:rPr>
  </w:style>
  <w:style w:type="paragraph" w:styleId="1122">
    <w:name w:val="Normal (Web)"/>
    <w:basedOn w:val="1103"/>
    <w:uiPriority w:val="99"/>
    <w:unhideWhenUsed/>
    <w:qFormat/>
    <w:pPr>
      <w:jc w:val="left"/>
      <w:spacing w:before="100" w:beforeAutospacing="1" w:after="100" w:afterAutospacing="1"/>
      <w:widowControl/>
    </w:pPr>
    <w:rPr>
      <w:rFonts w:ascii="宋体" w:hAnsi="宋体"/>
      <w:sz w:val="24"/>
    </w:rPr>
  </w:style>
  <w:style w:type="paragraph" w:styleId="1123">
    <w:name w:val="Title"/>
    <w:basedOn w:val="1103"/>
    <w:next w:val="1103"/>
    <w:uiPriority w:val="99"/>
    <w:qFormat/>
    <w:pPr>
      <w:jc w:val="center"/>
      <w:spacing w:before="240" w:after="60"/>
      <w:outlineLvl w:val="0"/>
    </w:pPr>
    <w:rPr>
      <w:rFonts w:ascii="Cambria" w:hAnsi="Cambria" w:eastAsia="宋体"/>
      <w:b/>
      <w:bCs/>
      <w:sz w:val="32"/>
      <w:szCs w:val="32"/>
    </w:rPr>
  </w:style>
  <w:style w:type="paragraph" w:styleId="1124">
    <w:name w:val="Body Text First Indent 2"/>
    <w:basedOn w:val="1103"/>
    <w:next w:val="1103"/>
    <w:uiPriority w:val="0"/>
    <w:qFormat/>
    <w:pPr>
      <w:ind w:left="420" w:firstLine="420"/>
      <w:spacing w:after="120" w:line="240" w:lineRule="auto"/>
    </w:pPr>
    <w:rPr>
      <w:sz w:val="21"/>
    </w:rPr>
  </w:style>
  <w:style w:type="table" w:styleId="1125">
    <w:name w:val="Table Grid"/>
    <w:basedOn w:val="1109"/>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26">
    <w:name w:val="Strong"/>
    <w:basedOn w:val="1108"/>
    <w:uiPriority w:val="0"/>
    <w:qFormat/>
    <w:rPr>
      <w:b/>
    </w:rPr>
  </w:style>
  <w:style w:type="character" w:styleId="1127">
    <w:name w:val="page number"/>
    <w:basedOn w:val="1108"/>
    <w:uiPriority w:val="0"/>
    <w:qFormat/>
    <w:rPr>
      <w:rFonts w:ascii="Times New Roman" w:hAnsi="Times New Roman" w:eastAsia="宋体" w:cs="Times New Roman"/>
    </w:rPr>
  </w:style>
  <w:style w:type="character" w:styleId="1128">
    <w:name w:val="FollowedHyperlink"/>
    <w:uiPriority w:val="0"/>
    <w:qFormat/>
    <w:rPr>
      <w:color w:val="333333"/>
      <w:u w:val="none"/>
    </w:rPr>
  </w:style>
  <w:style w:type="character" w:styleId="1129">
    <w:name w:val="Emphasis"/>
    <w:uiPriority w:val="0"/>
    <w:qFormat/>
    <w:rPr>
      <w:i/>
    </w:rPr>
  </w:style>
  <w:style w:type="character" w:styleId="1130">
    <w:name w:val="Hyperlink"/>
    <w:uiPriority w:val="99"/>
    <w:unhideWhenUsed/>
    <w:qFormat/>
    <w:rPr>
      <w:color w:val="333333"/>
      <w:u w:val="none"/>
    </w:rPr>
  </w:style>
  <w:style w:type="character" w:styleId="1131" w:customStyle="1">
    <w:name w:val="标题 1 Char"/>
    <w:link w:val="1104"/>
    <w:uiPriority w:val="9"/>
    <w:qFormat/>
    <w:rPr>
      <w:rFonts w:ascii="宋体" w:hAnsi="宋体" w:eastAsia="黑体" w:cs="Times New Roman"/>
      <w:b/>
      <w:sz w:val="84"/>
      <w:szCs w:val="20"/>
    </w:rPr>
  </w:style>
  <w:style w:type="character" w:styleId="1132" w:customStyle="1">
    <w:name w:val="标题 3 Char"/>
    <w:link w:val="1106"/>
    <w:uiPriority w:val="9"/>
    <w:qFormat/>
    <w:rPr>
      <w:rFonts w:ascii="Times New Roman" w:hAnsi="Times New Roman" w:eastAsia="黑体" w:cs="Times New Roman"/>
      <w:b/>
      <w:bCs/>
      <w:szCs w:val="32"/>
    </w:rPr>
  </w:style>
  <w:style w:type="paragraph" w:styleId="1133" w:customStyle="1">
    <w:name w:val="正文文本11"/>
    <w:basedOn w:val="1103"/>
    <w:next w:val="1103"/>
    <w:uiPriority w:val="0"/>
    <w:qFormat/>
    <w:rPr>
      <w:rFonts w:ascii="楷体_GB2312" w:hAnsi="Arial" w:eastAsia="楷体_GB2312" w:cs="Times New Roman"/>
      <w:sz w:val="28"/>
      <w:szCs w:val="20"/>
    </w:rPr>
  </w:style>
  <w:style w:type="character" w:styleId="1134" w:customStyle="1">
    <w:name w:val="标题 2 Char"/>
    <w:link w:val="1105"/>
    <w:uiPriority w:val="9"/>
    <w:qFormat/>
    <w:rPr>
      <w:rFonts w:ascii="Times New Roman" w:hAnsi="Times New Roman" w:eastAsia="黑体" w:cs="Times New Roman"/>
      <w:b/>
      <w:bCs/>
      <w:sz w:val="44"/>
      <w:szCs w:val="28"/>
    </w:rPr>
  </w:style>
  <w:style w:type="character" w:styleId="1135" w:customStyle="1">
    <w:name w:val="font11"/>
    <w:basedOn w:val="1108"/>
    <w:uiPriority w:val="0"/>
    <w:qFormat/>
    <w:rPr>
      <w:rFonts w:hint="eastAsia" w:ascii="宋体" w:hAnsi="宋体" w:eastAsia="宋体" w:cs="宋体"/>
      <w:color w:val="000000"/>
      <w:sz w:val="18"/>
      <w:szCs w:val="18"/>
      <w:u w:val="none"/>
    </w:rPr>
  </w:style>
  <w:style w:type="character" w:styleId="1136" w:customStyle="1">
    <w:name w:val="l-btn-left"/>
    <w:basedOn w:val="1108"/>
    <w:uiPriority w:val="0"/>
    <w:qFormat/>
  </w:style>
  <w:style w:type="character" w:styleId="1137" w:customStyle="1">
    <w:name w:val="font71"/>
    <w:uiPriority w:val="0"/>
    <w:qFormat/>
    <w:rPr>
      <w:rFonts w:hint="eastAsia" w:ascii="宋体" w:hAnsi="宋体" w:eastAsia="宋体" w:cs="宋体"/>
      <w:color w:val="000000"/>
      <w:sz w:val="22"/>
      <w:szCs w:val="22"/>
      <w:u w:val="none"/>
    </w:rPr>
  </w:style>
  <w:style w:type="character" w:styleId="1138" w:customStyle="1">
    <w:name w:val="font21"/>
    <w:basedOn w:val="1108"/>
    <w:uiPriority w:val="0"/>
    <w:qFormat/>
    <w:rPr>
      <w:rFonts w:hint="eastAsia" w:ascii="宋体" w:hAnsi="宋体" w:eastAsia="宋体" w:cs="宋体"/>
      <w:color w:val="000000"/>
      <w:sz w:val="18"/>
      <w:szCs w:val="18"/>
      <w:u w:val="none"/>
    </w:rPr>
  </w:style>
  <w:style w:type="character" w:styleId="1139" w:customStyle="1">
    <w:name w:val="font41"/>
    <w:uiPriority w:val="0"/>
    <w:qFormat/>
    <w:rPr>
      <w:rFonts w:hint="eastAsia" w:ascii="宋体" w:hAnsi="宋体" w:eastAsia="宋体" w:cs="宋体"/>
      <w:b/>
      <w:color w:val="000000"/>
      <w:sz w:val="24"/>
      <w:szCs w:val="24"/>
      <w:u w:val="none"/>
    </w:rPr>
  </w:style>
  <w:style w:type="character" w:styleId="1140" w:customStyle="1">
    <w:name w:val="current"/>
    <w:basedOn w:val="1108"/>
    <w:uiPriority w:val="0"/>
    <w:qFormat/>
    <w:rPr>
      <w:b/>
      <w:color w:val="05a7d8"/>
      <w:sz w:val="14"/>
      <w:szCs w:val="14"/>
    </w:rPr>
  </w:style>
  <w:style w:type="character" w:styleId="1141" w:customStyle="1">
    <w:name w:val="l-btn-text36"/>
    <w:basedOn w:val="1108"/>
    <w:uiPriority w:val="0"/>
    <w:qFormat/>
  </w:style>
  <w:style w:type="character" w:styleId="1142" w:customStyle="1">
    <w:name w:val="tree-title3"/>
    <w:basedOn w:val="1108"/>
    <w:uiPriority w:val="0"/>
    <w:qFormat/>
  </w:style>
  <w:style w:type="character" w:styleId="1143" w:customStyle="1">
    <w:name w:val="font31"/>
    <w:basedOn w:val="1108"/>
    <w:uiPriority w:val="0"/>
    <w:qFormat/>
    <w:rPr>
      <w:rFonts w:hint="default" w:ascii="Arial Narrow" w:hAnsi="Arial Narrow" w:eastAsia="Arial Narrow" w:cs="Arial Narrow"/>
      <w:color w:val="000000"/>
      <w:sz w:val="18"/>
      <w:szCs w:val="18"/>
      <w:u w:val="none"/>
    </w:rPr>
  </w:style>
  <w:style w:type="paragraph" w:styleId="1144" w:customStyle="1">
    <w:name w:val="正文字缩2字"/>
    <w:basedOn w:val="1103"/>
    <w:uiPriority w:val="0"/>
    <w:qFormat/>
    <w:pPr>
      <w:ind w:left="200" w:firstLine="200"/>
      <w:jc w:val="both"/>
      <w:spacing w:before="60" w:after="60" w:line="360" w:lineRule="auto"/>
    </w:pPr>
    <w:rPr>
      <w:szCs w:val="24"/>
    </w:rPr>
  </w:style>
  <w:style w:type="paragraph" w:styleId="1145">
    <w:name w:val="List Paragraph"/>
    <w:basedOn w:val="1103"/>
    <w:uiPriority w:val="99"/>
    <w:qFormat/>
    <w:pPr>
      <w:ind w:firstLine="420"/>
    </w:pPr>
    <w:rPr>
      <w:rFonts w:ascii="Calibri" w:hAnsi="Calibri" w:cs="Times New Roman"/>
      <w:sz w:val="21"/>
      <w:szCs w:val="22"/>
    </w:rPr>
  </w:style>
  <w:style w:type="paragraph" w:styleId="1146"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47" w:customStyle="1">
    <w:name w:val="图例"/>
    <w:basedOn w:val="1103"/>
    <w:uiPriority w:val="0"/>
    <w:qFormat/>
    <w:pPr>
      <w:jc w:val="center"/>
      <w:spacing w:before="120" w:after="120" w:line="360" w:lineRule="auto"/>
    </w:pPr>
    <w:rPr>
      <w:rFonts w:eastAsia="仿宋_GB2312"/>
      <w:b/>
      <w:sz w:val="24"/>
      <w:szCs w:val="20"/>
    </w:rPr>
  </w:style>
  <w:style w:type="paragraph" w:styleId="1148" w:customStyle="1">
    <w:name w:val="样式 标题 4 + 段前: 5 磅 段后: 5 磅 行距: 单倍行距"/>
    <w:basedOn w:val="1107"/>
    <w:uiPriority w:val="0"/>
    <w:qFormat/>
    <w:pPr>
      <w:spacing w:before="100" w:after="100" w:line="240" w:lineRule="auto"/>
    </w:pPr>
    <w:rPr>
      <w:rFonts w:cs="宋体"/>
      <w:szCs w:val="20"/>
    </w:rPr>
  </w:style>
  <w:style w:type="paragraph" w:styleId="1149"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50" w:customStyle="1">
    <w:name w:val="纯文本1"/>
    <w:basedOn w:val="1103"/>
    <w:uiPriority w:val="0"/>
    <w:qFormat/>
    <w:rPr>
      <w:rFonts w:ascii="宋体" w:hAnsi="Courier New" w:eastAsia="楷体_GB2312"/>
      <w:sz w:val="26"/>
    </w:rPr>
  </w:style>
  <w:style w:type="paragraph" w:styleId="1151" w:customStyle="1">
    <w:name w:val="WPSOffice手动目录 1"/>
    <w:uiPriority w:val="0"/>
    <w:qFormat/>
    <w:rPr>
      <w:rFonts w:ascii="Times New Roman" w:hAnsi="Times New Roman" w:eastAsia="宋体" w:cs="Times New Roman"/>
      <w:sz w:val="20"/>
      <w:szCs w:val="20"/>
    </w:rPr>
  </w:style>
  <w:style w:type="paragraph" w:styleId="1152" w:customStyle="1">
    <w:name w:val="Í¼±íÕýÎÄ"/>
    <w:basedOn w:val="1103"/>
    <w:next w:val="1112"/>
    <w:uiPriority w:val="0"/>
    <w:qFormat/>
    <w:pPr>
      <w:ind w:firstLine="420"/>
    </w:pPr>
    <w:rPr>
      <w:rFonts w:ascii="Times New Roman" w:hAnsi="Times New Roman" w:cs="Times New Roman"/>
      <w:sz w:val="24"/>
      <w:szCs w:val="20"/>
    </w:rPr>
  </w:style>
  <w:style w:type="paragraph" w:styleId="1153" w:customStyle="1">
    <w:name w:val="Plain Text"/>
    <w:basedOn w:val="1103"/>
    <w:uiPriority w:val="0"/>
    <w:qFormat/>
    <w:rPr>
      <w:rFonts w:ascii="宋体" w:hAnsi="Courier New" w:eastAsia="楷体_GB2312" w:cs="Times New Roman"/>
      <w:sz w:val="28"/>
      <w:szCs w:val="20"/>
    </w:rPr>
  </w:style>
  <w:style w:type="paragraph" w:styleId="1154" w:customStyle="1">
    <w:name w:val="TOC Heading1"/>
    <w:basedOn w:val="1104"/>
    <w:next w:val="1103"/>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55" w:customStyle="1">
    <w:name w:val="表格标题"/>
    <w:basedOn w:val="1103"/>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56" w:customStyle="1">
    <w:name w:val="Í¼¡À¡¡¡¡ì¬ªÕýÎÄ"/>
    <w:basedOn w:val="1103"/>
    <w:next w:val="1112"/>
    <w:uiPriority w:val="99"/>
    <w:qFormat/>
    <w:pPr>
      <w:ind w:firstLine="420"/>
    </w:pPr>
    <w:rPr>
      <w:rFonts w:ascii="Times New Roman" w:hAnsi="Times New Roman" w:cs="Times New Roman"/>
      <w:sz w:val="24"/>
      <w:szCs w:val="20"/>
    </w:rPr>
  </w:style>
  <w:style w:type="paragraph" w:styleId="1157" w:customStyle="1">
    <w:name w:val="目录 11"/>
    <w:basedOn w:val="1103"/>
    <w:next w:val="1103"/>
    <w:uiPriority w:val="39"/>
    <w:unhideWhenUsed/>
    <w:qFormat/>
    <w:pPr>
      <w:jc w:val="left"/>
      <w:spacing w:after="100" w:line="259" w:lineRule="auto"/>
      <w:widowControl/>
    </w:pPr>
    <w:rPr>
      <w:rFonts w:ascii="Calibri" w:hAnsi="Calibri" w:eastAsia="宋体"/>
      <w:sz w:val="22"/>
      <w:szCs w:val="22"/>
    </w:rPr>
  </w:style>
  <w:style w:type="paragraph" w:styleId="1158" w:customStyle="1">
    <w:name w:val="列出段落1"/>
    <w:basedOn w:val="1103"/>
    <w:uiPriority w:val="0"/>
    <w:qFormat/>
    <w:pPr>
      <w:ind w:firstLine="420"/>
    </w:pPr>
    <w:rPr>
      <w:color w:val="595959"/>
    </w:rPr>
  </w:style>
  <w:style w:type="paragraph" w:styleId="1159" w:customStyle="1">
    <w:name w:val=" Char1"/>
    <w:basedOn w:val="1103"/>
    <w:uiPriority w:val="0"/>
    <w:qFormat/>
    <w:pPr>
      <w:ind w:left="432" w:hanging="432"/>
      <w:tabs>
        <w:tab w:val="left" w:pos="432" w:leader="none"/>
      </w:tabs>
    </w:pPr>
    <w:rPr>
      <w:rFonts w:ascii="仿宋_GB2312" w:hAnsi="Tahoma" w:eastAsia="仿宋_GB2312"/>
      <w:color w:val="000000"/>
      <w:sz w:val="30"/>
      <w:szCs w:val="30"/>
    </w:rPr>
  </w:style>
  <w:style w:type="paragraph" w:styleId="1160" w:customStyle="1">
    <w:name w:val="样式1"/>
    <w:basedOn w:val="1103"/>
    <w:uiPriority w:val="0"/>
    <w:qFormat/>
    <w:pPr>
      <w:numPr>
        <w:ilvl w:val="0"/>
        <w:numId w:val="1"/>
      </w:numPr>
      <w:jc w:val="both"/>
      <w:spacing w:line="240" w:lineRule="auto"/>
    </w:pPr>
    <w:rPr>
      <w:rFonts w:ascii="宋体" w:hAnsi="宋体"/>
      <w:sz w:val="21"/>
      <w:szCs w:val="21"/>
    </w:rPr>
  </w:style>
  <w:style w:type="paragraph" w:styleId="1161" w:customStyle="1">
    <w:name w:val="Í¼¡À¡¡¡¡¡¡¨¬¬¬ªÕýÎÄ"/>
    <w:basedOn w:val="1103"/>
    <w:next w:val="1112"/>
    <w:uiPriority w:val="99"/>
    <w:qFormat/>
    <w:pPr>
      <w:ind w:firstLine="420"/>
    </w:pPr>
    <w:rPr>
      <w:rFonts w:ascii="Times New Roman" w:hAnsi="Times New Roman"/>
      <w:sz w:val="24"/>
      <w:szCs w:val="20"/>
    </w:rPr>
  </w:style>
  <w:style w:type="paragraph" w:styleId="1162" w:customStyle="1">
    <w:name w:val="段标题"/>
    <w:basedOn w:val="1103"/>
    <w:next w:val="1112"/>
    <w:uiPriority w:val="0"/>
    <w:qFormat/>
    <w:pPr>
      <w:jc w:val="left"/>
    </w:pPr>
    <w:rPr>
      <w:rFonts w:ascii="黑体" w:hAnsi="宋体" w:eastAsia="黑体"/>
    </w:rPr>
  </w:style>
  <w:style w:type="paragraph" w:styleId="1163" w:customStyle="1">
    <w:name w:val="样式 标题 1 + 宋体 居中 段前: 17 磅 段后: 16.5 磅"/>
    <w:basedOn w:val="1104"/>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64" w:customStyle="1">
    <w:name w:val="列出段落2"/>
    <w:basedOn w:val="1103"/>
    <w:uiPriority w:val="0"/>
    <w:qFormat/>
    <w:pPr>
      <w:ind w:firstLine="420"/>
    </w:pPr>
  </w:style>
  <w:style w:type="table" w:styleId="1165" w:customStyle="1">
    <w:name w:val="网格型1"/>
    <w:basedOn w:val="1109"/>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66">
    <w:name w:val="Quote"/>
    <w:next w:val="1103"/>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67" w:customStyle="1">
    <w:name w:val="普通(网站)11"/>
    <w:basedOn w:val="1103"/>
    <w:uiPriority w:val="99"/>
    <w:unhideWhenUsed/>
    <w:qFormat/>
    <w:pPr>
      <w:jc w:val="left"/>
      <w:spacing w:before="100" w:beforeAutospacing="1" w:after="100" w:afterAutospacing="1"/>
      <w:widowControl/>
    </w:pPr>
    <w:rPr>
      <w:rFonts w:ascii="宋体" w:hAnsi="宋体"/>
      <w:sz w:val="24"/>
    </w:rPr>
  </w:style>
  <w:style w:type="numbering" w:styleId="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2026-07-17T00:39:25Z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