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z w:val="52"/>
          <w:szCs w:val="52"/>
          <w:highlight w:val="none"/>
          <w:lang w:val="zh-CN" w:eastAsia="zh-CN"/>
        </w:rPr>
      </w:pPr>
      <w:r>
        <w:rPr>
          <w:rFonts w:hint="eastAsia" w:ascii="宋体" w:hAnsi="宋体" w:eastAsia="宋体" w:cs="宋体"/>
          <w:b/>
          <w:color w:val="auto"/>
          <w:sz w:val="52"/>
          <w:szCs w:val="52"/>
          <w:highlight w:val="none"/>
          <w:lang w:val="zh-CN" w:eastAsia="zh-CN"/>
        </w:rPr>
      </w:r>
      <w:r/>
    </w:p>
    <w:p>
      <w:pPr>
        <w:pStyle w:val="792"/>
        <w:rPr>
          <w:rFonts w:hint="eastAsia" w:ascii="宋体" w:hAnsi="宋体" w:eastAsia="宋体" w:cs="宋体"/>
          <w:b/>
          <w:color w:val="auto"/>
          <w:sz w:val="52"/>
          <w:szCs w:val="52"/>
          <w:highlight w:val="none"/>
          <w:lang w:val="zh-CN" w:eastAsia="zh-CN"/>
        </w:rPr>
      </w:pPr>
      <w:r>
        <w:rPr>
          <w:rFonts w:hint="eastAsia" w:ascii="宋体" w:hAnsi="宋体" w:eastAsia="宋体" w:cs="宋体"/>
          <w:b/>
          <w:color w:val="auto"/>
          <w:sz w:val="52"/>
          <w:szCs w:val="52"/>
          <w:highlight w:val="none"/>
          <w:lang w:val="zh-CN" w:eastAsia="zh-CN"/>
        </w:rPr>
      </w:r>
      <w:r/>
    </w:p>
    <w:p>
      <w:pPr>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jc w:val="center"/>
        <w:rPr>
          <w:rFonts w:hint="eastAsia" w:ascii="宋体" w:hAnsi="宋体" w:eastAsia="宋体" w:cs="宋体"/>
          <w:caps/>
          <w:color w:val="auto"/>
          <w:sz w:val="44"/>
          <w:szCs w:val="44"/>
          <w:highlight w:val="none"/>
          <w:lang w:val="zh-CN"/>
        </w:rPr>
      </w:pPr>
      <w:r>
        <w:rPr>
          <w:rFonts w:hint="eastAsia" w:ascii="宋体" w:hAnsi="宋体" w:cs="宋体"/>
          <w:b/>
          <w:color w:val="auto"/>
          <w:sz w:val="52"/>
          <w:szCs w:val="52"/>
          <w:highlight w:val="none"/>
          <w:lang w:val="zh-CN" w:eastAsia="zh-CN"/>
        </w:rPr>
        <w:t xml:space="preserve">南京市公安局江宁分局交警大队采购道路漆划线及交通设施维护服务</w:t>
      </w:r>
      <w:r/>
    </w:p>
    <w:p>
      <w:pPr>
        <w:ind w:firstLine="880"/>
        <w:rPr>
          <w:rFonts w:hint="eastAsia" w:ascii="宋体" w:hAnsi="宋体" w:eastAsia="宋体" w:cs="宋体"/>
          <w:caps/>
          <w:color w:val="auto"/>
          <w:sz w:val="44"/>
          <w:szCs w:val="44"/>
          <w:highlight w:val="none"/>
          <w:lang w:val="zh-CN"/>
        </w:rPr>
      </w:pPr>
      <w:r>
        <w:rPr>
          <w:rFonts w:hint="eastAsia" w:ascii="宋体" w:hAnsi="宋体" w:eastAsia="宋体" w:cs="宋体"/>
          <w:caps/>
          <w:color w:val="auto"/>
          <w:sz w:val="44"/>
          <w:szCs w:val="44"/>
          <w:highlight w:val="none"/>
          <w:lang w:val="zh-CN"/>
        </w:rPr>
      </w:r>
      <w:r/>
    </w:p>
    <w:p>
      <w:pPr>
        <w:pStyle w:val="809"/>
        <w:ind w:firstLine="6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09"/>
        <w:ind w:firstLine="6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09"/>
        <w:ind w:firstLine="6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09"/>
        <w:ind w:firstLine="6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09"/>
        <w:ind w:firstLine="6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jc w:val="center"/>
        <w:rPr>
          <w:rFonts w:hint="eastAsia" w:ascii="宋体" w:hAnsi="宋体" w:eastAsia="宋体" w:cs="宋体"/>
          <w:color w:val="auto"/>
          <w:sz w:val="100"/>
          <w:szCs w:val="100"/>
          <w:highlight w:val="none"/>
          <w:lang w:val="zh-CN"/>
        </w:rPr>
      </w:pPr>
      <w:r>
        <w:rPr>
          <w:rFonts w:hint="eastAsia" w:ascii="宋体" w:hAnsi="宋体" w:eastAsia="宋体" w:cs="宋体"/>
          <w:b/>
          <w:bCs/>
          <w:color w:val="auto"/>
          <w:sz w:val="72"/>
          <w:szCs w:val="72"/>
          <w:highlight w:val="none"/>
          <w:lang w:val="zh-CN"/>
        </w:rPr>
        <w:t xml:space="preserve">公开招标文件</w:t>
      </w:r>
      <w:r/>
    </w:p>
    <w:p>
      <w:pPr>
        <w:ind w:firstLine="640"/>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ind w:firstLine="640"/>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ind w:firstLine="640"/>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ind w:firstLine="640"/>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pStyle w:val="792"/>
        <w:rPr>
          <w:rFonts w:hint="eastAsia" w:ascii="宋体" w:hAnsi="宋体" w:eastAsia="宋体" w:cs="宋体"/>
          <w:highlight w:val="none"/>
          <w:lang w:val="zh-CN"/>
        </w:rPr>
      </w:pPr>
      <w:r>
        <w:rPr>
          <w:rFonts w:hint="eastAsia" w:ascii="宋体" w:hAnsi="宋体" w:eastAsia="宋体" w:cs="宋体"/>
          <w:highlight w:val="none"/>
          <w:lang w:val="zh-CN"/>
        </w:rPr>
      </w:r>
      <w:r/>
    </w:p>
    <w:p>
      <w:pPr>
        <w:pStyle w:val="809"/>
        <w:jc w:val="center"/>
        <w:rPr>
          <w:rFonts w:hint="eastAsia" w:ascii="宋体" w:hAnsi="宋体" w:eastAsia="宋体" w:cs="宋体"/>
          <w:color w:val="auto"/>
          <w:highlight w:val="none"/>
          <w:lang w:val="zh-CN"/>
        </w:rPr>
      </w:pPr>
      <w:r>
        <w:rPr>
          <w:rFonts w:hint="eastAsia" w:ascii="宋体" w:hAnsi="宋体" w:eastAsia="宋体" w:cs="宋体"/>
          <w:b/>
          <w:color w:val="auto"/>
          <w:position w:val="0"/>
          <w:sz w:val="32"/>
          <w:szCs w:val="22"/>
          <w:highlight w:val="none"/>
          <w:lang w:val="zh-CN" w:eastAsia="zh-CN" w:bidi="ar-SA"/>
        </w:rPr>
        <w:t xml:space="preserve">项目编号：</w:t>
      </w:r>
      <w:r>
        <w:rPr>
          <w:rFonts w:hint="eastAsia" w:ascii="宋体" w:hAnsi="宋体" w:eastAsia="宋体" w:cs="宋体"/>
          <w:b/>
          <w:color w:val="auto"/>
          <w:position w:val="0"/>
          <w:sz w:val="32"/>
          <w:szCs w:val="22"/>
          <w:highlight w:val="none"/>
          <w:lang w:val="zh-CN" w:eastAsia="zh-CN" w:bidi="ar-SA"/>
        </w:rPr>
        <w:t xml:space="preserve">JSZC-320115-NJLX-G2026-0006</w:t>
      </w:r>
      <w:r/>
    </w:p>
    <w:p>
      <w:pPr>
        <w:pStyle w:val="809"/>
        <w:ind w:firstLine="6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09"/>
        <w:ind w:firstLine="6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rPr>
          <w:rFonts w:hint="eastAsia" w:ascii="宋体" w:hAnsi="宋体" w:eastAsia="宋体" w:cs="宋体"/>
          <w:b/>
          <w:color w:val="auto"/>
          <w:sz w:val="44"/>
          <w:highlight w:val="none"/>
          <w:lang w:val="zh-CN"/>
        </w:rPr>
      </w:pPr>
      <w:r>
        <w:rPr>
          <w:rFonts w:hint="eastAsia" w:ascii="宋体" w:hAnsi="宋体" w:eastAsia="宋体" w:cs="宋体"/>
          <w:b/>
          <w:color w:val="auto"/>
          <w:sz w:val="44"/>
          <w:highlight w:val="none"/>
          <w:lang w:val="zh-CN"/>
        </w:rPr>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jc w:val="center"/>
        <w:spacing w:before="120" w:after="120" w:line="85" w:lineRule="atLeast"/>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22"/>
          <w:highlight w:val="none"/>
        </w:rPr>
        <w:t xml:space="preserve">采购人：南京市公安局江宁分局</w:t>
      </w:r>
      <w:r/>
    </w:p>
    <w:p>
      <w:pPr>
        <w:jc w:val="center"/>
        <w:spacing w:before="120" w:after="120" w:line="85" w:lineRule="atLeast"/>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22"/>
          <w:highlight w:val="none"/>
        </w:rPr>
        <w:t xml:space="preserve">招标代理：南京陵新项目管理有限公司</w:t>
      </w:r>
      <w:r/>
    </w:p>
    <w:p>
      <w:pPr>
        <w:jc w:val="center"/>
        <w:rPr>
          <w:rFonts w:hint="eastAsia" w:ascii="宋体" w:hAnsi="宋体" w:eastAsia="宋体" w:cs="宋体"/>
          <w:color w:val="auto"/>
          <w:sz w:val="44"/>
          <w:szCs w:val="44"/>
          <w:highlight w:val="none"/>
          <w:lang w:eastAsia="zh-CN"/>
        </w:rPr>
      </w:pPr>
      <w:r>
        <w:rPr>
          <w:rFonts w:hint="eastAsia" w:ascii="宋体" w:hAnsi="宋体" w:eastAsia="宋体" w:cs="宋体"/>
          <w:b/>
          <w:color w:val="auto"/>
          <w:sz w:val="32"/>
          <w:szCs w:val="22"/>
          <w:highlight w:val="none"/>
        </w:rPr>
        <w:t xml:space="preserve">日期：</w:t>
      </w:r>
      <w:r>
        <w:rPr>
          <w:rFonts w:hint="eastAsia" w:ascii="宋体" w:hAnsi="宋体" w:eastAsia="宋体" w:cs="宋体"/>
          <w:b/>
          <w:color w:val="auto"/>
          <w:sz w:val="32"/>
          <w:szCs w:val="22"/>
          <w:highlight w:val="none"/>
          <w:lang w:eastAsia="zh-CN"/>
        </w:rPr>
        <w:t xml:space="preserve">2026年07月</w:t>
      </w:r>
      <w:r/>
    </w:p>
    <w:p>
      <w:pPr>
        <w:ind w:firstLine="880"/>
        <w:jc w:val="center"/>
        <w:rPr>
          <w:rFonts w:hint="eastAsia" w:ascii="宋体" w:hAnsi="宋体" w:eastAsia="宋体" w:cs="宋体"/>
          <w:color w:val="auto"/>
          <w:sz w:val="44"/>
          <w:szCs w:val="44"/>
          <w:highlight w:val="none"/>
        </w:rPr>
        <w:sectPr>
          <w:headerReference w:type="default" r:id="rId9"/>
          <w:footerReference w:type="default" r:id="rId13"/>
          <w:footnotePr/>
          <w:endnotePr/>
          <w:type w:val="nextPage"/>
          <w:pgSz w:w="11906" w:h="16838" w:orient="portrait"/>
          <w:pgMar w:top="1418" w:right="1134" w:bottom="1247" w:left="1304" w:header="851" w:footer="992" w:gutter="0"/>
          <w:cols w:num="1" w:sep="0" w:space="720" w:equalWidth="1"/>
          <w:docGrid w:linePitch="360"/>
        </w:sectPr>
      </w:pPr>
      <w:r>
        <w:rPr>
          <w:rFonts w:hint="eastAsia" w:ascii="宋体" w:hAnsi="宋体" w:eastAsia="宋体" w:cs="宋体"/>
          <w:color w:val="auto"/>
          <w:sz w:val="44"/>
          <w:szCs w:val="44"/>
          <w:highlight w:val="none"/>
        </w:rPr>
      </w:r>
      <w:r/>
    </w:p>
    <w:p>
      <w:pPr>
        <w:ind w:firstLine="88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880"/>
        <w:jc w:val="center"/>
        <w:rPr>
          <w:rFonts w:hint="eastAsia" w:ascii="宋体" w:hAnsi="宋体" w:eastAsia="宋体" w:cs="宋体"/>
          <w:color w:val="auto"/>
          <w:sz w:val="44"/>
          <w:szCs w:val="44"/>
          <w:highlight w:val="none"/>
          <w:lang w:val="zh-CN"/>
        </w:rPr>
      </w:pPr>
      <w:r>
        <w:rPr>
          <w:rFonts w:hint="eastAsia" w:ascii="宋体" w:hAnsi="宋体" w:eastAsia="宋体" w:cs="宋体"/>
          <w:color w:val="auto"/>
          <w:sz w:val="44"/>
          <w:szCs w:val="44"/>
          <w:highlight w:val="none"/>
          <w:lang w:val="zh-CN"/>
        </w:rPr>
        <w:t xml:space="preserve">目录</w:t>
      </w:r>
      <w:r/>
    </w:p>
    <w:p>
      <w:pPr>
        <w:pStyle w:val="824"/>
        <w:tabs>
          <w:tab w:val="right" w:pos="8617" w:leader="dot"/>
        </w:tabs>
        <w:rPr>
          <w:rFonts w:hint="eastAsia" w:ascii="宋体" w:hAnsi="宋体" w:eastAsia="宋体" w:cs="宋体"/>
          <w:color w:val="auto"/>
          <w:highlight w:val="none"/>
        </w:rPr>
      </w:pPr>
      <w:r>
        <w:rPr>
          <w:rFonts w:hint="eastAsia" w:ascii="宋体" w:hAnsi="宋体" w:eastAsia="宋体" w:cs="宋体"/>
          <w:color w:val="auto"/>
          <w:sz w:val="28"/>
          <w:szCs w:val="28"/>
          <w:highlight w:val="none"/>
          <w:lang w:val="zh-CN"/>
        </w:rPr>
        <w:fldChar w:fldCharType="begin"/>
      </w:r>
      <w:r>
        <w:rPr>
          <w:rFonts w:hint="eastAsia" w:ascii="宋体" w:hAnsi="宋体" w:eastAsia="宋体" w:cs="宋体"/>
          <w:color w:val="auto"/>
          <w:sz w:val="28"/>
          <w:szCs w:val="28"/>
          <w:highlight w:val="none"/>
          <w:lang w:val="zh-CN"/>
        </w:rPr>
        <w:instrText xml:space="preserve">TOC \o "1-3" \h \u </w:instrText>
      </w:r>
      <w:r>
        <w:rPr>
          <w:rFonts w:hint="eastAsia" w:ascii="宋体" w:hAnsi="宋体" w:eastAsia="宋体" w:cs="宋体"/>
          <w:color w:val="auto"/>
          <w:sz w:val="28"/>
          <w:szCs w:val="28"/>
          <w:highlight w:val="none"/>
          <w:lang w:val="zh-CN"/>
        </w:rPr>
        <w:fldChar w:fldCharType="separate"/>
      </w: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_Toc8085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color w:val="auto"/>
          <w:szCs w:val="36"/>
          <w:highlight w:val="none"/>
          <w:lang w:val="zh-CN"/>
        </w:rPr>
        <w:t xml:space="preserve">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_Toc8085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24"/>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_Toc16271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color w:val="auto"/>
          <w:szCs w:val="36"/>
          <w:highlight w:val="none"/>
          <w:lang w:val="zh-CN"/>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_Toc16271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24"/>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_Toc26349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color w:val="auto"/>
          <w:szCs w:val="36"/>
          <w:highlight w:val="none"/>
        </w:rPr>
        <w:t xml:space="preserve">第三章 评标方法和标准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_Toc26349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15</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24"/>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_Toc16162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color w:val="auto"/>
          <w:szCs w:val="40"/>
          <w:highlight w:val="none"/>
        </w:rPr>
        <w:t xml:space="preserve">第四章 招标项目说明及技术要求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_Toc16162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18</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3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_Toc24328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val="0"/>
          <w:color w:val="auto"/>
          <w:szCs w:val="28"/>
          <w:highlight w:val="none"/>
          <w:lang w:val="en-US" w:eastAsia="zh-CN"/>
        </w:rPr>
        <w:t xml:space="preserve">一、项目概况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_Toc24328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18</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3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_Toc2933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val="0"/>
          <w:color w:val="auto"/>
          <w:szCs w:val="28"/>
          <w:highlight w:val="none"/>
          <w:lang w:val="en-US" w:eastAsia="zh-CN"/>
        </w:rPr>
        <w:t xml:space="preserve">二、采购清单（即分项报价表）以及报价要求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18</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_Toc4290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szCs w:val="24"/>
          <w:highlight w:val="none"/>
          <w:lang w:val="en-US" w:eastAsia="zh-CN"/>
        </w:rPr>
        <w:t xml:space="preserve">（一）采购清单（即分项报价表）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_Toc4290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18</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_Toc5201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szCs w:val="24"/>
          <w:highlight w:val="none"/>
          <w:lang w:val="en-US" w:eastAsia="zh-CN"/>
        </w:rPr>
        <w:t xml:space="preserve">（二）报价要求</w:t>
      </w:r>
      <w:r>
        <w:rPr>
          <w:rFonts w:hint="eastAsia" w:ascii="宋体" w:hAnsi="宋体" w:eastAsia="宋体" w:cs="宋体"/>
          <w:color w:val="auto"/>
          <w:highlight w:val="none"/>
        </w:rPr>
        <w:tab/>
      </w:r>
      <w:bookmarkStart w:id="674" w:name="_GoBack"/>
      <w:r/>
      <w:bookmarkEnd w:id="674"/>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_Toc5201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24</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3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_Toc30128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val="0"/>
          <w:color w:val="auto"/>
          <w:szCs w:val="28"/>
          <w:highlight w:val="none"/>
          <w:lang w:val="en-US" w:eastAsia="zh-CN"/>
        </w:rPr>
        <w:t xml:space="preserve">★三</w:t>
      </w:r>
      <w:r>
        <w:rPr>
          <w:rFonts w:hint="eastAsia" w:ascii="宋体" w:hAnsi="宋体" w:eastAsia="宋体" w:cs="宋体"/>
          <w:bCs w:val="0"/>
          <w:color w:val="auto"/>
          <w:szCs w:val="28"/>
          <w:highlight w:val="none"/>
        </w:rPr>
        <w:t xml:space="preserve">、</w:t>
      </w:r>
      <w:r>
        <w:rPr>
          <w:rFonts w:hint="eastAsia" w:ascii="宋体" w:hAnsi="宋体" w:eastAsia="宋体" w:cs="宋体"/>
          <w:bCs w:val="0"/>
          <w:color w:val="auto"/>
          <w:szCs w:val="28"/>
          <w:highlight w:val="none"/>
          <w:lang w:val="en-US" w:eastAsia="zh-CN"/>
        </w:rPr>
        <w:t xml:space="preserve">拟采购的标的需要满足的商务要求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_Toc30128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24</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3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_Toc27925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val="0"/>
          <w:color w:val="auto"/>
          <w:szCs w:val="28"/>
          <w:highlight w:val="none"/>
          <w:lang w:val="en-US" w:eastAsia="zh-CN"/>
        </w:rPr>
        <w:t xml:space="preserve">四、拟采购的标的需要满足的技术要求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_Toc27925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27</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_Toc9620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szCs w:val="24"/>
          <w:highlight w:val="none"/>
        </w:rPr>
        <w:t xml:space="preserve">（一）</w:t>
      </w:r>
      <w:r>
        <w:rPr>
          <w:rFonts w:hint="eastAsia" w:ascii="宋体" w:hAnsi="宋体" w:eastAsia="宋体" w:cs="宋体"/>
          <w:color w:val="auto"/>
          <w:szCs w:val="24"/>
          <w:highlight w:val="none"/>
        </w:rPr>
        <w:t xml:space="preserve">交通标线施工部分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_Toc9620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27</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_Toc20851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Cs w:val="24"/>
          <w:highlight w:val="none"/>
          <w:lang w:val="en-US" w:eastAsia="zh-CN"/>
        </w:rPr>
        <w:t xml:space="preserve">二</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Cs w:val="24"/>
          <w:highlight w:val="none"/>
        </w:rPr>
        <w:t xml:space="preserve">交通标志牌制作和安装部分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_Toc20851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31</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_Toc4463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Cs w:val="24"/>
          <w:highlight w:val="none"/>
          <w:lang w:val="en-US" w:eastAsia="zh-CN"/>
        </w:rPr>
        <w:t xml:space="preserve">三</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Cs w:val="24"/>
          <w:highlight w:val="none"/>
        </w:rPr>
        <w:t xml:space="preserve">交通隔离设施部分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_Toc4463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32</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_Toc31649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Cs w:val="24"/>
          <w:highlight w:val="none"/>
          <w:lang w:val="en-US" w:eastAsia="zh-CN"/>
        </w:rPr>
        <w:t xml:space="preserve">四</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Cs w:val="24"/>
          <w:highlight w:val="none"/>
        </w:rPr>
        <w:t xml:space="preserve">信号灯维护部分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_Toc31649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35</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24"/>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_Toc8137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color w:val="auto"/>
          <w:szCs w:val="40"/>
          <w:highlight w:val="none"/>
        </w:rPr>
        <w:t xml:space="preserve">第五章 政府采购合同格式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_Toc8137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41</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24"/>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_Toc10123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val="0"/>
          <w:color w:val="auto"/>
          <w:szCs w:val="30"/>
          <w:highlight w:val="none"/>
          <w:lang w:val="zh-CN"/>
        </w:rPr>
        <w:t xml:space="preserve">第六章 </w:t>
      </w:r>
      <w:r>
        <w:rPr>
          <w:rFonts w:hint="eastAsia" w:ascii="宋体" w:hAnsi="宋体" w:eastAsia="宋体" w:cs="宋体"/>
          <w:bCs w:val="0"/>
          <w:color w:val="auto"/>
          <w:szCs w:val="30"/>
          <w:highlight w:val="none"/>
        </w:rPr>
        <w:t xml:space="preserve">投标书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_Toc10123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45</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3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_Toc7747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color w:val="auto"/>
          <w:szCs w:val="28"/>
          <w:highlight w:val="none"/>
        </w:rPr>
        <w:t xml:space="preserve">商务部分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_Toc7747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46</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_Toc4111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lang w:val="zh-CN"/>
        </w:rPr>
        <w:t xml:space="preserve">一、投标申请及声明格式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_Toc4111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46</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_Toc30980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rPr>
        <w:t xml:space="preserve">二、法定代表人授权委托书格式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_Toc30980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47</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_Toc650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lang w:val="zh-CN"/>
        </w:rPr>
        <w:t xml:space="preserve">三、</w:t>
      </w:r>
      <w:r>
        <w:rPr>
          <w:rFonts w:hint="eastAsia" w:ascii="宋体" w:hAnsi="宋体" w:eastAsia="宋体" w:cs="宋体"/>
          <w:bCs/>
          <w:color w:val="auto"/>
          <w:highlight w:val="none"/>
        </w:rPr>
        <w:t xml:space="preserve">南京市政府采购</w:t>
      </w:r>
      <w:r>
        <w:rPr>
          <w:rFonts w:hint="eastAsia" w:ascii="宋体" w:hAnsi="宋体" w:eastAsia="宋体" w:cs="宋体"/>
          <w:bCs/>
          <w:color w:val="auto"/>
          <w:highlight w:val="none"/>
          <w:lang w:eastAsia="zh-CN"/>
        </w:rPr>
        <w:t xml:space="preserve">投标人</w:t>
      </w:r>
      <w:r>
        <w:rPr>
          <w:rFonts w:hint="eastAsia" w:ascii="宋体" w:hAnsi="宋体" w:eastAsia="宋体" w:cs="宋体"/>
          <w:bCs/>
          <w:color w:val="auto"/>
          <w:highlight w:val="none"/>
        </w:rPr>
        <w:t xml:space="preserve">信用记录表暨信用承诺书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48</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_Toc23160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lang w:val="en-US" w:eastAsia="zh-CN"/>
        </w:rPr>
        <w:t xml:space="preserve">四</w:t>
      </w:r>
      <w:r>
        <w:rPr>
          <w:rFonts w:hint="eastAsia" w:ascii="宋体" w:hAnsi="宋体" w:eastAsia="宋体" w:cs="宋体"/>
          <w:bCs/>
          <w:color w:val="auto"/>
          <w:highlight w:val="none"/>
        </w:rPr>
        <w:t xml:space="preserve">、</w:t>
      </w:r>
      <w:r>
        <w:rPr>
          <w:rFonts w:hint="eastAsia" w:ascii="宋体" w:hAnsi="宋体" w:eastAsia="宋体" w:cs="宋体"/>
          <w:color w:val="auto"/>
          <w:highlight w:val="none"/>
        </w:rPr>
        <w:t xml:space="preserve">企业业绩</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_Toc23160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49</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_Toc28698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lang w:val="en-US" w:eastAsia="zh-CN"/>
        </w:rPr>
        <w:t xml:space="preserve">五、投标人认为需要</w:t>
      </w:r>
      <w:r>
        <w:rPr>
          <w:rFonts w:hint="eastAsia" w:ascii="宋体" w:hAnsi="宋体" w:eastAsia="宋体" w:cs="宋体"/>
          <w:bCs/>
          <w:color w:val="auto"/>
          <w:highlight w:val="none"/>
          <w:lang w:val="zh-CN" w:eastAsia="zh-CN"/>
        </w:rPr>
        <w:t xml:space="preserve">提供的其他资格证明文件和商务资料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_Toc28698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49</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3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_Toc9766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color w:val="auto"/>
          <w:szCs w:val="28"/>
          <w:highlight w:val="none"/>
        </w:rPr>
        <w:t xml:space="preserve">价格部分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_Toc9766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50</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_Toc29084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rPr>
        <w:t xml:space="preserve">一</w:t>
      </w:r>
      <w:r>
        <w:rPr>
          <w:rFonts w:hint="eastAsia" w:ascii="宋体" w:hAnsi="宋体" w:eastAsia="宋体" w:cs="宋体"/>
          <w:bCs/>
          <w:color w:val="auto"/>
          <w:highlight w:val="none"/>
          <w:lang w:val="zh-CN"/>
        </w:rPr>
        <w:t xml:space="preserve">、开标一览表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_Toc29084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50</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_Toc3865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color w:val="auto"/>
          <w:szCs w:val="21"/>
          <w:highlight w:val="none"/>
        </w:rPr>
        <w:t xml:space="preserve">二、投标分项报价表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_Toc3865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51</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3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_Toc20145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szCs w:val="28"/>
          <w:highlight w:val="none"/>
        </w:rPr>
        <w:t xml:space="preserve">技术部分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_Toc20145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58</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_Toc15629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rPr>
        <w:t xml:space="preserve">一、</w:t>
      </w:r>
      <w:r>
        <w:rPr>
          <w:rFonts w:hint="eastAsia" w:ascii="宋体" w:hAnsi="宋体" w:eastAsia="宋体" w:cs="宋体"/>
          <w:bCs/>
          <w:color w:val="auto"/>
          <w:highlight w:val="none"/>
          <w:lang w:val="zh-CN"/>
        </w:rPr>
        <w:t xml:space="preserve">项目服务方案（格式自拟）</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_Toc15629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58</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_Toc26324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rPr>
        <w:t xml:space="preserve">二、项目组人员一览表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_Toc26324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58</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_Toc19420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rPr>
        <w:t xml:space="preserve">三、质量保证及服务承诺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_Toc19420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59</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1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_Toc29402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lang w:val="en-US" w:eastAsia="zh-CN"/>
        </w:rPr>
        <w:t xml:space="preserve">四、</w:t>
      </w:r>
      <w:r>
        <w:rPr>
          <w:rFonts w:hint="eastAsia" w:ascii="宋体" w:hAnsi="宋体" w:eastAsia="宋体" w:cs="宋体"/>
          <w:bCs/>
          <w:color w:val="auto"/>
          <w:highlight w:val="none"/>
          <w:lang w:val="zh-CN"/>
        </w:rPr>
        <w:t xml:space="preserve">投标人认为需要提供的其他技术文件或资料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_Toc29402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59</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3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_Toc17419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rPr>
        <w:t xml:space="preserve">附件一、</w:t>
      </w:r>
      <w:r>
        <w:rPr>
          <w:rFonts w:hint="eastAsia" w:ascii="宋体" w:hAnsi="宋体" w:eastAsia="宋体" w:cs="宋体"/>
          <w:color w:val="auto"/>
          <w:highlight w:val="none"/>
        </w:rPr>
        <w:t xml:space="preserve">中小企业声明函格式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_Toc17419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60</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3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_Toc25771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rPr>
        <w:t xml:space="preserve">附件二、残疾人福利性单位声明函（如有）</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_Toc25771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61</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3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_Toc21027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bCs/>
          <w:color w:val="auto"/>
          <w:highlight w:val="none"/>
          <w:lang w:val="zh-CN"/>
        </w:rPr>
        <w:t xml:space="preserve">附件</w:t>
      </w:r>
      <w:r>
        <w:rPr>
          <w:rFonts w:hint="eastAsia" w:ascii="宋体" w:hAnsi="宋体" w:eastAsia="宋体" w:cs="宋体"/>
          <w:bCs/>
          <w:color w:val="auto"/>
          <w:highlight w:val="none"/>
        </w:rPr>
        <w:t xml:space="preserve">三</w:t>
      </w:r>
      <w:r>
        <w:rPr>
          <w:rFonts w:hint="eastAsia" w:ascii="宋体" w:hAnsi="宋体" w:eastAsia="宋体" w:cs="宋体"/>
          <w:bCs/>
          <w:color w:val="auto"/>
          <w:highlight w:val="none"/>
          <w:lang w:val="zh-CN"/>
        </w:rPr>
        <w:t xml:space="preserve">：具备履行合同所必需的设备和专业技术能力的书面声明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_Toc21027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61</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pStyle w:val="833"/>
        <w:tabs>
          <w:tab w:val="right" w:pos="8617" w:leader="dot"/>
        </w:tabs>
        <w:rPr>
          <w:rFonts w:hint="eastAsia" w:ascii="宋体" w:hAnsi="宋体" w:eastAsia="宋体" w:cs="宋体"/>
          <w:color w:val="auto"/>
          <w:highlight w:val="none"/>
        </w:rPr>
      </w:pPr>
      <w:r>
        <w:rPr>
          <w:rFonts w:hint="eastAsia" w:ascii="宋体" w:hAnsi="宋体" w:eastAsia="宋体" w:cs="宋体"/>
          <w:color w:val="auto"/>
          <w:szCs w:val="28"/>
          <w:highlight w:val="none"/>
          <w:lang w:val="zh-CN"/>
        </w:rPr>
        <w:fldChar w:fldCharType="begin"/>
      </w:r>
      <w:r>
        <w:rPr>
          <w:rFonts w:hint="eastAsia" w:ascii="宋体" w:hAnsi="宋体" w:eastAsia="宋体" w:cs="宋体"/>
          <w:color w:val="auto"/>
          <w:szCs w:val="28"/>
          <w:highlight w:val="none"/>
          <w:lang w:val="zh-CN"/>
        </w:rPr>
        <w:instrText xml:space="preserve"> HYPERLINK \l _Toc14304 </w:instrText>
      </w:r>
      <w:r>
        <w:rPr>
          <w:rFonts w:hint="eastAsia" w:ascii="宋体" w:hAnsi="宋体" w:eastAsia="宋体" w:cs="宋体"/>
          <w:color w:val="auto"/>
          <w:szCs w:val="28"/>
          <w:highlight w:val="none"/>
          <w:lang w:val="zh-CN"/>
        </w:rPr>
        <w:fldChar w:fldCharType="separate"/>
      </w:r>
      <w:r>
        <w:rPr>
          <w:rFonts w:hint="eastAsia" w:ascii="宋体" w:hAnsi="宋体" w:eastAsia="宋体" w:cs="宋体"/>
          <w:color w:val="auto"/>
          <w:highlight w:val="none"/>
        </w:rPr>
        <w:t xml:space="preserve">附件四：无重大违法记录声明格式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_Toc14304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61</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lang w:val="zh-CN"/>
        </w:rPr>
        <w:fldChar w:fldCharType="end"/>
      </w:r>
      <w:r/>
    </w:p>
    <w:p>
      <w:pPr>
        <w:ind w:firstLine="420"/>
        <w:jc w:val="left"/>
        <w:rPr>
          <w:rFonts w:hint="eastAsia" w:ascii="宋体" w:hAnsi="宋体" w:eastAsia="宋体" w:cs="宋体"/>
          <w:color w:val="auto"/>
          <w:sz w:val="28"/>
          <w:szCs w:val="28"/>
          <w:highlight w:val="none"/>
          <w:lang w:val="zh-CN"/>
        </w:rPr>
      </w:pPr>
      <w:r>
        <w:rPr>
          <w:rFonts w:hint="eastAsia" w:ascii="宋体" w:hAnsi="宋体" w:eastAsia="宋体" w:cs="宋体"/>
          <w:color w:val="auto"/>
          <w:szCs w:val="28"/>
          <w:highlight w:val="none"/>
          <w:lang w:val="zh-CN"/>
        </w:rPr>
        <w:fldChar w:fldCharType="end"/>
      </w:r>
      <w:r/>
    </w:p>
    <w:p>
      <w:pPr>
        <w:jc w:val="center"/>
        <w:rPr>
          <w:rFonts w:hint="eastAsia" w:ascii="宋体" w:hAnsi="宋体" w:eastAsia="宋体" w:cs="宋体"/>
          <w:b/>
          <w:color w:val="auto"/>
          <w:sz w:val="36"/>
          <w:szCs w:val="36"/>
          <w:highlight w:val="none"/>
          <w:lang w:val="zh-CN"/>
        </w:rPr>
        <w:outlineLvl w:val="0"/>
      </w:pPr>
      <w:r>
        <w:rPr>
          <w:rFonts w:hint="eastAsia" w:ascii="宋体" w:hAnsi="宋体" w:eastAsia="宋体" w:cs="宋体"/>
          <w:color w:val="auto"/>
          <w:sz w:val="28"/>
          <w:szCs w:val="28"/>
          <w:highlight w:val="none"/>
          <w:lang w:val="zh-CN"/>
        </w:rPr>
        <w:br w:type="page" w:clear="all"/>
      </w:r>
      <w:bookmarkStart w:id="0" w:name="_Toc21802"/>
      <w:r/>
      <w:bookmarkStart w:id="1" w:name="_Toc13418"/>
      <w:r/>
      <w:bookmarkStart w:id="2" w:name="_Toc31544"/>
      <w:r/>
      <w:bookmarkStart w:id="3" w:name="_Toc27679"/>
      <w:r/>
      <w:bookmarkStart w:id="4" w:name="_Toc7220"/>
      <w:r/>
      <w:bookmarkStart w:id="5" w:name="_Toc30442"/>
      <w:r/>
      <w:bookmarkStart w:id="6" w:name="_Toc31849"/>
      <w:r/>
      <w:bookmarkStart w:id="7" w:name="_Toc116284540"/>
      <w:r/>
      <w:bookmarkStart w:id="8" w:name="_Toc9497"/>
      <w:r/>
      <w:bookmarkStart w:id="9" w:name="_Toc7975"/>
      <w:r/>
      <w:bookmarkStart w:id="10" w:name="_Toc8085"/>
      <w:r/>
      <w:bookmarkStart w:id="11" w:name="_Toc20150"/>
      <w:r/>
      <w:bookmarkStart w:id="12" w:name="_Toc3288"/>
      <w:r/>
      <w:bookmarkStart w:id="13" w:name="_Toc19150"/>
      <w:r/>
      <w:bookmarkStart w:id="14" w:name="_Toc15092"/>
      <w:r/>
      <w:bookmarkStart w:id="15" w:name="_Toc27392"/>
      <w:r/>
      <w:bookmarkStart w:id="16" w:name="_Toc9992"/>
      <w:r/>
      <w:bookmarkStart w:id="17" w:name="_Toc32267"/>
      <w:r/>
      <w:bookmarkStart w:id="18" w:name="_Toc23403"/>
      <w:r/>
      <w:bookmarkStart w:id="19" w:name="_Toc32573"/>
      <w:r/>
      <w:bookmarkStart w:id="20" w:name="_Toc26696"/>
      <w:r/>
      <w:bookmarkStart w:id="21" w:name="_Toc30293"/>
      <w:r/>
      <w:bookmarkStart w:id="22" w:name="_Toc20050"/>
      <w:r/>
      <w:bookmarkStart w:id="23" w:name="_Toc5320"/>
      <w:r/>
      <w:bookmarkStart w:id="24" w:name="_Toc2414"/>
      <w:r/>
      <w:bookmarkStart w:id="25" w:name="_Toc8577"/>
      <w:r/>
      <w:bookmarkStart w:id="26" w:name="_Toc15675"/>
      <w:r/>
      <w:bookmarkStart w:id="27" w:name="_Toc18842"/>
      <w:r/>
      <w:bookmarkStart w:id="28" w:name="_Toc18235"/>
      <w:r/>
      <w:bookmarkStart w:id="29" w:name="_Toc26245"/>
      <w:r/>
      <w:bookmarkStart w:id="30" w:name="_Toc3375"/>
      <w:r/>
      <w:bookmarkStart w:id="31" w:name="_Toc26665"/>
      <w:r>
        <w:rPr>
          <w:rFonts w:hint="eastAsia" w:ascii="宋体" w:hAnsi="宋体" w:eastAsia="宋体" w:cs="宋体"/>
          <w:b/>
          <w:color w:val="auto"/>
          <w:sz w:val="36"/>
          <w:szCs w:val="36"/>
          <w:highlight w:val="none"/>
          <w:lang w:val="zh-CN"/>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
    </w:p>
    <w:p>
      <w:pPr>
        <w:jc w:val="center"/>
        <w:spacing w:line="360" w:lineRule="auto"/>
        <w:rPr>
          <w:rStyle w:val="1036"/>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 xml:space="preserve">南京市公安局江宁分局交警大队采购道路漆划线及交通设施维护服务</w:t>
      </w:r>
      <w:r>
        <w:rPr>
          <w:rFonts w:hint="eastAsia" w:ascii="宋体" w:hAnsi="宋体" w:eastAsia="宋体" w:cs="宋体"/>
          <w:b/>
          <w:bCs/>
          <w:color w:val="auto"/>
          <w:sz w:val="28"/>
          <w:szCs w:val="28"/>
          <w:highlight w:val="none"/>
        </w:rPr>
        <w:t xml:space="preserve">公开招标采购公告</w:t>
      </w:r>
      <w:r/>
    </w:p>
    <w:p>
      <w:pPr>
        <w:ind w:firstLine="422"/>
        <w:jc w:val="left"/>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项目概况</w:t>
      </w:r>
      <w:r/>
    </w:p>
    <w:p>
      <w:pPr>
        <w:ind w:left="0" w:right="0" w:firstLine="0"/>
        <w:jc w:val="both"/>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u w:val="none"/>
          <w:lang w:eastAsia="zh-CN"/>
        </w:rPr>
        <w:t xml:space="preserve">    </w:t>
      </w:r>
      <w:r>
        <w:rPr>
          <w:rFonts w:hint="eastAsia" w:ascii="宋体" w:hAnsi="宋体" w:cs="宋体"/>
          <w:color w:val="auto"/>
          <w:highlight w:val="none"/>
          <w:u w:val="single"/>
          <w:lang w:eastAsia="zh-CN"/>
        </w:rPr>
        <w:t xml:space="preserve">南京市公安局江宁分局交警大队采购道路漆划线及交通设施维护服务</w:t>
      </w:r>
      <w:r>
        <w:rPr>
          <w:rFonts w:hint="eastAsia" w:ascii="宋体" w:hAnsi="宋体" w:eastAsia="宋体" w:cs="宋体"/>
          <w:color w:val="auto"/>
          <w:highlight w:val="none"/>
        </w:rPr>
        <w:t xml:space="preserve">招标项目的潜在</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应在 </w:t>
      </w:r>
      <w:r>
        <w:rPr>
          <w:rFonts w:hint="eastAsia" w:ascii="宋体" w:hAnsi="宋体" w:eastAsia="宋体" w:cs="宋体"/>
          <w:color w:val="auto"/>
          <w:sz w:val="21"/>
          <w:highlight w:val="none"/>
          <w:u w:val="single"/>
        </w:rPr>
        <w:t xml:space="preserve">江苏省政府采购管理交易系统（苏采云系统）</w:t>
      </w:r>
      <w:r>
        <w:rPr>
          <w:rFonts w:hint="eastAsia" w:ascii="宋体" w:hAnsi="宋体" w:eastAsia="宋体" w:cs="宋体"/>
          <w:color w:val="auto"/>
          <w:highlight w:val="none"/>
        </w:rPr>
        <w:t xml:space="preserve"> 获取招标文件，并于</w:t>
      </w:r>
      <w:r>
        <w:rPr>
          <w:rFonts w:hint="eastAsia" w:ascii="宋体" w:hAnsi="宋体" w:eastAsia="宋体" w:cs="宋体"/>
          <w:color w:val="auto"/>
          <w:highlight w:val="none"/>
          <w:u w:val="single"/>
          <w:lang w:eastAsia="zh-CN"/>
        </w:rPr>
        <w:t xml:space="preserve">2026年</w:t>
      </w:r>
      <w:r>
        <w:rPr>
          <w:rFonts w:hint="eastAsia" w:ascii="宋体" w:hAnsi="宋体" w:cs="宋体"/>
          <w:color w:val="auto"/>
          <w:highlight w:val="none"/>
          <w:u w:val="single"/>
          <w:lang w:val="en-US" w:eastAsia="zh-CN"/>
        </w:rPr>
        <w:t xml:space="preserve">08</w:t>
      </w:r>
      <w:r>
        <w:rPr>
          <w:rFonts w:hint="eastAsia" w:ascii="宋体" w:hAnsi="宋体" w:eastAsia="宋体" w:cs="宋体"/>
          <w:color w:val="auto"/>
          <w:highlight w:val="none"/>
          <w:u w:val="single"/>
          <w:lang w:eastAsia="zh-CN"/>
        </w:rPr>
        <w:t xml:space="preserve">月</w:t>
      </w:r>
      <w:r>
        <w:rPr>
          <w:rFonts w:hint="eastAsia" w:ascii="宋体" w:hAnsi="宋体" w:cs="宋体"/>
          <w:color w:val="auto"/>
          <w:highlight w:val="none"/>
          <w:u w:val="single"/>
          <w:lang w:val="en-US" w:eastAsia="zh-CN"/>
        </w:rPr>
        <w:t xml:space="preserve">18</w:t>
      </w:r>
      <w:r>
        <w:rPr>
          <w:rFonts w:hint="eastAsia" w:ascii="宋体" w:hAnsi="宋体" w:eastAsia="宋体" w:cs="宋体"/>
          <w:color w:val="auto"/>
          <w:highlight w:val="none"/>
          <w:u w:val="single"/>
          <w:lang w:eastAsia="zh-CN"/>
        </w:rPr>
        <w:t xml:space="preserve">日09点30分</w:t>
      </w:r>
      <w:r>
        <w:rPr>
          <w:rFonts w:hint="eastAsia" w:ascii="宋体" w:hAnsi="宋体" w:eastAsia="宋体" w:cs="宋体"/>
          <w:color w:val="auto"/>
          <w:highlight w:val="none"/>
        </w:rPr>
        <w:t xml:space="preserve">（北京时间）前递交投标文件。</w:t>
      </w:r>
      <w:r/>
    </w:p>
    <w:p>
      <w:pPr>
        <w:ind w:firstLine="422"/>
        <w:jc w:val="left"/>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 </w:t>
      </w:r>
      <w:r/>
    </w:p>
    <w:p>
      <w:pPr>
        <w:ind w:firstLine="420"/>
        <w:jc w:val="left"/>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JSZC-320115-NJLX-G2026-0006</w:t>
      </w:r>
      <w:r/>
    </w:p>
    <w:p>
      <w:pPr>
        <w:ind w:firstLine="420"/>
        <w:jc w:val="left"/>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南京市公安局江宁分局交警大队采购道路漆划线及交通设施维护服务</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预算金额：</w:t>
      </w:r>
      <w:r>
        <w:rPr>
          <w:rFonts w:hint="eastAsia" w:ascii="宋体" w:hAnsi="宋体" w:eastAsia="宋体" w:cs="宋体"/>
          <w:color w:val="auto"/>
          <w:highlight w:val="none"/>
          <w:lang w:val="en-US" w:eastAsia="zh-CN"/>
        </w:rPr>
        <w:t xml:space="preserve">185</w:t>
      </w:r>
      <w:r>
        <w:rPr>
          <w:rFonts w:hint="eastAsia" w:ascii="宋体" w:hAnsi="宋体" w:eastAsia="宋体" w:cs="宋体"/>
          <w:color w:val="auto"/>
          <w:highlight w:val="none"/>
        </w:rPr>
        <w:t xml:space="preserve">万元</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最高限价：</w:t>
      </w:r>
      <w:r>
        <w:rPr>
          <w:rFonts w:hint="eastAsia" w:ascii="宋体" w:hAnsi="宋体" w:eastAsia="宋体" w:cs="宋体"/>
          <w:color w:val="auto"/>
          <w:highlight w:val="none"/>
          <w:lang w:val="en-US" w:eastAsia="zh-CN"/>
        </w:rPr>
        <w:t xml:space="preserve">加权平均综合单价24772.88元</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报价超过加权平均综合单价的最高限价或各</w:t>
      </w:r>
      <w:r>
        <w:rPr>
          <w:rFonts w:hint="eastAsia" w:ascii="宋体" w:hAnsi="宋体" w:eastAsia="宋体" w:cs="宋体"/>
          <w:b w:val="0"/>
          <w:bCs w:val="0"/>
          <w:color w:val="auto"/>
          <w:szCs w:val="21"/>
          <w:highlight w:val="none"/>
          <w:lang w:val="en-US" w:eastAsia="zh-CN"/>
        </w:rPr>
        <w:t xml:space="preserve">子</w:t>
      </w:r>
      <w:r>
        <w:rPr>
          <w:rFonts w:hint="eastAsia" w:ascii="宋体" w:hAnsi="宋体" w:eastAsia="宋体" w:cs="宋体"/>
          <w:b w:val="0"/>
          <w:bCs w:val="0"/>
          <w:color w:val="auto"/>
          <w:szCs w:val="21"/>
          <w:highlight w:val="none"/>
        </w:rPr>
        <w:t xml:space="preserve">项的最高限价的，作无效标处理。具体要求详见</w:t>
      </w:r>
      <w:r>
        <w:rPr>
          <w:rFonts w:hint="eastAsia" w:ascii="宋体" w:hAnsi="宋体" w:eastAsia="宋体" w:cs="宋体"/>
          <w:b w:val="0"/>
          <w:bCs w:val="0"/>
          <w:color w:val="auto"/>
          <w:szCs w:val="21"/>
          <w:highlight w:val="none"/>
          <w:lang w:val="en-US" w:eastAsia="zh-CN"/>
        </w:rPr>
        <w:t xml:space="preserve">采购</w:t>
      </w:r>
      <w:r>
        <w:rPr>
          <w:rFonts w:hint="eastAsia" w:ascii="宋体" w:hAnsi="宋体" w:eastAsia="宋体" w:cs="宋体"/>
          <w:b w:val="0"/>
          <w:bCs w:val="0"/>
          <w:color w:val="auto"/>
          <w:szCs w:val="21"/>
          <w:highlight w:val="none"/>
        </w:rPr>
        <w:t xml:space="preserve">文件。</w:t>
      </w:r>
      <w:r>
        <w:rPr>
          <w:rFonts w:hint="eastAsia" w:ascii="宋体" w:hAnsi="宋体" w:eastAsia="宋体" w:cs="宋体"/>
          <w:b w:val="0"/>
          <w:bCs w:val="0"/>
          <w:color w:val="auto"/>
          <w:highlight w:val="none"/>
        </w:rPr>
        <w:t xml:space="preserve">）</w:t>
      </w:r>
      <w:r/>
    </w:p>
    <w:p>
      <w:pPr>
        <w:ind w:firstLine="420"/>
        <w:spacing w:line="3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采购需求：江宁区范围内公路和城市道路交通标志、标线、护栏、信号灯等道路交通安全设施的制作、安装和维护</w:t>
      </w:r>
      <w:r>
        <w:rPr>
          <w:rFonts w:hint="eastAsia" w:ascii="宋体" w:hAnsi="宋体" w:eastAsia="宋体" w:cs="宋体"/>
          <w:color w:val="auto"/>
          <w:highlight w:val="none"/>
          <w:lang w:val="en-US" w:eastAsia="zh-CN"/>
        </w:rPr>
        <w:t xml:space="preserve">，具体详见招标文件。</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val="en-US" w:eastAsia="zh-CN"/>
        </w:rPr>
        <w:t xml:space="preserve">一年</w:t>
      </w:r>
      <w:r>
        <w:rPr>
          <w:rFonts w:hint="eastAsia" w:ascii="宋体" w:hAnsi="宋体" w:eastAsia="宋体" w:cs="宋体"/>
          <w:color w:val="auto"/>
          <w:highlight w:val="none"/>
        </w:rPr>
        <w:t xml:space="preserve">。</w:t>
      </w:r>
      <w:r/>
    </w:p>
    <w:p>
      <w:pPr>
        <w:ind w:firstLine="420"/>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w:t>
      </w:r>
      <w:r>
        <w:rPr>
          <w:rFonts w:hint="eastAsia" w:ascii="宋体" w:hAnsi="宋体" w:eastAsia="宋体" w:cs="宋体"/>
          <w:b/>
          <w:bCs/>
          <w:color w:val="auto"/>
          <w:highlight w:val="none"/>
          <w:u w:val="single"/>
        </w:rPr>
        <w:t xml:space="preserve">不接受</w:t>
      </w:r>
      <w:r>
        <w:rPr>
          <w:rFonts w:hint="eastAsia" w:ascii="宋体" w:hAnsi="宋体" w:eastAsia="宋体" w:cs="宋体"/>
          <w:color w:val="auto"/>
          <w:highlight w:val="none"/>
        </w:rPr>
        <w:t xml:space="preserve">联合体投标。</w:t>
      </w:r>
      <w:r/>
    </w:p>
    <w:p>
      <w:pPr>
        <w:ind w:firstLine="422"/>
        <w:jc w:val="left"/>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r/>
    </w:p>
    <w:p>
      <w:pPr>
        <w:ind w:firstLine="482"/>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《中华人民共和国政府采购法》规定的条件（提供由法人签字并盖单位公章的《南京市政府采购</w:t>
      </w:r>
      <w:r>
        <w:rPr>
          <w:rFonts w:hint="eastAsia" w:ascii="宋体" w:hAnsi="宋体" w:eastAsia="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信用记录表暨信用承诺书》）:</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（5）参加政府采购活动前三年内，在经营活动中没有重大违法记录；</w:t>
      </w:r>
      <w:r/>
    </w:p>
    <w:p>
      <w:pPr>
        <w:ind w:firstLine="420"/>
        <w:keepLines w:val="0"/>
        <w:keepNext w:val="0"/>
        <w:pageBreakBefore w:val="0"/>
        <w:spacing w:line="36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color w:val="auto"/>
          <w:highlight w:val="none"/>
        </w:rPr>
        <w:t xml:space="preserve">（6）法律、行政法规规定的其他条件。</w:t>
      </w:r>
      <w:r/>
    </w:p>
    <w:p>
      <w:pPr>
        <w:ind w:firstLine="482"/>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落实政府采购政策需满足的资格要求：</w:t>
      </w:r>
      <w:r/>
    </w:p>
    <w:p>
      <w:pPr>
        <w:ind w:firstLine="420"/>
        <w:keepLines w:val="0"/>
        <w:keepNext w:val="0"/>
        <w:pageBreakBefore w:val="0"/>
        <w:spacing w:line="36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如属于专门面向中小企业采购的项目，</w:t>
      </w: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应为中小微企业、监狱企业、残疾人福利性单位</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中小微企业按采购文件要求提供《中小企业申明函》原件</w:t>
      </w:r>
      <w:r>
        <w:rPr>
          <w:rFonts w:hint="eastAsia" w:ascii="宋体" w:hAnsi="宋体" w:eastAsia="宋体" w:cs="宋体"/>
          <w:b w:val="0"/>
          <w:bCs w:val="0"/>
          <w:color w:val="auto"/>
          <w:sz w:val="21"/>
          <w:szCs w:val="21"/>
          <w:highlight w:val="none"/>
          <w:lang w:eastAsia="zh-CN"/>
        </w:rPr>
        <w:t xml:space="preserve">）</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本项目按照采用以下第</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种方式落实政府采购促进中小企业发展的要求：</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（1）本项目整体专门面向中小企业采购服务。</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（2）本项目整体专门面向小微企业采购服务。</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（3）本项目通过以下第种方式预留部分采购份额采购中小企业服务：</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①本项目要求</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以联合体形式参加，企业合同金额应当达到的比例为%。</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②本项目要求</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进行合同分包，企业合同金额应当达到的比例为%。</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（4）本项目为非预留份额的采购项目或采购包，执行价格扣除优惠政策，具体详见采购文件。</w:t>
      </w:r>
      <w:r/>
    </w:p>
    <w:p>
      <w:pPr>
        <w:ind w:firstLine="482"/>
        <w:jc w:val="left"/>
        <w:keepLines w:val="0"/>
        <w:keepNext w:val="0"/>
        <w:pageBreakBefore w:val="0"/>
        <w:spacing w:line="36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采购人根据采购项目的特殊要求规定的特定条件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并提供相关证明文件：</w:t>
      </w:r>
      <w:r>
        <w:rPr>
          <w:rFonts w:hint="eastAsia" w:ascii="宋体" w:hAnsi="宋体" w:eastAsia="宋体" w:cs="宋体"/>
          <w:b/>
          <w:bCs/>
          <w:color w:val="auto"/>
          <w:sz w:val="24"/>
          <w:highlight w:val="none"/>
          <w:lang w:val="en-US" w:eastAsia="zh-CN"/>
        </w:rPr>
        <w:t xml:space="preserve">无。</w:t>
      </w:r>
      <w:r/>
    </w:p>
    <w:p>
      <w:pPr>
        <w:ind w:firstLine="422"/>
        <w:jc w:val="left"/>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20"/>
        <w:keepLines w:val="0"/>
        <w:keepNext w:val="0"/>
        <w:pageBreakBefore w:val="0"/>
        <w:spacing w:line="36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时间：自招标文件公告发布之日起5个工作日</w:t>
      </w:r>
      <w:r/>
    </w:p>
    <w:p>
      <w:pPr>
        <w:ind w:firstLine="420"/>
        <w:keepLines w:val="0"/>
        <w:keepNext w:val="0"/>
        <w:pageBreakBefore w:val="0"/>
        <w:spacing w:line="36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地点：</w:t>
      </w:r>
      <w:r>
        <w:rPr>
          <w:rFonts w:hint="eastAsia" w:ascii="宋体" w:hAnsi="宋体" w:eastAsia="宋体" w:cs="宋体"/>
          <w:color w:val="auto"/>
          <w:highlight w:val="none"/>
          <w:lang w:val="en-US" w:eastAsia="zh-CN"/>
        </w:rPr>
        <w:t xml:space="preserve">江苏政府采购网</w:t>
      </w:r>
      <w:r/>
    </w:p>
    <w:p>
      <w:pPr>
        <w:ind w:firstLine="420"/>
        <w:keepLines w:val="0"/>
        <w:keepNext w:val="0"/>
        <w:pageBreakBefore w:val="0"/>
        <w:spacing w:line="36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售价：</w:t>
      </w:r>
      <w:r>
        <w:rPr>
          <w:rFonts w:hint="eastAsia" w:ascii="宋体" w:hAnsi="宋体" w:eastAsia="宋体" w:cs="宋体"/>
          <w:color w:val="auto"/>
          <w:highlight w:val="none"/>
          <w:lang w:val="en-US" w:eastAsia="zh-CN"/>
        </w:rPr>
        <w:t xml:space="preserve">0.00元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ind w:firstLine="422"/>
        <w:jc w:val="left"/>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20"/>
        <w:keepLines w:val="0"/>
        <w:keepNext w:val="0"/>
        <w:pageBreakBefore w:val="0"/>
        <w:spacing w:line="36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截止时间：</w:t>
      </w:r>
      <w:r>
        <w:rPr>
          <w:rFonts w:hint="eastAsia" w:ascii="宋体" w:hAnsi="宋体" w:eastAsia="宋体" w:cs="宋体"/>
          <w:color w:val="auto"/>
          <w:highlight w:val="none"/>
          <w:lang w:eastAsia="zh-CN"/>
        </w:rPr>
        <w:t xml:space="preserve">2026年</w:t>
      </w:r>
      <w:r>
        <w:rPr>
          <w:rFonts w:hint="eastAsia" w:ascii="宋体" w:hAnsi="宋体" w:cs="宋体"/>
          <w:color w:val="auto"/>
          <w:highlight w:val="none"/>
          <w:lang w:val="en-US" w:eastAsia="zh-CN"/>
        </w:rPr>
        <w:t xml:space="preserve">08</w:t>
      </w:r>
      <w:r>
        <w:rPr>
          <w:rFonts w:hint="eastAsia" w:ascii="宋体" w:hAnsi="宋体" w:eastAsia="宋体" w:cs="宋体"/>
          <w:color w:val="auto"/>
          <w:highlight w:val="none"/>
          <w:lang w:eastAsia="zh-CN"/>
        </w:rPr>
        <w:t xml:space="preserve">月</w:t>
      </w:r>
      <w:r>
        <w:rPr>
          <w:rFonts w:hint="eastAsia" w:ascii="宋体" w:hAnsi="宋体" w:cs="宋体"/>
          <w:color w:val="auto"/>
          <w:highlight w:val="none"/>
          <w:lang w:val="en-US" w:eastAsia="zh-CN"/>
        </w:rPr>
        <w:t xml:space="preserve">18</w:t>
      </w:r>
      <w:r>
        <w:rPr>
          <w:rFonts w:hint="eastAsia" w:ascii="宋体" w:hAnsi="宋体" w:eastAsia="宋体" w:cs="宋体"/>
          <w:color w:val="auto"/>
          <w:highlight w:val="none"/>
          <w:lang w:eastAsia="zh-CN"/>
        </w:rPr>
        <w:t xml:space="preserve">日09点30分</w:t>
      </w:r>
      <w:r>
        <w:rPr>
          <w:rFonts w:hint="eastAsia" w:ascii="宋体" w:hAnsi="宋体" w:eastAsia="宋体" w:cs="宋体"/>
          <w:color w:val="auto"/>
          <w:highlight w:val="none"/>
          <w:lang w:val="en-US" w:eastAsia="zh-CN"/>
        </w:rPr>
        <w:t xml:space="preserve">（北京时间）</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地点：江苏省政府采购交易系统（以下简称“苏采云系统”）网上开标大厅</w:t>
      </w:r>
      <w:r/>
    </w:p>
    <w:p>
      <w:pPr>
        <w:ind w:firstLine="422"/>
        <w:jc w:val="left"/>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ind w:firstLine="420"/>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自本公告发布之日起5个工作日。</w:t>
      </w:r>
      <w:r/>
    </w:p>
    <w:p>
      <w:pPr>
        <w:ind w:firstLine="422"/>
        <w:jc w:val="left"/>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22"/>
        <w:spacing w:line="360" w:lineRule="exac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本次采购采用“政府采购管理交易系统（苏采云）”</w:t>
      </w:r>
      <w:r>
        <w:rPr>
          <w:rFonts w:hint="eastAsia" w:ascii="宋体" w:hAnsi="宋体" w:eastAsia="宋体" w:cs="宋体"/>
          <w:b/>
          <w:bCs/>
          <w:color w:val="auto"/>
          <w:szCs w:val="21"/>
          <w:highlight w:val="none"/>
          <w:lang w:eastAsia="zh-CN"/>
        </w:rPr>
        <w:t xml:space="preserve">：</w:t>
      </w:r>
      <w:r/>
    </w:p>
    <w:p>
      <w:pPr>
        <w:ind w:firstLine="420"/>
        <w:keepLines w:val="0"/>
        <w:keepNext w:val="0"/>
        <w:pageBreakBefore w:val="0"/>
        <w:spacing w:line="36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本次</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lang w:eastAsia="zh-CN"/>
        </w:rPr>
        <w:t xml:space="preserve">全程电子化，开标方式为不见面开标。</w:t>
      </w:r>
      <w:r/>
    </w:p>
    <w:p>
      <w:pPr>
        <w:ind w:firstLine="420"/>
        <w:keepLines w:val="0"/>
        <w:keepNext w:val="0"/>
        <w:pageBreakBefore w:val="0"/>
        <w:spacing w:line="36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投标人通过苏采云系统参与政府采购项目，需要办理江苏省政府采购数字证书及电子签章，具体详见苏采云系统登录页“新CA办理指南”。</w:t>
      </w:r>
      <w:r/>
    </w:p>
    <w:p>
      <w:pPr>
        <w:ind w:firstLine="420"/>
        <w:keepLines w:val="0"/>
        <w:keepNext w:val="0"/>
        <w:pageBreakBefore w:val="0"/>
        <w:spacing w:line="36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投标人按《</w:t>
      </w:r>
      <w:r>
        <w:rPr>
          <w:rFonts w:hint="eastAsia" w:ascii="宋体" w:hAnsi="宋体" w:eastAsia="宋体" w:cs="宋体"/>
          <w:color w:val="auto"/>
          <w:highlight w:val="none"/>
          <w:lang w:val="en-US" w:eastAsia="zh-CN"/>
        </w:rPr>
        <w:t xml:space="preserve">江苏省政府采购管理交易系统（</w:t>
      </w:r>
      <w:r>
        <w:rPr>
          <w:rFonts w:hint="eastAsia" w:ascii="宋体" w:hAnsi="宋体" w:eastAsia="宋体" w:cs="宋体"/>
          <w:color w:val="auto"/>
          <w:highlight w:val="none"/>
          <w:lang w:eastAsia="zh-CN"/>
        </w:rPr>
        <w:t xml:space="preserve">苏采云）投标人操作手册》（以下简称“操作手册”）进行注册，并制作上传电子响应文件。《操作手册》下载地址：</w:t>
      </w:r>
      <w:r>
        <w:rPr>
          <w:rFonts w:hint="eastAsia" w:ascii="宋体" w:hAnsi="宋体" w:eastAsia="宋体" w:cs="宋体"/>
          <w:color w:val="auto"/>
          <w:highlight w:val="none"/>
          <w:lang w:eastAsia="zh-CN"/>
        </w:rPr>
        <w:fldChar w:fldCharType="begin"/>
      </w:r>
      <w:r>
        <w:rPr>
          <w:rFonts w:hint="eastAsia" w:ascii="宋体" w:hAnsi="宋体" w:eastAsia="宋体" w:cs="宋体"/>
          <w:color w:val="auto"/>
          <w:highlight w:val="none"/>
          <w:lang w:eastAsia="zh-CN"/>
        </w:rPr>
        <w:instrText xml:space="preserve"> HYPERLINK "http://www.ccgp-jiangsu.gov.cn/jiangsu/zlxz/ee/ee3a4bc5a3454aa2b0d9312230633ce9.html" </w:instrText>
      </w:r>
      <w:r>
        <w:rPr>
          <w:rFonts w:hint="eastAsia" w:ascii="宋体" w:hAnsi="宋体" w:eastAsia="宋体" w:cs="宋体"/>
          <w:color w:val="auto"/>
          <w:highlight w:val="none"/>
          <w:lang w:eastAsia="zh-CN"/>
        </w:rPr>
        <w:fldChar w:fldCharType="separate"/>
      </w:r>
      <w:r>
        <w:rPr>
          <w:rFonts w:hint="eastAsia" w:ascii="宋体" w:hAnsi="宋体" w:eastAsia="宋体" w:cs="宋体"/>
          <w:color w:val="auto"/>
          <w:highlight w:val="none"/>
          <w:lang w:eastAsia="zh-CN"/>
        </w:rPr>
        <w:t xml:space="preserve">http://www.ccgp-jiangsu.gov.cn/jiangsu/zlxz/ee/ee3a4bc5a3454aa2b0d9312230633ce9.html</w:t>
      </w:r>
      <w:r>
        <w:rPr>
          <w:rFonts w:hint="eastAsia" w:ascii="宋体" w:hAnsi="宋体" w:eastAsia="宋体" w:cs="宋体"/>
          <w:color w:val="auto"/>
          <w:highlight w:val="none"/>
          <w:lang w:eastAsia="zh-CN"/>
        </w:rPr>
        <w:fldChar w:fldCharType="end"/>
      </w:r>
      <w:r/>
    </w:p>
    <w:p>
      <w:pPr>
        <w:ind w:firstLine="420"/>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highlight w:val="none"/>
          <w:lang w:eastAsia="zh-CN"/>
        </w:rPr>
        <w:t xml:space="preserve">（“苏采云”南京地区客服热线025-83633744、025-83633743。）</w:t>
      </w:r>
      <w:r/>
    </w:p>
    <w:p>
      <w:pPr>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2、政府采购信用承诺：</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w:t>
      </w:r>
      <w:r>
        <w:rPr>
          <w:rFonts w:hint="eastAsia" w:ascii="宋体" w:hAnsi="宋体" w:eastAsia="宋体" w:cs="宋体"/>
          <w:color w:val="auto"/>
          <w:szCs w:val="21"/>
          <w:highlight w:val="none"/>
        </w:rPr>
        <w:t xml:space="preserve">根据《关于在政府采购活动中推行信用承诺制的通知》宁财购通〔2021〕5号规定，参加南京地区政府采购活动的</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，应以书面形式向采购人或政府采购代理机构作出信用承诺。</w:t>
      </w:r>
      <w:r>
        <w:rPr>
          <w:rFonts w:hint="eastAsia" w:ascii="宋体" w:hAnsi="宋体" w:eastAsia="宋体" w:cs="宋体"/>
          <w:color w:val="auto"/>
          <w:szCs w:val="21"/>
          <w:highlight w:val="none"/>
          <w:lang w:eastAsia="zh-CN"/>
        </w:rPr>
        <w:t xml:space="preserve">投标人</w:t>
      </w:r>
      <w:r>
        <w:rPr>
          <w:rFonts w:hint="eastAsia" w:ascii="宋体" w:hAnsi="宋体" w:eastAsia="宋体" w:cs="宋体"/>
          <w:b/>
          <w:bCs/>
          <w:color w:val="auto"/>
          <w:szCs w:val="21"/>
          <w:highlight w:val="none"/>
        </w:rPr>
        <w:t xml:space="preserve">每次参加政府采购活动投标（响应）截至日前，</w:t>
      </w:r>
      <w:r>
        <w:rPr>
          <w:rFonts w:hint="eastAsia" w:ascii="宋体" w:hAnsi="宋体" w:eastAsia="宋体" w:cs="宋体"/>
          <w:color w:val="auto"/>
          <w:szCs w:val="21"/>
          <w:highlight w:val="none"/>
        </w:rPr>
        <w:t xml:space="preserve">应尽早做好承诺工作，点击‘南京公共采购信息网’首页‘南京市政府采购</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诚信档案’系统链接打开系统页面登录（未注册的</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应先点击‘</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注册点这里’并按要求完成注册），然后在“信用记录”模块页面点击“信用记录打印”下载本单位《南京市政府采购</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信用记录表暨信用承诺书》，由法</w:t>
      </w:r>
      <w:r>
        <w:rPr>
          <w:rFonts w:hint="eastAsia" w:ascii="宋体" w:hAnsi="宋体" w:eastAsia="宋体" w:cs="宋体"/>
          <w:color w:val="auto"/>
          <w:szCs w:val="21"/>
          <w:highlight w:val="none"/>
          <w:lang w:val="en-US" w:eastAsia="zh-CN"/>
        </w:rPr>
        <w:t xml:space="preserve">定代表人</w:t>
      </w:r>
      <w:r>
        <w:rPr>
          <w:rFonts w:hint="eastAsia" w:ascii="宋体" w:hAnsi="宋体" w:eastAsia="宋体" w:cs="宋体"/>
          <w:color w:val="auto"/>
          <w:szCs w:val="21"/>
          <w:highlight w:val="none"/>
        </w:rPr>
        <w:t xml:space="preserve">签字并盖单位公章，随响应文件一并递交。</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在政府采购资格审查环节，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只需提供书面《南京市政府采购</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信用记录表暨信用承诺书》，即可替代以下证明材料： </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（1）参加本次政府采购活动前的会计报表，成立不满一年的无需提供。 </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（2）参加本次政府采购活动前半年内至少一个月依法缴纳税收和社会保障资金的相关资料，提供相关主管部门证明或银行代扣证明，根据国家相关政策免缴或迟缴的需提供相关证明材料。</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（3）具备履行政府采购合同所必需的设备和专业技术能力的书面声明，格式见采购文件附件。 </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（4）参加政府采购活动前三年内在经营活动中没有重大违法记录的书面声明，格式见采购文件附件。 </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（5）未被列入失信被执行人、重大税收违法失信主体、政府采购严重违法失信行为记录名单的证明材料。</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在中标（成交）后，应按采购文件要求，将上述由信用承诺书替代的证明材料提交采购人或采购代理机构核验。经核验无误后，由采购人或采购代理机构发出中标（成交）通知书。 </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2.4</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涉及以下情形的，不适用信用承诺： </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被列入严重失信主体名单； </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（2）被相关监管部门作出行政处罚且尚在处罚有效期内； </w:t>
      </w:r>
      <w:r/>
    </w:p>
    <w:p>
      <w:pPr>
        <w:ind w:firstLine="42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（3）其他法律、行政法规规定的不适用信用承诺的情形。 </w:t>
      </w:r>
      <w:r/>
    </w:p>
    <w:p>
      <w:pPr>
        <w:ind w:firstLine="420"/>
        <w:spacing w:line="360" w:lineRule="exact"/>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对信用承诺内容的真实性、合法性、有效性负责。如作出虚假信用承诺，视同为“提供虚假材料谋取中标、成交”的违法行为。</w:t>
      </w:r>
      <w:r/>
    </w:p>
    <w:p>
      <w:pPr>
        <w:ind w:firstLine="422"/>
        <w:jc w:val="left"/>
        <w:spacing w:line="36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拒绝下述</w:t>
      </w:r>
      <w:r>
        <w:rPr>
          <w:rFonts w:hint="eastAsia" w:ascii="宋体" w:hAnsi="宋体" w:eastAsia="宋体" w:cs="宋体"/>
          <w:b/>
          <w:bCs/>
          <w:color w:val="auto"/>
          <w:highlight w:val="none"/>
          <w:lang w:eastAsia="zh-CN"/>
        </w:rPr>
        <w:t xml:space="preserve">投标人</w:t>
      </w:r>
      <w:r>
        <w:rPr>
          <w:rFonts w:hint="eastAsia" w:ascii="宋体" w:hAnsi="宋体" w:eastAsia="宋体" w:cs="宋体"/>
          <w:b/>
          <w:bCs/>
          <w:color w:val="auto"/>
          <w:highlight w:val="none"/>
        </w:rPr>
        <w:t xml:space="preserve">参加本次采购活动</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单位负责人为同一人或者存在直接控股、管理关系的不同</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，不得参加同一合同项下的政府采购活动。</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（2）除单一来源采购项目外，为采购项目提供整体设计、规范编制或者项目管理、监理、检测等服务的</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，不得再参加该采购项目的其他采购活动。</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被“信用中国”网站、“中国政府采购网”列入失信被执行人、重大税收违法案件当事人名单、政府采购严重违法失信行为记录名单。</w:t>
      </w:r>
      <w:r/>
    </w:p>
    <w:p>
      <w:pPr>
        <w:ind w:firstLine="422"/>
        <w:jc w:val="left"/>
        <w:spacing w:line="360" w:lineRule="exact"/>
        <w:rPr>
          <w:rFonts w:hint="eastAsia" w:ascii="宋体" w:hAnsi="宋体" w:eastAsia="宋体" w:cs="宋体"/>
          <w:b/>
          <w:bCs w:val="0"/>
          <w:color w:val="auto"/>
          <w:highlight w:val="none"/>
        </w:rPr>
      </w:pPr>
      <w:r>
        <w:rPr>
          <w:rFonts w:hint="eastAsia" w:ascii="宋体" w:hAnsi="宋体" w:eastAsia="宋体" w:cs="宋体"/>
          <w:b/>
          <w:bCs w:val="0"/>
          <w:color w:val="auto"/>
          <w:szCs w:val="21"/>
          <w:highlight w:val="none"/>
          <w:lang w:val="en-US" w:eastAsia="zh-CN"/>
        </w:rPr>
        <w:t xml:space="preserve">4、</w:t>
      </w:r>
      <w:r>
        <w:rPr>
          <w:rFonts w:hint="eastAsia" w:ascii="宋体" w:hAnsi="宋体" w:eastAsia="宋体" w:cs="宋体"/>
          <w:b/>
          <w:bCs w:val="0"/>
          <w:color w:val="auto"/>
          <w:highlight w:val="none"/>
        </w:rPr>
        <w:t xml:space="preserve">现场考察：</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采购人不组织，</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可自行踏勘。请务必对项目现场和周围环境进行仔细认真地查勘，在随后的采购中，对现场资料和数据所作出的推论、解释和结论及由此造成的后果由</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负责。</w:t>
      </w:r>
      <w:r/>
    </w:p>
    <w:p>
      <w:pPr>
        <w:ind w:firstLine="420"/>
        <w:jc w:val="left"/>
        <w:rPr>
          <w:rFonts w:hint="eastAsia" w:ascii="宋体" w:hAnsi="宋体" w:eastAsia="宋体" w:cs="宋体"/>
          <w:color w:val="auto"/>
          <w:highlight w:val="none"/>
        </w:rPr>
      </w:pP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有关本次</w:t>
      </w:r>
      <w:r>
        <w:rPr>
          <w:rFonts w:hint="eastAsia" w:ascii="宋体" w:hAnsi="宋体" w:eastAsia="宋体" w:cs="宋体"/>
          <w:bCs/>
          <w:color w:val="auto"/>
          <w:highlight w:val="none"/>
          <w:lang w:eastAsia="zh-CN"/>
        </w:rPr>
        <w:t xml:space="preserve">采购</w:t>
      </w:r>
      <w:r>
        <w:rPr>
          <w:rFonts w:hint="eastAsia" w:ascii="宋体" w:hAnsi="宋体" w:eastAsia="宋体" w:cs="宋体"/>
          <w:bCs/>
          <w:color w:val="auto"/>
          <w:highlight w:val="none"/>
        </w:rPr>
        <w:t xml:space="preserve">的事项若存在变动或修改，敬请及时关注</w:t>
      </w:r>
      <w:r>
        <w:rPr>
          <w:rFonts w:hint="eastAsia" w:ascii="宋体" w:hAnsi="宋体" w:eastAsia="宋体" w:cs="宋体"/>
          <w:bCs/>
          <w:color w:val="auto"/>
          <w:szCs w:val="21"/>
          <w:highlight w:val="none"/>
        </w:rPr>
        <w:t xml:space="preserve">“江苏政府采购网”</w:t>
      </w:r>
      <w:r>
        <w:rPr>
          <w:rFonts w:hint="eastAsia" w:ascii="宋体" w:hAnsi="宋体" w:eastAsia="宋体" w:cs="宋体"/>
          <w:bCs/>
          <w:color w:val="auto"/>
          <w:highlight w:val="none"/>
        </w:rPr>
        <w:t xml:space="preserve">发布的信息更正公告。 </w:t>
      </w:r>
      <w:r/>
    </w:p>
    <w:p>
      <w:pPr>
        <w:ind w:firstLine="422"/>
        <w:jc w:val="left"/>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 </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1.采购人信息</w:t>
      </w:r>
      <w:r/>
    </w:p>
    <w:p>
      <w:pPr>
        <w:ind w:firstLine="420"/>
        <w:jc w:val="left"/>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单位名称：</w:t>
      </w:r>
      <w:r>
        <w:rPr>
          <w:rFonts w:hint="eastAsia" w:ascii="宋体" w:hAnsi="宋体" w:eastAsia="宋体" w:cs="宋体"/>
          <w:color w:val="auto"/>
          <w:highlight w:val="none"/>
          <w:lang w:eastAsia="zh-CN"/>
        </w:rPr>
        <w:t xml:space="preserve">南京市公安局江宁分局</w:t>
      </w:r>
      <w:r/>
    </w:p>
    <w:p>
      <w:pPr>
        <w:ind w:firstLine="420"/>
        <w:jc w:val="left"/>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采购单位地址：</w:t>
      </w:r>
      <w:r>
        <w:rPr>
          <w:rFonts w:hint="eastAsia" w:ascii="宋体" w:hAnsi="宋体" w:eastAsia="宋体" w:cs="宋体"/>
          <w:color w:val="auto"/>
          <w:highlight w:val="none"/>
          <w:lang w:eastAsia="zh-CN"/>
        </w:rPr>
        <w:t xml:space="preserve">南京市江宁区</w:t>
      </w:r>
      <w:r/>
    </w:p>
    <w:p>
      <w:pPr>
        <w:ind w:firstLine="420"/>
        <w:jc w:val="left"/>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eastAsia="zh-CN"/>
        </w:rPr>
        <w:t xml:space="preserve">025-84951247</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2.采购代理机构信息</w:t>
      </w:r>
      <w:r/>
    </w:p>
    <w:p>
      <w:pPr>
        <w:ind w:firstLine="420"/>
        <w:jc w:val="left"/>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采购代理机构：</w:t>
      </w:r>
      <w:r>
        <w:rPr>
          <w:rFonts w:hint="eastAsia" w:ascii="宋体" w:hAnsi="宋体" w:eastAsia="宋体" w:cs="宋体"/>
          <w:color w:val="auto"/>
          <w:highlight w:val="none"/>
          <w:lang w:eastAsia="zh-CN"/>
        </w:rPr>
        <w:t xml:space="preserve">南京陵新项目管理有限公司</w:t>
      </w:r>
      <w:r/>
    </w:p>
    <w:p>
      <w:pPr>
        <w:ind w:firstLine="420"/>
        <w:jc w:val="left"/>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lang w:eastAsia="zh-CN"/>
        </w:rPr>
        <w:t xml:space="preserve">南京市江宁区龙眠大道568号MAX科技园9幢B座</w:t>
      </w:r>
      <w:r/>
    </w:p>
    <w:p>
      <w:pPr>
        <w:ind w:firstLine="420"/>
        <w:jc w:val="left"/>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eastAsia="zh-CN"/>
        </w:rPr>
        <w:t xml:space="preserve">17327715917</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3.项目联系方式</w:t>
      </w:r>
      <w:r/>
    </w:p>
    <w:p>
      <w:pPr>
        <w:ind w:firstLine="420"/>
        <w:jc w:val="left"/>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lang w:eastAsia="zh-CN"/>
        </w:rPr>
        <w:t xml:space="preserve">艾知恩</w:t>
      </w:r>
      <w:r/>
    </w:p>
    <w:p>
      <w:pPr>
        <w:ind w:firstLine="420"/>
        <w:jc w:val="both"/>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eastAsia="zh-CN"/>
        </w:rPr>
        <w:t xml:space="preserve">17327715917</w:t>
      </w:r>
      <w:r/>
    </w:p>
    <w:p>
      <w:pPr>
        <w:jc w:val="center"/>
        <w:keepLines w:val="0"/>
        <w:keepNext w:val="0"/>
        <w:pageBreakBefore w:val="0"/>
        <w:spacing w:line="360" w:lineRule="exact"/>
        <w:widowControl w:val="off"/>
        <w:rPr>
          <w:rFonts w:hint="eastAsia" w:ascii="宋体" w:hAnsi="宋体" w:eastAsia="宋体" w:cs="宋体"/>
          <w:color w:val="auto"/>
          <w:sz w:val="36"/>
          <w:szCs w:val="36"/>
          <w:highlight w:val="none"/>
          <w:lang w:val="zh-CN"/>
        </w:rPr>
        <w:outlineLvl w:val="0"/>
      </w:pPr>
      <w:r>
        <w:rPr>
          <w:rFonts w:hint="eastAsia" w:ascii="宋体" w:hAnsi="宋体" w:eastAsia="宋体" w:cs="宋体"/>
          <w:b/>
          <w:color w:val="auto"/>
          <w:highlight w:val="none"/>
          <w:lang w:val="zh-CN"/>
        </w:rPr>
        <w:br w:type="page" w:clear="all"/>
      </w:r>
      <w:bookmarkStart w:id="32" w:name="_Toc9569"/>
      <w:r/>
      <w:bookmarkStart w:id="33" w:name="_Toc7921"/>
      <w:r/>
      <w:bookmarkStart w:id="34" w:name="_Toc11534"/>
      <w:r/>
      <w:bookmarkStart w:id="35" w:name="_Toc27836"/>
      <w:r/>
      <w:bookmarkStart w:id="36" w:name="_Toc6141"/>
      <w:r/>
      <w:bookmarkStart w:id="37" w:name="_Toc22872"/>
      <w:r/>
      <w:bookmarkStart w:id="38" w:name="_Toc20699"/>
      <w:r/>
      <w:bookmarkStart w:id="39" w:name="_Toc6889"/>
      <w:r/>
      <w:bookmarkStart w:id="40" w:name="_Toc1855"/>
      <w:r/>
      <w:bookmarkStart w:id="41" w:name="_Toc3037"/>
      <w:r/>
      <w:bookmarkStart w:id="42" w:name="_Toc28386"/>
      <w:r/>
      <w:bookmarkStart w:id="43" w:name="_Toc28322"/>
      <w:r/>
      <w:bookmarkStart w:id="44" w:name="_Toc473"/>
      <w:r/>
      <w:bookmarkStart w:id="45" w:name="_Toc16849"/>
      <w:r/>
      <w:bookmarkStart w:id="46" w:name="_Toc19714"/>
      <w:r/>
      <w:bookmarkStart w:id="47" w:name="_Toc24110"/>
      <w:r/>
      <w:bookmarkStart w:id="48" w:name="_Toc27827"/>
      <w:r/>
      <w:bookmarkStart w:id="49" w:name="_Toc12162"/>
      <w:r/>
      <w:bookmarkStart w:id="50" w:name="_Toc11944"/>
      <w:r/>
      <w:bookmarkStart w:id="51" w:name="_Toc22607"/>
      <w:r/>
      <w:bookmarkStart w:id="52" w:name="_Toc4108"/>
      <w:r/>
      <w:bookmarkStart w:id="53" w:name="_Toc13126"/>
      <w:r/>
      <w:bookmarkStart w:id="54" w:name="_Toc29963"/>
      <w:r/>
      <w:bookmarkStart w:id="55" w:name="_Toc18283"/>
      <w:r/>
      <w:bookmarkStart w:id="56" w:name="_Toc17692"/>
      <w:r/>
      <w:bookmarkStart w:id="57" w:name="_Toc14038"/>
      <w:r/>
      <w:bookmarkStart w:id="58" w:name="_Toc2628"/>
      <w:r/>
      <w:bookmarkStart w:id="59" w:name="_Toc22025"/>
      <w:r/>
      <w:bookmarkStart w:id="60" w:name="_Toc16689"/>
      <w:r/>
      <w:bookmarkStart w:id="61" w:name="_Toc116284541"/>
      <w:r/>
      <w:bookmarkStart w:id="62" w:name="_Toc16271"/>
      <w:r/>
      <w:bookmarkStart w:id="63" w:name="_Toc21822"/>
      <w:r>
        <w:rPr>
          <w:rFonts w:hint="eastAsia" w:ascii="宋体" w:hAnsi="宋体" w:eastAsia="宋体" w:cs="宋体"/>
          <w:b/>
          <w:color w:val="auto"/>
          <w:sz w:val="36"/>
          <w:szCs w:val="36"/>
          <w:highlight w:val="none"/>
          <w:lang w:val="zh-CN"/>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
    </w:p>
    <w:p>
      <w:pPr>
        <w:ind w:firstLine="422"/>
        <w:jc w:val="left"/>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ind w:firstLine="422"/>
        <w:jc w:val="left"/>
        <w:spacing w:line="360" w:lineRule="auto"/>
        <w:rPr>
          <w:rFonts w:hint="eastAsia" w:ascii="宋体" w:hAnsi="宋体" w:eastAsia="宋体" w:cs="宋体"/>
          <w:color w:val="auto"/>
          <w:sz w:val="30"/>
          <w:szCs w:val="30"/>
          <w:highlight w:val="none"/>
        </w:rPr>
      </w:pPr>
      <w:r>
        <w:rPr>
          <w:rFonts w:hint="eastAsia" w:ascii="宋体" w:hAnsi="宋体" w:eastAsia="宋体" w:cs="宋体"/>
          <w:b/>
          <w:bCs/>
          <w:color w:val="auto"/>
          <w:szCs w:val="21"/>
          <w:highlight w:val="none"/>
          <w:lang w:eastAsia="zh-CN"/>
        </w:rPr>
        <w:t xml:space="preserve">南京陵新项目管理有限公司</w:t>
      </w:r>
      <w:r>
        <w:rPr>
          <w:rFonts w:hint="eastAsia" w:ascii="宋体" w:hAnsi="宋体" w:eastAsia="宋体" w:cs="宋体"/>
          <w:color w:val="auto"/>
          <w:szCs w:val="21"/>
          <w:highlight w:val="none"/>
        </w:rPr>
        <w:t xml:space="preserve"> 受 </w:t>
      </w:r>
      <w:r>
        <w:rPr>
          <w:rFonts w:hint="eastAsia" w:ascii="宋体" w:hAnsi="宋体" w:eastAsia="宋体" w:cs="宋体"/>
          <w:b/>
          <w:bCs/>
          <w:color w:val="auto"/>
          <w:szCs w:val="21"/>
          <w:highlight w:val="none"/>
          <w:lang w:eastAsia="zh-CN"/>
        </w:rPr>
        <w:t xml:space="preserve">南京市公安局江宁分局</w:t>
      </w:r>
      <w:r>
        <w:rPr>
          <w:rFonts w:hint="eastAsia" w:ascii="宋体" w:hAnsi="宋体" w:eastAsia="宋体" w:cs="宋体"/>
          <w:color w:val="auto"/>
          <w:szCs w:val="21"/>
          <w:highlight w:val="none"/>
        </w:rPr>
        <w:t xml:space="preserve">（采购人）委托，对其</w:t>
      </w:r>
      <w:r>
        <w:rPr>
          <w:rFonts w:hint="eastAsia" w:ascii="宋体" w:hAnsi="宋体" w:cs="宋体"/>
          <w:b/>
          <w:bCs/>
          <w:color w:val="auto"/>
          <w:szCs w:val="21"/>
          <w:highlight w:val="none"/>
          <w:lang w:eastAsia="zh-CN"/>
        </w:rPr>
        <w:t xml:space="preserve">南京市公安局江宁分局交警大队采购道路漆划线及交通设施维护服务</w:t>
      </w:r>
      <w:r>
        <w:rPr>
          <w:rFonts w:hint="eastAsia" w:ascii="宋体" w:hAnsi="宋体" w:eastAsia="宋体" w:cs="宋体"/>
          <w:color w:val="auto"/>
          <w:szCs w:val="21"/>
          <w:highlight w:val="none"/>
        </w:rPr>
        <w:t xml:space="preserve">（项目名称）进行公开招标，兹邀请符合条件的</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参与投标，相关信息如下：</w:t>
      </w:r>
      <w:r/>
    </w:p>
    <w:tbl>
      <w:tblPr>
        <w:tblStyle w:val="799"/>
        <w:tblW w:w="8638"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900"/>
        <w:gridCol w:w="1080"/>
        <w:gridCol w:w="1620"/>
        <w:gridCol w:w="3974"/>
      </w:tblGrid>
      <w:tr>
        <w:trPr>
          <w:trHeight w:val="310"/>
        </w:trPr>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内         容</w:t>
            </w:r>
            <w:r/>
          </w:p>
        </w:tc>
      </w:tr>
      <w:tr>
        <w:trPr>
          <w:trHeight w:val="250"/>
        </w:trPr>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JSZC-320115-NJLX-G2026-0006</w:t>
            </w:r>
            <w:r/>
          </w:p>
        </w:tc>
      </w:tr>
      <w:tr>
        <w:trPr>
          <w:trHeight w:val="340"/>
        </w:trPr>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南京市公安局江宁分局交警大队采购道路漆划线及交通设施维护服务</w:t>
            </w:r>
            <w:r/>
          </w:p>
        </w:tc>
      </w:tr>
      <w:tr>
        <w:trPr>
          <w:trHeight w:val="350"/>
        </w:trPr>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南京陵新项目管理有限公司</w:t>
            </w:r>
            <w:r/>
          </w:p>
        </w:tc>
      </w:tr>
      <w:tr>
        <w:trPr>
          <w:trHeight w:val="337"/>
        </w:trPr>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南京市江宁区龙眠大道568号MAX科技园9幢B座</w:t>
            </w:r>
            <w:r/>
          </w:p>
        </w:tc>
      </w:tr>
      <w:tr>
        <w:trPr>
          <w:trHeight w:val="90"/>
        </w:trPr>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项目预算及</w:t>
            </w:r>
            <w:r/>
          </w:p>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服务期限</w:t>
            </w:r>
            <w:r/>
          </w:p>
        </w:tc>
        <w:tc>
          <w:tcPr>
            <w:gridSpan w:val="2"/>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jc w:val="left"/>
              <w:keepLines w:val="0"/>
              <w:keepNext w:val="0"/>
              <w:pageBreakBefore w:val="0"/>
              <w:spacing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预算金额：</w:t>
            </w:r>
            <w:r>
              <w:rPr>
                <w:rFonts w:hint="eastAsia" w:ascii="宋体" w:hAnsi="宋体" w:eastAsia="宋体" w:cs="宋体"/>
                <w:color w:val="auto"/>
                <w:highlight w:val="none"/>
                <w:lang w:val="en-US" w:eastAsia="zh-CN"/>
              </w:rPr>
              <w:t xml:space="preserve">185</w:t>
            </w:r>
            <w:r>
              <w:rPr>
                <w:rFonts w:hint="eastAsia" w:ascii="宋体" w:hAnsi="宋体" w:eastAsia="宋体" w:cs="宋体"/>
                <w:color w:val="auto"/>
                <w:highlight w:val="none"/>
                <w:lang w:eastAsia="zh-CN"/>
              </w:rPr>
              <w:t xml:space="preserve">万元</w:t>
            </w:r>
            <w:r>
              <w:rPr>
                <w:rFonts w:hint="eastAsia" w:ascii="宋体" w:hAnsi="宋体" w:eastAsia="宋体" w:cs="宋体"/>
                <w:color w:val="auto"/>
                <w:highlight w:val="none"/>
              </w:rPr>
              <w:t xml:space="preserve"> </w:t>
            </w:r>
            <w:r/>
          </w:p>
          <w:p>
            <w:pP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服务期限：</w:t>
            </w: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w:t>
            </w:r>
            <w:r/>
          </w:p>
        </w:tc>
      </w:tr>
      <w:tr>
        <w:trPr>
          <w:trHeight w:val="318"/>
        </w:trPr>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投标有效期</w:t>
            </w:r>
            <w:r/>
          </w:p>
        </w:tc>
        <w:tc>
          <w:tcPr>
            <w:gridSpan w:val="2"/>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jc w:val="left"/>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投标截止</w:t>
            </w:r>
            <w:r>
              <w:rPr>
                <w:rFonts w:hint="eastAsia" w:ascii="宋体" w:hAnsi="宋体" w:eastAsia="宋体" w:cs="宋体"/>
                <w:color w:val="auto"/>
                <w:szCs w:val="21"/>
                <w:highlight w:val="none"/>
                <w:lang w:val="zh-CN"/>
              </w:rPr>
              <w:t xml:space="preserve">之日起</w:t>
            </w:r>
            <w:r>
              <w:rPr>
                <w:rFonts w:hint="eastAsia" w:ascii="宋体" w:hAnsi="宋体" w:eastAsia="宋体" w:cs="宋体"/>
                <w:color w:val="auto"/>
                <w:szCs w:val="21"/>
                <w:highlight w:val="none"/>
              </w:rPr>
              <w:t xml:space="preserve">90</w:t>
            </w:r>
            <w:r>
              <w:rPr>
                <w:rFonts w:hint="eastAsia" w:ascii="宋体" w:hAnsi="宋体" w:eastAsia="宋体" w:cs="宋体"/>
                <w:color w:val="auto"/>
                <w:szCs w:val="21"/>
                <w:highlight w:val="none"/>
                <w:lang w:val="zh-CN"/>
              </w:rPr>
              <w:t xml:space="preserve">天</w:t>
            </w:r>
            <w:r/>
          </w:p>
        </w:tc>
      </w:tr>
      <w:tr>
        <w:trPr>
          <w:trHeight w:val="159"/>
        </w:trPr>
        <w:tc>
          <w:tcPr>
            <w:tcBorders>
              <w:top w:val="single" w:color="auto" w:sz="4" w:space="0"/>
              <w:left w:val="single" w:color="auto" w:sz="4" w:space="0"/>
              <w:bottom w:val="single" w:color="auto" w:sz="4" w:space="0"/>
              <w:right w:val="single" w:color="auto" w:sz="4" w:space="0"/>
            </w:tcBorders>
            <w:tcW w:w="1064" w:type="dxa"/>
            <w:vAlign w:val="center"/>
            <w:vMerge w:val="restart"/>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w:t>
            </w:r>
            <w:r/>
          </w:p>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报名</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r/>
          </w:p>
        </w:tc>
        <w:tc>
          <w:tcPr>
            <w:gridSpan w:val="2"/>
            <w:shd w:val="clear" w:color="auto" w:fill="auto"/>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keepLines w:val="0"/>
              <w:keepNext w:val="0"/>
              <w:pageBreakBefore w:val="0"/>
              <w:spacing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eastAsia="zh-CN"/>
              </w:rPr>
              <w:t xml:space="preserve">自本公告发布之日起</w:t>
            </w:r>
            <w:r>
              <w:rPr>
                <w:rFonts w:hint="eastAsia" w:ascii="宋体" w:hAnsi="宋体" w:eastAsia="宋体" w:cs="宋体"/>
                <w:color w:val="auto"/>
                <w:szCs w:val="21"/>
                <w:highlight w:val="none"/>
                <w:lang w:val="en-US" w:eastAsia="zh-CN"/>
              </w:rPr>
              <w:t xml:space="preserve">5个工作日</w:t>
            </w:r>
            <w:r/>
          </w:p>
        </w:tc>
      </w:tr>
      <w:tr>
        <w:trPr>
          <w:trHeight w:val="378"/>
        </w:trPr>
        <w:tc>
          <w:tcPr>
            <w:tcBorders>
              <w:top w:val="single" w:color="auto" w:sz="4" w:space="0"/>
              <w:left w:val="single" w:color="auto" w:sz="4" w:space="0"/>
              <w:bottom w:val="single" w:color="auto" w:sz="4" w:space="0"/>
              <w:right w:val="single" w:color="auto" w:sz="4" w:space="0"/>
            </w:tcBorders>
            <w:tcW w:w="1064" w:type="dxa"/>
            <w:vAlign w:val="center"/>
            <w:vMerge w:val="continue"/>
            <w:textDirection w:val="lrTb"/>
            <w:noWrap w:val="false"/>
          </w:tcPr>
          <w:p>
            <w:pPr>
              <w:jc w:val="left"/>
              <w:keepLines w:val="0"/>
              <w:keepNext w:val="0"/>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keepLines w:val="0"/>
              <w:keepNext w:val="0"/>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w:t>
            </w:r>
            <w:r/>
          </w:p>
        </w:tc>
        <w:tc>
          <w:tcPr>
            <w:gridSpan w:val="2"/>
            <w:shd w:val="clear" w:color="auto" w:fill="auto"/>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jc w:val="left"/>
              <w:keepLines w:val="0"/>
              <w:keepNext w:val="0"/>
              <w:pageBreakBefore w:val="0"/>
              <w:spacing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4"/>
                <w:highlight w:val="none"/>
                <w:lang w:val="en-US" w:eastAsia="zh-CN" w:bidi="ar-SA"/>
              </w:rPr>
              <w:t xml:space="preserve">江苏省政府采购管理交易系统（苏采云系统）</w:t>
            </w:r>
            <w:r/>
          </w:p>
        </w:tc>
      </w:tr>
      <w:tr>
        <w:trPr>
          <w:trHeight w:val="478"/>
        </w:trPr>
        <w:tc>
          <w:tcPr>
            <w:tcBorders>
              <w:top w:val="single" w:color="auto" w:sz="4" w:space="0"/>
              <w:left w:val="single" w:color="auto" w:sz="4" w:space="0"/>
              <w:bottom w:val="single" w:color="auto" w:sz="4" w:space="0"/>
              <w:right w:val="single" w:color="auto" w:sz="4" w:space="0"/>
            </w:tcBorders>
            <w:tcW w:w="1064" w:type="dxa"/>
            <w:vAlign w:val="center"/>
            <w:vMerge w:val="continue"/>
            <w:textDirection w:val="lrTb"/>
            <w:noWrap w:val="false"/>
          </w:tcPr>
          <w:p>
            <w:pPr>
              <w:jc w:val="left"/>
              <w:keepLines w:val="0"/>
              <w:keepNext w:val="0"/>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keepLines w:val="0"/>
              <w:keepNext w:val="0"/>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要求</w:t>
            </w:r>
            <w:r/>
          </w:p>
        </w:tc>
        <w:tc>
          <w:tcPr>
            <w:gridSpan w:val="2"/>
            <w:shd w:val="clear" w:color="auto" w:fill="auto"/>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keepLines w:val="0"/>
              <w:keepNext w:val="0"/>
              <w:pageBreakBefore w:val="0"/>
              <w:spacing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290"/>
        </w:trPr>
        <w:tc>
          <w:tcPr>
            <w:tcBorders>
              <w:top w:val="single" w:color="auto" w:sz="4" w:space="0"/>
              <w:left w:val="single" w:color="auto" w:sz="4" w:space="0"/>
              <w:right w:val="single" w:color="auto" w:sz="4" w:space="0"/>
            </w:tcBorders>
            <w:tcW w:w="1064" w:type="dxa"/>
            <w:vAlign w:val="center"/>
            <w:vMerge w:val="restart"/>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 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08</w:t>
            </w:r>
            <w:r>
              <w:rPr>
                <w:rFonts w:hint="eastAsia" w:ascii="宋体" w:hAnsi="宋体" w:eastAsia="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eastAsia="zh-CN"/>
              </w:rPr>
              <w:t xml:space="preserve">日09点30分</w:t>
            </w:r>
            <w:r>
              <w:rPr>
                <w:rFonts w:hint="eastAsia" w:ascii="宋体" w:hAnsi="宋体" w:eastAsia="宋体" w:cs="宋体"/>
                <w:color w:val="auto"/>
                <w:sz w:val="21"/>
                <w:szCs w:val="24"/>
                <w:highlight w:val="none"/>
                <w:lang w:val="en-US" w:eastAsia="zh-CN" w:bidi="ar-SA"/>
              </w:rPr>
              <w:t xml:space="preserve">（北京时间）</w:t>
            </w:r>
            <w:r/>
          </w:p>
        </w:tc>
      </w:tr>
      <w:tr>
        <w:trPr>
          <w:trHeight w:val="291"/>
        </w:trPr>
        <w:tc>
          <w:tcPr>
            <w:tcBorders>
              <w:left w:val="single" w:color="auto" w:sz="4" w:space="0"/>
              <w:right w:val="single" w:color="auto" w:sz="4" w:space="0"/>
            </w:tcBorders>
            <w:tcW w:w="1064" w:type="dxa"/>
            <w:vAlign w:val="center"/>
            <w:vMerge w:val="continue"/>
            <w:textDirection w:val="lrTb"/>
            <w:noWrap w:val="false"/>
          </w:tcPr>
          <w:p>
            <w:pPr>
              <w:jc w:val="left"/>
              <w:keepLines w:val="0"/>
              <w:keepNext w:val="0"/>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keepLines w:val="0"/>
              <w:keepNext w:val="0"/>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 w:val="21"/>
                <w:szCs w:val="24"/>
                <w:highlight w:val="none"/>
                <w:lang w:val="en-US" w:eastAsia="zh-CN" w:bidi="ar-SA"/>
              </w:rPr>
              <w:t xml:space="preserve">江苏省政府采购管理交易系统（苏采云系统）</w:t>
            </w:r>
            <w:r/>
          </w:p>
        </w:tc>
      </w:tr>
      <w:tr>
        <w:trPr>
          <w:trHeight w:val="449"/>
        </w:trPr>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投标文件及相关资料份数</w:t>
            </w:r>
            <w:r/>
          </w:p>
        </w:tc>
        <w:tc>
          <w:tcPr>
            <w:gridSpan w:val="2"/>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numPr>
                <w:ilvl w:val="0"/>
                <w:numId w:val="0"/>
              </w:numPr>
              <w:ind w:left="0" w:firstLine="0"/>
              <w:keepLines w:val="0"/>
              <w:keepNext w:val="0"/>
              <w:pageBreakBefore w:val="0"/>
              <w:spacing w:line="288"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在成交后，</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lang w:eastAsia="zh-CN"/>
              </w:rPr>
              <w:t xml:space="preserve">投标人须配合采购人提供纸质投标文件（</w:t>
            </w:r>
            <w:r>
              <w:rPr>
                <w:rFonts w:hint="eastAsia" w:ascii="宋体" w:hAnsi="宋体" w:eastAsia="宋体" w:cs="宋体"/>
                <w:color w:val="auto"/>
                <w:szCs w:val="21"/>
                <w:highlight w:val="none"/>
                <w:lang w:val="en-US" w:eastAsia="zh-CN"/>
              </w:rPr>
              <w:t xml:space="preserve">与在苏采云系统内最终提交的响应文件一致）</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具体数量如下：</w:t>
            </w:r>
            <w:r>
              <w:rPr>
                <w:rFonts w:hint="eastAsia" w:ascii="宋体" w:hAnsi="宋体" w:eastAsia="宋体" w:cs="宋体"/>
                <w:color w:val="auto"/>
                <w:szCs w:val="21"/>
                <w:highlight w:val="none"/>
              </w:rPr>
              <w:t xml:space="preserve">正本</w:t>
            </w:r>
            <w:r>
              <w:rPr>
                <w:rFonts w:hint="eastAsia" w:ascii="宋体" w:hAnsi="宋体" w:eastAsia="宋体" w:cs="宋体"/>
                <w:b/>
                <w:color w:val="auto"/>
                <w:szCs w:val="21"/>
                <w:highlight w:val="none"/>
              </w:rPr>
              <w:t xml:space="preserve">壹</w:t>
            </w:r>
            <w:r>
              <w:rPr>
                <w:rFonts w:hint="eastAsia" w:ascii="宋体" w:hAnsi="宋体" w:eastAsia="宋体" w:cs="宋体"/>
                <w:color w:val="auto"/>
                <w:szCs w:val="21"/>
                <w:highlight w:val="none"/>
              </w:rPr>
              <w:t xml:space="preserve">份；副本</w:t>
            </w:r>
            <w:r>
              <w:rPr>
                <w:rFonts w:hint="eastAsia" w:ascii="宋体" w:hAnsi="宋体" w:eastAsia="宋体" w:cs="宋体"/>
                <w:b/>
                <w:color w:val="auto"/>
                <w:szCs w:val="21"/>
                <w:highlight w:val="none"/>
              </w:rPr>
              <w:t xml:space="preserve">贰</w:t>
            </w:r>
            <w:r>
              <w:rPr>
                <w:rFonts w:hint="eastAsia" w:ascii="宋体" w:hAnsi="宋体" w:eastAsia="宋体" w:cs="宋体"/>
                <w:color w:val="auto"/>
                <w:szCs w:val="21"/>
                <w:highlight w:val="none"/>
              </w:rPr>
              <w:t xml:space="preserve">份。</w:t>
            </w:r>
            <w:r/>
          </w:p>
        </w:tc>
      </w:tr>
      <w:tr>
        <w:trPr>
          <w:trHeight w:val="337"/>
        </w:trPr>
        <w:tc>
          <w:tcPr>
            <w:tcBorders>
              <w:top w:val="single" w:color="auto" w:sz="4" w:space="0"/>
              <w:left w:val="single" w:color="auto" w:sz="4" w:space="0"/>
              <w:right w:val="single" w:color="auto" w:sz="4" w:space="0"/>
            </w:tcBorders>
            <w:tcW w:w="1064"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gridSpan w:val="2"/>
            <w:tcBorders>
              <w:top w:val="single" w:color="auto" w:sz="4" w:space="0"/>
              <w:left w:val="single" w:color="auto" w:sz="4" w:space="0"/>
              <w:right w:val="single" w:color="auto" w:sz="4" w:space="0"/>
            </w:tcBorders>
            <w:tcW w:w="198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资格承诺制</w:t>
            </w:r>
            <w:r/>
          </w:p>
        </w:tc>
        <w:tc>
          <w:tcPr>
            <w:gridSpan w:val="2"/>
            <w:tcBorders>
              <w:top w:val="single" w:color="auto" w:sz="4" w:space="0"/>
              <w:left w:val="single" w:color="auto" w:sz="4" w:space="0"/>
              <w:bottom w:val="single" w:color="auto" w:sz="4" w:space="0"/>
              <w:right w:val="single" w:color="auto" w:sz="4" w:space="0"/>
            </w:tcBorders>
            <w:tcW w:w="5594"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在成交后，</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lang w:eastAsia="zh-CN" w:bidi="ar"/>
              </w:rPr>
              <w:t xml:space="preserve">投标人</w:t>
            </w:r>
            <w:r>
              <w:rPr>
                <w:rFonts w:hint="eastAsia" w:ascii="宋体" w:hAnsi="宋体" w:eastAsia="宋体" w:cs="宋体"/>
                <w:color w:val="auto"/>
                <w:szCs w:val="21"/>
                <w:highlight w:val="none"/>
                <w:lang w:bidi="ar"/>
              </w:rPr>
              <w:t xml:space="preserve">仅提供</w:t>
            </w:r>
            <w:r>
              <w:rPr>
                <w:rFonts w:hint="eastAsia" w:ascii="宋体" w:hAnsi="宋体" w:eastAsia="宋体" w:cs="宋体"/>
                <w:color w:val="auto"/>
                <w:szCs w:val="21"/>
                <w:highlight w:val="none"/>
                <w:lang w:val="en-US" w:eastAsia="zh-CN" w:bidi="ar"/>
              </w:rPr>
              <w:t xml:space="preserve">资格</w:t>
            </w:r>
            <w:r>
              <w:rPr>
                <w:rFonts w:hint="eastAsia" w:ascii="宋体" w:hAnsi="宋体" w:eastAsia="宋体" w:cs="宋体"/>
                <w:color w:val="auto"/>
                <w:szCs w:val="21"/>
                <w:highlight w:val="none"/>
                <w:lang w:bidi="ar"/>
              </w:rPr>
              <w:t xml:space="preserve">承诺书而未提供</w:t>
            </w:r>
            <w:r>
              <w:rPr>
                <w:rFonts w:hint="eastAsia" w:ascii="宋体" w:hAnsi="宋体" w:eastAsia="宋体" w:cs="宋体"/>
                <w:color w:val="auto"/>
                <w:szCs w:val="21"/>
                <w:highlight w:val="none"/>
                <w:lang w:val="en-US" w:eastAsia="zh-CN" w:bidi="ar"/>
              </w:rPr>
              <w:t xml:space="preserve">资格条件</w:t>
            </w:r>
            <w:r>
              <w:rPr>
                <w:rFonts w:hint="eastAsia" w:ascii="宋体" w:hAnsi="宋体" w:eastAsia="宋体" w:cs="宋体"/>
                <w:color w:val="auto"/>
                <w:szCs w:val="21"/>
                <w:highlight w:val="none"/>
                <w:lang w:bidi="ar"/>
              </w:rPr>
              <w:t xml:space="preserve">中涉及的证明材料的，须在结果公告发布后7个工作日内另行提供由</w:t>
            </w:r>
            <w:r>
              <w:rPr>
                <w:rFonts w:hint="eastAsia" w:ascii="宋体" w:hAnsi="宋体" w:eastAsia="宋体" w:cs="宋体"/>
                <w:color w:val="auto"/>
                <w:szCs w:val="21"/>
                <w:highlight w:val="none"/>
                <w:lang w:val="en-US" w:eastAsia="zh-CN" w:bidi="ar"/>
              </w:rPr>
              <w:t xml:space="preserve">资格</w:t>
            </w:r>
            <w:r>
              <w:rPr>
                <w:rFonts w:hint="eastAsia" w:ascii="宋体" w:hAnsi="宋体" w:eastAsia="宋体" w:cs="宋体"/>
                <w:color w:val="auto"/>
                <w:szCs w:val="21"/>
                <w:highlight w:val="none"/>
                <w:lang w:bidi="ar"/>
              </w:rPr>
              <w:t xml:space="preserve">承诺书替代的证明材料（一式三份），材料须加盖公章并按</w:t>
            </w:r>
            <w:r>
              <w:rPr>
                <w:rFonts w:hint="eastAsia" w:ascii="宋体" w:hAnsi="宋体" w:eastAsia="宋体" w:cs="宋体"/>
                <w:color w:val="auto"/>
                <w:szCs w:val="21"/>
                <w:highlight w:val="none"/>
                <w:lang w:eastAsia="zh-CN" w:bidi="ar"/>
              </w:rPr>
              <w:t xml:space="preserve">采购</w:t>
            </w:r>
            <w:r>
              <w:rPr>
                <w:rFonts w:hint="eastAsia" w:ascii="宋体" w:hAnsi="宋体" w:eastAsia="宋体" w:cs="宋体"/>
                <w:color w:val="auto"/>
                <w:szCs w:val="21"/>
                <w:highlight w:val="none"/>
                <w:lang w:bidi="ar"/>
              </w:rPr>
              <w:t xml:space="preserve">文件要求提交采购人或采购代理机构核验。经核验无误后，由采购人或采购代理机构发出中标通知书。</w:t>
            </w:r>
            <w:r/>
          </w:p>
        </w:tc>
      </w:tr>
      <w:tr>
        <w:trPr>
          <w:trHeight w:val="337"/>
        </w:trPr>
        <w:tc>
          <w:tcPr>
            <w:tcBorders>
              <w:top w:val="single" w:color="auto" w:sz="4" w:space="0"/>
              <w:left w:val="single" w:color="auto" w:sz="4" w:space="0"/>
              <w:right w:val="single" w:color="auto" w:sz="4" w:space="0"/>
            </w:tcBorders>
            <w:tcW w:w="1064" w:type="dxa"/>
            <w:vAlign w:val="center"/>
            <w:vMerge w:val="restart"/>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3974" w:type="dxa"/>
            <w:vAlign w:val="center"/>
            <w:textDirection w:val="lrTb"/>
            <w:noWrap w:val="false"/>
          </w:tcPr>
          <w:p>
            <w:pPr>
              <w:jc w:val="left"/>
              <w:keepLines w:val="0"/>
              <w:keepNext w:val="0"/>
              <w:pageBreakBefore w:val="0"/>
              <w:spacing w:line="288"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郭主任</w:t>
            </w:r>
            <w:r/>
          </w:p>
        </w:tc>
      </w:tr>
      <w:tr>
        <w:trPr>
          <w:trHeight w:val="386"/>
        </w:trPr>
        <w:tc>
          <w:tcPr>
            <w:tcBorders>
              <w:left w:val="single" w:color="auto" w:sz="4" w:space="0"/>
              <w:right w:val="single" w:color="auto" w:sz="4" w:space="0"/>
            </w:tcBorders>
            <w:tcW w:w="1064" w:type="dxa"/>
            <w:vAlign w:val="center"/>
            <w:vMerge w:val="continue"/>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3974"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pacing w:val="-13"/>
                <w:szCs w:val="21"/>
                <w:highlight w:val="none"/>
                <w:lang w:eastAsia="zh-CN"/>
              </w:rPr>
              <w:t xml:space="preserve">025-84951247</w:t>
            </w:r>
            <w:r/>
          </w:p>
        </w:tc>
      </w:tr>
      <w:tr>
        <w:trPr>
          <w:trHeight w:val="363"/>
        </w:trPr>
        <w:tc>
          <w:tcPr>
            <w:tcBorders>
              <w:left w:val="single" w:color="auto" w:sz="4" w:space="0"/>
              <w:right w:val="single" w:color="auto" w:sz="4" w:space="0"/>
            </w:tcBorders>
            <w:tcW w:w="1064" w:type="dxa"/>
            <w:vAlign w:val="center"/>
            <w:vMerge w:val="continue"/>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3974"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艾知恩</w:t>
            </w:r>
            <w:r/>
          </w:p>
        </w:tc>
      </w:tr>
      <w:tr>
        <w:trPr>
          <w:trHeight w:val="421"/>
        </w:trPr>
        <w:tc>
          <w:tcPr>
            <w:tcBorders>
              <w:left w:val="single" w:color="auto" w:sz="4" w:space="0"/>
              <w:right w:val="single" w:color="auto" w:sz="4" w:space="0"/>
            </w:tcBorders>
            <w:tcW w:w="1064" w:type="dxa"/>
            <w:vAlign w:val="center"/>
            <w:vMerge w:val="continue"/>
            <w:textDirection w:val="lrTb"/>
            <w:noWrap w:val="false"/>
          </w:tcPr>
          <w:p>
            <w:pPr>
              <w:jc w:val="left"/>
              <w:keepLines w:val="0"/>
              <w:keepNext w:val="0"/>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keepLines w:val="0"/>
              <w:keepNext w:val="0"/>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080" w:type="dxa"/>
            <w:vAlign w:val="center"/>
            <w:vMerge w:val="continue"/>
            <w:textDirection w:val="lrTb"/>
            <w:noWrap w:val="false"/>
          </w:tcPr>
          <w:p>
            <w:pPr>
              <w:keepLines w:val="0"/>
              <w:keepNext w:val="0"/>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3974" w:type="dxa"/>
            <w:vAlign w:val="center"/>
            <w:textDirection w:val="lrTb"/>
            <w:noWrap w:val="false"/>
          </w:tcPr>
          <w:p>
            <w:pPr>
              <w:keepLines w:val="0"/>
              <w:keepNext w:val="0"/>
              <w:pageBreakBefore w:val="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17327715917</w:t>
            </w:r>
            <w:r/>
          </w:p>
        </w:tc>
      </w:tr>
    </w:tbl>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r>
      <w:r/>
    </w:p>
    <w:p>
      <w:pPr>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br w:type="page" w:clear="all"/>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一、总则</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1、适用法律</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1.1 《中华人民共和国政府采购法》《中华人民共和国政府采购法实施条例》《政府采购货物和服务招标投标管理办法》等有关法律、规章和规定等。</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2、定义</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2.1 “</w:t>
      </w:r>
      <w:r>
        <w:rPr>
          <w:rFonts w:hint="eastAsia" w:ascii="宋体" w:hAnsi="宋体" w:eastAsia="宋体" w:cs="宋体"/>
          <w:b/>
          <w:color w:val="auto"/>
          <w:highlight w:val="none"/>
          <w:lang w:val="zh-CN"/>
        </w:rPr>
        <w:t xml:space="preserve">投标人</w:t>
      </w:r>
      <w:r>
        <w:rPr>
          <w:rFonts w:hint="eastAsia" w:ascii="宋体" w:hAnsi="宋体" w:eastAsia="宋体" w:cs="宋体"/>
          <w:b/>
          <w:color w:val="auto"/>
          <w:highlight w:val="none"/>
          <w:lang w:val="en-US" w:eastAsia="zh-CN"/>
        </w:rPr>
        <w:t xml:space="preserve">/投标人</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是指参加投标竞争，并符合招标文件规定资格条件的法人、其他组织或者自然人。</w:t>
      </w:r>
      <w:r/>
    </w:p>
    <w:p>
      <w:pPr>
        <w:ind w:firstLine="420"/>
        <w:rPr>
          <w:rFonts w:hint="eastAsia" w:ascii="宋体" w:hAnsi="宋体" w:eastAsia="宋体" w:cs="宋体"/>
          <w:b/>
          <w:color w:val="auto"/>
          <w:highlight w:val="none"/>
          <w:lang w:val="zh-CN"/>
        </w:rPr>
      </w:pPr>
      <w:r>
        <w:rPr>
          <w:rFonts w:hint="eastAsia" w:ascii="宋体" w:hAnsi="宋体" w:eastAsia="宋体" w:cs="宋体"/>
          <w:color w:val="auto"/>
          <w:highlight w:val="none"/>
          <w:lang w:val="zh-CN"/>
        </w:rPr>
        <w:t xml:space="preserve">2.2 </w:t>
      </w:r>
      <w:r>
        <w:rPr>
          <w:rFonts w:hint="eastAsia" w:ascii="宋体" w:hAnsi="宋体" w:eastAsia="宋体" w:cs="宋体"/>
          <w:color w:val="auto"/>
          <w:szCs w:val="21"/>
          <w:highlight w:val="none"/>
          <w:lang w:val="zh-CN"/>
        </w:rPr>
        <w:t xml:space="preserve">“货物和服务”</w:t>
      </w:r>
      <w:r>
        <w:rPr>
          <w:rFonts w:hint="eastAsia" w:ascii="宋体" w:hAnsi="宋体" w:eastAsia="宋体" w:cs="宋体"/>
          <w:color w:val="auto"/>
          <w:highlight w:val="none"/>
          <w:lang w:val="zh-CN"/>
        </w:rPr>
        <w:t xml:space="preserve">指本招标文件中所述</w:t>
      </w:r>
      <w:r>
        <w:rPr>
          <w:rFonts w:hint="eastAsia" w:ascii="宋体" w:hAnsi="宋体" w:eastAsia="宋体" w:cs="宋体"/>
          <w:b/>
          <w:color w:val="auto"/>
          <w:highlight w:val="none"/>
          <w:lang w:val="zh-CN"/>
        </w:rPr>
        <w:t xml:space="preserve">产品</w:t>
      </w:r>
      <w:r>
        <w:rPr>
          <w:rFonts w:hint="eastAsia" w:ascii="宋体" w:hAnsi="宋体" w:eastAsia="宋体" w:cs="宋体"/>
          <w:color w:val="auto"/>
          <w:highlight w:val="none"/>
          <w:lang w:val="zh-CN"/>
        </w:rPr>
        <w:t xml:space="preserve">及相关服务。</w:t>
      </w:r>
      <w:r>
        <w:rPr>
          <w:rFonts w:hint="eastAsia" w:ascii="宋体" w:hAnsi="宋体" w:eastAsia="宋体" w:cs="宋体"/>
          <w:b/>
          <w:color w:val="auto"/>
          <w:szCs w:val="21"/>
          <w:highlight w:val="none"/>
          <w:lang w:val="zh-CN"/>
        </w:rPr>
        <w:t xml:space="preserve">本次采购不接受进口产品投标</w:t>
      </w:r>
      <w:r>
        <w:rPr>
          <w:rFonts w:hint="eastAsia" w:ascii="宋体" w:hAnsi="宋体" w:eastAsia="宋体" w:cs="宋体"/>
          <w:color w:val="auto"/>
          <w:szCs w:val="21"/>
          <w:highlight w:val="none"/>
          <w:lang w:val="zh-CN"/>
        </w:rPr>
        <w:t xml:space="preserve">，进口产品是指通过中国海关报关验放进入中国境内且产自关境外的产品。</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2.3 “</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val="zh-CN"/>
        </w:rPr>
        <w:t xml:space="preserve">用户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使用单位</w:t>
      </w:r>
      <w:r>
        <w:rPr>
          <w:rFonts w:hint="eastAsia" w:ascii="宋体" w:hAnsi="宋体" w:eastAsia="宋体" w:cs="宋体"/>
          <w:color w:val="auto"/>
          <w:highlight w:val="none"/>
          <w:lang w:val="en-US" w:eastAsia="zh-CN"/>
        </w:rPr>
        <w:t xml:space="preserve">/招标人</w:t>
      </w:r>
      <w:r>
        <w:rPr>
          <w:rFonts w:hint="eastAsia" w:ascii="宋体" w:hAnsi="宋体" w:eastAsia="宋体" w:cs="宋体"/>
          <w:color w:val="auto"/>
          <w:highlight w:val="none"/>
          <w:lang w:val="zh-CN"/>
        </w:rPr>
        <w:t xml:space="preserve">”是指使用服务的单位。</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3、政策功能</w:t>
      </w:r>
      <w:r/>
    </w:p>
    <w:p>
      <w:pPr>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3.4政府采购节能产品、环境标志产品实施品目清单管理。拟采购产品属于节能产品政府采购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3.5提供网络安全专用产品的投标人，所投产品应列入《网络关键设备和网络安全专用产品目录》，具备安全认证合格或安全检测合格材料。</w:t>
      </w:r>
      <w:r/>
    </w:p>
    <w:p>
      <w:pPr>
        <w:ind w:firstLine="413"/>
        <w:rPr>
          <w:rFonts w:hint="eastAsia" w:ascii="宋体" w:hAnsi="宋体" w:eastAsia="宋体" w:cs="宋体"/>
          <w:b/>
          <w:color w:val="auto"/>
          <w:highlight w:val="none"/>
        </w:rPr>
      </w:pPr>
      <w:r>
        <w:rPr>
          <w:rFonts w:hint="eastAsia" w:ascii="宋体" w:hAnsi="宋体" w:eastAsia="宋体" w:cs="宋体"/>
          <w:b/>
          <w:color w:val="auto"/>
          <w:highlight w:val="none"/>
        </w:rPr>
        <w:t xml:space="preserve">二、招标文件</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4、招标文件组成</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4.1 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4.2 招标的最小单位是包。招标服务数量及技术要求中未分包的，投标人对要求提供的服务不得部分投标；招标服务数量及技术要求中已经分包的，应当以包为单位投标。</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4.3 招标文件如果要求投标人提交备选投标方案的，投标人可以提交备选方案；否则，备选方案将被拒绝。</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5、招标文件的澄清、修改</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5.1代理机构对已发出的招标文件进行必要澄清或者修改的，将在招标文件要求提交投标文件截止时间</w:t>
      </w:r>
      <w:r>
        <w:rPr>
          <w:rFonts w:hint="eastAsia" w:ascii="宋体" w:hAnsi="宋体" w:eastAsia="宋体" w:cs="宋体"/>
          <w:b/>
          <w:color w:val="auto"/>
          <w:highlight w:val="none"/>
          <w:u w:val="single"/>
          <w:lang w:val="zh-CN"/>
        </w:rPr>
        <w:t xml:space="preserve">十五日</w:t>
      </w:r>
      <w:r>
        <w:rPr>
          <w:rFonts w:hint="eastAsia" w:ascii="宋体" w:hAnsi="宋体" w:eastAsia="宋体" w:cs="宋体"/>
          <w:color w:val="auto"/>
          <w:highlight w:val="none"/>
          <w:lang w:val="zh-CN"/>
        </w:rPr>
        <w:t xml:space="preserve">前，在原招标公告媒体发布更正公告，该澄清或者修改的内容为招标文件的组成部分。</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5.2 代理机构在招标文件要求提交投标文件截止时间</w:t>
      </w:r>
      <w:r>
        <w:rPr>
          <w:rFonts w:hint="eastAsia" w:ascii="宋体" w:hAnsi="宋体" w:eastAsia="宋体" w:cs="宋体"/>
          <w:b/>
          <w:color w:val="auto"/>
          <w:highlight w:val="none"/>
          <w:u w:val="single"/>
          <w:lang w:val="zh-CN"/>
        </w:rPr>
        <w:t xml:space="preserve">三日</w:t>
      </w:r>
      <w:r>
        <w:rPr>
          <w:rFonts w:hint="eastAsia" w:ascii="宋体" w:hAnsi="宋体" w:eastAsia="宋体" w:cs="宋体"/>
          <w:color w:val="auto"/>
          <w:highlight w:val="none"/>
          <w:lang w:val="zh-CN"/>
        </w:rPr>
        <w:t xml:space="preserve">前，有权决定延长投标截止时间和开标时间，并</w:t>
      </w:r>
      <w:r>
        <w:rPr>
          <w:rFonts w:hint="eastAsia" w:ascii="宋体" w:hAnsi="宋体" w:eastAsia="宋体" w:cs="宋体"/>
          <w:color w:val="auto"/>
          <w:highlight w:val="none"/>
        </w:rPr>
        <w:t xml:space="preserve">在原采购信息发布媒体上发布变更公告。</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zh-CN"/>
        </w:rPr>
        <w:t xml:space="preserve">.3 投标人应在投标截止时间前关注</w:t>
      </w:r>
      <w:r>
        <w:rPr>
          <w:rFonts w:hint="eastAsia" w:ascii="宋体" w:hAnsi="宋体" w:eastAsia="宋体" w:cs="宋体"/>
          <w:color w:val="auto"/>
          <w:highlight w:val="none"/>
        </w:rPr>
        <w:t xml:space="preserve">原采购信息发布媒体上</w:t>
      </w:r>
      <w:r>
        <w:rPr>
          <w:rFonts w:hint="eastAsia" w:ascii="宋体" w:hAnsi="宋体" w:eastAsia="宋体" w:cs="宋体"/>
          <w:color w:val="auto"/>
          <w:highlight w:val="none"/>
          <w:lang w:val="zh-CN"/>
        </w:rPr>
        <w:t xml:space="preserve">有关本招标项目有无变更公告。</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5.4</w:t>
      </w:r>
      <w:r>
        <w:rPr>
          <w:rFonts w:hint="eastAsia" w:ascii="宋体" w:hAnsi="宋体" w:eastAsia="宋体" w:cs="宋体"/>
          <w:color w:val="auto"/>
          <w:highlight w:val="none"/>
          <w:lang w:val="zh-CN"/>
        </w:rPr>
        <w:t xml:space="preserve"> 如标书制作工具中格式和内容与“江苏政府采购网”发布的招标文件不一致，以“江苏政府采购网”发布的招标文件为准。</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三、投标</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6、投标文件的语言、计量单位、货币和编制</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6.2 投标人所使用的计量单位应为国家法定计量单位。</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6.3 投标人应用人民币报价。</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6.4 投标文件应字迹清楚、内容齐全、不得涂改。如有修改，修改处须有投标人公章和法定代表人或其授权的投标人代表签字。</w:t>
      </w:r>
      <w:r/>
    </w:p>
    <w:p>
      <w:pPr>
        <w:ind w:firstLine="420"/>
        <w:rPr>
          <w:rFonts w:hint="eastAsia" w:ascii="宋体" w:hAnsi="宋体" w:eastAsia="宋体" w:cs="宋体"/>
          <w:b/>
          <w:color w:val="auto"/>
          <w:szCs w:val="21"/>
          <w:highlight w:val="none"/>
          <w:lang w:val="zh-CN"/>
        </w:rPr>
      </w:pPr>
      <w:r>
        <w:rPr>
          <w:rFonts w:hint="eastAsia" w:ascii="宋体" w:hAnsi="宋体" w:eastAsia="宋体" w:cs="宋体"/>
          <w:color w:val="auto"/>
          <w:highlight w:val="none"/>
          <w:lang w:val="zh-CN"/>
        </w:rPr>
        <w:t xml:space="preserve">6.5</w:t>
      </w:r>
      <w:r>
        <w:rPr>
          <w:rFonts w:hint="eastAsia" w:ascii="宋体" w:hAnsi="宋体" w:eastAsia="宋体" w:cs="宋体"/>
          <w:b/>
          <w:color w:val="auto"/>
          <w:szCs w:val="21"/>
          <w:highlight w:val="none"/>
          <w:lang w:val="zh-CN"/>
        </w:rPr>
        <w:t xml:space="preserve">投标文件应按照招标文件规定的顺序，统一用A4规格幅面打印、装订成册并编制目录，由于编排混乱导致投标文件被误读或查找不到，责任由投标人承担。</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6.6 投标人应在投标文件中写清相应的项目编号、项目名称、投标人全称、地址、电话、传真等。</w:t>
      </w:r>
      <w:r/>
    </w:p>
    <w:p>
      <w:pPr>
        <w:ind w:firstLine="420"/>
        <w:rPr>
          <w:rFonts w:hint="eastAsia" w:ascii="宋体" w:hAnsi="宋体" w:eastAsia="宋体" w:cs="宋体"/>
          <w:b/>
          <w:color w:val="auto"/>
          <w:highlight w:val="none"/>
          <w:lang w:val="zh-CN"/>
        </w:rPr>
      </w:pPr>
      <w:r>
        <w:rPr>
          <w:rFonts w:hint="eastAsia" w:ascii="宋体" w:hAnsi="宋体" w:eastAsia="宋体" w:cs="宋体"/>
          <w:color w:val="auto"/>
          <w:highlight w:val="none"/>
          <w:lang w:val="zh-CN"/>
        </w:rPr>
        <w:t xml:space="preserve">7</w:t>
      </w:r>
      <w:r>
        <w:rPr>
          <w:rFonts w:hint="eastAsia" w:ascii="宋体" w:hAnsi="宋体" w:eastAsia="宋体" w:cs="宋体"/>
          <w:b/>
          <w:color w:val="auto"/>
          <w:highlight w:val="none"/>
          <w:lang w:val="zh-CN"/>
        </w:rPr>
        <w:t xml:space="preserve">、联合投标</w:t>
      </w:r>
      <w:r/>
    </w:p>
    <w:p>
      <w:pPr>
        <w:ind w:firstLine="420"/>
        <w:rPr>
          <w:rFonts w:hint="eastAsia" w:ascii="宋体" w:hAnsi="宋体" w:eastAsia="宋体" w:cs="宋体"/>
          <w:b/>
          <w:i/>
          <w:color w:val="auto"/>
          <w:highlight w:val="none"/>
        </w:rPr>
      </w:pPr>
      <w:r>
        <w:rPr>
          <w:rFonts w:hint="eastAsia" w:ascii="宋体" w:hAnsi="宋体" w:eastAsia="宋体" w:cs="宋体"/>
          <w:color w:val="auto"/>
          <w:highlight w:val="none"/>
        </w:rPr>
        <w:t xml:space="preserve">7.1</w:t>
      </w:r>
      <w:r>
        <w:rPr>
          <w:rFonts w:hint="eastAsia" w:ascii="宋体" w:hAnsi="宋体" w:eastAsia="宋体" w:cs="宋体"/>
          <w:b/>
          <w:color w:val="auto"/>
          <w:szCs w:val="21"/>
          <w:highlight w:val="none"/>
        </w:rPr>
        <w:t xml:space="preserve">本次采购不接受联合体投标。</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8、投标费用</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8.1投标人应承担所有与准备和参加投标有关的费用，无论采购结果如何，采购代理和采购人在任何情况下均无义务和责任承担这些费用。</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8.2本项目采购预算已包含政府采购代理服务费，</w:t>
      </w:r>
      <w:r>
        <w:rPr>
          <w:rFonts w:hint="eastAsia" w:ascii="宋体" w:hAnsi="宋体" w:cs="宋体"/>
          <w:color w:val="auto"/>
          <w:highlight w:val="none"/>
          <w:lang w:val="en-US" w:eastAsia="zh-CN"/>
        </w:rPr>
        <w:t xml:space="preserve">本项目按照中标价为收费基数，</w:t>
      </w:r>
      <w:r>
        <w:rPr>
          <w:rFonts w:hint="eastAsia" w:ascii="宋体" w:hAnsi="宋体" w:eastAsia="宋体" w:cs="宋体"/>
          <w:color w:val="auto"/>
          <w:highlight w:val="none"/>
          <w:lang w:val="zh-CN"/>
        </w:rPr>
        <w:t xml:space="preserve">参照中华人民共和国国家计划委员会计价格[2002]1980号文收费标准</w:t>
      </w:r>
      <w:r>
        <w:rPr>
          <w:rFonts w:hint="eastAsia" w:ascii="宋体" w:hAnsi="宋体" w:eastAsia="宋体" w:cs="宋体"/>
          <w:color w:val="auto"/>
          <w:highlight w:val="none"/>
          <w:lang w:val="zh-CN" w:eastAsia="zh-CN"/>
        </w:rPr>
        <w:t xml:space="preserve">的70%</w:t>
      </w:r>
      <w:r>
        <w:rPr>
          <w:rFonts w:hint="eastAsia" w:ascii="宋体" w:hAnsi="宋体" w:eastAsia="宋体" w:cs="宋体"/>
          <w:color w:val="auto"/>
          <w:highlight w:val="none"/>
          <w:lang w:val="zh-CN"/>
        </w:rPr>
        <w:t xml:space="preserve">执行，</w:t>
      </w:r>
      <w:r>
        <w:rPr>
          <w:rFonts w:hint="eastAsia" w:ascii="宋体" w:hAnsi="宋体" w:cs="宋体"/>
          <w:color w:val="auto"/>
          <w:highlight w:val="none"/>
          <w:lang w:val="en-US" w:eastAsia="zh-CN"/>
        </w:rPr>
        <w:t xml:space="preserve">暂按控制价185万元作为收费基数，最终代理费收费上限不超过15260元</w:t>
      </w:r>
      <w:r>
        <w:rPr>
          <w:rFonts w:hint="eastAsia" w:ascii="宋体" w:hAnsi="宋体" w:eastAsia="宋体" w:cs="宋体"/>
          <w:color w:val="auto"/>
          <w:highlight w:val="none"/>
          <w:lang w:val="zh-CN"/>
        </w:rPr>
        <w:t xml:space="preserve">。本项目预算包含代理服务费，为严格落实预算管理、简化支付流程、提高采购效率，本项目代理费由中标供应商支付，供应商报价包含代理费。</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约定以上费用由中标人领取中标通知书时支付至以下账号：</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单位名称：</w:t>
      </w:r>
      <w:r>
        <w:rPr>
          <w:rFonts w:hint="eastAsia" w:ascii="宋体" w:hAnsi="宋体" w:eastAsia="宋体" w:cs="宋体"/>
          <w:color w:val="auto"/>
          <w:highlight w:val="none"/>
          <w:lang w:val="zh-CN" w:eastAsia="zh-CN"/>
        </w:rPr>
        <w:t xml:space="preserve">南京陵新项目管理有限公司</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银行账户：32012100110100000</w:t>
      </w:r>
      <w:r>
        <w:rPr>
          <w:rFonts w:hint="eastAsia" w:ascii="宋体" w:hAnsi="宋体" w:eastAsia="宋体" w:cs="宋体"/>
          <w:color w:val="auto"/>
          <w:highlight w:val="none"/>
          <w:lang w:val="zh-CN" w:eastAsia="zh-CN"/>
        </w:rPr>
        <w:t xml:space="preserve">17049</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开户行：江苏紫金农村商业银行金箔路支行</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 投标人应承担所有与准备和参加投标有关的费用。</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9、投标文件组成</w:t>
      </w:r>
      <w:r/>
    </w:p>
    <w:p>
      <w:pPr>
        <w:ind w:firstLine="420"/>
        <w:widowControl/>
        <w:rPr>
          <w:rFonts w:hint="eastAsia" w:ascii="宋体" w:hAnsi="宋体" w:eastAsia="宋体" w:cs="宋体"/>
          <w:b/>
          <w:color w:val="auto"/>
          <w:highlight w:val="none"/>
        </w:rPr>
      </w:pPr>
      <w:r>
        <w:rPr>
          <w:rFonts w:hint="eastAsia" w:ascii="宋体" w:hAnsi="宋体" w:eastAsia="宋体" w:cs="宋体"/>
          <w:color w:val="auto"/>
          <w:highlight w:val="none"/>
          <w:lang w:val="zh-CN"/>
        </w:rPr>
        <w:t xml:space="preserve">9.1</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应当根据招标文件要求编制投标文件，投标文件应对招标文件提出的要求和条件作出实质性响应，</w:t>
      </w:r>
      <w:r>
        <w:rPr>
          <w:rFonts w:hint="eastAsia" w:ascii="宋体" w:hAnsi="宋体" w:eastAsia="宋体" w:cs="宋体"/>
          <w:b/>
          <w:color w:val="auto"/>
          <w:highlight w:val="none"/>
        </w:rPr>
        <w:t xml:space="preserve">对带星号（“★或*”）的技术条款必须在投标文件中提供技术支持资料（如白皮书、彩页、手册、检测报告等），未提供技术支持资料的，评审时不予认可。</w:t>
      </w:r>
      <w:r/>
    </w:p>
    <w:p>
      <w:pPr>
        <w:ind w:firstLine="413"/>
        <w:rPr>
          <w:rFonts w:hint="eastAsia" w:ascii="宋体" w:hAnsi="宋体" w:eastAsia="宋体" w:cs="宋体"/>
          <w:b/>
          <w:color w:val="auto"/>
          <w:highlight w:val="none"/>
        </w:rPr>
      </w:pPr>
      <w:r>
        <w:rPr>
          <w:rFonts w:hint="eastAsia" w:ascii="宋体" w:hAnsi="宋体" w:eastAsia="宋体" w:cs="宋体"/>
          <w:b/>
          <w:color w:val="auto"/>
          <w:highlight w:val="none"/>
        </w:rPr>
        <w:t xml:space="preserve">9</w:t>
      </w:r>
      <w:r>
        <w:rPr>
          <w:rFonts w:hint="eastAsia" w:ascii="宋体" w:hAnsi="宋体" w:eastAsia="宋体" w:cs="宋体"/>
          <w:b/>
          <w:color w:val="auto"/>
          <w:highlight w:val="none"/>
          <w:lang w:val="zh-CN"/>
        </w:rPr>
        <w:t xml:space="preserve">.2</w:t>
      </w:r>
      <w:r>
        <w:rPr>
          <w:rFonts w:hint="eastAsia" w:ascii="宋体" w:hAnsi="宋体" w:eastAsia="宋体" w:cs="宋体"/>
          <w:color w:val="auto"/>
          <w:highlight w:val="none"/>
          <w:lang w:val="zh-CN"/>
        </w:rPr>
        <w:t xml:space="preserve"> 投标人根据招标文件载明的标的采购项目实际情况，拟在中标后将中标项目的非主体、非关键性工作交由他人完成的，应当在投标文件中载明。</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9</w:t>
      </w:r>
      <w:r>
        <w:rPr>
          <w:rFonts w:hint="eastAsia" w:ascii="宋体" w:hAnsi="宋体" w:eastAsia="宋体" w:cs="宋体"/>
          <w:color w:val="auto"/>
          <w:highlight w:val="none"/>
          <w:lang w:val="zh-CN"/>
        </w:rPr>
        <w:t xml:space="preserve">.3 投标文件由商务部分、技术部分、价格部分，以及其他部分组成。</w:t>
      </w:r>
      <w:r/>
    </w:p>
    <w:p>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t xml:space="preserve">10、投标文件的商务部分</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10.1 商务部分是证明投标人有资格参加投标和中标后有能力履行合同的文件，</w:t>
      </w:r>
      <w:r>
        <w:rPr>
          <w:rFonts w:hint="eastAsia" w:ascii="宋体" w:hAnsi="宋体" w:eastAsia="宋体" w:cs="宋体"/>
          <w:color w:val="auto"/>
          <w:highlight w:val="none"/>
        </w:rPr>
        <w:t xml:space="preserve">这些文件应能满足招标的要求</w:t>
      </w:r>
      <w:r>
        <w:rPr>
          <w:rFonts w:hint="eastAsia" w:ascii="宋体" w:hAnsi="宋体" w:eastAsia="宋体" w:cs="宋体"/>
          <w:color w:val="auto"/>
          <w:highlight w:val="none"/>
          <w:lang w:val="zh-CN"/>
        </w:rPr>
        <w:t xml:space="preserve">，包括但不限于下列文件，</w:t>
      </w:r>
      <w:r>
        <w:rPr>
          <w:rFonts w:hint="eastAsia" w:ascii="宋体" w:hAnsi="宋体" w:eastAsia="宋体" w:cs="宋体"/>
          <w:b/>
          <w:color w:val="auto"/>
          <w:highlight w:val="none"/>
          <w:lang w:val="zh-CN"/>
        </w:rPr>
        <w:t xml:space="preserve">其中加</w:t>
      </w: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zh-CN"/>
        </w:rPr>
        <w:t xml:space="preserve">项目不得有缺失或无效</w:t>
      </w:r>
      <w:r>
        <w:rPr>
          <w:rFonts w:hint="eastAsia" w:ascii="宋体" w:hAnsi="宋体" w:eastAsia="宋体" w:cs="宋体"/>
          <w:color w:val="auto"/>
          <w:highlight w:val="none"/>
          <w:lang w:val="zh-CN"/>
        </w:rPr>
        <w:t xml:space="preserve">。</w:t>
      </w:r>
      <w:r/>
    </w:p>
    <w:p>
      <w:pPr>
        <w:ind w:firstLine="420"/>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b/>
          <w:color w:val="auto"/>
          <w:highlight w:val="none"/>
        </w:rPr>
        <w:t xml:space="preserve">★</w:t>
      </w:r>
      <w:r>
        <w:rPr>
          <w:rFonts w:hint="eastAsia" w:ascii="宋体" w:hAnsi="宋体" w:eastAsia="宋体" w:cs="宋体"/>
          <w:color w:val="auto"/>
          <w:szCs w:val="21"/>
          <w:highlight w:val="none"/>
          <w:lang w:val="zh-CN"/>
        </w:rPr>
        <w:t xml:space="preserve">投标函（投标申请及声明）；</w:t>
      </w:r>
      <w:r/>
    </w:p>
    <w:p>
      <w:pPr>
        <w:ind w:firstLine="420"/>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b/>
          <w:color w:val="auto"/>
          <w:highlight w:val="none"/>
        </w:rPr>
        <w:t xml:space="preserve">★</w:t>
      </w:r>
      <w:r>
        <w:rPr>
          <w:rFonts w:hint="eastAsia" w:ascii="宋体" w:hAnsi="宋体" w:eastAsia="宋体" w:cs="宋体"/>
          <w:color w:val="auto"/>
          <w:szCs w:val="21"/>
          <w:highlight w:val="none"/>
          <w:lang w:val="zh-CN"/>
        </w:rPr>
        <w:t xml:space="preserve">法定代表人授权委托书原件及委托代理人的身份证复印件；</w:t>
      </w:r>
      <w:r/>
    </w:p>
    <w:p>
      <w:pPr>
        <w:ind w:firstLine="420"/>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b/>
          <w:color w:val="auto"/>
          <w:highlight w:val="none"/>
        </w:rPr>
        <w:t xml:space="preserve">★</w:t>
      </w:r>
      <w:r>
        <w:rPr>
          <w:rFonts w:hint="eastAsia" w:ascii="宋体" w:hAnsi="宋体" w:eastAsia="宋体" w:cs="宋体"/>
          <w:color w:val="auto"/>
          <w:szCs w:val="21"/>
          <w:highlight w:val="none"/>
          <w:lang w:val="zh-CN"/>
        </w:rPr>
        <w:t xml:space="preserve">第一章投标邀请中</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zh-CN"/>
        </w:rPr>
        <w:t xml:space="preserve">规定的条件；</w:t>
      </w:r>
      <w:r/>
    </w:p>
    <w:p>
      <w:pPr>
        <w:ind w:firstLine="420"/>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（4）</w:t>
      </w:r>
      <w:r>
        <w:rPr>
          <w:rFonts w:hint="eastAsia" w:ascii="宋体" w:hAnsi="宋体" w:eastAsia="宋体" w:cs="宋体"/>
          <w:b/>
          <w:color w:val="auto"/>
          <w:highlight w:val="none"/>
        </w:rPr>
        <w:t xml:space="preserve">★</w:t>
      </w:r>
      <w:r>
        <w:rPr>
          <w:rFonts w:hint="eastAsia" w:ascii="宋体" w:hAnsi="宋体" w:eastAsia="宋体" w:cs="宋体"/>
          <w:color w:val="auto"/>
          <w:szCs w:val="21"/>
          <w:highlight w:val="none"/>
          <w:lang w:val="zh-CN"/>
        </w:rPr>
        <w:t xml:space="preserve">第一章投标邀请中</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zh-CN"/>
        </w:rPr>
        <w:t xml:space="preserve">落实政府采购政策需满足的资格要求</w:t>
      </w:r>
      <w:r>
        <w:rPr>
          <w:rFonts w:hint="eastAsia" w:ascii="宋体" w:hAnsi="宋体" w:eastAsia="宋体" w:cs="宋体"/>
          <w:color w:val="auto"/>
          <w:szCs w:val="21"/>
          <w:highlight w:val="none"/>
          <w:lang w:val="en-US" w:eastAsia="zh-CN"/>
        </w:rPr>
        <w:t xml:space="preserve">证明文件（如有）；</w:t>
      </w:r>
      <w:r/>
    </w:p>
    <w:p>
      <w:pPr>
        <w:ind w:firstLine="420"/>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w:t>
      </w:r>
      <w:r>
        <w:rPr>
          <w:rFonts w:hint="eastAsia" w:ascii="宋体" w:hAnsi="宋体" w:eastAsia="宋体" w:cs="宋体"/>
          <w:b/>
          <w:color w:val="auto"/>
          <w:highlight w:val="none"/>
        </w:rPr>
        <w:t xml:space="preserve">★</w:t>
      </w:r>
      <w:r>
        <w:rPr>
          <w:rFonts w:hint="eastAsia" w:ascii="宋体" w:hAnsi="宋体" w:eastAsia="宋体" w:cs="宋体"/>
          <w:color w:val="auto"/>
          <w:szCs w:val="21"/>
          <w:highlight w:val="none"/>
          <w:lang w:val="zh-CN"/>
        </w:rPr>
        <w:t xml:space="preserve">第一章投标邀请中</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zh-CN"/>
        </w:rPr>
        <w:t xml:space="preserve">采购人根据采购项目的特殊要求规定的特定条件证明文件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如</w:t>
      </w:r>
      <w:r>
        <w:rPr>
          <w:rFonts w:hint="eastAsia" w:ascii="宋体" w:hAnsi="宋体" w:eastAsia="宋体" w:cs="宋体"/>
          <w:color w:val="auto"/>
          <w:szCs w:val="21"/>
          <w:highlight w:val="none"/>
        </w:rPr>
        <w:t xml:space="preserve">有)</w:t>
      </w:r>
      <w:r>
        <w:rPr>
          <w:rFonts w:hint="eastAsia" w:ascii="宋体" w:hAnsi="宋体" w:eastAsia="宋体" w:cs="宋体"/>
          <w:color w:val="auto"/>
          <w:szCs w:val="21"/>
          <w:highlight w:val="none"/>
          <w:lang w:val="zh-CN"/>
        </w:rPr>
        <w:t xml:space="preserve">；</w:t>
      </w:r>
      <w:r/>
    </w:p>
    <w:p>
      <w:pPr>
        <w:ind w:firstLine="420"/>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经营业绩及奖惩情况；</w:t>
      </w:r>
      <w:r/>
    </w:p>
    <w:p>
      <w:pPr>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认为需要</w:t>
      </w:r>
      <w:r>
        <w:rPr>
          <w:rFonts w:hint="eastAsia" w:ascii="宋体" w:hAnsi="宋体" w:eastAsia="宋体" w:cs="宋体"/>
          <w:color w:val="auto"/>
          <w:szCs w:val="21"/>
          <w:highlight w:val="none"/>
          <w:lang w:val="zh-CN"/>
        </w:rPr>
        <w:t xml:space="preserve">提供的其他资格证明文件和商务资料等。</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11、投标文件的技术部分</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11.1 技术部分是证明</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提供的产品和服务是合格的、并符合招标文件要求的证明文件，以及</w:t>
      </w:r>
      <w:r>
        <w:rPr>
          <w:rFonts w:hint="eastAsia" w:ascii="宋体" w:hAnsi="宋体" w:eastAsia="宋体" w:cs="宋体"/>
          <w:color w:val="auto"/>
          <w:highlight w:val="none"/>
          <w:lang w:val="zh-CN"/>
        </w:rPr>
        <w:t xml:space="preserve">对投标报价表中的服务的详细说明，这些文件可以是文字资料、图纸和数据等。</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11.2 若技术性能无特殊说明，则按国家有关部门最新颁布的标准及规范为准；</w:t>
      </w:r>
      <w:r/>
    </w:p>
    <w:p>
      <w:pPr>
        <w:ind w:firstLine="420"/>
        <w:rPr>
          <w:rFonts w:hint="eastAsia" w:ascii="宋体" w:hAnsi="宋体" w:eastAsia="宋体" w:cs="宋体"/>
          <w:b/>
          <w:color w:val="auto"/>
          <w:szCs w:val="21"/>
          <w:highlight w:val="none"/>
          <w:lang w:val="zh-CN"/>
        </w:rPr>
      </w:pPr>
      <w:r>
        <w:rPr>
          <w:rFonts w:hint="eastAsia" w:ascii="宋体" w:hAnsi="宋体" w:eastAsia="宋体" w:cs="宋体"/>
          <w:color w:val="auto"/>
          <w:highlight w:val="none"/>
          <w:lang w:val="zh-CN"/>
        </w:rPr>
        <w:t xml:space="preserve">11.</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 投标文件应按照招标文件要求提供技术资料、文件和有关证明，包括但不限于</w:t>
      </w:r>
      <w:r>
        <w:rPr>
          <w:rFonts w:hint="eastAsia" w:ascii="宋体" w:hAnsi="宋体" w:eastAsia="宋体" w:cs="宋体"/>
          <w:b/>
          <w:color w:val="auto"/>
          <w:highlight w:val="none"/>
          <w:lang w:val="zh-CN"/>
        </w:rPr>
        <w:t xml:space="preserve">其中加</w:t>
      </w: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zh-CN"/>
        </w:rPr>
        <w:t xml:space="preserve">项目不得有缺失或无效：</w:t>
      </w:r>
      <w:r/>
    </w:p>
    <w:p>
      <w:pPr>
        <w:ind w:firstLine="420"/>
        <w:tabs>
          <w:tab w:val="left" w:pos="732"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（1）项目服务方案；</w:t>
      </w:r>
      <w:r/>
    </w:p>
    <w:p>
      <w:pPr>
        <w:ind w:firstLine="420"/>
        <w:tabs>
          <w:tab w:val="left" w:pos="73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（2）项目组人员一览表</w:t>
      </w:r>
      <w:r>
        <w:rPr>
          <w:rFonts w:hint="eastAsia" w:ascii="宋体" w:hAnsi="宋体" w:eastAsia="宋体" w:cs="宋体"/>
          <w:color w:val="auto"/>
          <w:szCs w:val="21"/>
          <w:highlight w:val="none"/>
        </w:rPr>
        <w:t xml:space="preserve">；</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（3）质量保证及服务承诺（不得低于招标文件要求）；</w:t>
      </w:r>
      <w:r/>
    </w:p>
    <w:p>
      <w:pPr>
        <w:ind w:firstLine="420"/>
        <w:jc w:val="left"/>
        <w:rPr>
          <w:rFonts w:hint="eastAsia" w:ascii="宋体" w:hAnsi="宋体" w:eastAsia="宋体" w:cs="宋体"/>
          <w:b/>
          <w:color w:val="auto"/>
          <w:highlight w:val="none"/>
          <w:lang w:val="zh-CN"/>
        </w:rPr>
      </w:pPr>
      <w:r>
        <w:rPr>
          <w:rFonts w:hint="eastAsia" w:ascii="宋体" w:hAnsi="宋体" w:eastAsia="宋体" w:cs="宋体"/>
          <w:color w:val="auto"/>
          <w:szCs w:val="21"/>
          <w:highlight w:val="none"/>
          <w:lang w:val="zh-CN"/>
        </w:rPr>
        <w:t xml:space="preserve">（4）投标人认为需要提供的其他技术文件或资料等。</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12、投标文件的价格部分</w:t>
      </w:r>
      <w:r/>
    </w:p>
    <w:p>
      <w:pPr>
        <w:ind w:firstLine="420"/>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highlight w:val="none"/>
          <w:lang w:val="zh-CN"/>
        </w:rPr>
        <w:t xml:space="preserve">12.1 价格部分是对投标货物及服务价格构成的说明，每一项服务仅接受一个价格。</w:t>
      </w:r>
      <w:r/>
    </w:p>
    <w:p>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12.2</w:t>
      </w:r>
      <w:r>
        <w:rPr>
          <w:rFonts w:hint="eastAsia" w:ascii="宋体" w:hAnsi="宋体" w:eastAsia="宋体" w:cs="宋体"/>
          <w:b/>
          <w:bCs/>
          <w:color w:val="auto"/>
          <w:szCs w:val="21"/>
          <w:highlight w:val="none"/>
        </w:rPr>
        <w:t xml:space="preserve">政府采购提倡公平竞争，反对低于成本、串通报价、哄抬价格等恶意竞争行为，任何盲目压价、低于成本报价、串通哄抬报价等价格将会被拒绝。报价应低于市场平均价。</w:t>
      </w:r>
      <w:r/>
    </w:p>
    <w:p>
      <w:pPr>
        <w:ind w:firstLine="420"/>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rPr>
        <w:t xml:space="preserve">12.3投标报价</w:t>
      </w:r>
      <w:r>
        <w:rPr>
          <w:rFonts w:hint="eastAsia" w:ascii="宋体" w:hAnsi="宋体" w:eastAsia="宋体" w:cs="宋体"/>
          <w:color w:val="auto"/>
          <w:szCs w:val="21"/>
          <w:highlight w:val="none"/>
          <w:lang w:val="zh-CN"/>
        </w:rPr>
        <w:t xml:space="preserve">是招标文件所确定的采购范围内的全部货物或服务的价格体现。</w:t>
      </w:r>
      <w:r>
        <w:rPr>
          <w:rFonts w:hint="eastAsia" w:ascii="宋体" w:hAnsi="宋体" w:eastAsia="宋体" w:cs="宋体"/>
          <w:b/>
          <w:color w:val="auto"/>
          <w:szCs w:val="21"/>
          <w:highlight w:val="none"/>
          <w:lang w:val="zh-CN"/>
        </w:rPr>
        <w:t xml:space="preserve">投标报价：包括但不限于完成文件所确定的服务范围所需的劳务、材料、设备、管理、维护、利润、税金（包含个人所得税）等全部费用，及政策性文件规定及实施过程中所有风险、责任等各项应有费用，不论其在采购文件中是否有提及。投标投标人应根据上述因素自行考虑含入投标报价。</w:t>
      </w:r>
      <w:r/>
    </w:p>
    <w:p>
      <w:pPr>
        <w:ind w:firstLine="420"/>
        <w:rPr>
          <w:rFonts w:hint="eastAsia" w:ascii="宋体" w:hAnsi="宋体" w:eastAsia="宋体" w:cs="宋体"/>
          <w:b/>
          <w:color w:val="auto"/>
          <w:highlight w:val="none"/>
        </w:rPr>
      </w:pPr>
      <w:r>
        <w:rPr>
          <w:rFonts w:hint="eastAsia" w:ascii="宋体" w:hAnsi="宋体" w:eastAsia="宋体" w:cs="宋体"/>
          <w:color w:val="auto"/>
          <w:highlight w:val="none"/>
          <w:lang w:val="zh-CN"/>
        </w:rPr>
        <w:t xml:space="preserve">12.4 </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的任何错漏、优惠、竞争性报价不得作为减轻责任、减少服务、增加收费、降低质量的理由。在验收过程中，如发现有漏项、缺件，投标方应无条件、无偿补齐，所发生的一切费用，视为已包含在投标方的最终投标报价中。</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12.5 投标人应在《开标一览表》等标明提供货物及服务的</w:t>
      </w:r>
      <w:r>
        <w:rPr>
          <w:rFonts w:hint="eastAsia" w:ascii="宋体" w:hAnsi="宋体" w:eastAsia="宋体" w:cs="宋体"/>
          <w:bCs/>
          <w:color w:val="auto"/>
          <w:highlight w:val="none"/>
          <w:lang w:val="zh-CN"/>
        </w:rPr>
        <w:t xml:space="preserve">投标</w:t>
      </w:r>
      <w:r>
        <w:rPr>
          <w:rFonts w:hint="eastAsia" w:ascii="宋体" w:hAnsi="宋体" w:eastAsia="宋体" w:cs="宋体"/>
          <w:color w:val="auto"/>
          <w:highlight w:val="none"/>
          <w:lang w:val="zh-CN"/>
        </w:rPr>
        <w:t xml:space="preserve">报价。投标人系</w:t>
      </w:r>
      <w:r>
        <w:rPr>
          <w:rFonts w:hint="eastAsia" w:ascii="宋体" w:hAnsi="宋体" w:eastAsia="宋体" w:cs="宋体"/>
          <w:b/>
          <w:color w:val="auto"/>
          <w:highlight w:val="none"/>
          <w:lang w:val="zh-CN"/>
        </w:rPr>
        <w:t xml:space="preserve">小企业（含小型、微型企业、</w:t>
      </w:r>
      <w:r>
        <w:rPr>
          <w:rFonts w:hint="eastAsia" w:ascii="宋体" w:hAnsi="宋体" w:eastAsia="宋体" w:cs="宋体"/>
          <w:b/>
          <w:color w:val="auto"/>
          <w:highlight w:val="none"/>
        </w:rPr>
        <w:t xml:space="preserve">监狱企业</w:t>
      </w:r>
      <w:r>
        <w:rPr>
          <w:rFonts w:hint="eastAsia" w:ascii="宋体" w:hAnsi="宋体" w:eastAsia="宋体" w:cs="宋体"/>
          <w:b/>
          <w:color w:val="auto"/>
          <w:highlight w:val="none"/>
          <w:lang w:val="zh-CN"/>
        </w:rPr>
        <w:t xml:space="preserve">），</w:t>
      </w:r>
      <w:r>
        <w:rPr>
          <w:rFonts w:hint="eastAsia" w:ascii="宋体" w:hAnsi="宋体" w:eastAsia="宋体" w:cs="宋体"/>
          <w:color w:val="auto"/>
          <w:highlight w:val="none"/>
        </w:rPr>
        <w:t xml:space="preserve">须在</w:t>
      </w:r>
      <w:r>
        <w:rPr>
          <w:rFonts w:hint="eastAsia" w:ascii="宋体" w:hAnsi="宋体" w:eastAsia="宋体" w:cs="宋体"/>
          <w:color w:val="auto"/>
          <w:highlight w:val="none"/>
          <w:lang w:val="zh-CN"/>
        </w:rPr>
        <w:t xml:space="preserve">《开标一览表》中注明，如无法划分计算的，将不予认可。</w:t>
      </w:r>
      <w:r/>
    </w:p>
    <w:p>
      <w:pPr>
        <w:ind w:firstLine="420"/>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highlight w:val="none"/>
          <w:lang w:val="zh-CN"/>
        </w:rPr>
        <w:t xml:space="preserve">12.6 </w:t>
      </w:r>
      <w:r>
        <w:rPr>
          <w:rFonts w:hint="eastAsia" w:ascii="宋体" w:hAnsi="宋体" w:eastAsia="宋体" w:cs="宋体"/>
          <w:color w:val="auto"/>
          <w:szCs w:val="21"/>
          <w:highlight w:val="none"/>
          <w:lang w:val="zh-CN"/>
        </w:rPr>
        <w:t xml:space="preserve">投标投标人应充分考虑到市场价格变动，以及项目实施过程中的不可预见因素，一旦成交，如果有漏项，视同让利。</w:t>
      </w:r>
      <w:r/>
    </w:p>
    <w:p>
      <w:pPr>
        <w:ind w:firstLine="422"/>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12.7异常低价投标（响应）审查程序</w:t>
      </w:r>
      <w:r/>
    </w:p>
    <w:p>
      <w:pPr>
        <w:ind w:firstLine="422"/>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政府采购提倡公平竞争，反对盲目压价参与磋商，任何盲目压价和低于成本报价将会被拒绝。</w:t>
      </w:r>
      <w:r/>
    </w:p>
    <w:p>
      <w:pPr>
        <w:ind w:firstLine="422"/>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出现下列情形之一的，评审委员会应当启动异常低价投标（响应）审查程序： </w:t>
      </w:r>
      <w:r/>
    </w:p>
    <w:p>
      <w:pPr>
        <w:ind w:firstLine="422"/>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2"/>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2"/>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3）投标（响应）报价低于采购项目最高限价45%的，即投标（响应）报价&lt;采购项目最高限价×45%； </w:t>
      </w:r>
      <w:r/>
    </w:p>
    <w:p>
      <w:pPr>
        <w:ind w:firstLine="422"/>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4</w:t>
      </w:r>
      <w:r>
        <w:rPr>
          <w:rFonts w:hint="eastAsia" w:ascii="宋体" w:hAnsi="宋体" w:cs="宋体"/>
          <w:b/>
          <w:color w:val="auto"/>
          <w:highlight w:val="none"/>
          <w:lang w:val="en-US" w:eastAsia="zh-CN"/>
        </w:rPr>
        <w:t xml:space="preserve">）投标（响应）分项报价低于全部通过符合性审查供应商投标（响应）对应分项报价平均值50%的，即投标（响应）分项报价&lt;全部通过符合性审查供应商投标（响应）对应分项报价平均值×50%； </w:t>
      </w:r>
      <w:r/>
    </w:p>
    <w:p>
      <w:pPr>
        <w:ind w:firstLine="422"/>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5）投标（响应）分项报价低于通过符合性审查的次低报价供应商投标（响应）对应分项50%的，即投标（响应）分项报价&lt;通过符合性审查的次低报价供应商投标（响应）对应分项报价×50%； </w:t>
      </w:r>
      <w:r/>
    </w:p>
    <w:p>
      <w:pPr>
        <w:ind w:firstLine="422"/>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6）投标（响应）分项报价低于采购项目对应分项报价最高限价45%的，即投标（响应）分项报价&lt;采购项目对应分项报价最高限价×45%； </w:t>
      </w:r>
      <w:r/>
    </w:p>
    <w:p>
      <w:pPr>
        <w:ind w:firstLine="422"/>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评审委员会启动异常低价投标（响应）审查后，属于前述第1项至第5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22"/>
        <w:rPr>
          <w:rFonts w:hint="default" w:ascii="宋体" w:hAnsi="宋体" w:eastAsia="宋体" w:cs="宋体"/>
          <w:b/>
          <w:color w:val="auto"/>
          <w:highlight w:val="none"/>
          <w:lang w:val="en-US" w:eastAsia="zh-CN"/>
        </w:rPr>
      </w:pPr>
      <w:r>
        <w:rPr>
          <w:rFonts w:hint="eastAsia" w:ascii="宋体" w:hAnsi="宋体" w:cs="宋体"/>
          <w:b/>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13、投标文件的其他部分</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13.1 其他部分由投标人根据编制投标文件需要提供的其他相关文件。</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1</w:t>
      </w:r>
      <w:r>
        <w:rPr>
          <w:rFonts w:hint="eastAsia" w:ascii="宋体" w:hAnsi="宋体" w:eastAsia="宋体" w:cs="宋体"/>
          <w:b/>
          <w:color w:val="auto"/>
          <w:highlight w:val="none"/>
        </w:rPr>
        <w:t xml:space="preserve">4</w:t>
      </w:r>
      <w:r>
        <w:rPr>
          <w:rFonts w:hint="eastAsia" w:ascii="宋体" w:hAnsi="宋体" w:eastAsia="宋体" w:cs="宋体"/>
          <w:b/>
          <w:color w:val="auto"/>
          <w:highlight w:val="none"/>
          <w:lang w:val="zh-CN"/>
        </w:rPr>
        <w:t xml:space="preserve">、投标有效期</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.1 自开标之日起</w:t>
      </w:r>
      <w:r>
        <w:rPr>
          <w:rFonts w:hint="eastAsia" w:ascii="宋体" w:hAnsi="宋体" w:eastAsia="宋体" w:cs="宋体"/>
          <w:color w:val="auto"/>
          <w:highlight w:val="none"/>
        </w:rPr>
        <w:t xml:space="preserve">90</w:t>
      </w:r>
      <w:r>
        <w:rPr>
          <w:rFonts w:hint="eastAsia" w:ascii="宋体" w:hAnsi="宋体" w:eastAsia="宋体" w:cs="宋体"/>
          <w:color w:val="auto"/>
          <w:highlight w:val="none"/>
          <w:lang w:val="zh-CN"/>
        </w:rPr>
        <w:t xml:space="preserve">天内投标有效。</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.2 在特殊情况下，在原投标有效期截止之前，代理机构可要求投标人同意延长投标有效期，这种要求与答复均以书面形式提交。投标人可拒绝这种要求。接受延长投标有效期的投标人将不会要求和允许修正其投标。</w:t>
      </w:r>
      <w:r/>
    </w:p>
    <w:p>
      <w:pPr>
        <w:ind w:firstLine="422"/>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zh-CN"/>
        </w:rPr>
        <w:t xml:space="preserve">1</w:t>
      </w:r>
      <w:r>
        <w:rPr>
          <w:rFonts w:hint="eastAsia" w:ascii="宋体" w:hAnsi="宋体" w:eastAsia="宋体" w:cs="宋体"/>
          <w:b/>
          <w:color w:val="auto"/>
          <w:highlight w:val="none"/>
        </w:rPr>
        <w:t xml:space="preserve">5</w:t>
      </w:r>
      <w:r>
        <w:rPr>
          <w:rFonts w:hint="eastAsia" w:ascii="宋体" w:hAnsi="宋体" w:eastAsia="宋体" w:cs="宋体"/>
          <w:b/>
          <w:color w:val="auto"/>
          <w:highlight w:val="none"/>
          <w:lang w:val="zh-CN"/>
        </w:rPr>
        <w:t xml:space="preserve">、投标文件</w:t>
      </w:r>
      <w:r>
        <w:rPr>
          <w:rFonts w:hint="eastAsia" w:ascii="宋体" w:hAnsi="宋体" w:eastAsia="宋体" w:cs="宋体"/>
          <w:b/>
          <w:color w:val="auto"/>
          <w:highlight w:val="none"/>
        </w:rPr>
        <w:t xml:space="preserve">的</w:t>
      </w:r>
      <w:r>
        <w:rPr>
          <w:rFonts w:hint="eastAsia" w:ascii="宋体" w:hAnsi="宋体" w:eastAsia="宋体" w:cs="宋体"/>
          <w:b/>
          <w:color w:val="auto"/>
          <w:highlight w:val="none"/>
          <w:lang w:val="en-US" w:eastAsia="zh-CN"/>
        </w:rPr>
        <w:t xml:space="preserve">递交</w:t>
      </w:r>
      <w:r/>
    </w:p>
    <w:p>
      <w:pPr>
        <w:ind w:firstLine="4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15.1 投标人应当按照《操作手册》规定，在招标公告规定的投标截止时间前制作并上传电子投标文件。</w:t>
      </w:r>
      <w:r/>
    </w:p>
    <w:p>
      <w:pPr>
        <w:ind w:firstLine="4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15.2 投标人应充分考虑网络环境、网络带宽等因素可能对投标产生的影响，如因投标人自身原因造成的电子投标文件上传不成功的，按照本招标文件第二章第22.2.3条规定做无效投标处理。</w:t>
      </w:r>
      <w:r/>
    </w:p>
    <w:p>
      <w:pPr>
        <w:ind w:firstLine="4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15.3代理机构可以按照规定，通过修改招标文件酌情延长投标截止时间，在此情况下，投标人的所有权利和义务均以延长后新的截止时间为准。</w:t>
      </w:r>
      <w:r/>
    </w:p>
    <w:p>
      <w:pPr>
        <w:ind w:firstLine="42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16.投标文件的拒收</w:t>
      </w:r>
      <w:r/>
    </w:p>
    <w:p>
      <w:pPr>
        <w:ind w:firstLine="422"/>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16.1代理机构拒绝接收投标截止时间后上传的任何投标文件</w:t>
      </w:r>
      <w:r>
        <w:rPr>
          <w:rFonts w:hint="eastAsia" w:ascii="宋体" w:hAnsi="宋体" w:eastAsia="宋体" w:cs="宋体"/>
          <w:color w:val="auto"/>
          <w:highlight w:val="none"/>
          <w:lang w:val="en-US" w:eastAsia="zh-CN"/>
        </w:rPr>
        <w:t xml:space="preserve">。</w:t>
      </w:r>
      <w:r/>
    </w:p>
    <w:p>
      <w:pPr>
        <w:ind w:firstLine="422"/>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17.投标文件的撤回和修改</w:t>
      </w:r>
      <w:r/>
    </w:p>
    <w:p>
      <w:pPr>
        <w:ind w:firstLine="4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17.1 投标文件的撤回</w:t>
      </w:r>
      <w:r/>
    </w:p>
    <w:p>
      <w:pPr>
        <w:ind w:firstLine="4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17.1.1投标人可在投标截止时间前撤回其电子投标文件，具体操作方法见《操作手册》。</w:t>
      </w:r>
      <w:r/>
    </w:p>
    <w:p>
      <w:pPr>
        <w:ind w:firstLine="4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17.1.2投标人撤回电子投标文件，则认为其不再参与本项目投标活动。</w:t>
      </w:r>
      <w:r/>
    </w:p>
    <w:p>
      <w:pPr>
        <w:ind w:firstLine="4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17.2 投标文件的修改</w:t>
      </w:r>
      <w:r/>
    </w:p>
    <w:p>
      <w:pPr>
        <w:ind w:firstLine="4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17.2.1投标人可在投标截止时间前对其电子投标文件进行修改，具体操作方法见《操作手册》。</w:t>
      </w:r>
      <w:r/>
    </w:p>
    <w:p>
      <w:pPr>
        <w:ind w:firstLine="4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17.2.2投标截止时间之后，投标人不得对其电子投标文件作任何修改。</w:t>
      </w:r>
      <w:r/>
    </w:p>
    <w:p>
      <w:pPr>
        <w:ind w:firstLine="4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17.3 在投标截止时间至招标文件中规定的投标有效期满之间的这段时间内，投标人不得撤回其投标。</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四、开标、评标与确定中标投标人</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8</w:t>
      </w:r>
      <w:r>
        <w:rPr>
          <w:rFonts w:hint="eastAsia" w:ascii="宋体" w:hAnsi="宋体" w:eastAsia="宋体" w:cs="宋体"/>
          <w:b/>
          <w:color w:val="auto"/>
          <w:highlight w:val="none"/>
          <w:lang w:val="zh-CN"/>
        </w:rPr>
        <w:t xml:space="preserve">、开标</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18</w:t>
      </w:r>
      <w:r>
        <w:rPr>
          <w:rFonts w:hint="eastAsia" w:ascii="宋体" w:hAnsi="宋体" w:eastAsia="宋体" w:cs="宋体"/>
          <w:color w:val="auto"/>
          <w:highlight w:val="none"/>
        </w:rPr>
        <w:t xml:space="preserve">.1 </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在招标公告中规定的时间和地点组织公开开标。</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按照《操作手册》规定参加开标活动，并在苏采云系统规定的时间内对投标文件进行解密。苏采云系统公布各</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名称和投标价格。</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18</w:t>
      </w:r>
      <w:r>
        <w:rPr>
          <w:rFonts w:hint="eastAsia" w:ascii="宋体" w:hAnsi="宋体" w:eastAsia="宋体" w:cs="宋体"/>
          <w:color w:val="auto"/>
          <w:highlight w:val="none"/>
        </w:rPr>
        <w:t xml:space="preserve">.2 </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在开标过程中涉及到的投标文件解密、开标结果确认等工作，应按照《操作手册》规定执行。</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18</w:t>
      </w:r>
      <w:r>
        <w:rPr>
          <w:rFonts w:hint="eastAsia" w:ascii="宋体" w:hAnsi="宋体" w:eastAsia="宋体" w:cs="宋体"/>
          <w:color w:val="auto"/>
          <w:highlight w:val="none"/>
        </w:rPr>
        <w:t xml:space="preserve">.3 </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如果对开标过程和开标结果有疑义，应当根据《操作手册》规定提出，苏采云系统中《开标记录表》公布后5分钟内未提出的，视同认可开标结果。</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18</w:t>
      </w:r>
      <w:r>
        <w:rPr>
          <w:rFonts w:hint="eastAsia" w:ascii="宋体" w:hAnsi="宋体" w:eastAsia="宋体" w:cs="宋体"/>
          <w:color w:val="auto"/>
          <w:highlight w:val="none"/>
          <w:lang w:val="zh-CN"/>
        </w:rPr>
        <w:t xml:space="preserve">.4 开标时，开标一览表中的投标总报价应与投标分项报价表中的投标总报价一致，如不一致不作为无效投标处理，评标时以开标一览表中价格为准。</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18</w:t>
      </w:r>
      <w:r>
        <w:rPr>
          <w:rFonts w:hint="eastAsia" w:ascii="宋体" w:hAnsi="宋体" w:eastAsia="宋体" w:cs="宋体"/>
          <w:color w:val="auto"/>
          <w:highlight w:val="none"/>
          <w:lang w:val="zh-CN"/>
        </w:rPr>
        <w:t xml:space="preserve">.5 投标文件、《开标一览表》中报价出现前后不一致的，除采购文件另有规定外，按照下列规定修正：</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 大写金额和小写金额不一致的，以大写金额为准；</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 单价金额小数点或者百分比有明显错位的，以报价表的总价为准，并修改单价；</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 总价金额与按单价汇总金额不一致的，以单价金额计算结果为准。</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（4）同时出现两种以上不一致的，按照前款规定的顺序修正。</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评标委员会将按上述修正错误的方法调整响应文件中的投标报价，并通过苏采云系统告知投标人，调整后的价格对投标人具有约束力。如果投标人不接受修正后的价格，则其投标将被拒绝。</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18</w:t>
      </w:r>
      <w:r>
        <w:rPr>
          <w:rFonts w:hint="eastAsia" w:ascii="宋体" w:hAnsi="宋体" w:eastAsia="宋体" w:cs="宋体"/>
          <w:color w:val="auto"/>
          <w:highlight w:val="none"/>
          <w:lang w:val="zh-CN"/>
        </w:rPr>
        <w:t xml:space="preserve">.6 投标截止时间结束后参加投标的投标人不足三家的，除采购任务取消情形外，代理机构报经监管部门批准后，可变更为竞争性谈判或者单一来源方式采购。如果变更为竞争性谈判采购的，</w:t>
      </w:r>
      <w:r>
        <w:rPr>
          <w:rFonts w:hint="eastAsia" w:ascii="宋体" w:hAnsi="宋体" w:eastAsia="宋体" w:cs="宋体"/>
          <w:color w:val="auto"/>
          <w:highlight w:val="none"/>
        </w:rPr>
        <w:t xml:space="preserve">代理机构根据招标文件中的采购需求编制谈判文件，只与该两家</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进行竞争性谈判采购。</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en-US" w:eastAsia="zh-CN"/>
        </w:rPr>
        <w:t xml:space="preserve">19</w:t>
      </w:r>
      <w:r>
        <w:rPr>
          <w:rFonts w:hint="eastAsia" w:ascii="宋体" w:hAnsi="宋体" w:eastAsia="宋体" w:cs="宋体"/>
          <w:b/>
          <w:color w:val="auto"/>
          <w:highlight w:val="none"/>
          <w:lang w:val="zh-CN"/>
        </w:rPr>
        <w:t xml:space="preserve">、评标</w:t>
      </w:r>
      <w:r/>
    </w:p>
    <w:p>
      <w:pPr>
        <w:ind w:firstLine="422"/>
        <w:widowControl/>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en-US" w:eastAsia="zh-CN"/>
        </w:rPr>
        <w:t xml:space="preserve">19</w:t>
      </w:r>
      <w:r>
        <w:rPr>
          <w:rFonts w:hint="eastAsia" w:ascii="宋体" w:hAnsi="宋体" w:eastAsia="宋体" w:cs="宋体"/>
          <w:b w:val="0"/>
          <w:bCs/>
          <w:color w:val="auto"/>
          <w:highlight w:val="none"/>
          <w:lang w:val="zh-CN"/>
        </w:rPr>
        <w:t xml:space="preserve">.1 评标由代理机构组织评标委员会（以下简称“评委会”）进行。</w:t>
      </w:r>
      <w:r/>
    </w:p>
    <w:p>
      <w:pPr>
        <w:ind w:firstLine="422"/>
        <w:widowControl/>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en-US" w:eastAsia="zh-CN"/>
        </w:rPr>
        <w:t xml:space="preserve">19</w:t>
      </w:r>
      <w:r>
        <w:rPr>
          <w:rFonts w:hint="eastAsia" w:ascii="宋体" w:hAnsi="宋体" w:eastAsia="宋体" w:cs="宋体"/>
          <w:b w:val="0"/>
          <w:bCs/>
          <w:color w:val="auto"/>
          <w:highlight w:val="none"/>
          <w:lang w:val="zh-CN"/>
        </w:rPr>
        <w:t xml:space="preserve">.2 评委会由采购人代表和有关技术、经济等方面的专家组成，且人员构成符合政府采购有关规定。</w:t>
      </w:r>
      <w:r/>
    </w:p>
    <w:p>
      <w:pPr>
        <w:ind w:firstLine="422"/>
        <w:widowControl/>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en-US" w:eastAsia="zh-CN"/>
        </w:rPr>
        <w:t xml:space="preserve">19</w:t>
      </w:r>
      <w:r>
        <w:rPr>
          <w:rFonts w:hint="eastAsia" w:ascii="宋体" w:hAnsi="宋体" w:eastAsia="宋体" w:cs="宋体"/>
          <w:b w:val="0"/>
          <w:bCs/>
          <w:color w:val="auto"/>
          <w:highlight w:val="none"/>
          <w:lang w:val="zh-CN"/>
        </w:rPr>
        <w:t xml:space="preserve">.3评委会独立工作，负责评审所有投标文件并推荐中标候选人，或根据采购人授权直接确定中标人。</w:t>
      </w:r>
      <w:r/>
    </w:p>
    <w:p>
      <w:pPr>
        <w:ind w:firstLine="422"/>
        <w:widowControl/>
        <w:rPr>
          <w:rFonts w:hint="eastAsia" w:ascii="宋体" w:hAnsi="宋体" w:eastAsia="宋体" w:cs="宋体"/>
          <w:b/>
          <w:bCs w:val="0"/>
          <w:color w:val="auto"/>
          <w:highlight w:val="none"/>
          <w:lang w:val="zh-CN"/>
        </w:rPr>
      </w:pPr>
      <w:r>
        <w:rPr>
          <w:rFonts w:hint="eastAsia" w:ascii="宋体" w:hAnsi="宋体" w:eastAsia="宋体" w:cs="宋体"/>
          <w:b/>
          <w:bCs w:val="0"/>
          <w:color w:val="auto"/>
          <w:highlight w:val="none"/>
          <w:lang w:val="zh-CN"/>
        </w:rPr>
        <w:t xml:space="preserve">2</w:t>
      </w:r>
      <w:r>
        <w:rPr>
          <w:rFonts w:hint="eastAsia" w:ascii="宋体" w:hAnsi="宋体" w:eastAsia="宋体" w:cs="宋体"/>
          <w:b/>
          <w:bCs w:val="0"/>
          <w:color w:val="auto"/>
          <w:highlight w:val="none"/>
          <w:lang w:val="en-US" w:eastAsia="zh-CN"/>
        </w:rPr>
        <w:t xml:space="preserve">0</w:t>
      </w:r>
      <w:r>
        <w:rPr>
          <w:rFonts w:hint="eastAsia" w:ascii="宋体" w:hAnsi="宋体" w:eastAsia="宋体" w:cs="宋体"/>
          <w:b/>
          <w:bCs w:val="0"/>
          <w:color w:val="auto"/>
          <w:highlight w:val="none"/>
          <w:lang w:val="zh-CN"/>
        </w:rPr>
        <w:t xml:space="preserve">.评标过程的保密与公正</w:t>
      </w:r>
      <w:r/>
    </w:p>
    <w:p>
      <w:pPr>
        <w:ind w:firstLine="422"/>
        <w:widowControl/>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zh-CN"/>
        </w:rPr>
        <w:t xml:space="preserve">2</w:t>
      </w:r>
      <w:r>
        <w:rPr>
          <w:rFonts w:hint="eastAsia" w:ascii="宋体" w:hAnsi="宋体" w:eastAsia="宋体" w:cs="宋体"/>
          <w:b w:val="0"/>
          <w:bCs/>
          <w:color w:val="auto"/>
          <w:highlight w:val="none"/>
          <w:lang w:val="en-US" w:eastAsia="zh-CN"/>
        </w:rPr>
        <w:t xml:space="preserve">0</w:t>
      </w:r>
      <w:r>
        <w:rPr>
          <w:rFonts w:hint="eastAsia" w:ascii="宋体" w:hAnsi="宋体" w:eastAsia="宋体" w:cs="宋体"/>
          <w:b w:val="0"/>
          <w:bCs/>
          <w:color w:val="auto"/>
          <w:highlight w:val="none"/>
          <w:lang w:val="zh-CN"/>
        </w:rPr>
        <w:t xml:space="preserve">.1凡是与审查、澄清、评价和比较投标的有关资料以及授标建议等，采购人、评委、代理机构均不得向投标人或与评标无关的其他人员透露。</w:t>
      </w:r>
      <w:r/>
    </w:p>
    <w:p>
      <w:pPr>
        <w:ind w:firstLine="422"/>
        <w:widowControl/>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zh-CN"/>
        </w:rPr>
        <w:t xml:space="preserve">2</w:t>
      </w:r>
      <w:r>
        <w:rPr>
          <w:rFonts w:hint="eastAsia" w:ascii="宋体" w:hAnsi="宋体" w:eastAsia="宋体" w:cs="宋体"/>
          <w:b w:val="0"/>
          <w:bCs/>
          <w:color w:val="auto"/>
          <w:highlight w:val="none"/>
          <w:lang w:val="en-US" w:eastAsia="zh-CN"/>
        </w:rPr>
        <w:t xml:space="preserve">0</w:t>
      </w:r>
      <w:r>
        <w:rPr>
          <w:rFonts w:hint="eastAsia" w:ascii="宋体" w:hAnsi="宋体" w:eastAsia="宋体" w:cs="宋体"/>
          <w:b w:val="0"/>
          <w:bCs/>
          <w:color w:val="auto"/>
          <w:highlight w:val="none"/>
          <w:lang w:val="zh-CN"/>
        </w:rPr>
        <w:t xml:space="preserve">.2投标人不得以任何方式影响评标，否则其投标文件将被作为无效投标文件。</w:t>
      </w:r>
      <w:r/>
    </w:p>
    <w:p>
      <w:pPr>
        <w:ind w:firstLine="422"/>
        <w:widowControl/>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zh-CN"/>
        </w:rPr>
        <w:t xml:space="preserve">2</w:t>
      </w:r>
      <w:r>
        <w:rPr>
          <w:rFonts w:hint="eastAsia" w:ascii="宋体" w:hAnsi="宋体" w:eastAsia="宋体" w:cs="宋体"/>
          <w:b w:val="0"/>
          <w:bCs/>
          <w:color w:val="auto"/>
          <w:highlight w:val="none"/>
          <w:lang w:val="en-US" w:eastAsia="zh-CN"/>
        </w:rPr>
        <w:t xml:space="preserve">0</w:t>
      </w:r>
      <w:r>
        <w:rPr>
          <w:rFonts w:hint="eastAsia" w:ascii="宋体" w:hAnsi="宋体" w:eastAsia="宋体" w:cs="宋体"/>
          <w:b w:val="0"/>
          <w:bCs/>
          <w:color w:val="auto"/>
          <w:highlight w:val="none"/>
          <w:lang w:val="zh-CN"/>
        </w:rPr>
        <w:t xml:space="preserve">.3 代理机构和评委会不向未中标的投标人解释未中标原因，也不公布评标过程中的相关细节。</w:t>
      </w:r>
      <w:r/>
    </w:p>
    <w:p>
      <w:pPr>
        <w:ind w:firstLine="422"/>
        <w:widowControl/>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zh-CN"/>
        </w:rPr>
        <w:t xml:space="preserve">2</w:t>
      </w:r>
      <w:r>
        <w:rPr>
          <w:rFonts w:hint="eastAsia" w:ascii="宋体" w:hAnsi="宋体" w:eastAsia="宋体" w:cs="宋体"/>
          <w:b w:val="0"/>
          <w:bCs/>
          <w:color w:val="auto"/>
          <w:highlight w:val="none"/>
          <w:lang w:val="en-US" w:eastAsia="zh-CN"/>
        </w:rPr>
        <w:t xml:space="preserve">0</w:t>
      </w:r>
      <w:r>
        <w:rPr>
          <w:rFonts w:hint="eastAsia" w:ascii="宋体" w:hAnsi="宋体" w:eastAsia="宋体" w:cs="宋体"/>
          <w:b w:val="0"/>
          <w:bCs/>
          <w:color w:val="auto"/>
          <w:highlight w:val="none"/>
          <w:lang w:val="zh-CN"/>
        </w:rPr>
        <w:t xml:space="preserve">.4 采用综合评分法的项目，未中标的投标人可于中标结果公告期限届满之日起通过苏采云系统查看本单位的评审得分及排名情况。</w:t>
      </w:r>
      <w:r/>
    </w:p>
    <w:p>
      <w:pPr>
        <w:ind w:firstLine="422"/>
        <w:widowControl/>
        <w:rPr>
          <w:rFonts w:hint="eastAsia" w:ascii="宋体" w:hAnsi="宋体" w:eastAsia="宋体" w:cs="宋体"/>
          <w:b/>
          <w:bCs w:val="0"/>
          <w:color w:val="auto"/>
          <w:highlight w:val="none"/>
          <w:lang w:val="zh-CN"/>
        </w:rPr>
      </w:pPr>
      <w:r>
        <w:rPr>
          <w:rFonts w:hint="eastAsia" w:ascii="宋体" w:hAnsi="宋体" w:eastAsia="宋体" w:cs="宋体"/>
          <w:b/>
          <w:bCs w:val="0"/>
          <w:color w:val="auto"/>
          <w:highlight w:val="none"/>
          <w:lang w:val="zh-CN"/>
        </w:rPr>
        <w:t xml:space="preserve">2</w:t>
      </w:r>
      <w:r>
        <w:rPr>
          <w:rFonts w:hint="eastAsia" w:ascii="宋体" w:hAnsi="宋体" w:eastAsia="宋体" w:cs="宋体"/>
          <w:b/>
          <w:bCs w:val="0"/>
          <w:color w:val="auto"/>
          <w:highlight w:val="none"/>
          <w:lang w:val="en-US" w:eastAsia="zh-CN"/>
        </w:rPr>
        <w:t xml:space="preserve">1</w:t>
      </w:r>
      <w:r>
        <w:rPr>
          <w:rFonts w:hint="eastAsia" w:ascii="宋体" w:hAnsi="宋体" w:eastAsia="宋体" w:cs="宋体"/>
          <w:b/>
          <w:bCs w:val="0"/>
          <w:color w:val="auto"/>
          <w:highlight w:val="none"/>
          <w:lang w:val="zh-CN"/>
        </w:rPr>
        <w:t xml:space="preserve">.投标文件的澄清</w:t>
      </w:r>
      <w:r/>
    </w:p>
    <w:p>
      <w:pPr>
        <w:ind w:firstLine="422"/>
        <w:widowControl/>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zh-CN"/>
        </w:rPr>
        <w:t xml:space="preserve">2</w:t>
      </w:r>
      <w:r>
        <w:rPr>
          <w:rFonts w:hint="eastAsia" w:ascii="宋体" w:hAnsi="宋体" w:eastAsia="宋体" w:cs="宋体"/>
          <w:b w:val="0"/>
          <w:bCs/>
          <w:color w:val="auto"/>
          <w:highlight w:val="none"/>
          <w:lang w:val="en-US" w:eastAsia="zh-CN"/>
        </w:rPr>
        <w:t xml:space="preserve">1</w:t>
      </w:r>
      <w:r>
        <w:rPr>
          <w:rFonts w:hint="eastAsia" w:ascii="宋体" w:hAnsi="宋体" w:eastAsia="宋体" w:cs="宋体"/>
          <w:b w:val="0"/>
          <w:bCs/>
          <w:color w:val="auto"/>
          <w:highlight w:val="none"/>
          <w:lang w:val="zh-CN"/>
        </w:rPr>
        <w:t xml:space="preserve">.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p>
    <w:p>
      <w:pPr>
        <w:ind w:firstLine="422"/>
        <w:widowControl/>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zh-CN"/>
        </w:rPr>
        <w:t xml:space="preserve">2</w:t>
      </w:r>
      <w:r>
        <w:rPr>
          <w:rFonts w:hint="eastAsia" w:ascii="宋体" w:hAnsi="宋体" w:eastAsia="宋体" w:cs="宋体"/>
          <w:b w:val="0"/>
          <w:bCs/>
          <w:color w:val="auto"/>
          <w:highlight w:val="none"/>
          <w:lang w:val="en-US" w:eastAsia="zh-CN"/>
        </w:rPr>
        <w:t xml:space="preserve">1</w:t>
      </w:r>
      <w:r>
        <w:rPr>
          <w:rFonts w:hint="eastAsia" w:ascii="宋体" w:hAnsi="宋体" w:eastAsia="宋体" w:cs="宋体"/>
          <w:b w:val="0"/>
          <w:bCs/>
          <w:color w:val="auto"/>
          <w:highlight w:val="none"/>
          <w:lang w:val="zh-CN"/>
        </w:rPr>
        <w:t xml:space="preserve">.2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2"/>
        <w:widowControl/>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zh-CN"/>
        </w:rPr>
        <w:t xml:space="preserve">2</w:t>
      </w:r>
      <w:r>
        <w:rPr>
          <w:rFonts w:hint="eastAsia" w:ascii="宋体" w:hAnsi="宋体" w:eastAsia="宋体" w:cs="宋体"/>
          <w:b w:val="0"/>
          <w:bCs/>
          <w:color w:val="auto"/>
          <w:highlight w:val="none"/>
          <w:lang w:val="en-US" w:eastAsia="zh-CN"/>
        </w:rPr>
        <w:t xml:space="preserve">1</w:t>
      </w:r>
      <w:r>
        <w:rPr>
          <w:rFonts w:hint="eastAsia" w:ascii="宋体" w:hAnsi="宋体" w:eastAsia="宋体" w:cs="宋体"/>
          <w:b w:val="0"/>
          <w:bCs/>
          <w:color w:val="auto"/>
          <w:highlight w:val="none"/>
          <w:lang w:val="zh-CN"/>
        </w:rPr>
        <w:t xml:space="preserve">.3 接到评委会澄清、说明和补正要求的，投标人如未按规定作出澄清、说明和补正，其风险由投标人自行承担。</w:t>
      </w:r>
      <w:r/>
    </w:p>
    <w:p>
      <w:pPr>
        <w:ind w:firstLine="422"/>
        <w:widowControl/>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2</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lang w:val="zh-CN"/>
        </w:rPr>
        <w:t xml:space="preserve">.投标文件的审查</w:t>
      </w:r>
      <w:r/>
    </w:p>
    <w:p>
      <w:pPr>
        <w:ind w:firstLine="422"/>
        <w:widowControl/>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zh-CN"/>
        </w:rPr>
        <w:t xml:space="preserve">投标文件审查分为资格</w:t>
      </w:r>
      <w:r>
        <w:rPr>
          <w:rFonts w:hint="eastAsia" w:ascii="宋体" w:hAnsi="宋体" w:eastAsia="宋体" w:cs="宋体"/>
          <w:b w:val="0"/>
          <w:bCs/>
          <w:color w:val="auto"/>
          <w:highlight w:val="none"/>
          <w:lang w:val="en-US" w:eastAsia="zh-CN"/>
        </w:rPr>
        <w:t xml:space="preserve">性</w:t>
      </w:r>
      <w:r>
        <w:rPr>
          <w:rFonts w:hint="eastAsia" w:ascii="宋体" w:hAnsi="宋体" w:eastAsia="宋体" w:cs="宋体"/>
          <w:b w:val="0"/>
          <w:bCs/>
          <w:color w:val="auto"/>
          <w:highlight w:val="none"/>
          <w:lang w:val="zh-CN"/>
        </w:rPr>
        <w:t xml:space="preserve">审查和符合性审查。</w:t>
      </w:r>
      <w:r/>
    </w:p>
    <w:p>
      <w:pPr>
        <w:ind w:firstLine="422"/>
        <w:widowControl/>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zh-CN"/>
        </w:rPr>
        <w:t xml:space="preserve">22.1 投标文件的资格性检查</w:t>
      </w:r>
      <w:r/>
    </w:p>
    <w:p>
      <w:pPr>
        <w:ind w:firstLine="422"/>
        <w:widowControl/>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22.1.1</w:t>
      </w:r>
      <w:r>
        <w:rPr>
          <w:rFonts w:hint="eastAsia" w:ascii="宋体" w:hAnsi="宋体" w:eastAsia="宋体" w:cs="宋体"/>
          <w:color w:val="auto"/>
          <w:highlight w:val="none"/>
          <w:lang w:val="zh-CN"/>
        </w:rPr>
        <w:t xml:space="preserve">依据法律法规和招标文件的规定，对投标文件中资格证明</w:t>
      </w:r>
      <w:r>
        <w:rPr>
          <w:rFonts w:hint="eastAsia" w:ascii="宋体" w:hAnsi="宋体" w:eastAsia="宋体" w:cs="宋体"/>
          <w:color w:val="auto"/>
          <w:highlight w:val="none"/>
        </w:rPr>
        <w:t xml:space="preserve">等</w:t>
      </w:r>
      <w:r>
        <w:rPr>
          <w:rFonts w:hint="eastAsia" w:ascii="宋体" w:hAnsi="宋体" w:eastAsia="宋体" w:cs="宋体"/>
          <w:color w:val="auto"/>
          <w:highlight w:val="none"/>
          <w:lang w:val="zh-CN"/>
        </w:rPr>
        <w:t xml:space="preserve">进行审查，以确定投标人是否具备投标资格。</w:t>
      </w:r>
      <w:r/>
    </w:p>
    <w:p>
      <w:pPr>
        <w:ind w:firstLine="422"/>
        <w:widowControl/>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en-US" w:eastAsia="zh-CN"/>
        </w:rPr>
        <w:t xml:space="preserve">22.1.2</w:t>
      </w:r>
      <w:r>
        <w:rPr>
          <w:rFonts w:hint="eastAsia" w:ascii="宋体" w:hAnsi="宋体" w:eastAsia="宋体" w:cs="宋体"/>
          <w:b/>
          <w:bCs/>
          <w:color w:val="auto"/>
          <w:highlight w:val="none"/>
          <w:lang w:val="zh-CN"/>
        </w:rPr>
        <w:t xml:space="preserve">投标文件有下列情况之一的，在资格性、符合性检查时按照无效投标处理：</w:t>
      </w:r>
      <w:r/>
    </w:p>
    <w:p>
      <w:pPr>
        <w:ind w:firstLine="422"/>
        <w:widowControl/>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w:t>
      </w: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lang w:val="zh-CN"/>
        </w:rPr>
        <w:t xml:space="preserve">）不具备招标文件中规定资格要求的；</w:t>
      </w:r>
      <w:r/>
    </w:p>
    <w:p>
      <w:pPr>
        <w:ind w:firstLine="422"/>
        <w:keepLines w:val="0"/>
        <w:keepNext w:val="0"/>
        <w:pageBreakBefore w:val="0"/>
        <w:spacing w:line="24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lang w:val="zh-CN"/>
        </w:rPr>
        <w:t xml:space="preserve">）被信用中国网站、中国政府采购网站列入失信被执行人名单、重大税收违法案件当事人名单、政府采购严重违法失信行为记录名单的投标人；如本项目接收联合体投标，联合体成员存在不良信用记录的，视同联合体存在不良信用记录；</w:t>
      </w:r>
      <w:r/>
    </w:p>
    <w:p>
      <w:pPr>
        <w:ind w:firstLine="422"/>
        <w:keepLines w:val="0"/>
        <w:keepNext w:val="0"/>
        <w:pageBreakBefore w:val="0"/>
        <w:spacing w:line="24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rPr>
        <w:t xml:space="preserve">）采购产品被财政部、国家发改委、生态环境部等列入“节能产品政府采购品目清单”强制采购范围，而投标人提供的产品不在强制采购范围内。</w:t>
      </w:r>
      <w:r/>
    </w:p>
    <w:p>
      <w:pPr>
        <w:ind w:firstLine="420"/>
        <w:rPr>
          <w:rFonts w:hint="eastAsia" w:ascii="宋体" w:hAnsi="宋体" w:eastAsia="宋体" w:cs="宋体"/>
          <w:b w:val="0"/>
          <w:bCs/>
          <w:color w:val="auto"/>
          <w:highlight w:val="none"/>
          <w:lang w:val="zh-CN"/>
        </w:rPr>
      </w:pPr>
      <w:r>
        <w:rPr>
          <w:rFonts w:hint="eastAsia" w:ascii="宋体" w:hAnsi="宋体" w:eastAsia="宋体" w:cs="宋体"/>
          <w:b w:val="0"/>
          <w:bCs/>
          <w:color w:val="auto"/>
          <w:highlight w:val="none"/>
          <w:lang w:val="zh-CN"/>
        </w:rPr>
        <w:t xml:space="preserve">22.2</w:t>
      </w:r>
      <w:r>
        <w:rPr>
          <w:rFonts w:hint="eastAsia" w:ascii="宋体" w:hAnsi="宋体" w:eastAsia="宋体" w:cs="宋体"/>
          <w:b w:val="0"/>
          <w:bCs/>
          <w:color w:val="auto"/>
          <w:highlight w:val="none"/>
          <w:lang w:val="en-US" w:eastAsia="zh-CN"/>
        </w:rPr>
        <w:t xml:space="preserve"> </w:t>
      </w:r>
      <w:r>
        <w:rPr>
          <w:rFonts w:hint="eastAsia" w:ascii="宋体" w:hAnsi="宋体" w:eastAsia="宋体" w:cs="宋体"/>
          <w:b w:val="0"/>
          <w:bCs/>
          <w:color w:val="auto"/>
          <w:highlight w:val="none"/>
          <w:lang w:val="zh-CN"/>
        </w:rPr>
        <w:t xml:space="preserve">投标文件的符合性检查</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22.2.1</w:t>
      </w:r>
      <w:r>
        <w:rPr>
          <w:rFonts w:hint="eastAsia" w:ascii="宋体" w:hAnsi="宋体" w:eastAsia="宋体" w:cs="宋体"/>
          <w:color w:val="auto"/>
          <w:highlight w:val="none"/>
          <w:lang w:val="zh-CN"/>
        </w:rPr>
        <w:t xml:space="preserve">依据招标文件规定，从投标文件的有效性、完整性和对招标文件的响应程度进行审查</w:t>
      </w:r>
      <w:r>
        <w:rPr>
          <w:rFonts w:hint="eastAsia" w:ascii="宋体" w:hAnsi="宋体" w:eastAsia="宋体" w:cs="宋体"/>
          <w:color w:val="auto"/>
          <w:szCs w:val="21"/>
          <w:highlight w:val="none"/>
        </w:rPr>
        <w:t xml:space="preserve">，以确定是否对</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文件的实质性要求作出响应。</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22.2.</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lang w:val="zh-CN"/>
        </w:rPr>
        <w:t xml:space="preserve"> 实质性要求是指本招标文件中用带星号（“★或*”）、“必须或须”或“应（应当）”等其他文字说明的商务和技术要求。</w:t>
      </w:r>
      <w:r/>
    </w:p>
    <w:p>
      <w:pPr>
        <w:ind w:firstLine="422"/>
        <w:jc w:val="left"/>
        <w:spacing w:line="240" w:lineRule="auto"/>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22.2.3</w:t>
      </w:r>
      <w:r>
        <w:rPr>
          <w:rFonts w:hint="eastAsia" w:ascii="宋体" w:hAnsi="宋体" w:eastAsia="宋体" w:cs="宋体"/>
          <w:b/>
          <w:bCs/>
          <w:color w:val="auto"/>
          <w:sz w:val="21"/>
          <w:szCs w:val="21"/>
          <w:highlight w:val="none"/>
        </w:rPr>
        <w:t xml:space="preserve">响应文件属下列情形之一的，按照无效响应处理：</w:t>
      </w:r>
      <w:r/>
    </w:p>
    <w:p>
      <w:pPr>
        <w:ind w:firstLine="422"/>
        <w:keepLines w:val="0"/>
        <w:keepNext w:val="0"/>
        <w:pageBreakBefore w:val="0"/>
        <w:spacing w:line="24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zh-CN"/>
        </w:rPr>
        <w:t xml:space="preserve">）投标人在苏采云系统规定的时间内未成功解密电子投标文件；</w:t>
      </w:r>
      <w:r/>
    </w:p>
    <w:p>
      <w:pPr>
        <w:ind w:firstLine="422"/>
        <w:keepLines w:val="0"/>
        <w:keepNext w:val="0"/>
        <w:pageBreakBefore w:val="0"/>
        <w:spacing w:line="24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）投标人未按照招标文件要求上传电子投标文件；</w:t>
      </w:r>
      <w:r/>
    </w:p>
    <w:p>
      <w:pPr>
        <w:ind w:firstLine="422"/>
        <w:keepLines w:val="0"/>
        <w:keepNext w:val="0"/>
        <w:pageBreakBefore w:val="0"/>
        <w:spacing w:line="24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rPr>
        <w:t xml:space="preserve">）同一投标人提交两个（含两个）以上不同的投标报价；</w:t>
      </w:r>
      <w:r/>
    </w:p>
    <w:p>
      <w:pPr>
        <w:ind w:firstLine="422"/>
        <w:keepLines w:val="0"/>
        <w:keepNext w:val="0"/>
        <w:pageBreakBefore w:val="0"/>
        <w:spacing w:line="24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rPr>
        <w:t xml:space="preserve">）投标人的报价超过了采购预算或最高限价；</w:t>
      </w:r>
      <w:r/>
    </w:p>
    <w:p>
      <w:pPr>
        <w:ind w:firstLine="422"/>
        <w:keepLines w:val="0"/>
        <w:keepNext w:val="0"/>
        <w:pageBreakBefore w:val="0"/>
        <w:spacing w:line="24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评委会认为投标人的报价明显低于其他通过符合性审查投标人的报价，有可能影响</w:t>
      </w: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2"/>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不同</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的响应文件由同一单位或者个人编制；</w:t>
      </w:r>
      <w:r/>
    </w:p>
    <w:p>
      <w:pPr>
        <w:ind w:firstLine="422"/>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）不同</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委托同一单位或者个人办理投标事宜；</w:t>
      </w:r>
      <w:r/>
    </w:p>
    <w:p>
      <w:pPr>
        <w:ind w:firstLine="422"/>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）不同</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的ip地址、MAC地址、标书制作工具客户端标识码一致的；</w:t>
      </w:r>
      <w:r/>
    </w:p>
    <w:p>
      <w:pPr>
        <w:ind w:firstLine="422"/>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w:t>
      </w:r>
      <w:bookmarkStart w:id="64" w:name="OLE_LINK7"/>
      <w:r>
        <w:rPr>
          <w:rFonts w:hint="eastAsia" w:ascii="宋体" w:hAnsi="宋体" w:eastAsia="宋体" w:cs="宋体"/>
          <w:b/>
          <w:bCs/>
          <w:color w:val="auto"/>
          <w:sz w:val="21"/>
          <w:szCs w:val="21"/>
          <w:highlight w:val="none"/>
        </w:rPr>
        <w:t xml:space="preserve">不同</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的响应文件载明的项目管理成员或者联系人员为同一人</w:t>
      </w:r>
      <w:bookmarkEnd w:id="64"/>
      <w:r>
        <w:rPr>
          <w:rFonts w:hint="eastAsia" w:ascii="宋体" w:hAnsi="宋体" w:eastAsia="宋体" w:cs="宋体"/>
          <w:b/>
          <w:bCs/>
          <w:color w:val="auto"/>
          <w:sz w:val="21"/>
          <w:szCs w:val="21"/>
          <w:highlight w:val="none"/>
        </w:rPr>
        <w:t xml:space="preserve">；</w:t>
      </w:r>
      <w:r/>
    </w:p>
    <w:p>
      <w:pPr>
        <w:ind w:firstLine="422"/>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）不同</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的响应文件异常一致或者投标报价呈规律性差异；</w:t>
      </w:r>
      <w:r/>
    </w:p>
    <w:p>
      <w:pPr>
        <w:ind w:firstLine="422"/>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）不同</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的法定代表人或委托代理人有夫妻、直系血亲关系的；</w:t>
      </w:r>
      <w:r/>
    </w:p>
    <w:p>
      <w:pPr>
        <w:ind w:firstLine="422"/>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不同</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的负责人为同一人或者存在控股、管理关系的；</w:t>
      </w:r>
      <w:r/>
    </w:p>
    <w:p>
      <w:pPr>
        <w:ind w:firstLine="422"/>
        <w:jc w:val="left"/>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不同</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的委托代理人(或法定代表人、项目经理、项目总监、项目负责人等)在采购文件发布日上月至投标截止日当月在同一单位缴纳社会保险的；</w:t>
      </w:r>
      <w:r/>
    </w:p>
    <w:p>
      <w:pPr>
        <w:ind w:firstLine="422"/>
        <w:keepLines w:val="0"/>
        <w:keepNext w:val="0"/>
        <w:pageBreakBefore w:val="0"/>
        <w:spacing w:line="24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投标文件</w:t>
      </w:r>
      <w:r>
        <w:rPr>
          <w:rFonts w:hint="eastAsia" w:ascii="宋体" w:hAnsi="宋体" w:eastAsia="宋体" w:cs="宋体"/>
          <w:b/>
          <w:bCs/>
          <w:color w:val="auto"/>
          <w:sz w:val="21"/>
          <w:szCs w:val="21"/>
          <w:highlight w:val="none"/>
          <w:lang w:val="zh-CN"/>
        </w:rPr>
        <w:t xml:space="preserve">未响应招标文件中实质性要求和条件的；</w:t>
      </w:r>
      <w:r/>
    </w:p>
    <w:p>
      <w:pPr>
        <w:ind w:firstLine="422"/>
        <w:keepLines w:val="0"/>
        <w:keepNext w:val="0"/>
        <w:pageBreakBefore w:val="0"/>
        <w:spacing w:line="24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lang w:val="zh-CN"/>
        </w:rPr>
        <w:t xml:space="preserve">）投标文件含有采购人不能接受的附加条件；</w:t>
      </w:r>
      <w:r/>
    </w:p>
    <w:p>
      <w:pPr>
        <w:ind w:firstLine="422"/>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16</w:t>
      </w:r>
      <w:r>
        <w:rPr>
          <w:rFonts w:hint="eastAsia" w:ascii="宋体" w:hAnsi="宋体" w:eastAsia="宋体" w:cs="宋体"/>
          <w:b/>
          <w:bCs/>
          <w:color w:val="auto"/>
          <w:sz w:val="21"/>
          <w:szCs w:val="21"/>
          <w:highlight w:val="none"/>
          <w:lang w:val="zh-CN"/>
        </w:rPr>
        <w:t xml:space="preserve">）投标文件未按照招标文件要求加盖电子公章；</w:t>
      </w:r>
      <w:r/>
    </w:p>
    <w:p>
      <w:pPr>
        <w:ind w:firstLine="422"/>
        <w:keepLines w:val="0"/>
        <w:keepNext w:val="0"/>
        <w:pageBreakBefore w:val="0"/>
        <w:spacing w:line="240" w:lineRule="auto"/>
        <w:rPr>
          <w:rFonts w:hint="eastAsia" w:ascii="宋体" w:hAnsi="宋体" w:eastAsia="宋体" w:cs="宋体"/>
          <w:b/>
          <w:bCs/>
          <w:color w:val="auto"/>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17</w:t>
      </w:r>
      <w:r>
        <w:rPr>
          <w:rFonts w:hint="eastAsia" w:ascii="宋体" w:hAnsi="宋体" w:eastAsia="宋体" w:cs="宋体"/>
          <w:b/>
          <w:bCs/>
          <w:color w:val="auto"/>
          <w:sz w:val="21"/>
          <w:szCs w:val="21"/>
          <w:highlight w:val="none"/>
          <w:lang w:val="zh-CN"/>
        </w:rPr>
        <w:t xml:space="preserve">）法律法规及本招标文件规定的</w:t>
      </w:r>
      <w:r>
        <w:rPr>
          <w:rFonts w:hint="eastAsia" w:ascii="宋体" w:hAnsi="宋体" w:eastAsia="宋体" w:cs="宋体"/>
          <w:b/>
          <w:bCs/>
          <w:color w:val="auto"/>
          <w:sz w:val="21"/>
          <w:szCs w:val="21"/>
          <w:highlight w:val="none"/>
        </w:rPr>
        <w:t xml:space="preserve">其他</w:t>
      </w:r>
      <w:r>
        <w:rPr>
          <w:rFonts w:hint="eastAsia" w:ascii="宋体" w:hAnsi="宋体" w:eastAsia="宋体" w:cs="宋体"/>
          <w:b/>
          <w:bCs/>
          <w:color w:val="auto"/>
          <w:sz w:val="21"/>
          <w:szCs w:val="21"/>
          <w:highlight w:val="none"/>
          <w:lang w:val="zh-CN"/>
        </w:rPr>
        <w:t xml:space="preserve">无效投标情形。</w:t>
      </w:r>
      <w:r/>
    </w:p>
    <w:p>
      <w:pPr>
        <w:ind w:firstLine="422"/>
        <w:rPr>
          <w:rFonts w:hint="eastAsia" w:ascii="宋体" w:hAnsi="宋体" w:eastAsia="宋体" w:cs="宋体"/>
          <w:b/>
          <w:bCs w:val="0"/>
          <w:color w:val="auto"/>
          <w:highlight w:val="none"/>
          <w:lang w:val="zh-CN"/>
        </w:rPr>
      </w:pPr>
      <w:r>
        <w:rPr>
          <w:rFonts w:hint="eastAsia" w:ascii="宋体" w:hAnsi="宋体" w:eastAsia="宋体" w:cs="宋体"/>
          <w:b/>
          <w:bCs w:val="0"/>
          <w:color w:val="auto"/>
          <w:highlight w:val="none"/>
          <w:lang w:val="zh-CN"/>
        </w:rPr>
        <w:t xml:space="preserve">2</w:t>
      </w:r>
      <w:r>
        <w:rPr>
          <w:rFonts w:hint="eastAsia" w:ascii="宋体" w:hAnsi="宋体" w:eastAsia="宋体" w:cs="宋体"/>
          <w:b/>
          <w:bCs w:val="0"/>
          <w:color w:val="auto"/>
          <w:highlight w:val="none"/>
          <w:lang w:val="en-US" w:eastAsia="zh-CN"/>
        </w:rPr>
        <w:t xml:space="preserve">2</w:t>
      </w:r>
      <w:r>
        <w:rPr>
          <w:rFonts w:hint="eastAsia" w:ascii="宋体" w:hAnsi="宋体" w:eastAsia="宋体" w:cs="宋体"/>
          <w:b/>
          <w:bCs w:val="0"/>
          <w:color w:val="auto"/>
          <w:highlight w:val="none"/>
          <w:lang w:val="zh-CN"/>
        </w:rPr>
        <w:t xml:space="preserve">.</w:t>
      </w:r>
      <w:r>
        <w:rPr>
          <w:rFonts w:hint="eastAsia" w:ascii="宋体" w:hAnsi="宋体" w:eastAsia="宋体" w:cs="宋体"/>
          <w:b/>
          <w:bCs w:val="0"/>
          <w:color w:val="auto"/>
          <w:highlight w:val="none"/>
          <w:lang w:val="en-US" w:eastAsia="zh-CN"/>
        </w:rPr>
        <w:t xml:space="preserve">3</w:t>
      </w:r>
      <w:r>
        <w:rPr>
          <w:rFonts w:hint="eastAsia" w:ascii="宋体" w:hAnsi="宋体" w:eastAsia="宋体" w:cs="宋体"/>
          <w:b/>
          <w:bCs w:val="0"/>
          <w:color w:val="auto"/>
          <w:highlight w:val="none"/>
          <w:lang w:val="zh-CN"/>
        </w:rPr>
        <w:t xml:space="preserve"> 有下列情形之一的予以废标，同时将废标理由通知所有投标人：</w:t>
      </w:r>
      <w:r/>
    </w:p>
    <w:p>
      <w:pPr>
        <w:ind w:firstLine="369"/>
        <w:spacing w:line="252"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zh-CN"/>
        </w:rPr>
        <w:t xml:space="preserve">）因苏采云系统故障造成开标不成功；</w:t>
      </w:r>
      <w:r/>
    </w:p>
    <w:p>
      <w:pPr>
        <w:ind w:firstLine="369"/>
        <w:spacing w:line="252"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）在苏采云系统规定时间内成功解密电子响应文件的投标人不足</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zh-CN"/>
        </w:rPr>
        <w:t xml:space="preserve">家；</w:t>
      </w:r>
      <w:r/>
    </w:p>
    <w:p>
      <w:pPr>
        <w:ind w:firstLine="369"/>
        <w:spacing w:line="252"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rPr>
        <w:t xml:space="preserve">）符合资格条件的投标人或者对招标文件作实质响应的投标人不足三家；</w:t>
      </w:r>
      <w:r/>
    </w:p>
    <w:p>
      <w:pPr>
        <w:ind w:firstLine="369"/>
        <w:spacing w:line="252"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rPr>
        <w:t xml:space="preserve">）出现影响采购公正的违法、违规行为；</w:t>
      </w:r>
      <w:r/>
    </w:p>
    <w:p>
      <w:pPr>
        <w:ind w:firstLine="369"/>
        <w:spacing w:line="252"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zh-CN"/>
        </w:rPr>
        <w:t xml:space="preserve">因重大变故采购任务取消；</w:t>
      </w:r>
      <w:r/>
    </w:p>
    <w:p>
      <w:pPr>
        <w:ind w:firstLine="369"/>
        <w:spacing w:line="252"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rPr>
        <w:t xml:space="preserve">）评委会认定招标文件存在歧义、重大缺陷导致评审工作无法进行；</w:t>
      </w:r>
      <w:r/>
    </w:p>
    <w:p>
      <w:pPr>
        <w:ind w:firstLine="369"/>
        <w:spacing w:line="252" w:lineRule="auto"/>
        <w:rPr>
          <w:rFonts w:hint="eastAsia" w:ascii="宋体" w:hAnsi="宋体" w:eastAsia="宋体" w:cs="宋体"/>
          <w:b/>
          <w:bCs/>
          <w:color w:val="auto"/>
          <w:sz w:val="21"/>
          <w:szCs w:val="21"/>
          <w:highlight w:val="none"/>
          <w:lang w:val="zh-CN"/>
        </w:rPr>
      </w:pPr>
      <w:r>
        <w:rPr>
          <w:rFonts w:hint="eastAsia" w:ascii="宋体" w:hAnsi="宋体" w:eastAsia="宋体" w:cs="宋体"/>
          <w:b/>
          <w:bCs w:val="0"/>
          <w:color w:val="auto"/>
          <w:szCs w:val="21"/>
          <w:highlight w:val="none"/>
          <w:lang w:val="zh-CN"/>
        </w:rPr>
        <w:t xml:space="preserve">（</w:t>
      </w:r>
      <w:r>
        <w:rPr>
          <w:rFonts w:hint="eastAsia" w:ascii="宋体" w:hAnsi="宋体" w:eastAsia="宋体" w:cs="宋体"/>
          <w:b/>
          <w:bCs w:val="0"/>
          <w:color w:val="auto"/>
          <w:szCs w:val="21"/>
          <w:highlight w:val="none"/>
          <w:lang w:val="en-US" w:eastAsia="zh-CN"/>
        </w:rPr>
        <w:t xml:space="preserve">7</w:t>
      </w:r>
      <w:r>
        <w:rPr>
          <w:rFonts w:hint="eastAsia" w:ascii="宋体" w:hAnsi="宋体" w:eastAsia="宋体" w:cs="宋体"/>
          <w:b/>
          <w:bCs w:val="0"/>
          <w:color w:val="auto"/>
          <w:szCs w:val="21"/>
          <w:highlight w:val="none"/>
          <w:lang w:val="zh-CN"/>
        </w:rPr>
        <w:t xml:space="preserve">）法律法规规定的其他应当终止情形。</w:t>
      </w:r>
      <w:r/>
    </w:p>
    <w:p>
      <w:pPr>
        <w:ind w:firstLine="422"/>
        <w:widowControl/>
        <w:rPr>
          <w:rFonts w:hint="eastAsia" w:ascii="宋体" w:hAnsi="宋体" w:eastAsia="宋体" w:cs="宋体"/>
          <w:color w:val="auto"/>
          <w:highlight w:val="none"/>
          <w:lang w:val="zh-CN"/>
        </w:rPr>
      </w:pPr>
      <w:r>
        <w:rPr>
          <w:rFonts w:hint="eastAsia" w:ascii="宋体" w:hAnsi="宋体" w:eastAsia="宋体" w:cs="宋体"/>
          <w:b/>
          <w:color w:val="auto"/>
          <w:highlight w:val="none"/>
          <w:lang w:val="zh-CN"/>
        </w:rPr>
        <w:t xml:space="preserve">2</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lang w:val="zh-CN"/>
        </w:rPr>
        <w:t xml:space="preserve">.</w:t>
      </w:r>
      <w:r>
        <w:rPr>
          <w:rFonts w:hint="eastAsia" w:ascii="宋体" w:hAnsi="宋体" w:eastAsia="宋体" w:cs="宋体"/>
          <w:b/>
          <w:color w:val="auto"/>
          <w:highlight w:val="none"/>
          <w:lang w:val="en-US" w:eastAsia="zh-CN"/>
        </w:rPr>
        <w:t xml:space="preserve">4</w:t>
      </w:r>
      <w:r>
        <w:rPr>
          <w:rFonts w:hint="eastAsia" w:ascii="宋体" w:hAnsi="宋体" w:eastAsia="宋体" w:cs="宋体"/>
          <w:b/>
          <w:color w:val="auto"/>
          <w:highlight w:val="none"/>
          <w:lang w:val="zh-CN"/>
        </w:rPr>
        <w:t xml:space="preserve"> </w:t>
      </w:r>
      <w:r>
        <w:rPr>
          <w:rFonts w:hint="eastAsia" w:ascii="宋体" w:hAnsi="宋体" w:eastAsia="宋体" w:cs="宋体"/>
          <w:color w:val="auto"/>
          <w:highlight w:val="none"/>
          <w:lang w:val="zh-CN"/>
        </w:rPr>
        <w:t xml:space="preserve">在评标期间，出现符合专业条件的投标人或者对招标文件作出实质性响应的投标人不足三家情形的，比照</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val="zh-CN"/>
        </w:rPr>
        <w:t xml:space="preserve">.6款执行。</w:t>
      </w:r>
      <w:r/>
    </w:p>
    <w:p>
      <w:pPr>
        <w:ind w:firstLine="422"/>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en-US" w:eastAsia="zh-CN"/>
        </w:rPr>
        <w:t xml:space="preserve">23</w:t>
      </w:r>
      <w:r>
        <w:rPr>
          <w:rFonts w:hint="eastAsia" w:ascii="宋体" w:hAnsi="宋体" w:eastAsia="宋体" w:cs="宋体"/>
          <w:b/>
          <w:bCs/>
          <w:color w:val="auto"/>
          <w:szCs w:val="21"/>
          <w:highlight w:val="none"/>
          <w:lang w:val="zh-CN"/>
        </w:rPr>
        <w:t xml:space="preserve">评标方法和标准</w:t>
      </w:r>
      <w:r/>
    </w:p>
    <w:p>
      <w:pPr>
        <w:ind w:firstLine="422"/>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23.1 </w:t>
      </w:r>
      <w:r>
        <w:rPr>
          <w:rFonts w:hint="eastAsia" w:ascii="宋体" w:hAnsi="宋体" w:eastAsia="宋体" w:cs="宋体"/>
          <w:color w:val="auto"/>
          <w:szCs w:val="21"/>
          <w:highlight w:val="none"/>
          <w:lang w:val="zh-CN"/>
        </w:rPr>
        <w:t xml:space="preserve">采用综合评分法。即</w:t>
      </w:r>
      <w:r>
        <w:rPr>
          <w:rFonts w:hint="eastAsia" w:ascii="宋体" w:hAnsi="宋体" w:eastAsia="宋体" w:cs="宋体"/>
          <w:color w:val="auto"/>
          <w:szCs w:val="21"/>
          <w:highlight w:val="none"/>
        </w:rPr>
        <w:t xml:space="preserve">在最大限度地满足招标文件实质性要求前提下，按照招标文件中规定的各项因素进行综合评审后，以评标总得分最高的</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作为中标候选</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或者中标</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的评标方法。</w:t>
      </w:r>
      <w:r/>
    </w:p>
    <w:p>
      <w:pPr>
        <w:ind w:firstLine="422"/>
        <w:rPr>
          <w:rFonts w:hint="eastAsia" w:ascii="宋体" w:hAnsi="宋体" w:eastAsia="宋体" w:cs="宋体"/>
          <w:color w:val="auto"/>
          <w:highlight w:val="none"/>
          <w:lang w:val="zh-CN"/>
        </w:rPr>
      </w:pPr>
      <w:r>
        <w:rPr>
          <w:rFonts w:hint="eastAsia" w:ascii="宋体" w:hAnsi="宋体" w:eastAsia="宋体" w:cs="宋体"/>
          <w:b/>
          <w:bCs/>
          <w:color w:val="auto"/>
          <w:szCs w:val="21"/>
          <w:highlight w:val="none"/>
          <w:lang w:val="zh-CN"/>
        </w:rPr>
        <w:t xml:space="preserve">23.2 </w:t>
      </w:r>
      <w:r>
        <w:rPr>
          <w:rFonts w:hint="eastAsia" w:ascii="宋体" w:hAnsi="宋体" w:eastAsia="宋体" w:cs="宋体"/>
          <w:color w:val="auto"/>
          <w:szCs w:val="21"/>
          <w:highlight w:val="none"/>
        </w:rPr>
        <w:t xml:space="preserve">综合评分的</w:t>
      </w:r>
      <w:r>
        <w:rPr>
          <w:rFonts w:hint="eastAsia" w:ascii="宋体" w:hAnsi="宋体" w:eastAsia="宋体" w:cs="宋体"/>
          <w:color w:val="auto"/>
          <w:szCs w:val="21"/>
          <w:highlight w:val="none"/>
          <w:lang w:val="zh-CN"/>
        </w:rPr>
        <w:t xml:space="preserve">主要因素：</w:t>
      </w:r>
      <w:r>
        <w:rPr>
          <w:rFonts w:hint="eastAsia" w:ascii="宋体" w:hAnsi="宋体" w:eastAsia="宋体" w:cs="宋体"/>
          <w:b/>
          <w:color w:val="auto"/>
          <w:szCs w:val="21"/>
          <w:highlight w:val="none"/>
        </w:rPr>
        <w:t xml:space="preserve">详见第三章。</w:t>
      </w:r>
      <w:r/>
    </w:p>
    <w:p>
      <w:pPr>
        <w:ind w:firstLine="422"/>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2</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lang w:val="zh-CN"/>
        </w:rPr>
        <w:t xml:space="preserve">、确定中标投标人</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zh-CN"/>
        </w:rPr>
        <w:t xml:space="preserve">.1 在评标期间，出现符合专业条件的投标人或者对招标文件作出实质性响应的投标人不足三家情形的，比照1</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val="zh-CN"/>
        </w:rPr>
        <w:t xml:space="preserve">.6款执行。</w:t>
      </w:r>
      <w:r/>
    </w:p>
    <w:p>
      <w:pPr>
        <w:ind w:firstLine="420"/>
        <w:rPr>
          <w:rFonts w:hint="eastAsia" w:ascii="宋体" w:hAnsi="宋体" w:eastAsia="宋体" w:cs="宋体"/>
          <w:b/>
          <w:bCs w:val="0"/>
          <w:color w:val="auto"/>
          <w:szCs w:val="21"/>
          <w:highlight w:val="none"/>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zh-CN"/>
        </w:rPr>
        <w:t xml:space="preserve">.2 综合比较与评价后</w:t>
      </w:r>
      <w:r>
        <w:rPr>
          <w:rFonts w:hint="eastAsia" w:ascii="宋体" w:hAnsi="宋体" w:eastAsia="宋体" w:cs="宋体"/>
          <w:color w:val="auto"/>
          <w:szCs w:val="21"/>
          <w:highlight w:val="none"/>
          <w:lang w:val="zh-CN"/>
        </w:rPr>
        <w:t xml:space="preserve">按照得分高低顺序对投标人进行排列。</w:t>
      </w:r>
      <w:r>
        <w:rPr>
          <w:rFonts w:hint="eastAsia" w:ascii="宋体" w:hAnsi="宋体" w:eastAsia="宋体" w:cs="宋体"/>
          <w:color w:val="auto"/>
          <w:szCs w:val="21"/>
          <w:highlight w:val="none"/>
        </w:rPr>
        <w:t xml:space="preserve">得分相同的，按投标报价由低到高顺序排列。得分且投标报价相同的，按技术指标优劣顺序排列。</w:t>
      </w:r>
      <w:r>
        <w:rPr>
          <w:rFonts w:hint="eastAsia" w:ascii="宋体" w:hAnsi="宋体" w:eastAsia="宋体" w:cs="宋体"/>
          <w:b/>
          <w:bCs w:val="0"/>
          <w:color w:val="auto"/>
          <w:szCs w:val="21"/>
          <w:highlight w:val="none"/>
          <w:lang w:val="zh-CN"/>
        </w:rPr>
        <w:t xml:space="preserve">综合排名第一名的投标人确定为中标投标人。</w:t>
      </w:r>
      <w:r>
        <w:rPr>
          <w:rFonts w:hint="eastAsia" w:ascii="宋体" w:hAnsi="宋体" w:eastAsia="宋体" w:cs="宋体"/>
          <w:b/>
          <w:bCs w:val="0"/>
          <w:color w:val="auto"/>
          <w:szCs w:val="21"/>
          <w:highlight w:val="none"/>
        </w:rPr>
        <w:t xml:space="preserve">评审小组认为，排在前面的成交候选</w:t>
      </w:r>
      <w:r>
        <w:rPr>
          <w:rFonts w:hint="eastAsia" w:ascii="宋体" w:hAnsi="宋体" w:eastAsia="宋体" w:cs="宋体"/>
          <w:b/>
          <w:bCs w:val="0"/>
          <w:color w:val="auto"/>
          <w:szCs w:val="21"/>
          <w:highlight w:val="none"/>
          <w:lang w:eastAsia="zh-CN"/>
        </w:rPr>
        <w:t xml:space="preserve">投标人</w:t>
      </w:r>
      <w:r>
        <w:rPr>
          <w:rFonts w:hint="eastAsia" w:ascii="宋体" w:hAnsi="宋体" w:eastAsia="宋体" w:cs="宋体"/>
          <w:b/>
          <w:bCs w:val="0"/>
          <w:color w:val="auto"/>
          <w:szCs w:val="21"/>
          <w:highlight w:val="none"/>
        </w:rPr>
        <w:t xml:space="preserve">的最低报价或者某些分项报价明显不合理或者低于成本，有可能影响服务质量和不能诚信履约的，应当要求其在规定的期限内提供书面文件予以解释说明，并提交相关证明材料；否则，评审小组可以取消该</w:t>
      </w:r>
      <w:r>
        <w:rPr>
          <w:rFonts w:hint="eastAsia" w:ascii="宋体" w:hAnsi="宋体" w:eastAsia="宋体" w:cs="宋体"/>
          <w:b/>
          <w:bCs w:val="0"/>
          <w:color w:val="auto"/>
          <w:szCs w:val="21"/>
          <w:highlight w:val="none"/>
          <w:lang w:eastAsia="zh-CN"/>
        </w:rPr>
        <w:t xml:space="preserve">投标人</w:t>
      </w:r>
      <w:r>
        <w:rPr>
          <w:rFonts w:hint="eastAsia" w:ascii="宋体" w:hAnsi="宋体" w:eastAsia="宋体" w:cs="宋体"/>
          <w:b/>
          <w:bCs w:val="0"/>
          <w:color w:val="auto"/>
          <w:szCs w:val="21"/>
          <w:highlight w:val="none"/>
        </w:rPr>
        <w:t xml:space="preserve">的成交候选资格，按顺序由排在后面的成交候选</w:t>
      </w:r>
      <w:r>
        <w:rPr>
          <w:rFonts w:hint="eastAsia" w:ascii="宋体" w:hAnsi="宋体" w:eastAsia="宋体" w:cs="宋体"/>
          <w:b/>
          <w:bCs w:val="0"/>
          <w:color w:val="auto"/>
          <w:szCs w:val="21"/>
          <w:highlight w:val="none"/>
          <w:lang w:eastAsia="zh-CN"/>
        </w:rPr>
        <w:t xml:space="preserve">投标人</w:t>
      </w:r>
      <w:r>
        <w:rPr>
          <w:rFonts w:hint="eastAsia" w:ascii="宋体" w:hAnsi="宋体" w:eastAsia="宋体" w:cs="宋体"/>
          <w:b/>
          <w:bCs w:val="0"/>
          <w:color w:val="auto"/>
          <w:szCs w:val="21"/>
          <w:highlight w:val="none"/>
        </w:rPr>
        <w:t xml:space="preserve">递补，以此类推。</w:t>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 按以下第（</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按第二种方式确定中标人的，代理机构自评审结束之日起两个工作日内将评审报告送</w:t>
      </w:r>
      <w:r>
        <w:rPr>
          <w:rFonts w:hint="eastAsia" w:ascii="宋体" w:hAnsi="宋体" w:eastAsia="宋体" w:cs="宋体"/>
          <w:color w:val="auto"/>
          <w:sz w:val="21"/>
          <w:szCs w:val="21"/>
          <w:highlight w:val="none"/>
        </w:rPr>
        <w:t xml:space="preserve">达</w:t>
      </w:r>
      <w:r>
        <w:rPr>
          <w:rFonts w:hint="eastAsia" w:ascii="宋体" w:hAnsi="宋体" w:eastAsia="宋体" w:cs="宋体"/>
          <w:color w:val="auto"/>
          <w:sz w:val="21"/>
          <w:szCs w:val="21"/>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 代理机构将在“江苏政府采购网”发布中标公告，公告期限为1个工作日。</w:t>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5 </w:t>
      </w:r>
      <w:r>
        <w:rPr>
          <w:rFonts w:hint="eastAsia" w:ascii="宋体" w:hAnsi="宋体" w:eastAsia="宋体" w:cs="宋体"/>
          <w:b/>
          <w:bCs/>
          <w:color w:val="auto"/>
          <w:sz w:val="21"/>
          <w:szCs w:val="21"/>
          <w:highlight w:val="none"/>
          <w:lang w:val="zh-CN"/>
        </w:rPr>
        <w:t xml:space="preserve">若有充分证据证明中标人</w:t>
      </w:r>
      <w:r>
        <w:rPr>
          <w:rFonts w:hint="eastAsia" w:ascii="宋体" w:hAnsi="宋体" w:eastAsia="宋体" w:cs="宋体"/>
          <w:b/>
          <w:bCs/>
          <w:color w:val="auto"/>
          <w:sz w:val="21"/>
          <w:szCs w:val="21"/>
          <w:highlight w:val="none"/>
        </w:rPr>
        <w:t xml:space="preserve">有</w:t>
      </w:r>
      <w:r>
        <w:rPr>
          <w:rFonts w:hint="eastAsia" w:ascii="宋体" w:hAnsi="宋体" w:eastAsia="宋体" w:cs="宋体"/>
          <w:b/>
          <w:bCs/>
          <w:color w:val="auto"/>
          <w:sz w:val="21"/>
          <w:szCs w:val="21"/>
          <w:highlight w:val="none"/>
          <w:lang w:val="zh-CN"/>
        </w:rPr>
        <w:t xml:space="preserve">下列情况之一的，一经查实将被取消中标资格：</w:t>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zh-CN"/>
        </w:rPr>
        <w:t xml:space="preserve">）提供虚假材料谋取中标。</w:t>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）向采购人、代理机构行贿或者提供其他不正当利益。</w:t>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rPr>
        <w:t xml:space="preserve">）属于本文件规定的无效</w:t>
      </w:r>
      <w:r>
        <w:rPr>
          <w:rFonts w:hint="eastAsia" w:ascii="宋体" w:hAnsi="宋体" w:eastAsia="宋体" w:cs="宋体"/>
          <w:b/>
          <w:bCs/>
          <w:color w:val="auto"/>
          <w:sz w:val="21"/>
          <w:szCs w:val="21"/>
          <w:highlight w:val="none"/>
        </w:rPr>
        <w:t xml:space="preserve">投标情形</w:t>
      </w:r>
      <w:r>
        <w:rPr>
          <w:rFonts w:hint="eastAsia" w:ascii="宋体" w:hAnsi="宋体" w:eastAsia="宋体" w:cs="宋体"/>
          <w:b/>
          <w:bCs/>
          <w:color w:val="auto"/>
          <w:sz w:val="21"/>
          <w:szCs w:val="21"/>
          <w:highlight w:val="none"/>
          <w:lang w:val="zh-CN"/>
        </w:rPr>
        <w:t xml:space="preserve">，但在评标过程中未被评委会发现。</w:t>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rPr>
        <w:t xml:space="preserve">）与采购人或者其他投标人恶意串通。</w:t>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zh-CN"/>
        </w:rPr>
        <w:t xml:space="preserve">）采取不正当手段诋毁、排挤其他投标人。</w:t>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lang w:val="zh-CN"/>
        </w:rPr>
      </w:pPr>
      <w:r/>
      <w:bookmarkStart w:id="65" w:name="_Toc200451960"/>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6 </w:t>
      </w:r>
      <w:r>
        <w:rPr>
          <w:rFonts w:hint="eastAsia" w:ascii="宋体" w:hAnsi="宋体" w:eastAsia="宋体" w:cs="宋体"/>
          <w:b/>
          <w:bCs/>
          <w:color w:val="auto"/>
          <w:sz w:val="21"/>
          <w:szCs w:val="21"/>
          <w:highlight w:val="none"/>
          <w:lang w:val="zh-CN"/>
        </w:rPr>
        <w:t xml:space="preserve">有下列情形之一的视为投标人串通投标，投标无效：</w:t>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zh-CN"/>
        </w:rPr>
        <w:t xml:space="preserve">）不同投标人的投标文件由同一单位或者个人编制。</w:t>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）不同投标人委托同一单位或者个人办理投标事宜。</w:t>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rPr>
        <w:t xml:space="preserve">）不同投标人的投标文件载明的项目管理成员或者联系人员为同一人。</w:t>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rPr>
        <w:t xml:space="preserve">）不同投标人的投标文件异常一致或者投标报价呈规律性差异。</w:t>
      </w:r>
      <w:bookmarkEnd w:id="65"/>
      <w:r/>
      <w:r/>
    </w:p>
    <w:p>
      <w:pPr>
        <w:ind w:firstLine="422"/>
        <w:jc w:val="both"/>
        <w:keepLines w:val="0"/>
        <w:keepNext w:val="0"/>
        <w:pageBreakBefore w:val="0"/>
        <w:spacing w:before="0" w:after="0" w:line="24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.l 中标结果确定后，代理机构将向中标人发出《中标通知书》。中标人</w:t>
      </w:r>
      <w:r>
        <w:rPr>
          <w:rFonts w:hint="eastAsia" w:ascii="宋体" w:hAnsi="宋体" w:eastAsia="宋体" w:cs="宋体"/>
          <w:color w:val="auto"/>
          <w:sz w:val="21"/>
          <w:szCs w:val="21"/>
          <w:highlight w:val="none"/>
        </w:rPr>
        <w:t xml:space="preserve">可</w:t>
      </w:r>
      <w:r>
        <w:rPr>
          <w:rFonts w:hint="eastAsia" w:ascii="宋体" w:hAnsi="宋体" w:eastAsia="宋体" w:cs="宋体"/>
          <w:color w:val="auto"/>
          <w:sz w:val="21"/>
          <w:szCs w:val="21"/>
          <w:highlight w:val="none"/>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25.2</w:t>
      </w:r>
      <w:r>
        <w:rPr>
          <w:rFonts w:hint="eastAsia" w:ascii="宋体" w:hAnsi="宋体" w:eastAsia="宋体" w:cs="宋体"/>
          <w:color w:val="auto"/>
          <w:sz w:val="2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中标通知书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4 </w:t>
      </w:r>
      <w:r>
        <w:rPr>
          <w:rFonts w:hint="eastAsia" w:ascii="宋体" w:hAnsi="宋体" w:eastAsia="宋体" w:cs="宋体"/>
          <w:color w:val="auto"/>
          <w:szCs w:val="21"/>
          <w:highlight w:val="none"/>
        </w:rPr>
        <w:t xml:space="preserve">中标通知书发出后，采购人或中标</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拒绝签订合同的，拒绝签订合同的一方应至少向另一方支付招标、投标所发生的有关费用和双方商定的其他补偿。</w:t>
      </w:r>
      <w:r/>
    </w:p>
    <w:p>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highlight w:val="none"/>
          <w:lang w:val="en-US" w:eastAsia="zh-CN"/>
        </w:rPr>
        <w:t xml:space="preserve">5</w:t>
      </w: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en-US" w:eastAsia="zh-CN"/>
        </w:rPr>
        <w:t xml:space="preserve">5</w:t>
      </w:r>
      <w:r>
        <w:rPr>
          <w:rFonts w:hint="eastAsia" w:ascii="宋体" w:hAnsi="宋体" w:eastAsia="宋体" w:cs="宋体"/>
          <w:b/>
          <w:color w:val="auto"/>
          <w:highlight w:val="none"/>
        </w:rPr>
        <w:t xml:space="preserve"> 中标通知书发出后，中标</w:t>
      </w:r>
      <w:r>
        <w:rPr>
          <w:rFonts w:hint="eastAsia" w:ascii="宋体" w:hAnsi="宋体" w:eastAsia="宋体" w:cs="宋体"/>
          <w:b/>
          <w:color w:val="auto"/>
          <w:highlight w:val="none"/>
          <w:lang w:eastAsia="zh-CN"/>
        </w:rPr>
        <w:t xml:space="preserve">投标人</w:t>
      </w:r>
      <w:r>
        <w:rPr>
          <w:rFonts w:hint="eastAsia" w:ascii="宋体" w:hAnsi="宋体" w:eastAsia="宋体" w:cs="宋体"/>
          <w:b/>
          <w:color w:val="auto"/>
          <w:highlight w:val="none"/>
        </w:rPr>
        <w:t xml:space="preserve">无正当理由不与采购人签订合同的，情节严重的，由财政部门将其列入不良行为记录名单，在一至三年内禁止参加南京市政府采购活动，并予以通报。</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五、签订合同</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2</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lang w:val="zh-CN"/>
        </w:rPr>
        <w:t xml:space="preserve">、签订合同</w:t>
      </w:r>
      <w:r/>
    </w:p>
    <w:p>
      <w:pPr>
        <w:ind w:firstLine="420"/>
        <w:keepLines w:val="0"/>
        <w:keepNext w:val="0"/>
        <w:pageBreakBefore w:val="0"/>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.1 中标投标人应当自中标通知书发出之日起三十日内，按照招标文件和中标投标人投标文件的约定与采购人签订采购合同，所签订的合同不得对招标文件和中标投标人投标文件作实质性修改。</w:t>
      </w:r>
      <w:r/>
    </w:p>
    <w:p>
      <w:pPr>
        <w:ind w:firstLine="420"/>
        <w:keepLines w:val="0"/>
        <w:keepNext w:val="0"/>
        <w:pageBreakBefore w:val="0"/>
        <w:spacing w:line="252"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.2 招标文件、中标人的投标文件及招标过程中有关澄清、承诺文件均作为合同附件。</w:t>
      </w:r>
      <w:r/>
    </w:p>
    <w:p>
      <w:pPr>
        <w:ind w:firstLine="420"/>
        <w:keepLines w:val="0"/>
        <w:keepNext w:val="0"/>
        <w:pageBreakBefore w:val="0"/>
        <w:spacing w:line="252"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采购人不得向中标</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提出任何不合理的要求作为签订合同的条件，不得与中标</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私下订立背离合同实质性内容的协议。</w:t>
      </w:r>
      <w:r/>
    </w:p>
    <w:p>
      <w:pPr>
        <w:ind w:firstLine="420"/>
        <w:keepLines w:val="0"/>
        <w:keepNext w:val="0"/>
        <w:pageBreakBefore w:val="0"/>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中标投标人拒绝与采购人签订合同，或因不可抗力或者自身原因不能履行政府采购合同的，采购人可以按照评审报告推荐的中标候选人名单排序，确定下一候选人为中标投标人，也可以重新开展政府采购活动。</w:t>
      </w:r>
      <w:r/>
    </w:p>
    <w:p>
      <w:pPr>
        <w:ind w:firstLine="420"/>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 中标人因自身原因拒绝与采购人签订合同的，不得参加采购人</w:t>
      </w:r>
      <w:r>
        <w:rPr>
          <w:rFonts w:hint="eastAsia" w:ascii="宋体" w:hAnsi="宋体" w:eastAsia="宋体" w:cs="宋体"/>
          <w:color w:val="auto"/>
          <w:sz w:val="21"/>
          <w:szCs w:val="21"/>
          <w:highlight w:val="none"/>
        </w:rPr>
        <w:t xml:space="preserve">重新组织的</w:t>
      </w:r>
      <w:r>
        <w:rPr>
          <w:rFonts w:hint="eastAsia" w:ascii="宋体" w:hAnsi="宋体" w:eastAsia="宋体" w:cs="宋体"/>
          <w:color w:val="auto"/>
          <w:sz w:val="21"/>
          <w:szCs w:val="21"/>
          <w:highlight w:val="none"/>
          <w:lang w:val="zh-CN"/>
        </w:rPr>
        <w:t xml:space="preserve">采购活动</w:t>
      </w:r>
      <w:r>
        <w:rPr>
          <w:rFonts w:hint="eastAsia" w:ascii="宋体" w:hAnsi="宋体" w:eastAsia="宋体" w:cs="宋体"/>
          <w:color w:val="auto"/>
          <w:sz w:val="21"/>
          <w:szCs w:val="21"/>
          <w:highlight w:val="none"/>
        </w:rPr>
        <w:t xml:space="preserve">，且将可能被拒绝参加该采购人</w:t>
      </w:r>
      <w:r>
        <w:rPr>
          <w:rFonts w:hint="eastAsia" w:ascii="宋体" w:hAnsi="宋体" w:eastAsia="宋体" w:cs="宋体"/>
          <w:color w:val="auto"/>
          <w:sz w:val="21"/>
          <w:szCs w:val="21"/>
          <w:highlight w:val="none"/>
          <w:lang w:val="zh-CN"/>
        </w:rPr>
        <w:t xml:space="preserve">一年内</w:t>
      </w:r>
      <w:r>
        <w:rPr>
          <w:rFonts w:hint="eastAsia" w:ascii="宋体" w:hAnsi="宋体" w:eastAsia="宋体" w:cs="宋体"/>
          <w:color w:val="auto"/>
          <w:sz w:val="21"/>
          <w:szCs w:val="21"/>
          <w:highlight w:val="none"/>
        </w:rPr>
        <w:t xml:space="preserve">的其他</w:t>
      </w:r>
      <w:r>
        <w:rPr>
          <w:rFonts w:hint="eastAsia" w:ascii="宋体" w:hAnsi="宋体" w:eastAsia="宋体" w:cs="宋体"/>
          <w:color w:val="auto"/>
          <w:sz w:val="21"/>
          <w:szCs w:val="21"/>
          <w:highlight w:val="none"/>
          <w:lang w:val="zh-CN"/>
        </w:rPr>
        <w:t xml:space="preserve">政府采购活动。</w:t>
      </w:r>
      <w:r/>
    </w:p>
    <w:p>
      <w:pPr>
        <w:ind w:firstLine="420"/>
        <w:keepLines w:val="0"/>
        <w:keepNext w:val="0"/>
        <w:pageBreakBefore w:val="0"/>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val="zh-CN"/>
        </w:rPr>
        <w:t xml:space="preserve"> 采购合同履行中，采购人需追加与合同标的相同的服务的，在不改变合同其他条款的前提下，可以与投标人协商签订补充合同，但所有补充合同的采购金额不得超过原合同采购金额的百分之十。</w:t>
      </w:r>
      <w:r/>
    </w:p>
    <w:p>
      <w:pPr>
        <w:ind w:firstLine="422"/>
        <w:rPr>
          <w:rFonts w:hint="eastAsia" w:ascii="宋体" w:hAnsi="宋体" w:eastAsia="宋体" w:cs="宋体"/>
          <w:b/>
          <w:color w:val="auto"/>
          <w:highlight w:val="none"/>
          <w:lang w:val="zh-CN"/>
        </w:rPr>
        <w:outlineLvl w:val="9"/>
      </w:pPr>
      <w:r>
        <w:rPr>
          <w:rFonts w:hint="eastAsia" w:ascii="宋体" w:hAnsi="宋体" w:eastAsia="宋体" w:cs="宋体"/>
          <w:b/>
          <w:color w:val="auto"/>
          <w:highlight w:val="none"/>
          <w:lang w:val="zh-CN"/>
        </w:rPr>
        <w:t xml:space="preserve">六、询问、质疑、投诉和诚实信用</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2</w:t>
      </w:r>
      <w:r>
        <w:rPr>
          <w:rFonts w:hint="eastAsia" w:ascii="宋体" w:hAnsi="宋体" w:eastAsia="宋体" w:cs="宋体"/>
          <w:b/>
          <w:color w:val="auto"/>
          <w:highlight w:val="none"/>
          <w:lang w:val="en-US" w:eastAsia="zh-CN"/>
        </w:rPr>
        <w:t xml:space="preserve">7</w:t>
      </w:r>
      <w:r>
        <w:rPr>
          <w:rFonts w:hint="eastAsia" w:ascii="宋体" w:hAnsi="宋体" w:eastAsia="宋体" w:cs="宋体"/>
          <w:b/>
          <w:color w:val="auto"/>
          <w:highlight w:val="none"/>
          <w:lang w:val="zh-CN"/>
        </w:rPr>
        <w:t xml:space="preserve">、询问</w:t>
      </w:r>
      <w:r/>
    </w:p>
    <w:p>
      <w:pPr>
        <w:ind w:firstLine="420"/>
        <w:rPr>
          <w:rFonts w:hint="eastAsia" w:ascii="宋体" w:hAnsi="宋体" w:eastAsia="宋体" w:cs="宋体"/>
          <w:b/>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val="zh-CN"/>
        </w:rPr>
        <w:t xml:space="preserve">.1 投标人对招标活动事项有疑问的，可以向代理机构或采购人提出询问，代理机构或采购人将在两个工作日内作出答复，但答复的内容不涉及商业秘密</w:t>
      </w:r>
      <w:r>
        <w:rPr>
          <w:rFonts w:hint="eastAsia" w:ascii="宋体" w:hAnsi="宋体" w:eastAsia="宋体" w:cs="宋体"/>
          <w:b/>
          <w:color w:val="auto"/>
          <w:highlight w:val="none"/>
          <w:lang w:val="zh-CN"/>
        </w:rPr>
        <w:t xml:space="preserve">。</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2</w:t>
      </w:r>
      <w:r>
        <w:rPr>
          <w:rFonts w:hint="eastAsia" w:ascii="宋体" w:hAnsi="宋体" w:eastAsia="宋体" w:cs="宋体"/>
          <w:b/>
          <w:color w:val="auto"/>
          <w:highlight w:val="none"/>
          <w:lang w:val="en-US" w:eastAsia="zh-CN"/>
        </w:rPr>
        <w:t xml:space="preserve">8</w:t>
      </w:r>
      <w:r>
        <w:rPr>
          <w:rFonts w:hint="eastAsia" w:ascii="宋体" w:hAnsi="宋体" w:eastAsia="宋体" w:cs="宋体"/>
          <w:b/>
          <w:color w:val="auto"/>
          <w:highlight w:val="none"/>
          <w:lang w:val="zh-CN"/>
        </w:rPr>
        <w:t xml:space="preserve">、质疑</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val="zh-CN"/>
        </w:rPr>
        <w:t xml:space="preserve">.1 投标人认为采购文件、采购过程和中标结果使自己的合法权益受到损害的，可以在知道或者应当知道其权益受到损害之日起七个工作日内，将质疑文件原件送达</w:t>
      </w:r>
      <w:r>
        <w:rPr>
          <w:rFonts w:hint="eastAsia" w:ascii="宋体" w:hAnsi="宋体" w:eastAsia="宋体" w:cs="宋体"/>
          <w:color w:val="auto"/>
          <w:highlight w:val="none"/>
        </w:rPr>
        <w:t xml:space="preserve">代理机构。</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提出质疑时，须一次性提出全部问题及相关质疑资料，代理机构将依法作出答复，但答复的内容不涉及商业秘密。</w:t>
      </w:r>
      <w:r/>
    </w:p>
    <w:p>
      <w:pPr>
        <w:ind w:firstLine="420"/>
        <w:rPr>
          <w:rFonts w:hint="eastAsia" w:ascii="宋体" w:hAnsi="宋体" w:eastAsia="宋体" w:cs="宋体"/>
          <w:color w:val="auto"/>
          <w:sz w:val="24"/>
          <w:highlight w:val="none"/>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val="zh-CN"/>
        </w:rPr>
        <w:t xml:space="preserve">.2 质疑文件应包括以下主要内容，并</w:t>
      </w:r>
      <w:r>
        <w:rPr>
          <w:rFonts w:hint="eastAsia" w:ascii="宋体" w:hAnsi="宋体" w:eastAsia="宋体" w:cs="宋体"/>
          <w:color w:val="auto"/>
          <w:highlight w:val="none"/>
        </w:rPr>
        <w:t xml:space="preserve">按照“谁主张、谁举证”的原则，附上相关证明材料。否则，代理机构或采购人不予受理：</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（1）质疑项目名称、项目编号、包号、招标公告发布时间、开标时间；</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（2）提起质疑的日期、具体的质疑事项及事实根据（具体条款）；</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（3）认为自己合法权益受到损害或可能受到损害的相关证据材料。质疑相关证明材料中如涉及产品功能或技术指标的，应出具相关制造商的证明文件（友情提示：</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全部产品线中没有满足技术需求要求的产品才可以对招标产品提出质疑，并提出</w:t>
      </w:r>
      <w:r>
        <w:rPr>
          <w:rFonts w:hint="eastAsia" w:ascii="宋体" w:hAnsi="宋体" w:eastAsia="宋体" w:cs="宋体"/>
          <w:color w:val="auto"/>
          <w:highlight w:val="none"/>
          <w:lang w:val="zh-CN"/>
        </w:rPr>
        <w:t xml:space="preserve">修改理由和修改建议）；</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（4）质疑投标人名称、地址、邮编、联系人、联系电话</w:t>
      </w:r>
      <w:r>
        <w:rPr>
          <w:rFonts w:hint="eastAsia" w:ascii="宋体" w:hAnsi="宋体" w:eastAsia="宋体" w:cs="宋体"/>
          <w:color w:val="auto"/>
          <w:highlight w:val="none"/>
        </w:rPr>
        <w:t xml:space="preserve">（包括座机、手机、传真号码等）</w:t>
      </w:r>
      <w:r>
        <w:rPr>
          <w:rFonts w:hint="eastAsia" w:ascii="宋体" w:hAnsi="宋体" w:eastAsia="宋体" w:cs="宋体"/>
          <w:color w:val="auto"/>
          <w:highlight w:val="none"/>
          <w:lang w:val="zh-CN"/>
        </w:rPr>
        <w:t xml:space="preserve">；</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（6）投标人委托代理质疑的，应当向被质疑人提交授权委托书，并载明委托代理的具体权限和事项。</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val="zh-CN"/>
        </w:rPr>
        <w:t xml:space="preserve">.3 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是指直接参加本项目采购活动的</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；对采购文件提出质疑的，应自</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获得采购文件之日起计算，且应当在投标截止之日前提出；对采购过程提出质疑的，自采购程序环节结束之日起计算；对中标结果提出质疑的，自中标结果公告之日起计算。</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.4 </w:t>
      </w:r>
      <w:r>
        <w:rPr>
          <w:rFonts w:hint="eastAsia" w:ascii="宋体" w:hAnsi="宋体" w:eastAsia="宋体" w:cs="宋体"/>
          <w:color w:val="auto"/>
          <w:highlight w:val="none"/>
          <w:lang w:val="zh-CN"/>
        </w:rPr>
        <w:t xml:space="preserve">代理机构</w:t>
      </w:r>
      <w:r>
        <w:rPr>
          <w:rFonts w:hint="eastAsia" w:ascii="宋体" w:hAnsi="宋体" w:eastAsia="宋体" w:cs="宋体"/>
          <w:color w:val="auto"/>
          <w:highlight w:val="none"/>
        </w:rPr>
        <w:t xml:space="preserve">在收到</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的书面质疑后将及时组织调查核实，在</w:t>
      </w:r>
      <w:r>
        <w:rPr>
          <w:rFonts w:hint="eastAsia" w:ascii="宋体" w:hAnsi="宋体" w:eastAsia="宋体" w:cs="宋体"/>
          <w:b/>
          <w:color w:val="auto"/>
          <w:highlight w:val="none"/>
          <w:lang w:val="zh-CN"/>
        </w:rPr>
        <w:t xml:space="preserve">七个工作日内</w:t>
      </w:r>
      <w:r>
        <w:rPr>
          <w:rFonts w:hint="eastAsia" w:ascii="宋体" w:hAnsi="宋体" w:eastAsia="宋体" w:cs="宋体"/>
          <w:color w:val="auto"/>
          <w:highlight w:val="none"/>
          <w:lang w:val="zh-CN"/>
        </w:rPr>
        <w:t xml:space="preserve">作出答复，并以书面或在网站公告形式通知质疑投标人和其他有关投标人，答复的内容不涉及商业秘密。代理机构</w:t>
      </w:r>
      <w:r>
        <w:rPr>
          <w:rFonts w:hint="eastAsia" w:ascii="宋体" w:hAnsi="宋体" w:eastAsia="宋体" w:cs="宋体"/>
          <w:color w:val="auto"/>
          <w:highlight w:val="none"/>
        </w:rPr>
        <w:t xml:space="preserve">遵循“谁过错谁负担”的原则，有过错的一方承担调查论证费用。</w:t>
      </w:r>
      <w:r/>
    </w:p>
    <w:p>
      <w:pPr>
        <w:ind w:firstLine="422"/>
        <w:rPr>
          <w:rFonts w:hint="eastAsia" w:ascii="宋体" w:hAnsi="宋体" w:eastAsia="宋体" w:cs="宋体"/>
          <w:color w:val="auto"/>
          <w:highlight w:val="none"/>
          <w:lang w:val="zh-CN"/>
        </w:rPr>
      </w:pPr>
      <w:r>
        <w:rPr>
          <w:rFonts w:hint="eastAsia" w:ascii="宋体" w:hAnsi="宋体" w:eastAsia="宋体" w:cs="宋体"/>
          <w:b/>
          <w:color w:val="auto"/>
          <w:highlight w:val="none"/>
          <w:lang w:val="zh-CN"/>
        </w:rPr>
        <w:t xml:space="preserve">2</w:t>
      </w:r>
      <w:r>
        <w:rPr>
          <w:rFonts w:hint="eastAsia" w:ascii="宋体" w:hAnsi="宋体" w:eastAsia="宋体" w:cs="宋体"/>
          <w:b/>
          <w:color w:val="auto"/>
          <w:highlight w:val="none"/>
          <w:lang w:val="en-US" w:eastAsia="zh-CN"/>
        </w:rPr>
        <w:t xml:space="preserve">9</w:t>
      </w:r>
      <w:r>
        <w:rPr>
          <w:rFonts w:hint="eastAsia" w:ascii="宋体" w:hAnsi="宋体" w:eastAsia="宋体" w:cs="宋体"/>
          <w:b/>
          <w:color w:val="auto"/>
          <w:highlight w:val="none"/>
          <w:lang w:val="zh-CN"/>
        </w:rPr>
        <w:t xml:space="preserve">、投诉</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val="zh-CN"/>
        </w:rPr>
        <w:t xml:space="preserve">.1质疑投标人对代理机构的答复不满意，或代理机构未在规定的时间内作出答复的，可以在答复期满后</w:t>
      </w:r>
      <w:r>
        <w:rPr>
          <w:rFonts w:hint="eastAsia" w:ascii="宋体" w:hAnsi="宋体" w:eastAsia="宋体" w:cs="宋体"/>
          <w:b/>
          <w:color w:val="auto"/>
          <w:highlight w:val="none"/>
          <w:lang w:val="zh-CN"/>
        </w:rPr>
        <w:t xml:space="preserve">十五个工作日内</w:t>
      </w:r>
      <w:r>
        <w:rPr>
          <w:rFonts w:hint="eastAsia" w:ascii="宋体" w:hAnsi="宋体" w:eastAsia="宋体" w:cs="宋体"/>
          <w:color w:val="auto"/>
          <w:highlight w:val="none"/>
          <w:lang w:val="zh-CN"/>
        </w:rPr>
        <w:t xml:space="preserve">向采购项目同级财政部门投诉。</w:t>
      </w:r>
      <w:r/>
    </w:p>
    <w:p>
      <w:pPr>
        <w:ind w:firstLine="422"/>
        <w:rPr>
          <w:rFonts w:hint="eastAsia" w:ascii="宋体" w:hAnsi="宋体" w:eastAsia="宋体" w:cs="宋体"/>
          <w:b/>
          <w:color w:val="auto"/>
          <w:highlight w:val="none"/>
          <w:lang w:val="zh-CN"/>
        </w:rPr>
      </w:pPr>
      <w:r>
        <w:rPr>
          <w:rFonts w:hint="eastAsia" w:ascii="宋体" w:hAnsi="宋体" w:eastAsia="宋体" w:cs="宋体"/>
          <w:b/>
          <w:color w:val="auto"/>
          <w:highlight w:val="none"/>
          <w:lang w:val="en-US" w:eastAsia="zh-CN"/>
        </w:rPr>
        <w:t xml:space="preserve">30</w:t>
      </w:r>
      <w:r>
        <w:rPr>
          <w:rFonts w:hint="eastAsia" w:ascii="宋体" w:hAnsi="宋体" w:eastAsia="宋体" w:cs="宋体"/>
          <w:b/>
          <w:color w:val="auto"/>
          <w:highlight w:val="none"/>
          <w:lang w:val="zh-CN"/>
        </w:rPr>
        <w:t xml:space="preserve">、诚实信用</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lang w:val="zh-CN"/>
        </w:rPr>
        <w:t xml:space="preserve">.1 投标人之间不得相互串通投标报价，不得妨碍其他投标人的公平竞争，不得损害采购人和其他投标人的合法权益。</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lang w:val="zh-CN"/>
        </w:rPr>
        <w:t xml:space="preserve">.2 投标人不得向代理机构工作人员、评标委员会成员行贿或者采取其他不正当手段谋取中标。经查实投标人有此行为的，</w:t>
      </w:r>
      <w:r>
        <w:rPr>
          <w:rFonts w:hint="eastAsia" w:ascii="宋体" w:hAnsi="宋体" w:eastAsia="宋体" w:cs="宋体"/>
          <w:color w:val="auto"/>
          <w:highlight w:val="none"/>
        </w:rPr>
        <w:t xml:space="preserve">政府采购管理部门将</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列入不良行为记录名单，按照《政府采购法》有关规定处理。</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lang w:val="zh-CN"/>
        </w:rPr>
        <w:t xml:space="preserve">.3 投标人不得虚假质疑和恶意质疑，并对质疑内容的真实性承担责任。</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lang w:val="zh-CN"/>
        </w:rPr>
        <w:t xml:space="preserve">.4 投标人不得虚假承诺，否则，按照提供虚假材料谋取中标成交处理。</w:t>
      </w:r>
      <w:r/>
    </w:p>
    <w:p>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lang w:val="zh-CN"/>
        </w:rPr>
        <w:t xml:space="preserve">.5 投标人应自觉遵守开标、评标纪律，扰乱开标评标现场秩序的，属于失信行为，根据苏财规[2018]18号《江苏省政府采购信用管理暂行办法》，失信行为将被记入投标人诚信档案。</w:t>
      </w:r>
      <w:r/>
    </w:p>
    <w:p>
      <w:pPr>
        <w:ind w:firstLine="42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.6违反信用承诺的法律责任</w:t>
      </w:r>
      <w:r/>
    </w:p>
    <w:p>
      <w:pPr>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根据《关于在政府采购活动中推行信用承诺制的通知》宁财购通（2021）5号要求，</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723"/>
        <w:jc w:val="center"/>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66" w:name="_Toc2026"/>
      <w:r/>
      <w:bookmarkStart w:id="67" w:name="_Toc19492"/>
      <w:r/>
      <w:bookmarkStart w:id="68" w:name="_Toc12185"/>
      <w:r/>
      <w:bookmarkStart w:id="69" w:name="_Toc22864"/>
      <w:r/>
      <w:bookmarkStart w:id="70" w:name="_Toc22751"/>
      <w:r/>
      <w:bookmarkStart w:id="71" w:name="_Toc14998"/>
      <w:r/>
      <w:bookmarkStart w:id="72" w:name="_Toc4654"/>
      <w:r/>
      <w:bookmarkStart w:id="73" w:name="_Toc18121"/>
      <w:r/>
      <w:bookmarkStart w:id="74" w:name="_Toc8492"/>
      <w:r/>
      <w:bookmarkStart w:id="75" w:name="_Toc16492"/>
      <w:r/>
      <w:bookmarkStart w:id="76" w:name="_Toc4086"/>
      <w:r/>
      <w:bookmarkStart w:id="77" w:name="_Toc9602"/>
      <w:r/>
      <w:bookmarkStart w:id="78" w:name="_Toc27641"/>
      <w:r/>
      <w:bookmarkStart w:id="79" w:name="_Toc8878"/>
      <w:r/>
      <w:bookmarkStart w:id="80" w:name="_Toc24460"/>
      <w:r/>
      <w:bookmarkStart w:id="81" w:name="_Toc32694"/>
      <w:r/>
      <w:bookmarkStart w:id="82" w:name="_Toc14578"/>
      <w:r/>
      <w:bookmarkStart w:id="83" w:name="_Toc17622"/>
      <w:r/>
      <w:bookmarkStart w:id="84" w:name="_Toc18972"/>
      <w:r/>
      <w:bookmarkStart w:id="85" w:name="_Toc27951"/>
      <w:r/>
      <w:bookmarkStart w:id="86" w:name="_Toc2025"/>
      <w:r/>
      <w:bookmarkStart w:id="87" w:name="_Toc116284542"/>
      <w:r/>
      <w:bookmarkStart w:id="88" w:name="_Toc17608"/>
      <w:r/>
      <w:bookmarkStart w:id="89" w:name="_Toc26349"/>
      <w:r/>
      <w:bookmarkStart w:id="90" w:name="_Toc9400"/>
      <w:r/>
      <w:bookmarkStart w:id="91" w:name="_Toc11591"/>
      <w:r/>
      <w:bookmarkStart w:id="92" w:name="_Toc30826"/>
      <w:r/>
      <w:bookmarkStart w:id="93" w:name="_Toc1451"/>
      <w:r/>
      <w:bookmarkStart w:id="94" w:name="_Toc19049"/>
      <w:r/>
      <w:bookmarkStart w:id="95" w:name="_Toc17982"/>
      <w:r/>
      <w:bookmarkStart w:id="96" w:name="_Toc22694"/>
      <w:r/>
      <w:bookmarkStart w:id="97" w:name="_Toc8721"/>
      <w:r>
        <w:rPr>
          <w:rFonts w:hint="eastAsia" w:ascii="宋体" w:hAnsi="宋体" w:eastAsia="宋体" w:cs="宋体"/>
          <w:b/>
          <w:color w:val="auto"/>
          <w:sz w:val="36"/>
          <w:szCs w:val="36"/>
          <w:highlight w:val="none"/>
        </w:rPr>
        <w:t xml:space="preserve">第三章 评标方法和标准</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20"/>
        <w:rPr>
          <w:rFonts w:hint="eastAsia" w:ascii="宋体" w:hAnsi="宋体" w:eastAsia="宋体" w:cs="宋体"/>
          <w:color w:val="auto"/>
          <w:highlight w:val="none"/>
        </w:rPr>
      </w:pPr>
      <w:r/>
      <w:bookmarkStart w:id="98" w:name="_Toc400722722"/>
      <w:r/>
      <w:bookmarkStart w:id="99" w:name="_Toc402966376"/>
      <w:r>
        <w:rPr>
          <w:rFonts w:hint="eastAsia" w:ascii="宋体" w:hAnsi="宋体" w:eastAsia="宋体" w:cs="宋体"/>
          <w:color w:val="auto"/>
          <w:highlight w:val="none"/>
          <w:lang w:val="zh-CN"/>
        </w:rPr>
        <w:t xml:space="preserve">本项目采用</w:t>
      </w:r>
      <w:r>
        <w:rPr>
          <w:rFonts w:hint="eastAsia" w:ascii="宋体" w:hAnsi="宋体" w:eastAsia="宋体" w:cs="宋体"/>
          <w:b/>
          <w:bCs/>
          <w:color w:val="auto"/>
          <w:highlight w:val="none"/>
          <w:lang w:val="zh-CN"/>
        </w:rPr>
        <w:t xml:space="preserve">综合评分法</w:t>
      </w:r>
      <w:r>
        <w:rPr>
          <w:rFonts w:hint="eastAsia" w:ascii="宋体" w:hAnsi="宋体" w:eastAsia="宋体" w:cs="宋体"/>
          <w:color w:val="auto"/>
          <w:highlight w:val="none"/>
          <w:lang w:val="zh-CN"/>
        </w:rPr>
        <w:t xml:space="preserve">。综合评分法是指在满足采购文件实质性要求前提下，按照采购文件中规定的各项因素进行综合评审后，以总得分最高的响应投标人人作为成交投标人的方法。本次采购得分最高者为成交投标人，第二名为备选投标人</w:t>
      </w:r>
      <w:r>
        <w:rPr>
          <w:rFonts w:hint="eastAsia" w:ascii="宋体" w:hAnsi="宋体" w:eastAsia="宋体" w:cs="宋体"/>
          <w:color w:val="auto"/>
          <w:highlight w:val="none"/>
        </w:rPr>
        <w:t xml:space="preserve">。当成交</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不能履行其义务时，由备选</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顶替，成为新的成交</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，也可重新组织采购。</w:t>
      </w:r>
      <w:r/>
    </w:p>
    <w:tbl>
      <w:tblPr>
        <w:tblStyle w:val="799"/>
        <w:tblW w:w="8834"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276"/>
        <w:gridCol w:w="5876"/>
        <w:gridCol w:w="841"/>
      </w:tblGrid>
      <w:tr>
        <w:trPr>
          <w:jc w:val="center"/>
          <w:trHeight w:val="0"/>
          <w:tblHeader/>
        </w:trPr>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27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审查项目</w:t>
            </w:r>
            <w:r/>
          </w:p>
        </w:tc>
        <w:tc>
          <w:tcPr>
            <w:tcW w:w="587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要求</w:t>
            </w:r>
            <w:r/>
          </w:p>
        </w:tc>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分值</w:t>
            </w:r>
            <w:r/>
          </w:p>
        </w:tc>
      </w:tr>
      <w:tr>
        <w:trPr>
          <w:jc w:val="center"/>
          <w:trHeight w:val="0"/>
        </w:trPr>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7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587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rPr>
            </w:pPr>
            <w:r/>
            <w:bookmarkStart w:id="100" w:name="OLE_LINK2"/>
            <w:r>
              <w:rPr>
                <w:rFonts w:hint="eastAsia" w:ascii="宋体" w:hAnsi="宋体" w:eastAsia="宋体" w:cs="宋体"/>
                <w:color w:val="auto"/>
                <w:sz w:val="21"/>
                <w:szCs w:val="21"/>
                <w:highlight w:val="none"/>
              </w:rPr>
              <w:t xml:space="preserve">报价采用低价优先法计算，即满足招标文件要求且</w:t>
            </w:r>
            <w:r>
              <w:rPr>
                <w:rFonts w:hint="eastAsia" w:ascii="宋体" w:hAnsi="宋体" w:eastAsia="宋体" w:cs="宋体"/>
                <w:b w:val="0"/>
                <w:bCs w:val="0"/>
                <w:color w:val="auto"/>
                <w:sz w:val="21"/>
                <w:szCs w:val="21"/>
                <w:highlight w:val="none"/>
              </w:rPr>
              <w:t xml:space="preserve">投标</w:t>
            </w:r>
            <w:r>
              <w:rPr>
                <w:rFonts w:hint="eastAsia" w:ascii="宋体" w:hAnsi="宋体" w:eastAsia="宋体" w:cs="宋体"/>
                <w:b w:val="0"/>
                <w:bCs w:val="0"/>
                <w:color w:val="auto"/>
                <w:sz w:val="21"/>
                <w:szCs w:val="21"/>
                <w:highlight w:val="none"/>
                <w:lang w:val="en-US" w:eastAsia="zh-CN"/>
              </w:rPr>
              <w:t xml:space="preserve">报价</w:t>
            </w:r>
            <w:r>
              <w:rPr>
                <w:rFonts w:hint="eastAsia" w:ascii="宋体" w:hAnsi="宋体" w:eastAsia="宋体" w:cs="宋体"/>
                <w:b w:val="0"/>
                <w:bCs w:val="0"/>
                <w:color w:val="auto"/>
                <w:sz w:val="21"/>
                <w:szCs w:val="21"/>
                <w:highlight w:val="none"/>
              </w:rPr>
              <w:t xml:space="preserve">最</w:t>
            </w:r>
            <w:r>
              <w:rPr>
                <w:rFonts w:hint="eastAsia" w:ascii="宋体" w:hAnsi="宋体" w:eastAsia="宋体" w:cs="宋体"/>
                <w:color w:val="auto"/>
                <w:sz w:val="21"/>
                <w:szCs w:val="21"/>
                <w:highlight w:val="none"/>
              </w:rPr>
              <w:t xml:space="preserve">低的价格为评标基准价，其价格分为满分，其他</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的价格分按照下列公式计算（小数点保留2位）：投标报价得分=(评标基准价／投标报价)×10。</w:t>
            </w:r>
            <w:bookmarkEnd w:id="100"/>
            <w:r/>
            <w:r/>
          </w:p>
        </w:tc>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r>
      <w:tr>
        <w:trPr>
          <w:jc w:val="center"/>
          <w:trHeight w:val="0"/>
        </w:trPr>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W w:w="1276"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商务条件</w:t>
            </w:r>
            <w:r/>
          </w:p>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（26分）</w:t>
            </w:r>
            <w:r/>
          </w:p>
        </w:tc>
        <w:tc>
          <w:tcPr>
            <w:shd w:val="clear" w:color="auto" w:fill="auto"/>
            <w:tcW w:w="5876"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lang w:val="zh-CN"/>
              </w:rPr>
              <w:t xml:space="preserve">投标人必须投入项目经理1人和维护工人3人，在此</w:t>
            </w:r>
            <w:r>
              <w:rPr>
                <w:rFonts w:hint="eastAsia" w:ascii="宋体" w:hAnsi="宋体" w:cs="宋体"/>
                <w:szCs w:val="21"/>
                <w:highlight w:val="none"/>
              </w:rPr>
              <w:t xml:space="preserve">基础</w:t>
            </w:r>
            <w:r>
              <w:rPr>
                <w:rFonts w:hint="eastAsia" w:ascii="宋体" w:hAnsi="宋体" w:cs="宋体"/>
                <w:szCs w:val="21"/>
                <w:highlight w:val="none"/>
                <w:lang w:val="zh-CN"/>
              </w:rPr>
              <w:t xml:space="preserve">上每增加1名维护工人得</w:t>
            </w:r>
            <w:r>
              <w:rPr>
                <w:rFonts w:hint="eastAsia" w:ascii="宋体" w:hAnsi="宋体" w:cs="宋体"/>
                <w:szCs w:val="21"/>
                <w:highlight w:val="none"/>
              </w:rPr>
              <w:t xml:space="preserve">2</w:t>
            </w:r>
            <w:r>
              <w:rPr>
                <w:rFonts w:hint="eastAsia" w:ascii="宋体" w:hAnsi="宋体" w:cs="宋体"/>
                <w:szCs w:val="21"/>
                <w:highlight w:val="none"/>
                <w:lang w:val="zh-CN"/>
              </w:rPr>
              <w:t xml:space="preserve">分，最多得</w:t>
            </w:r>
            <w:r>
              <w:rPr>
                <w:rFonts w:hint="eastAsia" w:ascii="宋体" w:hAnsi="宋体" w:cs="宋体"/>
                <w:szCs w:val="21"/>
                <w:highlight w:val="none"/>
              </w:rPr>
              <w:t xml:space="preserve">8</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rPr>
                <w:rFonts w:hint="eastAsia" w:ascii="宋体" w:hAnsi="宋体" w:eastAsia="宋体" w:cs="宋体"/>
                <w:color w:val="auto"/>
                <w:sz w:val="21"/>
                <w:szCs w:val="21"/>
                <w:highlight w:val="none"/>
                <w:lang w:val="en-US" w:eastAsia="zh-CN" w:bidi="ar-SA"/>
              </w:rPr>
            </w:pPr>
            <w:r>
              <w:rPr>
                <w:rFonts w:hint="eastAsia" w:ascii="宋体" w:hAnsi="宋体" w:cs="宋体"/>
                <w:szCs w:val="21"/>
                <w:highlight w:val="none"/>
              </w:rPr>
              <w:t xml:space="preserve">注：</w:t>
            </w:r>
            <w:r>
              <w:rPr>
                <w:rFonts w:hint="eastAsia" w:ascii="宋体" w:hAnsi="宋体" w:cs="宋体"/>
                <w:szCs w:val="21"/>
                <w:highlight w:val="none"/>
                <w:lang w:val="zh-CN"/>
              </w:rPr>
              <w:t xml:space="preserve">须提供人员名单及投标人为以上人员缴纳的投标前</w:t>
            </w:r>
            <w:r>
              <w:rPr>
                <w:rFonts w:hint="eastAsia" w:ascii="宋体" w:hAnsi="宋体" w:cs="宋体"/>
                <w:szCs w:val="21"/>
                <w:highlight w:val="none"/>
              </w:rPr>
              <w:t xml:space="preserve">6个月（2026年1月-2026年7月）任意一个月的社保资料复印件加盖单位公章</w:t>
            </w:r>
            <w:r>
              <w:rPr>
                <w:rFonts w:hint="eastAsia" w:ascii="宋体" w:hAnsi="宋体" w:cs="宋体"/>
                <w:szCs w:val="21"/>
                <w:highlight w:val="none"/>
                <w:lang w:val="zh-CN"/>
              </w:rPr>
              <w:t xml:space="preserve">。</w:t>
            </w:r>
            <w:r/>
          </w:p>
        </w:tc>
        <w:tc>
          <w:tcPr>
            <w:shd w:val="clear" w:color="auto" w:fill="auto"/>
            <w:tcW w:w="841" w:type="dxa"/>
            <w:vAlign w:val="center"/>
            <w:textDirection w:val="lrTb"/>
            <w:noWrap w:val="false"/>
          </w:tcPr>
          <w:p>
            <w:pPr>
              <w:jc w:val="center"/>
              <w:widowControl/>
              <w:rPr>
                <w:rFonts w:hint="eastAsia" w:ascii="宋体" w:hAnsi="宋体" w:eastAsia="宋体" w:cs="宋体"/>
                <w:color w:val="auto"/>
                <w:sz w:val="21"/>
                <w:szCs w:val="24"/>
                <w:highlight w:val="none"/>
                <w:lang w:val="en-US" w:eastAsia="zh-CN" w:bidi="ar-SA"/>
              </w:rPr>
            </w:pPr>
            <w:r>
              <w:rPr>
                <w:rFonts w:hint="eastAsia" w:ascii="宋体" w:hAnsi="宋体" w:cs="宋体"/>
                <w:highlight w:val="none"/>
              </w:rPr>
              <w:t xml:space="preserve">8</w:t>
            </w:r>
            <w:r/>
          </w:p>
        </w:tc>
      </w:tr>
      <w:tr>
        <w:trPr>
          <w:jc w:val="center"/>
          <w:trHeight w:val="0"/>
        </w:trPr>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2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5876" w:type="dxa"/>
            <w:vAlign w:val="center"/>
            <w:textDirection w:val="lrTb"/>
            <w:noWrap w:val="false"/>
          </w:tcPr>
          <w:p>
            <w:pPr>
              <w:jc w:val="left"/>
              <w:widowControl/>
              <w:rPr>
                <w:rFonts w:hint="eastAsia" w:ascii="宋体" w:hAnsi="宋体" w:cs="宋体"/>
                <w:szCs w:val="21"/>
                <w:highlight w:val="none"/>
                <w:lang w:val="zh-CN"/>
              </w:rPr>
            </w:pPr>
            <w:r>
              <w:rPr>
                <w:rFonts w:hint="eastAsia" w:ascii="宋体" w:hAnsi="宋体" w:cs="宋体"/>
                <w:szCs w:val="21"/>
                <w:highlight w:val="none"/>
                <w:lang w:val="zh-CN"/>
              </w:rPr>
              <w:t xml:space="preserve">投标人在满足第四章商务要求上，增加1</w:t>
            </w:r>
            <w:r>
              <w:rPr>
                <w:rFonts w:hint="eastAsia" w:ascii="宋体" w:hAnsi="宋体" w:cs="宋体"/>
                <w:szCs w:val="21"/>
                <w:highlight w:val="none"/>
              </w:rPr>
              <w:t xml:space="preserve">辆货车</w:t>
            </w:r>
            <w:r>
              <w:rPr>
                <w:rFonts w:hint="eastAsia" w:ascii="宋体" w:hAnsi="宋体" w:cs="宋体"/>
                <w:szCs w:val="21"/>
                <w:highlight w:val="none"/>
                <w:lang w:val="zh-CN"/>
              </w:rPr>
              <w:t xml:space="preserve">得</w:t>
            </w:r>
            <w:r>
              <w:rPr>
                <w:rFonts w:hint="eastAsia" w:ascii="宋体" w:hAnsi="宋体" w:cs="宋体"/>
                <w:szCs w:val="21"/>
                <w:highlight w:val="none"/>
              </w:rPr>
              <w:t xml:space="preserve">6</w:t>
            </w:r>
            <w:r>
              <w:rPr>
                <w:rFonts w:hint="eastAsia" w:ascii="宋体" w:hAnsi="宋体" w:cs="宋体"/>
                <w:szCs w:val="21"/>
                <w:highlight w:val="none"/>
                <w:lang w:val="zh-CN"/>
              </w:rPr>
              <w:t xml:space="preserve">分，最多得</w:t>
            </w:r>
            <w:r>
              <w:rPr>
                <w:rFonts w:hint="eastAsia" w:ascii="宋体" w:hAnsi="宋体" w:cs="宋体"/>
                <w:szCs w:val="21"/>
                <w:highlight w:val="none"/>
              </w:rPr>
              <w:t xml:space="preserve">6</w:t>
            </w:r>
            <w:r>
              <w:rPr>
                <w:rFonts w:hint="eastAsia" w:ascii="宋体" w:hAnsi="宋体" w:cs="宋体"/>
                <w:szCs w:val="21"/>
                <w:highlight w:val="none"/>
                <w:lang w:val="zh-CN"/>
              </w:rPr>
              <w:t xml:space="preserve">分。</w:t>
            </w:r>
            <w:r/>
          </w:p>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cs="宋体"/>
                <w:szCs w:val="21"/>
                <w:highlight w:val="none"/>
              </w:rPr>
              <w:t xml:space="preserve">注：</w:t>
            </w:r>
            <w:r>
              <w:rPr>
                <w:rFonts w:hint="eastAsia" w:ascii="宋体" w:hAnsi="宋体" w:cs="宋体"/>
                <w:szCs w:val="21"/>
                <w:highlight w:val="none"/>
                <w:lang w:val="zh-CN"/>
              </w:rPr>
              <w:t xml:space="preserve">须提供车辆</w:t>
            </w:r>
            <w:r>
              <w:rPr>
                <w:rFonts w:hint="eastAsia" w:ascii="宋体" w:hAnsi="宋体" w:cs="宋体"/>
                <w:szCs w:val="21"/>
                <w:highlight w:val="none"/>
              </w:rPr>
              <w:t xml:space="preserve">行驶证复印件加盖单位公章</w:t>
            </w:r>
            <w:r>
              <w:rPr>
                <w:rFonts w:hint="eastAsia" w:ascii="宋体" w:hAnsi="宋体" w:cs="宋体"/>
                <w:szCs w:val="21"/>
                <w:highlight w:val="none"/>
                <w:lang w:val="zh-CN"/>
              </w:rPr>
              <w:t xml:space="preserve">，租赁车辆的同时提供租赁合同复印件加盖单位公章。</w:t>
            </w:r>
            <w:r/>
          </w:p>
        </w:tc>
        <w:tc>
          <w:tcPr>
            <w:shd w:val="clear" w:color="auto" w:fill="auto"/>
            <w:tcW w:w="841" w:type="dxa"/>
            <w:vAlign w:val="center"/>
            <w:textDirection w:val="lrTb"/>
            <w:noWrap w:val="false"/>
          </w:tcPr>
          <w:p>
            <w:pPr>
              <w:jc w:val="center"/>
              <w:widowControl/>
              <w:rPr>
                <w:rFonts w:hint="eastAsia" w:ascii="宋体" w:hAnsi="宋体" w:eastAsia="宋体" w:cs="宋体"/>
                <w:color w:val="auto"/>
                <w:sz w:val="21"/>
                <w:szCs w:val="24"/>
                <w:highlight w:val="none"/>
                <w:lang w:val="en-US" w:eastAsia="zh-CN" w:bidi="ar-SA"/>
              </w:rPr>
            </w:pPr>
            <w:r>
              <w:rPr>
                <w:rFonts w:hint="eastAsia" w:ascii="宋体" w:hAnsi="宋体" w:cs="宋体"/>
                <w:highlight w:val="none"/>
              </w:rPr>
              <w:t xml:space="preserve">6</w:t>
            </w:r>
            <w:r/>
          </w:p>
        </w:tc>
      </w:tr>
      <w:tr>
        <w:trPr>
          <w:jc w:val="center"/>
          <w:trHeight w:val="1316"/>
        </w:trPr>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2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5876" w:type="dxa"/>
            <w:vAlign w:val="center"/>
            <w:textDirection w:val="lrTb"/>
            <w:noWrap w:val="false"/>
          </w:tcPr>
          <w:p>
            <w:pPr>
              <w:jc w:val="left"/>
              <w:widowControl/>
              <w:rPr>
                <w:rFonts w:hint="default" w:ascii="宋体" w:hAnsi="宋体" w:eastAsia="宋体" w:cs="宋体"/>
                <w:szCs w:val="21"/>
                <w:highlight w:val="none"/>
                <w:lang w:val="en-US" w:eastAsia="zh-CN"/>
              </w:rPr>
            </w:pPr>
            <w:r>
              <w:rPr>
                <w:rFonts w:hint="eastAsia" w:ascii="宋体" w:hAnsi="宋体" w:cs="宋体"/>
                <w:szCs w:val="21"/>
                <w:highlight w:val="none"/>
              </w:rPr>
              <w:t xml:space="preserve">投标人在满足第四章商务要求上，每</w:t>
            </w:r>
            <w:r>
              <w:rPr>
                <w:rFonts w:hint="eastAsia" w:ascii="宋体" w:hAnsi="宋体" w:cs="宋体"/>
                <w:szCs w:val="21"/>
                <w:highlight w:val="none"/>
                <w:lang w:val="zh-CN"/>
              </w:rPr>
              <w:t xml:space="preserve">增加一种采购需求相应机械设备得</w:t>
            </w:r>
            <w:r>
              <w:rPr>
                <w:rFonts w:hint="eastAsia" w:ascii="宋体" w:hAnsi="宋体" w:cs="宋体"/>
                <w:szCs w:val="21"/>
                <w:highlight w:val="none"/>
              </w:rPr>
              <w:t xml:space="preserve">3</w:t>
            </w:r>
            <w:r>
              <w:rPr>
                <w:rFonts w:hint="eastAsia" w:ascii="宋体" w:hAnsi="宋体" w:cs="宋体"/>
                <w:szCs w:val="21"/>
                <w:highlight w:val="none"/>
                <w:lang w:val="zh-CN"/>
              </w:rPr>
              <w:t xml:space="preserve">分，最高得</w:t>
            </w:r>
            <w:r>
              <w:rPr>
                <w:rFonts w:hint="eastAsia" w:ascii="宋体" w:hAnsi="宋体" w:cs="宋体"/>
                <w:szCs w:val="21"/>
                <w:highlight w:val="none"/>
              </w:rPr>
              <w:t xml:space="preserve">12</w:t>
            </w:r>
            <w:r>
              <w:rPr>
                <w:rFonts w:hint="eastAsia" w:ascii="宋体" w:hAnsi="宋体" w:cs="宋体"/>
                <w:szCs w:val="21"/>
                <w:highlight w:val="none"/>
                <w:lang w:val="zh-CN"/>
              </w:rPr>
              <w:t xml:space="preserve">分。</w:t>
            </w:r>
            <w:r>
              <w:rPr>
                <w:rFonts w:hint="eastAsia" w:ascii="宋体" w:hAnsi="宋体" w:cs="宋体"/>
                <w:szCs w:val="21"/>
                <w:highlight w:val="none"/>
                <w:lang w:val="en-US" w:eastAsia="zh-CN"/>
              </w:rPr>
              <w:t xml:space="preserve">机械设备品目需在本次设备需求范围内。</w:t>
            </w:r>
            <w:r/>
          </w:p>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cs="宋体"/>
                <w:szCs w:val="21"/>
                <w:highlight w:val="none"/>
              </w:rPr>
              <w:t xml:space="preserve">注：</w:t>
            </w:r>
            <w:r>
              <w:rPr>
                <w:rFonts w:hint="eastAsia" w:ascii="宋体" w:hAnsi="宋体" w:cs="宋体"/>
                <w:szCs w:val="21"/>
                <w:highlight w:val="none"/>
                <w:lang w:val="zh-CN"/>
              </w:rPr>
              <w:t xml:space="preserve">须提供设备采购发票</w:t>
            </w:r>
            <w:r>
              <w:rPr>
                <w:rFonts w:hint="eastAsia" w:ascii="宋体" w:hAnsi="宋体" w:cs="宋体"/>
                <w:szCs w:val="21"/>
                <w:highlight w:val="none"/>
              </w:rPr>
              <w:t xml:space="preserve">复印件加盖单位公章</w:t>
            </w:r>
            <w:r>
              <w:rPr>
                <w:rFonts w:hint="eastAsia" w:ascii="宋体" w:hAnsi="宋体" w:cs="宋体"/>
                <w:szCs w:val="21"/>
                <w:highlight w:val="none"/>
                <w:lang w:val="zh-CN"/>
              </w:rPr>
              <w:t xml:space="preserve">，且购买方应为投标人；如为租赁设备须提供设备租赁合同复印件加盖单位公章。</w:t>
            </w:r>
            <w:r/>
          </w:p>
        </w:tc>
        <w:tc>
          <w:tcPr>
            <w:shd w:val="clear" w:color="auto" w:fill="auto"/>
            <w:tcW w:w="841" w:type="dxa"/>
            <w:vAlign w:val="center"/>
            <w:textDirection w:val="lrTb"/>
            <w:noWrap w:val="false"/>
          </w:tcPr>
          <w:p>
            <w:pPr>
              <w:jc w:val="center"/>
              <w:widowControl/>
              <w:rPr>
                <w:rFonts w:hint="eastAsia" w:ascii="宋体" w:hAnsi="宋体" w:eastAsia="宋体" w:cs="宋体"/>
                <w:color w:val="auto"/>
                <w:sz w:val="21"/>
                <w:szCs w:val="24"/>
                <w:highlight w:val="none"/>
                <w:lang w:val="en-US" w:eastAsia="zh-CN" w:bidi="ar-SA"/>
              </w:rPr>
            </w:pPr>
            <w:r>
              <w:rPr>
                <w:rFonts w:hint="eastAsia" w:ascii="宋体" w:hAnsi="宋体" w:cs="宋体"/>
                <w:highlight w:val="none"/>
              </w:rPr>
              <w:t xml:space="preserve">12</w:t>
            </w:r>
            <w:r/>
          </w:p>
        </w:tc>
      </w:tr>
      <w:tr>
        <w:trPr>
          <w:jc w:val="center"/>
          <w:trHeight w:val="0"/>
        </w:trPr>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w:t>
            </w:r>
            <w:r/>
          </w:p>
        </w:tc>
        <w:tc>
          <w:tcPr>
            <w:tcW w:w="1276"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w:t>
            </w:r>
            <w:r/>
          </w:p>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64</w:t>
            </w:r>
            <w:r>
              <w:rPr>
                <w:rFonts w:hint="eastAsia" w:ascii="宋体" w:hAnsi="宋体" w:eastAsia="宋体" w:cs="宋体"/>
                <w:color w:val="auto"/>
                <w:sz w:val="21"/>
                <w:szCs w:val="21"/>
                <w:highlight w:val="none"/>
              </w:rPr>
              <w:t xml:space="preserve">分）</w:t>
            </w:r>
            <w:r/>
          </w:p>
        </w:tc>
        <w:tc>
          <w:tcPr>
            <w:tcW w:w="587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对项目的认识、服务定位、总体目标及整体设想</w:t>
            </w:r>
            <w:r/>
          </w:p>
          <w:p>
            <w:pPr>
              <w:ind w:left="0" w:right="0" w:firstLine="0"/>
              <w:jc w:val="left"/>
              <w:keepLines w:val="0"/>
              <w:keepNext w:val="0"/>
              <w:pageBreakBefore w:val="0"/>
              <w:spacing w:line="240" w:lineRule="auto"/>
              <w:rPr>
                <w:rFonts w:hint="eastAsia" w:ascii="宋体" w:hAnsi="宋体" w:eastAsia="宋体" w:cs="宋体"/>
                <w:b w:val="0"/>
                <w:bCs w:val="0"/>
                <w:sz w:val="21"/>
                <w:highlight w:val="none"/>
                <w:lang w:val="en-US" w:eastAsia="zh-CN"/>
              </w:rPr>
            </w:pPr>
            <w:r>
              <w:rPr>
                <w:rFonts w:hint="eastAsia" w:ascii="宋体" w:hAnsi="宋体" w:eastAsia="宋体" w:cs="宋体"/>
                <w:sz w:val="21"/>
                <w:highlight w:val="none"/>
              </w:rPr>
              <w:t xml:space="preserve">1、服务设想全面周到、定位精准、目标清晰，深度贴合项目重难点，具备差异</w:t>
            </w:r>
            <w:r>
              <w:rPr>
                <w:rFonts w:hint="eastAsia" w:ascii="宋体" w:hAnsi="宋体" w:eastAsia="宋体" w:cs="宋体"/>
                <w:b w:val="0"/>
                <w:bCs w:val="0"/>
                <w:sz w:val="21"/>
                <w:highlight w:val="none"/>
              </w:rPr>
              <w:t xml:space="preserve">化、创新性服务思路，针对性极强，得13分</w:t>
            </w:r>
            <w:r>
              <w:rPr>
                <w:rFonts w:hint="eastAsia" w:ascii="宋体" w:hAnsi="宋体" w:eastAsia="宋体" w:cs="宋体"/>
                <w:b w:val="0"/>
                <w:bCs w:val="0"/>
                <w:sz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b w:val="0"/>
                <w:bCs w:val="0"/>
                <w:sz w:val="21"/>
                <w:highlight w:val="none"/>
                <w:lang w:eastAsia="zh-CN"/>
              </w:rPr>
            </w:pPr>
            <w:r>
              <w:rPr>
                <w:rFonts w:hint="eastAsia" w:ascii="宋体" w:hAnsi="宋体" w:eastAsia="宋体" w:cs="宋体"/>
                <w:b w:val="0"/>
                <w:bCs w:val="0"/>
                <w:sz w:val="21"/>
                <w:highlight w:val="none"/>
              </w:rPr>
              <w:t xml:space="preserve">2、服务设想完整覆盖本项目全部需求，服务定位、项目认知清晰，具备较强针对性，得10分</w:t>
            </w:r>
            <w:r>
              <w:rPr>
                <w:rFonts w:hint="eastAsia" w:ascii="宋体" w:hAnsi="宋体" w:eastAsia="宋体" w:cs="宋体"/>
                <w:b w:val="0"/>
                <w:bCs w:val="0"/>
                <w:sz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b w:val="0"/>
                <w:bCs w:val="0"/>
                <w:sz w:val="21"/>
                <w:highlight w:val="none"/>
                <w:lang w:eastAsia="zh-CN"/>
              </w:rPr>
            </w:pPr>
            <w:r>
              <w:rPr>
                <w:rFonts w:hint="eastAsia" w:ascii="宋体" w:hAnsi="宋体" w:eastAsia="宋体" w:cs="宋体"/>
                <w:b w:val="0"/>
                <w:bCs w:val="0"/>
                <w:sz w:val="21"/>
                <w:highlight w:val="none"/>
              </w:rPr>
              <w:t xml:space="preserve">3、服务设想较为全面，贴合项目基本需求，定位及目标基本合理，针对性一般，得7分</w:t>
            </w:r>
            <w:r>
              <w:rPr>
                <w:rFonts w:hint="eastAsia" w:ascii="宋体" w:hAnsi="宋体" w:eastAsia="宋体" w:cs="宋体"/>
                <w:b w:val="0"/>
                <w:bCs w:val="0"/>
                <w:sz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b w:val="0"/>
                <w:bCs w:val="0"/>
                <w:sz w:val="21"/>
                <w:highlight w:val="none"/>
                <w:lang w:eastAsia="zh-CN"/>
              </w:rPr>
            </w:pPr>
            <w:r>
              <w:rPr>
                <w:rFonts w:hint="eastAsia" w:ascii="宋体" w:hAnsi="宋体" w:eastAsia="宋体" w:cs="宋体"/>
                <w:b w:val="0"/>
                <w:bCs w:val="0"/>
                <w:sz w:val="21"/>
                <w:highlight w:val="none"/>
              </w:rPr>
              <w:t xml:space="preserve">4、服务设想内容单薄，仅覆盖部分项目需求，定位模糊、针对性较弱，得4分</w:t>
            </w:r>
            <w:r>
              <w:rPr>
                <w:rFonts w:hint="eastAsia" w:ascii="宋体" w:hAnsi="宋体" w:eastAsia="宋体" w:cs="宋体"/>
                <w:b w:val="0"/>
                <w:bCs w:val="0"/>
                <w:sz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b w:val="0"/>
                <w:bCs w:val="0"/>
                <w:sz w:val="21"/>
                <w:highlight w:val="none"/>
                <w:lang w:eastAsia="zh-CN"/>
              </w:rPr>
            </w:pPr>
            <w:r>
              <w:rPr>
                <w:rFonts w:hint="eastAsia" w:ascii="宋体" w:hAnsi="宋体" w:eastAsia="宋体" w:cs="宋体"/>
                <w:b w:val="0"/>
                <w:bCs w:val="0"/>
                <w:sz w:val="21"/>
                <w:highlight w:val="none"/>
              </w:rPr>
              <w:t xml:space="preserve">5、仅简单阐述服务相关内容，无有效项目认知及服务规划，内容空洞，得1分</w:t>
            </w:r>
            <w:r>
              <w:rPr>
                <w:rFonts w:hint="eastAsia" w:ascii="宋体" w:hAnsi="宋体" w:eastAsia="宋体" w:cs="宋体"/>
                <w:b w:val="0"/>
                <w:bCs w:val="0"/>
                <w:sz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sz w:val="21"/>
                <w:highlight w:val="none"/>
                <w:lang w:eastAsia="zh-CN"/>
              </w:rPr>
            </w:pPr>
            <w:r>
              <w:rPr>
                <w:rFonts w:hint="eastAsia" w:ascii="宋体" w:hAnsi="宋体" w:eastAsia="宋体" w:cs="宋体"/>
                <w:b w:val="0"/>
                <w:bCs w:val="0"/>
                <w:sz w:val="21"/>
                <w:highlight w:val="none"/>
              </w:rPr>
              <w:t xml:space="preserve">6、服务设想不明确、不合理，偏离项目需求，或未提供相关内容，得0分</w:t>
            </w:r>
            <w:r>
              <w:rPr>
                <w:rFonts w:hint="eastAsia" w:ascii="宋体" w:hAnsi="宋体" w:eastAsia="宋体" w:cs="宋体"/>
                <w:b w:val="0"/>
                <w:bCs w:val="0"/>
                <w:sz w:val="21"/>
                <w:highlight w:val="none"/>
                <w:lang w:eastAsia="zh-CN"/>
              </w:rPr>
              <w:t xml:space="preserve">。</w:t>
            </w:r>
            <w:r/>
          </w:p>
        </w:tc>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r>
      <w:tr>
        <w:trPr>
          <w:jc w:val="center"/>
          <w:trHeight w:val="0"/>
        </w:trPr>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w:t>
            </w:r>
            <w:r/>
          </w:p>
        </w:tc>
        <w:tc>
          <w:tcPr>
            <w:tcW w:w="12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7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质量、进度保证措施</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1、质量、进度保证措施体系完整、科学合理、落地性强，全方位贴合项目实施要求，得13分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2、质量、进度保证措施齐全，整体可行，能够有效保障项目实施，得10分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3、质量、进度保证措施较为完整，核心措施可行，整体满足项目基本实施需求，得7分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4、质量、进度保证措施存在缺漏，内容不够完善，仅部分措施具备可行性，得4分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5、仅简单罗列相关措施，无针对性内容，保障效力不足，得1分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6、质量、进度保证措施模糊、不合理、无可行性，或未提供相关内容，得0分</w:t>
            </w:r>
            <w:r>
              <w:rPr>
                <w:rFonts w:hint="eastAsia" w:ascii="宋体" w:hAnsi="宋体" w:eastAsia="宋体" w:cs="宋体"/>
                <w:color w:val="auto"/>
                <w:sz w:val="21"/>
                <w:szCs w:val="21"/>
                <w:highlight w:val="none"/>
                <w:lang w:eastAsia="zh-CN"/>
              </w:rPr>
              <w:t xml:space="preserve">。</w:t>
            </w:r>
            <w:r/>
          </w:p>
        </w:tc>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r>
      <w:tr>
        <w:trPr>
          <w:jc w:val="center"/>
          <w:trHeight w:val="0"/>
        </w:trPr>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w:t>
            </w:r>
            <w:r/>
          </w:p>
        </w:tc>
        <w:tc>
          <w:tcPr>
            <w:tcW w:w="12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7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人员配置</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1、人员配置科学合理，岗位职责、部门分工清晰明确，工作流程完整规范，管理制度健全完善，专项服务规划贴合项目实际、可落地性极强，得13分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2、岗位配置齐全，职责分工、工作流程完整，管理制度规范，具备贴合本项目的专项服务规划，得10分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3、人员及岗位配置基本齐全，职责、流程、管理制度基本完善，专项规划基本满足项目需求，整体可行，得7分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4、人员、岗位配置存在缺漏，职责分工、工作流程表述模糊，专项规划合理性、落地性一般，得4分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5、仅简单说明人员配置情况，无岗位职责、流程及专项规划等有效内容，针对性不足，得1分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6、人员配置不合理、岗位缺失，无职责分工、无工作流程，专项规划不科学、不可行，或未提供相关内容，得0分</w:t>
            </w:r>
            <w:r>
              <w:rPr>
                <w:rFonts w:hint="eastAsia" w:ascii="宋体" w:hAnsi="宋体" w:eastAsia="宋体" w:cs="宋体"/>
                <w:color w:val="auto"/>
                <w:sz w:val="21"/>
                <w:szCs w:val="21"/>
                <w:highlight w:val="none"/>
                <w:lang w:eastAsia="zh-CN"/>
              </w:rPr>
              <w:t xml:space="preserve">。</w:t>
            </w:r>
            <w:r/>
          </w:p>
        </w:tc>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r>
      <w:tr>
        <w:trPr>
          <w:jc w:val="center"/>
          <w:trHeight w:val="0"/>
        </w:trPr>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w:t>
            </w:r>
            <w:r/>
          </w:p>
        </w:tc>
        <w:tc>
          <w:tcPr>
            <w:tcW w:w="12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7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突发事件应急处理预案</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1、应急预案体系完备、科学规范，贴合本项目实际场景，针对性极强、可操作性高，得13分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2、应急预案完整健全，贴合项目服务需求，针对性较强、具备良好可操作性，得10分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3、应急预案内容较完整，基本适配项目场景，具备基本针对性与可操作性，得7分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4、应急预案存在一定缺漏，针对性偏弱，可操作性一般，得4分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5、仅简单罗列应急相关内容，无完整预案体系，缺乏实操性，得1分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6、无应急预案，或预案内容空洞、脱离项目实际、完全不具备可操作性，得0分</w:t>
            </w:r>
            <w:r>
              <w:rPr>
                <w:rFonts w:hint="eastAsia" w:ascii="宋体" w:hAnsi="宋体" w:eastAsia="宋体" w:cs="宋体"/>
                <w:color w:val="auto"/>
                <w:sz w:val="21"/>
                <w:szCs w:val="21"/>
                <w:highlight w:val="none"/>
                <w:lang w:eastAsia="zh-CN"/>
              </w:rPr>
              <w:t xml:space="preserve">。</w:t>
            </w:r>
            <w:r/>
          </w:p>
        </w:tc>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r>
      <w:tr>
        <w:trPr>
          <w:jc w:val="center"/>
          <w:trHeight w:val="0"/>
        </w:trPr>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p>
        </w:tc>
        <w:tc>
          <w:tcPr>
            <w:tcW w:w="12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7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安全文明措施、环保措施</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1、安全文明、环保措施体系完整、考虑周全，贴合项目特点，科学规范、落地可行性极强，得12分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2、安全文明、环保措施齐全合理，贴合项目需求，表述清晰、具备良好可行性，得9分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3、安全文明、环保措施基本完善，整体合理可行，基本满足项目实施要求，得6分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4、安全文明、环保措施存在漏项、内容不完善，规划合理性一般，得3分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5、仅简单罗列相关措施，无针对性内容，保障效果有限，得1分</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6、安全文明、环保措施不合理、无可行性，或未提供相关内容，得0分</w:t>
            </w:r>
            <w:r>
              <w:rPr>
                <w:rFonts w:hint="eastAsia" w:ascii="宋体" w:hAnsi="宋体" w:eastAsia="宋体" w:cs="宋体"/>
                <w:color w:val="auto"/>
                <w:sz w:val="21"/>
                <w:szCs w:val="21"/>
                <w:highlight w:val="none"/>
                <w:lang w:eastAsia="zh-CN"/>
              </w:rPr>
              <w:t xml:space="preserve">。</w:t>
            </w:r>
            <w:r/>
          </w:p>
        </w:tc>
        <w:tc>
          <w:tcPr>
            <w:tcW w:w="841"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w:t>
            </w:r>
            <w:r/>
          </w:p>
        </w:tc>
      </w:tr>
    </w:tbl>
    <w:p>
      <w:pPr>
        <w:ind w:firstLine="422"/>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rPr>
        <w:t xml:space="preserve">说明：</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1、实质性要求不得负偏离；否则，按照无效投标处理。</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2、对列入《节能产品政府采购品目清单》《环境标志产品政府采购品目清单》、且提供有效认证证书的产品，分别给予对应产品投标价 5% 的价格扣除，以扣除后价格参与评审。产品认证有效性可在全国认证认可信息公共服务平台、中国政府采购网节能环保栏目查询核验；未列入品目清单的产品不享受本项价格扣除优惠，评审时以提供有效期内认证证书复印件为准。</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3、小微企业的价格扣除</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3.1.依据《政府采购促进中小企业发展管理办法》（财库〔2020〕46 号）、《关于进一步加大政府采购支持中小企业力度的通知》（财库〔2022〕19 号）规定</w:t>
      </w:r>
      <w:r>
        <w:rPr>
          <w:rFonts w:hint="eastAsia" w:ascii="宋体" w:hAnsi="宋体" w:eastAsia="宋体" w:cs="宋体"/>
          <w:bCs/>
          <w:color w:val="auto"/>
          <w:szCs w:val="21"/>
          <w:highlight w:val="none"/>
          <w:lang w:eastAsia="zh-CN"/>
        </w:rPr>
        <w:t xml:space="preserve">，</w:t>
      </w:r>
      <w:r>
        <w:rPr>
          <w:rFonts w:hint="eastAsia" w:ascii="宋体" w:hAnsi="宋体" w:eastAsia="宋体" w:cs="宋体"/>
          <w:color w:val="auto"/>
          <w:highlight w:val="none"/>
        </w:rPr>
        <w:t xml:space="preserve">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30%以上的，对联合体或者大中型企业的报价给5%的扣除，用扣除后的价格参加评审。联合体各方均为小微企业的，联合体视同为小微企业，享受10%的价格扣除。</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w:t>
      </w:r>
      <w:r>
        <w:rPr>
          <w:rFonts w:hint="eastAsia" w:ascii="宋体" w:hAnsi="宋体" w:eastAsia="宋体" w:cs="宋体"/>
          <w:color w:val="auto"/>
          <w:highlight w:val="none"/>
        </w:rPr>
        <w:t xml:space="preserve">价格扣除比例或者价格分加分比例对小型企业和微型企业同等对待，不作区分。 </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3.3.中小微企业单位</w:t>
      </w:r>
      <w:r>
        <w:rPr>
          <w:rFonts w:hint="eastAsia" w:ascii="宋体" w:hAnsi="宋体" w:eastAsia="宋体" w:cs="宋体"/>
          <w:bCs/>
          <w:color w:val="auto"/>
          <w:szCs w:val="21"/>
          <w:highlight w:val="none"/>
        </w:rPr>
        <w:t xml:space="preserve">需按照采购文件的要求提供《</w:t>
      </w:r>
      <w:r>
        <w:rPr>
          <w:rFonts w:hint="eastAsia" w:ascii="宋体" w:hAnsi="宋体" w:eastAsia="宋体" w:cs="宋体"/>
          <w:b/>
          <w:bCs/>
          <w:color w:val="auto"/>
          <w:szCs w:val="21"/>
          <w:highlight w:val="none"/>
        </w:rPr>
        <w:t xml:space="preserve">中小企业</w:t>
      </w:r>
      <w:r>
        <w:rPr>
          <w:rFonts w:hint="eastAsia" w:ascii="宋体" w:hAnsi="宋体" w:eastAsia="宋体" w:cs="宋体"/>
          <w:b/>
          <w:color w:val="auto"/>
          <w:szCs w:val="21"/>
          <w:highlight w:val="none"/>
        </w:rPr>
        <w:t xml:space="preserve">声明函</w:t>
      </w:r>
      <w:r>
        <w:rPr>
          <w:rFonts w:hint="eastAsia" w:ascii="宋体" w:hAnsi="宋体" w:eastAsia="宋体" w:cs="宋体"/>
          <w:bCs/>
          <w:color w:val="auto"/>
          <w:szCs w:val="21"/>
          <w:highlight w:val="none"/>
        </w:rPr>
        <w:t xml:space="preserve">》。</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w:t>
      </w:r>
      <w:r>
        <w:rPr>
          <w:rFonts w:hint="eastAsia" w:ascii="宋体" w:hAnsi="宋体" w:eastAsia="宋体" w:cs="宋体"/>
          <w:color w:val="auto"/>
          <w:highlight w:val="none"/>
        </w:rPr>
        <w:t xml:space="preserve">说明：价格扣除优惠政策仅适用于“第一章 二、申请人的资格要求 落实政府采购政策需满足的资格要求”中“本项目采用 以下第（4）种方式落实政府采购促进中小企业发展的要求”的采购项目中。</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4、监狱和戒毒企业的价格扣除</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 本项目对监狱和戒毒企业（简称监狱企业），给予10%的价格扣除，用扣除后的价格参与评审。</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4.2. 监狱企业需提供由省级以上监狱管理局、戒毒管理局（含新疆生产建设兵团）出具的属于监狱企业的证明文件。</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4.3. 监狱企业标准请参照《关于政府采购支持监狱企业发展有关问题的通知》（财库[2014]68号）。</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5、残疾人福利性单位的价格扣除</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本项目对残疾人福利性单位，给予10%的价格扣除，用扣除后的价格参与评审。</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5.2. 残疾人福利单位需按照采购文件的要求提供《残疾人福利性单位声明函》。</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5.3. 残疾人福利单位标准请参照《关于促进残疾人就业政府采购政策的通知》（财库〔2017〕141号）。</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6、监狱企业、残疾人福利单位属于小型、微型企业的，不重复享受政策。</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w:t>
      </w:r>
      <w:r>
        <w:rPr>
          <w:rFonts w:hint="eastAsia" w:ascii="宋体" w:hAnsi="宋体" w:eastAsia="宋体" w:cs="宋体"/>
          <w:b/>
          <w:color w:val="auto"/>
          <w:szCs w:val="21"/>
          <w:highlight w:val="none"/>
          <w:lang w:eastAsia="zh-CN"/>
        </w:rPr>
        <w:t xml:space="preserve">投标人</w:t>
      </w:r>
      <w:r>
        <w:rPr>
          <w:rFonts w:hint="eastAsia" w:ascii="宋体" w:hAnsi="宋体" w:eastAsia="宋体" w:cs="宋体"/>
          <w:b/>
          <w:color w:val="auto"/>
          <w:szCs w:val="21"/>
          <w:highlight w:val="none"/>
        </w:rPr>
        <w:t xml:space="preserve">需按上述要求提供相关证明文件，如未按要求提供、填写，或相关内容表述不清的，不得享受小微企业相关政策。</w:t>
      </w:r>
      <w:r/>
    </w:p>
    <w:p>
      <w:pPr>
        <w:ind w:firstLine="41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、评标结果保留两位小数。</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03"/>
        <w:jc w:val="center"/>
        <w:rPr>
          <w:rFonts w:hint="eastAsia" w:ascii="宋体" w:hAnsi="宋体" w:eastAsia="宋体" w:cs="宋体"/>
          <w:b/>
          <w:color w:val="auto"/>
          <w:sz w:val="18"/>
          <w:szCs w:val="18"/>
          <w:highlight w:val="none"/>
        </w:rPr>
        <w:outlineLvl w:val="0"/>
      </w:pPr>
      <w:r>
        <w:rPr>
          <w:rFonts w:hint="eastAsia" w:ascii="宋体" w:hAnsi="宋体" w:eastAsia="宋体" w:cs="宋体"/>
          <w:b/>
          <w:color w:val="auto"/>
          <w:sz w:val="40"/>
          <w:szCs w:val="40"/>
          <w:highlight w:val="none"/>
        </w:rPr>
        <w:br w:type="page" w:clear="all"/>
      </w:r>
      <w:bookmarkStart w:id="101" w:name="_Toc1750"/>
      <w:r/>
      <w:bookmarkStart w:id="102" w:name="_Toc16210"/>
      <w:r/>
      <w:bookmarkStart w:id="103" w:name="_Toc7015"/>
      <w:r/>
      <w:bookmarkStart w:id="104" w:name="_Toc116284543"/>
      <w:r/>
      <w:bookmarkStart w:id="105" w:name="_Toc22351"/>
      <w:r/>
      <w:bookmarkStart w:id="106" w:name="_Toc16162"/>
      <w:r/>
      <w:bookmarkStart w:id="107" w:name="_Toc28538"/>
      <w:r/>
      <w:bookmarkStart w:id="108" w:name="_Toc20320"/>
      <w:r/>
      <w:bookmarkStart w:id="109" w:name="_Toc31920"/>
      <w:r/>
      <w:bookmarkStart w:id="110" w:name="_Toc5985"/>
      <w:r/>
      <w:bookmarkStart w:id="111" w:name="_Toc25412"/>
      <w:r/>
      <w:bookmarkStart w:id="112" w:name="_Toc706"/>
      <w:r/>
      <w:bookmarkStart w:id="113" w:name="_Toc14784"/>
      <w:r/>
      <w:bookmarkStart w:id="114" w:name="_Toc17283"/>
      <w:r/>
      <w:bookmarkStart w:id="115" w:name="_Toc4769"/>
      <w:r/>
      <w:bookmarkStart w:id="116" w:name="_Toc5719"/>
      <w:r/>
      <w:bookmarkStart w:id="117" w:name="_Toc8679"/>
      <w:r/>
      <w:bookmarkStart w:id="118" w:name="_Toc1140"/>
      <w:r/>
      <w:bookmarkStart w:id="119" w:name="_Toc11707"/>
      <w:r/>
      <w:bookmarkStart w:id="120" w:name="_Toc25129"/>
      <w:r/>
      <w:bookmarkStart w:id="121" w:name="_Toc7409"/>
      <w:r/>
      <w:bookmarkStart w:id="122" w:name="_Toc23054"/>
      <w:r/>
      <w:bookmarkStart w:id="123" w:name="_Toc19623"/>
      <w:r/>
      <w:bookmarkStart w:id="124" w:name="_Toc23564"/>
      <w:r/>
      <w:bookmarkStart w:id="125" w:name="_Toc8896"/>
      <w:r/>
      <w:bookmarkStart w:id="126" w:name="_Toc15960"/>
      <w:r/>
      <w:bookmarkStart w:id="127" w:name="_Toc20577"/>
      <w:r/>
      <w:bookmarkStart w:id="128" w:name="_Toc30100"/>
      <w:r/>
      <w:bookmarkStart w:id="129" w:name="_Toc11560"/>
      <w:r/>
      <w:bookmarkStart w:id="130" w:name="_Toc29121"/>
      <w:r/>
      <w:bookmarkStart w:id="131" w:name="_Toc29274"/>
      <w:r/>
      <w:bookmarkStart w:id="132" w:name="_Toc6323"/>
      <w:r>
        <w:rPr>
          <w:rFonts w:hint="eastAsia" w:ascii="宋体" w:hAnsi="宋体" w:eastAsia="宋体" w:cs="宋体"/>
          <w:b/>
          <w:color w:val="auto"/>
          <w:sz w:val="40"/>
          <w:szCs w:val="40"/>
          <w:highlight w:val="none"/>
        </w:rPr>
        <w:t xml:space="preserve">第四章 招标项目说明及技术要求</w:t>
      </w:r>
      <w:bookmarkEnd w:id="98"/>
      <w:r/>
      <w:bookmarkEnd w:id="99"/>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jc w:val="left"/>
        <w:spacing w:line="360" w:lineRule="auto"/>
        <w:rPr>
          <w:rFonts w:hint="eastAsia" w:ascii="宋体" w:hAnsi="宋体" w:eastAsia="宋体" w:cs="宋体"/>
          <w:b/>
          <w:bCs w:val="0"/>
          <w:color w:val="auto"/>
          <w:sz w:val="28"/>
          <w:szCs w:val="28"/>
          <w:highlight w:val="none"/>
          <w:lang w:val="en-US" w:eastAsia="zh-CN"/>
        </w:rPr>
        <w:outlineLvl w:val="1"/>
      </w:pPr>
      <w:r/>
      <w:bookmarkStart w:id="133" w:name="_Toc24328"/>
      <w:r/>
      <w:bookmarkStart w:id="134" w:name="_Toc12447"/>
      <w:r/>
      <w:bookmarkStart w:id="135" w:name="_Toc455956317"/>
      <w:r/>
      <w:bookmarkStart w:id="136" w:name="_Toc482108468"/>
      <w:r/>
      <w:bookmarkStart w:id="137" w:name="_Toc28990"/>
      <w:r/>
      <w:bookmarkStart w:id="138" w:name="_Toc29425"/>
      <w:r/>
      <w:bookmarkStart w:id="139" w:name="_Toc17656"/>
      <w:r/>
      <w:bookmarkStart w:id="140" w:name="_Toc398298171"/>
      <w:r/>
      <w:bookmarkStart w:id="141" w:name="_Toc20460"/>
      <w:r/>
      <w:bookmarkStart w:id="142" w:name="_Toc18488"/>
      <w:r/>
      <w:bookmarkStart w:id="143" w:name="_Toc2415"/>
      <w:r/>
      <w:bookmarkStart w:id="144" w:name="_Toc461864501"/>
      <w:r/>
      <w:bookmarkStart w:id="145" w:name="_Toc23646"/>
      <w:r/>
      <w:bookmarkStart w:id="146" w:name="_Toc26417"/>
      <w:r/>
      <w:bookmarkStart w:id="147" w:name="_Toc4803"/>
      <w:r/>
      <w:bookmarkStart w:id="148" w:name="_Toc941"/>
      <w:r/>
      <w:bookmarkStart w:id="149" w:name="_Toc8432"/>
      <w:r/>
      <w:bookmarkStart w:id="150" w:name="_Toc20916"/>
      <w:r/>
      <w:bookmarkStart w:id="151" w:name="_Toc488080258"/>
      <w:r/>
      <w:bookmarkStart w:id="152" w:name="_Toc27365"/>
      <w:r/>
      <w:bookmarkStart w:id="153" w:name="_Toc9048"/>
      <w:r/>
      <w:bookmarkStart w:id="154" w:name="_Toc8497"/>
      <w:r/>
      <w:bookmarkStart w:id="155" w:name="_Toc15168"/>
      <w:r/>
      <w:bookmarkStart w:id="156" w:name="_Toc21091"/>
      <w:r/>
      <w:bookmarkStart w:id="157" w:name="_Toc377632915"/>
      <w:r/>
      <w:bookmarkStart w:id="158" w:name="_Toc505073760"/>
      <w:r/>
      <w:bookmarkStart w:id="159" w:name="_Toc11199"/>
      <w:r/>
      <w:bookmarkStart w:id="160" w:name="_Toc1516"/>
      <w:r/>
      <w:bookmarkStart w:id="161" w:name="_Toc31082"/>
      <w:r/>
      <w:bookmarkStart w:id="162" w:name="_Toc514415673"/>
      <w:r/>
      <w:bookmarkStart w:id="163" w:name="_Toc490215483"/>
      <w:r/>
      <w:bookmarkStart w:id="164" w:name="_Toc2111"/>
      <w:r/>
      <w:bookmarkStart w:id="165" w:name="_Toc8180"/>
      <w:r/>
      <w:bookmarkStart w:id="166" w:name="_Toc14271"/>
      <w:r/>
      <w:bookmarkStart w:id="167" w:name="_Toc18542"/>
      <w:r/>
      <w:bookmarkStart w:id="168" w:name="_Toc22626"/>
      <w:r/>
      <w:bookmarkStart w:id="169" w:name="_Toc354071453"/>
      <w:r/>
      <w:bookmarkStart w:id="170" w:name="_Toc490215485"/>
      <w:r/>
      <w:bookmarkStart w:id="171" w:name="_Toc16539"/>
      <w:r/>
      <w:bookmarkStart w:id="172" w:name="_Toc519115107"/>
      <w:r/>
      <w:bookmarkStart w:id="173" w:name="_Toc488868476"/>
      <w:r/>
      <w:bookmarkStart w:id="174" w:name="_Toc489515643"/>
      <w:r>
        <w:rPr>
          <w:rFonts w:hint="eastAsia" w:ascii="宋体" w:hAnsi="宋体" w:eastAsia="宋体" w:cs="宋体"/>
          <w:b/>
          <w:bCs w:val="0"/>
          <w:color w:val="auto"/>
          <w:sz w:val="28"/>
          <w:szCs w:val="28"/>
          <w:highlight w:val="none"/>
          <w:lang w:val="en-US" w:eastAsia="zh-CN"/>
        </w:rPr>
        <w:t xml:space="preserve">一、项目概况</w:t>
      </w:r>
      <w:bookmarkEnd w:id="133"/>
      <w:r/>
      <w:bookmarkEnd w:id="134"/>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本项目用于江宁区范围内公路和城市道路交通标志、标线、护栏、信号灯等道路交通安全设施的制作、安装和维护。</w:t>
      </w:r>
      <w:r/>
    </w:p>
    <w:p>
      <w:pPr>
        <w:spacing w:line="360" w:lineRule="auto"/>
        <w:rPr>
          <w:rFonts w:hint="eastAsia" w:ascii="宋体" w:hAnsi="宋体" w:eastAsia="宋体" w:cs="宋体"/>
          <w:b/>
          <w:bCs w:val="0"/>
          <w:color w:val="auto"/>
          <w:sz w:val="28"/>
          <w:szCs w:val="28"/>
          <w:highlight w:val="none"/>
          <w:lang w:val="en-US" w:eastAsia="zh-CN"/>
        </w:rPr>
        <w:outlineLvl w:val="1"/>
      </w:pPr>
      <w:r/>
      <w:bookmarkStart w:id="175" w:name="_Toc21523"/>
      <w:r/>
      <w:bookmarkStart w:id="176" w:name="_Toc2933"/>
      <w:r>
        <w:rPr>
          <w:rFonts w:hint="eastAsia" w:ascii="宋体" w:hAnsi="宋体" w:eastAsia="宋体" w:cs="宋体"/>
          <w:b/>
          <w:bCs w:val="0"/>
          <w:color w:val="auto"/>
          <w:sz w:val="28"/>
          <w:szCs w:val="28"/>
          <w:highlight w:val="none"/>
          <w:lang w:val="en-US" w:eastAsia="zh-CN"/>
        </w:rPr>
        <w:t xml:space="preserve">二、采购清单（即分项报价表）以及报价要求</w:t>
      </w:r>
      <w:bookmarkEnd w:id="175"/>
      <w:r/>
      <w:bookmarkEnd w:id="176"/>
      <w:r/>
      <w:r/>
    </w:p>
    <w:p>
      <w:pPr>
        <w:numPr>
          <w:ilvl w:val="0"/>
          <w:numId w:val="0"/>
        </w:numPr>
        <w:jc w:val="left"/>
        <w:spacing w:line="360" w:lineRule="auto"/>
        <w:rPr>
          <w:rFonts w:hint="eastAsia" w:ascii="宋体" w:hAnsi="宋体" w:eastAsia="宋体" w:cs="宋体"/>
          <w:b/>
          <w:bCs/>
          <w:color w:val="auto"/>
          <w:sz w:val="24"/>
          <w:szCs w:val="24"/>
          <w:highlight w:val="none"/>
          <w:lang w:val="en-US" w:eastAsia="zh-CN"/>
        </w:rPr>
        <w:outlineLvl w:val="2"/>
      </w:pPr>
      <w:r/>
      <w:bookmarkStart w:id="177" w:name="_Toc4290"/>
      <w:r/>
      <w:bookmarkStart w:id="178" w:name="_Toc13761"/>
      <w:r>
        <w:rPr>
          <w:rFonts w:hint="eastAsia" w:ascii="宋体" w:hAnsi="宋体" w:eastAsia="宋体" w:cs="宋体"/>
          <w:b/>
          <w:bCs/>
          <w:color w:val="auto"/>
          <w:sz w:val="24"/>
          <w:szCs w:val="24"/>
          <w:highlight w:val="none"/>
          <w:lang w:val="en-US" w:eastAsia="zh-CN"/>
        </w:rPr>
        <w:t xml:space="preserve">（一）采购清单（即分项报价表）</w:t>
      </w:r>
      <w:bookmarkEnd w:id="177"/>
      <w:r/>
      <w:bookmarkEnd w:id="178"/>
      <w:r/>
      <w:r/>
    </w:p>
    <w:p>
      <w:pPr>
        <w:numPr>
          <w:ilvl w:val="0"/>
          <w:numId w:val="0"/>
        </w:numPr>
        <w:ind w:firstLine="420"/>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1、此清单所涉及到的项目及工作量都是一年内不定时的工作。</w:t>
      </w:r>
      <w:r/>
    </w:p>
    <w:p>
      <w:pPr>
        <w:numPr>
          <w:ilvl w:val="0"/>
          <w:numId w:val="0"/>
        </w:numPr>
        <w:ind w:left="0" w:firstLine="420"/>
        <w:jc w:val="left"/>
        <w:spacing w:line="360" w:lineRule="auto"/>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2、该清单内的项目和工程量</w:t>
      </w:r>
      <w:r>
        <w:rPr>
          <w:rFonts w:hint="eastAsia" w:ascii="宋体" w:hAnsi="宋体" w:eastAsia="宋体" w:cs="宋体"/>
          <w:b w:val="0"/>
          <w:bCs w:val="0"/>
          <w:color w:val="auto"/>
          <w:sz w:val="21"/>
          <w:szCs w:val="21"/>
          <w:highlight w:val="none"/>
        </w:rPr>
        <w:t xml:space="preserve">均</w:t>
      </w:r>
      <w:r>
        <w:rPr>
          <w:rFonts w:hint="eastAsia" w:ascii="宋体" w:hAnsi="宋体" w:eastAsia="宋体" w:cs="宋体"/>
          <w:b w:val="0"/>
          <w:bCs w:val="0"/>
          <w:color w:val="auto"/>
          <w:sz w:val="21"/>
          <w:szCs w:val="21"/>
          <w:highlight w:val="none"/>
          <w:lang w:val="en-US"/>
        </w:rPr>
        <w:t xml:space="preserve">为暂估，</w:t>
      </w:r>
      <w:r>
        <w:rPr>
          <w:rFonts w:hint="eastAsia" w:ascii="宋体" w:hAnsi="宋体" w:eastAsia="宋体" w:cs="宋体"/>
          <w:b w:val="0"/>
          <w:bCs w:val="0"/>
          <w:color w:val="auto"/>
          <w:sz w:val="21"/>
          <w:szCs w:val="21"/>
          <w:highlight w:val="none"/>
        </w:rPr>
        <w:t xml:space="preserve">主要</w:t>
      </w:r>
      <w:r>
        <w:rPr>
          <w:rFonts w:hint="eastAsia" w:ascii="宋体" w:hAnsi="宋体" w:eastAsia="宋体" w:cs="宋体"/>
          <w:b w:val="0"/>
          <w:bCs w:val="0"/>
          <w:color w:val="auto"/>
          <w:sz w:val="21"/>
          <w:szCs w:val="21"/>
          <w:highlight w:val="none"/>
          <w:lang w:val="en-US" w:eastAsia="zh-CN"/>
        </w:rPr>
        <w:t xml:space="preserve">为</w:t>
      </w:r>
      <w:r>
        <w:rPr>
          <w:rFonts w:hint="eastAsia" w:ascii="宋体" w:hAnsi="宋体" w:eastAsia="宋体" w:cs="宋体"/>
          <w:b w:val="0"/>
          <w:bCs w:val="0"/>
          <w:color w:val="auto"/>
          <w:sz w:val="21"/>
          <w:szCs w:val="21"/>
          <w:highlight w:val="none"/>
        </w:rPr>
        <w:t xml:space="preserve">明确单价，</w:t>
      </w:r>
      <w:r>
        <w:rPr>
          <w:rFonts w:hint="eastAsia" w:ascii="宋体" w:hAnsi="宋体" w:eastAsia="宋体" w:cs="宋体"/>
          <w:b w:val="0"/>
          <w:bCs w:val="0"/>
          <w:color w:val="auto"/>
          <w:sz w:val="21"/>
          <w:szCs w:val="21"/>
          <w:highlight w:val="none"/>
          <w:lang w:val="en-US" w:eastAsia="zh-CN"/>
        </w:rPr>
        <w:t xml:space="preserve">以便</w:t>
      </w:r>
      <w:r>
        <w:rPr>
          <w:rFonts w:hint="eastAsia" w:ascii="宋体" w:hAnsi="宋体" w:eastAsia="宋体" w:cs="宋体"/>
          <w:color w:val="auto"/>
          <w:sz w:val="21"/>
          <w:szCs w:val="21"/>
          <w:highlight w:val="none"/>
        </w:rPr>
        <w:t xml:space="preserve">中标后</w:t>
      </w:r>
      <w:r>
        <w:rPr>
          <w:rFonts w:hint="eastAsia" w:ascii="宋体" w:hAnsi="宋体" w:eastAsia="宋体" w:cs="宋体"/>
          <w:color w:val="auto"/>
          <w:sz w:val="21"/>
          <w:szCs w:val="21"/>
          <w:highlight w:val="none"/>
          <w:lang w:val="en-US" w:eastAsia="zh-CN"/>
        </w:rPr>
        <w:t xml:space="preserve">进行。结算时，</w:t>
      </w:r>
      <w:r>
        <w:rPr>
          <w:rFonts w:hint="eastAsia" w:ascii="宋体" w:hAnsi="宋体" w:eastAsia="宋体" w:cs="宋体"/>
          <w:color w:val="auto"/>
          <w:sz w:val="21"/>
          <w:szCs w:val="21"/>
          <w:highlight w:val="none"/>
        </w:rPr>
        <w:t xml:space="preserve">单价依据分项报价表中的报价确定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rPr>
        <w:t xml:space="preserve">工程量以实际发生量</w:t>
      </w:r>
      <w:r>
        <w:rPr>
          <w:rFonts w:hint="eastAsia" w:ascii="宋体" w:hAnsi="宋体" w:eastAsia="宋体" w:cs="宋体"/>
          <w:b w:val="0"/>
          <w:bCs w:val="0"/>
          <w:color w:val="auto"/>
          <w:sz w:val="21"/>
          <w:szCs w:val="21"/>
          <w:highlight w:val="none"/>
          <w:lang w:val="en-US" w:eastAsia="zh-CN"/>
        </w:rPr>
        <w:t xml:space="preserve">为准</w:t>
      </w:r>
      <w:r>
        <w:rPr>
          <w:rFonts w:hint="eastAsia" w:ascii="宋体" w:hAnsi="宋体" w:eastAsia="宋体" w:cs="宋体"/>
          <w:b w:val="0"/>
          <w:bCs w:val="0"/>
          <w:color w:val="auto"/>
          <w:sz w:val="21"/>
          <w:szCs w:val="21"/>
          <w:highlight w:val="none"/>
          <w:lang w:val="en-US"/>
        </w:rPr>
        <w:t xml:space="preserve">。</w:t>
      </w:r>
      <w:r/>
    </w:p>
    <w:p>
      <w:pPr>
        <w:numPr>
          <w:ilvl w:val="0"/>
          <w:numId w:val="0"/>
        </w:numPr>
        <w:ind w:firstLine="420"/>
        <w:jc w:val="left"/>
        <w:spacing w:line="360" w:lineRule="auto"/>
        <w:rPr>
          <w:rFonts w:hint="eastAsia" w:ascii="宋体" w:hAnsi="宋体" w:eastAsia="宋体" w:cs="宋体"/>
          <w:b/>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本项目</w:t>
      </w:r>
      <w:r>
        <w:rPr>
          <w:rFonts w:hint="eastAsia" w:ascii="宋体" w:hAnsi="宋体" w:eastAsia="宋体" w:cs="宋体"/>
          <w:b w:val="0"/>
          <w:bCs/>
          <w:color w:val="auto"/>
          <w:sz w:val="21"/>
          <w:szCs w:val="21"/>
          <w:highlight w:val="none"/>
        </w:rPr>
        <w:t xml:space="preserve">所有服务范围、工作量包含</w:t>
      </w:r>
      <w:r>
        <w:rPr>
          <w:rFonts w:hint="eastAsia" w:ascii="宋体" w:hAnsi="宋体" w:eastAsia="宋体" w:cs="宋体"/>
          <w:b w:val="0"/>
          <w:bCs/>
          <w:color w:val="auto"/>
          <w:sz w:val="21"/>
          <w:szCs w:val="21"/>
          <w:highlight w:val="none"/>
          <w:lang w:val="en-US" w:eastAsia="zh-CN"/>
        </w:rPr>
        <w:t xml:space="preserve">采购清单中的</w:t>
      </w:r>
      <w:r>
        <w:rPr>
          <w:rFonts w:hint="eastAsia" w:ascii="宋体" w:hAnsi="宋体" w:eastAsia="宋体" w:cs="宋体"/>
          <w:b w:val="0"/>
          <w:bCs/>
          <w:color w:val="auto"/>
          <w:sz w:val="21"/>
          <w:szCs w:val="21"/>
          <w:highlight w:val="none"/>
        </w:rPr>
        <w:t xml:space="preserve">内容</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但不限于</w:t>
      </w:r>
      <w:r>
        <w:rPr>
          <w:rFonts w:hint="eastAsia" w:ascii="宋体" w:hAnsi="宋体" w:eastAsia="宋体" w:cs="宋体"/>
          <w:b w:val="0"/>
          <w:bCs/>
          <w:color w:val="auto"/>
          <w:sz w:val="21"/>
          <w:szCs w:val="21"/>
          <w:highlight w:val="none"/>
          <w:lang w:val="en-US" w:eastAsia="zh-CN"/>
        </w:rPr>
        <w:t xml:space="preserve">该表中的</w:t>
      </w:r>
      <w:r>
        <w:rPr>
          <w:rFonts w:hint="eastAsia" w:ascii="宋体" w:hAnsi="宋体" w:eastAsia="宋体" w:cs="宋体"/>
          <w:b w:val="0"/>
          <w:bCs/>
          <w:color w:val="auto"/>
          <w:sz w:val="21"/>
          <w:szCs w:val="21"/>
          <w:highlight w:val="none"/>
        </w:rPr>
        <w:t xml:space="preserve">内容，</w:t>
      </w:r>
      <w:r>
        <w:rPr>
          <w:rFonts w:hint="eastAsia" w:ascii="宋体" w:hAnsi="宋体" w:eastAsia="宋体" w:cs="宋体"/>
          <w:b w:val="0"/>
          <w:bCs/>
          <w:color w:val="auto"/>
          <w:sz w:val="21"/>
          <w:szCs w:val="21"/>
          <w:highlight w:val="none"/>
          <w:lang w:val="en-US" w:eastAsia="zh-CN"/>
        </w:rPr>
        <w:t xml:space="preserve">采购人</w:t>
      </w:r>
      <w:r>
        <w:rPr>
          <w:rFonts w:hint="eastAsia" w:ascii="宋体" w:hAnsi="宋体" w:eastAsia="宋体" w:cs="宋体"/>
          <w:b w:val="0"/>
          <w:bCs/>
          <w:color w:val="auto"/>
          <w:sz w:val="21"/>
          <w:szCs w:val="21"/>
          <w:highlight w:val="none"/>
        </w:rPr>
        <w:t xml:space="preserve">交办的临时任务须无条件满足。</w:t>
      </w:r>
      <w:r/>
    </w:p>
    <w:p>
      <w:pPr>
        <w:numPr>
          <w:ilvl w:val="0"/>
          <w:numId w:val="0"/>
        </w:numPr>
        <w:ind w:left="397" w:firstLine="0"/>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4、如有需采购人协调事项需提前沟通，自行安排好工作计划。</w:t>
      </w:r>
      <w:r/>
    </w:p>
    <w:p>
      <w:pPr>
        <w:numPr>
          <w:ilvl w:val="0"/>
          <w:numId w:val="0"/>
        </w:numPr>
        <w:ind w:left="397" w:firstLine="0"/>
        <w:jc w:val="left"/>
        <w:spacing w:line="360" w:lineRule="auto"/>
        <w:rPr>
          <w:rFonts w:hint="eastAsia" w:ascii="宋体" w:hAnsi="宋体" w:eastAsia="宋体" w:cs="宋体"/>
          <w:color w:val="auto"/>
          <w:highlight w:val="none"/>
        </w:rPr>
      </w:pPr>
      <w:r>
        <w:rPr>
          <w:rFonts w:hint="eastAsia" w:ascii="宋体" w:hAnsi="宋体" w:eastAsia="宋体" w:cs="宋体"/>
          <w:b w:val="0"/>
          <w:bCs/>
          <w:color w:val="auto"/>
          <w:sz w:val="21"/>
          <w:szCs w:val="21"/>
          <w:highlight w:val="none"/>
          <w:lang w:val="en-US" w:eastAsia="zh-CN"/>
        </w:rPr>
        <w:t xml:space="preserve">5、清单中</w:t>
      </w:r>
      <w:r>
        <w:rPr>
          <w:rFonts w:hint="eastAsia" w:ascii="宋体" w:hAnsi="宋体" w:eastAsia="宋体" w:cs="宋体"/>
          <w:color w:val="auto"/>
          <w:highlight w:val="none"/>
        </w:rPr>
        <w:t xml:space="preserve">凡涉及品牌的要求，提供品牌仅作参考，不作强制要求。</w:t>
      </w:r>
      <w:r/>
    </w:p>
    <w:tbl>
      <w:tblPr>
        <w:tblStyle w:val="841"/>
        <w:tblW w:w="98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2612"/>
        <w:gridCol w:w="3529"/>
        <w:gridCol w:w="757"/>
        <w:gridCol w:w="757"/>
        <w:gridCol w:w="1222"/>
      </w:tblGrid>
      <w:tr>
        <w:trPr>
          <w:jc w:val="center"/>
          <w:trHeight w:val="0"/>
          <w:tblHeader/>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612"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项目名称</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规格及参数</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W w:w="1222"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w:t>
            </w:r>
            <w:r/>
          </w:p>
          <w:p>
            <w:pPr>
              <w:ind w:left="0" w:right="0" w:firstLine="0"/>
              <w:jc w:val="center"/>
              <w:keepLines w:val="0"/>
              <w:keepNext w:val="0"/>
              <w:pageBreakBefore w:val="0"/>
              <w:spacing w:before="181" w:after="181"/>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（元）</w:t>
            </w:r>
            <w:r/>
          </w:p>
        </w:tc>
      </w:tr>
      <w:tr>
        <w:trPr>
          <w:jc w:val="center"/>
          <w:trHeight w:val="0"/>
        </w:trPr>
        <w:tc>
          <w:tcPr>
            <w:gridSpan w:val="6"/>
            <w:tcW w:w="9816"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4"/>
                <w:szCs w:val="24"/>
                <w:highlight w:val="none"/>
              </w:rPr>
              <w:t xml:space="preserve">一、标线施工（权数</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0%）</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施划地面热熔交通标线（含震荡标线、各色热熔标线以及施划标线前旧标线的打磨）</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757" w:type="dxa"/>
            <w:vAlign w:val="center"/>
            <w:textDirection w:val="lrTb"/>
            <w:noWrap/>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74.52</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清除地面交通标线（水洗清除）</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757" w:type="dxa"/>
            <w:vAlign w:val="center"/>
            <w:textDirection w:val="lrTb"/>
            <w:noWrap/>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76.5</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施划地面</w:t>
            </w:r>
            <w:r>
              <w:rPr>
                <w:rFonts w:hint="eastAsia" w:ascii="宋体" w:hAnsi="宋体" w:eastAsia="宋体" w:cs="宋体"/>
                <w:bCs/>
                <w:color w:val="auto"/>
                <w:sz w:val="21"/>
                <w:szCs w:val="21"/>
                <w:highlight w:val="none"/>
                <w:lang w:eastAsia="zh-CN"/>
              </w:rPr>
              <w:t xml:space="preserve">双组份</w:t>
            </w:r>
            <w:r>
              <w:rPr>
                <w:rFonts w:hint="eastAsia" w:ascii="宋体" w:hAnsi="宋体" w:eastAsia="宋体" w:cs="宋体"/>
                <w:bCs/>
                <w:color w:val="auto"/>
                <w:sz w:val="21"/>
                <w:szCs w:val="21"/>
                <w:highlight w:val="none"/>
              </w:rPr>
              <w:t xml:space="preserve">交通标线（包括各色</w:t>
            </w:r>
            <w:r>
              <w:rPr>
                <w:rFonts w:hint="eastAsia" w:ascii="宋体" w:hAnsi="宋体" w:eastAsia="宋体" w:cs="宋体"/>
                <w:bCs/>
                <w:color w:val="auto"/>
                <w:sz w:val="21"/>
                <w:szCs w:val="21"/>
                <w:highlight w:val="none"/>
                <w:lang w:eastAsia="zh-CN"/>
              </w:rPr>
              <w:t xml:space="preserve">双组份</w:t>
            </w:r>
            <w:r>
              <w:rPr>
                <w:rFonts w:hint="eastAsia" w:ascii="宋体" w:hAnsi="宋体" w:eastAsia="宋体" w:cs="宋体"/>
                <w:bCs/>
                <w:color w:val="auto"/>
                <w:sz w:val="21"/>
                <w:szCs w:val="21"/>
                <w:highlight w:val="none"/>
              </w:rPr>
              <w:t xml:space="preserve">标线以及施划标线前旧标线的打磨）</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757" w:type="dxa"/>
            <w:vAlign w:val="center"/>
            <w:textDirection w:val="lrTb"/>
            <w:noWrap/>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81.23</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彩色防滑路面标线（冷涂型）</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757" w:type="dxa"/>
            <w:vAlign w:val="center"/>
            <w:textDirection w:val="lrTb"/>
            <w:noWrap/>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166.02</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w:t>
            </w:r>
            <w:r/>
          </w:p>
        </w:tc>
        <w:tc>
          <w:tcPr>
            <w:gridSpan w:val="4"/>
            <w:tcW w:w="7655"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合计</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398.27</w:t>
            </w:r>
            <w:r/>
          </w:p>
        </w:tc>
      </w:tr>
      <w:tr>
        <w:trPr>
          <w:jc w:val="center"/>
          <w:trHeight w:val="0"/>
        </w:trPr>
        <w:tc>
          <w:tcPr>
            <w:gridSpan w:val="6"/>
            <w:tcW w:w="9816"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二、交通标志牌制作和安装（权数30%）</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2.5mm方形版面</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铝板厚度：2.5mm±0.2mm，字图膜和底膜应使用不低于IV类反光膜，其技术参数应不低于国家标准。（含安装）</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973.4</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1.5mm方形版面</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铝板厚度：1.5mm±0.2mm，字图膜和底膜应使用不低于IV类反光膜，其技术参数应不低于国家标准。（含安装）</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869.66</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1.5mm方形落地标志</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铝板：1.5mm±0.2mm，字图膜和底膜应使用不低于IV类反光膜，其技术参数应不低于国家标准。                                       卧地支架杆件：Φ76mm镀锌管，壁厚：3mm，高度：应能满足所要求制作的标志版面尺寸大小安装使用，并确保安全要求，镀锌管底部灌沙配重，每套含配重沙袋2个（含安装）</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1428.58</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ф1200mm圆形标志</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铝板厚度：2.0mm±0.2mm，字图膜和底膜应使用不低于IV类反光膜，其技术参数应不低于国家标准。（含安装）</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869.66</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ф1000mm圆形标志</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铝板厚度：2.0mm±0.2mm，字图膜和底膜应使用不低于IV类反光膜，其技术参数应不低于国家标准。（含安装）</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800.5</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ф800mm圆形标志</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铝板厚度：1.5mm±0.2mm，字图膜和底膜应使用IV类反光膜，其技术参数应不低于国家标淮。（含安装）</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765.91</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三角形标志△900mm</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铝板厚度：1.5mm±0.2mm，字图膜和底膜应使用不低于IV类反光膜，其技术参数应不低于国家标准。（含安装）</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754.39</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ф165单挑悬臂</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主杆：6mm*ф165mm*7000，悬臂: 4.5mm*89mm*5000mm*2根，基坑：1000mm*1000mm *1500mm;砼：C30*1.5M3；预埋件：ф16mm*1000mm*6根，外围用ф3mm的钢筋扎笼；法兰盘：16mm*ф380mm，整套杆件为热镀锌钢管（含安装）</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10149.57</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ф89单立柱（长）</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主杆：ф89mm*5mm*4000mm，法兰：厚度10mm;整套杆件为热镀锌钢管含贴膜（含安装）</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1032.18</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ф89单立柱（短）</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主杆：ф89mm*5mm*2500mm，法兰：厚度8mm;整套杆件为热镀锌钢管含贴膜（含安装）</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1032.18</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15</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LED道钉</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1.类型:太阳能发光道钉</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2.材料品种:铝质双面</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3.规格、型号：100mm*100mm*20mm</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75</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16</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LED同步发光道钉</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1.类型:太阳能同步发光道钉</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2.材料品种:铸铝外壳+环氧树脂填充，双面</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3.规格、型号：105mm*125mm*25mm</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200</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w:t>
            </w:r>
            <w:r/>
          </w:p>
        </w:tc>
        <w:tc>
          <w:tcPr>
            <w:gridSpan w:val="4"/>
            <w:tcW w:w="7655"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合计</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18951.03</w:t>
            </w:r>
            <w:r/>
          </w:p>
        </w:tc>
      </w:tr>
      <w:tr>
        <w:trPr>
          <w:jc w:val="center"/>
          <w:trHeight w:val="0"/>
        </w:trPr>
        <w:tc>
          <w:tcPr>
            <w:gridSpan w:val="6"/>
            <w:tcW w:w="9816"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三、交通隔离设施维护（权数</w:t>
            </w:r>
            <w:r>
              <w:rPr>
                <w:rFonts w:hint="eastAsia" w:ascii="宋体" w:hAnsi="宋体" w:eastAsia="宋体" w:cs="宋体"/>
                <w:b/>
                <w:bCs w:val="0"/>
                <w:color w:val="auto"/>
                <w:sz w:val="24"/>
                <w:szCs w:val="24"/>
                <w:highlight w:val="none"/>
                <w:lang w:val="en-US" w:eastAsia="zh-CN"/>
              </w:rPr>
              <w:t xml:space="preserve">35</w:t>
            </w:r>
            <w:r>
              <w:rPr>
                <w:rFonts w:hint="eastAsia" w:ascii="宋体" w:hAnsi="宋体" w:eastAsia="宋体" w:cs="宋体"/>
                <w:b/>
                <w:bCs w:val="0"/>
                <w:color w:val="auto"/>
                <w:sz w:val="24"/>
                <w:szCs w:val="24"/>
                <w:highlight w:val="none"/>
              </w:rPr>
              <w:t xml:space="preserve">%）</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17</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固定式中心隔离护栏制作安装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中心隔离钢护栏</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1、立柱尺寸100*100*2.0mm，柱高1.2m，热镀锌钢板填砼底座400*300*170mm(黄色)</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2、护栏片尺寸2800*900，外框50*50*1.5，竖杆50*25*1.2，配黄色铁花件</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3、护栏整体热镀锌，再进行静电喷涂处理（蓝色）</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米</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420</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18</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固定式机非隔离护栏制作安装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机非隔离钢护栏</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1、立柱尺寸100*100*2.0mm，柱高0.9m，热镀锌钢板填砼底座400*300*170mm(黄色)</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2、护栏片尺寸2800*600，外框50*50*1.5，竖杆50*25*1.2</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3、护栏整体热镀锌，再进行静电喷涂处理（蓝色）</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米</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380</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19</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京式护栏制作安装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米</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330</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20</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单波波形梁护栏制作安装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highlight w:val="none"/>
              </w:rPr>
            </w:pPr>
            <w:r>
              <w:rPr>
                <w:rFonts w:hint="eastAsia" w:ascii="宋体" w:hAnsi="宋体" w:eastAsia="宋体" w:cs="宋体"/>
                <w:highlight w:val="none"/>
              </w:rPr>
              <w:t xml:space="preserve">单波波形梁护栏</w:t>
            </w:r>
            <w:r>
              <w:rPr>
                <w:rFonts w:hint="eastAsia" w:ascii="宋体" w:hAnsi="宋体" w:eastAsia="宋体" w:cs="宋体"/>
                <w:highlight w:val="none"/>
              </w:rPr>
              <w:br/>
            </w:r>
            <w:r>
              <w:rPr>
                <w:rFonts w:hint="eastAsia" w:ascii="宋体" w:hAnsi="宋体" w:eastAsia="宋体" w:cs="宋体"/>
                <w:highlight w:val="none"/>
              </w:rPr>
              <w:t xml:space="preserve">1、立柱</w:t>
            </w:r>
            <w:r>
              <w:rPr>
                <w:rFonts w:hint="eastAsia" w:ascii="宋体" w:hAnsi="宋体" w:eastAsia="宋体" w:cs="宋体"/>
                <w:highlight w:val="none"/>
                <w:lang w:val="en-US" w:eastAsia="zh-CN"/>
              </w:rPr>
              <w:t xml:space="preserve">材质Q235或Q355热轧钢管；尺寸</w:t>
            </w:r>
            <w:r>
              <w:rPr>
                <w:rFonts w:hint="eastAsia" w:ascii="宋体" w:hAnsi="宋体" w:eastAsia="宋体" w:cs="宋体"/>
                <w:highlight w:val="none"/>
              </w:rPr>
              <w:t xml:space="preserve">Φ114mm×4.5mm，柱高</w:t>
            </w:r>
            <w:r>
              <w:rPr>
                <w:rFonts w:hint="eastAsia" w:ascii="宋体" w:hAnsi="宋体" w:eastAsia="宋体" w:cs="宋体"/>
                <w:highlight w:val="none"/>
                <w:lang w:val="en-US" w:eastAsia="zh-CN"/>
              </w:rPr>
              <w:t xml:space="preserve">2150m</w:t>
            </w:r>
            <w:r>
              <w:rPr>
                <w:rFonts w:hint="eastAsia" w:ascii="宋体" w:hAnsi="宋体" w:eastAsia="宋体" w:cs="宋体"/>
                <w:highlight w:val="none"/>
              </w:rPr>
              <w:t xml:space="preserve">m，热镀锌</w:t>
            </w:r>
            <w:r>
              <w:rPr>
                <w:rFonts w:hint="eastAsia" w:ascii="宋体" w:hAnsi="宋体" w:eastAsia="宋体" w:cs="宋体"/>
                <w:highlight w:val="none"/>
                <w:lang w:val="en-US" w:eastAsia="zh-CN"/>
              </w:rPr>
              <w:t xml:space="preserve">喷塑</w:t>
            </w:r>
            <w:r>
              <w:rPr>
                <w:rFonts w:hint="eastAsia" w:ascii="宋体" w:hAnsi="宋体" w:eastAsia="宋体" w:cs="宋体"/>
                <w:highlight w:val="none"/>
              </w:rPr>
              <w:br/>
            </w:r>
            <w:r>
              <w:rPr>
                <w:rFonts w:hint="eastAsia" w:ascii="宋体" w:hAnsi="宋体" w:eastAsia="宋体" w:cs="宋体"/>
                <w:highlight w:val="none"/>
              </w:rPr>
              <w:t xml:space="preserve">2、护栏片波型：单波（38mm</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85mm）；长度：4320mm（标准段）</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板厚：3mm</w:t>
            </w:r>
            <w:r>
              <w:rPr>
                <w:rFonts w:hint="eastAsia" w:ascii="宋体" w:hAnsi="宋体" w:eastAsia="宋体" w:cs="宋体"/>
                <w:highlight w:val="none"/>
              </w:rPr>
              <w:br/>
            </w:r>
            <w:r>
              <w:rPr>
                <w:rFonts w:hint="eastAsia" w:ascii="宋体" w:hAnsi="宋体" w:eastAsia="宋体" w:cs="宋体"/>
                <w:highlight w:val="none"/>
              </w:rPr>
              <w:t xml:space="preserve">3、护栏整体热镀锌，再进行静电喷涂处理</w:t>
            </w:r>
            <w:r/>
          </w:p>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符合《公路波形梁钢护栏》（GB/T 31439-2015）国家标准</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米</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310</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21</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highlight w:val="none"/>
                <w:lang w:val="en-US" w:eastAsia="zh-CN"/>
              </w:rPr>
              <w:t xml:space="preserve">双</w:t>
            </w:r>
            <w:r>
              <w:rPr>
                <w:rFonts w:hint="eastAsia" w:ascii="宋体" w:hAnsi="宋体" w:eastAsia="宋体" w:cs="宋体"/>
                <w:highlight w:val="none"/>
              </w:rPr>
              <w:t xml:space="preserve">波波形梁护栏制作安装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双</w:t>
            </w:r>
            <w:r>
              <w:rPr>
                <w:rFonts w:hint="eastAsia" w:ascii="宋体" w:hAnsi="宋体" w:eastAsia="宋体" w:cs="宋体"/>
                <w:highlight w:val="none"/>
              </w:rPr>
              <w:t xml:space="preserve">波波形梁护栏</w:t>
            </w:r>
            <w:r>
              <w:rPr>
                <w:rFonts w:hint="eastAsia" w:ascii="宋体" w:hAnsi="宋体" w:eastAsia="宋体" w:cs="宋体"/>
                <w:highlight w:val="none"/>
              </w:rPr>
              <w:br/>
            </w:r>
            <w:r>
              <w:rPr>
                <w:rFonts w:hint="eastAsia" w:ascii="宋体" w:hAnsi="宋体" w:eastAsia="宋体" w:cs="宋体"/>
                <w:highlight w:val="none"/>
              </w:rPr>
              <w:t xml:space="preserve">1、立柱</w:t>
            </w:r>
            <w:r>
              <w:rPr>
                <w:rFonts w:hint="eastAsia" w:ascii="宋体" w:hAnsi="宋体" w:eastAsia="宋体" w:cs="宋体"/>
                <w:highlight w:val="none"/>
                <w:lang w:val="en-US" w:eastAsia="zh-CN"/>
              </w:rPr>
              <w:t xml:space="preserve">材质Q235或Q355热轧钢管；尺寸</w:t>
            </w:r>
            <w:r>
              <w:rPr>
                <w:rFonts w:hint="eastAsia" w:ascii="宋体" w:hAnsi="宋体" w:eastAsia="宋体" w:cs="宋体"/>
                <w:highlight w:val="none"/>
              </w:rPr>
              <w:t xml:space="preserve">Φ114mm×4.5mm，柱高</w:t>
            </w:r>
            <w:r>
              <w:rPr>
                <w:rFonts w:hint="eastAsia" w:ascii="宋体" w:hAnsi="宋体" w:eastAsia="宋体" w:cs="宋体"/>
                <w:highlight w:val="none"/>
                <w:lang w:val="en-US" w:eastAsia="zh-CN"/>
              </w:rPr>
              <w:t xml:space="preserve">2150m</w:t>
            </w:r>
            <w:r>
              <w:rPr>
                <w:rFonts w:hint="eastAsia" w:ascii="宋体" w:hAnsi="宋体" w:eastAsia="宋体" w:cs="宋体"/>
                <w:highlight w:val="none"/>
              </w:rPr>
              <w:t xml:space="preserve">m，热镀锌</w:t>
            </w:r>
            <w:r>
              <w:rPr>
                <w:rFonts w:hint="eastAsia" w:ascii="宋体" w:hAnsi="宋体" w:eastAsia="宋体" w:cs="宋体"/>
                <w:highlight w:val="none"/>
                <w:lang w:val="en-US" w:eastAsia="zh-CN"/>
              </w:rPr>
              <w:t xml:space="preserve">喷塑</w:t>
            </w:r>
            <w:r>
              <w:rPr>
                <w:rFonts w:hint="eastAsia" w:ascii="宋体" w:hAnsi="宋体" w:eastAsia="宋体" w:cs="宋体"/>
                <w:highlight w:val="none"/>
              </w:rPr>
              <w:br/>
            </w:r>
            <w:r>
              <w:rPr>
                <w:rFonts w:hint="eastAsia" w:ascii="宋体" w:hAnsi="宋体" w:eastAsia="宋体" w:cs="宋体"/>
                <w:highlight w:val="none"/>
              </w:rPr>
              <w:t xml:space="preserve">2、护栏片波型：</w:t>
            </w:r>
            <w:r>
              <w:rPr>
                <w:rFonts w:hint="eastAsia" w:ascii="宋体" w:hAnsi="宋体" w:eastAsia="宋体" w:cs="宋体"/>
                <w:highlight w:val="none"/>
                <w:lang w:val="en-US" w:eastAsia="zh-CN"/>
              </w:rPr>
              <w:t xml:space="preserve">双</w:t>
            </w:r>
            <w:r>
              <w:rPr>
                <w:rFonts w:hint="eastAsia" w:ascii="宋体" w:hAnsi="宋体" w:eastAsia="宋体" w:cs="宋体"/>
                <w:highlight w:val="none"/>
              </w:rPr>
              <w:t xml:space="preserve">波（</w:t>
            </w:r>
            <w:r>
              <w:rPr>
                <w:rFonts w:hint="eastAsia" w:ascii="宋体" w:hAnsi="宋体" w:eastAsia="宋体" w:cs="宋体"/>
                <w:highlight w:val="none"/>
                <w:lang w:val="en-US" w:eastAsia="zh-CN"/>
              </w:rPr>
              <w:t xml:space="preserve">50</w:t>
            </w:r>
            <w:r>
              <w:rPr>
                <w:rFonts w:hint="eastAsia" w:ascii="宋体" w:hAnsi="宋体" w:eastAsia="宋体" w:cs="宋体"/>
                <w:highlight w:val="none"/>
              </w:rPr>
              <w:t xml:space="preserve">mm</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85mm）；长度：4320mm（标准段）</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板厚：4mm</w:t>
            </w:r>
            <w:r>
              <w:rPr>
                <w:rFonts w:hint="eastAsia" w:ascii="宋体" w:hAnsi="宋体" w:eastAsia="宋体" w:cs="宋体"/>
                <w:highlight w:val="none"/>
              </w:rPr>
              <w:br/>
            </w:r>
            <w:r>
              <w:rPr>
                <w:rFonts w:hint="eastAsia" w:ascii="宋体" w:hAnsi="宋体" w:eastAsia="宋体" w:cs="宋体"/>
                <w:highlight w:val="none"/>
              </w:rPr>
              <w:t xml:space="preserve">3、护栏整体热镀锌，再进行静电喷涂处理</w:t>
            </w:r>
            <w:r/>
          </w:p>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符合《公路波形梁钢护栏》（GB/T 31439-2015）国家标准</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米</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345</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22</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固定式中心隔离护栏立柱、底座制作安装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整套，含立柱尺寸100*100*2.0mm，柱高1.2m，热镀锌钢板填砼底座400*300*170mm(黄色)</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250</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23</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固定式机非隔离护栏立柱、底座制作安装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整套，立柱尺寸100*100*2.0mm，柱高0.9m，热镀锌钢板填砼底座400*300*170mm(黄色)</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220</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24</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铁质站桩</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250</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25</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制作橡胶减速带并安装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45㎜*380㎜*1000㎜，搓板式外观，反复任意弯曲不得折断</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米</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113.14</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26</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制作太阳能双面爆闪警示灯及立柱并安装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1810.31</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27</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广角镜制作安装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制作广角镜及立柱并安装(2*800㎜，不锈钢镜边和镜罩)</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1200</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28</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广角镜制作安装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制作广角镜及立柱并安装(2*1000㎜，不锈钢镜边和镜罩)</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1300</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eastAsia="zh-CN"/>
              </w:rPr>
              <w:t xml:space="preserve">）</w:t>
            </w:r>
            <w:r/>
          </w:p>
        </w:tc>
        <w:tc>
          <w:tcPr>
            <w:gridSpan w:val="4"/>
            <w:tcW w:w="7655"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合计</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6928.45</w:t>
            </w:r>
            <w:r/>
          </w:p>
        </w:tc>
      </w:tr>
      <w:tr>
        <w:trPr>
          <w:jc w:val="center"/>
          <w:trHeight w:val="0"/>
        </w:trPr>
        <w:tc>
          <w:tcPr>
            <w:gridSpan w:val="6"/>
            <w:tcW w:w="9816"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四、信号灯及其他交通安全设施维护（权数</w:t>
            </w:r>
            <w:r>
              <w:rPr>
                <w:rFonts w:hint="eastAsia" w:ascii="宋体" w:hAnsi="宋体" w:eastAsia="宋体" w:cs="宋体"/>
                <w:b/>
                <w:bCs w:val="0"/>
                <w:color w:val="auto"/>
                <w:sz w:val="24"/>
                <w:szCs w:val="24"/>
                <w:highlight w:val="none"/>
                <w:lang w:val="en-US" w:eastAsia="zh-CN"/>
              </w:rPr>
              <w:t xml:space="preserve">15</w:t>
            </w:r>
            <w:r>
              <w:rPr>
                <w:rFonts w:hint="eastAsia" w:ascii="宋体" w:hAnsi="宋体" w:eastAsia="宋体" w:cs="宋体"/>
                <w:b/>
                <w:bCs w:val="0"/>
                <w:color w:val="auto"/>
                <w:sz w:val="24"/>
                <w:szCs w:val="24"/>
                <w:highlight w:val="none"/>
              </w:rPr>
              <w:t xml:space="preserve">%）</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29</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路面铺设镀锌钢管</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镀锌钢管DN100mm (臂厚≥2.75mm)，含破除路面、开沟挖槽、装土、铺设垫料、加固等施工及恢复</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754.84</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30</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人行道(含绿化带）铺设硬塑料管</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硬塑料管DN80mm白聚丙乙烯管(臂厚≥2.75mm)，含破除人行道、开沟挖槽、铺设垫料、加固等施工及恢复</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246.5</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31</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人行道（含绿化带）铺设硬塑料管</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硬塑料管DN50mm白聚丙乙烯管(臂厚≥2.75mm)，含破除人行道、开沟挖槽、铺设垫料、加固等施工及恢复</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209.71</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32</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镀锌钢管引管</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镀锌钢管DN50mm (臂厚≥2.75mm)，用于架空线在杆件引下处套管安装</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75.14</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33</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方型窨井砌筑(含主材)</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640mm*480mm(深700mm、含挖土运土、窨井砌筑、井盖带有P字式样）</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1189.76</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34</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方型窨井砌筑(含主材)</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520mm*300mm(深400mm、含挖土运土、窨井砌筑、井盖带有P字式样）</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969.89</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35</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钢绞线安装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φ7.1(含挂钩)、含Φ＜12mm拉紧装置制安花蓝螺栓和绝缘瓷瓶</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23.71</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36</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信号灯控制电缆敷设(含电源电缆)</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RVV4×32/0.2</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18.5</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37</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行人灯控制(含倒计时屏电源电缆敷设</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RVV3×32/0.3</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17.22</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38</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倒计时屏蔽线电缆敷设</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RVVP2×48/0.2</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17.22</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39</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信号灯电源线安装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RVV2*6</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20.17</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40</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辅助灯杆基础预埋件</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1076.87</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41</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6.8m*4.0mL型杆件</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主材（不含基础预埋件、规格详见附图）</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4750.87</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42</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6.8m*6mL型杆件</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主材（不含基础预埋件、规格详见附图）</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6651.21</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43</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6.8m*10mL型杆件</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主材（不含基础预埋件、规格详见附图）</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13302.44</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44</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6m辅助灯杆杆件</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主材（不含基础预埋件、规格详见附图）</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1646.97</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45</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4.5m辅助灯杆件</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主材（不含基础预埋件、规格详见附图）</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1076.87</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46</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悬臂杆件基础预埋件制作和安装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横臂≤5.5米的杆件基础预埋件（含主材），含挖坑装土运土、现浇砼基础</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4814.21</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47</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悬臂杆件基础预埋件制作和安装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横臂＞5.5米的杆件基础预埋件(含主材)，含挖坑装土运土、现浇砼基础</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6967.93</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48</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接地极制安</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镀锌扁钢，要求实测接地电阻≦6Ω</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221.6</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49</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接地线安装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软铜铰线，截面积≥10mm</w:t>
            </w:r>
            <w:r>
              <w:rPr>
                <w:rFonts w:hint="eastAsia" w:ascii="宋体" w:hAnsi="宋体" w:eastAsia="宋体" w:cs="宋体"/>
                <w:bCs/>
                <w:color w:val="auto"/>
                <w:sz w:val="21"/>
                <w:szCs w:val="21"/>
                <w:highlight w:val="none"/>
                <w:vertAlign w:val="superscript"/>
              </w:rPr>
              <w:t xml:space="preserve">2</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65.73</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50</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短悬臂信号灯杆安装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横臂≤5.5米、含杆件水泥包封</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734.8</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51</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长悬臂信号灯杆安装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横臂＞5.5米、含杆件水泥包封</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1165.55</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52</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辅助灯杆安装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含挖坑装土运土、基础预埋件安装、现浇砼基础、杆件水泥包封</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696.8</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53</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行人灯杆基础预埋件</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316.73</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54</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行人灯杆件</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1013.52</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55</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行人灯杆安装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含挖坑装土运土、基础预埋件安装、现浇砼基础、杆件水泥包封</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570.11</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56</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机动车信号灯安装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含辅助信号灯、非机动车信号灯、太阳能黄闪信号灯</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299.58</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57</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倒计时屏安装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392.75</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58</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机箱基础平台砌筑</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含挖土运土现浇砼基础、长60cm×宽40cm×高30cm、基础高出地面≥10cm</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1520.28</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59</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地下走线进线管安装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DN80mm白聚丙乙烯管(臂厚≥2.75mm)</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107.68</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60</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接地极制安</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镀锌扁钢，要求实测接地电阻≦6Ω</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221.6</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61</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信号机安装</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含信号机箱及设备安装</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1583.62</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62</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维修台班</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按当日24小时内修复路口计算，每个路口限报一个台班。</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台班</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612.67</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63</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信号灯</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Φ400mm，红黄绿满屏信号灯或箭头信号灯</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3600</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64</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倒计时显示屏</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780型</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6500</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65</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信号机</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16相位具有联网功能信号机，能与江宁公安联网</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41500</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66</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人行灯</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ф300mm</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3600</w:t>
            </w:r>
            <w:r/>
          </w:p>
        </w:tc>
      </w:tr>
      <w:tr>
        <w:trPr>
          <w:jc w:val="center"/>
          <w:trHeight w:val="0"/>
        </w:trPr>
        <w:tc>
          <w:tcPr>
            <w:shd w:val="clear" w:color="auto" w:fill="auto"/>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67</w:t>
            </w:r>
            <w:r/>
          </w:p>
        </w:tc>
        <w:tc>
          <w:tcPr>
            <w:tcW w:w="2612" w:type="dxa"/>
            <w:vAlign w:val="center"/>
            <w:textDirection w:val="lrTb"/>
            <w:noWrap w:val="false"/>
          </w:tcPr>
          <w:p>
            <w:pPr>
              <w:ind w:left="0" w:right="0" w:firstLine="0"/>
              <w:jc w:val="lef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语音提示器</w:t>
            </w:r>
            <w:r/>
          </w:p>
        </w:tc>
        <w:tc>
          <w:tcPr>
            <w:tcW w:w="352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人行灯配套语音提示器</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757"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2000</w:t>
            </w:r>
            <w:r/>
          </w:p>
        </w:tc>
      </w:tr>
      <w:tr>
        <w:trPr>
          <w:jc w:val="center"/>
          <w:trHeight w:val="0"/>
        </w:trPr>
        <w:tc>
          <w:tcPr>
            <w:tcW w:w="939"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eastAsia="zh-CN"/>
              </w:rPr>
              <w:t xml:space="preserve">）</w:t>
            </w:r>
            <w:r/>
          </w:p>
        </w:tc>
        <w:tc>
          <w:tcPr>
            <w:gridSpan w:val="4"/>
            <w:tcW w:w="7655"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合计</w:t>
            </w:r>
            <w:r/>
          </w:p>
        </w:tc>
        <w:tc>
          <w:tcPr>
            <w:tcW w:w="1222" w:type="dxa"/>
            <w:vAlign w:val="center"/>
            <w:textDirection w:val="lrTb"/>
            <w:noWrap w:val="false"/>
          </w:tcPr>
          <w:p>
            <w:pPr>
              <w:ind w:left="0" w:right="0" w:firstLine="0"/>
              <w:jc w:val="right"/>
              <w:keepLines w:val="0"/>
              <w:keepNext w:val="0"/>
              <w:pageBreakBefore w:val="0"/>
              <w:spacing w:before="181" w:after="181"/>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110553.05</w:t>
            </w:r>
            <w:r/>
          </w:p>
        </w:tc>
      </w:tr>
      <w:tr>
        <w:trPr>
          <w:jc w:val="center"/>
          <w:trHeight w:val="0"/>
        </w:trPr>
        <w:tc>
          <w:tcPr>
            <w:gridSpan w:val="5"/>
            <w:tcW w:w="8594"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综合单价（元）</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lang w:val="en-US" w:eastAsia="zh-CN"/>
              </w:rPr>
              <w:t xml:space="preserve">计算式：</w:t>
            </w: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0%+（二）*</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0%+（三）*</w:t>
            </w:r>
            <w:r>
              <w:rPr>
                <w:rFonts w:hint="eastAsia" w:ascii="宋体" w:hAnsi="宋体" w:eastAsia="宋体" w:cs="宋体"/>
                <w:color w:val="auto"/>
                <w:szCs w:val="21"/>
                <w:highlight w:val="none"/>
                <w:lang w:val="en-US" w:eastAsia="zh-CN"/>
              </w:rPr>
              <w:t xml:space="preserve">35</w:t>
            </w:r>
            <w:r>
              <w:rPr>
                <w:rFonts w:hint="eastAsia" w:ascii="宋体" w:hAnsi="宋体" w:eastAsia="宋体" w:cs="宋体"/>
                <w:color w:val="auto"/>
                <w:szCs w:val="21"/>
                <w:highlight w:val="none"/>
              </w:rPr>
              <w:t xml:space="preserve">%+（四）*</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w:t>
            </w:r>
            <w:r/>
          </w:p>
        </w:tc>
        <w:tc>
          <w:tcPr>
            <w:tcW w:w="1222" w:type="dxa"/>
            <w:vAlign w:val="center"/>
            <w:textDirection w:val="lrTb"/>
            <w:noWrap w:val="false"/>
          </w:tcPr>
          <w:p>
            <w:pPr>
              <w:ind w:left="0" w:right="0" w:firstLine="0"/>
              <w:jc w:val="center"/>
              <w:keepLines w:val="0"/>
              <w:keepNext w:val="0"/>
              <w:pageBreakBefore w:val="0"/>
              <w:spacing w:before="181" w:after="181"/>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24772.88</w:t>
            </w:r>
            <w:r/>
          </w:p>
        </w:tc>
      </w:tr>
    </w:tbl>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jc w:val="left"/>
        <w:spacing w:line="360" w:lineRule="auto"/>
        <w:rPr>
          <w:rFonts w:hint="eastAsia" w:ascii="宋体" w:hAnsi="宋体" w:eastAsia="宋体" w:cs="宋体"/>
          <w:b/>
          <w:bCs/>
          <w:color w:val="auto"/>
          <w:sz w:val="24"/>
          <w:szCs w:val="24"/>
          <w:highlight w:val="none"/>
          <w:lang w:val="en-US" w:eastAsia="zh-CN"/>
        </w:rPr>
        <w:outlineLvl w:val="2"/>
      </w:pPr>
      <w:r/>
      <w:bookmarkStart w:id="179" w:name="_Toc963"/>
      <w:r/>
      <w:bookmarkStart w:id="180" w:name="_Toc5201"/>
      <w:r>
        <w:rPr>
          <w:rFonts w:hint="eastAsia" w:ascii="宋体" w:hAnsi="宋体" w:eastAsia="宋体" w:cs="宋体"/>
          <w:b/>
          <w:bCs/>
          <w:color w:val="auto"/>
          <w:sz w:val="24"/>
          <w:szCs w:val="24"/>
          <w:highlight w:val="none"/>
          <w:lang w:val="en-US" w:eastAsia="zh-CN"/>
        </w:rPr>
        <w:t xml:space="preserve">（二）报价要求</w:t>
      </w:r>
      <w:bookmarkEnd w:id="179"/>
      <w:r/>
      <w:bookmarkEnd w:id="180"/>
      <w:r/>
      <w:r/>
    </w:p>
    <w:p>
      <w:pPr>
        <w:ind w:left="0" w:firstLine="42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color w:val="auto"/>
          <w:highlight w:val="none"/>
          <w:lang w:val="en-US" w:eastAsia="zh-CN"/>
        </w:rPr>
        <w:t xml:space="preserve">、</w:t>
      </w:r>
      <w:bookmarkStart w:id="181" w:name="OLE_LINK1"/>
      <w:r>
        <w:rPr>
          <w:rFonts w:hint="eastAsia" w:ascii="宋体" w:hAnsi="宋体" w:eastAsia="宋体" w:cs="宋体"/>
          <w:b w:val="0"/>
          <w:bCs/>
          <w:color w:val="auto"/>
          <w:sz w:val="21"/>
          <w:szCs w:val="21"/>
          <w:highlight w:val="none"/>
          <w:lang w:val="en-US" w:eastAsia="zh-CN"/>
        </w:rPr>
        <w:t xml:space="preserve">最高限价：加权平均综合单价24772.88元。</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Cs w:val="21"/>
          <w:highlight w:val="none"/>
        </w:rPr>
        <w:t xml:space="preserve">投标加权平均综合单价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指各项小计乘以相应的权值之和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即</w:t>
      </w: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0%+（二）*</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0%+（三）*</w:t>
      </w:r>
      <w:r>
        <w:rPr>
          <w:rFonts w:hint="eastAsia" w:ascii="宋体" w:hAnsi="宋体" w:eastAsia="宋体" w:cs="宋体"/>
          <w:color w:val="auto"/>
          <w:szCs w:val="21"/>
          <w:highlight w:val="none"/>
          <w:lang w:val="en-US" w:eastAsia="zh-CN"/>
        </w:rPr>
        <w:t xml:space="preserve">35</w:t>
      </w:r>
      <w:r>
        <w:rPr>
          <w:rFonts w:hint="eastAsia" w:ascii="宋体" w:hAnsi="宋体" w:eastAsia="宋体" w:cs="宋体"/>
          <w:color w:val="auto"/>
          <w:szCs w:val="21"/>
          <w:highlight w:val="none"/>
        </w:rPr>
        <w:t xml:space="preserve">%+（四）*</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报价超过加权平均综合单价的最高限价或各</w:t>
      </w:r>
      <w:r>
        <w:rPr>
          <w:rFonts w:hint="eastAsia" w:ascii="宋体" w:hAnsi="宋体" w:eastAsia="宋体" w:cs="宋体"/>
          <w:b w:val="0"/>
          <w:bCs w:val="0"/>
          <w:color w:val="auto"/>
          <w:szCs w:val="21"/>
          <w:highlight w:val="none"/>
          <w:lang w:val="en-US" w:eastAsia="zh-CN"/>
        </w:rPr>
        <w:t xml:space="preserve">子</w:t>
      </w:r>
      <w:r>
        <w:rPr>
          <w:rFonts w:hint="eastAsia" w:ascii="宋体" w:hAnsi="宋体" w:eastAsia="宋体" w:cs="宋体"/>
          <w:b w:val="0"/>
          <w:bCs w:val="0"/>
          <w:color w:val="auto"/>
          <w:szCs w:val="21"/>
          <w:highlight w:val="none"/>
        </w:rPr>
        <w:t xml:space="preserve">项的最高限价的，作无效标处理。具体要求详见</w:t>
      </w:r>
      <w:r>
        <w:rPr>
          <w:rFonts w:hint="eastAsia" w:ascii="宋体" w:hAnsi="宋体" w:eastAsia="宋体" w:cs="宋体"/>
          <w:b w:val="0"/>
          <w:bCs w:val="0"/>
          <w:color w:val="auto"/>
          <w:szCs w:val="21"/>
          <w:highlight w:val="none"/>
          <w:lang w:val="en-US" w:eastAsia="zh-CN"/>
        </w:rPr>
        <w:t xml:space="preserve">采购清单（即分项报价表）</w:t>
      </w:r>
      <w:r>
        <w:rPr>
          <w:rFonts w:hint="eastAsia" w:ascii="宋体" w:hAnsi="宋体" w:eastAsia="宋体" w:cs="宋体"/>
          <w:b w:val="0"/>
          <w:bCs w:val="0"/>
          <w:color w:val="auto"/>
          <w:szCs w:val="21"/>
          <w:highlight w:val="none"/>
        </w:rPr>
        <w:t xml:space="preserve">。</w:t>
      </w:r>
      <w:bookmarkEnd w:id="181"/>
      <w:r/>
      <w:r/>
    </w:p>
    <w:p>
      <w:pPr>
        <w:ind w:left="0"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val="0"/>
          <w:color w:val="auto"/>
          <w:szCs w:val="21"/>
          <w:highlight w:val="none"/>
          <w:lang w:val="en-US" w:eastAsia="zh-CN"/>
        </w:rPr>
        <w:t xml:space="preserve">、填表要求：表中空格内用阿拉伯数字填写,免收项目填写“0”。不按要求填写该表,或表格空缺的，视为未响应标书，</w:t>
      </w:r>
      <w:r>
        <w:rPr>
          <w:rFonts w:hint="eastAsia" w:ascii="宋体" w:hAnsi="宋体" w:eastAsia="宋体" w:cs="宋体"/>
          <w:b w:val="0"/>
          <w:bCs w:val="0"/>
          <w:color w:val="auto"/>
          <w:szCs w:val="21"/>
          <w:highlight w:val="none"/>
        </w:rPr>
        <w:t xml:space="preserve">作无效标处理。</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提供分项报价表。</w:t>
      </w:r>
      <w:r>
        <w:rPr>
          <w:rFonts w:hint="eastAsia" w:ascii="宋体" w:hAnsi="宋体" w:eastAsia="宋体" w:cs="宋体"/>
          <w:b w:val="0"/>
          <w:bCs w:val="0"/>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highlight w:val="none"/>
          <w:lang w:val="zh-CN"/>
        </w:rPr>
        <w:outlineLvl w:val="9"/>
      </w:pP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color w:val="auto"/>
          <w:highlight w:val="none"/>
          <w:lang w:val="zh-CN"/>
        </w:rPr>
        <w:t xml:space="preserve">投标报价：包括但不限于完成文件所确定的服务范围所需的材料、设备、管理、维护、利润、支付给员工的工资和国家强制缴纳的各种社会保障资金、采购代理服务费、专家评审费等全部费用，及政策性文件规定、</w:t>
      </w:r>
      <w:r>
        <w:rPr>
          <w:rFonts w:hint="eastAsia" w:ascii="宋体" w:hAnsi="宋体" w:eastAsia="宋体" w:cs="宋体"/>
          <w:color w:val="auto"/>
          <w:highlight w:val="none"/>
          <w:lang w:val="en-US" w:eastAsia="zh-CN"/>
        </w:rPr>
        <w:t xml:space="preserve">履约</w:t>
      </w:r>
      <w:r>
        <w:rPr>
          <w:rFonts w:hint="eastAsia" w:ascii="宋体" w:hAnsi="宋体" w:eastAsia="宋体" w:cs="宋体"/>
          <w:color w:val="auto"/>
          <w:highlight w:val="none"/>
          <w:lang w:val="zh-CN"/>
        </w:rPr>
        <w:t xml:space="preserve">过程中发生的市场风险、责任等各项应有费用，不论其在采购文件中是否有提及。投标投标人应根据上述因素自行考虑含入投标报价。</w:t>
      </w:r>
      <w:r/>
    </w:p>
    <w:p>
      <w:pPr>
        <w:ind w:firstLine="420"/>
        <w:jc w:val="left"/>
        <w:keepLines w:val="0"/>
        <w:keepNext w:val="0"/>
        <w:pageBreakBefore w:val="0"/>
        <w:spacing w:line="360" w:lineRule="auto"/>
        <w:widowControl w:val="off"/>
        <w:tabs>
          <w:tab w:val="left" w:pos="252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zh-CN"/>
        </w:rPr>
        <w:t xml:space="preserve">投标人应充分</w:t>
      </w:r>
      <w:r>
        <w:rPr>
          <w:rFonts w:hint="eastAsia" w:ascii="宋体" w:hAnsi="宋体" w:eastAsia="宋体" w:cs="宋体"/>
          <w:color w:val="auto"/>
          <w:highlight w:val="none"/>
          <w:lang w:val="en-US" w:eastAsia="zh-CN"/>
        </w:rPr>
        <w:t xml:space="preserve">考虑到项目</w:t>
      </w:r>
      <w:r>
        <w:rPr>
          <w:rFonts w:hint="eastAsia" w:ascii="宋体" w:hAnsi="宋体" w:eastAsia="宋体" w:cs="宋体"/>
          <w:color w:val="auto"/>
          <w:highlight w:val="none"/>
          <w:lang w:val="zh-CN"/>
        </w:rPr>
        <w:t xml:space="preserve">现场位置、环境、道路、储存空间、装卸限制及任何其他足以影响报价的情况，任何因忽视或误解现场实际情况而导致的成本增加或工期延长等情况采购人一律不予认可。</w:t>
      </w:r>
      <w:r/>
    </w:p>
    <w:p>
      <w:pPr>
        <w:ind w:firstLine="420"/>
        <w:jc w:val="left"/>
        <w:keepLines w:val="0"/>
        <w:keepNext w:val="0"/>
        <w:pageBreakBefore w:val="0"/>
        <w:spacing w:line="360" w:lineRule="auto"/>
        <w:widowControl w:val="off"/>
        <w:tabs>
          <w:tab w:val="left" w:pos="252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投标人的任何错漏、优惠、竞争性报价不得作为减轻责任、减少服务、增加收费、降低质量的理由。在验收过程中，如发现有漏项、缺件，投标方应无条件、无偿补齐，所发生的一切费用，视为已包含在投标方的最终投标报价中。</w:t>
      </w:r>
      <w:r/>
    </w:p>
    <w:p>
      <w:pPr>
        <w:ind w:left="0" w:firstLine="420"/>
        <w:keepLines w:val="0"/>
        <w:keepNext w:val="0"/>
        <w:pageBreakBefore w:val="0"/>
        <w:spacing w:line="360" w:lineRule="auto"/>
        <w:widowControl w:val="off"/>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color w:val="auto"/>
          <w:highlight w:val="none"/>
          <w:lang w:val="zh-CN"/>
        </w:rPr>
        <w:t xml:space="preserve">本项目单项报价中已含税。</w:t>
      </w:r>
      <w:r/>
    </w:p>
    <w:p>
      <w:pPr>
        <w:spacing w:line="360" w:lineRule="auto"/>
        <w:rPr>
          <w:rFonts w:hint="eastAsia" w:ascii="宋体" w:hAnsi="宋体" w:eastAsia="宋体" w:cs="宋体"/>
          <w:b/>
          <w:bCs w:val="0"/>
          <w:color w:val="auto"/>
          <w:sz w:val="28"/>
          <w:szCs w:val="28"/>
          <w:highlight w:val="none"/>
          <w:lang w:val="en-US" w:eastAsia="zh-CN"/>
        </w:rPr>
        <w:outlineLvl w:val="1"/>
      </w:pPr>
      <w:r/>
      <w:bookmarkStart w:id="182" w:name="_Toc31499"/>
      <w:r/>
      <w:bookmarkStart w:id="183" w:name="_Toc30128"/>
      <w:r>
        <w:rPr>
          <w:rFonts w:hint="eastAsia" w:ascii="宋体" w:hAnsi="宋体" w:eastAsia="宋体" w:cs="宋体"/>
          <w:b/>
          <w:bCs w:val="0"/>
          <w:color w:val="auto"/>
          <w:sz w:val="28"/>
          <w:szCs w:val="28"/>
          <w:highlight w:val="none"/>
          <w:lang w:val="en-US" w:eastAsia="zh-CN"/>
        </w:rPr>
        <w:t xml:space="preserve">★三</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拟采购的标的需要满足的商务要求</w:t>
      </w:r>
      <w:bookmarkEnd w:id="182"/>
      <w:r/>
      <w:bookmarkEnd w:id="183"/>
      <w:r/>
      <w:r/>
    </w:p>
    <w:p>
      <w:pPr>
        <w:ind w:firstLine="422"/>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b/>
          <w:color w:val="auto"/>
          <w:highlight w:val="none"/>
        </w:rPr>
        <w:t xml:space="preserve">此处均为实质性要求</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投标人须逐条响应。</w:t>
      </w:r>
      <w:r/>
    </w:p>
    <w:tbl>
      <w:tblPr>
        <w:tblStyle w:val="799"/>
        <w:tblW w:w="82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7473"/>
      </w:tblGrid>
      <w:tr>
        <w:trPr>
          <w:jc w:val="center"/>
          <w:trHeight w:val="488"/>
        </w:trPr>
        <w:tc>
          <w:tcPr>
            <w:tcW w:w="79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747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  容</w:t>
            </w:r>
            <w:r/>
          </w:p>
        </w:tc>
      </w:tr>
      <w:tr>
        <w:trPr>
          <w:jc w:val="center"/>
          <w:trHeight w:val="488"/>
        </w:trPr>
        <w:tc>
          <w:tcPr>
            <w:tcW w:w="79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473"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人员要求：</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须指定一人作为项目经理，全权负责与采购人管理对接工作。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2、设置专人值守电话、传真机，随时接受采购人的工作安排。</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lang w:val="zh-CN"/>
              </w:rPr>
              <w:t xml:space="preserve">须提供以上人员</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zh-CN"/>
              </w:rPr>
              <w:t xml:space="preserve">名单及投标人</w:t>
            </w:r>
            <w:r>
              <w:rPr>
                <w:rFonts w:hint="eastAsia" w:ascii="宋体" w:hAnsi="宋体" w:eastAsia="宋体" w:cs="宋体"/>
                <w:b/>
                <w:bCs/>
                <w:color w:val="auto"/>
                <w:sz w:val="21"/>
                <w:szCs w:val="21"/>
                <w:highlight w:val="none"/>
                <w:lang w:val="en-US" w:eastAsia="zh-CN"/>
              </w:rPr>
              <w:t xml:space="preserve">为其</w:t>
            </w:r>
            <w:r>
              <w:rPr>
                <w:rFonts w:hint="eastAsia" w:ascii="宋体" w:hAnsi="宋体" w:eastAsia="宋体" w:cs="宋体"/>
                <w:b/>
                <w:bCs/>
                <w:color w:val="auto"/>
                <w:sz w:val="21"/>
                <w:szCs w:val="21"/>
                <w:highlight w:val="none"/>
                <w:lang w:val="zh-CN"/>
              </w:rPr>
              <w:t xml:space="preserve">缴纳的投标前</w:t>
            </w:r>
            <w:r>
              <w:rPr>
                <w:rFonts w:hint="eastAsia" w:ascii="宋体" w:hAnsi="宋体" w:eastAsia="宋体" w:cs="宋体"/>
                <w:b/>
                <w:bCs/>
                <w:color w:val="auto"/>
                <w:sz w:val="21"/>
                <w:szCs w:val="21"/>
                <w:highlight w:val="none"/>
              </w:rPr>
              <w:t xml:space="preserve">6个月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2026年1月-2026年7月）</w:t>
            </w:r>
            <w:r>
              <w:rPr>
                <w:rFonts w:hint="eastAsia" w:ascii="宋体" w:hAnsi="宋体" w:eastAsia="宋体" w:cs="宋体"/>
                <w:b/>
                <w:bCs/>
                <w:color w:val="auto"/>
                <w:sz w:val="21"/>
                <w:szCs w:val="21"/>
                <w:highlight w:val="none"/>
              </w:rPr>
              <w:t xml:space="preserve">任意一个月的社保资料复印件加盖单位公章</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rPr>
              <w:t xml:space="preserve">未经采购人允许，</w:t>
            </w:r>
            <w:r>
              <w:rPr>
                <w:rFonts w:hint="eastAsia" w:ascii="宋体" w:hAnsi="宋体" w:eastAsia="宋体" w:cs="宋体"/>
                <w:b/>
                <w:bCs/>
                <w:color w:val="auto"/>
                <w:sz w:val="21"/>
                <w:szCs w:val="21"/>
                <w:highlight w:val="none"/>
                <w:lang w:val="en-US" w:eastAsia="zh-CN"/>
              </w:rPr>
              <w:t xml:space="preserve">以上人员</w:t>
            </w:r>
            <w:r>
              <w:rPr>
                <w:rFonts w:hint="eastAsia" w:ascii="宋体" w:hAnsi="宋体" w:eastAsia="宋体" w:cs="宋体"/>
                <w:b/>
                <w:bCs/>
                <w:color w:val="auto"/>
                <w:sz w:val="21"/>
                <w:szCs w:val="21"/>
                <w:highlight w:val="none"/>
              </w:rPr>
              <w:t xml:space="preserve">不得随意更换</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投标人须提供相关承诺书。</w:t>
            </w:r>
            <w:r/>
          </w:p>
        </w:tc>
      </w:tr>
      <w:tr>
        <w:trPr>
          <w:jc w:val="center"/>
          <w:trHeight w:val="601"/>
        </w:trPr>
        <w:tc>
          <w:tcPr>
            <w:tcW w:w="791"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7473"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设备要求：</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须配备自有的相应机械设备和交通工具（汽车）：货车2辆（其中一辆为工程升降车或者加装有登高升降机械设备的货车）、热融釜1台、热熔手推机1台、双组份划线机1台、高压水枪除线机1台、电焊机1台、发电机1台（不低于4KW）、风镐1台、刻字机1台。各投标人提供的设备及交通工具数量不得低于以上要求。</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须</w:t>
            </w:r>
            <w:r>
              <w:rPr>
                <w:rFonts w:hint="eastAsia" w:ascii="宋体" w:hAnsi="宋体" w:eastAsia="宋体" w:cs="宋体"/>
                <w:b/>
                <w:bCs/>
                <w:color w:val="auto"/>
                <w:sz w:val="21"/>
                <w:szCs w:val="21"/>
                <w:highlight w:val="none"/>
                <w:lang w:val="en-US" w:eastAsia="zh-CN"/>
              </w:rPr>
              <w:t xml:space="preserve">在</w:t>
            </w:r>
            <w:r>
              <w:rPr>
                <w:rFonts w:hint="eastAsia" w:ascii="宋体" w:hAnsi="宋体" w:eastAsia="宋体" w:cs="宋体"/>
                <w:b/>
                <w:bCs/>
                <w:color w:val="auto"/>
                <w:sz w:val="21"/>
                <w:szCs w:val="21"/>
                <w:highlight w:val="none"/>
              </w:rPr>
              <w:t xml:space="preserve">《主要机械设备</w:t>
            </w:r>
            <w:r>
              <w:rPr>
                <w:rFonts w:hint="eastAsia" w:ascii="宋体" w:hAnsi="宋体" w:eastAsia="宋体" w:cs="宋体"/>
                <w:b/>
                <w:bCs/>
                <w:color w:val="auto"/>
                <w:sz w:val="21"/>
                <w:szCs w:val="21"/>
                <w:highlight w:val="none"/>
                <w:lang w:val="en-US" w:eastAsia="zh-CN"/>
              </w:rPr>
              <w:t xml:space="preserve">及交通工具（汽车）</w:t>
            </w:r>
            <w:r>
              <w:rPr>
                <w:rFonts w:hint="eastAsia" w:ascii="宋体" w:hAnsi="宋体" w:eastAsia="宋体" w:cs="宋体"/>
                <w:b/>
                <w:bCs/>
                <w:color w:val="auto"/>
                <w:sz w:val="21"/>
                <w:szCs w:val="21"/>
                <w:highlight w:val="none"/>
              </w:rPr>
              <w:t xml:space="preserve">表》中列表说明</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该表格式自拟</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车辆须提供车辆行驶证复印件，租赁车辆的同时提供租赁合同复印件加盖单位公章；设备须提供采购发票等加盖单位公章，设备购买方应为</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w:t>
            </w:r>
            <w:r/>
          </w:p>
        </w:tc>
      </w:tr>
      <w:tr>
        <w:trPr>
          <w:jc w:val="center"/>
          <w:trHeight w:val="90"/>
        </w:trPr>
        <w:tc>
          <w:tcPr>
            <w:shd w:val="clear" w:color="auto" w:fill="auto"/>
            <w:tcW w:w="791"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w:t>
            </w:r>
            <w:r/>
          </w:p>
        </w:tc>
        <w:tc>
          <w:tcPr>
            <w:tcW w:w="7473"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服务范围的约定：</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本项目</w:t>
            </w:r>
            <w:r>
              <w:rPr>
                <w:rFonts w:hint="eastAsia" w:ascii="宋体" w:hAnsi="宋体" w:eastAsia="宋体" w:cs="宋体"/>
                <w:b w:val="0"/>
                <w:bCs/>
                <w:color w:val="auto"/>
                <w:sz w:val="21"/>
                <w:szCs w:val="21"/>
                <w:highlight w:val="none"/>
              </w:rPr>
              <w:t xml:space="preserve">所有服务范围、工作量包含</w:t>
            </w:r>
            <w:r>
              <w:rPr>
                <w:rFonts w:hint="eastAsia" w:ascii="宋体" w:hAnsi="宋体" w:eastAsia="宋体" w:cs="宋体"/>
                <w:b w:val="0"/>
                <w:bCs/>
                <w:color w:val="auto"/>
                <w:sz w:val="21"/>
                <w:szCs w:val="21"/>
                <w:highlight w:val="none"/>
                <w:lang w:val="en-US" w:eastAsia="zh-CN"/>
              </w:rPr>
              <w:t xml:space="preserve">采购清单中的</w:t>
            </w:r>
            <w:r>
              <w:rPr>
                <w:rFonts w:hint="eastAsia" w:ascii="宋体" w:hAnsi="宋体" w:eastAsia="宋体" w:cs="宋体"/>
                <w:b w:val="0"/>
                <w:bCs/>
                <w:color w:val="auto"/>
                <w:sz w:val="21"/>
                <w:szCs w:val="21"/>
                <w:highlight w:val="none"/>
              </w:rPr>
              <w:t xml:space="preserve">内容</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但不限于</w:t>
            </w:r>
            <w:r>
              <w:rPr>
                <w:rFonts w:hint="eastAsia" w:ascii="宋体" w:hAnsi="宋体" w:eastAsia="宋体" w:cs="宋体"/>
                <w:b w:val="0"/>
                <w:bCs/>
                <w:color w:val="auto"/>
                <w:sz w:val="21"/>
                <w:szCs w:val="21"/>
                <w:highlight w:val="none"/>
                <w:lang w:val="en-US" w:eastAsia="zh-CN"/>
              </w:rPr>
              <w:t xml:space="preserve">该表中的</w:t>
            </w:r>
            <w:r>
              <w:rPr>
                <w:rFonts w:hint="eastAsia" w:ascii="宋体" w:hAnsi="宋体" w:eastAsia="宋体" w:cs="宋体"/>
                <w:b w:val="0"/>
                <w:bCs/>
                <w:color w:val="auto"/>
                <w:sz w:val="21"/>
                <w:szCs w:val="21"/>
                <w:highlight w:val="none"/>
              </w:rPr>
              <w:t xml:space="preserve">内容，</w:t>
            </w:r>
            <w:r>
              <w:rPr>
                <w:rFonts w:hint="eastAsia" w:ascii="宋体" w:hAnsi="宋体" w:eastAsia="宋体" w:cs="宋体"/>
                <w:b w:val="0"/>
                <w:bCs/>
                <w:color w:val="auto"/>
                <w:sz w:val="21"/>
                <w:szCs w:val="21"/>
                <w:highlight w:val="none"/>
                <w:lang w:val="en-US" w:eastAsia="zh-CN"/>
              </w:rPr>
              <w:t xml:space="preserve">采购人</w:t>
            </w:r>
            <w:r>
              <w:rPr>
                <w:rFonts w:hint="eastAsia" w:ascii="宋体" w:hAnsi="宋体" w:eastAsia="宋体" w:cs="宋体"/>
                <w:b w:val="0"/>
                <w:bCs/>
                <w:color w:val="auto"/>
                <w:sz w:val="21"/>
                <w:szCs w:val="21"/>
                <w:highlight w:val="none"/>
              </w:rPr>
              <w:t xml:space="preserve">交办的临时任务须无条件满足。</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rPr>
              <w:t xml:space="preserve">提供承诺书，格式自拟。</w:t>
            </w:r>
            <w:r/>
          </w:p>
        </w:tc>
      </w:tr>
      <w:tr>
        <w:trPr>
          <w:jc w:val="center"/>
          <w:trHeight w:val="3057"/>
        </w:trPr>
        <w:tc>
          <w:tcPr>
            <w:shd w:val="clear" w:color="auto" w:fill="auto"/>
            <w:tcW w:w="791"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w:t>
            </w:r>
            <w:r/>
          </w:p>
        </w:tc>
        <w:tc>
          <w:tcPr>
            <w:tcW w:w="7473" w:type="dxa"/>
            <w:vAlign w:val="center"/>
            <w:textDirection w:val="lrTb"/>
            <w:noWrap w:val="false"/>
          </w:tcPr>
          <w:p>
            <w:pPr>
              <w:spacing w:line="28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结算：</w:t>
            </w:r>
            <w:r/>
          </w:p>
          <w:p>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（1）预付款：合同签订后的三个月内支付合同价款的50%。</w:t>
            </w:r>
            <w:r/>
          </w:p>
          <w:p>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施工费用按固定单价，工程量按实结算</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合同期满经采购人验收合格后</w:t>
            </w: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提交决算资料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经采购人委托的审计部门审计结束后，</w:t>
            </w:r>
            <w:r>
              <w:rPr>
                <w:rFonts w:hint="eastAsia" w:ascii="宋体" w:hAnsi="宋体" w:eastAsia="宋体" w:cs="宋体"/>
                <w:color w:val="auto"/>
                <w:sz w:val="21"/>
                <w:szCs w:val="21"/>
                <w:highlight w:val="none"/>
              </w:rPr>
              <w:t xml:space="preserve">30日内支付工程款。付款时乙方应当提供正规发票作为甲方支付款项的前提条件。审计核减率超过（含）5%的，审计费用一律由</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承担；核减率达5%以下的由采购人承担。</w:t>
            </w:r>
            <w:r/>
          </w:p>
          <w:p>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付款期限：</w:t>
            </w:r>
            <w:r/>
          </w:p>
          <w:p>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满足合同约定支付条件的，采购人收到</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发票后30日内，将资金支付到合同约定的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账户。</w:t>
            </w:r>
            <w:r/>
          </w:p>
          <w:p>
            <w:pPr>
              <w:spacing w:line="288" w:lineRule="auto"/>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rPr>
              <w:t xml:space="preserve">提供承诺书，格式自拟。</w:t>
            </w:r>
            <w:r/>
          </w:p>
        </w:tc>
      </w:tr>
      <w:tr>
        <w:trPr>
          <w:jc w:val="center"/>
          <w:trHeight w:val="829"/>
        </w:trPr>
        <w:tc>
          <w:tcPr>
            <w:shd w:val="clear" w:color="auto" w:fill="auto"/>
            <w:tcW w:w="791"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p>
        </w:tc>
        <w:tc>
          <w:tcPr>
            <w:tcW w:w="7473"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履行期限、地点和方式</w:t>
            </w:r>
            <w:r>
              <w:rPr>
                <w:rFonts w:hint="eastAsia" w:ascii="宋体" w:hAnsi="宋体" w:eastAsia="宋体" w:cs="宋体"/>
                <w:color w:val="auto"/>
                <w:sz w:val="21"/>
                <w:szCs w:val="21"/>
                <w:highlight w:val="none"/>
                <w:lang w:eastAsia="zh-CN"/>
              </w:rPr>
              <w:t xml:space="preserve">：</w:t>
            </w:r>
            <w:r/>
          </w:p>
          <w:p>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采购人根据交通管理的需求，通知（口头或书面）中标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实施维护工程施工；中标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必须按照通知要求按时完成指定工作。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rPr>
              <w:t xml:space="preserve">提供承诺书，格式自拟。</w:t>
            </w:r>
            <w:r/>
          </w:p>
        </w:tc>
      </w:tr>
      <w:tr>
        <w:trPr>
          <w:jc w:val="center"/>
          <w:trHeight w:val="977"/>
        </w:trPr>
        <w:tc>
          <w:tcPr>
            <w:shd w:val="clear" w:color="auto" w:fill="auto"/>
            <w:tcW w:w="791"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6</w:t>
            </w:r>
            <w:r/>
          </w:p>
        </w:tc>
        <w:tc>
          <w:tcPr>
            <w:tcW w:w="7473"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验收要求：</w:t>
            </w:r>
            <w:r/>
          </w:p>
          <w:p>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有义务对采购人提供的信号设备主材进行检查验收和保管，对不合格的产品必须向采购人及时书面反映。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rPr>
              <w:t xml:space="preserve">提供承诺书，格式自拟。</w:t>
            </w:r>
            <w:r/>
          </w:p>
        </w:tc>
      </w:tr>
      <w:tr>
        <w:trPr>
          <w:jc w:val="center"/>
          <w:trHeight w:val="476"/>
        </w:trPr>
        <w:tc>
          <w:tcPr>
            <w:shd w:val="clear" w:color="auto" w:fill="auto"/>
            <w:tcW w:w="791"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7</w:t>
            </w:r>
            <w:r/>
          </w:p>
        </w:tc>
        <w:tc>
          <w:tcPr>
            <w:tcW w:w="7473"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p>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施工安装质保期：热熔标线保质期为3年，</w:t>
            </w:r>
            <w:r>
              <w:rPr>
                <w:rFonts w:hint="eastAsia" w:ascii="宋体" w:hAnsi="宋体" w:eastAsia="宋体" w:cs="宋体"/>
                <w:color w:val="auto"/>
                <w:sz w:val="21"/>
                <w:szCs w:val="21"/>
                <w:highlight w:val="none"/>
                <w:lang w:eastAsia="zh-CN"/>
              </w:rPr>
              <w:t xml:space="preserve">双组份</w:t>
            </w:r>
            <w:r>
              <w:rPr>
                <w:rFonts w:hint="eastAsia" w:ascii="宋体" w:hAnsi="宋体" w:eastAsia="宋体" w:cs="宋体"/>
                <w:color w:val="auto"/>
                <w:sz w:val="21"/>
                <w:szCs w:val="21"/>
                <w:highlight w:val="none"/>
              </w:rPr>
              <w:t xml:space="preserve">标线保质期为2年,防滑标线保质期为2年。投标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制作提供的隔离栏（桩）、活动护栏、广角镜等设备3年质保期；锥桶、道钉1年质保期；太阳能双面爆闪警示灯2年质保期。信号灯由</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提供的杆件、基础、结构件等主材，1年免费维修，终身维护，交通事故和不可抗力除外。反光膜按材料设计质保期，交通标志杆件和其它部件十五年质保期。上述之外的设施质保期为3年。</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rPr>
              <w:t xml:space="preserve">提供承诺书，格式自拟。</w:t>
            </w:r>
            <w:r/>
          </w:p>
        </w:tc>
      </w:tr>
      <w:tr>
        <w:trPr>
          <w:jc w:val="center"/>
          <w:trHeight w:val="770"/>
        </w:trPr>
        <w:tc>
          <w:tcPr>
            <w:shd w:val="clear" w:color="auto" w:fill="auto"/>
            <w:tcW w:w="791"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8</w:t>
            </w:r>
            <w:r/>
          </w:p>
        </w:tc>
        <w:tc>
          <w:tcPr>
            <w:tcW w:w="7473"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维护响应时间</w:t>
            </w:r>
            <w:r>
              <w:rPr>
                <w:rFonts w:hint="eastAsia" w:ascii="宋体" w:hAnsi="宋体" w:eastAsia="宋体" w:cs="宋体"/>
                <w:color w:val="auto"/>
                <w:sz w:val="21"/>
                <w:szCs w:val="21"/>
                <w:highlight w:val="none"/>
                <w:lang w:eastAsia="zh-CN"/>
              </w:rPr>
              <w:t xml:space="preserve">：</w:t>
            </w:r>
            <w:r/>
          </w:p>
          <w:p>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属于合同范围和内容的项目，中标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应在接到维护通知之时起立即派人修理，4小时内修复完毕，情况复杂的，8小时内修复完毕，采购人另有规定的依照采购人规定。中标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不在约定期限内及时进行维护的，采购人可委托其他人员修理，保修费用从中标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应得的维护工程款内扣除。</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rPr>
              <w:t xml:space="preserve">提供承诺书，格式自拟。</w:t>
            </w:r>
            <w:r/>
          </w:p>
        </w:tc>
      </w:tr>
      <w:tr>
        <w:trPr>
          <w:jc w:val="center"/>
          <w:trHeight w:val="1120"/>
        </w:trPr>
        <w:tc>
          <w:tcPr>
            <w:shd w:val="clear" w:color="auto" w:fill="auto"/>
            <w:tcW w:w="791"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9</w:t>
            </w:r>
            <w:r/>
          </w:p>
        </w:tc>
        <w:tc>
          <w:tcPr>
            <w:tcW w:w="7473" w:type="dxa"/>
            <w:vAlign w:val="center"/>
            <w:textDirection w:val="lrTb"/>
            <w:noWrap w:val="false"/>
          </w:tcPr>
          <w:p>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质量安全责任：</w:t>
            </w:r>
            <w:r/>
          </w:p>
          <w:p>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施工安装期间严格按照国家有关规定安装施工，确保安装质量和生产安全，自行承担全部责任。因中标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维护质量原因致使工程在保修期内造成人身和财产损害的，中标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应承担损害赔偿责任。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rPr>
              <w:t xml:space="preserve">提供承诺书，格式自拟。</w:t>
            </w:r>
            <w:r/>
          </w:p>
        </w:tc>
      </w:tr>
      <w:tr>
        <w:trPr>
          <w:jc w:val="center"/>
          <w:trHeight w:val="393"/>
        </w:trPr>
        <w:tc>
          <w:tcPr>
            <w:tcW w:w="791"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473"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违约责任：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（1）不履行合同，采购人有权解除合同。如采购人还有其他损失，由中标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予以赔偿。</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（2）履行义务不符合合同的约定，采购人有权选择扣减相应合同款或要求中标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重新施工。</w:t>
            </w:r>
            <w:r/>
          </w:p>
          <w:p>
            <w:pPr>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（3）由于中标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原因造成采购人损失，应承担赔偿损失责任。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rPr>
              <w:t xml:space="preserve">提供承诺书，格式自拟。</w:t>
            </w:r>
            <w:r/>
          </w:p>
        </w:tc>
      </w:tr>
    </w:tbl>
    <w:p>
      <w:pPr>
        <w:spacing w:line="360" w:lineRule="auto"/>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rPr>
          <w:rFonts w:hint="eastAsia" w:ascii="宋体" w:hAnsi="宋体" w:eastAsia="宋体" w:cs="宋体"/>
          <w:b/>
          <w:bCs w:val="0"/>
          <w:color w:val="auto"/>
          <w:sz w:val="28"/>
          <w:szCs w:val="28"/>
          <w:highlight w:val="none"/>
          <w:lang w:val="en-US" w:eastAsia="zh-CN"/>
        </w:rPr>
      </w:pPr>
      <w:r/>
      <w:bookmarkStart w:id="184" w:name="_Toc27925"/>
      <w:r/>
      <w:bookmarkStart w:id="185" w:name="_Toc508"/>
      <w:r>
        <w:rPr>
          <w:rFonts w:hint="eastAsia" w:ascii="宋体" w:hAnsi="宋体" w:eastAsia="宋体" w:cs="宋体"/>
          <w:b/>
          <w:bCs w:val="0"/>
          <w:color w:val="auto"/>
          <w:sz w:val="28"/>
          <w:szCs w:val="28"/>
          <w:highlight w:val="none"/>
          <w:lang w:val="en-US" w:eastAsia="zh-CN"/>
        </w:rPr>
        <w:br w:type="page" w:clear="all"/>
      </w:r>
      <w:r/>
    </w:p>
    <w:p>
      <w:pPr>
        <w:spacing w:line="360" w:lineRule="auto"/>
        <w:rPr>
          <w:rFonts w:hint="eastAsia" w:ascii="宋体" w:hAnsi="宋体" w:eastAsia="宋体" w:cs="宋体"/>
          <w:b/>
          <w:bCs w:val="0"/>
          <w:color w:val="auto"/>
          <w:sz w:val="28"/>
          <w:szCs w:val="28"/>
          <w:highlight w:val="none"/>
          <w:lang w:val="en-US" w:eastAsia="zh-CN"/>
        </w:rPr>
        <w:outlineLvl w:val="1"/>
      </w:pPr>
      <w:r>
        <w:rPr>
          <w:rFonts w:hint="eastAsia" w:ascii="宋体" w:hAnsi="宋体" w:eastAsia="宋体" w:cs="宋体"/>
          <w:b/>
          <w:bCs w:val="0"/>
          <w:color w:val="auto"/>
          <w:sz w:val="28"/>
          <w:szCs w:val="28"/>
          <w:highlight w:val="none"/>
          <w:lang w:val="en-US" w:eastAsia="zh-CN"/>
        </w:rPr>
        <w:t xml:space="preserve">四、拟采购的标的需要满足的技术要求</w:t>
      </w:r>
      <w:bookmarkEnd w:id="184"/>
      <w:r/>
      <w:bookmarkEnd w:id="185"/>
      <w:r/>
      <w:r/>
    </w:p>
    <w:p>
      <w:pPr>
        <w:spacing w:line="360" w:lineRule="auto"/>
        <w:rPr>
          <w:rFonts w:hint="eastAsia" w:ascii="宋体" w:hAnsi="宋体" w:eastAsia="宋体" w:cs="宋体"/>
          <w:b/>
          <w:color w:val="auto"/>
          <w:sz w:val="24"/>
          <w:szCs w:val="24"/>
          <w:highlight w:val="none"/>
        </w:rPr>
        <w:outlineLvl w:val="2"/>
      </w:pPr>
      <w:r/>
      <w:bookmarkStart w:id="186" w:name="_Toc13499"/>
      <w:r/>
      <w:bookmarkStart w:id="187" w:name="_Toc9620"/>
      <w:r>
        <w:rPr>
          <w:rFonts w:hint="eastAsia" w:ascii="宋体" w:hAnsi="宋体" w:eastAsia="宋体" w:cs="宋体"/>
          <w:bCs/>
          <w:color w:val="auto"/>
          <w:sz w:val="24"/>
          <w:szCs w:val="24"/>
          <w:highlight w:val="none"/>
        </w:rPr>
        <w:t xml:space="preserve">（一）</w:t>
      </w:r>
      <w:r>
        <w:rPr>
          <w:rFonts w:hint="eastAsia" w:ascii="宋体" w:hAnsi="宋体" w:eastAsia="宋体" w:cs="宋体"/>
          <w:b/>
          <w:color w:val="auto"/>
          <w:sz w:val="24"/>
          <w:szCs w:val="24"/>
          <w:highlight w:val="none"/>
        </w:rPr>
        <w:t xml:space="preserve">交通标线施工部分</w:t>
      </w:r>
      <w:bookmarkEnd w:id="186"/>
      <w:r/>
      <w:bookmarkEnd w:id="187"/>
      <w:r/>
      <w:r/>
    </w:p>
    <w:p>
      <w:pPr>
        <w:ind w:firstLine="422"/>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1、技术标准</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《道路交通标志和标线》GB5768</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《城市道路交通标志和标线设置规范》</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GB51038</w:t>
      </w:r>
      <w:r>
        <w:rPr>
          <w:rFonts w:hint="eastAsia" w:ascii="宋体" w:hAnsi="宋体" w:cs="宋体"/>
          <w:color w:val="auto"/>
          <w:sz w:val="21"/>
          <w:szCs w:val="21"/>
          <w:highlight w:val="none"/>
          <w:lang w:val="en-US" w:eastAsia="zh-CN"/>
        </w:rPr>
        <w:t xml:space="preserve">)</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《城市道路交通管理设施设置规范》</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DB3201/T256</w:t>
      </w:r>
      <w:r>
        <w:rPr>
          <w:rFonts w:hint="eastAsia" w:ascii="宋体" w:hAnsi="宋体" w:cs="宋体"/>
          <w:color w:val="auto"/>
          <w:sz w:val="21"/>
          <w:szCs w:val="21"/>
          <w:highlight w:val="none"/>
          <w:lang w:val="en-US" w:eastAsia="zh-CN"/>
        </w:rPr>
        <w:t xml:space="preserve">)</w:t>
      </w:r>
      <w:r/>
    </w:p>
    <w:p>
      <w:pPr>
        <w:ind w:firstLine="42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《路面标线用玻璃珠》</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JT/T446</w:t>
      </w:r>
      <w:r>
        <w:rPr>
          <w:rFonts w:hint="eastAsia" w:ascii="宋体" w:hAnsi="宋体" w:cs="宋体"/>
          <w:color w:val="auto"/>
          <w:sz w:val="21"/>
          <w:szCs w:val="21"/>
          <w:highlight w:val="none"/>
          <w:lang w:val="en-US" w:eastAsia="zh-CN"/>
        </w:rPr>
        <w:t xml:space="preserve">)</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《道路交通标线质量要求和检测方法》GB/T16311-2024　</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《道路标线涂料》GA/T 298　　</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《路面标线涂料》JT/T280</w:t>
      </w:r>
      <w:r>
        <w:rPr>
          <w:rFonts w:hint="eastAsia" w:ascii="宋体" w:hAnsi="宋体" w:cs="宋体"/>
          <w:color w:val="auto"/>
          <w:sz w:val="21"/>
          <w:szCs w:val="21"/>
          <w:highlight w:val="none"/>
          <w:lang w:val="en-US" w:eastAsia="zh-CN"/>
        </w:rPr>
        <w:t xml:space="preserve"> </w:t>
      </w:r>
      <w:r>
        <w:rPr>
          <w:rFonts w:hint="eastAsia" w:ascii="宋体" w:hAnsi="宋体" w:eastAsia="宋体" w:cs="宋体"/>
          <w:highlight w:val="none"/>
        </w:rPr>
        <w:t xml:space="preserve">-2022</w:t>
      </w:r>
      <w:r>
        <w:rPr>
          <w:rFonts w:hint="eastAsia" w:ascii="宋体" w:hAnsi="宋体" w:eastAsia="宋体" w:cs="宋体"/>
          <w:color w:val="auto"/>
          <w:sz w:val="21"/>
          <w:szCs w:val="21"/>
          <w:highlight w:val="none"/>
        </w:rPr>
        <w:t xml:space="preserve">　</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(注：以上技术规范、标准以国家最新版本为准。)</w:t>
      </w:r>
      <w:r/>
    </w:p>
    <w:p>
      <w:pPr>
        <w:ind w:firstLine="422"/>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2通用要求</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（1）使用的标线涂料应具有与路面粘结力强、干燥迅速以及良好的耐磨性、耐侯性、抗滑性等特性，并符合有关国家标准或行业标准的要求；</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（2）标线应具有良好的视认性，宽度一致、间隔相等、边缘整齐、线形规则、线条流畅，外观轮廓整齐，无毛刺，各种标线的施划严禁出现扭曲、变形等缺陷；</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（3）标线涂层应厚度均匀，无起泡、开裂、发沾、脱落等现象；</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（4）施划后的标线（包括冷喷、热熔）颜色要按照国标要求保持一致，不允许存在色差。</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（5）标线涂层厚度如下表：</w:t>
      </w:r>
      <w:r/>
    </w:p>
    <w:tbl>
      <w:tblPr>
        <w:tblStyle w:val="799"/>
        <w:tblW w:w="0" w:type="auto"/>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23"/>
        <w:gridCol w:w="3750"/>
      </w:tblGrid>
      <w:tr>
        <w:trPr>
          <w:jc w:val="center"/>
          <w:trHeight w:val="235"/>
        </w:trPr>
        <w:tc>
          <w:tcPr>
            <w:tcW w:w="3723"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750"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标线涂层厚度</w:t>
            </w:r>
            <w:r/>
          </w:p>
        </w:tc>
      </w:tr>
      <w:tr>
        <w:trPr>
          <w:jc w:val="center"/>
          <w:trHeight w:val="439"/>
        </w:trPr>
        <w:tc>
          <w:tcPr>
            <w:tcW w:w="3723"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双组份</w:t>
            </w:r>
            <w:r>
              <w:rPr>
                <w:rFonts w:hint="eastAsia" w:ascii="宋体" w:hAnsi="宋体" w:eastAsia="宋体" w:cs="宋体"/>
                <w:color w:val="auto"/>
                <w:sz w:val="21"/>
                <w:szCs w:val="21"/>
                <w:highlight w:val="none"/>
              </w:rPr>
              <w:t xml:space="preserve">涂料标线</w:t>
            </w:r>
            <w:r/>
          </w:p>
        </w:tc>
        <w:tc>
          <w:tcPr>
            <w:tcW w:w="3750"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0.6±0.2mm</w:t>
            </w:r>
            <w:r/>
          </w:p>
        </w:tc>
      </w:tr>
      <w:tr>
        <w:trPr>
          <w:jc w:val="center"/>
          <w:trHeight w:val="433"/>
        </w:trPr>
        <w:tc>
          <w:tcPr>
            <w:tcW w:w="3723"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热熔型涂料标线</w:t>
            </w:r>
            <w:r/>
          </w:p>
        </w:tc>
        <w:tc>
          <w:tcPr>
            <w:tcW w:w="3750"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2.0±0.2 mm</w:t>
            </w:r>
            <w:r/>
          </w:p>
        </w:tc>
      </w:tr>
    </w:tbl>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（6）标线施工期间严格按照国家有关规定施工，确保安装质量和生产安全，自行承担全部责任。因中标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维护质量原因致使工程在保修期内造成人身和财产损害的，中标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应承担损害赔偿责任。</w:t>
      </w:r>
      <w:r/>
    </w:p>
    <w:p>
      <w:pPr>
        <w:ind w:firstLine="420"/>
        <w:spacing w:line="360" w:lineRule="auto"/>
        <w:shd w:val="clear" w:color="auto" w:fill="ffffff"/>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rPr>
        <w:t xml:space="preserve">投标时提供产品环保承诺函</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中标后履约进场前</w:t>
      </w:r>
      <w:r>
        <w:rPr>
          <w:rFonts w:hint="eastAsia" w:ascii="宋体" w:hAnsi="宋体" w:eastAsia="宋体" w:cs="宋体"/>
          <w:b/>
          <w:bCs/>
          <w:color w:val="auto"/>
          <w:sz w:val="21"/>
          <w:szCs w:val="21"/>
          <w:highlight w:val="none"/>
        </w:rPr>
        <w:t xml:space="preserve">须提供涂料生产厂商具备的CNAS或CMA标识的检测机构出具的有效期内的产品合格检测报告复印件加盖</w:t>
      </w:r>
      <w:r>
        <w:rPr>
          <w:rFonts w:hint="eastAsia" w:ascii="宋体" w:hAnsi="宋体" w:cs="宋体"/>
          <w:b/>
          <w:bCs/>
          <w:color w:val="auto"/>
          <w:sz w:val="21"/>
          <w:szCs w:val="21"/>
          <w:highlight w:val="none"/>
          <w:lang w:val="en-US" w:eastAsia="zh-CN"/>
        </w:rPr>
        <w:t xml:space="preserve">单位</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rPr>
        <w:t xml:space="preserve">，内容包括：</w:t>
      </w:r>
      <w:r>
        <w:rPr>
          <w:rFonts w:hint="eastAsia" w:ascii="宋体" w:hAnsi="宋体" w:eastAsia="宋体" w:cs="宋体"/>
          <w:b/>
          <w:bCs/>
          <w:color w:val="auto"/>
          <w:sz w:val="21"/>
          <w:szCs w:val="21"/>
          <w:highlight w:val="none"/>
          <w:lang w:eastAsia="zh-CN"/>
        </w:rPr>
        <w:t xml:space="preserve">双组份</w:t>
      </w:r>
      <w:r>
        <w:rPr>
          <w:rFonts w:hint="eastAsia" w:ascii="宋体" w:hAnsi="宋体" w:eastAsia="宋体" w:cs="宋体"/>
          <w:b/>
          <w:bCs/>
          <w:color w:val="auto"/>
          <w:sz w:val="21"/>
          <w:szCs w:val="21"/>
          <w:highlight w:val="none"/>
        </w:rPr>
        <w:t xml:space="preserve">反光型涂料、</w:t>
      </w:r>
      <w:r>
        <w:rPr>
          <w:rFonts w:hint="eastAsia" w:ascii="宋体" w:hAnsi="宋体" w:eastAsia="宋体" w:cs="宋体"/>
          <w:b/>
          <w:bCs/>
          <w:color w:val="auto"/>
          <w:sz w:val="21"/>
          <w:szCs w:val="21"/>
          <w:highlight w:val="none"/>
          <w:lang w:eastAsia="zh-CN"/>
        </w:rPr>
        <w:t xml:space="preserve">双组份</w:t>
      </w:r>
      <w:r>
        <w:rPr>
          <w:rFonts w:hint="eastAsia" w:ascii="宋体" w:hAnsi="宋体" w:eastAsia="宋体" w:cs="宋体"/>
          <w:b/>
          <w:bCs/>
          <w:color w:val="auto"/>
          <w:sz w:val="21"/>
          <w:szCs w:val="21"/>
          <w:highlight w:val="none"/>
        </w:rPr>
        <w:t xml:space="preserve">突起型涂料、热熔反光型涂料、路面标线使用玻璃微珠、路面防滑涂料的完整检测报告。</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按要求提供承诺书，格式自拟。</w:t>
      </w:r>
      <w:r>
        <w:rPr>
          <w:rFonts w:hint="eastAsia" w:ascii="宋体" w:hAnsi="宋体" w:eastAsia="宋体" w:cs="宋体"/>
          <w:b/>
          <w:bCs/>
          <w:color w:val="auto"/>
          <w:sz w:val="21"/>
          <w:szCs w:val="21"/>
          <w:highlight w:val="none"/>
          <w:lang w:eastAsia="zh-CN"/>
        </w:rPr>
        <w:t xml:space="preserve">）</w:t>
      </w:r>
      <w:r/>
    </w:p>
    <w:p>
      <w:pPr>
        <w:ind w:firstLine="420"/>
        <w:spacing w:line="360" w:lineRule="auto"/>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★（8）投标</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中标后，在实际工作时，应当使用所投厂商的涂料产品或不低于所投涂料产品技术指标的其他厂商产品，并在提交决算资料时，同步提交所用涂料的相关证明材料，材料不限于购买涂料发票、涂料出入库单据等，使用非所投产品厂商的，应当提交该生产厂商具有CNAS或CMA标识的检测机构出具的有效期内的产品合格检测报告复印件加盖</w:t>
      </w:r>
      <w:r>
        <w:rPr>
          <w:rFonts w:hint="eastAsia" w:ascii="宋体" w:hAnsi="宋体" w:cs="宋体"/>
          <w:b/>
          <w:bCs/>
          <w:color w:val="auto"/>
          <w:sz w:val="21"/>
          <w:szCs w:val="21"/>
          <w:highlight w:val="none"/>
          <w:lang w:val="en-US" w:eastAsia="zh-CN"/>
        </w:rPr>
        <w:t xml:space="preserve">单位</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按要求提供承诺书，格式自拟。</w:t>
      </w:r>
      <w:r>
        <w:rPr>
          <w:rFonts w:hint="eastAsia" w:ascii="宋体" w:hAnsi="宋体" w:eastAsia="宋体" w:cs="宋体"/>
          <w:b/>
          <w:bCs/>
          <w:color w:val="auto"/>
          <w:sz w:val="21"/>
          <w:szCs w:val="21"/>
          <w:highlight w:val="none"/>
          <w:lang w:eastAsia="zh-CN"/>
        </w:rPr>
        <w:t xml:space="preserve">）</w:t>
      </w:r>
      <w:r/>
    </w:p>
    <w:p>
      <w:pPr>
        <w:ind w:firstLine="420"/>
        <w:spacing w:line="360" w:lineRule="auto"/>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3、热熔型涂料标线（反光型）技术要求</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（1）所有标线应具有顺畅、平顺、光洁、鲜明、均匀及精美的外观。</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（2）热熔型道路标线施工时要确保材料用量≥5kg/m2 的施划量，漆膜厚度必须达到2.0±0.2mm。热熔型减速标线厚度必须达到4.0+0.2mm；热熔标线主材配比：树脂≥15%、钛白粉≥4%（钛白粉为金红石型），材料中应混合占总量20%的玻璃微珠（玻璃微珠符合国家交通部门业标准），施划时标线表面还应均布170g/m2玻璃微珠。玻璃珠应撒布均匀，附着牢固，反光均匀。玻璃珠要求适当的嵌入深度，珠体一半嵌入标线，一半露出标线表面。</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施工标线的下涂剂（底胶）应采用抗水、抗碱高强粘合力的双组份下涂料，其含固量≥25%，粘接性≤10%。</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（3）玻璃微珠符合国家交通部行业标准，在喷涂时标线表面还应均布玻璃微珠。玻璃珠的品质要求，应符合《道路标线涂料》(GA/T 298)和《路面标线用玻璃珠》(JT/T 446)的规定，标准采用最新版本。玻璃珠的品质的要求如下表：</w:t>
      </w:r>
      <w:r/>
    </w:p>
    <w:tbl>
      <w:tblPr>
        <w:tblStyle w:val="799"/>
        <w:tblW w:w="0" w:type="auto"/>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13"/>
        <w:gridCol w:w="2484"/>
        <w:gridCol w:w="3320"/>
      </w:tblGrid>
      <w:tr>
        <w:trPr>
          <w:jc w:val="center"/>
          <w:trHeight w:val="385"/>
        </w:trPr>
        <w:tc>
          <w:tcPr>
            <w:tcW w:w="2413"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gridSpan w:val="2"/>
            <w:tcW w:w="5804"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技术指标</w:t>
            </w:r>
            <w:r/>
          </w:p>
        </w:tc>
      </w:tr>
      <w:tr>
        <w:trPr>
          <w:jc w:val="center"/>
          <w:trHeight w:val="369"/>
        </w:trPr>
        <w:tc>
          <w:tcPr>
            <w:tcW w:w="2413"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容器中玻璃状态</w:t>
            </w:r>
            <w:r/>
          </w:p>
        </w:tc>
        <w:tc>
          <w:tcPr>
            <w:gridSpan w:val="2"/>
            <w:tcW w:w="5804"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粒状，清结无杂质</w:t>
            </w:r>
            <w:r/>
          </w:p>
        </w:tc>
      </w:tr>
      <w:tr>
        <w:trPr>
          <w:jc w:val="center"/>
          <w:trHeight w:val="361"/>
        </w:trPr>
        <w:tc>
          <w:tcPr>
            <w:tcW w:w="2413"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密度（g/cm3）</w:t>
            </w:r>
            <w:r/>
          </w:p>
        </w:tc>
        <w:tc>
          <w:tcPr>
            <w:gridSpan w:val="2"/>
            <w:tcW w:w="5804"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r>
      <w:tr>
        <w:trPr>
          <w:cantSplit/>
          <w:jc w:val="center"/>
        </w:trPr>
        <w:tc>
          <w:tcPr>
            <w:tcW w:w="2413" w:type="dxa"/>
            <w:vAlign w:val="center"/>
            <w:vMerge w:val="restart"/>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粒径</w:t>
            </w:r>
            <w:r/>
          </w:p>
        </w:tc>
        <w:tc>
          <w:tcPr>
            <w:tcW w:w="2484"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标准筛筛号20（目）</w:t>
            </w:r>
            <w:r/>
          </w:p>
        </w:tc>
        <w:tc>
          <w:tcPr>
            <w:tcW w:w="3320"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筛余物（％）</w:t>
            </w:r>
            <w:r/>
          </w:p>
        </w:tc>
      </w:tr>
      <w:tr>
        <w:trPr>
          <w:cantSplit/>
          <w:jc w:val="center"/>
        </w:trPr>
        <w:tc>
          <w:tcPr>
            <w:tcW w:w="2413" w:type="dxa"/>
            <w:vAlign w:val="center"/>
            <w:vMerge w:val="continue"/>
            <w:textDirection w:val="lrTb"/>
            <w:noWrap w:val="false"/>
          </w:tcPr>
          <w:p>
            <w:pPr>
              <w:ind w:firstLine="420"/>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84"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3320"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cantSplit/>
          <w:jc w:val="center"/>
        </w:trPr>
        <w:tc>
          <w:tcPr>
            <w:tcW w:w="2413" w:type="dxa"/>
            <w:vAlign w:val="center"/>
            <w:vMerge w:val="continue"/>
            <w:textDirection w:val="lrTb"/>
            <w:noWrap w:val="false"/>
          </w:tcPr>
          <w:p>
            <w:pPr>
              <w:ind w:firstLine="420"/>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84"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20-30</w:t>
            </w:r>
            <w:r/>
          </w:p>
        </w:tc>
        <w:tc>
          <w:tcPr>
            <w:tcW w:w="3320"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5-30</w:t>
            </w:r>
            <w:r/>
          </w:p>
        </w:tc>
      </w:tr>
      <w:tr>
        <w:trPr>
          <w:jc w:val="center"/>
          <w:trHeight w:val="678"/>
        </w:trPr>
        <w:tc>
          <w:tcPr>
            <w:tcW w:w="2413"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w:t>
            </w:r>
            <w:r/>
          </w:p>
        </w:tc>
        <w:tc>
          <w:tcPr>
            <w:gridSpan w:val="2"/>
            <w:tcW w:w="5804"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无色透明球状，扩大10-50倍观察时，熔融团、片状、尖状物、有色气泡等瑕疵珠不超过总量的20％</w:t>
            </w:r>
            <w:r/>
          </w:p>
        </w:tc>
      </w:tr>
      <w:tr>
        <w:trPr>
          <w:jc w:val="center"/>
        </w:trPr>
        <w:tc>
          <w:tcPr>
            <w:tcW w:w="2413"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折射率（20度浸法）</w:t>
            </w:r>
            <w:r/>
          </w:p>
        </w:tc>
        <w:tc>
          <w:tcPr>
            <w:gridSpan w:val="2"/>
            <w:tcW w:w="5804"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r>
        <w:trPr>
          <w:jc w:val="center"/>
        </w:trPr>
        <w:tc>
          <w:tcPr>
            <w:tcW w:w="2413"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耐水性</w:t>
            </w:r>
            <w:r/>
          </w:p>
        </w:tc>
        <w:tc>
          <w:tcPr>
            <w:gridSpan w:val="2"/>
            <w:tcW w:w="5804"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取10g样品放于100ml蒸馏水中,与沸腾水浴中加热1h后冷却，玻璃珠表面不应出现模糊状，中和这100ml水所用0.01m的盐酸应在10ml以下</w:t>
            </w:r>
            <w:r/>
          </w:p>
        </w:tc>
      </w:tr>
    </w:tbl>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（4）路面标线涂料的色度性能，其色品坐标和反射比（或亮度因数）应符合《路面标线涂料》（JT/T 280）中规定的范围。色泽必须符合国家标准《安全色》(GB 2893)的有关要求。</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标线的主要质量要求：色泽鲜艳、白度好、耐干燥时间快，夜间反光效果好，表面抗污染能力强，不允许有起泡、起皱、大面积气孔、断裂等病态；表面抗污染能力是指标线投入使用后能抵抗各种尘埃，车辆碾压所留下的痕迹面基本上保持原有的材料颜色。</w:t>
      </w:r>
      <w:r/>
    </w:p>
    <w:p>
      <w:pPr>
        <w:ind w:firstLine="420"/>
        <w:spacing w:line="360" w:lineRule="auto"/>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4、清除标线要求（水洗方式）</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要做好安全防护措施，确保道路通畅、施工人员的安全。</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（1）采用专用机械水洗清除旧标线；复划标线前旧标线采用打磨清除。</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（2）清洗沥青路面旧标线必须采用水洗专用清洗机（不含沙）清除，路面标线必须清除干净，不得留有旧标线的残留痕迹，且不能破坏沥青路面。</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（3）特殊情况下，经采购人同意，</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清除标线中可使用黑色涂料对未清除干净的道线进行覆盖，其主要材质是丙烯酸树脂、铁黑颜料、轻质碳酸钙、重质碳酸钙、硫酸钡、高岭土等主材，配以滑石粉、助剂和稀释剂等材料组合合成，使用黑漆覆盖前提是已经清除处理过，剩余仍能看得见的道线痕迹可使用黑色漆料进行覆盖；使用过程中</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要加大喷涂面积，保证标线模样无法识别。</w:t>
      </w:r>
      <w:r/>
    </w:p>
    <w:p>
      <w:pPr>
        <w:ind w:firstLine="422"/>
        <w:spacing w:line="360" w:lineRule="auto"/>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5、双组份标线技术要求</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（1）为了保证标线使用寿命及标线的反光性能，双组份标线厚度0.6±0.2mm；面撒玻璃珠采用级配范围的双组份专用玻璃珠，以提高其对标线的附着力，可按照采购人要求施划喷涂型、甩涂型和刮涂型。</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（2）除特殊设计要求外，其他技术指标应符合《GB/T16311》道路交通标线质量要求和检法，JT/T280《路面标线涂料》等标准。</w:t>
      </w:r>
      <w:r/>
    </w:p>
    <w:p>
      <w:pPr>
        <w:ind w:firstLine="420"/>
        <w:spacing w:line="360" w:lineRule="auto"/>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必须同时具备</w:t>
      </w:r>
      <w:r>
        <w:rPr>
          <w:rFonts w:hint="eastAsia" w:ascii="宋体" w:hAnsi="宋体" w:eastAsia="宋体" w:cs="宋体"/>
          <w:b/>
          <w:bCs/>
          <w:color w:val="auto"/>
          <w:sz w:val="21"/>
          <w:szCs w:val="21"/>
          <w:highlight w:val="none"/>
          <w:lang w:eastAsia="zh-CN"/>
        </w:rPr>
        <w:t xml:space="preserve">双组份</w:t>
      </w:r>
      <w:r>
        <w:rPr>
          <w:rFonts w:hint="eastAsia" w:ascii="宋体" w:hAnsi="宋体" w:eastAsia="宋体" w:cs="宋体"/>
          <w:b/>
          <w:bCs/>
          <w:color w:val="auto"/>
          <w:sz w:val="21"/>
          <w:szCs w:val="21"/>
          <w:highlight w:val="none"/>
        </w:rPr>
        <w:t xml:space="preserve">喷涂、甩涂和刮涂的施划作业能力。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按要求提供承诺书，格式自拟。</w:t>
      </w:r>
      <w:r>
        <w:rPr>
          <w:rFonts w:hint="eastAsia" w:ascii="宋体" w:hAnsi="宋体" w:eastAsia="宋体" w:cs="宋体"/>
          <w:b/>
          <w:bCs/>
          <w:color w:val="auto"/>
          <w:sz w:val="21"/>
          <w:szCs w:val="21"/>
          <w:highlight w:val="none"/>
          <w:lang w:eastAsia="zh-CN"/>
        </w:rPr>
        <w:t xml:space="preserve">）</w:t>
      </w:r>
      <w:r/>
    </w:p>
    <w:p>
      <w:pPr>
        <w:ind w:firstLine="420"/>
        <w:spacing w:line="360" w:lineRule="auto"/>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6、彩色防滑路面标线（冷涂型）技术要求</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彩色防滑路面以防止打滑，从视觉上提高安全性并以路面彩色比，美化环境为目的，而研发的新型功能性涂料，其优点是附着力强、超级耐磨，特别适用于易打滑的事故黑点、城市公交专用道、公交车港湾、隧道出入口、长下坡、急转弯、高速紧急停靠带等路段。</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当路面潮湿或雨雪时，在急转弯下坡、十字路口等容易打滑的事故黑点采用，车辆通过时不仅从视觉上祈祷警示效果，而从感官上也得到一种轻快的振动效果。能起到美化环境以及人车分道的目的。彩色防滑涂料具有柔韧性卓越、防滑效果好、施工方便等特点。</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③特点：</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防滑效果好：陶珠选用6莫氏以上高硬度、高耐磨的彩色通体陶瓷颗粒，防滑系数高、永不褪色。</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柔韧性卓越：通过改性、改良了双组份涂料致命的硬脆缺陷，使其拥有了卓越的柔韧性、抗变形性。</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附着力超群：附着力强是双组份涂料的一大优点，保证了沥青、水泥路面、金属表面的超群附着力。</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作业效率高：施工工艺简单，作业效率高，无需使用大型专业施工设备，适用于小面积，多块壮施工。</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路面防滑涂料通用理化性能要求</w:t>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861"/>
        <w:gridCol w:w="2107"/>
        <w:gridCol w:w="2107"/>
        <w:gridCol w:w="1106"/>
      </w:tblGrid>
      <w:tr>
        <w:trPr>
          <w:jc w:val="center"/>
          <w:trHeight w:val="298"/>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gridSpan w:val="3"/>
            <w:tcW w:w="53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p>
        </w:tc>
      </w:tr>
      <w:tr>
        <w:trPr>
          <w:jc w:val="center"/>
          <w:trHeight w:val="776"/>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8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涂膜外观</w:t>
            </w:r>
            <w:r/>
          </w:p>
        </w:tc>
        <w:tc>
          <w:tcPr>
            <w:gridSpan w:val="3"/>
            <w:tcW w:w="53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干燥成型后，颜色、骨料颗粒分布应均匀，无裂纹、骨料颗粒脱落等现象</w:t>
            </w:r>
            <w:r/>
          </w:p>
        </w:tc>
      </w:tr>
      <w:tr>
        <w:trPr>
          <w:jc w:val="center"/>
          <w:trHeight w:val="298"/>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8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耐水性</w:t>
            </w:r>
            <w:r/>
          </w:p>
        </w:tc>
        <w:tc>
          <w:tcPr>
            <w:gridSpan w:val="3"/>
            <w:tcW w:w="53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在水中浸24h应无异常现象</w:t>
            </w:r>
            <w:r/>
          </w:p>
        </w:tc>
      </w:tr>
      <w:tr>
        <w:trPr>
          <w:jc w:val="center"/>
          <w:trHeight w:val="308"/>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8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耐碱性</w:t>
            </w:r>
            <w:r/>
          </w:p>
        </w:tc>
        <w:tc>
          <w:tcPr>
            <w:gridSpan w:val="3"/>
            <w:tcW w:w="53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在氢氧化钙饱和溶液中浸24h无异常现象</w:t>
            </w:r>
            <w:r/>
          </w:p>
        </w:tc>
      </w:tr>
      <w:tr>
        <w:trPr>
          <w:jc w:val="center"/>
          <w:trHeight w:val="298"/>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8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涂层低温抗裂性</w:t>
            </w:r>
            <w:r/>
          </w:p>
        </w:tc>
        <w:tc>
          <w:tcPr>
            <w:gridSpan w:val="3"/>
            <w:tcW w:w="53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-10℃保持4h，室温放置4h为一个循环，连续做三个循环后应无裂纹</w:t>
            </w:r>
            <w:r/>
          </w:p>
        </w:tc>
      </w:tr>
      <w:tr>
        <w:trPr>
          <w:jc w:val="center"/>
          <w:trHeight w:val="308"/>
        </w:trPr>
        <w:tc>
          <w:tcPr>
            <w:tcW w:w="752"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86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抗滑性、BPN值</w:t>
            </w:r>
            <w:r/>
          </w:p>
        </w:tc>
        <w:tc>
          <w:tcPr>
            <w:tcW w:w="210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普通防滑型</w:t>
            </w:r>
            <w:r/>
          </w:p>
        </w:tc>
        <w:tc>
          <w:tcPr>
            <w:tcW w:w="210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中防滑型</w:t>
            </w:r>
            <w:r/>
          </w:p>
        </w:tc>
        <w:tc>
          <w:tcPr>
            <w:tcW w:w="110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高防滑型</w:t>
            </w:r>
            <w:r/>
          </w:p>
        </w:tc>
      </w:tr>
      <w:tr>
        <w:trPr>
          <w:jc w:val="center"/>
          <w:trHeight w:val="158"/>
        </w:trPr>
        <w:tc>
          <w:tcPr>
            <w:tcW w:w="75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0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45≤BPN&lt;55</w:t>
            </w:r>
            <w:r/>
          </w:p>
        </w:tc>
        <w:tc>
          <w:tcPr>
            <w:tcW w:w="210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55≤BPN&lt;70</w:t>
            </w:r>
            <w:r/>
          </w:p>
        </w:tc>
        <w:tc>
          <w:tcPr>
            <w:tcW w:w="110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BPN≥70</w:t>
            </w:r>
            <w:r/>
          </w:p>
        </w:tc>
      </w:tr>
      <w:tr>
        <w:trPr>
          <w:jc w:val="center"/>
          <w:trHeight w:val="837"/>
        </w:trPr>
        <w:tc>
          <w:tcPr>
            <w:tcW w:w="7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8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人工加速耐候性</w:t>
            </w:r>
            <w:r/>
          </w:p>
        </w:tc>
        <w:tc>
          <w:tcPr>
            <w:gridSpan w:val="3"/>
            <w:tcW w:w="53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人工加速老化试验后，试板涂层不产生龟裂、剥落；允许轻微粉化和变色</w:t>
            </w:r>
            <w:r/>
          </w:p>
        </w:tc>
      </w:tr>
    </w:tbl>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防滑骨料理化性能要求</w:t>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823"/>
        <w:gridCol w:w="4990"/>
      </w:tblGrid>
      <w:tr>
        <w:trPr>
          <w:jc w:val="center"/>
          <w:trHeight w:val="379"/>
        </w:trPr>
        <w:tc>
          <w:tcPr>
            <w:tcW w:w="112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23"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499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p>
        </w:tc>
      </w:tr>
      <w:tr>
        <w:trPr>
          <w:jc w:val="center"/>
          <w:trHeight w:val="387"/>
        </w:trPr>
        <w:tc>
          <w:tcPr>
            <w:tcW w:w="112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823"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莫氏硬度</w:t>
            </w:r>
            <w:r/>
          </w:p>
        </w:tc>
        <w:tc>
          <w:tcPr>
            <w:tcW w:w="499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jc w:val="center"/>
          <w:trHeight w:val="387"/>
        </w:trPr>
        <w:tc>
          <w:tcPr>
            <w:tcW w:w="112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823"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骨料粒径，㎜</w:t>
            </w:r>
            <w:r/>
          </w:p>
        </w:tc>
        <w:tc>
          <w:tcPr>
            <w:tcW w:w="499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bl>
    <w:p>
      <w:pPr>
        <w:ind w:firstLine="420"/>
        <w:spacing w:line="360" w:lineRule="auto"/>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7、施划规范要求</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（1）在施划道路交通标线以前，应保证路面平整、清洁，如有松散粒料或粘结杂物，应清扫干净。</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（2）道路交通标线施划应平直、整齐，标线界外不得粘有标线材料。标线线形应流畅，与道路线形相协调，曲线圆滑，不允许出现折线。</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（3）标线表面不应出现网状裂缝，起泡现象。</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（4）道路交通标线固化前，施工单位应设锥形路标指引车辆绕行，对标线采取措施进行保护，以免受到损坏。</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（5）标线形状位置允许误差如下：</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建道路标线的位置与设计位置误差不得大于50mm，施划前应实地测量路面尺寸，打尺弹线，校核无误后方可施划。原有标线的路面施划时新标线与旧标线应基本重合，误差不得大于5mm，视线不清时，必须重新打尺弹线。标线的端线与边线应垂直，其误差不大于±5°，其他特殊标线，其角度与设计值的误差不大于±3°。</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直线（包括实线、虚线）必须笔直，直线度误差＜0.5mm/m；弧线外廓圆顺，曲率半径应与道路相应位置的曲率半径一致。</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导向箭头必须设置在车道中心位置，其偏移量不得大于 5mm，且应与车道标线保持平行，误差不得大于2mm。</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人行横道线必须保持线线平行，距离相等，其误差不得大于10mm。</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特殊标线的宽度误差不大于5%。</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所有纵向标线的长度、宽度和纵向间距误差应符合下表规定：</w:t>
      </w:r>
      <w:r/>
    </w:p>
    <w:tbl>
      <w:tblPr>
        <w:tblStyle w:val="799"/>
        <w:tblW w:w="0" w:type="auto"/>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2878"/>
        <w:gridCol w:w="2508"/>
      </w:tblGrid>
      <w:tr>
        <w:trPr>
          <w:jc w:val="center"/>
          <w:trHeight w:val="506" w:hRule="exact"/>
        </w:trPr>
        <w:tc>
          <w:tcPr>
            <w:tcW w:w="226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287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尺寸(mm)</w:t>
            </w:r>
            <w:r/>
          </w:p>
        </w:tc>
        <w:tc>
          <w:tcPr>
            <w:tcW w:w="250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允许误差（mm）</w:t>
            </w:r>
            <w:r/>
          </w:p>
        </w:tc>
      </w:tr>
      <w:tr>
        <w:trPr>
          <w:cantSplit/>
          <w:jc w:val="center"/>
          <w:trHeight w:val="364" w:hRule="exact"/>
        </w:trPr>
        <w:tc>
          <w:tcPr>
            <w:tcW w:w="2268" w:type="dxa"/>
            <w:vAlign w:val="center"/>
            <w:vMerge w:val="restart"/>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长度</w:t>
            </w:r>
            <w:r/>
          </w:p>
        </w:tc>
        <w:tc>
          <w:tcPr>
            <w:tcW w:w="287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tcW w:w="250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r>
      <w:tr>
        <w:trPr>
          <w:cantSplit/>
          <w:jc w:val="center"/>
          <w:trHeight w:val="415" w:hRule="exact"/>
        </w:trPr>
        <w:tc>
          <w:tcPr>
            <w:tcW w:w="2268" w:type="dxa"/>
            <w:vAlign w:val="center"/>
            <w:vMerge w:val="continue"/>
            <w:textDirection w:val="lrTb"/>
            <w:noWrap w:val="false"/>
          </w:tcPr>
          <w:p>
            <w:pPr>
              <w:ind w:firstLine="420"/>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7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W w:w="250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r>
      <w:tr>
        <w:trPr>
          <w:cantSplit/>
          <w:jc w:val="center"/>
          <w:trHeight w:val="364" w:hRule="exact"/>
        </w:trPr>
        <w:tc>
          <w:tcPr>
            <w:tcW w:w="2268" w:type="dxa"/>
            <w:vAlign w:val="center"/>
            <w:vMerge w:val="continue"/>
            <w:textDirection w:val="lrTb"/>
            <w:noWrap w:val="false"/>
          </w:tcPr>
          <w:p>
            <w:pPr>
              <w:ind w:firstLine="420"/>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7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W w:w="250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r>
      <w:tr>
        <w:trPr>
          <w:cantSplit/>
          <w:jc w:val="center"/>
          <w:trHeight w:val="364" w:hRule="exact"/>
        </w:trPr>
        <w:tc>
          <w:tcPr>
            <w:tcW w:w="2268" w:type="dxa"/>
            <w:vAlign w:val="center"/>
            <w:vMerge w:val="continue"/>
            <w:textDirection w:val="lrTb"/>
            <w:noWrap w:val="false"/>
          </w:tcPr>
          <w:p>
            <w:pPr>
              <w:ind w:firstLine="420"/>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7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w:t>
            </w:r>
            <w:r/>
          </w:p>
        </w:tc>
        <w:tc>
          <w:tcPr>
            <w:tcW w:w="250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r>
      <w:tr>
        <w:trPr>
          <w:cantSplit/>
          <w:jc w:val="center"/>
          <w:trHeight w:val="364" w:hRule="exact"/>
        </w:trPr>
        <w:tc>
          <w:tcPr>
            <w:tcW w:w="2268" w:type="dxa"/>
            <w:vAlign w:val="center"/>
            <w:vMerge w:val="restart"/>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宽度</w:t>
            </w:r>
            <w:r/>
          </w:p>
        </w:tc>
        <w:tc>
          <w:tcPr>
            <w:tcW w:w="287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c>
          <w:tcPr>
            <w:tcW w:w="250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r>
      <w:tr>
        <w:trPr>
          <w:cantSplit/>
          <w:jc w:val="center"/>
          <w:trHeight w:val="364" w:hRule="exact"/>
        </w:trPr>
        <w:tc>
          <w:tcPr>
            <w:tcW w:w="2268" w:type="dxa"/>
            <w:vAlign w:val="center"/>
            <w:vMerge w:val="continue"/>
            <w:textDirection w:val="lrTb"/>
            <w:noWrap w:val="false"/>
          </w:tcPr>
          <w:p>
            <w:pPr>
              <w:ind w:firstLine="420"/>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7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W w:w="250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r>
      <w:tr>
        <w:trPr>
          <w:cantSplit/>
          <w:jc w:val="center"/>
          <w:trHeight w:val="364" w:hRule="exact"/>
        </w:trPr>
        <w:tc>
          <w:tcPr>
            <w:tcW w:w="2268" w:type="dxa"/>
            <w:vAlign w:val="center"/>
            <w:vMerge w:val="continue"/>
            <w:textDirection w:val="lrTb"/>
            <w:noWrap w:val="false"/>
          </w:tcPr>
          <w:p>
            <w:pPr>
              <w:ind w:firstLine="420"/>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7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W w:w="250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w:t>
            </w:r>
            <w:r/>
          </w:p>
        </w:tc>
      </w:tr>
      <w:tr>
        <w:trPr>
          <w:cantSplit/>
          <w:jc w:val="center"/>
          <w:trHeight w:val="364" w:hRule="exact"/>
        </w:trPr>
        <w:tc>
          <w:tcPr>
            <w:tcW w:w="2268" w:type="dxa"/>
            <w:vAlign w:val="center"/>
            <w:vMerge w:val="restart"/>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纵向间距</w:t>
            </w:r>
            <w:r/>
          </w:p>
        </w:tc>
        <w:tc>
          <w:tcPr>
            <w:tcW w:w="287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9000</w:t>
            </w:r>
            <w:r/>
          </w:p>
        </w:tc>
        <w:tc>
          <w:tcPr>
            <w:tcW w:w="250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r>
      <w:tr>
        <w:trPr>
          <w:cantSplit/>
          <w:jc w:val="center"/>
          <w:trHeight w:val="364" w:hRule="exact"/>
        </w:trPr>
        <w:tc>
          <w:tcPr>
            <w:tcW w:w="2268" w:type="dxa"/>
            <w:vAlign w:val="center"/>
            <w:vMerge w:val="continue"/>
            <w:textDirection w:val="lrTb"/>
            <w:noWrap w:val="false"/>
          </w:tcPr>
          <w:p>
            <w:pPr>
              <w:ind w:firstLine="420"/>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7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tcW w:w="250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r>
      <w:tr>
        <w:trPr>
          <w:cantSplit/>
          <w:jc w:val="center"/>
          <w:trHeight w:val="364" w:hRule="exact"/>
        </w:trPr>
        <w:tc>
          <w:tcPr>
            <w:tcW w:w="2268" w:type="dxa"/>
            <w:vAlign w:val="center"/>
            <w:vMerge w:val="continue"/>
            <w:textDirection w:val="lrTb"/>
            <w:noWrap w:val="false"/>
          </w:tcPr>
          <w:p>
            <w:pPr>
              <w:ind w:firstLine="420"/>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7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W w:w="250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r>
      <w:tr>
        <w:trPr>
          <w:cantSplit/>
          <w:jc w:val="center"/>
          <w:trHeight w:val="364" w:hRule="exact"/>
        </w:trPr>
        <w:tc>
          <w:tcPr>
            <w:tcW w:w="2268" w:type="dxa"/>
            <w:vAlign w:val="center"/>
            <w:vMerge w:val="continue"/>
            <w:textDirection w:val="lrTb"/>
            <w:noWrap w:val="false"/>
          </w:tcPr>
          <w:p>
            <w:pPr>
              <w:ind w:firstLine="420"/>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7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W w:w="2508" w:type="dxa"/>
            <w:vAlign w:val="center"/>
            <w:textDirection w:val="lrTb"/>
            <w:noWrap w:val="false"/>
          </w:tcPr>
          <w:p>
            <w:pPr>
              <w:jc w:val="center"/>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bl>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(6)常用箭头标线的施划、清除的规格与面积均按下图：（采购人另有要求除外）</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2821305" cy="2180590"/>
                <wp:effectExtent l="0" t="0" r="0" b="0"/>
                <wp:docPr id="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6"/>
                        <pic:cNvPicPr>
                          <a:picLocks noChangeAspect="1"/>
                        </pic:cNvPicPr>
                        <pic:nvPr/>
                      </pic:nvPicPr>
                      <pic:blipFill>
                        <a:blip r:embed="rId20"/>
                        <a:stretch/>
                      </pic:blipFill>
                      <pic:spPr bwMode="auto">
                        <a:xfrm>
                          <a:off x="0" y="0"/>
                          <a:ext cx="2830940" cy="2187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1pt;height:171.7pt;mso-wrap-distance-left:0.0pt;mso-wrap-distance-top:0.0pt;mso-wrap-distance-right:0.0pt;mso-wrap-distance-bottom:0.0pt;" stroked="false">
                <v:path textboxrect="0,0,0,0"/>
                <v:imagedata r:id="rId20" o:title=""/>
              </v:shape>
            </w:pict>
          </mc:Fallback>
        </mc:AlternateConten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（7）地面文字标线字体须采用国家规范标准，施划与清除面积约定为长*宽*0.7。</w:t>
      </w:r>
      <w:r/>
    </w:p>
    <w:p>
      <w:pPr>
        <w:spacing w:line="360" w:lineRule="auto"/>
        <w:rPr>
          <w:rFonts w:hint="eastAsia" w:ascii="宋体" w:hAnsi="宋体" w:eastAsia="宋体" w:cs="宋体"/>
          <w:b/>
          <w:bCs/>
          <w:color w:val="auto"/>
          <w:sz w:val="24"/>
          <w:szCs w:val="24"/>
          <w:highlight w:val="none"/>
        </w:rPr>
        <w:outlineLvl w:val="2"/>
      </w:pPr>
      <w:r/>
      <w:bookmarkStart w:id="188" w:name="_Toc23550"/>
      <w:r/>
      <w:bookmarkStart w:id="189" w:name="_Toc2085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交通标志牌制作和安装部分</w:t>
      </w:r>
      <w:bookmarkEnd w:id="188"/>
      <w:r/>
      <w:bookmarkEnd w:id="189"/>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1、施工技术标准和规范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《道路交通标志和标线》</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GB5768</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《城市道路交通标志和标线设置规范》</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GB51038</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《城市道路交通管理设施设置规范》</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DB3201/T256</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《道路交通反光膜》</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GB/T18833</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(注：以上技术规范、标准以国家最新版本为准。)</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2、施工规范要求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交通标志维护施工须符合规范及采购人具体要求：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（1）杆件基础施工部分，在确保交通设施应有的高度前提下，基础法兰须用水泥包封。在绿化范围内，水泥包封顶需留有10cm覆土；在人行道与沥青路面，水泥包封应与路面平齐。</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（2）立柱式标志上安装标志板下缘距路肩的高度一般为150cm-250cm。最少不小于120cm。设置在有行人、非机动车的路侧时，设置高度应大于180cm。</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（3）标志板在一个支撑结构(支撑)上并设时，应按禁令、指示、警告的顺序，先上后下，先左后右地排列。特别是在维护中增设，原位置不当的必须调整。</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交通标志杆件和紧固件均须进行热镀锌处理，同时杆件也可以按照采购人要求在热镀锌处理后进行烤漆，上白下灰，标志杆件应在顶部安装不锈钢顶帽。交通标志杆件应满足至少十五年的质量保证期时间，质保期算法应自杆件完成设立、经采购人验收合格之日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（5）圆形、三角形标志必须使用35mm凹槽铝圈式；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悬臂式标志基础为现浇混凝土C30；标志版面下缘距地面净空，城市道路设置净空大于5.5米，高速公路设置净空大于6米。在满足净空高度情况下，视为符合杆件技术参数要求，但标志版面上边缘不得超出主杆顶端20cm。同时，杆件设置不得倾斜，要求立柱与地面保持90℃垂直，横臂与立柱保持90℃垂直，特殊要求除外。悬臂杆件底部1米位置必须标注铭牌（生产厂家、出厂时间、材质等），其他要求详见招标清单及单项报价表。</w:t>
      </w:r>
      <w:bookmarkStart w:id="190" w:name="_Toc233116422"/>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（7）根据采购人实际需要，中标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可采用数码打印、电刻膜等成型技术交通标志膜，且该标志膜技术指标须符合GB18833同类膜标准。</w:t>
      </w:r>
      <w:r/>
    </w:p>
    <w:p>
      <w:pPr>
        <w:ind w:firstLine="422"/>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★（8）</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选用的反光膜应在投标时提供确定的品牌承诺书加盖单位公章，</w:t>
      </w:r>
      <w:r>
        <w:rPr>
          <w:rFonts w:hint="eastAsia" w:ascii="宋体" w:hAnsi="宋体" w:eastAsia="宋体" w:cs="宋体"/>
          <w:b/>
          <w:bCs/>
          <w:color w:val="auto"/>
          <w:sz w:val="21"/>
          <w:szCs w:val="21"/>
          <w:highlight w:val="none"/>
        </w:rPr>
        <w:t xml:space="preserve">中标后履约进场前</w:t>
      </w:r>
      <w:r>
        <w:rPr>
          <w:rFonts w:hint="eastAsia" w:ascii="宋体" w:hAnsi="宋体" w:eastAsia="宋体" w:cs="宋体"/>
          <w:b/>
          <w:bCs/>
          <w:color w:val="auto"/>
          <w:sz w:val="21"/>
          <w:szCs w:val="21"/>
          <w:highlight w:val="none"/>
        </w:rPr>
        <w:t xml:space="preserve">提供具备CNAS或CMA标识的检测机构出具的有效期内的产品合格检测报告复印件加盖</w:t>
      </w:r>
      <w:r>
        <w:rPr>
          <w:rFonts w:hint="eastAsia" w:ascii="宋体" w:hAnsi="宋体" w:cs="宋体"/>
          <w:b/>
          <w:bCs/>
          <w:color w:val="auto"/>
          <w:sz w:val="21"/>
          <w:szCs w:val="21"/>
          <w:highlight w:val="none"/>
          <w:lang w:val="en-US" w:eastAsia="zh-CN"/>
        </w:rPr>
        <w:t xml:space="preserve">单位</w:t>
      </w:r>
      <w:r>
        <w:rPr>
          <w:rFonts w:hint="eastAsia" w:ascii="宋体" w:hAnsi="宋体" w:eastAsia="宋体" w:cs="宋体"/>
          <w:b/>
          <w:bCs/>
          <w:color w:val="auto"/>
          <w:sz w:val="21"/>
          <w:szCs w:val="21"/>
          <w:highlight w:val="none"/>
        </w:rPr>
        <w:t xml:space="preserve">公章。反光膜技术参数性能指标（本项不接受负偏离），所选用反光膜应符合GB/T18833中反光膜要求。</w:t>
      </w:r>
      <w:bookmarkEnd w:id="190"/>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按要求提供承诺书，格式自拟。</w:t>
      </w:r>
      <w:r>
        <w:rPr>
          <w:rFonts w:hint="eastAsia" w:ascii="宋体" w:hAnsi="宋体" w:eastAsia="宋体" w:cs="宋体"/>
          <w:b/>
          <w:bCs/>
          <w:color w:val="auto"/>
          <w:sz w:val="21"/>
          <w:szCs w:val="21"/>
          <w:highlight w:val="none"/>
          <w:lang w:eastAsia="zh-CN"/>
        </w:rPr>
        <w:t xml:space="preserve">）</w:t>
      </w:r>
      <w:r/>
    </w:p>
    <w:p>
      <w:pPr>
        <w:ind w:firstLine="422"/>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中标后，在实际工作时，应当使用所投厂商的产品或不低于所投产品技术指标的其他厂商产品，并在提交决算资料时，同步提交所用产品的相关证明材料，材料不限于购买产品发票、产品出入库单据等，使用非所投产品厂商的，应当提交该生产厂商具有CNAS或CMA标识的检测机构出具的有效期内的产品合格检测报告复印件加盖</w:t>
      </w:r>
      <w:r>
        <w:rPr>
          <w:rFonts w:hint="eastAsia" w:ascii="宋体" w:hAnsi="宋体" w:cs="宋体"/>
          <w:b/>
          <w:bCs/>
          <w:color w:val="auto"/>
          <w:sz w:val="21"/>
          <w:szCs w:val="21"/>
          <w:highlight w:val="none"/>
          <w:lang w:val="en-US" w:eastAsia="zh-CN"/>
        </w:rPr>
        <w:t xml:space="preserve">单位</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按要求提供承诺书，格式自拟。</w:t>
      </w:r>
      <w:r>
        <w:rPr>
          <w:rFonts w:hint="eastAsia" w:ascii="宋体" w:hAnsi="宋体" w:eastAsia="宋体" w:cs="宋体"/>
          <w:b/>
          <w:bCs/>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（11）LED发光道钉和同步发光道钉技术要求：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JT/T390最新交通部颁标准要求执行。一年内无破损、开裂。太阳能同步道钉也称太阳能同步突起路标、太阳能同频道钉，是指离散安装的太阳能道采用统一的闪烁频率、占空比，在协调统一的状态下同步工作。它能够以最佳的视觉效果显示道路走向及道路障碍物位置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主动发光标志：全透式发光标志采用背投发光技术，耗能低，标志底板为发光板，厚度不高于2mm。光源色温6500K，面板发光显示均匀无阴影，底膜及文字符号显示颜色清晰。产品整体厚度不高于60mm.防水防尘等级IP65.整个版面显示无阴影，无亮区，发光均匀柔和。自动感光控制夜间自动开启，根据环境照度自动调节亮度。</w:t>
      </w:r>
      <w:r/>
    </w:p>
    <w:p>
      <w:pPr>
        <w:spacing w:line="360" w:lineRule="auto"/>
        <w:rPr>
          <w:rFonts w:hint="eastAsia" w:ascii="宋体" w:hAnsi="宋体" w:eastAsia="宋体" w:cs="宋体"/>
          <w:b/>
          <w:bCs/>
          <w:color w:val="auto"/>
          <w:sz w:val="24"/>
          <w:szCs w:val="24"/>
          <w:highlight w:val="none"/>
        </w:rPr>
        <w:outlineLvl w:val="2"/>
      </w:pPr>
      <w:r/>
      <w:bookmarkStart w:id="191" w:name="_Toc4463"/>
      <w:r/>
      <w:bookmarkStart w:id="192" w:name="_Toc9508"/>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交通隔离设施部分</w:t>
      </w:r>
      <w:bookmarkEnd w:id="191"/>
      <w:r/>
      <w:bookmarkEnd w:id="192"/>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1、京式圆钢护栏(附图纸)</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京式圆钢护栏技术指标：</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（1）护栏规格尺寸及部分要求详见附图。</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（2）护栏栏栅圆形实心钢，直径Φ16mm，单根不能为焊接件。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（3）横梁型钢63*40*4.8mm单边钻孔，栏栅圆形实心钢插入横梁孔后再进行底部焊接，反面焊接时焊疤不露在外面，增加护栏防撞力，保持横杆强度，防止横杆弯曲表面看上去平整圆滑。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（4）每组立柱由两根80*40*2.0mm型钢组成，两根型钢顶部加盖钢制盖帽，钢制盖帽应套嵌于产柱，并用螺钉固定，帽盖美观大方，雨天雨水不会灌进立柱防止生锈。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每格护栏长度为3000mm。焊接成形。不得出现型材弯曲、扭曲、宽窄不一致等现象，保持护栏整体一致性，均匀性，每格3米防止护栏被撞后一倒一整片，而且3米一片视觉效果美观，根据多年生产护栏经验，并经过多次试验而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6）每格护栏焊接后进行酸洗、防锈处理，再进行整体热镀锌，锌层达到85g/㎡经过整体热镀锌工艺后的护栏再进行打磨处理，表面光滑如新，抗腐蚀能力大大增强。最后表面再进行静电粉末喷涂处理，喷塑层达到90微米。喷塑颜色为白色(可按采购人需求更改)，喷塑要均匀、无色差，静电喷涂漆面平整光滑，美观性强，易维护，容易清洗，跟以往浸漆的护栏相比，防锈能力更突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7）护栏的底座尺寸为400*350*200mm热镀锌钢板填砼底座（按图制作凸字体“公安”），地钉孔位必须预留准确通畅。底座由镀锌钢板二次冲压成形，相扣焊接，与传统铸铁底座相比，价格便宜而且底座表面及平整无明显凹凸缺陷，每粒大于等于30公斤。</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（8）钢材部件用二氧化碳保护法焊接，表面波纹均匀，焊接处无夹渣、气孔、脱焊、虚焊、焊穿等现象，钢管表面进行除油、除锈、酸化、清水冲洗、烘干、磷化、喷塑等处理工序。</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1.</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圆钢护栏(高1.1M)(附图纸)：</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4114165" cy="2743200"/>
                <wp:effectExtent l="0" t="0" r="0" b="0"/>
                <wp:docPr id="4" name="图片 10" descr="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descr="1100"/>
                        <pic:cNvPicPr>
                          <a:picLocks noChangeAspect="1"/>
                        </pic:cNvPicPr>
                        <pic:nvPr/>
                      </pic:nvPicPr>
                      <pic:blipFill>
                        <a:blip r:embed="rId21"/>
                        <a:srcRect l="0" t="8092" r="0" b="8468"/>
                        <a:stretch/>
                      </pic:blipFill>
                      <pic:spPr bwMode="auto">
                        <a:xfrm>
                          <a:off x="0" y="0"/>
                          <a:ext cx="4131547" cy="2754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3.9pt;height:216.0pt;mso-wrap-distance-left:0.0pt;mso-wrap-distance-top:0.0pt;mso-wrap-distance-right:0.0pt;mso-wrap-distance-bottom:0.0pt;" stroked="f">
                <v:path textboxrect="0,0,0,0"/>
                <v:imagedata r:id="rId21" o:title=""/>
              </v:shape>
            </w:pict>
          </mc:Fallback>
        </mc:AlternateContent>
      </w:r>
      <w:r/>
    </w:p>
    <w:p>
      <w:pPr>
        <w:ind w:left="0"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、圆钢护栏(高0.8M)(附图纸)：</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4865370" cy="3315970"/>
                <wp:effectExtent l="0" t="0" r="0" b="0"/>
                <wp:docPr id="5" name="图片 9" descr="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800"/>
                        <pic:cNvPicPr>
                          <a:picLocks noChangeAspect="1"/>
                        </pic:cNvPicPr>
                        <pic:nvPr/>
                      </pic:nvPicPr>
                      <pic:blipFill>
                        <a:blip r:embed="rId22"/>
                        <a:srcRect l="0" t="6963" r="0" b="7912"/>
                        <a:stretch/>
                      </pic:blipFill>
                      <pic:spPr bwMode="auto">
                        <a:xfrm>
                          <a:off x="0" y="0"/>
                          <a:ext cx="4867398" cy="3317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3.1pt;height:261.1pt;mso-wrap-distance-left:0.0pt;mso-wrap-distance-top:0.0pt;mso-wrap-distance-right:0.0pt;mso-wrap-distance-bottom:0.0pt;" stroked="f">
                <v:path textboxrect="0,0,0,0"/>
                <v:imagedata r:id="rId22" o:title=""/>
              </v:shape>
            </w:pict>
          </mc:Fallback>
        </mc:AlternateContent>
      </w:r>
      <w:r/>
    </w:p>
    <w:p>
      <w:pPr>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圆钢护栏渐变段（1.1m-0.8m）（附图纸）：</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4930775" cy="3365500"/>
                <wp:effectExtent l="0" t="0" r="3175" b="6350"/>
                <wp:docPr id="6" name="图片 8" descr="110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1100-800"/>
                        <pic:cNvPicPr>
                          <a:picLocks noChangeAspect="1"/>
                        </pic:cNvPicPr>
                        <pic:nvPr/>
                      </pic:nvPicPr>
                      <pic:blipFill>
                        <a:blip r:embed="rId23"/>
                        <a:srcRect l="0" t="7912" r="0" b="6781"/>
                        <a:stretch/>
                      </pic:blipFill>
                      <pic:spPr bwMode="auto">
                        <a:xfrm>
                          <a:off x="0" y="0"/>
                          <a:ext cx="4933836" cy="33671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8.2pt;height:265.0pt;mso-wrap-distance-left:0.0pt;mso-wrap-distance-top:0.0pt;mso-wrap-distance-right:0.0pt;mso-wrap-distance-bottom:0.0pt;" stroked="f">
                <v:path textboxrect="0,0,0,0"/>
                <v:imagedata r:id="rId23" o:title=""/>
              </v:shape>
            </w:pict>
          </mc:Fallback>
        </mc:AlternateContent>
      </w:r>
      <w:r/>
    </w:p>
    <w:p>
      <w:pPr>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、铁质站桩技术要求：</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站桩材质：焊管直径为φ114 mm，厚度为3mm 。</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站桩预埋深度为200mm， 伸出地面高度为按照采购人要求，与地面垂直并且预埋底端焊有100mm金属件，增加牢固性。</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站桩贴GB/T18833中的4类工程级反光膜，反光膜颜色和张贴尺寸按照采购人要求。</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站桩预埋时水泥浇注要与地面保持平行。</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站桩顶部盖帽为不锈钢冲压件。</w:t>
      </w:r>
      <w:r/>
    </w:p>
    <w:p>
      <w:pPr>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、太阳能双面爆闪警示灯技术要求：</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3987165" cy="267462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24"/>
                        <a:stretch/>
                      </pic:blipFill>
                      <pic:spPr bwMode="auto">
                        <a:xfrm>
                          <a:off x="0" y="0"/>
                          <a:ext cx="3987165" cy="2674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13.9pt;height:210.6pt;mso-wrap-distance-left:0.0pt;mso-wrap-distance-top:0.0pt;mso-wrap-distance-right:0.0pt;mso-wrap-distance-bottom:0.0pt;" stroked="f">
                <v:path textboxrect="0,0,0,0"/>
                <v:imagedata r:id="rId24" o:title=""/>
              </v:shape>
            </w:pict>
          </mc:Fallback>
        </mc:AlternateConten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外壳体积：长405mm宽360mm高135mm</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电池容量：7AH</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太阳能板：5W</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闪光模式：固定红蓝交替闪</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底座管内径：80mm</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闪光模式：供货前由采购方指定。</w:t>
      </w:r>
      <w:r/>
    </w:p>
    <w:p>
      <w:pPr>
        <w:spacing w:line="360" w:lineRule="auto"/>
        <w:rPr>
          <w:rFonts w:hint="eastAsia" w:ascii="宋体" w:hAnsi="宋体" w:eastAsia="宋体" w:cs="宋体"/>
          <w:b/>
          <w:bCs/>
          <w:color w:val="auto"/>
          <w:sz w:val="24"/>
          <w:szCs w:val="24"/>
          <w:highlight w:val="none"/>
        </w:rPr>
        <w:outlineLvl w:val="2"/>
      </w:pPr>
      <w:r/>
      <w:bookmarkStart w:id="193" w:name="_Toc21655"/>
      <w:r/>
      <w:bookmarkStart w:id="194" w:name="_Toc31649"/>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信号灯维护部分</w:t>
      </w:r>
      <w:bookmarkEnd w:id="193"/>
      <w:r/>
      <w:bookmarkEnd w:id="194"/>
      <w:r/>
      <w:r/>
    </w:p>
    <w:p>
      <w:pPr>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1、施工技术标准和规范</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《道路交通信号灯设置与安装规范》(GBl4886)；</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《电气装置安装工程施工及验收规范》(</w:t>
      </w:r>
      <w:r>
        <w:rPr>
          <w:rFonts w:hint="eastAsia" w:ascii="宋体" w:hAnsi="宋体" w:eastAsia="宋体" w:cs="宋体"/>
          <w:color w:val="auto"/>
          <w:sz w:val="21"/>
          <w:szCs w:val="21"/>
          <w:highlight w:val="none"/>
        </w:rPr>
        <w:t xml:space="preserve">GB50254、GB50255、GB50256、GB50257、GB50258</w:t>
      </w:r>
      <w:r>
        <w:rPr>
          <w:rFonts w:hint="eastAsia" w:ascii="宋体" w:hAnsi="宋体" w:eastAsia="宋体" w:cs="宋体"/>
          <w:color w:val="auto"/>
          <w:sz w:val="21"/>
          <w:szCs w:val="21"/>
          <w:highlight w:val="none"/>
        </w:rPr>
        <w:t xml:space="preserve">)；</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《公安交通管理外场设备基础施工通用要求》</w:t>
      </w:r>
      <w:r>
        <w:rPr>
          <w:rFonts w:hint="eastAsia" w:ascii="宋体" w:hAnsi="宋体" w:eastAsia="宋体" w:cs="宋体"/>
          <w:color w:val="auto"/>
          <w:sz w:val="21"/>
          <w:szCs w:val="21"/>
          <w:highlight w:val="none"/>
        </w:rPr>
        <w:t xml:space="preserve">(GAT652</w:t>
      </w:r>
      <w:r>
        <w:rPr>
          <w:rFonts w:hint="eastAsia" w:ascii="宋体" w:hAnsi="宋体" w:cs="宋体"/>
          <w:color w:val="auto"/>
          <w:sz w:val="21"/>
          <w:szCs w:val="21"/>
          <w:highlight w:val="none"/>
          <w:lang w:val="en-US" w:eastAsia="zh-CN"/>
        </w:rPr>
        <w:t xml:space="preserve">-2017</w:t>
      </w:r>
      <w:r>
        <w:rPr>
          <w:rFonts w:hint="eastAsia" w:ascii="宋体" w:hAnsi="宋体" w:eastAsia="宋体" w:cs="宋体"/>
          <w:color w:val="auto"/>
          <w:sz w:val="21"/>
          <w:szCs w:val="21"/>
          <w:highlight w:val="none"/>
        </w:rPr>
        <w:t xml:space="preserve">)</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(注：以上技术规范、标准以国家最新版本为准。)</w:t>
      </w:r>
      <w:r/>
    </w:p>
    <w:p>
      <w:pPr>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2、信号灯杆件技术要求：</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（1）灯杆严格按照技术图纸要求以及说明制作；且灯杆须安装铭牌，注明安装单位与安装日期。</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（2）6.5m×5.5m型信号灯杆、4.5米辅助灯杆为热镀锌处理后烤漆，上白下灰；其它类型信号灯杆须表面热镀锌（按采购人要求也可提供热镀锌处理后烤漆杆件)；同时，所有杆件的紧固件部分均须进行热镀锌处理。</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（3）杆体应有良好的保护接地，接地装置应符合GB50169</w:t>
      </w:r>
      <w:r>
        <w:rPr>
          <w:rFonts w:hint="eastAsia" w:ascii="宋体" w:hAnsi="宋体" w:cs="宋体"/>
          <w:color w:val="auto"/>
          <w:sz w:val="21"/>
          <w:szCs w:val="21"/>
          <w:highlight w:val="none"/>
          <w:lang w:val="en-US" w:eastAsia="zh-CN"/>
        </w:rPr>
        <w:t xml:space="preserve">-2016</w:t>
      </w:r>
      <w:r>
        <w:rPr>
          <w:rFonts w:hint="eastAsia" w:ascii="宋体" w:hAnsi="宋体" w:eastAsia="宋体" w:cs="宋体"/>
          <w:color w:val="auto"/>
          <w:sz w:val="21"/>
          <w:szCs w:val="21"/>
          <w:highlight w:val="none"/>
        </w:rPr>
        <w:t xml:space="preserve">规范要求，接地电阻不大于10Ω。</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（4）不在图纸内的灯杆预埋件由</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自行设计，</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所提供的预埋件须确保灯杆安装后能承受南京地区最大风压、承压等安全要求。若发生质量事故，由</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承担全部赔偿责任。</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（5）灯杆横臂下侧需留有穿线腰孔。</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（6）其它指标若无要求，则须符合相关国家标准。</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（7）图纸：</w:t>
      </w:r>
      <w:r/>
    </w:p>
    <w:p>
      <w:pPr>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6.8m×6.0m型信号灯杆技术图纸</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2096135" cy="3393440"/>
                <wp:effectExtent l="647700" t="0" r="628015" b="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25"/>
                        <a:stretch/>
                      </pic:blipFill>
                      <pic:spPr bwMode="auto">
                        <a:xfrm rot="5400000">
                          <a:off x="0" y="0"/>
                          <a:ext cx="2124650" cy="34395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5.0pt;height:267.2pt;mso-wrap-distance-left:0.0pt;mso-wrap-distance-top:0.0pt;mso-wrap-distance-right:0.0pt;mso-wrap-distance-bottom:0.0pt;rotation:90;" stroked="f">
                <v:path textboxrect="0,0,0,0"/>
                <v:imagedata r:id="rId25" o:title=""/>
              </v:shape>
            </w:pict>
          </mc:Fallback>
        </mc:AlternateContent>
      </w:r>
      <w:r/>
    </w:p>
    <w:p>
      <w:pPr>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6.8m×4.0m型信号灯杆技术</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4646930" cy="3382010"/>
                <wp:effectExtent l="0" t="0" r="0" b="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r/>
                      </pic:nvPicPr>
                      <pic:blipFill>
                        <a:blip r:embed="rId26"/>
                        <a:stretch/>
                      </pic:blipFill>
                      <pic:spPr bwMode="auto">
                        <a:xfrm>
                          <a:off x="0" y="0"/>
                          <a:ext cx="4678222" cy="3404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65.9pt;height:266.3pt;mso-wrap-distance-left:0.0pt;mso-wrap-distance-top:0.0pt;mso-wrap-distance-right:0.0pt;mso-wrap-distance-bottom:0.0pt;" stroked="f">
                <v:path textboxrect="0,0,0,0"/>
                <v:imagedata r:id="rId26" o:title=""/>
              </v:shape>
            </w:pict>
          </mc:Fallback>
        </mc:AlternateConten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6.8m×10.0m型信号灯杆技术</w:t>
      </w:r>
      <w:r/>
    </w:p>
    <w:p>
      <w:pPr>
        <w:pStyle w:val="80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4911725" cy="3446145"/>
                <wp:effectExtent l="0" t="0" r="0" b="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r/>
                      </pic:nvPicPr>
                      <pic:blipFill>
                        <a:blip r:embed="rId27"/>
                        <a:stretch/>
                      </pic:blipFill>
                      <pic:spPr bwMode="auto">
                        <a:xfrm>
                          <a:off x="0" y="0"/>
                          <a:ext cx="4967462" cy="3484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86.8pt;height:271.3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b/>
          <w:bCs/>
          <w:color w:val="auto"/>
          <w:sz w:val="21"/>
          <w:szCs w:val="21"/>
          <w:highlight w:val="none"/>
        </w:rPr>
        <w:br w:type="page" w:clear="all"/>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6m辅助信号灯杆技术</w:t>
      </w:r>
      <w:r/>
    </w:p>
    <w:p>
      <w:pPr>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2883535" cy="3726180"/>
                <wp:effectExtent l="0" t="0" r="0"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8"/>
                        <a:srcRect l="0" t="0" r="15218" b="0"/>
                        <a:stretch/>
                      </pic:blipFill>
                      <pic:spPr bwMode="auto">
                        <a:xfrm>
                          <a:off x="0" y="0"/>
                          <a:ext cx="2902783" cy="3750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7.0pt;height:293.4pt;mso-wrap-distance-left:0.0pt;mso-wrap-distance-top:0.0pt;mso-wrap-distance-right:0.0pt;mso-wrap-distance-bottom:0.0pt;" stroked="f">
                <v:path textboxrect="0,0,0,0"/>
                <v:imagedata r:id="rId28" o:title=""/>
              </v:shape>
            </w:pict>
          </mc:Fallback>
        </mc:AlternateConten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4.5m辅助信号灯杆技术</w:t>
      </w:r>
      <w:r/>
    </w:p>
    <w:p>
      <w:pPr>
        <w:rPr>
          <w:rFonts w:hint="eastAsia" w:ascii="宋体" w:hAnsi="宋体" w:eastAsia="宋体" w:cs="宋体"/>
          <w:color w:val="auto"/>
          <w:sz w:val="21"/>
          <w:szCs w:val="21"/>
          <w:highlight w:val="none"/>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40" w:orient="portrait"/>
          <w:pgMar w:top="1418" w:right="1588" w:bottom="1418" w:left="1701" w:header="851" w:footer="992" w:gutter="0"/>
          <w:cols w:num="1" w:sep="0" w:space="720" w:equalWidth="1"/>
          <w:docGrid w:linePitch="360"/>
        </w:sect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3550920" cy="3499485"/>
                <wp:effectExtent l="0" t="0" r="0" b="571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29"/>
                        <a:stretch/>
                      </pic:blipFill>
                      <pic:spPr bwMode="auto">
                        <a:xfrm>
                          <a:off x="0" y="0"/>
                          <a:ext cx="3556201" cy="35047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79.6pt;height:275.6pt;mso-wrap-distance-left:0.0pt;mso-wrap-distance-top:0.0pt;mso-wrap-distance-right:0.0pt;mso-wrap-distance-bottom:0.0pt;" stroked="f">
                <v:path textboxrect="0,0,0,0"/>
                <v:imagedata r:id="rId29" o:title=""/>
              </v:shape>
            </w:pict>
          </mc:Fallback>
        </mc:AlternateConten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注：信号灯、倒计时屏、信号机等主要主材设备，采购人根据需要可以让中标人供货或者由采购人自行供货。</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3、施工规范要求：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信号灯维护、施工须符合采购人具体要求：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（1）杆件基础施工部分，在确保交通设施应有的高度前提下，基础法兰须用水泥包封。在绿化范围内，水泥包封顶需留有10cm覆土；在人行道与沥青路面上，水泥包封应与路面平齐。</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（2）人行横道信号灯杆、辅助灯杆等立柱式杆件敷设应适当向后退让，避免信号灯帽沿被车辆刮到损坏。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（3）路口同一角，人行横道线相关较近时，两套人行横道信号灯须并杆。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（4）所有交通信号灯线缆原则上应敷设地下线缆。如实际情况或其它特殊原因，无法敷设地下线缆的，须报采购人同意。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（5）架空电缆线最低净高度不得低于6m。架空电缆线跨度超过30m时应使用钢绞线将电缆线吊起。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（6）采用架空方式敷设电缆时，必须加装绝缘瓷瓶。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（7）电缆线颜色应与灯色一致，电缆线规格应符合招标文件要求。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（8）信号机箱、悬臂杆件须安装接地保护并有效。机箱接地时须同步将倒计时信号线屏敝线网连接。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（9）信号机箱平台砌筑大小为长60cm×宽40cm×高30cm，基础须高出地面10cm以上；机箱平台预留穿线管不少于3根。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（10）信号机机箱、悬臂杆件2m范围内应设有窨井。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（11）窨井中管道到井底的距离不低于20cm。</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（12）招标的两类窨井，规格640mm*480mm*700mm(简称大窨井)用于主管线连接；规格520mm*300mm*400mm(简称小窨井)，用于支管线连接。窨井盖统一设有P字标识。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敷设管线应根据实际放线量再预留一定空间，特别是硬塑料管地埋敷设，连接主管道可配套多放DN80mm白聚丙乙烯管，如只连接一至两个行人灯，只需敷设1孔DN30mm白聚丙乙烯管。严禁使用非招标范围以外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（14）信号灯安装位置与顺序要求：非机动车灯原则安装于杆件立柱；倒计时屏安装在机动车信号灯或直行方向信号灯右侧。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（15）日常交通信号灯维护车辆须随车配备发电机、穿线机。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（16）日常交通信号灯维护工作中，完成路口信号灯故障报修工作的同时，需同时检查路口其它信号灯设备，检修并确保完好。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（17）架空电缆线无法杆内穿线时，须在杆件引下处2.5米以下使用钢管穿线套管。钢管穿线套管的顶部应有半月型防水弯或防水出线管帽。</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1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2"/>
        <w:ind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特别说明：</w:t>
      </w:r>
      <w:r/>
    </w:p>
    <w:p>
      <w:pPr>
        <w:pStyle w:val="1142"/>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1.本章所有加★内容均为实质性要求，不接受负偏离（负偏离作无效投标处理）。</w:t>
      </w:r>
      <w:r/>
    </w:p>
    <w:p>
      <w:pPr>
        <w:pStyle w:val="1142"/>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2.采购人在项目实施过程中的要求，若项目实施管理过程中中标</w:t>
      </w:r>
      <w:r>
        <w:rPr>
          <w:rFonts w:hint="eastAsia" w:ascii="宋体" w:hAnsi="宋体" w:eastAsia="宋体" w:cs="宋体"/>
          <w:b/>
          <w:color w:val="auto"/>
          <w:sz w:val="24"/>
          <w:highlight w:val="none"/>
          <w:lang w:eastAsia="zh-CN"/>
        </w:rPr>
        <w:t xml:space="preserve">投标人</w:t>
      </w:r>
      <w:r>
        <w:rPr>
          <w:rFonts w:hint="eastAsia" w:ascii="宋体" w:hAnsi="宋体" w:eastAsia="宋体" w:cs="宋体"/>
          <w:b/>
          <w:color w:val="auto"/>
          <w:sz w:val="24"/>
          <w:highlight w:val="none"/>
        </w:rPr>
        <w:t xml:space="preserve">无法满足，采购人有权依据上述要求解除合同，具体由采购人在项目执行中负责解释及执行。</w:t>
      </w:r>
      <w:r/>
    </w:p>
    <w:p>
      <w:pPr>
        <w:pStyle w:val="1142"/>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3.如对采购需求有任何疑问，请在规定的截止时间前与采购人联系。</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ind w:firstLine="803"/>
        <w:jc w:val="center"/>
        <w:rPr>
          <w:rFonts w:hint="eastAsia" w:ascii="宋体" w:hAnsi="宋体" w:eastAsia="宋体" w:cs="宋体"/>
          <w:b/>
          <w:color w:val="auto"/>
          <w:sz w:val="40"/>
          <w:szCs w:val="40"/>
          <w:highlight w:val="none"/>
        </w:rPr>
        <w:outlineLvl w:val="0"/>
      </w:pPr>
      <w:r/>
      <w:bookmarkStart w:id="195" w:name="_Toc31220"/>
      <w:r/>
      <w:bookmarkStart w:id="196" w:name="_Toc8849"/>
      <w:r/>
      <w:bookmarkStart w:id="197" w:name="_Toc13863"/>
      <w:r/>
      <w:bookmarkStart w:id="198" w:name="_Toc30268"/>
      <w:r/>
      <w:bookmarkStart w:id="199" w:name="_Toc5832"/>
      <w:r/>
      <w:bookmarkStart w:id="200" w:name="_Toc16681"/>
      <w:r/>
      <w:bookmarkStart w:id="201" w:name="_Toc6551"/>
      <w:r/>
      <w:bookmarkStart w:id="202" w:name="_Toc13742"/>
      <w:r/>
      <w:bookmarkStart w:id="203" w:name="_Toc32113"/>
      <w:r/>
      <w:bookmarkStart w:id="204" w:name="_Toc4569"/>
      <w:r/>
      <w:bookmarkStart w:id="205" w:name="_Toc504141752"/>
      <w:r/>
      <w:bookmarkStart w:id="206" w:name="_Toc30773"/>
      <w:r/>
      <w:bookmarkStart w:id="207" w:name="_Toc13172"/>
      <w:r/>
      <w:bookmarkStart w:id="208" w:name="_Toc4314"/>
      <w:r/>
      <w:bookmarkStart w:id="209" w:name="_Toc19817"/>
      <w:r/>
      <w:bookmarkStart w:id="210" w:name="_Toc1652"/>
      <w:r/>
      <w:bookmarkStart w:id="211" w:name="_Toc17293"/>
      <w:r/>
      <w:bookmarkStart w:id="212" w:name="_Toc11253"/>
      <w:r/>
      <w:bookmarkStart w:id="213" w:name="_Toc12107"/>
      <w:r/>
      <w:bookmarkStart w:id="214" w:name="_Toc15479"/>
      <w:r/>
      <w:bookmarkStart w:id="215" w:name="_Toc18207"/>
      <w:r/>
      <w:bookmarkStart w:id="216" w:name="_Toc3709"/>
      <w:r/>
      <w:bookmarkStart w:id="217" w:name="_Toc27765"/>
      <w:r/>
      <w:bookmarkStart w:id="218" w:name="_Toc1897"/>
      <w:r/>
      <w:bookmarkStart w:id="219" w:name="_Toc16157"/>
      <w:r/>
      <w:bookmarkStart w:id="220" w:name="_Toc17373"/>
      <w:r/>
      <w:bookmarkStart w:id="221" w:name="_Toc16808"/>
      <w:r/>
      <w:bookmarkStart w:id="222" w:name="_Toc18780"/>
      <w:r/>
      <w:bookmarkStart w:id="223" w:name="_Toc10386"/>
      <w:r/>
      <w:bookmarkStart w:id="224" w:name="_Toc820"/>
      <w:r/>
      <w:bookmarkStart w:id="225" w:name="_Toc17626"/>
      <w:r/>
      <w:bookmarkStart w:id="226" w:name="_Toc7048"/>
      <w:r/>
      <w:bookmarkStart w:id="227" w:name="_Toc8137"/>
      <w:r/>
      <w:bookmarkStart w:id="228" w:name="_Toc116284544"/>
      <w:r/>
      <w:bookmarkStart w:id="229" w:name="_Toc26164"/>
      <w:r/>
      <w:bookmarkStart w:id="230" w:name="_Toc8952"/>
      <w:r/>
      <w:bookmarkStart w:id="231" w:name="_Toc19036"/>
      <w:r/>
      <w:bookmarkStart w:id="232" w:name="_Toc18521"/>
      <w:r/>
      <w:bookmarkStart w:id="233" w:name="_Toc7641"/>
      <w:r/>
      <w:bookmarkStart w:id="234" w:name="_Toc2495"/>
      <w:r/>
      <w:bookmarkStart w:id="235" w:name="_Toc28526"/>
      <w:r/>
      <w:bookmarkStart w:id="236" w:name="_Toc31165"/>
      <w:r/>
      <w:bookmarkStart w:id="237" w:name="_Toc4079"/>
      <w:r/>
      <w:bookmarkStart w:id="238" w:name="_Toc4378"/>
      <w:r>
        <w:rPr>
          <w:rFonts w:hint="eastAsia" w:ascii="宋体" w:hAnsi="宋体" w:eastAsia="宋体" w:cs="宋体"/>
          <w:b/>
          <w:color w:val="auto"/>
          <w:sz w:val="40"/>
          <w:szCs w:val="40"/>
          <w:highlight w:val="none"/>
        </w:rPr>
        <w:t xml:space="preserve">第五章 政府采购合同格式</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ind w:left="630" w:firstLine="1265"/>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ind w:left="630" w:firstLine="1265"/>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883"/>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1040"/>
        <w:jc w:val="center"/>
        <w:spacing w:line="360" w:lineRule="auto"/>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lang w:val="zh-CN"/>
        </w:rPr>
        <w:t xml:space="preserve">政府采购合同</w:t>
      </w:r>
      <w:r/>
    </w:p>
    <w:p>
      <w:pPr>
        <w:ind w:firstLine="640"/>
        <w:jc w:val="center"/>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（供参考）</w:t>
      </w:r>
      <w:r/>
    </w:p>
    <w:p>
      <w:pPr>
        <w:ind w:firstLine="640"/>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ind w:firstLine="640"/>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ind w:firstLine="720"/>
        <w:spacing w:line="360" w:lineRule="auto"/>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r>
      <w:r/>
    </w:p>
    <w:p>
      <w:pPr>
        <w:ind w:firstLine="720"/>
        <w:spacing w:line="360" w:lineRule="auto"/>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r>
      <w:r/>
    </w:p>
    <w:p>
      <w:pPr>
        <w:ind w:left="821" w:firstLine="720"/>
        <w:spacing w:line="360" w:lineRule="auto"/>
        <w:rPr>
          <w:rFonts w:hint="eastAsia" w:ascii="宋体" w:hAnsi="宋体" w:eastAsia="宋体" w:cs="宋体"/>
          <w:color w:val="auto"/>
          <w:sz w:val="36"/>
          <w:szCs w:val="36"/>
          <w:highlight w:val="none"/>
          <w:u w:val="single"/>
          <w:lang w:val="zh-CN"/>
        </w:rPr>
      </w:pPr>
      <w:r>
        <w:rPr>
          <w:rFonts w:hint="eastAsia" w:ascii="宋体" w:hAnsi="宋体" w:eastAsia="宋体" w:cs="宋体"/>
          <w:color w:val="auto"/>
          <w:sz w:val="36"/>
          <w:szCs w:val="36"/>
          <w:highlight w:val="none"/>
          <w:lang w:val="zh-CN"/>
        </w:rPr>
        <w:t xml:space="preserve">项目名称 ：</w:t>
      </w:r>
      <w:r>
        <w:rPr>
          <w:rFonts w:hint="eastAsia" w:ascii="宋体" w:hAnsi="宋体" w:cs="宋体"/>
          <w:color w:val="auto"/>
          <w:sz w:val="36"/>
          <w:szCs w:val="36"/>
          <w:highlight w:val="none"/>
          <w:u w:val="single"/>
          <w:lang w:val="zh-CN"/>
        </w:rPr>
        <w:t xml:space="preserve">南京市公安局江宁分局交警大队采购道路漆划线及交通设施维护服务</w:t>
      </w:r>
      <w:r/>
    </w:p>
    <w:p>
      <w:pPr>
        <w:ind w:left="821" w:firstLine="720"/>
        <w:spacing w:line="360" w:lineRule="auto"/>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rPr>
        <w:t xml:space="preserve">项目编号</w:t>
      </w:r>
      <w:r>
        <w:rPr>
          <w:rFonts w:hint="eastAsia" w:ascii="宋体" w:hAnsi="宋体" w:eastAsia="宋体" w:cs="宋体"/>
          <w:color w:val="auto"/>
          <w:sz w:val="36"/>
          <w:szCs w:val="36"/>
          <w:highlight w:val="none"/>
          <w:lang w:val="zh-CN"/>
        </w:rPr>
        <w:t xml:space="preserve">：</w:t>
      </w:r>
      <w:r>
        <w:rPr>
          <w:rFonts w:hint="eastAsia" w:ascii="宋体" w:hAnsi="宋体" w:cs="宋体"/>
          <w:color w:val="auto"/>
          <w:sz w:val="36"/>
          <w:szCs w:val="36"/>
          <w:highlight w:val="none"/>
          <w:u w:val="single"/>
          <w:lang w:val="zh-CN"/>
        </w:rPr>
        <w:t xml:space="preserve">JSZC-320115-NJLX-G2026-0006</w:t>
      </w:r>
      <w:r/>
    </w:p>
    <w:p>
      <w:pPr>
        <w:ind w:left="821" w:firstLine="720"/>
        <w:spacing w:line="360" w:lineRule="auto"/>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 xml:space="preserve">使用单位 ：</w:t>
      </w:r>
      <w:r/>
    </w:p>
    <w:p>
      <w:pPr>
        <w:ind w:left="821" w:firstLine="720"/>
        <w:spacing w:line="360" w:lineRule="auto"/>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 xml:space="preserve">供货单位 ：</w:t>
      </w:r>
      <w:r/>
    </w:p>
    <w:p>
      <w:pPr>
        <w:ind w:left="821" w:firstLine="720"/>
        <w:spacing w:line="360" w:lineRule="auto"/>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 xml:space="preserve">签订日期 ：</w:t>
      </w:r>
      <w:r/>
    </w:p>
    <w:p>
      <w:pPr>
        <w:ind w:firstLine="640"/>
        <w:jc w:val="center"/>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18"/>
        <w:ind w:left="603" w:hanging="183"/>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643"/>
        <w:jc w:val="center"/>
        <w:spacing w:line="360" w:lineRule="auto"/>
        <w:rPr>
          <w:rFonts w:hint="eastAsia" w:ascii="宋体" w:hAnsi="宋体" w:eastAsia="宋体" w:cs="宋体"/>
          <w:b/>
          <w:bCs/>
          <w:color w:val="auto"/>
          <w:sz w:val="32"/>
          <w:szCs w:val="32"/>
          <w:highlight w:val="none"/>
        </w:rPr>
      </w:pPr>
      <w:r/>
      <w:bookmarkStart w:id="239" w:name="_Hlt460313659"/>
      <w:r/>
      <w:bookmarkEnd w:id="239"/>
      <w:r/>
      <w:bookmarkStart w:id="240" w:name="_Hlt460313661"/>
      <w:r/>
      <w:bookmarkEnd w:id="240"/>
      <w:r>
        <w:rPr>
          <w:rFonts w:hint="eastAsia" w:ascii="宋体" w:hAnsi="宋体" w:eastAsia="宋体" w:cs="宋体"/>
          <w:b/>
          <w:bCs/>
          <w:color w:val="auto"/>
          <w:sz w:val="32"/>
          <w:szCs w:val="32"/>
          <w:highlight w:val="none"/>
        </w:rPr>
        <w:t xml:space="preserve">政府采购合同</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（具体合同条款由采购人和</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依据招投标文件拟定，本件仅供格式参考）</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采购人：（以下称甲方）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住所地：</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：（以下称乙方）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住所地：</w:t>
      </w:r>
      <w:r/>
    </w:p>
    <w:p>
      <w:pPr>
        <w:pStyle w:val="814"/>
        <w:ind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甲、乙双方根据的</w:t>
      </w:r>
      <w:r>
        <w:rPr>
          <w:rFonts w:hint="eastAsia" w:hAnsi="宋体" w:cs="宋体"/>
          <w:color w:val="auto"/>
          <w:sz w:val="21"/>
          <w:szCs w:val="21"/>
          <w:highlight w:val="none"/>
          <w:u w:val="single"/>
          <w:lang w:eastAsia="zh-CN"/>
        </w:rPr>
        <w:t xml:space="preserve">南京市公安局江宁分局交警大队采购道路漆划线及交通设施维护服务</w:t>
      </w:r>
      <w:r>
        <w:rPr>
          <w:rFonts w:hint="eastAsia" w:ascii="宋体" w:hAnsi="宋体" w:eastAsia="宋体" w:cs="宋体"/>
          <w:color w:val="auto"/>
          <w:sz w:val="21"/>
          <w:szCs w:val="21"/>
          <w:highlight w:val="none"/>
        </w:rPr>
        <w:t xml:space="preserve">公开招标的结果，签署本合同。</w:t>
      </w:r>
      <w:r/>
    </w:p>
    <w:p>
      <w:pPr>
        <w:pStyle w:val="814"/>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一、合同内容</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标的名称：详见招标文件</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标的数量（规模）：详见招标文件</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履行时间（期限）：详见招标文件</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履行地点：详见招标文件</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履行方式：详见招标文件</w:t>
      </w:r>
      <w:r/>
    </w:p>
    <w:p>
      <w:pPr>
        <w:pStyle w:val="814"/>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二、合同金额</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本合同项下</w:t>
      </w:r>
      <w:r>
        <w:rPr>
          <w:rFonts w:hint="eastAsia" w:ascii="宋体" w:hAnsi="宋体" w:eastAsia="宋体" w:cs="宋体"/>
          <w:color w:val="auto"/>
          <w:sz w:val="21"/>
          <w:szCs w:val="21"/>
          <w:highlight w:val="none"/>
          <w:lang w:val="en-US" w:eastAsia="zh-CN"/>
        </w:rPr>
        <w:t xml:space="preserve">加权平均</w:t>
      </w:r>
      <w:r>
        <w:rPr>
          <w:rFonts w:hint="eastAsia" w:ascii="宋体" w:hAnsi="宋体" w:eastAsia="宋体" w:cs="宋体"/>
          <w:color w:val="auto"/>
          <w:sz w:val="21"/>
          <w:szCs w:val="21"/>
          <w:highlight w:val="none"/>
        </w:rPr>
        <w:t xml:space="preserve">综合单价为</w:t>
      </w:r>
      <w:r>
        <w:rPr>
          <w:rFonts w:hint="eastAsia" w:ascii="宋体" w:hAnsi="宋体" w:eastAsia="宋体" w:cs="宋体"/>
          <w:color w:val="auto"/>
          <w:sz w:val="21"/>
          <w:szCs w:val="21"/>
          <w:highlight w:val="none"/>
          <w:u w:val="single"/>
        </w:rPr>
        <w:t xml:space="preserve">人民币              元</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rPr>
        <w:t xml:space="preserve">¥               元</w:t>
      </w:r>
      <w:r>
        <w:rPr>
          <w:rFonts w:hint="eastAsia" w:ascii="宋体" w:hAnsi="宋体" w:eastAsia="宋体" w:cs="宋体"/>
          <w:color w:val="auto"/>
          <w:sz w:val="21"/>
          <w:szCs w:val="21"/>
          <w:highlight w:val="none"/>
        </w:rPr>
        <w:t xml:space="preserve">）。总合同价款不超过预算 </w:t>
      </w:r>
      <w:r>
        <w:rPr>
          <w:rFonts w:hint="eastAsia" w:ascii="宋体" w:hAnsi="宋体" w:eastAsia="宋体" w:cs="宋体"/>
          <w:color w:val="auto"/>
          <w:sz w:val="21"/>
          <w:szCs w:val="21"/>
          <w:highlight w:val="none"/>
          <w:u w:val="single"/>
          <w:lang w:val="en-US" w:eastAsia="zh-CN"/>
        </w:rPr>
        <w:t xml:space="preserve">壹佰捌拾伍万元整</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u w:val="single"/>
          <w:lang w:val="en-US" w:eastAsia="zh-CN"/>
        </w:rPr>
        <w:t xml:space="preserve">1850000</w:t>
      </w:r>
      <w:r>
        <w:rPr>
          <w:rFonts w:hint="eastAsia" w:ascii="宋体" w:hAnsi="宋体" w:eastAsia="宋体" w:cs="宋体"/>
          <w:color w:val="auto"/>
          <w:sz w:val="21"/>
          <w:szCs w:val="21"/>
          <w:highlight w:val="none"/>
        </w:rPr>
        <w:t xml:space="preserve">元）。</w:t>
      </w:r>
      <w:r/>
    </w:p>
    <w:p>
      <w:pPr>
        <w:pStyle w:val="814"/>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三、技术资料</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乙方应按招标文件规定的时间向甲方提供服务（包含与服务相关的货物）的有关技术资料。</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14"/>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四、知识产权</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814"/>
        <w:ind w:firstLine="422"/>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五、产权担保</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乙方保证所交付的服务（包含与服务相关的货物）的所有权完全属于乙方且无任何抵押、查封等产权瑕疵。</w:t>
      </w:r>
      <w:r/>
    </w:p>
    <w:p>
      <w:pPr>
        <w:pStyle w:val="814"/>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六、履约保证金</w:t>
      </w:r>
      <w:r/>
    </w:p>
    <w:p>
      <w:pPr>
        <w:ind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本项目无需缴纳履约保证金。</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七、合同转包或分包</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乙方不得将合同标的转包给他人履行。</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未经甲方同意，乙方不得将合同标的分包给他人履行。</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乙方如有转包或未经甲方同意的分包行为，甲方有权解除合同。</w:t>
      </w:r>
      <w:r/>
    </w:p>
    <w:p>
      <w:pPr>
        <w:pStyle w:val="814"/>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八、合同款项支付</w:t>
      </w:r>
      <w:r/>
    </w:p>
    <w:p>
      <w:pPr>
        <w:pStyle w:val="814"/>
        <w:ind w:firstLine="420"/>
        <w:spacing w:line="360" w:lineRule="auto"/>
        <w:rPr>
          <w:rFonts w:hint="eastAsia" w:hAnsi="宋体" w:cs="宋体"/>
          <w:highlight w:val="none"/>
        </w:rPr>
      </w:pPr>
      <w:r>
        <w:rPr>
          <w:rFonts w:hint="eastAsia" w:hAnsi="宋体" w:cs="宋体"/>
          <w:highlight w:val="none"/>
        </w:rPr>
        <w:t xml:space="preserve">8.1合同款项的支付方式及时间 </w:t>
      </w:r>
      <w:r/>
    </w:p>
    <w:p>
      <w:pPr>
        <w:pStyle w:val="814"/>
        <w:ind w:firstLine="420"/>
        <w:spacing w:line="360" w:lineRule="auto"/>
        <w:rPr>
          <w:rFonts w:hint="eastAsia" w:hAnsi="宋体" w:cs="宋体"/>
          <w:highlight w:val="none"/>
        </w:rPr>
      </w:pPr>
      <w:r>
        <w:rPr>
          <w:rFonts w:hint="eastAsia" w:hAnsi="宋体" w:cs="宋体"/>
          <w:highlight w:val="none"/>
        </w:rPr>
        <w:t xml:space="preserve">8.1.1预付款：合同签订后的三个月内支付合同价款的50%。</w:t>
      </w:r>
      <w:r/>
    </w:p>
    <w:p>
      <w:pPr>
        <w:pStyle w:val="814"/>
        <w:ind w:firstLine="420"/>
        <w:spacing w:line="360" w:lineRule="auto"/>
        <w:rPr>
          <w:rFonts w:hAnsi="宋体" w:cs="宋体"/>
          <w:highlight w:val="none"/>
        </w:rPr>
      </w:pPr>
      <w:r>
        <w:rPr>
          <w:rFonts w:hint="eastAsia" w:hAnsi="宋体" w:cs="宋体"/>
          <w:highlight w:val="none"/>
        </w:rPr>
        <w:t xml:space="preserve">8.1.2施工费用按固定单价，工程量按实结算。合同期满经采购人验收合格后，中标人提交结算资料，经采购人委托的审计部门审计结束后，30日内支付工程款。付款时乙方应当提供正规发票作为甲方支付款项的前提条件。审计核减率超过（含）5%的，审计费用一律由投标人承担；核减率达5%以下的由采购人承担。</w:t>
      </w:r>
      <w:r/>
    </w:p>
    <w:p>
      <w:pPr>
        <w:pStyle w:val="837"/>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8.2根据工业和信息化部关于印发《保障中小企业款项支付投诉处理暂行办法》的通知（工信部企业〔2021〕224 号），采购人未按合同约定支付款项的，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可以向有关部门投诉。</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九、税费</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本合同执行中相关的一切税费均由乙方负担。</w:t>
      </w:r>
      <w:r/>
    </w:p>
    <w:p>
      <w:pPr>
        <w:pStyle w:val="814"/>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十、项目验收</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甲方依法组织履约验收工作。</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对于实际使用人和甲方分离的项目，甲方邀请实际使用人参与验收。</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如有必要，甲方邀请参加本项目的其他</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或第三方专业机构及专家参与验收，相关意见将作为验收书的参考资料。</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14"/>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十一、违约责任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甲方无正当理由拒绝接受乙方提供服务的，应向乙方偿付拒绝接受服务合同总额</w:t>
      </w:r>
      <w:bookmarkStart w:id="241" w:name="_Hlk178328019"/>
      <w:r>
        <w:rPr>
          <w:rFonts w:hint="eastAsia" w:ascii="宋体" w:hAnsi="宋体" w:eastAsia="宋体" w:cs="宋体"/>
          <w:color w:val="auto"/>
          <w:sz w:val="21"/>
          <w:szCs w:val="21"/>
          <w:highlight w:val="none"/>
          <w:u w:val="single"/>
        </w:rPr>
        <w:t xml:space="preserve"> 5% </w:t>
      </w:r>
      <w:bookmarkEnd w:id="241"/>
      <w:r>
        <w:rPr>
          <w:rFonts w:hint="eastAsia" w:ascii="宋体" w:hAnsi="宋体" w:eastAsia="宋体" w:cs="宋体"/>
          <w:color w:val="auto"/>
          <w:sz w:val="21"/>
          <w:szCs w:val="21"/>
          <w:highlight w:val="none"/>
        </w:rPr>
        <w:t xml:space="preserve">的违约金。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甲方无故逾期验收和办理支付手续的，应按逾期付款总额每日</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向乙方支付违约金。但累计违约金总额不超过欠款总额的</w:t>
      </w:r>
      <w:r>
        <w:rPr>
          <w:rFonts w:hint="eastAsia" w:ascii="宋体" w:hAnsi="宋体" w:eastAsia="宋体" w:cs="宋体"/>
          <w:color w:val="auto"/>
          <w:sz w:val="21"/>
          <w:szCs w:val="21"/>
          <w:highlight w:val="none"/>
          <w:u w:val="single"/>
        </w:rPr>
        <w:t xml:space="preserve">5%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乙方逾期提供服务的，应按逾期提供服务合同总额每日</w:t>
      </w:r>
      <w:r>
        <w:rPr>
          <w:rFonts w:hint="eastAsia" w:ascii="宋体" w:hAnsi="宋体" w:eastAsia="宋体" w:cs="宋体"/>
          <w:color w:val="auto"/>
          <w:sz w:val="21"/>
          <w:szCs w:val="21"/>
          <w:highlight w:val="none"/>
          <w:u w:val="single"/>
        </w:rPr>
        <w:t xml:space="preserve"> 5‰</w:t>
      </w:r>
      <w:r>
        <w:rPr>
          <w:rFonts w:hint="eastAsia" w:ascii="宋体" w:hAnsi="宋体" w:eastAsia="宋体" w:cs="宋体"/>
          <w:color w:val="auto"/>
          <w:sz w:val="21"/>
          <w:szCs w:val="21"/>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eastAsia="宋体" w:cs="宋体"/>
          <w:color w:val="auto"/>
          <w:sz w:val="21"/>
          <w:szCs w:val="21"/>
          <w:highlight w:val="none"/>
          <w:u w:val="single"/>
        </w:rPr>
        <w:t xml:space="preserve">5% </w:t>
      </w:r>
      <w:r>
        <w:rPr>
          <w:rFonts w:hint="eastAsia" w:ascii="宋体" w:hAnsi="宋体" w:eastAsia="宋体" w:cs="宋体"/>
          <w:color w:val="auto"/>
          <w:sz w:val="21"/>
          <w:szCs w:val="21"/>
          <w:highlight w:val="none"/>
        </w:rPr>
        <w:t xml:space="preserve">的违约金。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14"/>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十二、不可抗力事件处理</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在合同有效期内，任何一方因不可抗力事件导致不能履行合同，则合同履行期可延长，其延长期与不可抗力影响期相同。</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不可抗力事件发生后，应立即通知对方，并寄送有关权威机构出具的证明。</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不可抗力事件延续120天以上，双方应通过友好协商，确定是否继续履行合同。</w:t>
      </w:r>
      <w:r/>
    </w:p>
    <w:p>
      <w:pPr>
        <w:pStyle w:val="814"/>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十三、解决争议的方法</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双方在签订、履行合同中所发生的一切争议，应通过友好协商解决。如协商不成，由甲方住所地人民法院管辖。</w:t>
      </w:r>
      <w:r/>
    </w:p>
    <w:p>
      <w:pPr>
        <w:pStyle w:val="814"/>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十四、合同生效及其它</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14.2本合同未尽事宜，遵照《中华人民共和国民法典》《中华人民共和国政府采购法》有关条文执行。</w:t>
      </w:r>
      <w:r/>
    </w:p>
    <w:p>
      <w:pPr>
        <w:pStyle w:val="814"/>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本合同正本一式两份，具有同等法律效力，甲方、乙方各执一份。</w:t>
      </w:r>
      <w:r/>
    </w:p>
    <w:tbl>
      <w:tblPr>
        <w:tblStyle w:val="79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textDirection w:val="lrTb"/>
            <w:noWrap w:val="false"/>
          </w:tcPr>
          <w:p>
            <w:pPr>
              <w:ind w:left="1680" w:hanging="168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甲方（采购人）：（盖章）</w:t>
            </w:r>
            <w:r/>
          </w:p>
          <w:p>
            <w:pPr>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w:t>
            </w:r>
            <w:r/>
          </w:p>
          <w:p>
            <w:pPr>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委托代理人：（签字或盖章）</w:t>
            </w:r>
            <w:r/>
          </w:p>
          <w:p>
            <w:pPr>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4501" w:type="dxa"/>
            <w:textDirection w:val="lrTb"/>
            <w:noWrap w:val="false"/>
          </w:tcPr>
          <w:p>
            <w:pPr>
              <w:ind w:left="1680" w:hanging="168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）：（盖章）</w:t>
            </w:r>
            <w:r/>
          </w:p>
          <w:p>
            <w:pPr>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w:t>
            </w:r>
            <w:r/>
          </w:p>
          <w:p>
            <w:pPr>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委托代理人：（签字或盖章）</w:t>
            </w:r>
            <w:r/>
          </w:p>
          <w:p>
            <w:pPr>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项目负责人：</w:t>
            </w:r>
            <w:r/>
          </w:p>
          <w:p>
            <w:pPr>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p>
          <w:p>
            <w:pPr>
              <w:ind w:left="1058" w:hanging="1058"/>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开户银行：</w:t>
            </w:r>
            <w:r/>
          </w:p>
          <w:p>
            <w:pPr>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账号：</w:t>
            </w:r>
            <w:r/>
          </w:p>
          <w:p>
            <w:pPr>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单位地址：</w:t>
            </w:r>
            <w:r/>
          </w:p>
        </w:tc>
      </w:tr>
    </w:tbl>
    <w:p>
      <w:pPr>
        <w:jc w:val="center"/>
        <w:spacing w:line="288" w:lineRule="auto"/>
        <w:rPr>
          <w:rFonts w:hint="eastAsia" w:ascii="宋体" w:hAnsi="宋体" w:eastAsia="宋体" w:cs="宋体"/>
          <w:b/>
          <w:color w:val="auto"/>
          <w:sz w:val="30"/>
          <w:highlight w:val="none"/>
        </w:rPr>
        <w:outlineLvl w:val="9"/>
      </w:pPr>
      <w:r>
        <w:rPr>
          <w:rFonts w:hint="eastAsia" w:ascii="宋体" w:hAnsi="宋体" w:eastAsia="宋体" w:cs="宋体"/>
          <w:b/>
          <w:color w:val="auto"/>
          <w:sz w:val="30"/>
          <w:highlight w:val="none"/>
        </w:rPr>
      </w:r>
      <w:r/>
    </w:p>
    <w:p>
      <w:pPr>
        <w:jc w:val="center"/>
        <w:spacing w:line="288" w:lineRule="auto"/>
        <w:rPr>
          <w:rFonts w:hint="eastAsia" w:ascii="宋体" w:hAnsi="宋体" w:eastAsia="宋体" w:cs="宋体"/>
          <w:b/>
          <w:color w:val="auto"/>
          <w:sz w:val="30"/>
          <w:highlight w:val="none"/>
        </w:rPr>
        <w:outlineLvl w:val="9"/>
      </w:pPr>
      <w:r>
        <w:rPr>
          <w:rFonts w:hint="eastAsia" w:ascii="宋体" w:hAnsi="宋体" w:eastAsia="宋体" w:cs="宋体"/>
          <w:b/>
          <w:color w:val="auto"/>
          <w:sz w:val="30"/>
          <w:highlight w:val="none"/>
        </w:rPr>
        <w:t xml:space="preserve">《*******合同》补充协议（合同附件）</w:t>
      </w:r>
      <w:r/>
    </w:p>
    <w:p>
      <w:pPr>
        <w:pStyle w:val="814"/>
        <w:jc w:val="left"/>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如遇招标文件及合同未约定事项，双方可友好协商签订补充协议。</w:t>
      </w:r>
      <w:r/>
    </w:p>
    <w:p>
      <w:pPr>
        <w:pStyle w:val="789"/>
        <w:ind w:firstLine="602"/>
        <w:jc w:val="center"/>
        <w:spacing w:before="0" w:after="0" w:line="240" w:lineRule="auto"/>
        <w:rPr>
          <w:rFonts w:hint="eastAsia" w:ascii="宋体" w:hAnsi="宋体" w:eastAsia="宋体" w:cs="宋体"/>
          <w:color w:val="auto"/>
          <w:highlight w:val="none"/>
          <w:lang w:val="zh-CN"/>
        </w:rPr>
      </w:pPr>
      <w:r>
        <w:rPr>
          <w:rFonts w:hint="eastAsia" w:ascii="宋体" w:hAnsi="宋体" w:eastAsia="宋体" w:cs="宋体"/>
          <w:bCs w:val="0"/>
          <w:color w:val="auto"/>
          <w:sz w:val="30"/>
          <w:szCs w:val="30"/>
          <w:highlight w:val="none"/>
          <w:lang w:val="zh-CN"/>
        </w:rPr>
        <w:br w:type="page" w:clear="all"/>
      </w:r>
      <w:bookmarkStart w:id="242" w:name="_Toc6513"/>
      <w:r/>
      <w:bookmarkStart w:id="243" w:name="_Toc1431"/>
      <w:r/>
      <w:bookmarkStart w:id="244" w:name="_Toc32369"/>
      <w:r/>
      <w:bookmarkStart w:id="245" w:name="_Toc23073"/>
      <w:r/>
      <w:bookmarkStart w:id="246" w:name="_Toc21512"/>
      <w:r/>
      <w:bookmarkStart w:id="247" w:name="_Toc6119"/>
      <w:r/>
      <w:bookmarkStart w:id="248" w:name="_Toc30211"/>
      <w:r/>
      <w:bookmarkStart w:id="249" w:name="_Toc18610"/>
      <w:r/>
      <w:bookmarkStart w:id="250" w:name="_Toc12626"/>
      <w:r/>
      <w:bookmarkStart w:id="251" w:name="_Toc1077"/>
      <w:r/>
      <w:bookmarkStart w:id="252" w:name="_Toc22931"/>
      <w:r/>
      <w:bookmarkStart w:id="253" w:name="_Toc21402"/>
      <w:r/>
      <w:bookmarkStart w:id="254" w:name="_Toc22571"/>
      <w:r/>
      <w:bookmarkStart w:id="255" w:name="_Toc15415"/>
      <w:r/>
      <w:bookmarkStart w:id="256" w:name="_Toc10123"/>
      <w:r/>
      <w:bookmarkStart w:id="257" w:name="_Toc25443"/>
      <w:r/>
      <w:bookmarkStart w:id="258" w:name="_Toc15166"/>
      <w:r/>
      <w:bookmarkStart w:id="259" w:name="_Toc19396"/>
      <w:r/>
      <w:bookmarkStart w:id="260" w:name="_Toc7207"/>
      <w:r/>
      <w:bookmarkStart w:id="261" w:name="_Toc32522"/>
      <w:r/>
      <w:bookmarkStart w:id="262" w:name="_Toc11794"/>
      <w:r/>
      <w:bookmarkStart w:id="263" w:name="_Toc116284545"/>
      <w:r/>
      <w:bookmarkStart w:id="264" w:name="_Toc3387"/>
      <w:r/>
      <w:bookmarkStart w:id="265" w:name="_Toc31543"/>
      <w:r/>
      <w:bookmarkStart w:id="266" w:name="_Toc20869"/>
      <w:r/>
      <w:bookmarkStart w:id="267" w:name="_Toc5814"/>
      <w:r/>
      <w:bookmarkStart w:id="268" w:name="_Toc32321"/>
      <w:r/>
      <w:bookmarkStart w:id="269" w:name="_Toc28150"/>
      <w:r/>
      <w:bookmarkStart w:id="270" w:name="_Toc11931"/>
      <w:r/>
      <w:bookmarkStart w:id="271" w:name="_Toc7016"/>
      <w:r/>
      <w:bookmarkStart w:id="272" w:name="_Toc11783"/>
      <w:r/>
      <w:bookmarkStart w:id="273" w:name="_Toc13474"/>
      <w:r/>
      <w:bookmarkStart w:id="274" w:name="_Toc27698"/>
      <w:r>
        <w:rPr>
          <w:rFonts w:hint="eastAsia" w:ascii="宋体" w:hAnsi="宋体" w:eastAsia="宋体" w:cs="宋体"/>
          <w:bCs w:val="0"/>
          <w:color w:val="auto"/>
          <w:sz w:val="30"/>
          <w:szCs w:val="30"/>
          <w:highlight w:val="none"/>
          <w:lang w:val="zh-CN"/>
        </w:rPr>
        <w:t xml:space="preserve">第六章 </w:t>
      </w:r>
      <w:r>
        <w:rPr>
          <w:rFonts w:hint="eastAsia" w:ascii="宋体" w:hAnsi="宋体" w:eastAsia="宋体" w:cs="宋体"/>
          <w:bCs w:val="0"/>
          <w:color w:val="auto"/>
          <w:sz w:val="30"/>
          <w:szCs w:val="30"/>
          <w:highlight w:val="none"/>
        </w:rPr>
        <w:t xml:space="preserve">投标书</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602"/>
        <w:jc w:val="center"/>
        <w:spacing w:line="360" w:lineRule="auto"/>
        <w:rPr>
          <w:rFonts w:hint="eastAsia" w:ascii="宋体" w:hAnsi="宋体" w:eastAsia="宋体" w:cs="宋体"/>
          <w:b/>
          <w:bCs/>
          <w:color w:val="auto"/>
          <w:sz w:val="30"/>
          <w:szCs w:val="30"/>
          <w:highlight w:val="none"/>
          <w:lang w:val="zh-CN"/>
        </w:rPr>
      </w:pPr>
      <w:r>
        <w:rPr>
          <w:rFonts w:hint="eastAsia" w:ascii="宋体" w:hAnsi="宋体" w:eastAsia="宋体" w:cs="宋体"/>
          <w:b/>
          <w:bCs/>
          <w:color w:val="auto"/>
          <w:sz w:val="30"/>
          <w:szCs w:val="30"/>
          <w:highlight w:val="none"/>
          <w:lang w:val="zh-CN"/>
        </w:rPr>
      </w:r>
      <w:r/>
    </w:p>
    <w:p>
      <w:pPr>
        <w:ind w:firstLine="602"/>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92"/>
        <w:rPr>
          <w:rFonts w:hint="eastAsia" w:ascii="宋体" w:hAnsi="宋体" w:eastAsia="宋体" w:cs="宋体"/>
          <w:highlight w:val="none"/>
        </w:rPr>
      </w:pPr>
      <w:r>
        <w:rPr>
          <w:rFonts w:hint="eastAsia" w:ascii="宋体" w:hAnsi="宋体" w:eastAsia="宋体" w:cs="宋体"/>
          <w:highlight w:val="none"/>
        </w:rPr>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3"/>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ind w:firstLine="560"/>
        <w:jc w:val="center"/>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ind w:firstLine="560"/>
        <w:jc w:val="center"/>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jc w:val="center"/>
        <w:spacing w:line="360" w:lineRule="auto"/>
        <w:rPr>
          <w:rFonts w:hint="eastAsia" w:ascii="宋体" w:hAnsi="宋体" w:eastAsia="宋体" w:cs="宋体"/>
          <w:bCs/>
          <w:color w:val="auto"/>
          <w:sz w:val="84"/>
          <w:szCs w:val="84"/>
          <w:highlight w:val="none"/>
          <w:lang w:val="zh-CN" w:eastAsia="zh-CN"/>
        </w:rPr>
      </w:pPr>
      <w:r>
        <w:rPr>
          <w:rFonts w:hint="eastAsia" w:ascii="宋体" w:hAnsi="宋体" w:eastAsia="宋体" w:cs="宋体"/>
          <w:bCs/>
          <w:color w:val="auto"/>
          <w:sz w:val="84"/>
          <w:szCs w:val="84"/>
          <w:highlight w:val="none"/>
          <w:lang w:val="zh-CN"/>
        </w:rPr>
        <w:t xml:space="preserve">投标</w:t>
      </w:r>
      <w:r>
        <w:rPr>
          <w:rFonts w:hint="eastAsia" w:ascii="宋体" w:hAnsi="宋体" w:eastAsia="宋体" w:cs="宋体"/>
          <w:bCs/>
          <w:color w:val="auto"/>
          <w:sz w:val="84"/>
          <w:szCs w:val="84"/>
          <w:highlight w:val="none"/>
          <w:lang w:val="en-US" w:eastAsia="zh-CN"/>
        </w:rPr>
        <w:t xml:space="preserve">文件</w:t>
      </w:r>
      <w:r/>
    </w:p>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（请在此位置标明“正本”或“副本”字样）</w:t>
      </w:r>
      <w:r/>
    </w:p>
    <w:p>
      <w:pPr>
        <w:ind w:firstLine="723"/>
        <w:jc w:val="center"/>
        <w:spacing w:line="360" w:lineRule="auto"/>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r>
      <w:r/>
    </w:p>
    <w:p>
      <w:pPr>
        <w:spacing w:line="360" w:lineRule="auto"/>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lang w:val="zh-CN"/>
        </w:rPr>
      </w:r>
      <w:r/>
    </w:p>
    <w:p>
      <w:pPr>
        <w:pStyle w:val="792"/>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lang w:val="zh-CN"/>
        </w:rPr>
      </w:r>
      <w:r/>
    </w:p>
    <w:p>
      <w:pPr>
        <w:rPr>
          <w:rFonts w:hint="eastAsia" w:ascii="宋体" w:hAnsi="宋体" w:eastAsia="宋体" w:cs="宋体"/>
          <w:highlight w:val="none"/>
          <w:lang w:val="zh-CN"/>
        </w:rPr>
      </w:pPr>
      <w:r>
        <w:rPr>
          <w:rFonts w:hint="eastAsia" w:ascii="宋体" w:hAnsi="宋体" w:eastAsia="宋体" w:cs="宋体"/>
          <w:highlight w:val="none"/>
          <w:lang w:val="zh-CN"/>
        </w:rPr>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zh-CN"/>
        </w:rPr>
        <w:t xml:space="preserve">项目名称 ：</w:t>
      </w:r>
      <w:r>
        <w:rPr>
          <w:rFonts w:hint="eastAsia" w:ascii="宋体" w:hAnsi="宋体" w:cs="宋体"/>
          <w:color w:val="auto"/>
          <w:sz w:val="30"/>
          <w:szCs w:val="30"/>
          <w:highlight w:val="none"/>
          <w:u w:val="single"/>
          <w:lang w:val="zh-CN"/>
        </w:rPr>
        <w:t xml:space="preserve">南京市公安局江宁分局交警大队采购道路漆划线及交通设施维护服务</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val="zh-CN"/>
        </w:rPr>
        <w:t xml:space="preserve">：</w:t>
      </w:r>
      <w:r>
        <w:rPr>
          <w:rFonts w:hint="eastAsia" w:ascii="宋体" w:hAnsi="宋体" w:cs="宋体"/>
          <w:color w:val="auto"/>
          <w:sz w:val="30"/>
          <w:szCs w:val="30"/>
          <w:highlight w:val="none"/>
          <w:u w:val="single"/>
          <w:lang w:val="zh-CN"/>
        </w:rPr>
        <w:t xml:space="preserve">JSZC-320115-NJLX-G2026-0006</w:t>
      </w:r>
      <w:r/>
    </w:p>
    <w:p>
      <w:pPr>
        <w:spacing w:line="360" w:lineRule="auto"/>
        <w:rPr>
          <w:rFonts w:hint="eastAsia" w:ascii="宋体" w:hAnsi="宋体" w:eastAsia="宋体" w:cs="宋体"/>
          <w:color w:val="auto"/>
          <w:sz w:val="30"/>
          <w:szCs w:val="30"/>
          <w:highlight w:val="none"/>
          <w:lang w:val="zh-CN"/>
        </w:rPr>
      </w:pPr>
      <w:r>
        <w:rPr>
          <w:rFonts w:hint="eastAsia" w:ascii="宋体" w:hAnsi="宋体" w:eastAsia="宋体" w:cs="宋体"/>
          <w:bCs/>
          <w:color w:val="auto"/>
          <w:sz w:val="30"/>
          <w:szCs w:val="30"/>
          <w:highlight w:val="none"/>
          <w:lang w:val="zh-CN"/>
        </w:rPr>
        <w:t xml:space="preserve">投 标 人：</w:t>
      </w:r>
      <w:r/>
    </w:p>
    <w:p>
      <w:pPr>
        <w:spacing w:line="360" w:lineRule="auto"/>
        <w:tabs>
          <w:tab w:val="left" w:pos="1325" w:leader="none"/>
        </w:tabs>
        <w:rPr>
          <w:rFonts w:hint="eastAsia" w:ascii="宋体" w:hAnsi="宋体" w:eastAsia="宋体" w:cs="宋体"/>
          <w:bCs/>
          <w:color w:val="auto"/>
          <w:sz w:val="30"/>
          <w:szCs w:val="30"/>
          <w:highlight w:val="none"/>
          <w:lang w:val="zh-CN"/>
        </w:rPr>
      </w:pPr>
      <w:r>
        <w:rPr>
          <w:rFonts w:hint="eastAsia" w:ascii="宋体" w:hAnsi="宋体" w:eastAsia="宋体" w:cs="宋体"/>
          <w:bCs/>
          <w:color w:val="auto"/>
          <w:sz w:val="30"/>
          <w:szCs w:val="30"/>
          <w:highlight w:val="none"/>
          <w:lang w:val="zh-CN"/>
        </w:rPr>
        <w:t xml:space="preserve">投标人地址：</w:t>
      </w:r>
      <w:r/>
    </w:p>
    <w:p>
      <w:pPr>
        <w:ind w:firstLine="720"/>
        <w:spacing w:line="360" w:lineRule="auto"/>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CN"/>
        </w:rPr>
        <w:t xml:space="preserve">年月日</w:t>
      </w:r>
      <w:r>
        <w:rPr>
          <w:rFonts w:hint="eastAsia" w:ascii="宋体" w:hAnsi="宋体" w:eastAsia="宋体" w:cs="宋体"/>
          <w:b/>
          <w:bCs/>
          <w:color w:val="auto"/>
          <w:sz w:val="32"/>
          <w:szCs w:val="32"/>
          <w:highlight w:val="none"/>
        </w:rPr>
        <w:br w:type="page" w:clear="all"/>
      </w:r>
      <w:r/>
    </w:p>
    <w:p>
      <w:pPr>
        <w:jc w:val="center"/>
        <w:widowControl/>
        <w:rPr>
          <w:rFonts w:hint="eastAsia" w:ascii="宋体" w:hAnsi="宋体" w:eastAsia="宋体" w:cs="宋体"/>
          <w:b/>
          <w:color w:val="auto"/>
          <w:sz w:val="28"/>
          <w:szCs w:val="28"/>
          <w:highlight w:val="none"/>
        </w:rPr>
        <w:outlineLvl w:val="1"/>
      </w:pPr>
      <w:r/>
      <w:bookmarkStart w:id="275" w:name="_Toc24030"/>
      <w:r/>
      <w:bookmarkStart w:id="276" w:name="_Toc32174"/>
      <w:r/>
      <w:bookmarkStart w:id="277" w:name="_Toc116284547"/>
      <w:r/>
      <w:bookmarkStart w:id="278" w:name="_Toc17432"/>
      <w:r/>
      <w:bookmarkStart w:id="279" w:name="_Toc17161"/>
      <w:r/>
      <w:bookmarkStart w:id="280" w:name="_Toc6383"/>
      <w:r/>
      <w:bookmarkStart w:id="281" w:name="_Toc7719"/>
      <w:r/>
      <w:bookmarkStart w:id="282" w:name="_Toc3427"/>
      <w:r/>
      <w:bookmarkStart w:id="283" w:name="_Toc28133"/>
      <w:r/>
      <w:bookmarkStart w:id="284" w:name="_Toc15477"/>
      <w:r/>
      <w:bookmarkStart w:id="285" w:name="_Toc7747"/>
      <w:r/>
      <w:bookmarkStart w:id="286" w:name="_Toc23766"/>
      <w:r>
        <w:rPr>
          <w:rFonts w:hint="eastAsia" w:ascii="宋体" w:hAnsi="宋体" w:eastAsia="宋体" w:cs="宋体"/>
          <w:b/>
          <w:color w:val="auto"/>
          <w:sz w:val="28"/>
          <w:szCs w:val="28"/>
          <w:highlight w:val="none"/>
        </w:rPr>
        <w:t xml:space="preserve">商务部分</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spacing w:line="360" w:lineRule="auto"/>
        <w:rPr>
          <w:rFonts w:hint="eastAsia" w:ascii="宋体" w:hAnsi="宋体" w:eastAsia="宋体" w:cs="宋体"/>
          <w:b/>
          <w:bCs/>
          <w:color w:val="auto"/>
          <w:sz w:val="24"/>
          <w:highlight w:val="none"/>
          <w:lang w:val="zh-CN"/>
        </w:rPr>
        <w:outlineLvl w:val="2"/>
      </w:pPr>
      <w:r/>
      <w:bookmarkStart w:id="287" w:name="_Toc19346"/>
      <w:r/>
      <w:bookmarkStart w:id="288" w:name="_Toc9860"/>
      <w:r/>
      <w:bookmarkStart w:id="289" w:name="_Toc19388"/>
      <w:r/>
      <w:bookmarkStart w:id="290" w:name="_Toc20614"/>
      <w:r/>
      <w:bookmarkStart w:id="291" w:name="_Toc21332"/>
      <w:r/>
      <w:bookmarkStart w:id="292" w:name="_Toc17979"/>
      <w:r/>
      <w:bookmarkStart w:id="293" w:name="_Toc15125"/>
      <w:r/>
      <w:bookmarkStart w:id="294" w:name="_Toc28853"/>
      <w:r/>
      <w:bookmarkStart w:id="295" w:name="_Toc116284548"/>
      <w:r/>
      <w:bookmarkStart w:id="296" w:name="_Toc28723"/>
      <w:r/>
      <w:bookmarkStart w:id="297" w:name="_Toc21838"/>
      <w:r/>
      <w:bookmarkStart w:id="298" w:name="_Toc32007"/>
      <w:r/>
      <w:bookmarkStart w:id="299" w:name="_Toc11107"/>
      <w:r/>
      <w:bookmarkStart w:id="300" w:name="_Toc16232"/>
      <w:r/>
      <w:bookmarkStart w:id="301" w:name="_Toc8719"/>
      <w:r/>
      <w:bookmarkStart w:id="302" w:name="_Toc30074"/>
      <w:r/>
      <w:bookmarkStart w:id="303" w:name="_Toc14055"/>
      <w:r/>
      <w:bookmarkStart w:id="304" w:name="_Toc16457"/>
      <w:r/>
      <w:bookmarkStart w:id="305" w:name="_Toc7615"/>
      <w:r/>
      <w:bookmarkStart w:id="306" w:name="_Toc4111"/>
      <w:r/>
      <w:bookmarkStart w:id="307" w:name="_Toc4605"/>
      <w:r/>
      <w:bookmarkStart w:id="308" w:name="_Toc21307"/>
      <w:r/>
      <w:bookmarkStart w:id="309" w:name="_Toc6226"/>
      <w:r/>
      <w:bookmarkStart w:id="310" w:name="_Toc14690"/>
      <w:r/>
      <w:bookmarkStart w:id="311" w:name="_Toc7973"/>
      <w:r/>
      <w:bookmarkStart w:id="312" w:name="_Toc12810"/>
      <w:r>
        <w:rPr>
          <w:rFonts w:hint="eastAsia" w:ascii="宋体" w:hAnsi="宋体" w:eastAsia="宋体" w:cs="宋体"/>
          <w:b/>
          <w:bCs/>
          <w:color w:val="auto"/>
          <w:sz w:val="24"/>
          <w:highlight w:val="none"/>
          <w:lang w:val="zh-CN"/>
        </w:rPr>
        <w:t xml:space="preserve">一、投标申请及声明格式</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jc w:val="center"/>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 xml:space="preserve">投标申请及声明</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致：</w:t>
      </w:r>
      <w:r>
        <w:rPr>
          <w:rFonts w:hint="eastAsia" w:ascii="宋体" w:hAnsi="宋体" w:eastAsia="宋体" w:cs="宋体"/>
          <w:b/>
          <w:bCs/>
          <w:color w:val="auto"/>
          <w:szCs w:val="21"/>
          <w:highlight w:val="none"/>
          <w:lang w:eastAsia="zh-CN"/>
        </w:rPr>
        <w:t xml:space="preserve">南京市公安局江宁分局</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根据贵方</w:t>
      </w:r>
      <w:r>
        <w:rPr>
          <w:rFonts w:hint="eastAsia" w:ascii="宋体" w:hAnsi="宋体" w:cs="宋体"/>
          <w:color w:val="auto"/>
          <w:szCs w:val="21"/>
          <w:highlight w:val="none"/>
          <w:u w:val="single"/>
          <w:lang w:val="zh-CN"/>
        </w:rPr>
        <w:t xml:space="preserve">南京市公安局江宁分局交警大队采购道路漆划线及交通设施维护服务</w:t>
      </w: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u w:val="single"/>
          <w:lang w:eastAsia="zh-CN"/>
        </w:rPr>
        <w:t xml:space="preserve">JSZC-320115-NJLX-G2026-0006</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招标文件</w:t>
      </w:r>
      <w:r>
        <w:rPr>
          <w:rFonts w:hint="eastAsia" w:ascii="宋体" w:hAnsi="宋体" w:eastAsia="宋体" w:cs="宋体"/>
          <w:color w:val="auto"/>
          <w:szCs w:val="21"/>
          <w:highlight w:val="none"/>
          <w:lang w:val="zh-CN"/>
        </w:rPr>
        <w:t xml:space="preserve">邀请，正式授权下述签字人(姓名和职务)代表投标人（投标人名称），提交投标文件。</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据此函，签字人兹宣布声明和承诺如下：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b/>
          <w:color w:val="auto"/>
          <w:szCs w:val="21"/>
          <w:highlight w:val="none"/>
          <w:lang w:val="zh-CN"/>
        </w:rPr>
        <w:t xml:space="preserve">我们的资格条件完全符合政府采购法和本次招标要求</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rPr>
        <w:t xml:space="preserve">我们</w:t>
      </w:r>
      <w:r>
        <w:rPr>
          <w:rFonts w:hint="eastAsia" w:ascii="宋体" w:hAnsi="宋体" w:eastAsia="宋体" w:cs="宋体"/>
          <w:color w:val="auto"/>
          <w:szCs w:val="21"/>
          <w:highlight w:val="none"/>
          <w:lang w:val="zh-CN"/>
        </w:rPr>
        <w:t xml:space="preserve">同意并向贵方提供了与投标有关的所有证据和资料。</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2、根据已收到的招标文件，遵照规定，我单位经现场考察和认真研究上述招标文件后，愿以以下</w:t>
      </w:r>
      <w:r>
        <w:rPr>
          <w:rFonts w:hint="eastAsia" w:ascii="宋体" w:hAnsi="宋体" w:eastAsia="宋体" w:cs="宋体"/>
          <w:color w:val="auto"/>
          <w:highlight w:val="none"/>
          <w:lang w:val="en-US" w:eastAsia="zh-CN"/>
        </w:rPr>
        <w:t xml:space="preserve">价格</w:t>
      </w:r>
      <w:r>
        <w:rPr>
          <w:rFonts w:hint="eastAsia" w:ascii="宋体" w:hAnsi="宋体" w:eastAsia="宋体" w:cs="宋体"/>
          <w:color w:val="auto"/>
          <w:highlight w:val="none"/>
        </w:rPr>
        <w:t xml:space="preserve">作为投标报价：大写：</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元</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Cs w:val="21"/>
          <w:highlight w:val="none"/>
          <w:lang w:val="zh-CN"/>
        </w:rPr>
        <w:t xml:space="preserve">不对招标文件本身提出质疑</w:t>
      </w:r>
      <w:r>
        <w:rPr>
          <w:rFonts w:hint="eastAsia" w:ascii="宋体" w:hAnsi="宋体" w:eastAsia="宋体" w:cs="宋体"/>
          <w:color w:val="auto"/>
          <w:szCs w:val="21"/>
          <w:highlight w:val="none"/>
          <w:lang w:val="zh-CN"/>
        </w:rPr>
        <w:t xml:space="preserve">。否则，属于不诚信和故意扰乱政府采购活动行为，我们将无条件接受处罚。</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w:t>
      </w:r>
      <w:r>
        <w:rPr>
          <w:rFonts w:hint="eastAsia" w:ascii="宋体" w:hAnsi="宋体" w:eastAsia="宋体" w:cs="宋体"/>
          <w:color w:val="auto"/>
          <w:highlight w:val="none"/>
        </w:rPr>
        <w:t xml:space="preserve">投标截止时间结束后参加投标的</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不足三家的，或在评标期间出现符合专业条件的</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或者对招标文件作出实质响应的</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不足三家情形的，我们酌情决定是否参加当场变更的竞争性谈判或单一来源方式采购。</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6、一旦我方中标，我方将根据招标文件的规定严格履行合同，并保证于承诺的时间完成货物的配送等服务，交付采购人验收、使用。</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我方决不提供虚假材料谋取中标、决不采取不正当手段诋毁、排挤其他投标人、决不与采购人、其他投标人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8、与本投标有关的正式联系方式为：</w:t>
      </w:r>
      <w:r/>
    </w:p>
    <w:p>
      <w:pPr>
        <w:ind w:firstLine="42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地址：</w:t>
      </w:r>
      <w:r/>
    </w:p>
    <w:p>
      <w:pPr>
        <w:ind w:firstLine="42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电话：</w:t>
      </w:r>
      <w:r/>
    </w:p>
    <w:p>
      <w:pPr>
        <w:ind w:firstLine="42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传真：</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开户银行：</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银行账号：</w:t>
      </w:r>
      <w:r/>
    </w:p>
    <w:p>
      <w:pPr>
        <w:ind w:firstLine="42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投标人授权代表姓名：</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投标人名称：（电子签章）</w:t>
      </w:r>
      <w:r/>
    </w:p>
    <w:p>
      <w:pPr>
        <w:ind w:firstLine="420"/>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zh-CN"/>
        </w:rPr>
        <w:t xml:space="preserve">日期：年月日</w:t>
      </w:r>
      <w:r>
        <w:rPr>
          <w:rFonts w:hint="eastAsia" w:ascii="宋体" w:hAnsi="宋体" w:eastAsia="宋体" w:cs="宋体"/>
          <w:b/>
          <w:color w:val="auto"/>
          <w:szCs w:val="21"/>
          <w:highlight w:val="none"/>
        </w:rPr>
        <w:br w:type="page" w:clear="all"/>
      </w:r>
      <w:r/>
    </w:p>
    <w:p>
      <w:pPr>
        <w:spacing w:line="360" w:lineRule="auto"/>
        <w:rPr>
          <w:rFonts w:hint="eastAsia" w:ascii="宋体" w:hAnsi="宋体" w:eastAsia="宋体" w:cs="宋体"/>
          <w:b/>
          <w:bCs/>
          <w:color w:val="auto"/>
          <w:sz w:val="24"/>
          <w:highlight w:val="none"/>
        </w:rPr>
        <w:outlineLvl w:val="2"/>
      </w:pPr>
      <w:r/>
      <w:bookmarkStart w:id="313" w:name="_Toc14037"/>
      <w:r/>
      <w:bookmarkStart w:id="314" w:name="_Toc24433"/>
      <w:r/>
      <w:bookmarkStart w:id="315" w:name="_Toc27756"/>
      <w:r/>
      <w:bookmarkStart w:id="316" w:name="_Toc18092"/>
      <w:r/>
      <w:bookmarkStart w:id="317" w:name="_Toc15128"/>
      <w:r/>
      <w:bookmarkStart w:id="318" w:name="_Toc27160"/>
      <w:r/>
      <w:bookmarkStart w:id="319" w:name="_Toc25954"/>
      <w:r/>
      <w:bookmarkStart w:id="320" w:name="_Toc25651"/>
      <w:r/>
      <w:bookmarkStart w:id="321" w:name="_Toc4729"/>
      <w:r/>
      <w:bookmarkStart w:id="322" w:name="_Toc2764"/>
      <w:r/>
      <w:bookmarkStart w:id="323" w:name="_Toc25581"/>
      <w:r/>
      <w:bookmarkStart w:id="324" w:name="_Toc12838"/>
      <w:r/>
      <w:bookmarkStart w:id="325" w:name="_Toc9455"/>
      <w:r/>
      <w:bookmarkStart w:id="326" w:name="_Toc116284549"/>
      <w:r/>
      <w:bookmarkStart w:id="327" w:name="_Toc26837"/>
      <w:r/>
      <w:bookmarkStart w:id="328" w:name="_Toc25337"/>
      <w:r/>
      <w:bookmarkStart w:id="329" w:name="_Toc6266"/>
      <w:r/>
      <w:bookmarkStart w:id="330" w:name="_Toc372"/>
      <w:r/>
      <w:bookmarkStart w:id="331" w:name="_Toc30980"/>
      <w:r/>
      <w:bookmarkStart w:id="332" w:name="_Toc13662"/>
      <w:r/>
      <w:bookmarkStart w:id="333" w:name="_Toc19012"/>
      <w:r/>
      <w:bookmarkStart w:id="334" w:name="_Toc28539"/>
      <w:r/>
      <w:bookmarkStart w:id="335" w:name="_Toc27976"/>
      <w:r/>
      <w:bookmarkStart w:id="336" w:name="_Toc21952"/>
      <w:r/>
      <w:bookmarkStart w:id="337" w:name="_Toc20964"/>
      <w:r>
        <w:rPr>
          <w:rFonts w:hint="eastAsia" w:ascii="宋体" w:hAnsi="宋体" w:eastAsia="宋体" w:cs="宋体"/>
          <w:b/>
          <w:bCs/>
          <w:color w:val="auto"/>
          <w:sz w:val="24"/>
          <w:highlight w:val="none"/>
        </w:rPr>
        <w:t xml:space="preserve">二、法定代表人授权委托书格式</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22"/>
        <w:jc w:val="center"/>
        <w:spacing w:line="360" w:lineRule="auto"/>
        <w:widowControl/>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法定代表人授权委托书</w:t>
      </w:r>
      <w:r/>
    </w:p>
    <w:p>
      <w:pPr>
        <w:ind w:firstLine="422"/>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lang w:eastAsia="zh-CN"/>
        </w:rPr>
        <w:t xml:space="preserve">南京市公安局江宁分局</w:t>
      </w:r>
      <w:r>
        <w:rPr>
          <w:rFonts w:hint="eastAsia" w:ascii="宋体" w:hAnsi="宋体" w:eastAsia="宋体" w:cs="宋体"/>
          <w:color w:val="auto"/>
          <w:szCs w:val="21"/>
          <w:highlight w:val="none"/>
          <w:lang w:val="zh-CN"/>
        </w:rPr>
        <w:t xml:space="preserve">：</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本授权书声明：注册于</w:t>
      </w:r>
      <w:r>
        <w:rPr>
          <w:rFonts w:hint="eastAsia" w:ascii="宋体" w:hAnsi="宋体" w:eastAsia="宋体" w:cs="宋体"/>
          <w:color w:val="auto"/>
          <w:szCs w:val="21"/>
          <w:highlight w:val="none"/>
          <w:u w:val="single"/>
          <w:lang w:val="zh-CN"/>
        </w:rPr>
        <w:t xml:space="preserve">（投标人住址）</w:t>
      </w:r>
      <w:r>
        <w:rPr>
          <w:rFonts w:hint="eastAsia" w:ascii="宋体" w:hAnsi="宋体" w:eastAsia="宋体" w:cs="宋体"/>
          <w:color w:val="auto"/>
          <w:szCs w:val="21"/>
          <w:highlight w:val="none"/>
          <w:lang w:val="zh-CN"/>
        </w:rPr>
        <w:t xml:space="preserve">的</w:t>
      </w:r>
      <w:r>
        <w:rPr>
          <w:rFonts w:hint="eastAsia" w:ascii="宋体" w:hAnsi="宋体" w:eastAsia="宋体" w:cs="宋体"/>
          <w:color w:val="auto"/>
          <w:szCs w:val="21"/>
          <w:highlight w:val="none"/>
          <w:u w:val="single"/>
          <w:lang w:val="zh-CN"/>
        </w:rPr>
        <w:t xml:space="preserve">（投标人名称）</w:t>
      </w:r>
      <w:r>
        <w:rPr>
          <w:rFonts w:hint="eastAsia" w:ascii="宋体" w:hAnsi="宋体" w:eastAsia="宋体" w:cs="宋体"/>
          <w:color w:val="auto"/>
          <w:szCs w:val="21"/>
          <w:highlight w:val="none"/>
          <w:lang w:val="zh-CN"/>
        </w:rPr>
        <w:t xml:space="preserve">法定代表人</w:t>
      </w:r>
      <w:r>
        <w:rPr>
          <w:rFonts w:hint="eastAsia" w:ascii="宋体" w:hAnsi="宋体" w:eastAsia="宋体" w:cs="宋体"/>
          <w:color w:val="auto"/>
          <w:szCs w:val="21"/>
          <w:highlight w:val="none"/>
          <w:u w:val="single"/>
          <w:lang w:val="zh-CN"/>
        </w:rPr>
        <w:t xml:space="preserve">（法定代表人姓名、职务）</w:t>
      </w:r>
      <w:r>
        <w:rPr>
          <w:rFonts w:hint="eastAsia" w:ascii="宋体" w:hAnsi="宋体" w:eastAsia="宋体" w:cs="宋体"/>
          <w:color w:val="auto"/>
          <w:szCs w:val="21"/>
          <w:highlight w:val="none"/>
          <w:lang w:val="zh-CN"/>
        </w:rPr>
        <w:t xml:space="preserve">代表本公司授权在下面签字的</w:t>
      </w:r>
      <w:r>
        <w:rPr>
          <w:rFonts w:hint="eastAsia" w:ascii="宋体" w:hAnsi="宋体" w:eastAsia="宋体" w:cs="宋体"/>
          <w:color w:val="auto"/>
          <w:szCs w:val="21"/>
          <w:highlight w:val="none"/>
          <w:u w:val="single"/>
          <w:lang w:val="zh-CN"/>
        </w:rPr>
        <w:t xml:space="preserve">（投标人代表姓名、职务）</w:t>
      </w:r>
      <w:r>
        <w:rPr>
          <w:rFonts w:hint="eastAsia" w:ascii="宋体" w:hAnsi="宋体" w:eastAsia="宋体" w:cs="宋体"/>
          <w:color w:val="auto"/>
          <w:szCs w:val="21"/>
          <w:highlight w:val="none"/>
          <w:lang w:val="zh-CN"/>
        </w:rPr>
        <w:t xml:space="preserve">为本公司的合法代理人，就贵方组织的</w:t>
      </w:r>
      <w:r>
        <w:rPr>
          <w:rFonts w:hint="eastAsia" w:ascii="宋体" w:hAnsi="宋体" w:cs="宋体"/>
          <w:b/>
          <w:color w:val="auto"/>
          <w:szCs w:val="21"/>
          <w:highlight w:val="none"/>
          <w:u w:val="single"/>
          <w:lang w:val="zh-CN"/>
        </w:rPr>
        <w:t xml:space="preserve">南京市公安局江宁分局交警大队采购道路漆划线及交通设施维护服务</w:t>
      </w:r>
      <w:r>
        <w:rPr>
          <w:rFonts w:hint="eastAsia" w:ascii="宋体" w:hAnsi="宋体" w:eastAsia="宋体" w:cs="宋体"/>
          <w:color w:val="auto"/>
          <w:szCs w:val="21"/>
          <w:highlight w:val="none"/>
          <w:lang w:val="zh-CN"/>
        </w:rPr>
        <w:t xml:space="preserve">（项目名称） </w:t>
      </w:r>
      <w:r>
        <w:rPr>
          <w:rFonts w:hint="eastAsia" w:ascii="宋体" w:hAnsi="宋体" w:cs="宋体"/>
          <w:color w:val="auto"/>
          <w:szCs w:val="21"/>
          <w:highlight w:val="none"/>
          <w:u w:val="single"/>
          <w:lang w:val="zh-CN"/>
        </w:rPr>
        <w:t xml:space="preserve">JSZC-320115-NJLX-G2026-0006</w:t>
      </w:r>
      <w:r>
        <w:rPr>
          <w:rFonts w:hint="eastAsia" w:ascii="宋体" w:hAnsi="宋体" w:eastAsia="宋体" w:cs="宋体"/>
          <w:color w:val="auto"/>
          <w:szCs w:val="21"/>
          <w:highlight w:val="none"/>
          <w:lang w:val="zh-CN"/>
        </w:rPr>
        <w:t xml:space="preserve">(项目编号）投标，以本公司名义处理一切与之有关的事务。</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本授权书于    年  月  日签字生效，特此声明。</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投标人名称：（电子签章）</w:t>
      </w:r>
      <w:r/>
    </w:p>
    <w:p>
      <w:pPr>
        <w:ind w:firstLine="84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法定代表人签字或盖章：</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授权委托人签字：                    </w:t>
      </w:r>
      <w:r/>
    </w:p>
    <w:p>
      <w:pPr>
        <w:ind w:firstLine="420"/>
        <w:jc w:val="left"/>
        <w:spacing w:line="36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年    月    日</w:t>
      </w:r>
      <w:r/>
    </w:p>
    <w:p>
      <w:pPr>
        <w:ind w:firstLine="420"/>
        <w:jc w:val="left"/>
        <w:spacing w:line="36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spacing w:line="36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2"/>
        <w:tabs>
          <w:tab w:val="left" w:pos="14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授权代表身份证复印件</w:t>
      </w:r>
      <w:r/>
    </w:p>
    <w:p>
      <w:pPr>
        <w:ind w:firstLine="420"/>
        <w:jc w:val="left"/>
        <w:spacing w:line="36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spacing w:line="36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spacing w:line="36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spacing w:line="36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spacing w:line="36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spacing w:line="36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spacing w:line="36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spacing w:line="36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b/>
          <w:bCs/>
          <w:color w:val="auto"/>
          <w:szCs w:val="21"/>
          <w:highlight w:val="none"/>
        </w:rPr>
        <w:outlineLvl w:val="2"/>
      </w:pPr>
      <w:r/>
      <w:bookmarkStart w:id="338" w:name="_Toc3244"/>
      <w:r/>
      <w:bookmarkStart w:id="339" w:name="_Toc22679"/>
      <w:r/>
      <w:bookmarkStart w:id="340" w:name="_Toc24412"/>
      <w:r>
        <w:rPr>
          <w:rFonts w:hint="eastAsia" w:ascii="宋体" w:hAnsi="宋体" w:eastAsia="宋体" w:cs="宋体"/>
          <w:b/>
          <w:bCs/>
          <w:color w:val="auto"/>
          <w:sz w:val="24"/>
          <w:highlight w:val="none"/>
          <w:lang w:val="zh-CN"/>
        </w:rPr>
        <w:br w:type="page" w:clear="all"/>
      </w:r>
      <w:bookmarkStart w:id="341" w:name="_Toc14609"/>
      <w:r/>
      <w:bookmarkStart w:id="342" w:name="_Toc10997"/>
      <w:r/>
      <w:bookmarkStart w:id="343" w:name="_Toc18595"/>
      <w:r/>
      <w:bookmarkStart w:id="344" w:name="_Toc1360"/>
      <w:r/>
      <w:bookmarkStart w:id="345" w:name="_Toc30302"/>
      <w:r/>
      <w:bookmarkStart w:id="346" w:name="_Toc116284550"/>
      <w:r/>
      <w:bookmarkStart w:id="347" w:name="_Toc16995"/>
      <w:r/>
      <w:bookmarkStart w:id="348" w:name="_Toc31262"/>
      <w:r/>
      <w:bookmarkStart w:id="349" w:name="_Toc24722"/>
      <w:r/>
      <w:bookmarkStart w:id="350" w:name="_Toc30635"/>
      <w:r/>
      <w:bookmarkStart w:id="351" w:name="_Toc9534"/>
      <w:r/>
      <w:bookmarkStart w:id="352" w:name="_Toc13424"/>
      <w:r/>
      <w:bookmarkStart w:id="353" w:name="_Toc22997"/>
      <w:r/>
      <w:bookmarkStart w:id="354" w:name="_Toc5178"/>
      <w:r/>
      <w:bookmarkStart w:id="355" w:name="_Toc12310"/>
      <w:r/>
      <w:bookmarkStart w:id="356" w:name="_Toc15775"/>
      <w:r/>
      <w:bookmarkStart w:id="357" w:name="_Toc13312"/>
      <w:r/>
      <w:bookmarkStart w:id="358" w:name="_Toc3311"/>
      <w:r/>
      <w:bookmarkStart w:id="359" w:name="_Toc17061"/>
      <w:r/>
      <w:bookmarkStart w:id="360" w:name="_Toc20565"/>
      <w:r/>
      <w:bookmarkStart w:id="361" w:name="_Toc650"/>
      <w:r/>
      <w:bookmarkStart w:id="362" w:name="_Toc7900"/>
      <w:r/>
      <w:bookmarkStart w:id="363" w:name="_Toc4337"/>
      <w:r>
        <w:rPr>
          <w:rFonts w:hint="eastAsia" w:ascii="宋体" w:hAnsi="宋体" w:eastAsia="宋体" w:cs="宋体"/>
          <w:b/>
          <w:bCs/>
          <w:color w:val="auto"/>
          <w:sz w:val="24"/>
          <w:highlight w:val="none"/>
          <w:lang w:val="zh-CN"/>
        </w:rPr>
        <w:t xml:space="preserve">三、</w:t>
      </w:r>
      <w:bookmarkEnd w:id="338"/>
      <w:r/>
      <w:bookmarkEnd w:id="339"/>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64" w:name="_Toc22690"/>
      <w:r/>
      <w:bookmarkStart w:id="365" w:name="_Toc116284551"/>
      <w:r/>
      <w:bookmarkStart w:id="366" w:name="_Toc6641"/>
      <w:r/>
      <w:bookmarkStart w:id="367" w:name="_Toc21459"/>
      <w:r/>
      <w:bookmarkStart w:id="368" w:name="_Toc32377"/>
      <w:r/>
      <w:bookmarkStart w:id="369" w:name="_Toc22171"/>
      <w:r/>
      <w:bookmarkStart w:id="370" w:name="_Toc26010"/>
      <w:r/>
      <w:bookmarkStart w:id="371" w:name="_Toc4138"/>
      <w:r/>
      <w:bookmarkStart w:id="372" w:name="_Toc7805"/>
      <w:r/>
      <w:bookmarkStart w:id="373" w:name="_Toc484"/>
      <w:r>
        <w:rPr>
          <w:rFonts w:hint="eastAsia" w:ascii="宋体" w:hAnsi="宋体" w:eastAsia="宋体" w:cs="宋体"/>
          <w:b/>
          <w:bCs/>
          <w:color w:val="auto"/>
          <w:sz w:val="24"/>
          <w:highlight w:val="none"/>
        </w:rPr>
        <w:t xml:space="preserve">南京市政府采购</w:t>
      </w:r>
      <w:r>
        <w:rPr>
          <w:rFonts w:hint="eastAsia" w:ascii="宋体" w:hAnsi="宋体" w:eastAsia="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信用记录表暨信用承诺书</w:t>
      </w:r>
      <w:bookmarkEnd w:id="361"/>
      <w:r/>
      <w:bookmarkEnd w:id="362"/>
      <w:r/>
      <w:bookmarkEnd w:id="363"/>
      <w:r/>
      <w:bookmarkEnd w:id="364"/>
      <w:r/>
      <w:bookmarkEnd w:id="365"/>
      <w:r/>
      <w:bookmarkEnd w:id="366"/>
      <w:r/>
      <w:bookmarkEnd w:id="367"/>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（以下仅为示范格式，直接填写无效，需至“南京</w:t>
      </w:r>
      <w:r>
        <w:rPr>
          <w:rFonts w:hint="eastAsia" w:ascii="宋体" w:hAnsi="宋体" w:eastAsia="宋体" w:cs="宋体"/>
          <w:b/>
          <w:bCs/>
          <w:color w:val="auto"/>
          <w:sz w:val="22"/>
          <w:szCs w:val="22"/>
          <w:highlight w:val="none"/>
          <w:lang w:val="en-US" w:eastAsia="zh-CN"/>
        </w:rPr>
        <w:t xml:space="preserve">市</w:t>
      </w:r>
      <w:r>
        <w:rPr>
          <w:rFonts w:hint="eastAsia" w:ascii="宋体" w:hAnsi="宋体" w:eastAsia="宋体" w:cs="宋体"/>
          <w:b/>
          <w:bCs/>
          <w:color w:val="auto"/>
          <w:sz w:val="22"/>
          <w:szCs w:val="22"/>
          <w:highlight w:val="none"/>
        </w:rPr>
        <w:t xml:space="preserve">政府采购</w:t>
      </w:r>
      <w:r>
        <w:rPr>
          <w:rFonts w:hint="eastAsia" w:ascii="宋体" w:hAnsi="宋体" w:eastAsia="宋体" w:cs="宋体"/>
          <w:b/>
          <w:bCs/>
          <w:color w:val="auto"/>
          <w:sz w:val="22"/>
          <w:szCs w:val="22"/>
          <w:highlight w:val="none"/>
          <w:lang w:eastAsia="zh-CN"/>
        </w:rPr>
        <w:t xml:space="preserve">投标人</w:t>
      </w:r>
      <w:r>
        <w:rPr>
          <w:rFonts w:hint="eastAsia" w:ascii="宋体" w:hAnsi="宋体" w:eastAsia="宋体" w:cs="宋体"/>
          <w:b/>
          <w:bCs/>
          <w:color w:val="auto"/>
          <w:sz w:val="22"/>
          <w:szCs w:val="22"/>
          <w:highlight w:val="none"/>
        </w:rPr>
        <w:t xml:space="preserve">诚信档案管理系统”在线打印）</w:t>
      </w:r>
      <w:r/>
    </w:p>
    <w:p>
      <w:pPr>
        <w:pStyle w:val="1100"/>
        <w:ind w:firstLine="4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99"/>
        <w:tblW w:w="9566" w:type="dxa"/>
        <w:jc w:val="center"/>
        <w:tblLayout w:type="fixed"/>
        <w:tblCellMar>
          <w:left w:w="15" w:type="dxa"/>
          <w:top w:w="15" w:type="dxa"/>
          <w:right w:w="15" w:type="dxa"/>
          <w:bottom w:w="15" w:type="dxa"/>
        </w:tblCellMar>
        <w:tblLook w:val="04A0" w:firstRow="1" w:lastRow="0" w:firstColumn="1" w:lastColumn="0" w:noHBand="0" w:noVBand="1"/>
      </w:tblPr>
      <w:tblGrid>
        <w:gridCol w:w="1602"/>
        <w:gridCol w:w="2760"/>
        <w:gridCol w:w="2040"/>
        <w:gridCol w:w="3164"/>
      </w:tblGrid>
      <w:tr>
        <w:trPr>
          <w:jc w:val="center"/>
          <w:trHeight w:val="600"/>
        </w:trPr>
        <w:tc>
          <w:tcPr>
            <w:gridSpan w:val="4"/>
            <w:tcW w:w="9566" w:type="dxa"/>
            <w:vAlign w:val="center"/>
            <w:textDirection w:val="lrTb"/>
            <w:noWrap w:val="false"/>
          </w:tcPr>
          <w:p>
            <w:pPr>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南京市政府采购</w:t>
            </w:r>
            <w:r>
              <w:rPr>
                <w:rFonts w:hint="eastAsia" w:ascii="宋体" w:hAnsi="宋体" w:eastAsia="宋体" w:cs="宋体"/>
                <w:b/>
                <w:bCs/>
                <w:color w:val="auto"/>
                <w:sz w:val="32"/>
                <w:szCs w:val="32"/>
                <w:highlight w:val="none"/>
                <w:lang w:eastAsia="zh-CN"/>
              </w:rPr>
              <w:t xml:space="preserve">投标人</w:t>
            </w:r>
            <w:r>
              <w:rPr>
                <w:rFonts w:hint="eastAsia" w:ascii="宋体" w:hAnsi="宋体" w:eastAsia="宋体" w:cs="宋体"/>
                <w:b/>
                <w:bCs/>
                <w:color w:val="auto"/>
                <w:sz w:val="32"/>
                <w:szCs w:val="32"/>
                <w:highlight w:val="none"/>
              </w:rPr>
              <w:t xml:space="preserve">信用记录表</w:t>
            </w:r>
            <w:r/>
          </w:p>
          <w:p>
            <w:pPr>
              <w:jc w:val="center"/>
              <w:widowControl/>
              <w:rPr>
                <w:rFonts w:hint="eastAsia" w:ascii="宋体" w:hAnsi="宋体" w:eastAsia="宋体" w:cs="宋体"/>
                <w:color w:val="auto"/>
                <w:sz w:val="40"/>
                <w:szCs w:val="40"/>
                <w:highlight w:val="none"/>
              </w:rPr>
            </w:pPr>
            <w:r>
              <w:rPr>
                <w:rFonts w:hint="eastAsia" w:ascii="宋体" w:hAnsi="宋体" w:eastAsia="宋体" w:cs="宋体"/>
                <w:b/>
                <w:bCs/>
                <w:color w:val="auto"/>
                <w:sz w:val="32"/>
                <w:szCs w:val="32"/>
                <w:highlight w:val="none"/>
              </w:rPr>
              <w:t xml:space="preserve">暨信用承诺书</w:t>
            </w:r>
            <w:r/>
          </w:p>
        </w:tc>
      </w:tr>
      <w:tr>
        <w:trPr>
          <w:jc w:val="center"/>
          <w:trHeight w:val="600"/>
        </w:trPr>
        <w:tc>
          <w:tcPr>
            <w:gridSpan w:val="4"/>
            <w:tcW w:w="9566" w:type="dxa"/>
            <w:vAlign w:val="center"/>
            <w:textDirection w:val="lrTb"/>
            <w:noWrap w:val="false"/>
          </w:tcPr>
          <w:p>
            <w:pPr>
              <w:jc w:val="right"/>
              <w:widowControl/>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t xml:space="preserve">年    月    日</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921"/>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85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我公司自愿参加贵中心（公司）组织的本次采购活动，严格遵守《中华人民共和国政府采购法》及相关</w:t>
            </w:r>
            <w:r>
              <w:rPr>
                <w:rFonts w:hint="eastAsia" w:ascii="宋体" w:hAnsi="宋体" w:eastAsia="宋体" w:cs="宋体"/>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名称（盖章）：</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法定代表人（签字）：</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r>
    </w:tbl>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b/>
          <w:bCs/>
          <w:color w:val="auto"/>
          <w:sz w:val="24"/>
          <w:highlight w:val="none"/>
          <w:lang w:val="zh-CN"/>
        </w:rPr>
        <w:outlineLvl w:val="2"/>
      </w:pPr>
      <w:r>
        <w:rPr>
          <w:rFonts w:hint="eastAsia" w:ascii="宋体" w:hAnsi="宋体" w:eastAsia="宋体" w:cs="宋体"/>
          <w:b/>
          <w:bCs/>
          <w:color w:val="auto"/>
          <w:sz w:val="24"/>
          <w:highlight w:val="none"/>
          <w:lang w:val="zh-CN"/>
        </w:rPr>
        <w:br w:type="page" w:clear="all"/>
      </w:r>
      <w:bookmarkStart w:id="374" w:name="_Toc20764"/>
      <w:r/>
      <w:bookmarkStart w:id="375" w:name="_Toc4930"/>
      <w:r/>
      <w:bookmarkStart w:id="376" w:name="_Toc116284552"/>
      <w:r/>
      <w:bookmarkStart w:id="377" w:name="_Toc3413"/>
      <w:r/>
      <w:bookmarkStart w:id="378" w:name="_Toc3743"/>
      <w:r/>
      <w:bookmarkStart w:id="379" w:name="_Toc23160"/>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w:t>
      </w:r>
      <w:bookmarkEnd w:id="368"/>
      <w:r/>
      <w:bookmarkEnd w:id="369"/>
      <w:r/>
      <w:bookmarkEnd w:id="370"/>
      <w:r/>
      <w:bookmarkEnd w:id="371"/>
      <w:r/>
      <w:bookmarkEnd w:id="372"/>
      <w:r/>
      <w:bookmarkEnd w:id="373"/>
      <w:r/>
      <w:bookmarkEnd w:id="374"/>
      <w:r/>
      <w:bookmarkEnd w:id="375"/>
      <w:r/>
      <w:bookmarkEnd w:id="376"/>
      <w:r/>
      <w:bookmarkStart w:id="380" w:name="_Toc17411"/>
      <w:r/>
      <w:bookmarkStart w:id="381" w:name="_Toc9020"/>
      <w:r/>
      <w:bookmarkStart w:id="382" w:name="_Toc25092"/>
      <w:r/>
      <w:bookmarkStart w:id="383" w:name="_Toc17732"/>
      <w:r/>
      <w:bookmarkStart w:id="384" w:name="_Toc18017"/>
      <w:r/>
      <w:bookmarkStart w:id="385" w:name="_Toc14140"/>
      <w:r/>
      <w:bookmarkStart w:id="386" w:name="_Toc2557"/>
      <w:r/>
      <w:bookmarkStart w:id="387" w:name="_Toc116284553"/>
      <w:r/>
      <w:bookmarkStart w:id="388" w:name="_Toc22511"/>
      <w:r>
        <w:rPr>
          <w:rFonts w:hint="eastAsia" w:ascii="宋体" w:hAnsi="宋体" w:eastAsia="宋体" w:cs="宋体"/>
          <w:b/>
          <w:color w:val="auto"/>
          <w:sz w:val="24"/>
          <w:highlight w:val="none"/>
        </w:rPr>
        <w:t xml:space="preserve">企业业绩</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2"/>
        <w:jc w:val="center"/>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企业业绩汇总表</w:t>
      </w:r>
      <w:r/>
    </w:p>
    <w:p>
      <w:pPr>
        <w:ind w:firstLine="48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bl>
      <w:tblPr>
        <w:tblStyle w:val="7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textDirection w:val="lrTb"/>
            <w:noWrap w:val="false"/>
          </w:tcPr>
          <w:p>
            <w:pPr>
              <w:ind w:firstLine="42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w:t>
            </w:r>
            <w:r/>
          </w:p>
        </w:tc>
        <w:tc>
          <w:tcPr>
            <w:tcW w:w="2405" w:type="dxa"/>
            <w:textDirection w:val="lrTb"/>
            <w:noWrap w:val="false"/>
          </w:tcPr>
          <w:p>
            <w:pPr>
              <w:ind w:firstLine="420"/>
              <w:jc w:val="center"/>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委托人</w:t>
            </w:r>
            <w:r/>
          </w:p>
        </w:tc>
        <w:tc>
          <w:tcPr>
            <w:tcW w:w="2405" w:type="dxa"/>
            <w:textDirection w:val="lrTb"/>
            <w:noWrap w:val="false"/>
          </w:tcPr>
          <w:p>
            <w:pPr>
              <w:ind w:firstLine="420"/>
              <w:jc w:val="center"/>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合同金额</w:t>
            </w:r>
            <w:r/>
          </w:p>
        </w:tc>
        <w:tc>
          <w:tcPr>
            <w:tcW w:w="2405" w:type="dxa"/>
            <w:textDirection w:val="lrTb"/>
            <w:noWrap w:val="false"/>
          </w:tcPr>
          <w:p>
            <w:pPr>
              <w:ind w:firstLine="420"/>
              <w:jc w:val="center"/>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合同签订时间</w:t>
            </w:r>
            <w:r/>
          </w:p>
        </w:tc>
      </w:tr>
      <w:tr>
        <w:trPr/>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r>
      <w:tr>
        <w:trPr/>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r>
      <w:tr>
        <w:trPr/>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r>
      <w:tr>
        <w:trPr/>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r>
      <w:tr>
        <w:trPr/>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r>
      <w:tr>
        <w:trPr/>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r>
      <w:tr>
        <w:trPr/>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r>
      <w:tr>
        <w:trPr/>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c>
          <w:tcPr>
            <w:tcW w:w="2405" w:type="dxa"/>
            <w:textDirection w:val="lrTb"/>
            <w:noWrap w:val="false"/>
          </w:tcPr>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tc>
      </w:tr>
    </w:tbl>
    <w:p>
      <w:pPr>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 投标人</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电子签章</w:t>
      </w:r>
      <w:r>
        <w:rPr>
          <w:rFonts w:hint="eastAsia" w:ascii="宋体" w:hAnsi="宋体" w:eastAsia="宋体" w:cs="宋体"/>
          <w:color w:val="auto"/>
          <w:sz w:val="24"/>
          <w:highlight w:val="none"/>
        </w:rPr>
        <w:t xml:space="preserve">）：        </w:t>
      </w:r>
      <w:r/>
    </w:p>
    <w:p>
      <w:pPr>
        <w:ind w:firstLine="480"/>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ind w:firstLine="480"/>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日    期：    年    月   日</w:t>
      </w:r>
      <w:r/>
    </w:p>
    <w:p>
      <w:pPr>
        <w:ind w:firstLine="422"/>
        <w:jc w:val="lef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注：附合同等业绩证明资料</w:t>
      </w:r>
      <w:r/>
    </w:p>
    <w:p>
      <w:pPr>
        <w:ind w:firstLine="422"/>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0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0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60" w:lineRule="exact"/>
        <w:rPr>
          <w:rFonts w:hint="eastAsia" w:ascii="宋体" w:hAnsi="宋体" w:eastAsia="宋体" w:cs="宋体"/>
          <w:b/>
          <w:bCs/>
          <w:color w:val="auto"/>
          <w:sz w:val="24"/>
          <w:highlight w:val="none"/>
          <w:lang w:val="en-US" w:eastAsia="zh-CN"/>
        </w:rPr>
        <w:outlineLvl w:val="2"/>
      </w:pPr>
      <w:r/>
      <w:bookmarkStart w:id="389" w:name="_Toc28698"/>
      <w:r/>
      <w:bookmarkStart w:id="390" w:name="_Toc13389"/>
      <w:r>
        <w:rPr>
          <w:rFonts w:hint="eastAsia" w:ascii="宋体" w:hAnsi="宋体" w:eastAsia="宋体" w:cs="宋体"/>
          <w:b/>
          <w:bCs/>
          <w:color w:val="auto"/>
          <w:sz w:val="24"/>
          <w:highlight w:val="none"/>
          <w:lang w:val="en-US" w:eastAsia="zh-CN"/>
        </w:rPr>
        <w:t xml:space="preserve">五、投标人认为需要</w:t>
      </w:r>
      <w:r>
        <w:rPr>
          <w:rFonts w:hint="eastAsia" w:ascii="宋体" w:hAnsi="宋体" w:eastAsia="宋体" w:cs="宋体"/>
          <w:b/>
          <w:bCs/>
          <w:color w:val="auto"/>
          <w:sz w:val="24"/>
          <w:highlight w:val="none"/>
          <w:lang w:val="zh-CN" w:eastAsia="zh-CN"/>
        </w:rPr>
        <w:t xml:space="preserve">提供的其他资格证明文件和商务资料</w:t>
      </w:r>
      <w:bookmarkEnd w:id="389"/>
      <w:r/>
      <w:bookmarkEnd w:id="390"/>
      <w:r/>
      <w:r/>
    </w:p>
    <w:p>
      <w:pPr>
        <w:jc w:val="left"/>
        <w:spacing w:line="360" w:lineRule="auto"/>
        <w:widowControl/>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lang w:val="zh-CN"/>
        </w:rPr>
        <w:br w:type="page" w:clear="all"/>
      </w:r>
      <w:bookmarkStart w:id="391" w:name="_Toc32523"/>
      <w:r/>
      <w:bookmarkStart w:id="392" w:name="_Toc27169"/>
      <w:r/>
      <w:bookmarkStart w:id="393" w:name="_Toc116284554"/>
      <w:r/>
      <w:bookmarkStart w:id="394" w:name="_Toc24108"/>
      <w:r/>
      <w:bookmarkStart w:id="395" w:name="_Toc32639"/>
      <w:r/>
      <w:bookmarkStart w:id="396" w:name="_Toc12336"/>
      <w:r/>
      <w:bookmarkStart w:id="397" w:name="_Toc23627"/>
      <w:r/>
      <w:bookmarkStart w:id="398" w:name="_Toc21761"/>
      <w:r/>
      <w:bookmarkStart w:id="399" w:name="_Toc12167"/>
      <w:r/>
      <w:bookmarkStart w:id="400" w:name="_Toc9766"/>
      <w:r/>
      <w:bookmarkStart w:id="401" w:name="_Toc20297"/>
      <w:r/>
      <w:bookmarkStart w:id="402" w:name="_Toc17860"/>
      <w:r/>
      <w:bookmarkStart w:id="403" w:name="_Toc103"/>
      <w:r/>
      <w:bookmarkStart w:id="404" w:name="_Toc12616"/>
      <w:r/>
      <w:bookmarkStart w:id="405" w:name="_Toc2411"/>
      <w:r/>
      <w:bookmarkStart w:id="406" w:name="_Toc26945"/>
      <w:r/>
      <w:bookmarkStart w:id="407" w:name="_Toc10364"/>
      <w:r/>
      <w:bookmarkStart w:id="408" w:name="_Toc27413"/>
      <w:r/>
      <w:bookmarkStart w:id="409" w:name="_Toc2916"/>
      <w:r/>
      <w:bookmarkStart w:id="410" w:name="_Toc2831"/>
      <w:r/>
      <w:bookmarkStart w:id="411" w:name="_Toc17758"/>
      <w:r/>
      <w:bookmarkStart w:id="412" w:name="_Toc22840"/>
      <w:r/>
      <w:bookmarkStart w:id="413" w:name="_Toc7789"/>
      <w:r/>
      <w:bookmarkStart w:id="414" w:name="_Toc2294"/>
      <w:r/>
      <w:bookmarkStart w:id="415" w:name="_Toc6167"/>
      <w:r>
        <w:rPr>
          <w:rFonts w:hint="eastAsia" w:ascii="宋体" w:hAnsi="宋体" w:eastAsia="宋体" w:cs="宋体"/>
          <w:b/>
          <w:color w:val="auto"/>
          <w:sz w:val="28"/>
          <w:szCs w:val="28"/>
          <w:highlight w:val="none"/>
        </w:rPr>
        <w:t xml:space="preserve">价格部分</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jc w:val="left"/>
        <w:spacing w:line="360" w:lineRule="auto"/>
        <w:widowControl/>
        <w:rPr>
          <w:rFonts w:hint="eastAsia" w:ascii="宋体" w:hAnsi="宋体" w:eastAsia="宋体" w:cs="宋体"/>
          <w:b/>
          <w:color w:val="auto"/>
          <w:szCs w:val="21"/>
          <w:highlight w:val="none"/>
          <w:lang w:val="zh-CN"/>
        </w:rPr>
        <w:outlineLvl w:val="2"/>
      </w:pPr>
      <w:r/>
      <w:bookmarkStart w:id="416" w:name="_Toc2800"/>
      <w:r/>
      <w:bookmarkStart w:id="417" w:name="_Toc8526"/>
      <w:r/>
      <w:bookmarkStart w:id="418" w:name="_Toc11687"/>
      <w:r/>
      <w:bookmarkStart w:id="419" w:name="_Toc30594"/>
      <w:r/>
      <w:bookmarkStart w:id="420" w:name="_Toc29084"/>
      <w:r/>
      <w:bookmarkStart w:id="421" w:name="_Toc116284555"/>
      <w:r/>
      <w:bookmarkStart w:id="422" w:name="_Toc26786"/>
      <w:r/>
      <w:bookmarkStart w:id="423" w:name="_Toc28082"/>
      <w:r/>
      <w:bookmarkStart w:id="424" w:name="_Toc31771"/>
      <w:r/>
      <w:bookmarkStart w:id="425" w:name="_Toc8934"/>
      <w:r/>
      <w:bookmarkStart w:id="426" w:name="_Toc27306"/>
      <w:r/>
      <w:bookmarkStart w:id="427" w:name="_Toc20785"/>
      <w:r>
        <w:rPr>
          <w:rFonts w:hint="eastAsia" w:ascii="宋体" w:hAnsi="宋体" w:eastAsia="宋体" w:cs="宋体"/>
          <w:b/>
          <w:bCs/>
          <w:color w:val="auto"/>
          <w:sz w:val="24"/>
          <w:highlight w:val="none"/>
        </w:rPr>
        <w:t xml:space="preserve">一</w:t>
      </w:r>
      <w:r>
        <w:rPr>
          <w:rFonts w:hint="eastAsia" w:ascii="宋体" w:hAnsi="宋体" w:eastAsia="宋体" w:cs="宋体"/>
          <w:b/>
          <w:bCs/>
          <w:color w:val="auto"/>
          <w:sz w:val="24"/>
          <w:highlight w:val="none"/>
          <w:lang w:val="zh-CN"/>
        </w:rPr>
        <w:t xml:space="preserve">、开标一览表</w:t>
      </w:r>
      <w:bookmarkEnd w:id="340"/>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ind w:firstLine="4006"/>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 xml:space="preserve">开标一览表</w:t>
      </w:r>
      <w:r/>
    </w:p>
    <w:p>
      <w:pPr>
        <w:ind w:firstLine="420"/>
        <w:jc w:val="left"/>
        <w:spacing w:line="276" w:lineRule="auto"/>
        <w:rPr>
          <w:rFonts w:hint="eastAsia" w:ascii="宋体" w:hAnsi="宋体" w:eastAsia="宋体" w:cs="宋体"/>
          <w:color w:val="auto"/>
          <w:szCs w:val="21"/>
          <w:highlight w:val="none"/>
          <w:lang w:val="zh-CN"/>
        </w:rPr>
      </w:pPr>
      <w:r/>
      <w:bookmarkStart w:id="428" w:name="OLE_LINK3"/>
      <w:r>
        <w:rPr>
          <w:rFonts w:hint="eastAsia" w:ascii="宋体" w:hAnsi="宋体" w:eastAsia="宋体" w:cs="宋体"/>
          <w:color w:val="auto"/>
          <w:szCs w:val="21"/>
          <w:highlight w:val="none"/>
          <w:lang w:val="zh-CN"/>
        </w:rPr>
        <w:t xml:space="preserve">项目名称 ：</w:t>
      </w:r>
      <w:r>
        <w:rPr>
          <w:rFonts w:hint="eastAsia" w:ascii="宋体" w:hAnsi="宋体" w:cs="宋体"/>
          <w:color w:val="auto"/>
          <w:szCs w:val="21"/>
          <w:highlight w:val="none"/>
          <w:lang w:val="zh-CN"/>
        </w:rPr>
        <w:t xml:space="preserve">南京市公安局江宁分局交警大队采购道路漆划线及交通设施维护服务</w:t>
      </w:r>
      <w:r/>
    </w:p>
    <w:p>
      <w:pPr>
        <w:ind w:firstLine="420"/>
        <w:jc w:val="left"/>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项目编号 ：</w:t>
      </w:r>
      <w:r>
        <w:rPr>
          <w:rFonts w:hint="eastAsia" w:ascii="宋体" w:hAnsi="宋体" w:cs="宋体"/>
          <w:color w:val="auto"/>
          <w:szCs w:val="21"/>
          <w:highlight w:val="none"/>
          <w:lang w:val="zh-CN"/>
        </w:rPr>
        <w:t xml:space="preserve">JSZC-320115-NJLX-G2026-0006</w:t>
      </w:r>
      <w:r/>
    </w:p>
    <w:p>
      <w:pPr>
        <w:ind w:firstLine="42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货币单位：人民币元</w:t>
      </w:r>
      <w:r/>
    </w:p>
    <w:p>
      <w:pPr>
        <w:ind w:firstLine="420"/>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bl>
      <w:tblPr>
        <w:tblStyle w:val="841"/>
        <w:tblW w:w="0" w:type="auto"/>
        <w:tblInd w:w="5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0"/>
        <w:gridCol w:w="2430"/>
        <w:gridCol w:w="3096"/>
      </w:tblGrid>
      <w:tr>
        <w:trPr/>
        <w:tc>
          <w:tcPr>
            <w:tcW w:w="2150" w:type="dxa"/>
            <w:textDirection w:val="lrTb"/>
            <w:noWrap w:val="false"/>
          </w:tcPr>
          <w:p>
            <w:pPr>
              <w:jc w:val="left"/>
              <w:spacing w:line="360" w:lineRule="auto"/>
              <w:widowControl/>
              <w:rPr>
                <w:rFonts w:hint="eastAsia" w:ascii="宋体" w:hAnsi="宋体" w:eastAsia="宋体" w:cs="宋体"/>
                <w:color w:val="auto"/>
                <w:szCs w:val="21"/>
                <w:highlight w:val="none"/>
                <w:vertAlign w:val="baseline"/>
                <w:lang w:val="zh-CN"/>
              </w:rPr>
            </w:pPr>
            <w:r>
              <w:rPr>
                <w:rFonts w:hint="eastAsia" w:ascii="宋体" w:hAnsi="宋体" w:eastAsia="宋体" w:cs="宋体"/>
                <w:color w:val="auto"/>
                <w:szCs w:val="21"/>
                <w:highlight w:val="none"/>
              </w:rPr>
              <w:t xml:space="preserve">项目名称</w:t>
            </w:r>
            <w:r/>
          </w:p>
        </w:tc>
        <w:tc>
          <w:tcPr>
            <w:shd w:val="clear" w:color="auto" w:fill="auto"/>
            <w:tcW w:w="2430" w:type="dxa"/>
            <w:vAlign w:val="center"/>
            <w:textDirection w:val="lrTb"/>
            <w:noWrap w:val="false"/>
          </w:tcPr>
          <w:p>
            <w:pPr>
              <w:pStyle w:val="837"/>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rPr>
              <w:t xml:space="preserve">项目内容</w:t>
            </w:r>
            <w:r/>
          </w:p>
        </w:tc>
        <w:tc>
          <w:tcPr>
            <w:shd w:val="clear" w:color="auto" w:fill="auto"/>
            <w:tcW w:w="3096" w:type="dxa"/>
            <w:vAlign w:val="center"/>
            <w:textDirection w:val="lrTb"/>
            <w:noWrap w:val="false"/>
          </w:tcPr>
          <w:p>
            <w:pPr>
              <w:pStyle w:val="837"/>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rPr>
              <w:t xml:space="preserve">单价（小写）</w:t>
            </w:r>
            <w:r/>
          </w:p>
        </w:tc>
      </w:tr>
      <w:tr>
        <w:trPr/>
        <w:tc>
          <w:tcPr>
            <w:tcW w:w="2150" w:type="dxa"/>
            <w:textDirection w:val="lrTb"/>
            <w:noWrap w:val="false"/>
          </w:tcPr>
          <w:p>
            <w:pPr>
              <w:jc w:val="left"/>
              <w:spacing w:line="360" w:lineRule="auto"/>
              <w:widowControl/>
              <w:rPr>
                <w:rFonts w:hint="eastAsia" w:ascii="宋体" w:hAnsi="宋体" w:eastAsia="宋体" w:cs="宋体"/>
                <w:color w:val="auto"/>
                <w:szCs w:val="21"/>
                <w:highlight w:val="none"/>
                <w:vertAlign w:val="baseline"/>
                <w:lang w:val="zh-CN"/>
              </w:rPr>
            </w:pPr>
            <w:r>
              <w:rPr>
                <w:rFonts w:hint="eastAsia" w:ascii="宋体" w:hAnsi="宋体" w:eastAsia="宋体" w:cs="宋体"/>
                <w:color w:val="auto"/>
                <w:szCs w:val="21"/>
                <w:highlight w:val="none"/>
              </w:rPr>
              <w:t xml:space="preserve">项目名称</w:t>
            </w:r>
            <w:r/>
          </w:p>
        </w:tc>
        <w:tc>
          <w:tcPr>
            <w:shd w:val="clear" w:color="auto" w:fill="auto"/>
            <w:tcW w:w="2430" w:type="dxa"/>
            <w:vAlign w:val="center"/>
            <w:textDirection w:val="lrTb"/>
            <w:noWrap w:val="false"/>
          </w:tcPr>
          <w:p>
            <w:pPr>
              <w:pStyle w:val="837"/>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rPr>
              <w:t xml:space="preserve">详见投标文件</w:t>
            </w:r>
            <w:r/>
          </w:p>
        </w:tc>
        <w:tc>
          <w:tcPr>
            <w:shd w:val="clear" w:color="auto" w:fill="auto"/>
            <w:tcW w:w="3096" w:type="dxa"/>
            <w:vAlign w:val="center"/>
            <w:textDirection w:val="lrTb"/>
            <w:noWrap w:val="false"/>
          </w:tcPr>
          <w:p>
            <w:pPr>
              <w:pStyle w:val="837"/>
              <w:ind w:firstLine="0"/>
              <w:keepLines w:val="0"/>
              <w:keepNext w:val="0"/>
              <w:widowControl/>
              <w:rPr>
                <w:rFonts w:hint="eastAsia" w:ascii="宋体" w:hAnsi="宋体" w:eastAsia="宋体" w:cs="宋体"/>
                <w:color w:val="auto"/>
                <w:sz w:val="21"/>
                <w:szCs w:val="21"/>
                <w:highlight w:val="none"/>
                <w:lang w:val="zh-CN" w:eastAsia="zh-CN" w:bidi="ar-SA"/>
              </w:rPr>
              <w:suppressLineNumbers w:val="0"/>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p>
        </w:tc>
      </w:tr>
      <w:tr>
        <w:trPr/>
        <w:tc>
          <w:tcPr>
            <w:tcW w:w="2150" w:type="dxa"/>
            <w:textDirection w:val="lrTb"/>
            <w:noWrap w:val="false"/>
          </w:tcPr>
          <w:p>
            <w:pPr>
              <w:jc w:val="left"/>
              <w:spacing w:line="360" w:lineRule="auto"/>
              <w:widowControl/>
              <w:rPr>
                <w:rFonts w:hint="eastAsia" w:ascii="宋体" w:hAnsi="宋体" w:eastAsia="宋体" w:cs="宋体"/>
                <w:color w:val="auto"/>
                <w:szCs w:val="21"/>
                <w:highlight w:val="none"/>
                <w:vertAlign w:val="baseline"/>
                <w:lang w:val="zh-CN"/>
              </w:rPr>
            </w:pPr>
            <w:r>
              <w:rPr>
                <w:rFonts w:hint="eastAsia" w:ascii="宋体" w:hAnsi="宋体" w:eastAsia="宋体" w:cs="宋体"/>
                <w:color w:val="auto"/>
                <w:szCs w:val="21"/>
                <w:highlight w:val="none"/>
              </w:rPr>
              <w:t xml:space="preserve">单价（大写）：</w:t>
            </w:r>
            <w:r/>
          </w:p>
        </w:tc>
        <w:tc>
          <w:tcPr>
            <w:gridSpan w:val="2"/>
            <w:tcW w:w="5526" w:type="dxa"/>
            <w:textDirection w:val="lrTb"/>
            <w:noWrap w:val="false"/>
          </w:tcPr>
          <w:p>
            <w:pPr>
              <w:jc w:val="left"/>
              <w:spacing w:line="360" w:lineRule="auto"/>
              <w:widowControl/>
              <w:rPr>
                <w:rFonts w:hint="eastAsia" w:ascii="宋体" w:hAnsi="宋体" w:eastAsia="宋体" w:cs="宋体"/>
                <w:color w:val="auto"/>
                <w:szCs w:val="21"/>
                <w:highlight w:val="none"/>
                <w:vertAlign w:val="baseline"/>
                <w:lang w:val="zh-CN"/>
              </w:rPr>
            </w:pPr>
            <w:r>
              <w:rPr>
                <w:rFonts w:hint="eastAsia" w:ascii="宋体" w:hAnsi="宋体" w:eastAsia="宋体" w:cs="宋体"/>
                <w:color w:val="auto"/>
                <w:szCs w:val="21"/>
                <w:highlight w:val="none"/>
                <w:shd w:val="clear" w:color="auto" w:fill="ffffff"/>
              </w:rPr>
              <w:t xml:space="preserve">金额大写</w:t>
            </w:r>
            <w:r>
              <w:rPr>
                <w:rFonts w:hint="eastAsia" w:ascii="宋体" w:hAnsi="宋体" w:eastAsia="宋体" w:cs="宋体"/>
                <w:color w:val="auto"/>
                <w:szCs w:val="21"/>
                <w:highlight w:val="none"/>
                <w:shd w:val="clear" w:color="auto" w:fill="ffffff"/>
                <w:lang w:val="en-US" w:eastAsia="zh-CN"/>
              </w:rPr>
              <w:t xml:space="preserve"> </w:t>
            </w:r>
            <w:r>
              <w:rPr>
                <w:rFonts w:hint="eastAsia" w:ascii="宋体" w:hAnsi="宋体" w:eastAsia="宋体" w:cs="宋体"/>
                <w:color w:val="auto"/>
                <w:szCs w:val="21"/>
                <w:highlight w:val="none"/>
                <w:u w:val="single"/>
                <w:shd w:val="clear" w:color="auto" w:fill="ffffff"/>
                <w:lang w:val="en-US" w:eastAsia="zh-CN"/>
              </w:rPr>
              <w:t xml:space="preserve">                    </w:t>
            </w:r>
            <w:r>
              <w:rPr>
                <w:rFonts w:hint="eastAsia" w:ascii="宋体" w:hAnsi="宋体" w:eastAsia="宋体" w:cs="宋体"/>
                <w:color w:val="auto"/>
                <w:szCs w:val="21"/>
                <w:highlight w:val="none"/>
                <w:u w:val="single"/>
              </w:rPr>
              <w:t xml:space="preserve"> </w:t>
            </w:r>
            <w:r/>
          </w:p>
        </w:tc>
      </w:tr>
    </w:tbl>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投标人名称:（电子签章）</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    年    月    日</w:t>
      </w:r>
      <w:bookmarkEnd w:id="428"/>
      <w:r>
        <w:rPr>
          <w:rFonts w:hint="eastAsia" w:ascii="宋体" w:hAnsi="宋体" w:eastAsia="宋体" w:cs="宋体"/>
          <w:color w:val="auto"/>
          <w:szCs w:val="21"/>
          <w:highlight w:val="none"/>
        </w:rPr>
        <w:t xml:space="preserve">  </w:t>
      </w:r>
      <w:r/>
    </w:p>
    <w:p>
      <w:pPr>
        <w:ind w:firstLine="422"/>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ind w:firstLine="422"/>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ind w:firstLine="422"/>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说明：</w:t>
      </w:r>
      <w:r/>
    </w:p>
    <w:p>
      <w:pPr>
        <w:ind w:firstLine="390"/>
        <w:rPr>
          <w:rFonts w:hint="eastAsia" w:ascii="宋体" w:hAnsi="宋体" w:eastAsia="宋体" w:cs="宋体"/>
          <w:b/>
          <w:bCs/>
          <w:color w:val="auto"/>
          <w:szCs w:val="21"/>
          <w:highlight w:val="none"/>
          <w:lang w:val="zh-CN"/>
        </w:rPr>
      </w:pPr>
      <w:r>
        <w:rPr>
          <w:rFonts w:hint="eastAsia" w:ascii="宋体" w:hAnsi="宋体" w:eastAsia="宋体" w:cs="宋体"/>
          <w:b/>
          <w:bCs/>
          <w:color w:val="auto"/>
          <w:spacing w:val="-8"/>
          <w:sz w:val="21"/>
          <w:szCs w:val="21"/>
          <w:highlight w:val="none"/>
        </w:rPr>
        <w:t xml:space="preserve">1、</w:t>
      </w:r>
      <w:r>
        <w:rPr>
          <w:rFonts w:hint="eastAsia" w:ascii="宋体" w:hAnsi="宋体" w:eastAsia="宋体" w:cs="宋体"/>
          <w:b/>
          <w:bCs/>
          <w:color w:val="auto"/>
          <w:szCs w:val="21"/>
          <w:highlight w:val="none"/>
          <w:lang w:val="zh-CN"/>
        </w:rPr>
        <w:t xml:space="preserve">代理机构对每一项货物和服务仅接受一个价格，不得填报有选择性报价方案。若有优惠条款须注明，但不得影响报价、影响产品整体功能。</w:t>
      </w:r>
      <w:r/>
    </w:p>
    <w:p>
      <w:pPr>
        <w:ind w:firstLine="422"/>
        <w:jc w:val="left"/>
        <w:spacing w:line="480" w:lineRule="exac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ind w:firstLine="422"/>
        <w:jc w:val="left"/>
        <w:spacing w:line="480" w:lineRule="exac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pStyle w:val="809"/>
        <w:jc w:val="both"/>
        <w:rPr>
          <w:rFonts w:hint="eastAsia" w:ascii="宋体" w:hAnsi="宋体" w:eastAsia="宋体" w:cs="宋体"/>
          <w:color w:val="auto"/>
          <w:sz w:val="21"/>
          <w:szCs w:val="21"/>
          <w:highlight w:val="none"/>
        </w:rPr>
      </w:pPr>
      <w:r/>
      <w:bookmarkStart w:id="429" w:name="_Toc29731"/>
      <w:r/>
      <w:bookmarkStart w:id="430" w:name="_Toc13784"/>
      <w:r/>
      <w:bookmarkStart w:id="431" w:name="_Toc20004"/>
      <w:r/>
      <w:bookmarkStart w:id="432" w:name="_Toc7576"/>
      <w:r/>
      <w:bookmarkStart w:id="433" w:name="_Toc31653"/>
      <w:r/>
      <w:bookmarkStart w:id="434" w:name="_Toc13901"/>
      <w:r/>
      <w:bookmarkStart w:id="435" w:name="_Toc22088"/>
      <w:r/>
      <w:bookmarkStart w:id="436" w:name="_Toc26228"/>
      <w:r/>
      <w:bookmarkStart w:id="437" w:name="_Toc18201"/>
      <w:r/>
      <w:bookmarkStart w:id="438" w:name="_Toc30940"/>
      <w:r/>
      <w:bookmarkStart w:id="439" w:name="_Toc22702"/>
      <w:r/>
      <w:bookmarkStart w:id="440" w:name="_Toc13770"/>
      <w:r/>
      <w:r/>
    </w:p>
    <w:p>
      <w:pPr>
        <w:rPr>
          <w:rFonts w:hint="eastAsia" w:ascii="宋体" w:hAnsi="宋体" w:eastAsia="宋体" w:cs="宋体"/>
          <w:b/>
          <w:color w:val="auto"/>
          <w:szCs w:val="21"/>
          <w:highlight w:val="none"/>
        </w:rPr>
        <w:outlineLvl w:val="2"/>
      </w:pPr>
      <w:r>
        <w:rPr>
          <w:rFonts w:hint="eastAsia" w:ascii="宋体" w:hAnsi="宋体" w:eastAsia="宋体" w:cs="宋体"/>
          <w:b/>
          <w:bCs/>
          <w:color w:val="auto"/>
          <w:sz w:val="24"/>
          <w:highlight w:val="none"/>
          <w:lang w:val="zh-CN"/>
        </w:rPr>
        <w:br w:type="page" w:clear="all"/>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Start w:id="441" w:name="_Toc27337"/>
      <w:r/>
      <w:bookmarkStart w:id="442" w:name="_Toc13198"/>
      <w:r/>
      <w:bookmarkStart w:id="443" w:name="_Toc19038"/>
      <w:r/>
      <w:bookmarkStart w:id="444" w:name="_Toc21738"/>
      <w:r/>
      <w:bookmarkStart w:id="445" w:name="_Toc32644"/>
      <w:r/>
      <w:bookmarkStart w:id="446" w:name="_Toc19781"/>
      <w:r/>
      <w:bookmarkStart w:id="447" w:name="_Toc30782"/>
      <w:r/>
      <w:bookmarkStart w:id="448" w:name="_Toc20812"/>
      <w:r/>
      <w:bookmarkStart w:id="449" w:name="_Toc149220299"/>
      <w:r/>
      <w:bookmarkStart w:id="450" w:name="_Toc30780"/>
      <w:r/>
      <w:bookmarkStart w:id="451" w:name="_Toc8455"/>
      <w:r/>
      <w:bookmarkStart w:id="452" w:name="_Toc25078"/>
      <w:r/>
      <w:bookmarkStart w:id="453" w:name="_Toc3865"/>
      <w:r/>
      <w:bookmarkStart w:id="454" w:name="_Toc569"/>
      <w:r/>
      <w:bookmarkStart w:id="455" w:name="_Toc22726"/>
      <w:r/>
      <w:bookmarkStart w:id="456" w:name="_Toc9304"/>
      <w:r/>
      <w:bookmarkStart w:id="457" w:name="_Toc336"/>
      <w:r/>
      <w:bookmarkStart w:id="458" w:name="_Toc3432"/>
      <w:r/>
      <w:bookmarkStart w:id="459" w:name="_Toc19578"/>
      <w:r/>
      <w:bookmarkStart w:id="460" w:name="_Toc3646"/>
      <w:r/>
      <w:bookmarkStart w:id="461" w:name="_Toc5771"/>
      <w:r/>
      <w:bookmarkStart w:id="462" w:name="_Toc28314"/>
      <w:r/>
      <w:bookmarkStart w:id="463" w:name="_Toc8694"/>
      <w:r/>
      <w:bookmarkStart w:id="464" w:name="_Toc17366"/>
      <w:r/>
      <w:bookmarkStart w:id="465" w:name="_Toc7813"/>
      <w:r/>
      <w:bookmarkStart w:id="466" w:name="_Toc7495"/>
      <w:r/>
      <w:bookmarkStart w:id="467" w:name="_Toc27598"/>
      <w:r/>
      <w:bookmarkStart w:id="468" w:name="_Toc116284557"/>
      <w:r/>
      <w:bookmarkStart w:id="469" w:name="_Toc13098"/>
      <w:r/>
      <w:bookmarkStart w:id="470" w:name="_Toc13028"/>
      <w:r/>
      <w:bookmarkStart w:id="471" w:name="_Toc722"/>
      <w:r/>
      <w:bookmarkStart w:id="472" w:name="_Toc12696"/>
      <w:r/>
      <w:bookmarkStart w:id="473" w:name="_Toc23150"/>
      <w:r/>
      <w:bookmarkStart w:id="474" w:name="_Toc27355"/>
      <w:r/>
      <w:bookmarkStart w:id="475" w:name="_Toc28671"/>
      <w:r/>
      <w:bookmarkStart w:id="476" w:name="_Toc31719"/>
      <w:r/>
      <w:bookmarkStart w:id="477" w:name="_Toc22502"/>
      <w:r/>
      <w:bookmarkStart w:id="478" w:name="_Toc4787"/>
      <w:r/>
      <w:bookmarkStart w:id="479" w:name="_Toc29743"/>
      <w:r/>
      <w:bookmarkStart w:id="480" w:name="_Toc4547"/>
      <w:r/>
      <w:bookmarkStart w:id="481" w:name="_Toc19907"/>
      <w:r/>
      <w:bookmarkStart w:id="482" w:name="_Toc16688"/>
      <w:r>
        <w:rPr>
          <w:rFonts w:hint="eastAsia" w:ascii="宋体" w:hAnsi="宋体" w:eastAsia="宋体" w:cs="宋体"/>
          <w:b/>
          <w:color w:val="auto"/>
          <w:szCs w:val="21"/>
          <w:highlight w:val="none"/>
        </w:rPr>
        <w:t xml:space="preserve">二、投标分项报价表</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
    </w:p>
    <w:p>
      <w:pPr>
        <w:ind w:firstLine="281"/>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投标分项报价表</w:t>
      </w:r>
      <w:r/>
    </w:p>
    <w:p>
      <w:pPr>
        <w:ind w:firstLine="420"/>
        <w:jc w:val="left"/>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 ：</w:t>
      </w:r>
      <w:r>
        <w:rPr>
          <w:rFonts w:hint="eastAsia" w:ascii="宋体" w:hAnsi="宋体" w:cs="宋体"/>
          <w:color w:val="auto"/>
          <w:szCs w:val="21"/>
          <w:highlight w:val="none"/>
          <w:lang w:val="zh-CN"/>
        </w:rPr>
        <w:t xml:space="preserve">南京市公安局江宁分局交警大队采购道路漆划线及交通设施维护服务</w:t>
      </w:r>
      <w:r/>
    </w:p>
    <w:p>
      <w:pPr>
        <w:ind w:firstLine="420"/>
        <w:jc w:val="left"/>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项目编号 ：</w:t>
      </w:r>
      <w:r>
        <w:rPr>
          <w:rFonts w:hint="eastAsia" w:ascii="宋体" w:hAnsi="宋体" w:cs="宋体"/>
          <w:color w:val="auto"/>
          <w:szCs w:val="21"/>
          <w:highlight w:val="none"/>
          <w:lang w:val="zh-CN"/>
        </w:rPr>
        <w:t xml:space="preserve">JSZC-320115-NJLX-G2026-0006</w:t>
      </w:r>
      <w:r/>
    </w:p>
    <w:p>
      <w:pPr>
        <w:pStyle w:val="999"/>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bl>
      <w:tblPr>
        <w:tblStyle w:val="841"/>
        <w:tblW w:w="98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2021"/>
        <w:gridCol w:w="3191"/>
        <w:gridCol w:w="560"/>
        <w:gridCol w:w="559"/>
        <w:gridCol w:w="1143"/>
        <w:gridCol w:w="1432"/>
      </w:tblGrid>
      <w:tr>
        <w:trPr>
          <w:jc w:val="center"/>
          <w:trHeight w:val="750"/>
        </w:trPr>
        <w:tc>
          <w:tcPr>
            <w:tcW w:w="96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2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319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规格及参数</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数量</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单位</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报价（元）</w:t>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最高限价（元）</w:t>
            </w:r>
            <w:r/>
          </w:p>
        </w:tc>
      </w:tr>
      <w:tr>
        <w:trPr>
          <w:jc w:val="center"/>
          <w:trHeight w:val="795"/>
        </w:trPr>
        <w:tc>
          <w:tcPr>
            <w:gridSpan w:val="7"/>
            <w:tcW w:w="9867"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4"/>
                <w:szCs w:val="24"/>
                <w:highlight w:val="none"/>
              </w:rPr>
              <w:t xml:space="preserve">一、标线施工（权数</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0%）</w:t>
            </w:r>
            <w:r/>
          </w:p>
        </w:tc>
      </w:tr>
      <w:tr>
        <w:trPr>
          <w:jc w:val="center"/>
          <w:trHeight w:val="1560"/>
        </w:trPr>
        <w:tc>
          <w:tcPr>
            <w:tcW w:w="96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施划地面热熔交通标线（含震荡标线、各色热熔标线以及施划标线前旧标线的打磨）</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560"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74.52</w:t>
            </w:r>
            <w:r/>
          </w:p>
        </w:tc>
      </w:tr>
      <w:tr>
        <w:trPr>
          <w:jc w:val="center"/>
          <w:trHeight w:val="745"/>
        </w:trPr>
        <w:tc>
          <w:tcPr>
            <w:tcW w:w="96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清除地面交通标线（水洗清除）</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560"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76.5</w:t>
            </w:r>
            <w:r/>
          </w:p>
        </w:tc>
      </w:tr>
      <w:tr>
        <w:trPr>
          <w:jc w:val="center"/>
          <w:trHeight w:val="1230"/>
        </w:trPr>
        <w:tc>
          <w:tcPr>
            <w:tcW w:w="96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施划地面</w:t>
            </w:r>
            <w:r>
              <w:rPr>
                <w:rFonts w:hint="eastAsia" w:ascii="宋体" w:hAnsi="宋体" w:eastAsia="宋体" w:cs="宋体"/>
                <w:bCs/>
                <w:color w:val="auto"/>
                <w:sz w:val="21"/>
                <w:szCs w:val="21"/>
                <w:highlight w:val="none"/>
                <w:lang w:eastAsia="zh-CN"/>
              </w:rPr>
              <w:t xml:space="preserve">双组份</w:t>
            </w:r>
            <w:r>
              <w:rPr>
                <w:rFonts w:hint="eastAsia" w:ascii="宋体" w:hAnsi="宋体" w:eastAsia="宋体" w:cs="宋体"/>
                <w:bCs/>
                <w:color w:val="auto"/>
                <w:sz w:val="21"/>
                <w:szCs w:val="21"/>
                <w:highlight w:val="none"/>
              </w:rPr>
              <w:t xml:space="preserve">交通标线（包括各色</w:t>
            </w:r>
            <w:r>
              <w:rPr>
                <w:rFonts w:hint="eastAsia" w:ascii="宋体" w:hAnsi="宋体" w:eastAsia="宋体" w:cs="宋体"/>
                <w:bCs/>
                <w:color w:val="auto"/>
                <w:sz w:val="21"/>
                <w:szCs w:val="21"/>
                <w:highlight w:val="none"/>
                <w:lang w:eastAsia="zh-CN"/>
              </w:rPr>
              <w:t xml:space="preserve">双组份</w:t>
            </w:r>
            <w:r>
              <w:rPr>
                <w:rFonts w:hint="eastAsia" w:ascii="宋体" w:hAnsi="宋体" w:eastAsia="宋体" w:cs="宋体"/>
                <w:bCs/>
                <w:color w:val="auto"/>
                <w:sz w:val="21"/>
                <w:szCs w:val="21"/>
                <w:highlight w:val="none"/>
              </w:rPr>
              <w:t xml:space="preserve">标线以及施划标线前旧标线的打磨）</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560"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81.23</w:t>
            </w:r>
            <w:r/>
          </w:p>
        </w:tc>
      </w:tr>
      <w:tr>
        <w:trPr>
          <w:jc w:val="center"/>
          <w:trHeight w:val="798"/>
        </w:trPr>
        <w:tc>
          <w:tcPr>
            <w:tcW w:w="96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彩色防滑路面标线（冷涂型）</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560"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166.02</w:t>
            </w:r>
            <w:r/>
          </w:p>
        </w:tc>
      </w:tr>
      <w:tr>
        <w:trPr>
          <w:jc w:val="center"/>
          <w:trHeight w:val="555"/>
        </w:trPr>
        <w:tc>
          <w:tcPr>
            <w:tcW w:w="961" w:type="dxa"/>
            <w:vAlign w:val="center"/>
            <w:textDirection w:val="lrTb"/>
            <w:noWrap w:val="false"/>
          </w:tcPr>
          <w:p>
            <w:pPr>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w:t>
            </w:r>
            <w:r/>
          </w:p>
        </w:tc>
        <w:tc>
          <w:tcPr>
            <w:gridSpan w:val="4"/>
            <w:tcW w:w="6331" w:type="dxa"/>
            <w:vAlign w:val="center"/>
            <w:textDirection w:val="lrTb"/>
            <w:noWrap w:val="false"/>
          </w:tcPr>
          <w:p>
            <w:pPr>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合计</w:t>
            </w:r>
            <w:r/>
          </w:p>
        </w:tc>
        <w:tc>
          <w:tcPr>
            <w:tcW w:w="1143" w:type="dxa"/>
            <w:vAlign w:val="center"/>
            <w:textDirection w:val="lrTb"/>
            <w:noWrap/>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tc>
        <w:tc>
          <w:tcPr>
            <w:tcW w:w="143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398.27</w:t>
            </w:r>
            <w:r/>
          </w:p>
        </w:tc>
      </w:tr>
      <w:tr>
        <w:trPr>
          <w:jc w:val="center"/>
          <w:trHeight w:val="600"/>
        </w:trPr>
        <w:tc>
          <w:tcPr>
            <w:gridSpan w:val="7"/>
            <w:tcW w:w="9867"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二、交通标志牌制作和安装（权数30%）</w:t>
            </w:r>
            <w:r/>
          </w:p>
        </w:tc>
      </w:tr>
      <w:tr>
        <w:trPr>
          <w:jc w:val="center"/>
          <w:trHeight w:val="1134"/>
        </w:trPr>
        <w:tc>
          <w:tcPr>
            <w:tcW w:w="96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2.5mm方形版面</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铝板厚度：2.5mm±0.2mm，字图膜和底膜应使用不低于IV类反光膜，其技术参数应不低于国家标准。（含安装）</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973.4</w:t>
            </w:r>
            <w:r/>
          </w:p>
        </w:tc>
      </w:tr>
      <w:tr>
        <w:trPr>
          <w:jc w:val="center"/>
          <w:trHeight w:val="1385"/>
        </w:trPr>
        <w:tc>
          <w:tcPr>
            <w:tcW w:w="96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1.5mm方形版面</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铝板厚度：1.5mm±0.2mm，字图膜和底膜应使用不低于IV类反光膜，其技术参数应不低于国家标准。（含安装）</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869.66</w:t>
            </w:r>
            <w:r/>
          </w:p>
        </w:tc>
      </w:tr>
      <w:tr>
        <w:trPr>
          <w:jc w:val="center"/>
          <w:trHeight w:val="525"/>
        </w:trPr>
        <w:tc>
          <w:tcPr>
            <w:tcW w:w="96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1.5mm方形落地标志</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铝板：1.5mm±0.2mm，字图膜和底膜应使用不低于IV类反光膜，其技术参数应不低于国家标准。                                       卧地支架杆件：Φ76mm镀锌管，壁厚：3mm，高度：应能满足所要求制作的标志版面尺寸大小安装使用，并确保安全要求，镀锌管底部灌沙配重，每套含配重沙袋2个（含安装）</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1428.58</w:t>
            </w:r>
            <w:r/>
          </w:p>
        </w:tc>
      </w:tr>
      <w:tr>
        <w:trPr>
          <w:jc w:val="center"/>
          <w:trHeight w:val="1163"/>
        </w:trPr>
        <w:tc>
          <w:tcPr>
            <w:tcW w:w="96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ф1200mm圆形标志</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铝板厚度：2.0mm±0.2mm，字图膜和底膜应使用不低于IV类反光膜，其技术参数应不低于国家标准。（含安装）</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869.66</w:t>
            </w:r>
            <w:r/>
          </w:p>
        </w:tc>
      </w:tr>
      <w:tr>
        <w:trPr>
          <w:jc w:val="center"/>
          <w:trHeight w:val="1172"/>
        </w:trPr>
        <w:tc>
          <w:tcPr>
            <w:tcW w:w="96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ф1000mm圆形标志</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铝板厚度：2.0mm±0.2mm，字图膜和底膜应使用不低于IV类反光膜，其技术参数应不低于国家标准。（含安装）</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800.5</w:t>
            </w:r>
            <w:r/>
          </w:p>
        </w:tc>
      </w:tr>
      <w:tr>
        <w:trPr>
          <w:jc w:val="center"/>
          <w:trHeight w:val="1149"/>
        </w:trPr>
        <w:tc>
          <w:tcPr>
            <w:tcW w:w="96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ф800mm圆形标志</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铝板厚度：1.5mm±0.2mm，字图膜和底膜应使用IV类反光膜，其技术参数应不低于国家标淮。（含安装）</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765.91</w:t>
            </w:r>
            <w:r/>
          </w:p>
        </w:tc>
      </w:tr>
      <w:tr>
        <w:trPr>
          <w:jc w:val="center"/>
          <w:trHeight w:val="1342"/>
        </w:trPr>
        <w:tc>
          <w:tcPr>
            <w:tcW w:w="961"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三角形标志△900mm</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铝板厚度：1.5mm±0.2mm，字图膜和底膜应使用不低于IV类反光膜，其技术参数应不低于国家标准。（含安装）</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754.39</w:t>
            </w:r>
            <w:r/>
          </w:p>
        </w:tc>
      </w:tr>
      <w:tr>
        <w:trPr>
          <w:jc w:val="center"/>
          <w:trHeight w:val="1568"/>
        </w:trPr>
        <w:tc>
          <w:tcPr>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ф165单挑悬臂</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主杆：6mm*ф165mm*7000，悬臂: 4.5mm*89mm*5000mm*2根，基坑：1000mm*1000mm *1500mm;砼：C30*1.5M3；预埋件：ф16mm*1000mm*6根，外围用ф3mm的钢筋扎笼；法兰盘：16mm*ф380mm，整套杆件为热镀锌钢管（含安装）</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10149.57</w:t>
            </w:r>
            <w:r/>
          </w:p>
        </w:tc>
      </w:tr>
      <w:tr>
        <w:trPr>
          <w:jc w:val="center"/>
          <w:trHeight w:val="684"/>
        </w:trPr>
        <w:tc>
          <w:tcPr>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ф89单立柱（长）</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主杆：ф89mm*5mm*4000mm，法兰：厚度10mm;整套杆件为热镀锌钢管含贴膜（含安装）</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1032.18</w:t>
            </w:r>
            <w:r/>
          </w:p>
        </w:tc>
      </w:tr>
      <w:tr>
        <w:trPr>
          <w:jc w:val="center"/>
          <w:trHeight w:val="683"/>
        </w:trPr>
        <w:tc>
          <w:tcPr>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14</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ф89单立柱（短）</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主杆：ф89mm*5mm*2500mm，法兰：厚度8mm;整套杆件为热镀锌钢管含贴膜（含安装）</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1032.18</w:t>
            </w:r>
            <w:r/>
          </w:p>
        </w:tc>
      </w:tr>
      <w:tr>
        <w:trPr>
          <w:jc w:val="center"/>
          <w:trHeight w:val="1411"/>
        </w:trPr>
        <w:tc>
          <w:tcPr>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15</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LED道钉</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1.类型:太阳能发光道钉</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2.材料品种:铝质双面</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3.规格、型号：100mm*100mm*20mm</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75</w:t>
            </w:r>
            <w:r/>
          </w:p>
        </w:tc>
      </w:tr>
      <w:tr>
        <w:trPr>
          <w:jc w:val="center"/>
          <w:trHeight w:val="1686"/>
        </w:trPr>
        <w:tc>
          <w:tcPr>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16</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LED同步发光道钉</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1.类型:太阳能同步发光道钉</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2.材料品种:铸铝外壳+环氧树脂填充，双面</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3.规格、型号：105mm*125mm*25mm</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200</w:t>
            </w:r>
            <w:r/>
          </w:p>
        </w:tc>
      </w:tr>
      <w:tr>
        <w:trPr>
          <w:jc w:val="center"/>
          <w:trHeight w:val="626"/>
        </w:trPr>
        <w:tc>
          <w:tcPr>
            <w:tcW w:w="961" w:type="dxa"/>
            <w:vAlign w:val="center"/>
            <w:textDirection w:val="lrTb"/>
            <w:noWrap w:val="false"/>
          </w:tcPr>
          <w:p>
            <w:pPr>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w:t>
            </w:r>
            <w:r/>
          </w:p>
        </w:tc>
        <w:tc>
          <w:tcPr>
            <w:gridSpan w:val="4"/>
            <w:tcW w:w="6331" w:type="dxa"/>
            <w:vAlign w:val="center"/>
            <w:textDirection w:val="lrTb"/>
            <w:noWrap w:val="false"/>
          </w:tcPr>
          <w:p>
            <w:pPr>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合计</w:t>
            </w:r>
            <w:r/>
          </w:p>
        </w:tc>
        <w:tc>
          <w:tcPr>
            <w:tcW w:w="1143" w:type="dxa"/>
            <w:vAlign w:val="center"/>
            <w:textDirection w:val="lrTb"/>
            <w:noWrap/>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tc>
        <w:tc>
          <w:tcPr>
            <w:tcW w:w="1432" w:type="dxa"/>
            <w:vAlign w:val="center"/>
            <w:textDirection w:val="lrTb"/>
            <w:noWrap w:val="false"/>
          </w:tcPr>
          <w:p>
            <w:pPr>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18951.03</w:t>
            </w:r>
            <w:r/>
          </w:p>
        </w:tc>
      </w:tr>
      <w:tr>
        <w:trPr>
          <w:jc w:val="center"/>
          <w:trHeight w:val="699"/>
        </w:trPr>
        <w:tc>
          <w:tcPr>
            <w:gridSpan w:val="7"/>
            <w:tcW w:w="9867"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三、交通隔离设施维护（权数</w:t>
            </w:r>
            <w:r>
              <w:rPr>
                <w:rFonts w:hint="eastAsia" w:ascii="宋体" w:hAnsi="宋体" w:eastAsia="宋体" w:cs="宋体"/>
                <w:b/>
                <w:bCs w:val="0"/>
                <w:color w:val="auto"/>
                <w:sz w:val="24"/>
                <w:szCs w:val="24"/>
                <w:highlight w:val="none"/>
                <w:lang w:val="en-US" w:eastAsia="zh-CN"/>
              </w:rPr>
              <w:t xml:space="preserve">35</w:t>
            </w:r>
            <w:r>
              <w:rPr>
                <w:rFonts w:hint="eastAsia" w:ascii="宋体" w:hAnsi="宋体" w:eastAsia="宋体" w:cs="宋体"/>
                <w:b/>
                <w:bCs w:val="0"/>
                <w:color w:val="auto"/>
                <w:sz w:val="24"/>
                <w:szCs w:val="24"/>
                <w:highlight w:val="none"/>
              </w:rPr>
              <w:t xml:space="preserve">%）</w:t>
            </w:r>
            <w:r/>
          </w:p>
        </w:tc>
      </w:tr>
      <w:tr>
        <w:trPr>
          <w:jc w:val="center"/>
          <w:trHeight w:val="3103"/>
        </w:trPr>
        <w:tc>
          <w:tcPr>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17</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固定式中心隔离护栏制作安装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中心隔离钢护栏</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1、立柱尺寸100*100*2.0mm，柱高1.2m，热镀锌钢板填砼底座400*300*170mm(黄色)</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2、护栏片尺寸2800*900，外框50*50*1.5，竖杆50*25*1.2，配黄色铁花件</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3、护栏整体热镀锌，再进行静电喷涂处理（蓝色）</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米</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420</w:t>
            </w:r>
            <w:r/>
          </w:p>
        </w:tc>
      </w:tr>
      <w:tr>
        <w:trPr>
          <w:jc w:val="center"/>
          <w:trHeight w:val="2834"/>
        </w:trPr>
        <w:tc>
          <w:tcPr>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18</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固定式机非隔离护栏制作安装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机非隔离钢护栏</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1、立柱尺寸100*100*2.0mm，柱高0.9m，热镀锌钢板填砼底座400*300*170mm(黄色)</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2、护栏片尺寸2800*600，外框50*50*1.5，竖杆50*25*1.2</w:t>
            </w:r>
            <w:r>
              <w:rPr>
                <w:rFonts w:hint="eastAsia" w:ascii="宋体" w:hAnsi="宋体" w:eastAsia="宋体" w:cs="宋体"/>
                <w:bCs/>
                <w:color w:val="auto"/>
                <w:sz w:val="21"/>
                <w:szCs w:val="21"/>
                <w:highlight w:val="none"/>
              </w:rPr>
              <w:br/>
            </w:r>
            <w:r>
              <w:rPr>
                <w:rFonts w:hint="eastAsia" w:ascii="宋体" w:hAnsi="宋体" w:eastAsia="宋体" w:cs="宋体"/>
                <w:bCs/>
                <w:color w:val="auto"/>
                <w:sz w:val="21"/>
                <w:szCs w:val="21"/>
                <w:highlight w:val="none"/>
              </w:rPr>
              <w:t xml:space="preserve">3、护栏整体热镀锌，再进行静电喷涂处理（蓝色）</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米</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380</w:t>
            </w:r>
            <w:r/>
          </w:p>
        </w:tc>
      </w:tr>
      <w:tr>
        <w:trPr>
          <w:jc w:val="center"/>
          <w:trHeight w:val="978"/>
        </w:trPr>
        <w:tc>
          <w:tcPr>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19</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京式护栏制作安装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米</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330</w:t>
            </w:r>
            <w:r/>
          </w:p>
        </w:tc>
      </w:tr>
      <w:tr>
        <w:trPr>
          <w:jc w:val="center"/>
          <w:trHeight w:val="978"/>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20</w:t>
            </w:r>
            <w:r/>
          </w:p>
        </w:tc>
        <w:tc>
          <w:tcPr>
            <w:tcW w:w="2021"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单波波形梁护栏制作安装</w:t>
            </w:r>
            <w:r/>
          </w:p>
        </w:tc>
        <w:tc>
          <w:tcPr>
            <w:tcW w:w="3191"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单波波形梁护栏</w:t>
            </w:r>
            <w:r>
              <w:rPr>
                <w:rFonts w:hint="eastAsia" w:ascii="宋体" w:hAnsi="宋体" w:eastAsia="宋体" w:cs="宋体"/>
                <w:highlight w:val="none"/>
              </w:rPr>
              <w:br/>
            </w:r>
            <w:r>
              <w:rPr>
                <w:rFonts w:hint="eastAsia" w:ascii="宋体" w:hAnsi="宋体" w:eastAsia="宋体" w:cs="宋体"/>
                <w:highlight w:val="none"/>
              </w:rPr>
              <w:t xml:space="preserve">1、立柱</w:t>
            </w:r>
            <w:r>
              <w:rPr>
                <w:rFonts w:hint="eastAsia" w:ascii="宋体" w:hAnsi="宋体" w:eastAsia="宋体" w:cs="宋体"/>
                <w:highlight w:val="none"/>
                <w:lang w:val="en-US" w:eastAsia="zh-CN"/>
              </w:rPr>
              <w:t xml:space="preserve">材质Q235或Q355热轧钢管；尺寸</w:t>
            </w:r>
            <w:r>
              <w:rPr>
                <w:rFonts w:hint="eastAsia" w:ascii="宋体" w:hAnsi="宋体" w:eastAsia="宋体" w:cs="宋体"/>
                <w:highlight w:val="none"/>
              </w:rPr>
              <w:t xml:space="preserve">Φ114mm×4.5mm，柱高</w:t>
            </w:r>
            <w:r>
              <w:rPr>
                <w:rFonts w:hint="eastAsia" w:ascii="宋体" w:hAnsi="宋体" w:eastAsia="宋体" w:cs="宋体"/>
                <w:highlight w:val="none"/>
                <w:lang w:val="en-US" w:eastAsia="zh-CN"/>
              </w:rPr>
              <w:t xml:space="preserve">2150m</w:t>
            </w:r>
            <w:r>
              <w:rPr>
                <w:rFonts w:hint="eastAsia" w:ascii="宋体" w:hAnsi="宋体" w:eastAsia="宋体" w:cs="宋体"/>
                <w:highlight w:val="none"/>
              </w:rPr>
              <w:t xml:space="preserve">m，热镀锌</w:t>
            </w:r>
            <w:r>
              <w:rPr>
                <w:rFonts w:hint="eastAsia" w:ascii="宋体" w:hAnsi="宋体" w:eastAsia="宋体" w:cs="宋体"/>
                <w:highlight w:val="none"/>
                <w:lang w:val="en-US" w:eastAsia="zh-CN"/>
              </w:rPr>
              <w:t xml:space="preserve">喷塑</w:t>
            </w:r>
            <w:r>
              <w:rPr>
                <w:rFonts w:hint="eastAsia" w:ascii="宋体" w:hAnsi="宋体" w:eastAsia="宋体" w:cs="宋体"/>
                <w:highlight w:val="none"/>
              </w:rPr>
              <w:br/>
            </w:r>
            <w:r>
              <w:rPr>
                <w:rFonts w:hint="eastAsia" w:ascii="宋体" w:hAnsi="宋体" w:eastAsia="宋体" w:cs="宋体"/>
                <w:highlight w:val="none"/>
              </w:rPr>
              <w:t xml:space="preserve">2、护栏片波型：单波（38mm</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85mm）；长度：4320mm（标准段）</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板厚：3mm</w:t>
            </w:r>
            <w:r>
              <w:rPr>
                <w:rFonts w:hint="eastAsia" w:ascii="宋体" w:hAnsi="宋体" w:eastAsia="宋体" w:cs="宋体"/>
                <w:highlight w:val="none"/>
              </w:rPr>
              <w:br/>
            </w:r>
            <w:r>
              <w:rPr>
                <w:rFonts w:hint="eastAsia" w:ascii="宋体" w:hAnsi="宋体" w:eastAsia="宋体" w:cs="宋体"/>
                <w:highlight w:val="none"/>
              </w:rPr>
              <w:t xml:space="preserve">3、护栏整体热镀锌，再进行静电喷涂处理</w:t>
            </w:r>
            <w:r/>
          </w:p>
          <w:p>
            <w:pPr>
              <w:jc w:val="left"/>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符合《公路波形梁钢护栏》（GB/T 31439-2015）国家标准</w:t>
            </w:r>
            <w:r/>
          </w:p>
        </w:tc>
        <w:tc>
          <w:tcPr>
            <w:tcW w:w="560"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1</w:t>
            </w:r>
            <w:r/>
          </w:p>
        </w:tc>
        <w:tc>
          <w:tcPr>
            <w:tcW w:w="559"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米</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310</w:t>
            </w:r>
            <w:r/>
          </w:p>
        </w:tc>
      </w:tr>
      <w:tr>
        <w:trPr>
          <w:jc w:val="center"/>
          <w:trHeight w:val="534"/>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21</w:t>
            </w:r>
            <w:r/>
          </w:p>
        </w:tc>
        <w:tc>
          <w:tcPr>
            <w:tcW w:w="2021"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highlight w:val="none"/>
                <w:lang w:val="en-US" w:eastAsia="zh-CN"/>
              </w:rPr>
              <w:t xml:space="preserve">双</w:t>
            </w:r>
            <w:r>
              <w:rPr>
                <w:rFonts w:hint="eastAsia" w:ascii="宋体" w:hAnsi="宋体" w:eastAsia="宋体" w:cs="宋体"/>
                <w:highlight w:val="none"/>
              </w:rPr>
              <w:t xml:space="preserve">波波形梁护栏制作安装</w:t>
            </w:r>
            <w:r/>
          </w:p>
        </w:tc>
        <w:tc>
          <w:tcPr>
            <w:tcW w:w="3191"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lang w:val="en-US" w:eastAsia="zh-CN"/>
              </w:rPr>
              <w:t xml:space="preserve">双</w:t>
            </w:r>
            <w:r>
              <w:rPr>
                <w:rFonts w:hint="eastAsia" w:ascii="宋体" w:hAnsi="宋体" w:eastAsia="宋体" w:cs="宋体"/>
                <w:highlight w:val="none"/>
              </w:rPr>
              <w:t xml:space="preserve">波波形梁护栏</w:t>
            </w:r>
            <w:r>
              <w:rPr>
                <w:rFonts w:hint="eastAsia" w:ascii="宋体" w:hAnsi="宋体" w:eastAsia="宋体" w:cs="宋体"/>
                <w:highlight w:val="none"/>
              </w:rPr>
              <w:br/>
            </w:r>
            <w:r>
              <w:rPr>
                <w:rFonts w:hint="eastAsia" w:ascii="宋体" w:hAnsi="宋体" w:eastAsia="宋体" w:cs="宋体"/>
                <w:highlight w:val="none"/>
              </w:rPr>
              <w:t xml:space="preserve">1、立柱</w:t>
            </w:r>
            <w:r>
              <w:rPr>
                <w:rFonts w:hint="eastAsia" w:ascii="宋体" w:hAnsi="宋体" w:eastAsia="宋体" w:cs="宋体"/>
                <w:highlight w:val="none"/>
                <w:lang w:val="en-US" w:eastAsia="zh-CN"/>
              </w:rPr>
              <w:t xml:space="preserve">材质Q235或Q355热轧钢管；尺寸</w:t>
            </w:r>
            <w:r>
              <w:rPr>
                <w:rFonts w:hint="eastAsia" w:ascii="宋体" w:hAnsi="宋体" w:eastAsia="宋体" w:cs="宋体"/>
                <w:highlight w:val="none"/>
              </w:rPr>
              <w:t xml:space="preserve">Φ114mm×4.5mm，柱高</w:t>
            </w:r>
            <w:r>
              <w:rPr>
                <w:rFonts w:hint="eastAsia" w:ascii="宋体" w:hAnsi="宋体" w:eastAsia="宋体" w:cs="宋体"/>
                <w:highlight w:val="none"/>
                <w:lang w:val="en-US" w:eastAsia="zh-CN"/>
              </w:rPr>
              <w:t xml:space="preserve">2150m</w:t>
            </w:r>
            <w:r>
              <w:rPr>
                <w:rFonts w:hint="eastAsia" w:ascii="宋体" w:hAnsi="宋体" w:eastAsia="宋体" w:cs="宋体"/>
                <w:highlight w:val="none"/>
              </w:rPr>
              <w:t xml:space="preserve">m，热镀锌</w:t>
            </w:r>
            <w:r>
              <w:rPr>
                <w:rFonts w:hint="eastAsia" w:ascii="宋体" w:hAnsi="宋体" w:eastAsia="宋体" w:cs="宋体"/>
                <w:highlight w:val="none"/>
                <w:lang w:val="en-US" w:eastAsia="zh-CN"/>
              </w:rPr>
              <w:t xml:space="preserve">喷塑</w:t>
            </w:r>
            <w:r>
              <w:rPr>
                <w:rFonts w:hint="eastAsia" w:ascii="宋体" w:hAnsi="宋体" w:eastAsia="宋体" w:cs="宋体"/>
                <w:highlight w:val="none"/>
              </w:rPr>
              <w:br/>
            </w:r>
            <w:r>
              <w:rPr>
                <w:rFonts w:hint="eastAsia" w:ascii="宋体" w:hAnsi="宋体" w:eastAsia="宋体" w:cs="宋体"/>
                <w:highlight w:val="none"/>
              </w:rPr>
              <w:t xml:space="preserve">2、护栏片波型：</w:t>
            </w:r>
            <w:r>
              <w:rPr>
                <w:rFonts w:hint="eastAsia" w:ascii="宋体" w:hAnsi="宋体" w:eastAsia="宋体" w:cs="宋体"/>
                <w:highlight w:val="none"/>
                <w:lang w:val="en-US" w:eastAsia="zh-CN"/>
              </w:rPr>
              <w:t xml:space="preserve">双</w:t>
            </w:r>
            <w:r>
              <w:rPr>
                <w:rFonts w:hint="eastAsia" w:ascii="宋体" w:hAnsi="宋体" w:eastAsia="宋体" w:cs="宋体"/>
                <w:highlight w:val="none"/>
              </w:rPr>
              <w:t xml:space="preserve">波（</w:t>
            </w:r>
            <w:r>
              <w:rPr>
                <w:rFonts w:hint="eastAsia" w:ascii="宋体" w:hAnsi="宋体" w:eastAsia="宋体" w:cs="宋体"/>
                <w:highlight w:val="none"/>
                <w:lang w:val="en-US" w:eastAsia="zh-CN"/>
              </w:rPr>
              <w:t xml:space="preserve">50</w:t>
            </w:r>
            <w:r>
              <w:rPr>
                <w:rFonts w:hint="eastAsia" w:ascii="宋体" w:hAnsi="宋体" w:eastAsia="宋体" w:cs="宋体"/>
                <w:highlight w:val="none"/>
              </w:rPr>
              <w:t xml:space="preserve">mm</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85mm）；长度：4320mm（标准段）</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板厚：4mm</w:t>
            </w:r>
            <w:r>
              <w:rPr>
                <w:rFonts w:hint="eastAsia" w:ascii="宋体" w:hAnsi="宋体" w:eastAsia="宋体" w:cs="宋体"/>
                <w:highlight w:val="none"/>
              </w:rPr>
              <w:br/>
            </w:r>
            <w:r>
              <w:rPr>
                <w:rFonts w:hint="eastAsia" w:ascii="宋体" w:hAnsi="宋体" w:eastAsia="宋体" w:cs="宋体"/>
                <w:highlight w:val="none"/>
              </w:rPr>
              <w:t xml:space="preserve">3、护栏整体热镀锌，再进行静电喷涂处理</w:t>
            </w:r>
            <w:r/>
          </w:p>
          <w:p>
            <w:pPr>
              <w:jc w:val="left"/>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符合《公路波形梁钢护栏》（GB/T 31439-2015）国家标准</w:t>
            </w:r>
            <w:r/>
          </w:p>
        </w:tc>
        <w:tc>
          <w:tcPr>
            <w:tcW w:w="560"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1</w:t>
            </w:r>
            <w:r/>
          </w:p>
        </w:tc>
        <w:tc>
          <w:tcPr>
            <w:tcW w:w="559"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highlight w:val="none"/>
              </w:rPr>
              <w:t xml:space="preserve">米</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345</w:t>
            </w:r>
            <w:r/>
          </w:p>
        </w:tc>
      </w:tr>
      <w:tr>
        <w:trPr>
          <w:jc w:val="center"/>
          <w:trHeight w:val="1550"/>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22</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固定式中心隔离护栏立柱、底座制作安装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整套，含立柱尺寸100*100*2.0mm，柱高1.2m，热镀锌钢板填砼底座400*300*170mm(黄色)</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250</w:t>
            </w:r>
            <w:r/>
          </w:p>
        </w:tc>
      </w:tr>
      <w:tr>
        <w:trPr>
          <w:jc w:val="center"/>
          <w:trHeight w:val="1402"/>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23</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固定式机非隔离护栏立柱、底座制作安装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整套，立柱尺寸100*100*2.0mm，柱高0.9m，热镀锌钢板填砼底座400*300*170mm(黄色)</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220</w:t>
            </w:r>
            <w:r/>
          </w:p>
        </w:tc>
      </w:tr>
      <w:tr>
        <w:trPr>
          <w:jc w:val="center"/>
          <w:trHeight w:val="846"/>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24</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铁质站桩</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250</w:t>
            </w:r>
            <w:r/>
          </w:p>
        </w:tc>
      </w:tr>
      <w:tr>
        <w:trPr>
          <w:jc w:val="center"/>
          <w:trHeight w:val="1245"/>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25</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制作橡胶减速带并安装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45㎜*380㎜*1000㎜，搓板式外观，反复任意弯曲不得折断</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米</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113.14</w:t>
            </w:r>
            <w:r/>
          </w:p>
        </w:tc>
      </w:tr>
      <w:tr>
        <w:trPr>
          <w:jc w:val="center"/>
          <w:trHeight w:val="1136"/>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26</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制作太阳能双面爆闪警示灯及立柱并安装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详见技术要求</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1810.31</w:t>
            </w:r>
            <w:r/>
          </w:p>
        </w:tc>
      </w:tr>
      <w:tr>
        <w:trPr>
          <w:jc w:val="center"/>
          <w:trHeight w:val="1305"/>
        </w:trPr>
        <w:tc>
          <w:tcPr>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27</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广角镜制作安装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制作广角镜及立柱并安装(2*800㎜，不锈钢镜边和镜罩)</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1200</w:t>
            </w:r>
            <w:r/>
          </w:p>
        </w:tc>
      </w:tr>
      <w:tr>
        <w:trPr>
          <w:jc w:val="center"/>
          <w:trHeight w:val="1305"/>
        </w:trPr>
        <w:tc>
          <w:tcPr>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28</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广角镜制作安装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制作广角镜及立柱并安装(2*1000㎜，不锈钢镜边和镜罩)</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1300</w:t>
            </w:r>
            <w:r/>
          </w:p>
        </w:tc>
      </w:tr>
      <w:tr>
        <w:trPr>
          <w:jc w:val="center"/>
          <w:trHeight w:val="668"/>
        </w:trPr>
        <w:tc>
          <w:tcPr>
            <w:tcW w:w="961" w:type="dxa"/>
            <w:vAlign w:val="center"/>
            <w:textDirection w:val="lrTb"/>
            <w:noWrap w:val="false"/>
          </w:tcPr>
          <w:p>
            <w:pPr>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eastAsia="zh-CN"/>
              </w:rPr>
              <w:t xml:space="preserve">）</w:t>
            </w:r>
            <w:r/>
          </w:p>
        </w:tc>
        <w:tc>
          <w:tcPr>
            <w:gridSpan w:val="4"/>
            <w:tcW w:w="6331" w:type="dxa"/>
            <w:vAlign w:val="center"/>
            <w:textDirection w:val="lrTb"/>
            <w:noWrap w:val="false"/>
          </w:tcPr>
          <w:p>
            <w:pPr>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合计</w:t>
            </w:r>
            <w:r/>
          </w:p>
        </w:tc>
        <w:tc>
          <w:tcPr>
            <w:tcW w:w="1143"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tc>
        <w:tc>
          <w:tcPr>
            <w:tcW w:w="1432" w:type="dxa"/>
            <w:vAlign w:val="center"/>
            <w:textDirection w:val="lrTb"/>
            <w:noWrap w:val="false"/>
          </w:tcPr>
          <w:p>
            <w:pPr>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6928.45</w:t>
            </w:r>
            <w:r/>
          </w:p>
        </w:tc>
      </w:tr>
      <w:tr>
        <w:trPr>
          <w:jc w:val="center"/>
          <w:trHeight w:val="617"/>
        </w:trPr>
        <w:tc>
          <w:tcPr>
            <w:gridSpan w:val="7"/>
            <w:tcW w:w="9867"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四、信号灯及其他交通安全设施维护（权数</w:t>
            </w:r>
            <w:r>
              <w:rPr>
                <w:rFonts w:hint="eastAsia" w:ascii="宋体" w:hAnsi="宋体" w:eastAsia="宋体" w:cs="宋体"/>
                <w:b/>
                <w:bCs w:val="0"/>
                <w:color w:val="auto"/>
                <w:sz w:val="24"/>
                <w:szCs w:val="24"/>
                <w:highlight w:val="none"/>
                <w:lang w:val="en-US" w:eastAsia="zh-CN"/>
              </w:rPr>
              <w:t xml:space="preserve">15</w:t>
            </w:r>
            <w:r>
              <w:rPr>
                <w:rFonts w:hint="eastAsia" w:ascii="宋体" w:hAnsi="宋体" w:eastAsia="宋体" w:cs="宋体"/>
                <w:b/>
                <w:bCs w:val="0"/>
                <w:color w:val="auto"/>
                <w:sz w:val="24"/>
                <w:szCs w:val="24"/>
                <w:highlight w:val="none"/>
              </w:rPr>
              <w:t xml:space="preserve">%）</w:t>
            </w:r>
            <w:r/>
          </w:p>
        </w:tc>
      </w:tr>
      <w:tr>
        <w:trPr>
          <w:jc w:val="center"/>
          <w:trHeight w:val="141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29</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路面铺设镀锌钢管</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镀锌钢管DN100mm (臂厚≥2.75mm)，含破除路面、开沟挖槽、装土、铺设垫料、加固等施工及恢复</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754.84</w:t>
            </w:r>
            <w:r/>
          </w:p>
        </w:tc>
      </w:tr>
      <w:tr>
        <w:trPr>
          <w:jc w:val="center"/>
          <w:trHeight w:val="1397"/>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30</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人行道(含绿化带）铺设硬塑料管</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硬塑料管DN80mm白聚丙乙烯管(臂厚≥2.75mm)，含破除人行道、开沟挖槽、铺设垫料、加固等施工及恢复</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246.5</w:t>
            </w:r>
            <w:r/>
          </w:p>
        </w:tc>
      </w:tr>
      <w:tr>
        <w:trPr>
          <w:jc w:val="center"/>
          <w:trHeight w:val="1395"/>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31</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人行道（含绿化带）铺设硬塑料管</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硬塑料管DN50mm白聚丙乙烯管(臂厚≥2.75mm)，含破除人行道、开沟挖槽、铺设垫料、加固等施工及恢复</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209.71</w:t>
            </w:r>
            <w:r/>
          </w:p>
        </w:tc>
      </w:tr>
      <w:tr>
        <w:trPr>
          <w:jc w:val="center"/>
          <w:trHeight w:val="1273"/>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32</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镀锌钢管引管</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镀锌钢管DN50mm (臂厚≥2.75mm)，用于架空线在杆件引下处套管安装</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75.14</w:t>
            </w:r>
            <w:r/>
          </w:p>
        </w:tc>
      </w:tr>
      <w:tr>
        <w:trPr>
          <w:jc w:val="center"/>
          <w:trHeight w:val="1263"/>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33</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方型窨井砌筑(含主材)</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640mm*480mm(深700mm、含挖土运土、窨井砌筑、井盖带有P字式样）</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1189.76</w:t>
            </w:r>
            <w:r/>
          </w:p>
        </w:tc>
      </w:tr>
      <w:tr>
        <w:trPr>
          <w:jc w:val="center"/>
          <w:trHeight w:val="970"/>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34</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方型窨井砌筑(含主材)</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520mm*300mm(深400mm、含挖土运土、窨井砌筑、井盖带有P字式样）</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969.89</w:t>
            </w:r>
            <w:r/>
          </w:p>
        </w:tc>
      </w:tr>
      <w:tr>
        <w:trPr>
          <w:jc w:val="center"/>
          <w:trHeight w:val="1223"/>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35</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钢绞线安装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φ7.1(含挂钩)、含Φ＜12mm拉紧装置制安花蓝螺栓和绝缘瓷瓶</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23.71</w:t>
            </w:r>
            <w:r/>
          </w:p>
        </w:tc>
      </w:tr>
      <w:tr>
        <w:trPr>
          <w:jc w:val="center"/>
          <w:trHeight w:val="79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36</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信号灯控制电缆敷设(含电源电缆)</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RVV4×32/0.2</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18.5</w:t>
            </w:r>
            <w:r/>
          </w:p>
        </w:tc>
      </w:tr>
      <w:tr>
        <w:trPr>
          <w:jc w:val="center"/>
          <w:trHeight w:val="84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37</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行人灯控制(含倒计时屏电源电缆敷设</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RVV3×32/0.3</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17.22</w:t>
            </w:r>
            <w:r/>
          </w:p>
        </w:tc>
      </w:tr>
      <w:tr>
        <w:trPr>
          <w:jc w:val="center"/>
          <w:trHeight w:val="750"/>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38</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倒计时屏蔽线电缆敷设</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RVVP2×48/0.2</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17.22</w:t>
            </w:r>
            <w:r/>
          </w:p>
        </w:tc>
      </w:tr>
      <w:tr>
        <w:trPr>
          <w:jc w:val="center"/>
          <w:trHeight w:val="546"/>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39</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信号灯电源线安装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RVV2*6</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20.17</w:t>
            </w:r>
            <w:r/>
          </w:p>
        </w:tc>
      </w:tr>
      <w:tr>
        <w:trPr>
          <w:jc w:val="center"/>
          <w:trHeight w:val="626"/>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40</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辅助灯杆基础预埋件</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1076.87</w:t>
            </w:r>
            <w:r/>
          </w:p>
        </w:tc>
      </w:tr>
      <w:tr>
        <w:trPr>
          <w:jc w:val="center"/>
          <w:trHeight w:val="79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41</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6.8m*4.0mL型杆件</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主材（不含基础预埋件、规格详见附图）</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4750.87</w:t>
            </w:r>
            <w:r/>
          </w:p>
        </w:tc>
      </w:tr>
      <w:tr>
        <w:trPr>
          <w:jc w:val="center"/>
          <w:trHeight w:val="79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42</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6.8m*6mL型杆件</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主材（不含基础预埋件、规格详见附图）</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6651.21</w:t>
            </w:r>
            <w:r/>
          </w:p>
        </w:tc>
      </w:tr>
      <w:tr>
        <w:trPr>
          <w:jc w:val="center"/>
          <w:trHeight w:val="79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43</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6.8m*10mL型杆件</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主材（不含基础预埋件、规格详见附图）</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13302.44</w:t>
            </w:r>
            <w:r/>
          </w:p>
        </w:tc>
      </w:tr>
      <w:tr>
        <w:trPr>
          <w:jc w:val="center"/>
          <w:trHeight w:val="79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44</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6m辅助灯杆杆件</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主材（不含基础预埋件、规格详见附图）</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1646.97</w:t>
            </w:r>
            <w:r/>
          </w:p>
        </w:tc>
      </w:tr>
      <w:tr>
        <w:trPr>
          <w:jc w:val="center"/>
          <w:trHeight w:val="79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45</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4.5m辅助灯杆件</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主材（不含基础预埋件、规格详见附图）</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1076.87</w:t>
            </w:r>
            <w:r/>
          </w:p>
        </w:tc>
      </w:tr>
      <w:tr>
        <w:trPr>
          <w:jc w:val="center"/>
          <w:trHeight w:val="1047"/>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46</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悬臂杆件基础预埋件制作和安装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横臂≤5.5米的杆件基础预埋件（含主材），含挖坑装土运土、现浇砼基础</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4814.21</w:t>
            </w:r>
            <w:r/>
          </w:p>
        </w:tc>
      </w:tr>
      <w:tr>
        <w:trPr>
          <w:jc w:val="center"/>
          <w:trHeight w:val="111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47</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悬臂杆件基础预埋件制作和安装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横臂＞5.5米的杆件基础预埋件(含主材)，含挖坑装土运土、现浇砼基础</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6967.93</w:t>
            </w:r>
            <w:r/>
          </w:p>
        </w:tc>
      </w:tr>
      <w:tr>
        <w:trPr>
          <w:jc w:val="center"/>
          <w:trHeight w:val="79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48</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接地极制安</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镀锌扁钢，要求实测接地电阻≦6Ω</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221.6</w:t>
            </w:r>
            <w:r/>
          </w:p>
        </w:tc>
      </w:tr>
      <w:tr>
        <w:trPr>
          <w:jc w:val="center"/>
          <w:trHeight w:val="79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49</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接地线安装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软铜铰线，截面积≥10mm</w:t>
            </w:r>
            <w:r>
              <w:rPr>
                <w:rFonts w:hint="eastAsia" w:ascii="宋体" w:hAnsi="宋体" w:eastAsia="宋体" w:cs="宋体"/>
                <w:bCs/>
                <w:color w:val="auto"/>
                <w:sz w:val="21"/>
                <w:szCs w:val="21"/>
                <w:highlight w:val="none"/>
                <w:vertAlign w:val="superscript"/>
              </w:rPr>
              <w:t xml:space="preserve">2</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m</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65.73</w:t>
            </w:r>
            <w:r/>
          </w:p>
        </w:tc>
      </w:tr>
      <w:tr>
        <w:trPr>
          <w:jc w:val="center"/>
          <w:trHeight w:val="79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50</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短悬臂信号灯杆安装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横臂≤5.5米、含杆件水泥包封</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734.8</w:t>
            </w:r>
            <w:r/>
          </w:p>
        </w:tc>
      </w:tr>
      <w:tr>
        <w:trPr>
          <w:jc w:val="center"/>
          <w:trHeight w:val="79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51</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长悬臂信号灯杆安装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横臂＞5.5米、含杆件水泥包封</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1165.55</w:t>
            </w:r>
            <w:r/>
          </w:p>
        </w:tc>
      </w:tr>
      <w:tr>
        <w:trPr>
          <w:jc w:val="center"/>
          <w:trHeight w:val="136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52</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辅助灯杆安装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含挖坑装土运土、基础预埋件安装、现浇砼基础、杆件水泥包封</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696.8</w:t>
            </w:r>
            <w:r/>
          </w:p>
        </w:tc>
      </w:tr>
      <w:tr>
        <w:trPr>
          <w:jc w:val="center"/>
          <w:trHeight w:val="83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53</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行人灯杆基础预埋件</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个</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316.73</w:t>
            </w:r>
            <w:r/>
          </w:p>
        </w:tc>
      </w:tr>
      <w:tr>
        <w:trPr>
          <w:jc w:val="center"/>
          <w:trHeight w:val="567"/>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54</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行人灯杆件</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主材</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1013.52</w:t>
            </w:r>
            <w:r/>
          </w:p>
        </w:tc>
      </w:tr>
      <w:tr>
        <w:trPr>
          <w:jc w:val="center"/>
          <w:trHeight w:val="1128"/>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55</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行人灯杆安装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含挖坑装土运土、基础预埋件安装、现浇砼基础、杆件水泥包封</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570.11</w:t>
            </w:r>
            <w:r/>
          </w:p>
        </w:tc>
      </w:tr>
      <w:tr>
        <w:trPr>
          <w:jc w:val="center"/>
          <w:trHeight w:val="948"/>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56</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机动车信号灯安装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含辅助信号灯、非机动车信号灯、太阳能黄闪信号灯</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299.58</w:t>
            </w:r>
            <w:r/>
          </w:p>
        </w:tc>
      </w:tr>
      <w:tr>
        <w:trPr>
          <w:jc w:val="center"/>
          <w:trHeight w:val="706"/>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57</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倒计时屏安装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392.75</w:t>
            </w:r>
            <w:r/>
          </w:p>
        </w:tc>
      </w:tr>
      <w:tr>
        <w:trPr>
          <w:jc w:val="center"/>
          <w:trHeight w:val="1260"/>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58</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机箱基础平台砌筑</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含挖土运土现浇砼基础、长60cm×宽40cm×高30cm、基础高出地面≥10cm</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1520.28</w:t>
            </w:r>
            <w:r/>
          </w:p>
        </w:tc>
      </w:tr>
      <w:tr>
        <w:trPr>
          <w:jc w:val="center"/>
          <w:trHeight w:val="697"/>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59</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地下走线进线管安装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DN80mm白聚丙乙烯管(臂厚≥2.75mm)</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107.68</w:t>
            </w:r>
            <w:r/>
          </w:p>
        </w:tc>
      </w:tr>
      <w:tr>
        <w:trPr>
          <w:jc w:val="center"/>
          <w:trHeight w:val="835"/>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60</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接地极制安</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镀锌扁钢，要求实测接地电阻≦6Ω</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221.6</w:t>
            </w:r>
            <w:r/>
          </w:p>
        </w:tc>
      </w:tr>
      <w:tr>
        <w:trPr>
          <w:jc w:val="center"/>
          <w:trHeight w:val="704"/>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61</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信号机安装</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含信号机箱及设备安装</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1583.62</w:t>
            </w:r>
            <w:r/>
          </w:p>
        </w:tc>
      </w:tr>
      <w:tr>
        <w:trPr>
          <w:jc w:val="center"/>
          <w:trHeight w:val="130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62</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维修台班</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按当日24小时内修复路口计算，每个路口限报一个台班。</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台班</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612.67</w:t>
            </w:r>
            <w:r/>
          </w:p>
        </w:tc>
      </w:tr>
      <w:tr>
        <w:trPr>
          <w:jc w:val="center"/>
          <w:trHeight w:val="996"/>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63</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信号灯</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Φ400mm，红黄绿满屏信号灯或箭头信号灯</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3600</w:t>
            </w:r>
            <w:r/>
          </w:p>
        </w:tc>
      </w:tr>
      <w:tr>
        <w:trPr>
          <w:jc w:val="center"/>
          <w:trHeight w:val="852"/>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64</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倒计时显示屏</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780型</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6500</w:t>
            </w:r>
            <w:r/>
          </w:p>
        </w:tc>
      </w:tr>
      <w:tr>
        <w:trPr>
          <w:jc w:val="center"/>
          <w:trHeight w:val="1002"/>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65</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信号机</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16相位具有联网功能信号机，能与江宁公安联网</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41500</w:t>
            </w:r>
            <w:r/>
          </w:p>
        </w:tc>
      </w:tr>
      <w:tr>
        <w:trPr>
          <w:jc w:val="center"/>
          <w:trHeight w:val="949"/>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66</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人行灯</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ф300mm</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3600</w:t>
            </w:r>
            <w:r/>
          </w:p>
        </w:tc>
      </w:tr>
      <w:tr>
        <w:trPr>
          <w:jc w:val="center"/>
          <w:trHeight w:val="835"/>
        </w:trPr>
        <w:tc>
          <w:tcPr>
            <w:shd w:val="clear" w:color="auto" w:fill="auto"/>
            <w:tcW w:w="961"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67</w:t>
            </w:r>
            <w:r/>
          </w:p>
        </w:tc>
        <w:tc>
          <w:tcPr>
            <w:tcW w:w="202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语音提示器</w:t>
            </w:r>
            <w:r/>
          </w:p>
        </w:tc>
        <w:tc>
          <w:tcPr>
            <w:tcW w:w="3191"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人行灯配套语音提示器</w:t>
            </w:r>
            <w:r/>
          </w:p>
        </w:tc>
        <w:tc>
          <w:tcPr>
            <w:tcW w:w="560"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55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套</w:t>
            </w:r>
            <w:r/>
          </w:p>
        </w:tc>
        <w:tc>
          <w:tcPr>
            <w:tcW w:w="114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2000</w:t>
            </w:r>
            <w:r/>
          </w:p>
        </w:tc>
      </w:tr>
      <w:tr>
        <w:trPr>
          <w:jc w:val="center"/>
          <w:trHeight w:val="662"/>
        </w:trPr>
        <w:tc>
          <w:tcPr>
            <w:tcW w:w="961"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eastAsia="zh-CN"/>
              </w:rPr>
              <w:t xml:space="preserve">）</w:t>
            </w:r>
            <w:r/>
          </w:p>
        </w:tc>
        <w:tc>
          <w:tcPr>
            <w:gridSpan w:val="4"/>
            <w:tcW w:w="6331" w:type="dxa"/>
            <w:vAlign w:val="center"/>
            <w:textDirection w:val="lrTb"/>
            <w:noWrap w:val="false"/>
          </w:tcPr>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合计</w:t>
            </w:r>
            <w:r/>
          </w:p>
        </w:tc>
        <w:tc>
          <w:tcPr>
            <w:tcW w:w="1143"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432"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110553.05</w:t>
            </w:r>
            <w:r/>
          </w:p>
        </w:tc>
      </w:tr>
      <w:tr>
        <w:trPr>
          <w:jc w:val="center"/>
          <w:trHeight w:val="662"/>
        </w:trPr>
        <w:tc>
          <w:tcPr>
            <w:gridSpan w:val="5"/>
            <w:tcW w:w="729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综合单价（元）</w:t>
            </w: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lang w:val="en-US" w:eastAsia="zh-CN"/>
              </w:rPr>
              <w:t xml:space="preserve">计算式：</w:t>
            </w: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0%+（二）*</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0%+（三）*</w:t>
            </w:r>
            <w:r>
              <w:rPr>
                <w:rFonts w:hint="eastAsia" w:ascii="宋体" w:hAnsi="宋体" w:eastAsia="宋体" w:cs="宋体"/>
                <w:color w:val="auto"/>
                <w:szCs w:val="21"/>
                <w:highlight w:val="none"/>
                <w:lang w:val="en-US" w:eastAsia="zh-CN"/>
              </w:rPr>
              <w:t xml:space="preserve">35</w:t>
            </w:r>
            <w:r>
              <w:rPr>
                <w:rFonts w:hint="eastAsia" w:ascii="宋体" w:hAnsi="宋体" w:eastAsia="宋体" w:cs="宋体"/>
                <w:color w:val="auto"/>
                <w:szCs w:val="21"/>
                <w:highlight w:val="none"/>
              </w:rPr>
              <w:t xml:space="preserve">%+（四）*</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w:t>
            </w:r>
            <w:r/>
          </w:p>
        </w:tc>
        <w:tc>
          <w:tcPr>
            <w:tcW w:w="114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432" w:type="dxa"/>
            <w:vAlign w:val="center"/>
            <w:textDirection w:val="lrTb"/>
            <w:noWrap w:val="false"/>
          </w:tcPr>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24772.88</w:t>
            </w:r>
            <w:r/>
          </w:p>
        </w:tc>
      </w:tr>
    </w:tbl>
    <w:p>
      <w:pPr>
        <w:ind w:firstLine="422"/>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  </w:t>
      </w:r>
      <w:r/>
    </w:p>
    <w:p>
      <w:pPr>
        <w:numPr>
          <w:ilvl w:val="0"/>
          <w:numId w:val="1"/>
        </w:numPr>
        <w:ind w:firstLine="42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代理机构对每一项货物和服务仅接受一个价格，</w:t>
      </w:r>
      <w:r>
        <w:rPr>
          <w:rFonts w:hint="eastAsia" w:ascii="宋体" w:hAnsi="宋体" w:eastAsia="宋体" w:cs="宋体"/>
          <w:color w:val="auto"/>
          <w:highlight w:val="none"/>
        </w:rPr>
        <w:t xml:space="preserve">不得填报有选择性报价方案</w:t>
      </w:r>
      <w:r>
        <w:rPr>
          <w:rFonts w:hint="eastAsia" w:ascii="宋体" w:hAnsi="宋体" w:eastAsia="宋体" w:cs="宋体"/>
          <w:color w:val="auto"/>
          <w:szCs w:val="21"/>
          <w:highlight w:val="none"/>
        </w:rPr>
        <w:t xml:space="preserve">。若有优惠条款须注明，但不得影响报价，影响产品整体功能。</w:t>
      </w:r>
      <w:r/>
    </w:p>
    <w:p>
      <w:pPr>
        <w:ind w:firstLine="420"/>
        <w:rPr>
          <w:rFonts w:hint="eastAsia" w:ascii="宋体" w:hAnsi="宋体" w:eastAsia="宋体" w:cs="宋体"/>
          <w:b/>
          <w:bCs/>
          <w:color w:val="auto"/>
          <w:highlight w:val="none"/>
        </w:rPr>
      </w:pPr>
      <w:r>
        <w:rPr>
          <w:rFonts w:hint="eastAsia" w:ascii="宋体" w:hAnsi="宋体" w:eastAsia="宋体" w:cs="宋体"/>
          <w:color w:val="auto"/>
          <w:szCs w:val="21"/>
          <w:highlight w:val="none"/>
        </w:rPr>
        <w:t xml:space="preserve">2、投标</w:t>
      </w:r>
      <w:r>
        <w:rPr>
          <w:rFonts w:hint="eastAsia" w:ascii="宋体" w:hAnsi="宋体" w:eastAsia="宋体" w:cs="宋体"/>
          <w:color w:val="auto"/>
          <w:highlight w:val="none"/>
        </w:rPr>
        <w:t xml:space="preserve">报价是投标文件所确定的采购范围内的全部货物或服务的价格体现。投标报价：包括但不限于人员劳资、交通费、风险评估费等，应包括</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为完成规划方案所承担的全部费用、利润、税金、政策性文件规定及合同包含内的所有风险、责任等各项应有费用，不论其在采购文件中是否有提及。响应</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应根据上述因素自行考虑投标报价。</w:t>
      </w:r>
      <w:r/>
    </w:p>
    <w:p>
      <w:pPr>
        <w:ind w:firstLine="42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3</w:t>
      </w:r>
      <w:r>
        <w:rPr>
          <w:rFonts w:hint="eastAsia" w:ascii="宋体" w:hAnsi="宋体" w:eastAsia="宋体" w:cs="宋体"/>
          <w:bCs/>
          <w:color w:val="auto"/>
          <w:szCs w:val="21"/>
          <w:highlight w:val="none"/>
          <w:lang w:val="zh-CN"/>
        </w:rPr>
        <w:t xml:space="preserve">、单价在合同存续期间（包括续签）不得调整。</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电子签章</w:t>
      </w:r>
      <w:r>
        <w:rPr>
          <w:rFonts w:hint="eastAsia" w:ascii="宋体" w:hAnsi="宋体" w:eastAsia="宋体" w:cs="宋体"/>
          <w:color w:val="auto"/>
          <w:szCs w:val="21"/>
          <w:highlight w:val="none"/>
        </w:rPr>
        <w:t xml:space="preserve">）：            </w:t>
      </w:r>
      <w:r/>
    </w:p>
    <w:p>
      <w:pPr>
        <w:ind w:firstLine="420"/>
        <w:jc w:val="right"/>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zh-CN"/>
        </w:rPr>
        <w:t xml:space="preserve">日    期：    年    月   日</w:t>
      </w:r>
      <w:r>
        <w:rPr>
          <w:rFonts w:hint="eastAsia" w:ascii="宋体" w:hAnsi="宋体" w:eastAsia="宋体" w:cs="宋体"/>
          <w:color w:val="auto"/>
          <w:szCs w:val="21"/>
          <w:highlight w:val="none"/>
          <w:lang w:val="en-US" w:eastAsia="zh-CN"/>
        </w:rPr>
        <w:t xml:space="preserve">     </w:t>
      </w:r>
      <w:r/>
    </w:p>
    <w:p>
      <w:pPr>
        <w:spacing w:line="360" w:lineRule="auto"/>
        <w:rPr>
          <w:rFonts w:hint="eastAsia" w:ascii="宋体" w:hAnsi="宋体" w:eastAsia="宋体" w:cs="宋体"/>
          <w:b/>
          <w:bCs/>
          <w:color w:val="auto"/>
          <w:sz w:val="28"/>
          <w:szCs w:val="28"/>
          <w:highlight w:val="none"/>
        </w:rPr>
        <w:outlineLvl w:val="1"/>
      </w:pPr>
      <w:r/>
      <w:bookmarkStart w:id="483" w:name="_Toc6354"/>
      <w:r/>
      <w:bookmarkStart w:id="484" w:name="_Toc15216"/>
      <w:r>
        <w:rPr>
          <w:rFonts w:hint="eastAsia" w:ascii="宋体" w:hAnsi="宋体" w:eastAsia="宋体" w:cs="宋体"/>
          <w:b/>
          <w:color w:val="auto"/>
          <w:szCs w:val="21"/>
          <w:highlight w:val="none"/>
        </w:rPr>
        <w:br w:type="page" w:clear="all"/>
      </w:r>
      <w:bookmarkEnd w:id="459"/>
      <w:r/>
      <w:bookmarkEnd w:id="460"/>
      <w:r/>
      <w:bookmarkEnd w:id="461"/>
      <w:r/>
      <w:bookmarkEnd w:id="483"/>
      <w:r/>
      <w:bookmarkEnd w:id="484"/>
      <w:r/>
      <w:bookmarkStart w:id="485" w:name="_Toc10527"/>
      <w:r/>
      <w:bookmarkStart w:id="486" w:name="_Toc10170"/>
      <w:r/>
      <w:bookmarkStart w:id="487" w:name="_Toc20145"/>
      <w:r>
        <w:rPr>
          <w:rFonts w:hint="eastAsia" w:ascii="宋体" w:hAnsi="宋体" w:eastAsia="宋体" w:cs="宋体"/>
          <w:b/>
          <w:bCs/>
          <w:color w:val="auto"/>
          <w:sz w:val="28"/>
          <w:szCs w:val="28"/>
          <w:highlight w:val="none"/>
        </w:rPr>
        <w:t xml:space="preserve">技术部分</w:t>
      </w:r>
      <w:bookmarkEnd w:id="462"/>
      <w:r/>
      <w:bookmarkEnd w:id="463"/>
      <w:r/>
      <w:bookmarkEnd w:id="464"/>
      <w:r/>
      <w:bookmarkEnd w:id="465"/>
      <w:r/>
      <w:bookmarkEnd w:id="466"/>
      <w:r/>
      <w:bookmarkEnd w:id="467"/>
      <w:r/>
      <w:bookmarkEnd w:id="468"/>
      <w:r/>
      <w:bookmarkEnd w:id="469"/>
      <w:r/>
      <w:bookmarkEnd w:id="470"/>
      <w:r/>
      <w:bookmarkEnd w:id="485"/>
      <w:r/>
      <w:bookmarkEnd w:id="486"/>
      <w:r/>
      <w:bookmarkEnd w:id="487"/>
      <w:r/>
      <w:r/>
    </w:p>
    <w:p>
      <w:pPr>
        <w:spacing w:line="360" w:lineRule="auto"/>
        <w:widowControl/>
        <w:rPr>
          <w:rFonts w:hint="eastAsia" w:ascii="宋体" w:hAnsi="宋体" w:eastAsia="宋体" w:cs="宋体"/>
          <w:b/>
          <w:bCs/>
          <w:color w:val="auto"/>
          <w:sz w:val="24"/>
          <w:highlight w:val="none"/>
        </w:rPr>
        <w:outlineLvl w:val="2"/>
      </w:pPr>
      <w:r/>
      <w:bookmarkStart w:id="488" w:name="_Toc20703"/>
      <w:r/>
      <w:bookmarkStart w:id="489" w:name="_Toc30663"/>
      <w:r/>
      <w:bookmarkStart w:id="490" w:name="_Toc32200"/>
      <w:r/>
      <w:bookmarkStart w:id="491" w:name="_Toc17797"/>
      <w:r/>
      <w:bookmarkStart w:id="492" w:name="_Toc28714"/>
      <w:r/>
      <w:bookmarkStart w:id="493" w:name="_Toc20024"/>
      <w:r/>
      <w:bookmarkStart w:id="494" w:name="_Toc14362"/>
      <w:r/>
      <w:bookmarkStart w:id="495" w:name="_Toc15629"/>
      <w:r/>
      <w:bookmarkStart w:id="496" w:name="_Toc8063"/>
      <w:r/>
      <w:bookmarkStart w:id="497" w:name="_Toc116284558"/>
      <w:r/>
      <w:bookmarkStart w:id="498" w:name="_Toc23845"/>
      <w:r/>
      <w:bookmarkStart w:id="499" w:name="_Toc11193"/>
      <w:r>
        <w:rPr>
          <w:rFonts w:hint="eastAsia" w:ascii="宋体" w:hAnsi="宋体" w:eastAsia="宋体" w:cs="宋体"/>
          <w:b/>
          <w:bCs/>
          <w:color w:val="auto"/>
          <w:sz w:val="24"/>
          <w:highlight w:val="none"/>
        </w:rPr>
        <w:t xml:space="preserve">一、</w:t>
      </w:r>
      <w:r>
        <w:rPr>
          <w:rFonts w:hint="eastAsia" w:ascii="宋体" w:hAnsi="宋体" w:eastAsia="宋体" w:cs="宋体"/>
          <w:b/>
          <w:bCs/>
          <w:color w:val="auto"/>
          <w:sz w:val="24"/>
          <w:highlight w:val="none"/>
          <w:lang w:val="zh-CN"/>
        </w:rPr>
        <w:t xml:space="preserve">项目服务方案（格式自拟）</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根据招标文件内容要求及服务标准内容自行编写，要求全面、详尽、完整、易于理解。</w:t>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spacing w:line="360" w:lineRule="auto"/>
        <w:widowControl/>
        <w:rPr>
          <w:rFonts w:hint="eastAsia" w:ascii="宋体" w:hAnsi="宋体" w:eastAsia="宋体" w:cs="宋体"/>
          <w:b/>
          <w:bCs/>
          <w:color w:val="auto"/>
          <w:sz w:val="24"/>
          <w:highlight w:val="none"/>
        </w:rPr>
        <w:outlineLvl w:val="2"/>
      </w:pPr>
      <w:r/>
      <w:bookmarkStart w:id="500" w:name="_Toc17989"/>
      <w:r/>
      <w:bookmarkStart w:id="501" w:name="_Toc28555"/>
      <w:r/>
      <w:bookmarkStart w:id="502" w:name="_Toc19210"/>
      <w:r/>
      <w:bookmarkStart w:id="503" w:name="_Toc116284559"/>
      <w:r/>
      <w:bookmarkStart w:id="504" w:name="_Toc24854"/>
      <w:r/>
      <w:bookmarkStart w:id="505" w:name="_Toc15976"/>
      <w:r/>
      <w:bookmarkStart w:id="506" w:name="_Toc14295"/>
      <w:r/>
      <w:bookmarkStart w:id="507" w:name="_Toc26324"/>
      <w:r/>
      <w:bookmarkStart w:id="508" w:name="_Toc30822"/>
      <w:r/>
      <w:bookmarkStart w:id="509" w:name="_Toc27959"/>
      <w:r/>
      <w:bookmarkStart w:id="510" w:name="_Toc70"/>
      <w:r/>
      <w:bookmarkStart w:id="511" w:name="_Toc30323"/>
      <w:r/>
      <w:bookmarkStart w:id="512" w:name="_Toc26740"/>
      <w:r/>
      <w:bookmarkStart w:id="513" w:name="_Toc6399"/>
      <w:r/>
      <w:bookmarkStart w:id="514" w:name="_Toc32460"/>
      <w:r/>
      <w:bookmarkStart w:id="515" w:name="_Toc28486"/>
      <w:r/>
      <w:bookmarkStart w:id="516" w:name="_Toc16555"/>
      <w:r/>
      <w:bookmarkStart w:id="517" w:name="_Toc29483"/>
      <w:r/>
      <w:bookmarkStart w:id="518" w:name="_Toc15842"/>
      <w:r/>
      <w:bookmarkStart w:id="519" w:name="_Toc500"/>
      <w:r/>
      <w:bookmarkStart w:id="520" w:name="_Toc6293"/>
      <w:r/>
      <w:bookmarkStart w:id="521" w:name="_Toc23741"/>
      <w:r/>
      <w:bookmarkStart w:id="522" w:name="_Toc5145"/>
      <w:r/>
      <w:bookmarkStart w:id="523" w:name="_Toc11742"/>
      <w:r>
        <w:rPr>
          <w:rFonts w:hint="eastAsia" w:ascii="宋体" w:hAnsi="宋体" w:eastAsia="宋体" w:cs="宋体"/>
          <w:b/>
          <w:bCs/>
          <w:color w:val="auto"/>
          <w:sz w:val="24"/>
          <w:highlight w:val="none"/>
        </w:rPr>
        <w:t xml:space="preserve">二、项目组人员一览表</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
    </w:p>
    <w:p>
      <w:pPr>
        <w:ind w:firstLine="562"/>
        <w:jc w:val="center"/>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项目组人员一览表</w:t>
      </w:r>
      <w:r/>
    </w:p>
    <w:p>
      <w:pPr>
        <w:ind w:firstLine="420"/>
        <w:jc w:val="left"/>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 ：</w:t>
      </w:r>
      <w:r>
        <w:rPr>
          <w:rFonts w:hint="eastAsia" w:ascii="宋体" w:hAnsi="宋体" w:cs="宋体"/>
          <w:color w:val="auto"/>
          <w:szCs w:val="21"/>
          <w:highlight w:val="none"/>
          <w:lang w:val="zh-CN"/>
        </w:rPr>
        <w:t xml:space="preserve">南京市公安局江宁分局交警大队采购道路漆划线及交通设施维护服务</w:t>
      </w:r>
      <w:r/>
    </w:p>
    <w:p>
      <w:pPr>
        <w:ind w:firstLine="420"/>
        <w:jc w:val="left"/>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项目编号 ：</w:t>
      </w:r>
      <w:r>
        <w:rPr>
          <w:rFonts w:hint="eastAsia" w:ascii="宋体" w:hAnsi="宋体" w:cs="宋体"/>
          <w:color w:val="auto"/>
          <w:szCs w:val="21"/>
          <w:highlight w:val="none"/>
          <w:lang w:val="zh-CN"/>
        </w:rPr>
        <w:t xml:space="preserve">JSZC-320115-NJLX-G2026-0006</w:t>
      </w:r>
      <w:r/>
    </w:p>
    <w:tbl>
      <w:tblPr>
        <w:tblStyle w:val="799"/>
        <w:tblW w:w="85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134"/>
        <w:gridCol w:w="992"/>
        <w:gridCol w:w="1701"/>
        <w:gridCol w:w="1701"/>
        <w:gridCol w:w="2075"/>
      </w:tblGrid>
      <w:tr>
        <w:trPr/>
        <w:tc>
          <w:tcPr>
            <w:tcW w:w="95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W w:w="1134"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姓名</w:t>
            </w:r>
            <w:r/>
          </w:p>
        </w:tc>
        <w:tc>
          <w:tcPr>
            <w:tcW w:w="992"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性别</w:t>
            </w:r>
            <w:r/>
          </w:p>
        </w:tc>
        <w:tc>
          <w:tcPr>
            <w:tcW w:w="1701"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身份证号</w:t>
            </w:r>
            <w:r/>
          </w:p>
        </w:tc>
        <w:tc>
          <w:tcPr>
            <w:tcW w:w="1701"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联系方式</w:t>
            </w:r>
            <w:r/>
          </w:p>
        </w:tc>
        <w:tc>
          <w:tcPr>
            <w:tcW w:w="207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    注       （本项目担任职务）</w:t>
            </w:r>
            <w:r/>
          </w:p>
        </w:tc>
      </w:tr>
      <w:tr>
        <w:trPr>
          <w:trHeight w:val="340"/>
        </w:trPr>
        <w:tc>
          <w:tcPr>
            <w:tcW w:w="959"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99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01"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01"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07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40"/>
        </w:trPr>
        <w:tc>
          <w:tcPr>
            <w:tcW w:w="959"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99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01"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01"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07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40"/>
        </w:trPr>
        <w:tc>
          <w:tcPr>
            <w:tcW w:w="959"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99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01"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01"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07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340"/>
        </w:trPr>
        <w:tc>
          <w:tcPr>
            <w:tcW w:w="959"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99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01"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01"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07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电子签章</w:t>
      </w:r>
      <w:r>
        <w:rPr>
          <w:rFonts w:hint="eastAsia" w:ascii="宋体" w:hAnsi="宋体" w:eastAsia="宋体" w:cs="宋体"/>
          <w:color w:val="auto"/>
          <w:szCs w:val="21"/>
          <w:highlight w:val="none"/>
        </w:rPr>
        <w:t xml:space="preserve">）：            </w:t>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p>
      <w:pPr>
        <w:ind w:firstLine="420"/>
        <w:jc w:val="righ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日    期：    年    月   日</w:t>
      </w:r>
      <w:r>
        <w:rPr>
          <w:rFonts w:hint="eastAsia" w:ascii="宋体" w:hAnsi="宋体" w:eastAsia="宋体" w:cs="宋体"/>
          <w:color w:val="auto"/>
          <w:szCs w:val="21"/>
          <w:highlight w:val="none"/>
          <w:lang w:val="en-US" w:eastAsia="zh-CN"/>
        </w:rPr>
        <w:t xml:space="preserve">     </w:t>
      </w:r>
      <w:r/>
    </w:p>
    <w:p>
      <w:pPr>
        <w:ind w:firstLine="420"/>
        <w:jc w:val="left"/>
        <w:spacing w:line="360" w:lineRule="auto"/>
        <w:widowControl/>
        <w:rPr>
          <w:rFonts w:hint="eastAsia" w:ascii="宋体" w:hAnsi="宋体" w:eastAsia="宋体" w:cs="宋体"/>
          <w:color w:val="auto"/>
          <w:szCs w:val="21"/>
          <w:highlight w:val="none"/>
          <w:lang w:val="zh-CN"/>
        </w:rPr>
      </w:pPr>
      <w:r/>
      <w:bookmarkStart w:id="524" w:name="_Toc3939"/>
      <w:r>
        <w:rPr>
          <w:rFonts w:hint="eastAsia" w:ascii="宋体" w:hAnsi="宋体" w:eastAsia="宋体" w:cs="宋体"/>
          <w:color w:val="auto"/>
          <w:szCs w:val="21"/>
          <w:highlight w:val="none"/>
          <w:lang w:val="zh-CN"/>
        </w:rPr>
        <w:t xml:space="preserve">说明：</w:t>
      </w:r>
      <w:bookmarkEnd w:id="524"/>
      <w:r/>
      <w:r/>
    </w:p>
    <w:p>
      <w:pPr>
        <w:ind w:firstLine="420"/>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lang w:val="zh-CN"/>
        </w:rPr>
        <w:t xml:space="preserve">1、如果行、列数不够，请自行增加。</w:t>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2、“备注”栏，可填写该人员擅长的工作种类。</w:t>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ind w:firstLine="482"/>
        <w:jc w:val="left"/>
        <w:widowControl/>
        <w:rPr>
          <w:rFonts w:hint="eastAsia" w:ascii="宋体" w:hAnsi="宋体" w:eastAsia="宋体" w:cs="宋体"/>
          <w:b/>
          <w:bCs/>
          <w:color w:val="auto"/>
          <w:sz w:val="24"/>
          <w:highlight w:val="none"/>
        </w:rPr>
      </w:pPr>
      <w:r/>
      <w:bookmarkStart w:id="525" w:name="_Toc21448"/>
      <w:r/>
      <w:bookmarkStart w:id="526" w:name="_Toc27439"/>
      <w:r/>
      <w:bookmarkStart w:id="527" w:name="_Toc12356"/>
      <w:r/>
      <w:bookmarkStart w:id="528" w:name="_Toc7225"/>
      <w:r/>
      <w:bookmarkStart w:id="529" w:name="_Toc23461"/>
      <w:r/>
      <w:bookmarkStart w:id="530" w:name="_Toc29848"/>
      <w:r/>
      <w:bookmarkStart w:id="531" w:name="_Toc13994"/>
      <w:r/>
      <w:bookmarkStart w:id="532" w:name="_Toc16019"/>
      <w:r/>
      <w:bookmarkStart w:id="533" w:name="_Toc28911"/>
      <w:r/>
      <w:bookmarkStart w:id="534" w:name="_Toc16129"/>
      <w:r/>
      <w:bookmarkStart w:id="535" w:name="_Toc2173"/>
      <w:r/>
      <w:bookmarkStart w:id="536" w:name="_Toc7866"/>
      <w:r/>
      <w:bookmarkStart w:id="537" w:name="_Toc19167"/>
      <w:r/>
      <w:bookmarkStart w:id="538" w:name="_Toc22923"/>
      <w:r/>
      <w:bookmarkStart w:id="539" w:name="_Toc23763"/>
      <w:r/>
      <w:bookmarkStart w:id="540" w:name="_Toc9975"/>
      <w:r/>
      <w:bookmarkStart w:id="541" w:name="_Toc29914"/>
      <w:r/>
      <w:bookmarkStart w:id="542" w:name="_Toc7755"/>
      <w:r/>
      <w:bookmarkStart w:id="543" w:name="_Toc8936"/>
      <w:r/>
      <w:bookmarkStart w:id="544" w:name="_Toc32029"/>
      <w:r/>
      <w:bookmarkStart w:id="545" w:name="_Toc4430"/>
      <w:r/>
      <w:bookmarkStart w:id="546" w:name="_Toc27678"/>
      <w:r/>
      <w:bookmarkStart w:id="547" w:name="_Toc116284560"/>
      <w:r>
        <w:rPr>
          <w:rFonts w:hint="eastAsia" w:ascii="宋体" w:hAnsi="宋体" w:eastAsia="宋体" w:cs="宋体"/>
          <w:b/>
          <w:bCs/>
          <w:color w:val="auto"/>
          <w:sz w:val="24"/>
          <w:highlight w:val="none"/>
        </w:rPr>
        <w:br w:type="page" w:clear="all"/>
      </w:r>
      <w:r/>
    </w:p>
    <w:p>
      <w:pPr>
        <w:rPr>
          <w:rFonts w:hint="eastAsia" w:ascii="宋体" w:hAnsi="宋体" w:eastAsia="宋体" w:cs="宋体"/>
          <w:b/>
          <w:bCs/>
          <w:color w:val="auto"/>
          <w:sz w:val="24"/>
          <w:highlight w:val="none"/>
          <w:lang w:val="zh-CN"/>
        </w:rPr>
        <w:outlineLvl w:val="2"/>
      </w:pPr>
      <w:r/>
      <w:bookmarkStart w:id="548" w:name="_Toc4428"/>
      <w:r/>
      <w:bookmarkStart w:id="549" w:name="_Toc19420"/>
      <w:r/>
      <w:bookmarkStart w:id="550" w:name="_Toc904"/>
      <w:r>
        <w:rPr>
          <w:rFonts w:hint="eastAsia" w:ascii="宋体" w:hAnsi="宋体" w:eastAsia="宋体" w:cs="宋体"/>
          <w:b/>
          <w:bCs/>
          <w:color w:val="auto"/>
          <w:sz w:val="24"/>
          <w:highlight w:val="none"/>
        </w:rPr>
        <w:t xml:space="preserve">三、</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Start w:id="551" w:name="_Toc28774"/>
      <w:r/>
      <w:bookmarkStart w:id="552" w:name="_Toc17259"/>
      <w:r/>
      <w:bookmarkStart w:id="553" w:name="_Toc22933"/>
      <w:r/>
      <w:bookmarkStart w:id="554" w:name="_Toc14511"/>
      <w:r/>
      <w:bookmarkStart w:id="555" w:name="_Toc116284561"/>
      <w:r/>
      <w:bookmarkStart w:id="556" w:name="_Toc30985"/>
      <w:r/>
      <w:bookmarkStart w:id="557" w:name="_Toc5632"/>
      <w:r/>
      <w:bookmarkStart w:id="558" w:name="_Toc19910"/>
      <w:r/>
      <w:bookmarkStart w:id="559" w:name="_Toc20108"/>
      <w:r/>
      <w:bookmarkStart w:id="560" w:name="_Toc24059"/>
      <w:r/>
      <w:bookmarkStart w:id="561" w:name="_Toc7211"/>
      <w:r/>
      <w:bookmarkStart w:id="562" w:name="_Toc6698"/>
      <w:r/>
      <w:bookmarkStart w:id="563" w:name="_Toc28018"/>
      <w:r/>
      <w:bookmarkStart w:id="564" w:name="_Toc4304"/>
      <w:r/>
      <w:bookmarkStart w:id="565" w:name="_Toc13484"/>
      <w:r/>
      <w:bookmarkStart w:id="566" w:name="_Toc13912"/>
      <w:r/>
      <w:bookmarkStart w:id="567" w:name="_Toc7715"/>
      <w:r/>
      <w:bookmarkStart w:id="568" w:name="_Toc31688"/>
      <w:r>
        <w:rPr>
          <w:rFonts w:hint="eastAsia" w:ascii="宋体" w:hAnsi="宋体" w:eastAsia="宋体" w:cs="宋体"/>
          <w:b/>
          <w:bCs/>
          <w:color w:val="auto"/>
          <w:sz w:val="24"/>
          <w:highlight w:val="none"/>
        </w:rPr>
        <w:t xml:space="preserve">质量保证及服务承诺</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ind w:firstLine="482"/>
        <w:jc w:val="center"/>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质量保证及服务承诺</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我公司就项目编号为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val="zh-CN"/>
        </w:rPr>
        <w:t xml:space="preserve">的（项目名称） 采购项目质量保证及服务承诺如下：</w:t>
      </w:r>
      <w:r/>
    </w:p>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（投标人自拟）</w:t>
      </w:r>
      <w:r/>
    </w:p>
    <w:p>
      <w:pPr>
        <w:ind w:firstLine="42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投标人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电子签章</w:t>
      </w:r>
      <w:r>
        <w:rPr>
          <w:rFonts w:hint="eastAsia" w:ascii="宋体" w:hAnsi="宋体" w:eastAsia="宋体" w:cs="宋体"/>
          <w:color w:val="auto"/>
          <w:szCs w:val="21"/>
          <w:highlight w:val="none"/>
        </w:rPr>
        <w:t xml:space="preserve">）：            </w:t>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p>
      <w:pPr>
        <w:ind w:firstLine="420"/>
        <w:jc w:val="righ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日    期：    年    月   日</w:t>
      </w:r>
      <w:r>
        <w:rPr>
          <w:rFonts w:hint="eastAsia" w:ascii="宋体" w:hAnsi="宋体" w:eastAsia="宋体" w:cs="宋体"/>
          <w:color w:val="auto"/>
          <w:szCs w:val="21"/>
          <w:highlight w:val="none"/>
          <w:lang w:val="en-US" w:eastAsia="zh-CN"/>
        </w:rPr>
        <w:t xml:space="preserve">     </w:t>
      </w:r>
      <w:bookmarkEnd w:id="560"/>
      <w:r/>
      <w:bookmarkEnd w:id="561"/>
      <w:r/>
      <w:bookmarkEnd w:id="562"/>
      <w:r/>
      <w:bookmarkEnd w:id="563"/>
      <w:r/>
      <w:bookmarkEnd w:id="564"/>
      <w:r/>
      <w:bookmarkEnd w:id="565"/>
      <w:r/>
      <w:bookmarkEnd w:id="566"/>
      <w:r/>
      <w:bookmarkEnd w:id="567"/>
      <w:r/>
      <w:bookmarkEnd w:id="568"/>
      <w:r/>
      <w:r/>
    </w:p>
    <w:p>
      <w:pPr>
        <w:ind w:firstLine="422"/>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jc w:val="left"/>
        <w:widowControl/>
        <w:rPr>
          <w:rFonts w:hint="eastAsia" w:ascii="宋体" w:hAnsi="宋体" w:eastAsia="宋体" w:cs="宋体"/>
          <w:b/>
          <w:color w:val="auto"/>
          <w:sz w:val="24"/>
          <w:highlight w:val="none"/>
        </w:rPr>
      </w:pPr>
      <w:r/>
      <w:bookmarkStart w:id="569" w:name="_Toc31240"/>
      <w:r/>
      <w:bookmarkStart w:id="570" w:name="_Toc30745"/>
      <w:r/>
      <w:bookmarkStart w:id="571" w:name="_Toc11845"/>
      <w:r/>
      <w:bookmarkStart w:id="572" w:name="_Toc3677"/>
      <w:r/>
      <w:bookmarkStart w:id="573" w:name="_Toc32594"/>
      <w:r/>
      <w:bookmarkStart w:id="574" w:name="_Toc116284562"/>
      <w:r/>
      <w:bookmarkStart w:id="575" w:name="_Toc11218"/>
      <w:r/>
      <w:bookmarkStart w:id="576" w:name="_Toc3423"/>
      <w:r/>
      <w:bookmarkStart w:id="577" w:name="_Toc16958"/>
      <w:r/>
      <w:r/>
    </w:p>
    <w:p>
      <w:pPr>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rPr>
          <w:rFonts w:hint="eastAsia" w:ascii="宋体" w:hAnsi="宋体" w:eastAsia="宋体" w:cs="宋体"/>
          <w:b/>
          <w:bCs/>
          <w:color w:val="auto"/>
          <w:sz w:val="24"/>
          <w:highlight w:val="none"/>
          <w:lang w:val="zh-CN"/>
        </w:rPr>
        <w:outlineLvl w:val="9"/>
      </w:pPr>
      <w:r>
        <w:rPr>
          <w:rFonts w:hint="eastAsia" w:ascii="宋体" w:hAnsi="宋体" w:eastAsia="宋体" w:cs="宋体"/>
          <w:b/>
          <w:bCs/>
          <w:color w:val="auto"/>
          <w:sz w:val="24"/>
          <w:highlight w:val="none"/>
          <w:lang w:val="zh-CN"/>
        </w:rPr>
      </w:r>
      <w:r/>
    </w:p>
    <w:p>
      <w:pPr>
        <w:rPr>
          <w:rFonts w:hint="eastAsia" w:ascii="宋体" w:hAnsi="宋体" w:eastAsia="宋体" w:cs="宋体"/>
          <w:b/>
          <w:bCs/>
          <w:color w:val="auto"/>
          <w:sz w:val="24"/>
          <w:highlight w:val="none"/>
          <w:lang w:val="zh-CN"/>
        </w:rPr>
        <w:outlineLvl w:val="2"/>
      </w:pPr>
      <w:r/>
      <w:bookmarkStart w:id="578" w:name="_Toc29402"/>
      <w:r/>
      <w:bookmarkStart w:id="579" w:name="_Toc11448"/>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lang w:val="zh-CN"/>
        </w:rPr>
        <w:t xml:space="preserve">投标人认为需要提供的其他技术文件或资料</w:t>
      </w:r>
      <w:bookmarkEnd w:id="578"/>
      <w:r/>
      <w:bookmarkEnd w:id="579"/>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bookmarkEnd w:id="267"/>
      <w:r/>
      <w:bookmarkEnd w:id="268"/>
      <w:r/>
      <w:bookmarkEnd w:id="269"/>
      <w:r/>
      <w:bookmarkEnd w:id="270"/>
      <w:r/>
      <w:bookmarkEnd w:id="271"/>
      <w:r/>
      <w:bookmarkEnd w:id="272"/>
      <w:r/>
      <w:bookmarkEnd w:id="273"/>
      <w:r/>
      <w:bookmarkEnd w:id="274"/>
      <w:r/>
      <w:bookmarkEnd w:id="569"/>
      <w:r/>
      <w:bookmarkEnd w:id="570"/>
      <w:r/>
      <w:bookmarkEnd w:id="571"/>
      <w:r/>
      <w:bookmarkEnd w:id="572"/>
      <w:r/>
      <w:bookmarkEnd w:id="573"/>
      <w:r/>
      <w:bookmarkEnd w:id="574"/>
      <w:r/>
      <w:bookmarkEnd w:id="575"/>
      <w:r/>
      <w:bookmarkEnd w:id="576"/>
      <w:r/>
      <w:bookmarkEnd w:id="577"/>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jc w:val="left"/>
        <w:widowControl/>
        <w:rPr>
          <w:rFonts w:hint="eastAsia" w:ascii="宋体" w:hAnsi="宋体" w:eastAsia="宋体" w:cs="宋体"/>
          <w:b/>
          <w:bCs/>
          <w:color w:val="auto"/>
          <w:sz w:val="24"/>
          <w:highlight w:val="none"/>
        </w:rPr>
      </w:pPr>
      <w:r/>
      <w:bookmarkStart w:id="580" w:name="_Toc17178"/>
      <w:r/>
      <w:bookmarkStart w:id="581" w:name="_Toc6336"/>
      <w:r/>
      <w:bookmarkStart w:id="582" w:name="_Toc27446"/>
      <w:r/>
      <w:bookmarkStart w:id="583" w:name="_Toc6878"/>
      <w:r/>
      <w:bookmarkStart w:id="584" w:name="_Toc13882"/>
      <w:r/>
      <w:bookmarkStart w:id="585" w:name="_Toc5412"/>
      <w:r/>
      <w:bookmarkStart w:id="586" w:name="_Toc17045"/>
      <w:r/>
      <w:bookmarkStart w:id="587" w:name="_Toc17388"/>
      <w:r/>
      <w:bookmarkStart w:id="588" w:name="_Toc4780"/>
      <w:r/>
      <w:bookmarkStart w:id="589" w:name="_Toc10415"/>
      <w:r/>
      <w:bookmarkStart w:id="590" w:name="_Toc4276"/>
      <w:r/>
      <w:bookmarkStart w:id="591" w:name="_Toc5707"/>
      <w:r/>
      <w:bookmarkStart w:id="592" w:name="_Toc25830"/>
      <w:r/>
      <w:bookmarkStart w:id="593" w:name="_Toc30728"/>
      <w:r/>
      <w:bookmarkStart w:id="594" w:name="_Toc20625"/>
      <w:r/>
      <w:bookmarkStart w:id="595" w:name="_Toc7887"/>
      <w:r/>
      <w:bookmarkStart w:id="596" w:name="_Toc31166"/>
      <w:r/>
      <w:bookmarkStart w:id="597" w:name="_Toc31031"/>
      <w:r/>
      <w:bookmarkStart w:id="598" w:name="_Toc31436"/>
      <w:r/>
      <w:bookmarkStart w:id="599" w:name="_Toc12016"/>
      <w:r/>
      <w:bookmarkStart w:id="600" w:name="_Toc27576"/>
      <w:r/>
      <w:bookmarkStart w:id="601" w:name="_Toc20122"/>
      <w:r/>
      <w:bookmarkStart w:id="602" w:name="_Toc15535"/>
      <w:r/>
      <w:bookmarkStart w:id="603" w:name="_Toc19583"/>
      <w:r/>
      <w:bookmarkStart w:id="604" w:name="_Toc26579"/>
      <w:r/>
      <w:bookmarkStart w:id="605" w:name="_Toc3582"/>
      <w:r/>
      <w:bookmarkStart w:id="606" w:name="_Toc116284563"/>
      <w:r/>
      <w:bookmarkStart w:id="607" w:name="_Toc2093"/>
      <w:r/>
      <w:bookmarkStart w:id="608" w:name="_Toc8388"/>
      <w:r/>
      <w:bookmarkStart w:id="609" w:name="_Toc16174"/>
      <w:r/>
      <w:bookmarkStart w:id="610" w:name="_Toc11914"/>
      <w:r/>
      <w:bookmarkStart w:id="611" w:name="_Toc29835"/>
      <w:r/>
      <w:bookmarkStart w:id="612" w:name="_Toc10669"/>
      <w:r/>
      <w:bookmarkStart w:id="613" w:name="_Toc28544"/>
      <w:r/>
      <w:bookmarkStart w:id="614" w:name="_Toc22112"/>
      <w:r/>
      <w:bookmarkStart w:id="615" w:name="_Toc18025"/>
      <w:r/>
      <w:bookmarkStart w:id="616" w:name="_Toc1352"/>
      <w:r/>
      <w:bookmarkStart w:id="617" w:name="_Toc14174"/>
      <w:r/>
      <w:bookmarkStart w:id="618" w:name="_Toc20700"/>
      <w:r>
        <w:rPr>
          <w:rFonts w:hint="eastAsia" w:ascii="宋体" w:hAnsi="宋体" w:eastAsia="宋体" w:cs="宋体"/>
          <w:b/>
          <w:bCs/>
          <w:color w:val="auto"/>
          <w:sz w:val="24"/>
          <w:highlight w:val="none"/>
        </w:rPr>
        <w:br w:type="page" w:clear="all"/>
      </w:r>
      <w:r/>
    </w:p>
    <w:p>
      <w:pPr>
        <w:spacing w:line="360" w:lineRule="auto"/>
        <w:rPr>
          <w:rFonts w:hint="eastAsia" w:ascii="宋体" w:hAnsi="宋体" w:eastAsia="宋体" w:cs="宋体"/>
          <w:b/>
          <w:color w:val="auto"/>
          <w:highlight w:val="none"/>
        </w:rPr>
        <w:outlineLvl w:val="1"/>
      </w:pPr>
      <w:r/>
      <w:bookmarkStart w:id="619" w:name="_Toc10879"/>
      <w:r/>
      <w:bookmarkStart w:id="620" w:name="_Toc24834"/>
      <w:r/>
      <w:bookmarkStart w:id="621" w:name="_Toc17419"/>
      <w:r>
        <w:rPr>
          <w:rFonts w:hint="eastAsia" w:ascii="宋体" w:hAnsi="宋体" w:eastAsia="宋体" w:cs="宋体"/>
          <w:b/>
          <w:bCs/>
          <w:color w:val="auto"/>
          <w:sz w:val="24"/>
          <w:highlight w:val="none"/>
        </w:rPr>
        <w:t xml:space="preserve">附件一、</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Start w:id="622" w:name="_Toc574"/>
      <w:r/>
      <w:bookmarkStart w:id="623" w:name="_Toc19860"/>
      <w:r/>
      <w:bookmarkStart w:id="624" w:name="_Toc32016"/>
      <w:r/>
      <w:bookmarkStart w:id="625" w:name="_Toc16049"/>
      <w:r>
        <w:rPr>
          <w:rFonts w:hint="eastAsia" w:ascii="宋体" w:hAnsi="宋体" w:eastAsia="宋体" w:cs="宋体"/>
          <w:b/>
          <w:color w:val="auto"/>
          <w:sz w:val="24"/>
          <w:highlight w:val="none"/>
        </w:rPr>
        <w:t xml:space="preserve">中小企业声明函格式</w:t>
      </w:r>
      <w:bookmarkEnd w:id="605"/>
      <w:r/>
      <w:bookmarkEnd w:id="606"/>
      <w:r/>
      <w:bookmarkEnd w:id="607"/>
      <w:r/>
      <w:bookmarkEnd w:id="619"/>
      <w:r/>
      <w:bookmarkEnd w:id="620"/>
      <w:r/>
      <w:bookmarkEnd w:id="621"/>
      <w:r/>
      <w:bookmarkEnd w:id="622"/>
      <w:r/>
      <w:bookmarkEnd w:id="623"/>
      <w:r/>
      <w:bookmarkEnd w:id="624"/>
      <w:r/>
      <w:bookmarkEnd w:id="625"/>
      <w:r/>
      <w:r/>
    </w:p>
    <w:p>
      <w:pPr>
        <w:ind w:firstLine="562"/>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       （采购人名称）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 xml:space="preserve">采购活动，服务全部由符合政策要求的中小企业承接。相关企业（含联合体中的中小企业、签订分包意向协议的中小企业）的具体情况如下：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         （标的名称）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vertAlign w:val="superscript"/>
        </w:rPr>
        <w:t xml:space="preserve">①</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（中型企业、小型企业、微型企业）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         （标的名称）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vertAlign w:val="superscript"/>
        </w:rPr>
        <w:t xml:space="preserve">①</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（中型企业、小型企业、微型企业）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 法承担相应责任。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电子签章</w:t>
      </w:r>
      <w:r>
        <w:rPr>
          <w:rFonts w:hint="eastAsia" w:ascii="宋体" w:hAnsi="宋体" w:eastAsia="宋体" w:cs="宋体"/>
          <w:color w:val="auto"/>
          <w:highlight w:val="none"/>
        </w:rPr>
        <w:t xml:space="preserve">）：</w:t>
      </w:r>
      <w:r/>
    </w:p>
    <w:p>
      <w:pPr>
        <w:ind w:firstLine="42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ind w:firstLine="420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w:t>
      </w:r>
      <w:r/>
    </w:p>
    <w:p>
      <w:pPr>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①从业人员、营业收入、资产总额填报上一年度数据，无上一年度数据的新成立企业可不填报。</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②</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提供的货物符合下列情形的，享受中小企业扶持政策：</w:t>
      </w:r>
      <w:r>
        <w:rPr>
          <w:rFonts w:hint="eastAsia" w:ascii="宋体" w:hAnsi="宋体" w:eastAsia="宋体" w:cs="宋体"/>
          <w:color w:val="auto"/>
          <w:szCs w:val="21"/>
          <w:highlight w:val="none"/>
          <w:lang w:val="zh-CN"/>
        </w:rPr>
        <w:t xml:space="preserve">在货物采购项目中，货物由中小企业制造，即货物由中小企业生产且使用该中小企业商号或者注册商标。若投标人提供的货物既有中小企业制造货物，也有大型企业制造货物的，则不享受中小企业扶持政策。</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③中标（成交）</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的《中小企业声明函》将随中标（成交）公告进行公示。</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按照本办法规定提供声明函内容不实的，属于提供虚假材料谋取中标、成交，依照《中华人民共和国政府采购法》等国家有关规定追究相应责任。</w:t>
      </w:r>
      <w:r/>
    </w:p>
    <w:p>
      <w:pPr>
        <w:ind w:firstLine="422"/>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④</w:t>
      </w:r>
      <w:r>
        <w:rPr>
          <w:rFonts w:hint="eastAsia" w:ascii="宋体" w:hAnsi="宋体" w:eastAsia="宋体" w:cs="宋体"/>
          <w:b/>
          <w:bCs/>
          <w:color w:val="auto"/>
          <w:highlight w:val="none"/>
        </w:rPr>
        <w:t xml:space="preserve">本项目所属行业为：</w:t>
      </w:r>
      <w:r>
        <w:rPr>
          <w:rFonts w:hint="eastAsia" w:ascii="宋体" w:hAnsi="宋体" w:eastAsia="宋体" w:cs="宋体"/>
          <w:b/>
          <w:bCs/>
          <w:color w:val="auto"/>
          <w:highlight w:val="none"/>
          <w:lang w:val="en-US" w:eastAsia="zh-CN"/>
        </w:rPr>
        <w:t xml:space="preserve">其他未列明行业</w:t>
      </w:r>
      <w:r>
        <w:rPr>
          <w:rFonts w:hint="eastAsia" w:ascii="宋体" w:hAnsi="宋体" w:eastAsia="宋体" w:cs="宋体"/>
          <w:b/>
          <w:bCs/>
          <w:color w:val="auto"/>
          <w:highlight w:val="none"/>
        </w:rPr>
        <w:t xml:space="preserve">。本项目所属行业中小企业划型标准如下：</w:t>
      </w:r>
      <w:r>
        <w:rPr>
          <w:rFonts w:hint="eastAsia" w:ascii="宋体" w:hAnsi="宋体" w:eastAsia="宋体" w:cs="宋体"/>
          <w:b/>
          <w:bCs/>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ind w:firstLine="560"/>
        <w:jc w:val="right"/>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rPr>
          <w:rFonts w:hint="eastAsia" w:ascii="宋体" w:hAnsi="宋体" w:eastAsia="宋体" w:cs="宋体"/>
          <w:b/>
          <w:color w:val="auto"/>
          <w:szCs w:val="21"/>
          <w:highlight w:val="none"/>
        </w:rPr>
        <w:outlineLvl w:val="1"/>
      </w:pPr>
      <w:r/>
      <w:bookmarkStart w:id="626" w:name="_Toc11338"/>
      <w:r/>
      <w:bookmarkStart w:id="627" w:name="_Toc31452"/>
      <w:r/>
      <w:bookmarkStart w:id="628" w:name="_Toc29218"/>
      <w:r/>
      <w:bookmarkStart w:id="629" w:name="_Toc28482"/>
      <w:r/>
      <w:bookmarkStart w:id="630" w:name="_Toc32151"/>
      <w:r/>
      <w:bookmarkStart w:id="631" w:name="_Toc116284564"/>
      <w:r/>
      <w:bookmarkStart w:id="632" w:name="_Toc28517"/>
      <w:r/>
      <w:bookmarkStart w:id="633" w:name="_Toc11522"/>
      <w:r/>
      <w:bookmarkStart w:id="634" w:name="_Toc24091"/>
      <w:r>
        <w:rPr>
          <w:rFonts w:hint="eastAsia" w:ascii="宋体" w:hAnsi="宋体" w:eastAsia="宋体" w:cs="宋体"/>
          <w:b/>
          <w:bCs/>
          <w:color w:val="auto"/>
          <w:sz w:val="24"/>
          <w:highlight w:val="none"/>
        </w:rPr>
        <w:br w:type="page" w:clear="all"/>
      </w:r>
      <w:bookmarkStart w:id="635" w:name="_Toc7541"/>
      <w:r/>
      <w:bookmarkStart w:id="636" w:name="_Toc25771"/>
      <w:r/>
      <w:bookmarkStart w:id="637" w:name="_Toc14420"/>
      <w:r>
        <w:rPr>
          <w:rFonts w:hint="eastAsia" w:ascii="宋体" w:hAnsi="宋体" w:eastAsia="宋体" w:cs="宋体"/>
          <w:b/>
          <w:bCs/>
          <w:color w:val="auto"/>
          <w:sz w:val="24"/>
          <w:highlight w:val="none"/>
        </w:rPr>
        <w:t xml:space="preserve">附件二、残疾人福利性单位声明函（如有）</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ind w:firstLine="562"/>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widowControl/>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t xml:space="preserve">残疾人福利性单位声明函（如有）</w:t>
      </w:r>
      <w:r/>
    </w:p>
    <w:p>
      <w:pPr>
        <w:ind w:firstLine="444"/>
        <w:rPr>
          <w:rFonts w:hint="eastAsia" w:ascii="宋体" w:hAnsi="宋体" w:eastAsia="宋体" w:cs="宋体"/>
          <w:color w:val="auto"/>
          <w:spacing w:val="6"/>
          <w:szCs w:val="21"/>
          <w:highlight w:val="none"/>
          <w:lang w:val="zh-CN"/>
        </w:rPr>
      </w:pPr>
      <w:r>
        <w:rPr>
          <w:rFonts w:hint="eastAsia" w:ascii="宋体" w:hAnsi="宋体" w:eastAsia="宋体" w:cs="宋体"/>
          <w:color w:val="auto"/>
          <w:spacing w:val="6"/>
          <w:szCs w:val="21"/>
          <w:highlight w:val="none"/>
          <w:lang w:val="zh-CN"/>
        </w:rPr>
        <w:t xml:space="preserve">本单位郑重声明，根据《财政部 民政部 中国残疾人联合会关于促进残疾人就业政府采购政策的通知》（财库〔2017〕 141号）的规定，本单位为</w:t>
      </w:r>
      <w:r>
        <w:rPr>
          <w:rFonts w:hint="eastAsia" w:ascii="宋体" w:hAnsi="宋体" w:eastAsia="宋体" w:cs="宋体"/>
          <w:color w:val="auto"/>
          <w:spacing w:val="6"/>
          <w:szCs w:val="21"/>
          <w:highlight w:val="none"/>
          <w:u w:val="single"/>
          <w:lang w:val="zh-CN"/>
        </w:rPr>
        <w:t xml:space="preserve">        （符合/不符合）   </w:t>
      </w:r>
      <w:r>
        <w:rPr>
          <w:rFonts w:hint="eastAsia" w:ascii="宋体" w:hAnsi="宋体" w:eastAsia="宋体" w:cs="宋体"/>
          <w:color w:val="auto"/>
          <w:spacing w:val="6"/>
          <w:szCs w:val="21"/>
          <w:highlight w:val="none"/>
          <w:lang w:val="zh-CN"/>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rPr>
          <w:rFonts w:hint="eastAsia" w:ascii="宋体" w:hAnsi="宋体" w:eastAsia="宋体" w:cs="宋体"/>
          <w:color w:val="auto"/>
          <w:spacing w:val="6"/>
          <w:szCs w:val="21"/>
          <w:highlight w:val="none"/>
          <w:lang w:val="zh-CN"/>
        </w:rPr>
      </w:pPr>
      <w:r>
        <w:rPr>
          <w:rFonts w:hint="eastAsia" w:ascii="宋体" w:hAnsi="宋体" w:eastAsia="宋体" w:cs="宋体"/>
          <w:color w:val="auto"/>
          <w:spacing w:val="6"/>
          <w:szCs w:val="21"/>
          <w:highlight w:val="none"/>
          <w:lang w:val="zh-CN"/>
        </w:rPr>
        <w:t xml:space="preserve">本单位对上述声明的真实性负责。如有虚假，将依法承担相应责任。</w:t>
      </w:r>
      <w:r/>
    </w:p>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电子签章</w:t>
      </w:r>
      <w:r>
        <w:rPr>
          <w:rFonts w:hint="eastAsia" w:ascii="宋体" w:hAnsi="宋体" w:eastAsia="宋体" w:cs="宋体"/>
          <w:color w:val="auto"/>
          <w:szCs w:val="21"/>
          <w:highlight w:val="none"/>
        </w:rPr>
        <w:t xml:space="preserve">）：            </w:t>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p>
      <w:pPr>
        <w:ind w:firstLine="420"/>
        <w:jc w:val="righ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日    期：    年    月   日</w:t>
      </w:r>
      <w:r>
        <w:rPr>
          <w:rFonts w:hint="eastAsia" w:ascii="宋体" w:hAnsi="宋体" w:eastAsia="宋体" w:cs="宋体"/>
          <w:color w:val="auto"/>
          <w:szCs w:val="21"/>
          <w:highlight w:val="none"/>
          <w:lang w:val="en-US" w:eastAsia="zh-CN"/>
        </w:rPr>
        <w:t xml:space="preserve">     </w:t>
      </w:r>
      <w:bookmarkEnd w:id="608"/>
      <w:r/>
      <w:bookmarkEnd w:id="609"/>
      <w:r/>
      <w:bookmarkEnd w:id="610"/>
      <w:r/>
      <w:bookmarkEnd w:id="611"/>
      <w:r/>
      <w:bookmarkEnd w:id="612"/>
      <w:r/>
      <w:bookmarkEnd w:id="613"/>
      <w:r/>
      <w:bookmarkEnd w:id="614"/>
      <w:r/>
      <w:bookmarkEnd w:id="615"/>
      <w:r/>
      <w:bookmarkEnd w:id="616"/>
      <w:r/>
      <w:bookmarkEnd w:id="617"/>
      <w:r/>
      <w:bookmarkEnd w:id="618"/>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82"/>
        <w:rPr>
          <w:rFonts w:hint="eastAsia" w:ascii="宋体" w:hAnsi="宋体" w:eastAsia="宋体" w:cs="宋体"/>
          <w:b/>
          <w:bCs/>
          <w:color w:val="auto"/>
          <w:sz w:val="24"/>
          <w:highlight w:val="none"/>
          <w:lang w:val="zh-CN"/>
        </w:rPr>
      </w:pPr>
      <w:r/>
      <w:bookmarkStart w:id="638" w:name="_Toc30368"/>
      <w:r/>
      <w:bookmarkStart w:id="639" w:name="_Toc30794"/>
      <w:r/>
      <w:bookmarkStart w:id="640" w:name="_Toc24015"/>
      <w:r/>
      <w:bookmarkStart w:id="641" w:name="_Toc32356"/>
      <w:r/>
      <w:bookmarkStart w:id="642" w:name="_Toc8045"/>
      <w:r/>
      <w:bookmarkStart w:id="643" w:name="_Toc116284565"/>
      <w:r/>
      <w:bookmarkStart w:id="644" w:name="_Toc31467"/>
      <w:r/>
      <w:bookmarkStart w:id="645" w:name="_Toc23866"/>
      <w:r/>
      <w:bookmarkStart w:id="646" w:name="_Toc9900"/>
      <w:r/>
      <w:bookmarkStart w:id="647" w:name="_Toc3243"/>
      <w:r/>
      <w:bookmarkStart w:id="648" w:name="_Toc23492"/>
      <w:r/>
      <w:bookmarkStart w:id="649" w:name="_Toc21421"/>
      <w:r/>
      <w:bookmarkStart w:id="650" w:name="_Toc21499"/>
      <w:r/>
      <w:bookmarkStart w:id="651" w:name="_Toc27285"/>
      <w:r/>
      <w:bookmarkStart w:id="652" w:name="_Toc6214"/>
      <w:r/>
      <w:r/>
    </w:p>
    <w:p>
      <w:pPr>
        <w:rPr>
          <w:rFonts w:hint="eastAsia" w:ascii="宋体" w:hAnsi="宋体" w:eastAsia="宋体" w:cs="宋体"/>
          <w:b/>
          <w:bCs/>
          <w:color w:val="auto"/>
          <w:sz w:val="24"/>
          <w:highlight w:val="none"/>
          <w:lang w:val="zh-CN"/>
        </w:rPr>
        <w:outlineLvl w:val="1"/>
      </w:pPr>
      <w:r/>
      <w:bookmarkStart w:id="653" w:name="_Toc20686"/>
      <w:r/>
      <w:bookmarkStart w:id="654" w:name="_Toc21027"/>
      <w:r/>
      <w:bookmarkStart w:id="655" w:name="_Toc10850"/>
      <w:r>
        <w:rPr>
          <w:rFonts w:hint="eastAsia" w:ascii="宋体" w:hAnsi="宋体" w:eastAsia="宋体" w:cs="宋体"/>
          <w:b/>
          <w:bCs/>
          <w:color w:val="auto"/>
          <w:sz w:val="24"/>
          <w:highlight w:val="none"/>
          <w:lang w:val="zh-CN"/>
        </w:rPr>
        <w:t xml:space="preserve">附件</w:t>
      </w:r>
      <w:r>
        <w:rPr>
          <w:rFonts w:hint="eastAsia" w:ascii="宋体" w:hAnsi="宋体" w:eastAsia="宋体" w:cs="宋体"/>
          <w:b/>
          <w:bCs/>
          <w:color w:val="auto"/>
          <w:sz w:val="24"/>
          <w:highlight w:val="none"/>
        </w:rPr>
        <w:t xml:space="preserve">三</w:t>
      </w:r>
      <w:r>
        <w:rPr>
          <w:rFonts w:hint="eastAsia" w:ascii="宋体" w:hAnsi="宋体" w:eastAsia="宋体" w:cs="宋体"/>
          <w:b/>
          <w:bCs/>
          <w:color w:val="auto"/>
          <w:sz w:val="24"/>
          <w:highlight w:val="none"/>
          <w:lang w:val="zh-CN"/>
        </w:rPr>
        <w:t xml:space="preserve">：具备履行合同所必需的设备和专业技术能力的书面声明</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
    </w:p>
    <w:p>
      <w:pPr>
        <w:ind w:firstLine="482"/>
        <w:jc w:val="center"/>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r>
      <w:r/>
    </w:p>
    <w:p>
      <w:pPr>
        <w:ind w:firstLine="482"/>
        <w:jc w:val="center"/>
        <w:spacing w:line="460" w:lineRule="exact"/>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具备履行合同所必需的设备和专业技术能力的书面声明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主要设备有：</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主要专业技术能力有：</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right="840"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投标人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电子签章</w:t>
      </w:r>
      <w:r>
        <w:rPr>
          <w:rFonts w:hint="eastAsia" w:ascii="宋体" w:hAnsi="宋体" w:eastAsia="宋体" w:cs="宋体"/>
          <w:color w:val="auto"/>
          <w:szCs w:val="21"/>
          <w:highlight w:val="none"/>
        </w:rPr>
        <w:t xml:space="preserve">）：            </w:t>
      </w:r>
      <w:r/>
    </w:p>
    <w:p>
      <w:pPr>
        <w:ind w:right="420" w:firstLine="42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p>
      <w:pPr>
        <w:ind w:firstLine="420"/>
        <w:jc w:val="righ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日    期：    年    月   日</w:t>
      </w:r>
      <w:r>
        <w:rPr>
          <w:rFonts w:hint="eastAsia" w:ascii="宋体" w:hAnsi="宋体" w:eastAsia="宋体" w:cs="宋体"/>
          <w:color w:val="auto"/>
          <w:szCs w:val="21"/>
          <w:highlight w:val="none"/>
          <w:lang w:val="en-US" w:eastAsia="zh-CN"/>
        </w:rPr>
        <w:t xml:space="preserve"> </w:t>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82"/>
        <w:spacing w:line="240" w:lineRule="atLeast"/>
        <w:widowControl/>
        <w:rPr>
          <w:rFonts w:hint="eastAsia" w:ascii="宋体" w:hAnsi="宋体" w:eastAsia="宋体" w:cs="宋体"/>
          <w:b/>
          <w:color w:val="auto"/>
          <w:sz w:val="24"/>
          <w:highlight w:val="none"/>
        </w:rPr>
      </w:pPr>
      <w:r/>
      <w:bookmarkStart w:id="656" w:name="_Toc2124"/>
      <w:r/>
      <w:bookmarkStart w:id="657" w:name="_Toc24546"/>
      <w:r/>
      <w:bookmarkStart w:id="658" w:name="_Toc5885"/>
      <w:r/>
      <w:bookmarkStart w:id="659" w:name="_Toc14601"/>
      <w:r/>
      <w:bookmarkStart w:id="660" w:name="_Toc16018"/>
      <w:r/>
      <w:bookmarkStart w:id="661" w:name="_Toc21823"/>
      <w:r/>
      <w:bookmarkStart w:id="662" w:name="_Toc21760"/>
      <w:r/>
      <w:bookmarkStart w:id="663" w:name="_Toc255"/>
      <w:r/>
      <w:r/>
    </w:p>
    <w:p>
      <w:pPr>
        <w:spacing w:line="360" w:lineRule="auto"/>
        <w:widowControl/>
        <w:rPr>
          <w:rFonts w:hint="eastAsia" w:ascii="宋体" w:hAnsi="宋体" w:eastAsia="宋体" w:cs="宋体"/>
          <w:b/>
          <w:color w:val="auto"/>
          <w:sz w:val="24"/>
          <w:highlight w:val="none"/>
        </w:rPr>
        <w:outlineLvl w:val="1"/>
      </w:pPr>
      <w:r/>
      <w:bookmarkStart w:id="664" w:name="_Toc14049"/>
      <w:r/>
      <w:bookmarkStart w:id="665" w:name="_Toc29353"/>
      <w:r/>
      <w:bookmarkStart w:id="666" w:name="_Toc11317"/>
      <w:r/>
      <w:bookmarkStart w:id="667" w:name="_Toc2393"/>
      <w:r/>
      <w:bookmarkStart w:id="668" w:name="_Toc23399"/>
      <w:r/>
      <w:bookmarkStart w:id="669" w:name="_Toc4639"/>
      <w:r/>
      <w:bookmarkStart w:id="670" w:name="_Toc116284566"/>
      <w:r/>
      <w:bookmarkStart w:id="671" w:name="_Toc8959"/>
      <w:r/>
      <w:bookmarkStart w:id="672" w:name="_Toc21243"/>
      <w:r/>
      <w:bookmarkStart w:id="673" w:name="_Toc14304"/>
      <w:r>
        <w:rPr>
          <w:rFonts w:hint="eastAsia" w:ascii="宋体" w:hAnsi="宋体" w:eastAsia="宋体" w:cs="宋体"/>
          <w:b/>
          <w:color w:val="auto"/>
          <w:sz w:val="24"/>
          <w:highlight w:val="none"/>
        </w:rPr>
        <w:t xml:space="preserve">附件四：无重大违法记录声明格式</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ind w:firstLine="562"/>
        <w:jc w:val="center"/>
        <w:rPr>
          <w:rFonts w:hint="eastAsia" w:ascii="宋体" w:hAnsi="宋体" w:eastAsia="宋体" w:cs="宋体"/>
          <w:color w:val="auto"/>
          <w:sz w:val="36"/>
          <w:szCs w:val="36"/>
          <w:highlight w:val="none"/>
        </w:rPr>
      </w:pPr>
      <w:r>
        <w:rPr>
          <w:rFonts w:hint="eastAsia" w:ascii="宋体" w:hAnsi="宋体" w:eastAsia="宋体" w:cs="宋体"/>
          <w:b/>
          <w:bCs/>
          <w:color w:val="auto"/>
          <w:sz w:val="28"/>
          <w:szCs w:val="28"/>
          <w:highlight w:val="none"/>
          <w:lang w:val="zh-CN"/>
        </w:rPr>
        <w:t xml:space="preserve">无重大违法记录声明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eastAsia="zh-CN"/>
        </w:rPr>
        <w:t xml:space="preserve">南京市公安局江宁分局</w:t>
      </w:r>
      <w:r>
        <w:rPr>
          <w:rFonts w:hint="eastAsia" w:ascii="宋体" w:hAnsi="宋体" w:eastAsia="宋体" w:cs="宋体"/>
          <w:color w:val="auto"/>
          <w:spacing w:val="6"/>
          <w:szCs w:val="21"/>
          <w:highlight w:val="none"/>
        </w:rPr>
        <w:t xml:space="preserve">：</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我单位</w:t>
      </w:r>
      <w:r>
        <w:rPr>
          <w:rFonts w:hint="eastAsia" w:ascii="宋体" w:hAnsi="宋体" w:cs="宋体"/>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w:t>
      </w:r>
      <w:r>
        <w:rPr>
          <w:rFonts w:hint="eastAsia" w:ascii="宋体" w:hAnsi="宋体" w:eastAsia="宋体" w:cs="宋体"/>
          <w:color w:val="auto"/>
          <w:spacing w:val="6"/>
          <w:szCs w:val="21"/>
          <w:highlight w:val="none"/>
          <w:lang w:eastAsia="zh-CN"/>
        </w:rPr>
        <w:t xml:space="preserve">投标人</w:t>
      </w:r>
      <w:r>
        <w:rPr>
          <w:rFonts w:hint="eastAsia" w:ascii="宋体" w:hAnsi="宋体" w:eastAsia="宋体" w:cs="宋体"/>
          <w:color w:val="auto"/>
          <w:spacing w:val="6"/>
          <w:szCs w:val="21"/>
          <w:highlight w:val="none"/>
        </w:rPr>
        <w:t xml:space="preserve">名称）郑重声明：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参加政府采购活动前3年内在经营活动中（在下划线上如实填写：有或没有）重大违法记录。</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（说明：政府采购法第二十二条第一款第五项所称重大违法记录，是指</w:t>
      </w:r>
      <w:r>
        <w:rPr>
          <w:rFonts w:hint="eastAsia" w:ascii="宋体" w:hAnsi="宋体" w:eastAsia="宋体" w:cs="宋体"/>
          <w:color w:val="auto"/>
          <w:spacing w:val="6"/>
          <w:szCs w:val="21"/>
          <w:highlight w:val="none"/>
          <w:lang w:eastAsia="zh-CN"/>
        </w:rPr>
        <w:t xml:space="preserve">投标人</w:t>
      </w:r>
      <w:r>
        <w:rPr>
          <w:rFonts w:hint="eastAsia" w:ascii="宋体" w:hAnsi="宋体" w:eastAsia="宋体" w:cs="宋体"/>
          <w:color w:val="auto"/>
          <w:spacing w:val="6"/>
          <w:szCs w:val="21"/>
          <w:highlight w:val="none"/>
        </w:rPr>
        <w:t xml:space="preserve">因违法经营受到刑事处罚或者责令停产停业、吊销许可证或者执照、较大数额罚款等行政处罚。）</w:t>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电子签章</w:t>
      </w:r>
      <w:r>
        <w:rPr>
          <w:rFonts w:hint="eastAsia" w:ascii="宋体" w:hAnsi="宋体" w:eastAsia="宋体" w:cs="宋体"/>
          <w:color w:val="auto"/>
          <w:szCs w:val="21"/>
          <w:highlight w:val="none"/>
        </w:rPr>
        <w:t xml:space="preserve">）：            </w:t>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p>
      <w:pPr>
        <w:ind w:firstLine="420"/>
        <w:jc w:val="righ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日    期：    年    月   日</w:t>
      </w:r>
      <w:r>
        <w:rPr>
          <w:rFonts w:hint="eastAsia" w:ascii="宋体" w:hAnsi="宋体" w:eastAsia="宋体" w:cs="宋体"/>
          <w:color w:val="auto"/>
          <w:szCs w:val="21"/>
          <w:highlight w:val="none"/>
          <w:lang w:val="en-US" w:eastAsia="zh-CN"/>
        </w:rPr>
        <w:t xml:space="preserve">     </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7"/>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Tahoma">
    <w:panose1 w:val="020B0604030504040204"/>
  </w:font>
  <w:font w:name="等线">
    <w:panose1 w:val="02010600030101010101"/>
  </w:font>
  <w:font w:name="仿宋">
    <w:panose1 w:val="02010609060101010101"/>
  </w:font>
  <w:font w:name="Calibri Light">
    <w:panose1 w:val="020F0302020204030204"/>
  </w:font>
  <w:font w:name="楷体_GB2312">
    <w:panose1 w:val="02010609060101010101"/>
  </w:font>
  <w:font w:name="ˎ̥">
    <w:panose1 w:val="020B0503020202020204"/>
  </w:font>
  <w:font w:name="Wingdings">
    <w:panose1 w:val="05000000000000000000"/>
  </w:font>
  <w:font w:name="华文楷体">
    <w:panose1 w:val="02010600040101010101"/>
  </w:font>
  <w:font w:name="方正黑体简体">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Calibri">
    <w:panose1 w:val="020F0502020204030204"/>
  </w:font>
  <w:font w:name="微软雅黑">
    <w:panose1 w:val="020B0503020204020204"/>
  </w:font>
  <w:font w:name="方正大黑简体">
    <w:panose1 w:val="020B0503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1"/>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98929410"/>
      <w:docPartObj>
        <w:docPartGallery w:val="autotext"/>
      </w:docPartObj>
      <w:rPr/>
    </w:sdtPr>
    <w:sdtContent>
      <w:p>
        <w:pPr>
          <w:pStyle w:val="82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ind w:left="4602" w:firstLine="480"/>
      <w:spacing w:line="173"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1"/>
                          </w:pPr>
                          <w:r>
                            <w:fldChar w:fldCharType="begin"/>
                          </w:r>
                          <w:r>
                            <w:instrText xml:space="preserve"> PAGE  \* MERGEFORMAT </w:instrText>
                          </w:r>
                          <w:r>
                            <w:fldChar w:fldCharType="separate"/>
                          </w:r>
                          <w:r>
                            <w:t xml:space="preserve">- 42 -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- 42 -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89">
    <w:name w:val="Heading 1"/>
    <w:basedOn w:val="788"/>
    <w:next w:val="788"/>
    <w:link w:val="852"/>
    <w:uiPriority w:val="0"/>
    <w:qFormat/>
    <w:pPr>
      <w:keepLines/>
      <w:keepNext/>
      <w:spacing w:before="340" w:after="330" w:line="576" w:lineRule="auto"/>
      <w:outlineLvl w:val="0"/>
    </w:pPr>
    <w:rPr>
      <w:b/>
      <w:bCs/>
      <w:sz w:val="44"/>
      <w:szCs w:val="44"/>
    </w:rPr>
  </w:style>
  <w:style w:type="paragraph" w:styleId="790">
    <w:name w:val="Heading 2"/>
    <w:basedOn w:val="788"/>
    <w:next w:val="788"/>
    <w:link w:val="853"/>
    <w:uiPriority w:val="0"/>
    <w:qFormat/>
    <w:pPr>
      <w:keepLines/>
      <w:keepNext/>
      <w:spacing w:before="260" w:after="260" w:line="413" w:lineRule="auto"/>
      <w:outlineLvl w:val="1"/>
    </w:pPr>
    <w:rPr>
      <w:rFonts w:ascii="Arial" w:hAnsi="Arial" w:eastAsia="黑体"/>
      <w:b/>
      <w:bCs/>
      <w:sz w:val="32"/>
      <w:szCs w:val="32"/>
    </w:rPr>
  </w:style>
  <w:style w:type="paragraph" w:styleId="791">
    <w:name w:val="Heading 3"/>
    <w:basedOn w:val="788"/>
    <w:next w:val="788"/>
    <w:link w:val="1000"/>
    <w:uiPriority w:val="0"/>
    <w:qFormat/>
    <w:pPr>
      <w:keepLines/>
      <w:keepNext/>
      <w:spacing w:before="260" w:after="260" w:line="413" w:lineRule="auto"/>
      <w:outlineLvl w:val="2"/>
    </w:pPr>
    <w:rPr>
      <w:b/>
      <w:bCs/>
      <w:sz w:val="32"/>
      <w:szCs w:val="32"/>
    </w:rPr>
  </w:style>
  <w:style w:type="paragraph" w:styleId="792">
    <w:name w:val="Heading 4"/>
    <w:basedOn w:val="788"/>
    <w:next w:val="788"/>
    <w:link w:val="1001"/>
    <w:uiPriority w:val="0"/>
    <w:qFormat/>
    <w:pPr>
      <w:keepLines/>
      <w:keepNext/>
      <w:spacing w:before="120" w:after="120"/>
      <w:outlineLvl w:val="3"/>
    </w:pPr>
    <w:rPr>
      <w:rFonts w:ascii="Arial" w:hAnsi="Arial" w:eastAsia="黑体"/>
      <w:b/>
      <w:sz w:val="28"/>
      <w:szCs w:val="20"/>
    </w:rPr>
  </w:style>
  <w:style w:type="paragraph" w:styleId="793">
    <w:name w:val="Heading 5"/>
    <w:basedOn w:val="788"/>
    <w:next w:val="788"/>
    <w:link w:val="1002"/>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94">
    <w:name w:val="Heading 6"/>
    <w:basedOn w:val="788"/>
    <w:next w:val="788"/>
    <w:link w:val="1003"/>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95">
    <w:name w:val="Heading 7"/>
    <w:basedOn w:val="788"/>
    <w:next w:val="788"/>
    <w:link w:val="1004"/>
    <w:uiPriority w:val="0"/>
    <w:qFormat/>
    <w:pPr>
      <w:ind w:left="1296" w:hanging="1296"/>
      <w:keepLines/>
      <w:keepNext/>
      <w:spacing w:before="240" w:after="64" w:line="317" w:lineRule="auto"/>
      <w:tabs>
        <w:tab w:val="left" w:pos="1296" w:leader="none"/>
      </w:tabs>
      <w:outlineLvl w:val="6"/>
    </w:pPr>
    <w:rPr>
      <w:b/>
      <w:bCs/>
      <w:sz w:val="24"/>
    </w:rPr>
  </w:style>
  <w:style w:type="paragraph" w:styleId="796">
    <w:name w:val="Heading 8"/>
    <w:basedOn w:val="788"/>
    <w:next w:val="788"/>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97">
    <w:name w:val="Heading 9"/>
    <w:basedOn w:val="788"/>
    <w:next w:val="788"/>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basedOn w:val="788"/>
    <w:next w:val="788"/>
    <w:uiPriority w:val="39"/>
    <w:unhideWhenUsed/>
    <w:qFormat/>
    <w:pPr>
      <w:ind w:left="1701" w:right="0" w:firstLine="0"/>
      <w:spacing w:after="57"/>
    </w:pPr>
  </w:style>
  <w:style w:type="paragraph" w:styleId="801">
    <w:name w:val="List Number 2"/>
    <w:basedOn w:val="788"/>
    <w:uiPriority w:val="0"/>
    <w:qFormat/>
    <w:pPr>
      <w:ind w:left="1440" w:hanging="1440"/>
      <w:spacing w:line="360" w:lineRule="auto"/>
      <w:tabs>
        <w:tab w:val="left" w:pos="1440" w:leader="none"/>
      </w:tabs>
    </w:pPr>
    <w:rPr>
      <w:sz w:val="24"/>
    </w:rPr>
  </w:style>
  <w:style w:type="paragraph" w:styleId="802">
    <w:name w:val="List Number"/>
    <w:basedOn w:val="788"/>
    <w:uiPriority w:val="0"/>
    <w:qFormat/>
    <w:pPr>
      <w:ind w:left="2952" w:hanging="432"/>
      <w:tabs>
        <w:tab w:val="left" w:pos="2952" w:leader="none"/>
      </w:tabs>
    </w:pPr>
  </w:style>
  <w:style w:type="paragraph" w:styleId="803">
    <w:name w:val="Normal Indent"/>
    <w:basedOn w:val="788"/>
    <w:uiPriority w:val="0"/>
    <w:qFormat/>
    <w:pPr>
      <w:ind w:firstLine="420"/>
    </w:pPr>
    <w:rPr>
      <w:szCs w:val="20"/>
    </w:rPr>
  </w:style>
  <w:style w:type="paragraph" w:styleId="804">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Document Map"/>
    <w:basedOn w:val="788"/>
    <w:link w:val="1005"/>
    <w:uiPriority w:val="0"/>
    <w:qFormat/>
    <w:pPr>
      <w:shd w:val="clear" w:color="auto" w:fill="000080"/>
    </w:pPr>
  </w:style>
  <w:style w:type="paragraph" w:styleId="806">
    <w:name w:val="annotation text"/>
    <w:basedOn w:val="788"/>
    <w:link w:val="1006"/>
    <w:uiPriority w:val="0"/>
    <w:qFormat/>
    <w:pPr>
      <w:jc w:val="left"/>
    </w:pPr>
    <w:rPr>
      <w:szCs w:val="20"/>
    </w:rPr>
  </w:style>
  <w:style w:type="paragraph" w:styleId="807">
    <w:name w:val="Salutation"/>
    <w:basedOn w:val="788"/>
    <w:next w:val="788"/>
    <w:uiPriority w:val="0"/>
    <w:qFormat/>
    <w:rPr>
      <w:rFonts w:ascii="仿宋_GB2312" w:eastAsia="仿宋_GB2312"/>
      <w:sz w:val="28"/>
      <w:szCs w:val="20"/>
    </w:rPr>
  </w:style>
  <w:style w:type="paragraph" w:styleId="808">
    <w:name w:val="Body Text 3"/>
    <w:basedOn w:val="788"/>
    <w:uiPriority w:val="0"/>
    <w:qFormat/>
    <w:pPr>
      <w:spacing w:after="120"/>
    </w:pPr>
    <w:rPr>
      <w:sz w:val="16"/>
      <w:szCs w:val="16"/>
    </w:rPr>
  </w:style>
  <w:style w:type="paragraph" w:styleId="809">
    <w:name w:val="Body Text"/>
    <w:basedOn w:val="788"/>
    <w:uiPriority w:val="0"/>
    <w:qFormat/>
    <w:pPr>
      <w:jc w:val="center"/>
    </w:pPr>
    <w:rPr>
      <w:rFonts w:ascii="方正大黑简体" w:eastAsia="方正大黑简体"/>
      <w:position w:val="6"/>
      <w:sz w:val="30"/>
      <w:szCs w:val="20"/>
    </w:rPr>
  </w:style>
  <w:style w:type="paragraph" w:styleId="810">
    <w:name w:val="Body Text Indent"/>
    <w:basedOn w:val="788"/>
    <w:next w:val="811"/>
    <w:uiPriority w:val="0"/>
    <w:qFormat/>
    <w:pPr>
      <w:ind w:left="420"/>
      <w:spacing w:after="120"/>
    </w:pPr>
  </w:style>
  <w:style w:type="paragraph" w:styleId="811">
    <w:name w:val="Body Text First Indent 2"/>
    <w:basedOn w:val="810"/>
    <w:next w:val="803"/>
    <w:uiPriority w:val="0"/>
    <w:qFormat/>
    <w:pPr>
      <w:ind w:firstLine="200"/>
      <w:spacing w:line="360" w:lineRule="auto"/>
    </w:pPr>
    <w:rPr>
      <w:rFonts w:ascii="宋体"/>
    </w:rPr>
  </w:style>
  <w:style w:type="paragraph" w:styleId="812">
    <w:name w:val="toc 5"/>
    <w:basedOn w:val="788"/>
    <w:next w:val="788"/>
    <w:uiPriority w:val="39"/>
    <w:unhideWhenUsed/>
    <w:qFormat/>
    <w:pPr>
      <w:ind w:left="1134" w:right="0" w:firstLine="0"/>
      <w:spacing w:after="57"/>
    </w:pPr>
  </w:style>
  <w:style w:type="paragraph" w:styleId="813">
    <w:name w:val="toc 3"/>
    <w:basedOn w:val="788"/>
    <w:next w:val="788"/>
    <w:uiPriority w:val="39"/>
    <w:qFormat/>
    <w:pPr>
      <w:ind w:left="840"/>
    </w:pPr>
  </w:style>
  <w:style w:type="paragraph" w:styleId="814">
    <w:name w:val="Plain Text"/>
    <w:basedOn w:val="788"/>
    <w:link w:val="1007"/>
    <w:uiPriority w:val="0"/>
    <w:qFormat/>
    <w:rPr>
      <w:rFonts w:ascii="宋体" w:hAnsi="Courier New"/>
      <w:szCs w:val="21"/>
    </w:rPr>
  </w:style>
  <w:style w:type="paragraph" w:styleId="815">
    <w:name w:val="toc 8"/>
    <w:basedOn w:val="788"/>
    <w:next w:val="788"/>
    <w:uiPriority w:val="39"/>
    <w:unhideWhenUsed/>
    <w:qFormat/>
    <w:pPr>
      <w:ind w:left="1984" w:right="0" w:firstLine="0"/>
      <w:spacing w:after="57"/>
    </w:pPr>
  </w:style>
  <w:style w:type="paragraph" w:styleId="816">
    <w:name w:val="index 3"/>
    <w:basedOn w:val="788"/>
    <w:next w:val="788"/>
    <w:uiPriority w:val="0"/>
    <w:qFormat/>
    <w:pPr>
      <w:ind w:left="840"/>
    </w:pPr>
    <w:rPr>
      <w:szCs w:val="20"/>
    </w:rPr>
  </w:style>
  <w:style w:type="paragraph" w:styleId="817">
    <w:name w:val="Date"/>
    <w:basedOn w:val="788"/>
    <w:next w:val="788"/>
    <w:uiPriority w:val="0"/>
    <w:qFormat/>
    <w:pPr>
      <w:ind w:left="100"/>
    </w:pPr>
    <w:rPr>
      <w:sz w:val="28"/>
      <w:szCs w:val="20"/>
    </w:rPr>
  </w:style>
  <w:style w:type="paragraph" w:styleId="818">
    <w:name w:val="Body Text Indent 2"/>
    <w:basedOn w:val="788"/>
    <w:uiPriority w:val="0"/>
    <w:qFormat/>
    <w:pPr>
      <w:ind w:firstLine="480"/>
      <w:spacing w:line="400" w:lineRule="exact"/>
    </w:pPr>
    <w:rPr>
      <w:rFonts w:ascii="宋体" w:hAnsi="宋体"/>
      <w:sz w:val="24"/>
    </w:rPr>
  </w:style>
  <w:style w:type="paragraph" w:styleId="819">
    <w:name w:val="endnote text"/>
    <w:basedOn w:val="788"/>
    <w:link w:val="996"/>
    <w:uiPriority w:val="99"/>
    <w:semiHidden/>
    <w:unhideWhenUsed/>
    <w:qFormat/>
    <w:pPr>
      <w:spacing w:after="0" w:line="240" w:lineRule="auto"/>
    </w:pPr>
    <w:rPr>
      <w:sz w:val="20"/>
    </w:rPr>
  </w:style>
  <w:style w:type="paragraph" w:styleId="820">
    <w:name w:val="Balloon Text"/>
    <w:basedOn w:val="788"/>
    <w:link w:val="1008"/>
    <w:uiPriority w:val="0"/>
    <w:qFormat/>
    <w:rPr>
      <w:sz w:val="18"/>
      <w:szCs w:val="18"/>
    </w:rPr>
  </w:style>
  <w:style w:type="paragraph" w:styleId="821">
    <w:name w:val="Footer"/>
    <w:basedOn w:val="788"/>
    <w:link w:val="1009"/>
    <w:uiPriority w:val="0"/>
    <w:qFormat/>
    <w:pPr>
      <w:jc w:val="left"/>
      <w:tabs>
        <w:tab w:val="center" w:pos="4153" w:leader="none"/>
        <w:tab w:val="right" w:pos="8306" w:leader="none"/>
      </w:tabs>
    </w:pPr>
    <w:rPr>
      <w:sz w:val="18"/>
      <w:szCs w:val="18"/>
    </w:rPr>
  </w:style>
  <w:style w:type="paragraph" w:styleId="822">
    <w:name w:val="Header"/>
    <w:basedOn w:val="788"/>
    <w:link w:val="1010"/>
    <w:uiPriority w:val="0"/>
    <w:qFormat/>
    <w:pPr>
      <w:jc w:val="center"/>
      <w:tabs>
        <w:tab w:val="center" w:pos="4153" w:leader="none"/>
        <w:tab w:val="right" w:pos="8306" w:leader="none"/>
      </w:tabs>
      <w:pBdr>
        <w:bottom w:val="single" w:color="auto" w:sz="6" w:space="1"/>
      </w:pBdr>
    </w:pPr>
    <w:rPr>
      <w:sz w:val="18"/>
      <w:szCs w:val="18"/>
    </w:rPr>
  </w:style>
  <w:style w:type="paragraph" w:styleId="823">
    <w:name w:val="Signature"/>
    <w:basedOn w:val="788"/>
    <w:uiPriority w:val="0"/>
    <w:qFormat/>
    <w:pPr>
      <w:jc w:val="center"/>
      <w:spacing w:after="600" w:line="312" w:lineRule="atLeast"/>
    </w:pPr>
    <w:rPr>
      <w:rFonts w:eastAsia="仿宋_GB2312"/>
      <w:sz w:val="24"/>
      <w:szCs w:val="20"/>
    </w:rPr>
  </w:style>
  <w:style w:type="paragraph" w:styleId="824">
    <w:name w:val="toc 1"/>
    <w:basedOn w:val="788"/>
    <w:next w:val="788"/>
    <w:uiPriority w:val="39"/>
    <w:qFormat/>
  </w:style>
  <w:style w:type="paragraph" w:styleId="825">
    <w:name w:val="toc 4"/>
    <w:basedOn w:val="788"/>
    <w:next w:val="788"/>
    <w:uiPriority w:val="39"/>
    <w:unhideWhenUsed/>
    <w:qFormat/>
    <w:pPr>
      <w:ind w:left="850" w:right="0" w:firstLine="0"/>
      <w:spacing w:after="57"/>
    </w:pPr>
  </w:style>
  <w:style w:type="paragraph" w:styleId="826">
    <w:name w:val="index heading"/>
    <w:basedOn w:val="788"/>
    <w:next w:val="827"/>
    <w:uiPriority w:val="0"/>
    <w:qFormat/>
    <w:rPr>
      <w:szCs w:val="20"/>
    </w:rPr>
  </w:style>
  <w:style w:type="paragraph" w:styleId="827">
    <w:name w:val="index 1"/>
    <w:basedOn w:val="788"/>
    <w:next w:val="788"/>
    <w:uiPriority w:val="0"/>
    <w:qFormat/>
    <w:pPr>
      <w:jc w:val="center"/>
      <w:tabs>
        <w:tab w:val="left" w:pos="1260" w:leader="none"/>
      </w:tabs>
    </w:pPr>
    <w:rPr>
      <w:rFonts w:ascii="仿宋_GB2312" w:hAnsi="宋体" w:eastAsia="仿宋_GB2312"/>
      <w:sz w:val="30"/>
      <w:szCs w:val="20"/>
    </w:rPr>
  </w:style>
  <w:style w:type="paragraph" w:styleId="828">
    <w:name w:val="Subtitle"/>
    <w:basedOn w:val="788"/>
    <w:next w:val="788"/>
    <w:link w:val="1011"/>
    <w:uiPriority w:val="0"/>
    <w:qFormat/>
    <w:pPr>
      <w:jc w:val="center"/>
      <w:spacing w:after="560"/>
      <w:widowControl/>
    </w:pPr>
    <w:rPr>
      <w:rFonts w:ascii="Cambria" w:hAnsi="Cambria"/>
      <w:caps/>
      <w:spacing w:val="20"/>
      <w:sz w:val="18"/>
      <w:szCs w:val="18"/>
      <w:lang w:eastAsia="en-US" w:bidi="en-US"/>
    </w:rPr>
  </w:style>
  <w:style w:type="paragraph" w:styleId="829">
    <w:name w:val="footnote text"/>
    <w:basedOn w:val="788"/>
    <w:uiPriority w:val="0"/>
    <w:qFormat/>
    <w:pPr>
      <w:jc w:val="left"/>
    </w:pPr>
    <w:rPr>
      <w:sz w:val="18"/>
      <w:szCs w:val="18"/>
    </w:rPr>
  </w:style>
  <w:style w:type="paragraph" w:styleId="830">
    <w:name w:val="toc 6"/>
    <w:basedOn w:val="788"/>
    <w:next w:val="788"/>
    <w:uiPriority w:val="39"/>
    <w:unhideWhenUsed/>
    <w:qFormat/>
    <w:pPr>
      <w:ind w:left="1417" w:right="0" w:firstLine="0"/>
      <w:spacing w:after="57"/>
    </w:pPr>
  </w:style>
  <w:style w:type="paragraph" w:styleId="831">
    <w:name w:val="Body Text Indent 3"/>
    <w:basedOn w:val="788"/>
    <w:uiPriority w:val="0"/>
    <w:qFormat/>
    <w:pPr>
      <w:ind w:left="480"/>
      <w:spacing w:before="120" w:after="120" w:line="264" w:lineRule="auto"/>
    </w:pPr>
    <w:rPr>
      <w:b/>
      <w:bCs/>
      <w:sz w:val="24"/>
      <w:szCs w:val="20"/>
    </w:rPr>
  </w:style>
  <w:style w:type="paragraph" w:styleId="832">
    <w:name w:val="table of figures"/>
    <w:basedOn w:val="788"/>
    <w:next w:val="788"/>
    <w:uiPriority w:val="99"/>
    <w:unhideWhenUsed/>
    <w:qFormat/>
    <w:pPr>
      <w:spacing w:after="0" w:afterAutospacing="0"/>
    </w:pPr>
  </w:style>
  <w:style w:type="paragraph" w:styleId="833">
    <w:name w:val="toc 2"/>
    <w:basedOn w:val="788"/>
    <w:next w:val="788"/>
    <w:uiPriority w:val="39"/>
    <w:qFormat/>
    <w:pPr>
      <w:ind w:left="420"/>
    </w:pPr>
  </w:style>
  <w:style w:type="paragraph" w:styleId="834">
    <w:name w:val="toc 9"/>
    <w:basedOn w:val="788"/>
    <w:next w:val="788"/>
    <w:uiPriority w:val="39"/>
    <w:unhideWhenUsed/>
    <w:qFormat/>
    <w:pPr>
      <w:ind w:left="2268" w:right="0" w:firstLine="0"/>
      <w:spacing w:after="57"/>
    </w:pPr>
  </w:style>
  <w:style w:type="paragraph" w:styleId="835">
    <w:name w:val="Body Text 2"/>
    <w:basedOn w:val="788"/>
    <w:uiPriority w:val="0"/>
    <w:qFormat/>
    <w:pPr>
      <w:jc w:val="center"/>
    </w:pPr>
    <w:rPr>
      <w:b/>
      <w:bCs/>
      <w:sz w:val="72"/>
      <w:szCs w:val="20"/>
    </w:rPr>
  </w:style>
  <w:style w:type="paragraph" w:styleId="836">
    <w:name w:val="HTML Preformatted"/>
    <w:basedOn w:val="7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37">
    <w:name w:val="Normal (Web)"/>
    <w:basedOn w:val="788"/>
    <w:uiPriority w:val="0"/>
    <w:qFormat/>
    <w:pPr>
      <w:jc w:val="left"/>
      <w:spacing w:before="100" w:beforeAutospacing="1" w:after="100" w:afterAutospacing="1"/>
      <w:widowControl/>
    </w:pPr>
    <w:rPr>
      <w:rFonts w:ascii="宋体" w:hAnsi="宋体" w:cs="宋体"/>
      <w:sz w:val="24"/>
    </w:rPr>
  </w:style>
  <w:style w:type="paragraph" w:styleId="838">
    <w:name w:val="Title"/>
    <w:basedOn w:val="788"/>
    <w:uiPriority w:val="0"/>
    <w:qFormat/>
    <w:pPr>
      <w:jc w:val="center"/>
      <w:spacing w:line="420" w:lineRule="exact"/>
      <w:widowControl/>
    </w:pPr>
    <w:rPr>
      <w:rFonts w:eastAsia="黑体"/>
      <w:b/>
      <w:sz w:val="28"/>
      <w:szCs w:val="20"/>
      <w:lang w:val="en-GB"/>
    </w:rPr>
  </w:style>
  <w:style w:type="paragraph" w:styleId="839">
    <w:name w:val="annotation subject"/>
    <w:basedOn w:val="806"/>
    <w:next w:val="806"/>
    <w:uiPriority w:val="0"/>
    <w:qFormat/>
    <w:rPr>
      <w:b/>
      <w:bCs/>
      <w:szCs w:val="24"/>
    </w:rPr>
  </w:style>
  <w:style w:type="paragraph" w:styleId="840">
    <w:name w:val="Body Text First Indent"/>
    <w:basedOn w:val="809"/>
    <w:link w:val="1012"/>
    <w:uiPriority w:val="0"/>
    <w:qFormat/>
    <w:pPr>
      <w:ind w:firstLine="420"/>
      <w:jc w:val="both"/>
      <w:spacing w:after="120"/>
    </w:pPr>
    <w:rPr>
      <w:rFonts w:ascii="Calibri" w:eastAsia="宋体"/>
      <w:position w:val="0"/>
      <w:sz w:val="21"/>
      <w:szCs w:val="24"/>
    </w:rPr>
  </w:style>
  <w:style w:type="table" w:styleId="841">
    <w:name w:val="Table Grid"/>
    <w:basedOn w:val="79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Strong"/>
    <w:uiPriority w:val="0"/>
    <w:qFormat/>
    <w:rPr>
      <w:b/>
      <w:bCs/>
    </w:rPr>
  </w:style>
  <w:style w:type="character" w:styleId="843">
    <w:name w:val="endnote reference"/>
    <w:basedOn w:val="798"/>
    <w:uiPriority w:val="99"/>
    <w:semiHidden/>
    <w:unhideWhenUsed/>
    <w:qFormat/>
    <w:rPr>
      <w:vertAlign w:val="superscript"/>
    </w:rPr>
  </w:style>
  <w:style w:type="character" w:styleId="844">
    <w:name w:val="page number"/>
    <w:basedOn w:val="798"/>
    <w:uiPriority w:val="0"/>
    <w:qFormat/>
  </w:style>
  <w:style w:type="character" w:styleId="845">
    <w:name w:val="FollowedHyperlink"/>
    <w:uiPriority w:val="0"/>
    <w:qFormat/>
    <w:rPr>
      <w:color w:val="800080"/>
      <w:u w:val="none"/>
    </w:rPr>
  </w:style>
  <w:style w:type="character" w:styleId="846">
    <w:name w:val="Emphasis"/>
    <w:basedOn w:val="798"/>
    <w:uiPriority w:val="20"/>
    <w:qFormat/>
  </w:style>
  <w:style w:type="character" w:styleId="847">
    <w:name w:val="line number"/>
    <w:basedOn w:val="798"/>
    <w:uiPriority w:val="0"/>
    <w:qFormat/>
  </w:style>
  <w:style w:type="character" w:styleId="848">
    <w:name w:val="Hyperlink"/>
    <w:uiPriority w:val="99"/>
    <w:qFormat/>
    <w:rPr>
      <w:color w:val="0000ff"/>
      <w:u w:val="none"/>
    </w:rPr>
  </w:style>
  <w:style w:type="character" w:styleId="849">
    <w:name w:val="HTML Code"/>
    <w:uiPriority w:val="99"/>
    <w:unhideWhenUsed/>
    <w:qFormat/>
    <w:rPr>
      <w:rFonts w:ascii="Courier New" w:hAnsi="Courier New"/>
      <w:sz w:val="20"/>
    </w:rPr>
  </w:style>
  <w:style w:type="character" w:styleId="850">
    <w:name w:val="annotation reference"/>
    <w:uiPriority w:val="0"/>
    <w:qFormat/>
    <w:rPr>
      <w:sz w:val="21"/>
      <w:szCs w:val="21"/>
    </w:rPr>
  </w:style>
  <w:style w:type="character" w:styleId="851">
    <w:name w:val="footnote reference"/>
    <w:uiPriority w:val="0"/>
    <w:qFormat/>
    <w:rPr>
      <w:vertAlign w:val="superscript"/>
    </w:rPr>
  </w:style>
  <w:style w:type="character" w:styleId="852" w:customStyle="1">
    <w:name w:val="标题 1 Char"/>
    <w:link w:val="789"/>
    <w:uiPriority w:val="0"/>
    <w:qFormat/>
    <w:rPr>
      <w:rFonts w:eastAsia="宋体"/>
      <w:b/>
      <w:bCs/>
      <w:sz w:val="44"/>
      <w:szCs w:val="44"/>
      <w:lang w:val="en-US" w:eastAsia="zh-CN" w:bidi="ar-SA"/>
    </w:rPr>
  </w:style>
  <w:style w:type="character" w:styleId="853" w:customStyle="1">
    <w:name w:val="标题 2 Char"/>
    <w:link w:val="790"/>
    <w:uiPriority w:val="0"/>
    <w:semiHidden/>
    <w:qFormat/>
    <w:rPr>
      <w:rFonts w:ascii="Arial" w:hAnsi="Arial" w:eastAsia="黑体"/>
      <w:b/>
      <w:bCs/>
      <w:sz w:val="32"/>
      <w:szCs w:val="32"/>
      <w:lang w:val="en-US" w:eastAsia="zh-CN" w:bidi="ar-SA"/>
    </w:rPr>
  </w:style>
  <w:style w:type="character" w:styleId="854" w:customStyle="1">
    <w:name w:val="标题 3 Char"/>
    <w:uiPriority w:val="0"/>
    <w:qFormat/>
    <w:rPr>
      <w:rFonts w:eastAsia="仿宋_GB2312"/>
      <w:b/>
      <w:bCs/>
      <w:sz w:val="28"/>
      <w:szCs w:val="32"/>
      <w:lang w:val="en-US" w:eastAsia="zh-CN" w:bidi="ar-SA"/>
    </w:rPr>
  </w:style>
  <w:style w:type="character" w:styleId="855" w:customStyle="1">
    <w:name w:val="Heading 3 Char"/>
    <w:basedOn w:val="798"/>
    <w:uiPriority w:val="9"/>
    <w:qFormat/>
    <w:rPr>
      <w:rFonts w:ascii="Arial" w:hAnsi="Arial" w:eastAsia="Arial" w:cs="Arial"/>
      <w:sz w:val="30"/>
      <w:szCs w:val="30"/>
    </w:rPr>
  </w:style>
  <w:style w:type="character" w:styleId="856" w:customStyle="1">
    <w:name w:val="Heading 4 Char"/>
    <w:basedOn w:val="798"/>
    <w:uiPriority w:val="9"/>
    <w:qFormat/>
    <w:rPr>
      <w:rFonts w:ascii="Arial" w:hAnsi="Arial" w:eastAsia="Arial" w:cs="Arial"/>
      <w:b/>
      <w:bCs/>
      <w:sz w:val="26"/>
      <w:szCs w:val="26"/>
    </w:rPr>
  </w:style>
  <w:style w:type="character" w:styleId="857" w:customStyle="1">
    <w:name w:val="Heading 5 Char"/>
    <w:basedOn w:val="798"/>
    <w:uiPriority w:val="9"/>
    <w:qFormat/>
    <w:rPr>
      <w:rFonts w:ascii="Arial" w:hAnsi="Arial" w:eastAsia="Arial" w:cs="Arial"/>
      <w:b/>
      <w:bCs/>
      <w:sz w:val="24"/>
      <w:szCs w:val="24"/>
    </w:rPr>
  </w:style>
  <w:style w:type="character" w:styleId="858" w:customStyle="1">
    <w:name w:val="Heading 6 Char"/>
    <w:basedOn w:val="798"/>
    <w:uiPriority w:val="9"/>
    <w:qFormat/>
    <w:rPr>
      <w:rFonts w:ascii="Arial" w:hAnsi="Arial" w:eastAsia="Arial" w:cs="Arial"/>
      <w:b/>
      <w:bCs/>
      <w:sz w:val="22"/>
      <w:szCs w:val="22"/>
    </w:rPr>
  </w:style>
  <w:style w:type="character" w:styleId="859" w:customStyle="1">
    <w:name w:val="Heading 7 Char"/>
    <w:basedOn w:val="798"/>
    <w:uiPriority w:val="9"/>
    <w:qFormat/>
    <w:rPr>
      <w:rFonts w:ascii="Arial" w:hAnsi="Arial" w:eastAsia="Arial" w:cs="Arial"/>
      <w:b/>
      <w:bCs/>
      <w:i/>
      <w:iCs/>
      <w:sz w:val="22"/>
      <w:szCs w:val="22"/>
    </w:rPr>
  </w:style>
  <w:style w:type="character" w:styleId="860" w:customStyle="1">
    <w:name w:val="Heading 8 Char"/>
    <w:basedOn w:val="798"/>
    <w:uiPriority w:val="9"/>
    <w:qFormat/>
    <w:rPr>
      <w:rFonts w:ascii="Arial" w:hAnsi="Arial" w:eastAsia="Arial" w:cs="Arial"/>
      <w:i/>
      <w:iCs/>
      <w:sz w:val="22"/>
      <w:szCs w:val="22"/>
    </w:rPr>
  </w:style>
  <w:style w:type="character" w:styleId="861" w:customStyle="1">
    <w:name w:val="Heading 9 Char"/>
    <w:basedOn w:val="798"/>
    <w:uiPriority w:val="9"/>
    <w:qFormat/>
    <w:rPr>
      <w:rFonts w:ascii="Arial" w:hAnsi="Arial" w:eastAsia="Arial" w:cs="Arial"/>
      <w:i/>
      <w:iCs/>
      <w:sz w:val="21"/>
      <w:szCs w:val="21"/>
    </w:rPr>
  </w:style>
  <w:style w:type="paragraph" w:styleId="862">
    <w:name w:val="No Spacing"/>
    <w:uiPriority w:val="1"/>
    <w:qFormat/>
    <w:pPr>
      <w:spacing w:before="0" w:after="0" w:line="240" w:lineRule="auto"/>
    </w:pPr>
    <w:rPr>
      <w:rFonts w:hint="default" w:ascii="Times New Roman" w:hAnsi="Times New Roman" w:eastAsia="宋体" w:cs="Times New Roman"/>
    </w:rPr>
  </w:style>
  <w:style w:type="character" w:styleId="863" w:customStyle="1">
    <w:name w:val="Title Char"/>
    <w:basedOn w:val="798"/>
    <w:uiPriority w:val="10"/>
    <w:qFormat/>
    <w:rPr>
      <w:sz w:val="48"/>
      <w:szCs w:val="48"/>
    </w:rPr>
  </w:style>
  <w:style w:type="character" w:styleId="864" w:customStyle="1">
    <w:name w:val="Subtitle Char"/>
    <w:basedOn w:val="798"/>
    <w:uiPriority w:val="11"/>
    <w:qFormat/>
    <w:rPr>
      <w:sz w:val="24"/>
      <w:szCs w:val="24"/>
    </w:rPr>
  </w:style>
  <w:style w:type="paragraph" w:styleId="865">
    <w:name w:val="Quote"/>
    <w:basedOn w:val="788"/>
    <w:next w:val="788"/>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788"/>
    <w:next w:val="788"/>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Caption Char"/>
    <w:uiPriority w:val="99"/>
    <w:qFormat/>
  </w:style>
  <w:style w:type="table" w:styleId="870" w:customStyle="1">
    <w:name w:val="Table Grid Light"/>
    <w:basedOn w:val="7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Plain Table 1"/>
    <w:basedOn w:val="7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2"/>
    <w:basedOn w:val="7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3"/>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Plain Table 4"/>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Plain Table 5"/>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Grid Table 1 Light"/>
    <w:basedOn w:val="7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basedOn w:val="79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9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9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9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9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9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basedOn w:val="79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79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79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79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79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79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Grid Table 3"/>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basedOn w:val="79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basedOn w:val="79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basedOn w:val="79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basedOn w:val="79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basedOn w:val="79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basedOn w:val="79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4"/>
    <w:basedOn w:val="7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basedOn w:val="79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9" w:customStyle="1">
    <w:name w:val="Grid Table 4 - Accent 2"/>
    <w:basedOn w:val="79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0" w:customStyle="1">
    <w:name w:val="Grid Table 4 - Accent 3"/>
    <w:basedOn w:val="79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1" w:customStyle="1">
    <w:name w:val="Grid Table 4 - Accent 4"/>
    <w:basedOn w:val="79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basedOn w:val="79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basedOn w:val="79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Grid Table 5 Dark"/>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Grid Table 6 Colorful"/>
    <w:basedOn w:val="7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basedOn w:val="79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basedOn w:val="79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basedOn w:val="79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5" w:customStyle="1">
    <w:name w:val="Grid Table 6 Colorful - Accent 4"/>
    <w:basedOn w:val="79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basedOn w:val="79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basedOn w:val="79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7 Colorful"/>
    <w:basedOn w:val="7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basedOn w:val="79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79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79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79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79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79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List Table 1 Light"/>
    <w:basedOn w:val="7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basedOn w:val="79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basedOn w:val="79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basedOn w:val="79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basedOn w:val="79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basedOn w:val="79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basedOn w:val="79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List Table 2"/>
    <w:basedOn w:val="7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basedOn w:val="79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basedOn w:val="79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basedOn w:val="79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basedOn w:val="79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basedOn w:val="79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basedOn w:val="79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List Table 3"/>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basedOn w:val="79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basedOn w:val="79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79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79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79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79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List Table 4"/>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basedOn w:val="79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basedOn w:val="79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basedOn w:val="79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basedOn w:val="79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basedOn w:val="79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basedOn w:val="79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w:basedOn w:val="7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basedOn w:val="79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basedOn w:val="79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basedOn w:val="79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basedOn w:val="79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basedOn w:val="79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basedOn w:val="79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6 Colorful"/>
    <w:basedOn w:val="7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basedOn w:val="79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basedOn w:val="79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basedOn w:val="79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basedOn w:val="79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basedOn w:val="79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basedOn w:val="79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List Table 7 Colorful"/>
    <w:basedOn w:val="7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basedOn w:val="79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79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79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79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79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79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basedOn w:val="7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basedOn w:val="79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basedOn w:val="79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basedOn w:val="79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basedOn w:val="79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basedOn w:val="79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basedOn w:val="79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basedOn w:val="7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basedOn w:val="79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basedOn w:val="79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basedOn w:val="79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basedOn w:val="79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basedOn w:val="79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basedOn w:val="79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Footnote Text Char"/>
    <w:uiPriority w:val="99"/>
    <w:qFormat/>
    <w:rPr>
      <w:sz w:val="18"/>
    </w:rPr>
  </w:style>
  <w:style w:type="character" w:styleId="996" w:customStyle="1">
    <w:name w:val="Endnote Text Char"/>
    <w:link w:val="819"/>
    <w:uiPriority w:val="99"/>
    <w:qFormat/>
    <w:rPr>
      <w:sz w:val="20"/>
    </w:rPr>
  </w:style>
  <w:style w:type="paragraph" w:styleId="997" w:customStyle="1">
    <w:name w:val="TOC Heading"/>
    <w:uiPriority w:val="39"/>
    <w:unhideWhenUsed/>
    <w:qFormat/>
    <w:rPr>
      <w:rFonts w:hint="default" w:ascii="Times New Roman" w:hAnsi="Times New Roman" w:eastAsia="宋体" w:cs="Times New Roman"/>
    </w:rPr>
  </w:style>
  <w:style w:type="paragraph" w:styleId="998" w:customStyle="1">
    <w:name w:val="索引 41"/>
    <w:basedOn w:val="788"/>
    <w:next w:val="788"/>
    <w:uiPriority w:val="0"/>
    <w:semiHidden/>
    <w:qFormat/>
    <w:pPr>
      <w:ind w:left="1260"/>
    </w:pPr>
    <w:rPr>
      <w:rFonts w:ascii="Calibri" w:hAnsi="Calibri" w:eastAsia="Calibri" w:cs="宋体"/>
      <w:sz w:val="20"/>
      <w:lang w:val="zh-CN"/>
    </w:rPr>
  </w:style>
  <w:style w:type="paragraph" w:styleId="999" w:customStyle="1">
    <w:name w:val="首行缩进"/>
    <w:basedOn w:val="788"/>
    <w:uiPriority w:val="0"/>
    <w:qFormat/>
    <w:pPr>
      <w:ind w:firstLine="480"/>
    </w:pPr>
    <w:rPr>
      <w:lang w:val="zh-CN"/>
    </w:rPr>
  </w:style>
  <w:style w:type="character" w:styleId="1000" w:customStyle="1">
    <w:name w:val="标题 3 Char2"/>
    <w:link w:val="791"/>
    <w:uiPriority w:val="0"/>
    <w:semiHidden/>
    <w:qFormat/>
    <w:rPr>
      <w:rFonts w:eastAsia="宋体"/>
      <w:b/>
      <w:bCs/>
      <w:sz w:val="32"/>
      <w:szCs w:val="32"/>
      <w:lang w:val="en-US" w:eastAsia="zh-CN" w:bidi="ar-SA"/>
    </w:rPr>
  </w:style>
  <w:style w:type="character" w:styleId="1001" w:customStyle="1">
    <w:name w:val="标题 4 Char"/>
    <w:link w:val="792"/>
    <w:uiPriority w:val="0"/>
    <w:qFormat/>
    <w:rPr>
      <w:rFonts w:ascii="Arial" w:hAnsi="Arial" w:eastAsia="黑体"/>
      <w:b/>
      <w:sz w:val="28"/>
      <w:lang w:val="en-US" w:eastAsia="zh-CN" w:bidi="ar-SA"/>
    </w:rPr>
  </w:style>
  <w:style w:type="character" w:styleId="1002" w:customStyle="1">
    <w:name w:val="标题 5 Char"/>
    <w:link w:val="793"/>
    <w:uiPriority w:val="0"/>
    <w:semiHidden/>
    <w:qFormat/>
    <w:rPr>
      <w:rFonts w:eastAsia="宋体"/>
      <w:b/>
      <w:bCs/>
      <w:sz w:val="28"/>
      <w:szCs w:val="28"/>
      <w:lang w:val="en-US" w:eastAsia="zh-CN" w:bidi="ar-SA"/>
    </w:rPr>
  </w:style>
  <w:style w:type="character" w:styleId="1003" w:customStyle="1">
    <w:name w:val="标题 6 Char"/>
    <w:link w:val="794"/>
    <w:uiPriority w:val="0"/>
    <w:semiHidden/>
    <w:qFormat/>
    <w:rPr>
      <w:rFonts w:ascii="Arial" w:hAnsi="Arial" w:eastAsia="黑体"/>
      <w:b/>
      <w:bCs/>
      <w:sz w:val="24"/>
      <w:szCs w:val="24"/>
      <w:lang w:val="en-US" w:eastAsia="zh-CN" w:bidi="ar-SA"/>
    </w:rPr>
  </w:style>
  <w:style w:type="character" w:styleId="1004" w:customStyle="1">
    <w:name w:val="标题 7 Char"/>
    <w:link w:val="795"/>
    <w:uiPriority w:val="0"/>
    <w:semiHidden/>
    <w:qFormat/>
    <w:rPr>
      <w:rFonts w:eastAsia="宋体"/>
      <w:b/>
      <w:bCs/>
      <w:sz w:val="24"/>
      <w:szCs w:val="24"/>
      <w:lang w:val="en-US" w:eastAsia="zh-CN" w:bidi="ar-SA"/>
    </w:rPr>
  </w:style>
  <w:style w:type="character" w:styleId="1005" w:customStyle="1">
    <w:name w:val="文档结构图 Char"/>
    <w:link w:val="805"/>
    <w:uiPriority w:val="0"/>
    <w:semiHidden/>
    <w:qFormat/>
    <w:rPr>
      <w:rFonts w:eastAsia="宋体"/>
      <w:sz w:val="21"/>
      <w:szCs w:val="24"/>
      <w:lang w:val="en-US" w:eastAsia="zh-CN" w:bidi="ar-SA"/>
    </w:rPr>
  </w:style>
  <w:style w:type="character" w:styleId="1006" w:customStyle="1">
    <w:name w:val="批注文字 Char"/>
    <w:link w:val="806"/>
    <w:uiPriority w:val="0"/>
    <w:qFormat/>
    <w:rPr>
      <w:rFonts w:eastAsia="宋体"/>
      <w:sz w:val="21"/>
      <w:lang w:val="en-US" w:eastAsia="zh-CN" w:bidi="ar-SA"/>
    </w:rPr>
  </w:style>
  <w:style w:type="character" w:styleId="1007" w:customStyle="1">
    <w:name w:val="纯文本 Char"/>
    <w:link w:val="814"/>
    <w:uiPriority w:val="0"/>
    <w:qFormat/>
    <w:rPr>
      <w:rFonts w:ascii="宋体" w:hAnsi="Courier New" w:eastAsia="宋体"/>
      <w:sz w:val="21"/>
      <w:szCs w:val="21"/>
      <w:lang w:val="en-US" w:eastAsia="zh-CN" w:bidi="ar-SA"/>
    </w:rPr>
  </w:style>
  <w:style w:type="character" w:styleId="1008" w:customStyle="1">
    <w:name w:val="批注框文本 Char"/>
    <w:link w:val="820"/>
    <w:uiPriority w:val="0"/>
    <w:semiHidden/>
    <w:qFormat/>
    <w:rPr>
      <w:rFonts w:eastAsia="宋体"/>
      <w:sz w:val="18"/>
      <w:szCs w:val="18"/>
      <w:lang w:val="en-US" w:eastAsia="zh-CN" w:bidi="ar-SA"/>
    </w:rPr>
  </w:style>
  <w:style w:type="character" w:styleId="1009" w:customStyle="1">
    <w:name w:val="页脚 Char"/>
    <w:link w:val="821"/>
    <w:uiPriority w:val="0"/>
    <w:qFormat/>
    <w:rPr>
      <w:rFonts w:eastAsia="宋体"/>
      <w:sz w:val="18"/>
      <w:szCs w:val="18"/>
      <w:lang w:val="en-US" w:eastAsia="zh-CN" w:bidi="ar-SA"/>
    </w:rPr>
  </w:style>
  <w:style w:type="character" w:styleId="1010" w:customStyle="1">
    <w:name w:val="页眉 Char"/>
    <w:link w:val="822"/>
    <w:uiPriority w:val="0"/>
    <w:qFormat/>
    <w:rPr>
      <w:rFonts w:eastAsia="宋体"/>
      <w:sz w:val="18"/>
      <w:szCs w:val="18"/>
      <w:lang w:val="en-US" w:eastAsia="zh-CN" w:bidi="ar-SA"/>
    </w:rPr>
  </w:style>
  <w:style w:type="character" w:styleId="1011" w:customStyle="1">
    <w:name w:val="副标题 Char"/>
    <w:link w:val="828"/>
    <w:uiPriority w:val="0"/>
    <w:qFormat/>
    <w:rPr>
      <w:rFonts w:ascii="Cambria" w:hAnsi="Cambria" w:eastAsia="宋体"/>
      <w:caps/>
      <w:spacing w:val="20"/>
      <w:sz w:val="18"/>
      <w:szCs w:val="18"/>
      <w:lang w:val="en-US" w:eastAsia="en-US" w:bidi="en-US"/>
    </w:rPr>
  </w:style>
  <w:style w:type="character" w:styleId="1012" w:customStyle="1">
    <w:name w:val="正文首行缩进 Char"/>
    <w:link w:val="840"/>
    <w:uiPriority w:val="0"/>
    <w:qFormat/>
    <w:rPr>
      <w:rFonts w:eastAsia="宋体"/>
      <w:sz w:val="21"/>
      <w:szCs w:val="24"/>
      <w:lang w:val="en-US" w:eastAsia="zh-CN" w:bidi="ar-SA"/>
    </w:rPr>
  </w:style>
  <w:style w:type="character" w:styleId="1013" w:customStyle="1">
    <w:name w:val="标准文本 Char Char"/>
    <w:uiPriority w:val="0"/>
    <w:qFormat/>
    <w:rPr>
      <w:rFonts w:eastAsia="宋体" w:cs="宋体"/>
      <w:sz w:val="24"/>
      <w:szCs w:val="24"/>
      <w:lang w:val="en-US" w:eastAsia="zh-CN" w:bidi="ar-SA"/>
    </w:rPr>
  </w:style>
  <w:style w:type="character" w:styleId="1014"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1015" w:customStyle="1">
    <w:name w:val="Body text1"/>
    <w:uiPriority w:val="0"/>
    <w:qFormat/>
    <w:rPr>
      <w:rFonts w:ascii="宋体" w:hAnsi="宋体" w:eastAsia="宋体" w:cs="宋体"/>
      <w:color w:val="000000"/>
      <w:spacing w:val="0"/>
      <w:position w:val="0"/>
      <w:sz w:val="16"/>
      <w:szCs w:val="16"/>
      <w:lang w:val="zh-TW"/>
    </w:rPr>
  </w:style>
  <w:style w:type="character" w:styleId="1016" w:customStyle="1">
    <w:name w:val="bds_more"/>
    <w:uiPriority w:val="0"/>
    <w:qFormat/>
    <w:rPr>
      <w:rFonts w:hint="eastAsia" w:ascii="宋体" w:hAnsi="宋体" w:eastAsia="宋体" w:cs="宋体"/>
    </w:rPr>
  </w:style>
  <w:style w:type="character" w:styleId="1017" w:customStyle="1">
    <w:name w:val="bds_nopic"/>
    <w:basedOn w:val="798"/>
    <w:uiPriority w:val="0"/>
    <w:qFormat/>
  </w:style>
  <w:style w:type="character" w:styleId="1018" w:customStyle="1">
    <w:name w:val="normalfont1"/>
    <w:uiPriority w:val="0"/>
    <w:qFormat/>
    <w:rPr>
      <w:rFonts w:hint="default" w:ascii="ˎ̥" w:hAnsi="ˎ̥"/>
      <w:sz w:val="18"/>
      <w:szCs w:val="18"/>
      <w:u w:val="none"/>
    </w:rPr>
  </w:style>
  <w:style w:type="character" w:styleId="1019" w:customStyle="1">
    <w:name w:val="小四 段落 宋体 Char Char Char1"/>
    <w:uiPriority w:val="0"/>
    <w:qFormat/>
    <w:rPr>
      <w:rFonts w:ascii="宋体" w:hAnsi="宋体" w:eastAsia="宋体"/>
      <w:sz w:val="24"/>
      <w:szCs w:val="24"/>
      <w:lang w:val="en-US" w:eastAsia="zh-CN" w:bidi="ar-SA"/>
    </w:rPr>
  </w:style>
  <w:style w:type="character" w:styleId="1020" w:customStyle="1">
    <w:name w:val="Body text (6) + Spacing 1 pt"/>
    <w:uiPriority w:val="0"/>
    <w:qFormat/>
    <w:rPr>
      <w:rFonts w:ascii="宋体" w:hAnsi="宋体" w:eastAsia="宋体" w:cs="宋体"/>
      <w:color w:val="000000"/>
      <w:spacing w:val="30"/>
      <w:position w:val="0"/>
      <w:sz w:val="19"/>
      <w:szCs w:val="19"/>
      <w:lang w:val="zh-TW"/>
    </w:rPr>
  </w:style>
  <w:style w:type="character" w:styleId="1021" w:customStyle="1">
    <w:name w:val="h Char Char"/>
    <w:uiPriority w:val="0"/>
    <w:qFormat/>
    <w:rPr>
      <w:sz w:val="18"/>
      <w:szCs w:val="18"/>
    </w:rPr>
  </w:style>
  <w:style w:type="character" w:styleId="1022" w:customStyle="1">
    <w:name w:val="2nd level Char"/>
    <w:uiPriority w:val="0"/>
    <w:qFormat/>
    <w:rPr>
      <w:rFonts w:ascii="Arial" w:hAnsi="Arial" w:eastAsia="黑体"/>
      <w:b/>
      <w:bCs/>
      <w:sz w:val="32"/>
      <w:szCs w:val="32"/>
      <w:lang w:val="en-US" w:eastAsia="zh-CN" w:bidi="ar-SA"/>
    </w:rPr>
  </w:style>
  <w:style w:type="character" w:styleId="1023" w:customStyle="1">
    <w:name w:val="font91"/>
    <w:uiPriority w:val="0"/>
    <w:qFormat/>
    <w:rPr>
      <w:rFonts w:hint="default" w:ascii="仿宋_GB2312" w:eastAsia="仿宋_GB2312" w:cs="仿宋_GB2312"/>
      <w:b/>
      <w:color w:val="000000"/>
      <w:sz w:val="36"/>
      <w:szCs w:val="36"/>
      <w:u w:val="none"/>
    </w:rPr>
  </w:style>
  <w:style w:type="character" w:styleId="1024" w:customStyle="1">
    <w:name w:val="bds_more1"/>
    <w:basedOn w:val="798"/>
    <w:uiPriority w:val="0"/>
    <w:qFormat/>
  </w:style>
  <w:style w:type="character" w:styleId="1025" w:customStyle="1">
    <w:name w:val="font51"/>
    <w:uiPriority w:val="0"/>
    <w:qFormat/>
    <w:rPr>
      <w:rFonts w:ascii="仿宋_GB2312" w:eastAsia="仿宋_GB2312" w:cs="仿宋_GB2312"/>
      <w:color w:val="000000"/>
      <w:sz w:val="48"/>
      <w:szCs w:val="48"/>
      <w:u w:val="none"/>
    </w:rPr>
  </w:style>
  <w:style w:type="character" w:styleId="1026" w:customStyle="1">
    <w:name w:val="无间隔 Char"/>
    <w:link w:val="1027"/>
    <w:uiPriority w:val="0"/>
    <w:qFormat/>
    <w:rPr>
      <w:rFonts w:eastAsia="微软雅黑"/>
      <w:sz w:val="24"/>
      <w:szCs w:val="22"/>
      <w:lang w:val="en-US" w:eastAsia="zh-CN" w:bidi="ar-SA"/>
    </w:rPr>
  </w:style>
  <w:style w:type="paragraph" w:styleId="1027" w:customStyle="1">
    <w:name w:val="无间隔1"/>
    <w:link w:val="1026"/>
    <w:uiPriority w:val="0"/>
    <w:qFormat/>
    <w:pPr>
      <w:jc w:val="both"/>
      <w:widowControl w:val="off"/>
    </w:pPr>
    <w:rPr>
      <w:rFonts w:hint="default" w:ascii="Calibri" w:hAnsi="Calibri" w:eastAsia="微软雅黑" w:cs="Times New Roman"/>
      <w:sz w:val="24"/>
      <w:szCs w:val="22"/>
      <w:lang w:val="en-US" w:eastAsia="zh-CN" w:bidi="ar-SA"/>
    </w:rPr>
  </w:style>
  <w:style w:type="character" w:styleId="1028" w:customStyle="1">
    <w:name w:val="font01"/>
    <w:uiPriority w:val="0"/>
    <w:qFormat/>
    <w:rPr>
      <w:rFonts w:ascii="仿宋_GB2312" w:eastAsia="仿宋_GB2312" w:cs="仿宋_GB2312"/>
      <w:color w:val="000000"/>
      <w:sz w:val="36"/>
      <w:szCs w:val="36"/>
      <w:u w:val="none"/>
    </w:rPr>
  </w:style>
  <w:style w:type="character" w:styleId="1029" w:customStyle="1">
    <w:name w:val="Body text + 7.5 pt2"/>
    <w:uiPriority w:val="0"/>
    <w:qFormat/>
    <w:rPr>
      <w:rFonts w:ascii="宋体" w:hAnsi="宋体" w:eastAsia="宋体" w:cs="宋体"/>
      <w:color w:val="000000"/>
      <w:spacing w:val="-30"/>
      <w:position w:val="0"/>
      <w:sz w:val="15"/>
      <w:szCs w:val="15"/>
      <w:lang w:val="en-US"/>
    </w:rPr>
  </w:style>
  <w:style w:type="character" w:styleId="1030" w:customStyle="1">
    <w:name w:val="Body text + 8.5 pt"/>
    <w:uiPriority w:val="0"/>
    <w:qFormat/>
    <w:rPr>
      <w:rFonts w:ascii="宋体" w:hAnsi="宋体" w:eastAsia="宋体" w:cs="宋体"/>
      <w:i/>
      <w:iCs/>
      <w:color w:val="000000"/>
      <w:spacing w:val="0"/>
      <w:position w:val="0"/>
      <w:sz w:val="17"/>
      <w:szCs w:val="17"/>
    </w:rPr>
  </w:style>
  <w:style w:type="character" w:styleId="1031" w:customStyle="1">
    <w:name w:val="标准小四 Char Char"/>
    <w:uiPriority w:val="0"/>
    <w:qFormat/>
    <w:rPr>
      <w:rFonts w:ascii="Arial" w:hAnsi="Arial" w:eastAsia="宋体"/>
      <w:sz w:val="24"/>
      <w:szCs w:val="21"/>
      <w:lang w:val="en-US" w:eastAsia="zh-CN" w:bidi="ar-SA"/>
    </w:rPr>
  </w:style>
  <w:style w:type="character" w:styleId="1032" w:customStyle="1">
    <w:name w:val="Footer Char"/>
    <w:uiPriority w:val="0"/>
    <w:qFormat/>
    <w:rPr>
      <w:rFonts w:cs="Times New Roman"/>
      <w:sz w:val="18"/>
      <w:szCs w:val="18"/>
    </w:rPr>
  </w:style>
  <w:style w:type="character" w:styleId="1033" w:customStyle="1">
    <w:name w:val="Table caption (2)"/>
    <w:uiPriority w:val="0"/>
    <w:qFormat/>
    <w:rPr>
      <w:rFonts w:ascii="宋体" w:hAnsi="宋体" w:eastAsia="宋体" w:cs="宋体"/>
      <w:color w:val="000000"/>
      <w:spacing w:val="0"/>
      <w:position w:val="0"/>
      <w:sz w:val="19"/>
      <w:szCs w:val="19"/>
      <w:lang w:val="zh-TW"/>
    </w:rPr>
  </w:style>
  <w:style w:type="character" w:styleId="1034" w:customStyle="1">
    <w:name w:val="Char Char2"/>
    <w:uiPriority w:val="0"/>
    <w:qFormat/>
    <w:rPr>
      <w:rFonts w:ascii="宋体" w:hAnsi="Courier New" w:eastAsia="宋体"/>
      <w:sz w:val="21"/>
      <w:szCs w:val="21"/>
      <w:lang w:val="en-US" w:eastAsia="zh-CN" w:bidi="ar-SA"/>
    </w:rPr>
  </w:style>
  <w:style w:type="character" w:styleId="1035" w:customStyle="1">
    <w:name w:val="小四 段落 宋体 Char Char Char Char Char Char Char Char"/>
    <w:uiPriority w:val="0"/>
    <w:qFormat/>
    <w:rPr>
      <w:rFonts w:eastAsia="宋体"/>
      <w:sz w:val="24"/>
      <w:szCs w:val="24"/>
      <w:lang w:val="en-US" w:eastAsia="zh-CN" w:bidi="ar-SA"/>
    </w:rPr>
  </w:style>
  <w:style w:type="character" w:styleId="1036" w:customStyle="1">
    <w:name w:val="1page sec3 Char"/>
    <w:uiPriority w:val="0"/>
    <w:qFormat/>
    <w:rPr>
      <w:rFonts w:eastAsia="宋体"/>
      <w:sz w:val="18"/>
      <w:lang w:val="en-US" w:eastAsia="zh-CN"/>
    </w:rPr>
  </w:style>
  <w:style w:type="character" w:styleId="1037" w:customStyle="1">
    <w:name w:val="标题 3 Char1"/>
    <w:uiPriority w:val="0"/>
    <w:qFormat/>
    <w:rPr>
      <w:rFonts w:eastAsia="宋体"/>
      <w:b/>
      <w:bCs/>
      <w:sz w:val="32"/>
      <w:szCs w:val="32"/>
      <w:lang w:val="en-US" w:eastAsia="zh-CN" w:bidi="ar-SA"/>
    </w:rPr>
  </w:style>
  <w:style w:type="character" w:styleId="1038" w:customStyle="1">
    <w:name w:val="样式 首行缩进:  2 字符 Char Char"/>
    <w:link w:val="1039"/>
    <w:uiPriority w:val="0"/>
    <w:qFormat/>
    <w:rPr>
      <w:rFonts w:eastAsia="宋体" w:cs="宋体"/>
      <w:sz w:val="24"/>
      <w:lang w:val="en-US" w:eastAsia="zh-CN" w:bidi="ar-SA"/>
    </w:rPr>
  </w:style>
  <w:style w:type="paragraph" w:styleId="1039" w:customStyle="1">
    <w:name w:val="样式 首行缩进:  2 字符"/>
    <w:basedOn w:val="788"/>
    <w:link w:val="1038"/>
    <w:uiPriority w:val="0"/>
    <w:qFormat/>
    <w:pPr>
      <w:ind w:firstLine="480"/>
      <w:spacing w:line="360" w:lineRule="auto"/>
    </w:pPr>
    <w:rPr>
      <w:rFonts w:cs="宋体"/>
      <w:sz w:val="24"/>
      <w:szCs w:val="20"/>
    </w:rPr>
  </w:style>
  <w:style w:type="character" w:styleId="1040" w:customStyle="1">
    <w:name w:val="sect1.2.3 Char1"/>
    <w:uiPriority w:val="0"/>
    <w:qFormat/>
    <w:rPr>
      <w:rFonts w:eastAsia="宋体"/>
      <w:b/>
      <w:bCs/>
      <w:sz w:val="32"/>
      <w:szCs w:val="32"/>
      <w:lang w:val="en-US" w:eastAsia="zh-CN" w:bidi="ar-SA"/>
    </w:rPr>
  </w:style>
  <w:style w:type="character" w:styleId="1041" w:customStyle="1">
    <w:name w:val="bds_nopic2"/>
    <w:basedOn w:val="798"/>
    <w:uiPriority w:val="0"/>
    <w:qFormat/>
  </w:style>
  <w:style w:type="character" w:styleId="1042" w:customStyle="1">
    <w:name w:val="Title1 Char"/>
    <w:uiPriority w:val="0"/>
    <w:qFormat/>
    <w:rPr>
      <w:rFonts w:eastAsia="宋体"/>
      <w:b/>
      <w:bCs/>
      <w:sz w:val="44"/>
      <w:szCs w:val="44"/>
      <w:lang w:val="en-US" w:eastAsia="zh-CN" w:bidi="ar-SA"/>
    </w:rPr>
  </w:style>
  <w:style w:type="character" w:styleId="1043" w:customStyle="1">
    <w:name w:val="1page sec3 Char1"/>
    <w:uiPriority w:val="0"/>
    <w:qFormat/>
    <w:rPr>
      <w:sz w:val="18"/>
      <w:szCs w:val="18"/>
    </w:rPr>
  </w:style>
  <w:style w:type="character" w:styleId="1044" w:customStyle="1">
    <w:name w:val="明显引用 Char"/>
    <w:link w:val="1045"/>
    <w:uiPriority w:val="0"/>
    <w:qFormat/>
    <w:rPr>
      <w:rFonts w:ascii="Cambria" w:hAnsi="Cambria" w:eastAsia="宋体"/>
      <w:caps/>
      <w:color w:val="622423"/>
      <w:spacing w:val="5"/>
      <w:lang w:val="en-US" w:eastAsia="en-US" w:bidi="en-US"/>
    </w:rPr>
  </w:style>
  <w:style w:type="paragraph" w:styleId="1045" w:customStyle="1">
    <w:name w:val="明显引用1"/>
    <w:basedOn w:val="788"/>
    <w:next w:val="788"/>
    <w:link w:val="1044"/>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46" w:customStyle="1">
    <w:name w:val="font21"/>
    <w:uiPriority w:val="0"/>
    <w:qFormat/>
    <w:rPr>
      <w:rFonts w:hint="default" w:ascii="仿宋_GB2312" w:eastAsia="仿宋_GB2312" w:cs="仿宋_GB2312"/>
      <w:b/>
      <w:color w:val="000000"/>
      <w:sz w:val="24"/>
      <w:szCs w:val="24"/>
      <w:u w:val="none"/>
    </w:rPr>
  </w:style>
  <w:style w:type="character" w:styleId="1047" w:customStyle="1">
    <w:name w:val="3zw"/>
    <w:basedOn w:val="798"/>
    <w:uiPriority w:val="0"/>
    <w:qFormat/>
  </w:style>
  <w:style w:type="character" w:styleId="1048" w:customStyle="1">
    <w:name w:val="Body text (6) + 10 pt1"/>
    <w:uiPriority w:val="0"/>
    <w:qFormat/>
    <w:rPr>
      <w:rFonts w:ascii="宋体" w:hAnsi="宋体" w:eastAsia="宋体" w:cs="宋体"/>
      <w:color w:val="000000"/>
      <w:spacing w:val="0"/>
      <w:position w:val="0"/>
      <w:sz w:val="20"/>
      <w:szCs w:val="20"/>
      <w:lang w:val="en-US"/>
    </w:rPr>
  </w:style>
  <w:style w:type="character" w:styleId="1049" w:customStyle="1">
    <w:name w:val="正文缩进 Char1"/>
    <w:link w:val="1050"/>
    <w:uiPriority w:val="0"/>
    <w:qFormat/>
    <w:rPr>
      <w:rFonts w:eastAsia="宋体"/>
      <w:lang w:bidi="ar-SA"/>
    </w:rPr>
  </w:style>
  <w:style w:type="paragraph" w:styleId="1050" w:customStyle="1">
    <w:name w:val="正文缩进1"/>
    <w:basedOn w:val="788"/>
    <w:link w:val="1049"/>
    <w:uiPriority w:val="0"/>
    <w:qFormat/>
    <w:pPr>
      <w:ind w:firstLine="420"/>
    </w:pPr>
    <w:rPr>
      <w:sz w:val="20"/>
      <w:szCs w:val="20"/>
    </w:rPr>
  </w:style>
  <w:style w:type="character" w:styleId="1051" w:customStyle="1">
    <w:name w:val="font61"/>
    <w:uiPriority w:val="0"/>
    <w:qFormat/>
    <w:rPr>
      <w:rFonts w:hint="default" w:ascii="仿宋_GB2312" w:eastAsia="仿宋_GB2312" w:cs="仿宋_GB2312"/>
      <w:b/>
      <w:color w:val="000000"/>
      <w:sz w:val="28"/>
      <w:szCs w:val="28"/>
      <w:u w:val="none"/>
    </w:rPr>
  </w:style>
  <w:style w:type="character" w:styleId="1052" w:customStyle="1">
    <w:name w:val="Heading 2 Char"/>
    <w:uiPriority w:val="0"/>
    <w:qFormat/>
    <w:rPr>
      <w:rFonts w:ascii="Calibri Light" w:hAnsi="Calibri Light" w:eastAsia="宋体" w:cs="Times New Roman"/>
      <w:b/>
      <w:bCs/>
      <w:sz w:val="32"/>
      <w:szCs w:val="32"/>
    </w:rPr>
  </w:style>
  <w:style w:type="character" w:styleId="1053" w:customStyle="1">
    <w:name w:val="H2 Char1"/>
    <w:uiPriority w:val="0"/>
    <w:qFormat/>
    <w:rPr>
      <w:rFonts w:ascii="Arial" w:hAnsi="Arial" w:eastAsia="黑体"/>
      <w:b/>
      <w:bCs/>
      <w:sz w:val="32"/>
      <w:szCs w:val="32"/>
      <w:lang w:val="en-US" w:eastAsia="zh-CN" w:bidi="ar-SA"/>
    </w:rPr>
  </w:style>
  <w:style w:type="character" w:styleId="1054" w:customStyle="1">
    <w:name w:val="Body text (6)"/>
    <w:uiPriority w:val="0"/>
    <w:qFormat/>
    <w:rPr>
      <w:rFonts w:ascii="宋体" w:hAnsi="宋体" w:eastAsia="宋体" w:cs="宋体"/>
      <w:color w:val="000000"/>
      <w:spacing w:val="0"/>
      <w:position w:val="0"/>
      <w:sz w:val="19"/>
      <w:szCs w:val="19"/>
      <w:u w:val="single"/>
      <w:lang w:val="zh-TW"/>
    </w:rPr>
  </w:style>
  <w:style w:type="character" w:styleId="1055"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1056" w:customStyle="1">
    <w:name w:val="bds_more2"/>
    <w:basedOn w:val="798"/>
    <w:uiPriority w:val="0"/>
    <w:qFormat/>
  </w:style>
  <w:style w:type="character" w:styleId="1057" w:customStyle="1">
    <w:name w:val="content_lineheight1"/>
    <w:basedOn w:val="798"/>
    <w:uiPriority w:val="0"/>
    <w:qFormat/>
  </w:style>
  <w:style w:type="character" w:styleId="1058" w:customStyle="1">
    <w:name w:val="apple-style-span"/>
    <w:basedOn w:val="798"/>
    <w:uiPriority w:val="0"/>
    <w:qFormat/>
  </w:style>
  <w:style w:type="character" w:styleId="1059" w:customStyle="1">
    <w:name w:val="bds_nopic1"/>
    <w:basedOn w:val="798"/>
    <w:uiPriority w:val="0"/>
    <w:qFormat/>
  </w:style>
  <w:style w:type="character" w:styleId="1060" w:customStyle="1">
    <w:name w:val="样式 宋体"/>
    <w:uiPriority w:val="0"/>
    <w:qFormat/>
    <w:rPr>
      <w:rFonts w:ascii="宋体" w:hAnsi="宋体" w:eastAsia="宋体"/>
      <w:sz w:val="24"/>
      <w:szCs w:val="24"/>
    </w:rPr>
  </w:style>
  <w:style w:type="character" w:styleId="1061" w:customStyle="1">
    <w:name w:val="t1"/>
    <w:uiPriority w:val="0"/>
    <w:qFormat/>
  </w:style>
  <w:style w:type="character" w:styleId="1062" w:customStyle="1">
    <w:name w:val="样式 宋体 小四"/>
    <w:uiPriority w:val="0"/>
    <w:qFormat/>
    <w:rPr>
      <w:rFonts w:ascii="宋体" w:hAnsi="宋体"/>
      <w:sz w:val="24"/>
    </w:rPr>
  </w:style>
  <w:style w:type="character" w:styleId="1063" w:customStyle="1">
    <w:name w:val="font81"/>
    <w:uiPriority w:val="0"/>
    <w:qFormat/>
    <w:rPr>
      <w:rFonts w:hint="eastAsia" w:ascii="仿宋" w:hAnsi="仿宋" w:eastAsia="仿宋" w:cs="仿宋"/>
      <w:color w:val="000000"/>
      <w:sz w:val="21"/>
      <w:szCs w:val="21"/>
      <w:u w:val="none"/>
    </w:rPr>
  </w:style>
  <w:style w:type="character" w:styleId="1064" w:customStyle="1">
    <w:name w:val="Body text (6)_"/>
    <w:link w:val="1065"/>
    <w:uiPriority w:val="0"/>
    <w:qFormat/>
    <w:rPr>
      <w:rFonts w:ascii="宋体" w:hAnsi="宋体" w:eastAsia="宋体" w:cs="宋体"/>
      <w:sz w:val="19"/>
      <w:szCs w:val="19"/>
    </w:rPr>
  </w:style>
  <w:style w:type="paragraph" w:styleId="1065" w:customStyle="1">
    <w:name w:val="Body text (6)1"/>
    <w:basedOn w:val="788"/>
    <w:link w:val="1064"/>
    <w:uiPriority w:val="0"/>
    <w:qFormat/>
    <w:pPr>
      <w:ind w:hanging="420"/>
      <w:jc w:val="both"/>
      <w:spacing w:line="408" w:lineRule="exact"/>
      <w:shd w:val="clear" w:color="auto" w:fill="ffffff"/>
    </w:pPr>
    <w:rPr>
      <w:rFonts w:ascii="宋体" w:hAnsi="宋体"/>
      <w:sz w:val="19"/>
      <w:szCs w:val="19"/>
    </w:rPr>
  </w:style>
  <w:style w:type="character" w:styleId="106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67" w:customStyle="1">
    <w:name w:val="Header Char"/>
    <w:uiPriority w:val="0"/>
    <w:qFormat/>
    <w:rPr>
      <w:rFonts w:cs="Times New Roman"/>
      <w:sz w:val="18"/>
      <w:szCs w:val="18"/>
    </w:rPr>
  </w:style>
  <w:style w:type="character" w:styleId="1068" w:customStyle="1">
    <w:name w:val="小四 段落 宋体 Char Char Char Char1"/>
    <w:uiPriority w:val="0"/>
    <w:qFormat/>
    <w:rPr>
      <w:rFonts w:eastAsia="宋体"/>
      <w:sz w:val="24"/>
      <w:szCs w:val="24"/>
      <w:lang w:val="en-US" w:eastAsia="zh-CN" w:bidi="ar-SA"/>
    </w:rPr>
  </w:style>
  <w:style w:type="character" w:styleId="1069" w:customStyle="1">
    <w:name w:val="subtitle1"/>
    <w:uiPriority w:val="0"/>
    <w:qFormat/>
    <w:rPr>
      <w:rFonts w:hint="default" w:ascii="Georgia" w:hAnsi="Georgia"/>
      <w:b/>
      <w:bCs/>
      <w:color w:val="666666"/>
      <w:sz w:val="18"/>
      <w:szCs w:val="18"/>
    </w:rPr>
  </w:style>
  <w:style w:type="character" w:styleId="1070" w:customStyle="1">
    <w:name w:val="Table caption (2)_"/>
    <w:link w:val="1071"/>
    <w:uiPriority w:val="0"/>
    <w:qFormat/>
    <w:rPr>
      <w:rFonts w:ascii="宋体" w:hAnsi="宋体" w:eastAsia="宋体" w:cs="宋体"/>
      <w:sz w:val="19"/>
      <w:szCs w:val="19"/>
    </w:rPr>
  </w:style>
  <w:style w:type="paragraph" w:styleId="1071" w:customStyle="1">
    <w:name w:val="Table caption (2)1"/>
    <w:basedOn w:val="788"/>
    <w:link w:val="1070"/>
    <w:uiPriority w:val="0"/>
    <w:qFormat/>
    <w:pPr>
      <w:spacing w:line="0" w:lineRule="atLeast"/>
      <w:shd w:val="clear" w:color="auto" w:fill="ffffff"/>
    </w:pPr>
    <w:rPr>
      <w:rFonts w:ascii="宋体" w:hAnsi="宋体"/>
      <w:sz w:val="19"/>
      <w:szCs w:val="19"/>
    </w:rPr>
  </w:style>
  <w:style w:type="character" w:styleId="1072" w:customStyle="1">
    <w:name w:val="font11"/>
    <w:uiPriority w:val="0"/>
    <w:qFormat/>
    <w:rPr>
      <w:rFonts w:ascii="仿宋_GB2312" w:eastAsia="仿宋_GB2312" w:cs="仿宋_GB2312"/>
      <w:color w:val="000000"/>
      <w:sz w:val="24"/>
      <w:szCs w:val="24"/>
      <w:u w:val="none"/>
    </w:rPr>
  </w:style>
  <w:style w:type="character" w:styleId="1073" w:customStyle="1">
    <w:name w:val="特点 Char1"/>
    <w:uiPriority w:val="0"/>
    <w:qFormat/>
    <w:rPr>
      <w:rFonts w:eastAsia="宋体"/>
      <w:sz w:val="21"/>
      <w:lang w:val="en-US" w:eastAsia="zh-CN" w:bidi="ar-SA"/>
    </w:rPr>
  </w:style>
  <w:style w:type="character" w:styleId="1074"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1075" w:customStyle="1">
    <w:name w:val="style131"/>
    <w:uiPriority w:val="0"/>
    <w:qFormat/>
    <w:rPr>
      <w:rFonts w:cs="Times New Roman"/>
      <w:sz w:val="18"/>
      <w:szCs w:val="18"/>
    </w:rPr>
  </w:style>
  <w:style w:type="character" w:styleId="1076" w:customStyle="1">
    <w:name w:val="Body text_"/>
    <w:link w:val="1077"/>
    <w:uiPriority w:val="0"/>
    <w:qFormat/>
    <w:rPr>
      <w:rFonts w:ascii="宋体" w:hAnsi="宋体" w:eastAsia="宋体" w:cs="宋体"/>
      <w:sz w:val="16"/>
      <w:szCs w:val="16"/>
    </w:rPr>
  </w:style>
  <w:style w:type="paragraph" w:styleId="1077" w:customStyle="1">
    <w:name w:val="Body text3"/>
    <w:basedOn w:val="788"/>
    <w:link w:val="1076"/>
    <w:uiPriority w:val="0"/>
    <w:qFormat/>
    <w:pPr>
      <w:jc w:val="both"/>
      <w:spacing w:before="300" w:line="360" w:lineRule="exact"/>
      <w:shd w:val="clear" w:color="auto" w:fill="ffffff"/>
    </w:pPr>
    <w:rPr>
      <w:rFonts w:ascii="宋体" w:hAnsi="宋体"/>
      <w:sz w:val="16"/>
      <w:szCs w:val="16"/>
    </w:rPr>
  </w:style>
  <w:style w:type="character" w:styleId="1078" w:customStyle="1">
    <w:name w:val="Heading 1 Char"/>
    <w:uiPriority w:val="0"/>
    <w:qFormat/>
    <w:rPr>
      <w:rFonts w:ascii="Times New Roman" w:hAnsi="Times New Roman" w:eastAsia="宋体" w:cs="Times New Roman"/>
      <w:b/>
      <w:bCs/>
      <w:sz w:val="44"/>
      <w:szCs w:val="44"/>
    </w:rPr>
  </w:style>
  <w:style w:type="character" w:styleId="1079" w:customStyle="1">
    <w:name w:val="引用 Char"/>
    <w:link w:val="1080"/>
    <w:uiPriority w:val="0"/>
    <w:qFormat/>
    <w:rPr>
      <w:rFonts w:ascii="Cambria" w:hAnsi="Cambria" w:eastAsia="宋体"/>
      <w:i/>
      <w:iCs/>
      <w:sz w:val="22"/>
      <w:szCs w:val="22"/>
      <w:lang w:val="en-US" w:eastAsia="en-US" w:bidi="en-US"/>
    </w:rPr>
  </w:style>
  <w:style w:type="paragraph" w:styleId="1080" w:customStyle="1">
    <w:name w:val="引用1"/>
    <w:basedOn w:val="788"/>
    <w:next w:val="788"/>
    <w:link w:val="1079"/>
    <w:uiPriority w:val="0"/>
    <w:qFormat/>
    <w:pPr>
      <w:jc w:val="left"/>
      <w:spacing w:after="200" w:line="252" w:lineRule="auto"/>
      <w:widowControl/>
    </w:pPr>
    <w:rPr>
      <w:rFonts w:ascii="Cambria" w:hAnsi="Cambria"/>
      <w:i/>
      <w:iCs/>
      <w:sz w:val="22"/>
      <w:szCs w:val="22"/>
      <w:lang w:eastAsia="en-US" w:bidi="en-US"/>
    </w:rPr>
  </w:style>
  <w:style w:type="character" w:styleId="1081" w:customStyle="1">
    <w:name w:val="font31"/>
    <w:uiPriority w:val="0"/>
    <w:qFormat/>
    <w:rPr>
      <w:rFonts w:hint="default" w:ascii="仿宋_GB2312" w:eastAsia="仿宋_GB2312" w:cs="仿宋_GB2312"/>
      <w:color w:val="000000"/>
      <w:sz w:val="36"/>
      <w:szCs w:val="36"/>
      <w:u w:val="none"/>
    </w:rPr>
  </w:style>
  <w:style w:type="character" w:styleId="1082" w:customStyle="1">
    <w:name w:val="华宇段落1 Char Char Char"/>
    <w:uiPriority w:val="0"/>
    <w:qFormat/>
    <w:rPr>
      <w:rFonts w:eastAsia="宋体"/>
      <w:bCs/>
      <w:sz w:val="24"/>
      <w:szCs w:val="24"/>
      <w:lang w:val="en-US" w:eastAsia="zh-CN" w:bidi="ar-SA"/>
    </w:rPr>
  </w:style>
  <w:style w:type="character" w:styleId="1083" w:customStyle="1">
    <w:name w:val="textcontents"/>
    <w:basedOn w:val="798"/>
    <w:uiPriority w:val="0"/>
    <w:qFormat/>
  </w:style>
  <w:style w:type="character" w:styleId="1084" w:customStyle="1">
    <w:name w:val="1page sec3 Char2"/>
    <w:uiPriority w:val="0"/>
    <w:qFormat/>
    <w:rPr>
      <w:rFonts w:eastAsia="宋体"/>
      <w:sz w:val="18"/>
      <w:szCs w:val="18"/>
      <w:lang w:val="en-US" w:eastAsia="zh-CN" w:bidi="ar-SA"/>
    </w:rPr>
  </w:style>
  <w:style w:type="character" w:styleId="1085" w:customStyle="1">
    <w:name w:val="Body text + 7.5 pt1"/>
    <w:uiPriority w:val="0"/>
    <w:qFormat/>
    <w:rPr>
      <w:rFonts w:ascii="宋体" w:hAnsi="宋体" w:eastAsia="宋体" w:cs="宋体"/>
      <w:color w:val="000000"/>
      <w:spacing w:val="0"/>
      <w:position w:val="0"/>
      <w:sz w:val="15"/>
      <w:szCs w:val="15"/>
      <w:lang w:val="en-US"/>
    </w:rPr>
  </w:style>
  <w:style w:type="character" w:styleId="1086" w:customStyle="1">
    <w:name w:val="小四 段落 宋体 Char1"/>
    <w:uiPriority w:val="0"/>
    <w:qFormat/>
    <w:rPr>
      <w:rFonts w:eastAsia="宋体"/>
      <w:sz w:val="24"/>
      <w:szCs w:val="24"/>
      <w:lang w:val="en-US" w:eastAsia="zh-CN" w:bidi="ar-SA"/>
    </w:rPr>
  </w:style>
  <w:style w:type="character" w:styleId="1087" w:customStyle="1">
    <w:name w:val="ih151"/>
    <w:uiPriority w:val="0"/>
    <w:qFormat/>
    <w:rPr>
      <w:color w:val="666666"/>
      <w:sz w:val="18"/>
      <w:szCs w:val="18"/>
      <w:u w:val="none"/>
    </w:rPr>
  </w:style>
  <w:style w:type="character" w:styleId="1088" w:customStyle="1">
    <w:name w:val="正文 + 宋体 Char"/>
    <w:uiPriority w:val="0"/>
    <w:qFormat/>
    <w:rPr>
      <w:rFonts w:eastAsia="宋体"/>
      <w:sz w:val="21"/>
      <w:szCs w:val="24"/>
      <w:lang w:val="en-US" w:eastAsia="zh-CN" w:bidi="ar-SA"/>
    </w:rPr>
  </w:style>
  <w:style w:type="paragraph" w:styleId="1089" w:customStyle="1">
    <w:name w:val="项目符号：一级"/>
    <w:basedOn w:val="1090"/>
    <w:next w:val="1090"/>
    <w:uiPriority w:val="0"/>
    <w:qFormat/>
    <w:pPr>
      <w:ind w:right="-134"/>
    </w:pPr>
    <w:rPr>
      <w:bCs w:val="0"/>
    </w:rPr>
  </w:style>
  <w:style w:type="paragraph" w:styleId="1090" w:customStyle="1">
    <w:name w:val="正文格式"/>
    <w:basedOn w:val="788"/>
    <w:uiPriority w:val="0"/>
    <w:qFormat/>
    <w:pPr>
      <w:ind w:left="178" w:right="44" w:hanging="178"/>
      <w:jc w:val="left"/>
      <w:spacing w:line="360" w:lineRule="auto"/>
      <w:widowControl/>
    </w:pPr>
    <w:rPr>
      <w:rFonts w:ascii="宋体" w:hAnsi="宋体"/>
      <w:bCs/>
      <w:szCs w:val="21"/>
    </w:rPr>
  </w:style>
  <w:style w:type="paragraph" w:styleId="1091" w:customStyle="1">
    <w:name w:val="CD 正文"/>
    <w:basedOn w:val="788"/>
    <w:uiPriority w:val="0"/>
    <w:qFormat/>
    <w:pPr>
      <w:jc w:val="left"/>
    </w:pPr>
    <w:rPr>
      <w:rFonts w:ascii="Arial" w:hAnsi="Arial" w:eastAsia="微软雅黑"/>
    </w:rPr>
  </w:style>
  <w:style w:type="paragraph" w:styleId="1092" w:customStyle="1">
    <w:name w:val="默认段落字体 Para Char Char Char Char Char Char Char"/>
    <w:basedOn w:val="788"/>
    <w:uiPriority w:val="0"/>
    <w:qFormat/>
    <w:rPr>
      <w:rFonts w:ascii="Tahoma" w:hAnsi="Tahoma"/>
      <w:sz w:val="24"/>
      <w:szCs w:val="20"/>
    </w:rPr>
  </w:style>
  <w:style w:type="paragraph" w:styleId="1093" w:customStyle="1">
    <w:name w:val="普通(网站)1"/>
    <w:basedOn w:val="788"/>
    <w:uiPriority w:val="0"/>
    <w:qFormat/>
    <w:pPr>
      <w:jc w:val="left"/>
      <w:spacing w:before="100" w:beforeAutospacing="1" w:after="100" w:afterAutospacing="1"/>
      <w:widowControl/>
    </w:pPr>
    <w:rPr>
      <w:rFonts w:ascii="宋体" w:cs="宋体"/>
      <w:sz w:val="24"/>
    </w:rPr>
  </w:style>
  <w:style w:type="paragraph" w:styleId="1094" w:customStyle="1">
    <w:name w:val="样式 标题 3H32nd Subheadl3CTh3Level 3 Headlevel_3PIM 3Headi...2"/>
    <w:basedOn w:val="791"/>
    <w:uiPriority w:val="0"/>
    <w:qFormat/>
    <w:pPr>
      <w:ind w:left="709" w:hanging="709"/>
      <w:jc w:val="left"/>
      <w:spacing w:after="120" w:line="360" w:lineRule="auto"/>
      <w:tabs>
        <w:tab w:val="left" w:pos="709" w:leader="none"/>
      </w:tabs>
    </w:pPr>
    <w:rPr>
      <w:rFonts w:cs="宋体"/>
      <w:sz w:val="30"/>
      <w:szCs w:val="20"/>
    </w:rPr>
  </w:style>
  <w:style w:type="paragraph" w:styleId="1095" w:customStyle="1">
    <w:name w:val="xl38"/>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96" w:customStyle="1">
    <w:name w:val="p0"/>
    <w:basedOn w:val="788"/>
    <w:uiPriority w:val="0"/>
    <w:qFormat/>
    <w:pPr>
      <w:widowControl/>
    </w:pPr>
    <w:rPr>
      <w:szCs w:val="21"/>
    </w:rPr>
  </w:style>
  <w:style w:type="paragraph" w:styleId="1097" w:customStyle="1">
    <w:name w:val="xl33"/>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98" w:customStyle="1">
    <w:name w:val="项目符号，一级"/>
    <w:basedOn w:val="1090"/>
    <w:next w:val="1090"/>
    <w:uiPriority w:val="0"/>
    <w:qFormat/>
    <w:pPr>
      <w:ind w:left="376" w:firstLine="0"/>
      <w:spacing w:line="240" w:lineRule="atLeast"/>
      <w:tabs>
        <w:tab w:val="left" w:pos="1320" w:leader="none"/>
      </w:tabs>
    </w:pPr>
    <w:rPr>
      <w:bCs w:val="0"/>
      <w:color w:val="000000"/>
      <w:szCs w:val="24"/>
    </w:rPr>
  </w:style>
  <w:style w:type="paragraph" w:styleId="1099" w:customStyle="1">
    <w:name w:val="二级条标题"/>
    <w:basedOn w:val="788"/>
    <w:next w:val="1100"/>
    <w:uiPriority w:val="0"/>
    <w:qFormat/>
    <w:pPr>
      <w:ind w:hanging="420"/>
      <w:widowControl/>
      <w:tabs>
        <w:tab w:val="left" w:pos="2240" w:leader="none"/>
      </w:tabs>
      <w:outlineLvl w:val="3"/>
    </w:pPr>
    <w:rPr>
      <w:rFonts w:eastAsia="黑体"/>
      <w:szCs w:val="20"/>
    </w:rPr>
  </w:style>
  <w:style w:type="paragraph" w:styleId="1100" w:customStyle="1">
    <w:name w:val="段"/>
    <w:next w:val="788"/>
    <w:uiPriority w:val="0"/>
    <w:qFormat/>
    <w:pPr>
      <w:ind w:firstLine="200"/>
      <w:jc w:val="both"/>
    </w:pPr>
    <w:rPr>
      <w:rFonts w:hint="default" w:ascii="宋体" w:hAnsi="Calibri" w:eastAsia="宋体" w:cs="Times New Roman"/>
      <w:sz w:val="21"/>
      <w:lang w:val="en-US" w:eastAsia="zh-CN" w:bidi="ar-SA"/>
    </w:rPr>
  </w:style>
  <w:style w:type="paragraph" w:styleId="1101" w:customStyle="1">
    <w:name w:val="默认段落字体 Para Char Char Char Char Char Char Char Char Char1 Char Char Char Char Char Char Char"/>
    <w:basedOn w:val="805"/>
    <w:uiPriority w:val="0"/>
    <w:qFormat/>
    <w:rPr>
      <w:szCs w:val="20"/>
    </w:rPr>
  </w:style>
  <w:style w:type="paragraph" w:styleId="1102" w:customStyle="1">
    <w:name w:val="Char Char Char Char Char Char Char1"/>
    <w:basedOn w:val="788"/>
    <w:uiPriority w:val="0"/>
    <w:qFormat/>
    <w:pPr>
      <w:jc w:val="left"/>
    </w:pPr>
    <w:rPr>
      <w:rFonts w:ascii="Tahoma" w:hAnsi="Tahoma"/>
      <w:sz w:val="24"/>
      <w:szCs w:val="20"/>
    </w:rPr>
  </w:style>
  <w:style w:type="paragraph" w:styleId="1103" w:customStyle="1">
    <w:name w:val="正文 首行缩进:  2 字符 Char"/>
    <w:basedOn w:val="788"/>
    <w:uiPriority w:val="0"/>
    <w:qFormat/>
    <w:pPr>
      <w:ind w:firstLine="480"/>
      <w:spacing w:line="360" w:lineRule="auto"/>
    </w:pPr>
    <w:rPr>
      <w:rFonts w:cs="宋体"/>
      <w:sz w:val="24"/>
      <w:szCs w:val="20"/>
    </w:rPr>
  </w:style>
  <w:style w:type="paragraph" w:styleId="1104" w:customStyle="1">
    <w:name w:val="大标题"/>
    <w:basedOn w:val="788"/>
    <w:next w:val="788"/>
    <w:uiPriority w:val="0"/>
    <w:qFormat/>
    <w:pPr>
      <w:ind w:hanging="420"/>
      <w:pageBreakBefore/>
      <w:spacing w:line="360" w:lineRule="auto"/>
      <w:tabs>
        <w:tab w:val="left" w:pos="420" w:leader="none"/>
      </w:tabs>
      <w:outlineLvl w:val="0"/>
    </w:pPr>
    <w:rPr>
      <w:b/>
      <w:iCs/>
      <w:sz w:val="44"/>
    </w:rPr>
  </w:style>
  <w:style w:type="paragraph" w:styleId="1105" w:customStyle="1">
    <w:name w:val="正文--表格内正文"/>
    <w:basedOn w:val="788"/>
    <w:uiPriority w:val="0"/>
    <w:qFormat/>
    <w:pPr>
      <w:jc w:val="center"/>
      <w:spacing w:line="0" w:lineRule="atLeast"/>
    </w:pPr>
    <w:rPr>
      <w:rFonts w:ascii="宋体" w:hAnsi="宋体"/>
      <w:color w:val="000000"/>
      <w:sz w:val="24"/>
    </w:rPr>
  </w:style>
  <w:style w:type="paragraph" w:styleId="1106" w:customStyle="1">
    <w:name w:val="样式"/>
    <w:basedOn w:val="788"/>
    <w:uiPriority w:val="0"/>
    <w:qFormat/>
    <w:pPr>
      <w:spacing w:before="120" w:after="120" w:line="360" w:lineRule="auto"/>
    </w:pPr>
    <w:rPr>
      <w:rFonts w:ascii="宋体"/>
      <w:sz w:val="24"/>
      <w:szCs w:val="20"/>
    </w:rPr>
  </w:style>
  <w:style w:type="paragraph" w:styleId="1107" w:customStyle="1">
    <w:name w:val="正文_0_0"/>
    <w:uiPriority w:val="0"/>
    <w:qFormat/>
    <w:pPr>
      <w:jc w:val="both"/>
      <w:widowControl w:val="off"/>
    </w:pPr>
    <w:rPr>
      <w:rFonts w:hint="default" w:ascii="Calibri" w:hAnsi="Calibri" w:eastAsia="宋体" w:cs="Times New Roman"/>
      <w:sz w:val="21"/>
      <w:szCs w:val="24"/>
      <w:lang w:val="en-US" w:eastAsia="zh-CN" w:bidi="ar-SA"/>
    </w:rPr>
  </w:style>
  <w:style w:type="paragraph" w:styleId="1108" w:customStyle="1">
    <w:name w:val="Char Char Char Char Char"/>
    <w:basedOn w:val="788"/>
    <w:uiPriority w:val="0"/>
    <w:qFormat/>
    <w:rPr>
      <w:rFonts w:ascii="Tahoma" w:hAnsi="Tahoma"/>
      <w:sz w:val="24"/>
      <w:szCs w:val="20"/>
    </w:rPr>
  </w:style>
  <w:style w:type="paragraph" w:styleId="1109" w:customStyle="1">
    <w:name w:val="表头_5"/>
    <w:basedOn w:val="788"/>
    <w:uiPriority w:val="0"/>
    <w:qFormat/>
    <w:pPr>
      <w:spacing w:line="360" w:lineRule="auto"/>
    </w:pPr>
    <w:rPr>
      <w:b/>
      <w:bCs/>
      <w:sz w:val="28"/>
      <w:szCs w:val="21"/>
    </w:rPr>
  </w:style>
  <w:style w:type="paragraph" w:styleId="1110" w:customStyle="1">
    <w:name w:val="标题5，章节第五层"/>
    <w:basedOn w:val="788"/>
    <w:next w:val="788"/>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11" w:customStyle="1">
    <w:name w:val="正文缩进2字符"/>
    <w:basedOn w:val="788"/>
    <w:uiPriority w:val="0"/>
    <w:qFormat/>
    <w:pPr>
      <w:ind w:firstLine="200"/>
      <w:spacing w:line="300" w:lineRule="auto"/>
    </w:pPr>
    <w:rPr>
      <w:rFonts w:ascii="仿宋_GB2312" w:eastAsia="仿宋_GB2312"/>
      <w:sz w:val="32"/>
      <w:szCs w:val="32"/>
    </w:rPr>
  </w:style>
  <w:style w:type="paragraph" w:styleId="1112" w:customStyle="1">
    <w:name w:val="xl28"/>
    <w:basedOn w:val="788"/>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113" w:customStyle="1">
    <w:name w:val="条1"/>
    <w:basedOn w:val="788"/>
    <w:uiPriority w:val="0"/>
    <w:qFormat/>
    <w:pPr>
      <w:ind w:left="780" w:hanging="360"/>
      <w:spacing w:before="156" w:line="360" w:lineRule="auto"/>
      <w:tabs>
        <w:tab w:val="left" w:pos="780" w:leader="none"/>
      </w:tabs>
    </w:pPr>
    <w:rPr>
      <w:rFonts w:eastAsia="黑体"/>
      <w:sz w:val="24"/>
      <w:szCs w:val="20"/>
    </w:rPr>
  </w:style>
  <w:style w:type="paragraph" w:styleId="1114" w:customStyle="1">
    <w:name w:val="Char"/>
    <w:basedOn w:val="788"/>
    <w:uiPriority w:val="0"/>
    <w:qFormat/>
    <w:pPr>
      <w:spacing w:line="360" w:lineRule="auto"/>
    </w:pPr>
    <w:rPr>
      <w:rFonts w:ascii="Tahoma" w:hAnsi="Tahoma"/>
      <w:sz w:val="24"/>
      <w:szCs w:val="20"/>
    </w:rPr>
  </w:style>
  <w:style w:type="paragraph" w:styleId="1115" w:customStyle="1">
    <w:name w:val="正文 + 宋体"/>
    <w:basedOn w:val="788"/>
    <w:uiPriority w:val="0"/>
    <w:qFormat/>
    <w:pPr>
      <w:ind w:firstLine="420"/>
      <w:spacing w:line="360" w:lineRule="auto"/>
    </w:pPr>
  </w:style>
  <w:style w:type="paragraph" w:styleId="1116" w:customStyle="1">
    <w:name w:val="标准文本"/>
    <w:basedOn w:val="788"/>
    <w:uiPriority w:val="0"/>
    <w:qFormat/>
    <w:pPr>
      <w:ind w:firstLine="480"/>
      <w:spacing w:line="360" w:lineRule="auto"/>
    </w:pPr>
    <w:rPr>
      <w:rFonts w:cs="宋体"/>
      <w:sz w:val="24"/>
    </w:rPr>
  </w:style>
  <w:style w:type="paragraph" w:styleId="1117" w:customStyle="1">
    <w:name w:val="xl40"/>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8" w:customStyle="1">
    <w:name w:val="样式 标题 3H3sect1.2.3BOD 0Heading 3 - oldh3l3CTLevel 3 Head..."/>
    <w:basedOn w:val="791"/>
    <w:uiPriority w:val="0"/>
    <w:qFormat/>
    <w:pPr>
      <w:jc w:val="left"/>
      <w:spacing w:line="240" w:lineRule="auto"/>
    </w:pPr>
    <w:rPr>
      <w:rFonts w:cs="宋体"/>
      <w:sz w:val="30"/>
      <w:szCs w:val="20"/>
    </w:rPr>
  </w:style>
  <w:style w:type="paragraph" w:styleId="1119" w:customStyle="1">
    <w:name w:val="正文文本 21"/>
    <w:basedOn w:val="788"/>
    <w:uiPriority w:val="0"/>
    <w:qFormat/>
    <w:pPr>
      <w:ind w:left="720" w:hanging="720"/>
      <w:widowControl/>
    </w:pPr>
    <w:rPr>
      <w:sz w:val="24"/>
      <w:szCs w:val="20"/>
      <w:lang w:val="en-GB"/>
    </w:rPr>
  </w:style>
  <w:style w:type="paragraph" w:styleId="1120" w:customStyle="1">
    <w:name w:val="Body text5"/>
    <w:basedOn w:val="788"/>
    <w:uiPriority w:val="0"/>
    <w:qFormat/>
    <w:pPr>
      <w:jc w:val="both"/>
      <w:spacing w:before="600" w:line="470" w:lineRule="exact"/>
      <w:shd w:val="clear" w:color="auto" w:fill="ffffff"/>
    </w:pPr>
    <w:rPr>
      <w:rFonts w:ascii="宋体" w:hAnsi="宋体" w:cs="宋体"/>
      <w:sz w:val="22"/>
      <w:szCs w:val="22"/>
    </w:rPr>
  </w:style>
  <w:style w:type="paragraph" w:styleId="1121" w:customStyle="1">
    <w:name w:val="content_lineheight"/>
    <w:basedOn w:val="788"/>
    <w:uiPriority w:val="0"/>
    <w:qFormat/>
    <w:pPr>
      <w:jc w:val="left"/>
      <w:spacing w:before="100" w:beforeAutospacing="1" w:after="100" w:afterAutospacing="1"/>
      <w:widowControl/>
    </w:pPr>
    <w:rPr>
      <w:rFonts w:ascii="宋体" w:hAnsi="宋体"/>
      <w:sz w:val="24"/>
    </w:rPr>
  </w:style>
  <w:style w:type="paragraph" w:styleId="1122" w:customStyle="1">
    <w:name w:val="xl42"/>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23" w:customStyle="1">
    <w:name w:val="p16"/>
    <w:basedOn w:val="788"/>
    <w:uiPriority w:val="0"/>
    <w:qFormat/>
    <w:pPr>
      <w:ind w:left="720"/>
      <w:jc w:val="left"/>
      <w:widowControl/>
    </w:pPr>
    <w:rPr>
      <w:rFonts w:ascii="Arial" w:hAnsi="Arial" w:cs="Arial"/>
      <w:sz w:val="24"/>
    </w:rPr>
  </w:style>
  <w:style w:type="paragraph" w:styleId="1124" w:customStyle="1">
    <w:name w:val="flType"/>
    <w:basedOn w:val="1125"/>
    <w:uiPriority w:val="0"/>
    <w:qFormat/>
    <w:pPr>
      <w:spacing w:after="284"/>
    </w:pPr>
    <w:rPr>
      <w:rFonts w:eastAsia="宋体"/>
      <w:b w:val="0"/>
    </w:rPr>
  </w:style>
  <w:style w:type="paragraph" w:styleId="1125" w:customStyle="1">
    <w:name w:val="flName"/>
    <w:basedOn w:val="1126"/>
    <w:uiPriority w:val="0"/>
    <w:qFormat/>
    <w:pPr>
      <w:spacing w:before="0" w:line="113" w:lineRule="atLeast"/>
    </w:pPr>
  </w:style>
  <w:style w:type="paragraph" w:styleId="1126" w:customStyle="1">
    <w:name w:val="flNote"/>
    <w:basedOn w:val="788"/>
    <w:uiPriority w:val="0"/>
    <w:qFormat/>
    <w:pPr>
      <w:jc w:val="center"/>
      <w:spacing w:before="567" w:line="360" w:lineRule="atLeast"/>
    </w:pPr>
    <w:rPr>
      <w:rFonts w:eastAsia="黑体"/>
      <w:b/>
      <w:sz w:val="24"/>
      <w:szCs w:val="20"/>
    </w:rPr>
  </w:style>
  <w:style w:type="paragraph" w:styleId="1127" w:customStyle="1">
    <w:name w:val="马刚标题4"/>
    <w:basedOn w:val="1128"/>
    <w:next w:val="788"/>
    <w:uiPriority w:val="0"/>
    <w:qFormat/>
    <w:pPr>
      <w:spacing w:before="100" w:after="40"/>
      <w:tabs>
        <w:tab w:val="left" w:pos="567" w:leader="none"/>
        <w:tab w:val="left" w:pos="735" w:leader="none"/>
        <w:tab w:val="left" w:pos="1050" w:leader="none"/>
      </w:tabs>
      <w:outlineLvl w:val="3"/>
    </w:pPr>
    <w:rPr>
      <w:b w:val="0"/>
    </w:rPr>
  </w:style>
  <w:style w:type="paragraph" w:styleId="1128" w:customStyle="1">
    <w:name w:val="马刚标题3"/>
    <w:basedOn w:val="788"/>
    <w:next w:val="78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29" w:customStyle="1">
    <w:name w:val="Char Char Char Char Char Char Char"/>
    <w:basedOn w:val="788"/>
    <w:uiPriority w:val="0"/>
    <w:qFormat/>
    <w:rPr>
      <w:rFonts w:ascii="Tahoma" w:hAnsi="Tahoma"/>
      <w:sz w:val="24"/>
      <w:szCs w:val="20"/>
    </w:rPr>
  </w:style>
  <w:style w:type="paragraph" w:styleId="1130" w:customStyle="1">
    <w:name w:val="Char Char1 Char1"/>
    <w:basedOn w:val="788"/>
    <w:uiPriority w:val="0"/>
    <w:qFormat/>
    <w:pPr>
      <w:jc w:val="left"/>
      <w:spacing w:after="160" w:line="240" w:lineRule="exact"/>
      <w:widowControl/>
    </w:pPr>
    <w:rPr>
      <w:rFonts w:ascii="Verdana" w:hAnsi="Verdana"/>
      <w:sz w:val="20"/>
      <w:szCs w:val="20"/>
      <w:lang w:eastAsia="en-US"/>
    </w:rPr>
  </w:style>
  <w:style w:type="paragraph" w:styleId="1131" w:customStyle="1">
    <w:name w:val="标题 4宋体"/>
    <w:basedOn w:val="792"/>
    <w:uiPriority w:val="0"/>
    <w:qFormat/>
    <w:pPr>
      <w:jc w:val="left"/>
      <w:keepLines w:val="0"/>
      <w:spacing w:before="0" w:after="0" w:line="360" w:lineRule="auto"/>
    </w:pPr>
    <w:rPr>
      <w:rFonts w:ascii="宋体" w:hAnsi="宋体" w:eastAsia="宋体"/>
      <w:bCs/>
      <w:color w:val="000000"/>
      <w:sz w:val="24"/>
    </w:rPr>
  </w:style>
  <w:style w:type="paragraph" w:styleId="1132" w:customStyle="1">
    <w:name w:val="Char1"/>
    <w:basedOn w:val="788"/>
    <w:uiPriority w:val="0"/>
    <w:qFormat/>
    <w:rPr>
      <w:rFonts w:ascii="仿宋_GB2312" w:eastAsia="仿宋_GB2312"/>
      <w:b/>
      <w:sz w:val="32"/>
      <w:szCs w:val="32"/>
    </w:rPr>
  </w:style>
  <w:style w:type="paragraph" w:styleId="1133" w:customStyle="1">
    <w:name w:val="标准小四"/>
    <w:basedOn w:val="788"/>
    <w:uiPriority w:val="0"/>
    <w:qFormat/>
    <w:pPr>
      <w:ind w:firstLine="480"/>
      <w:spacing w:line="360" w:lineRule="auto"/>
    </w:pPr>
    <w:rPr>
      <w:rFonts w:ascii="Arial" w:hAnsi="Arial"/>
      <w:sz w:val="24"/>
      <w:szCs w:val="21"/>
    </w:rPr>
  </w:style>
  <w:style w:type="paragraph" w:styleId="1134" w:customStyle="1">
    <w:name w:val="公文标题 2"/>
    <w:basedOn w:val="788"/>
    <w:next w:val="1135"/>
    <w:uiPriority w:val="0"/>
    <w:qFormat/>
    <w:pPr>
      <w:outlineLvl w:val="1"/>
    </w:pPr>
    <w:rPr>
      <w:rFonts w:ascii="仿宋_GB2312" w:hAnsi="宋体" w:eastAsia="仿宋_GB2312"/>
      <w:sz w:val="28"/>
    </w:rPr>
  </w:style>
  <w:style w:type="paragraph" w:styleId="1135" w:customStyle="1">
    <w:name w:val="公文正文"/>
    <w:basedOn w:val="810"/>
    <w:uiPriority w:val="0"/>
    <w:qFormat/>
    <w:pPr>
      <w:ind w:left="0" w:firstLine="200"/>
      <w:spacing w:after="0"/>
    </w:pPr>
    <w:rPr>
      <w:rFonts w:ascii="仿宋_GB2312" w:hAnsi="宋体" w:eastAsia="仿宋_GB2312"/>
      <w:sz w:val="28"/>
    </w:rPr>
  </w:style>
  <w:style w:type="paragraph" w:styleId="1136" w:customStyle="1">
    <w:name w:val="项目符号，二级"/>
    <w:basedOn w:val="1090"/>
    <w:next w:val="1090"/>
    <w:uiPriority w:val="0"/>
    <w:qFormat/>
    <w:pPr>
      <w:ind w:left="1337" w:right="-27" w:firstLine="480"/>
      <w:tabs>
        <w:tab w:val="left" w:pos="1211" w:leader="none"/>
        <w:tab w:val="left" w:pos="1337" w:leader="none"/>
      </w:tabs>
    </w:pPr>
    <w:rPr>
      <w:bCs w:val="0"/>
      <w:color w:val="000000"/>
      <w:sz w:val="24"/>
      <w:szCs w:val="24"/>
    </w:rPr>
  </w:style>
  <w:style w:type="paragraph" w:styleId="1137" w:customStyle="1">
    <w:name w:val="表蕊"/>
    <w:basedOn w:val="788"/>
    <w:uiPriority w:val="0"/>
    <w:qFormat/>
    <w:pPr>
      <w:jc w:val="left"/>
      <w:spacing w:line="320" w:lineRule="atLeast"/>
    </w:pPr>
    <w:rPr>
      <w:rFonts w:eastAsia="楷体_GB2312"/>
      <w:spacing w:val="-10"/>
      <w:szCs w:val="20"/>
    </w:rPr>
  </w:style>
  <w:style w:type="paragraph" w:styleId="1138" w:customStyle="1">
    <w:name w:val="样式4 Char"/>
    <w:basedOn w:val="788"/>
    <w:uiPriority w:val="0"/>
    <w:qFormat/>
    <w:pPr>
      <w:ind w:firstLine="480"/>
      <w:jc w:val="left"/>
      <w:spacing w:line="360" w:lineRule="auto"/>
      <w:widowControl/>
    </w:pPr>
    <w:rPr>
      <w:rFonts w:cs="宋体"/>
      <w:color w:val="000000"/>
      <w:sz w:val="24"/>
    </w:rPr>
  </w:style>
  <w:style w:type="paragraph" w:styleId="1139" w:customStyle="1">
    <w:name w:val="xl39"/>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0" w:customStyle="1">
    <w:name w:val="a0"/>
    <w:basedOn w:val="788"/>
    <w:uiPriority w:val="0"/>
    <w:qFormat/>
    <w:pPr>
      <w:spacing w:before="100" w:beforeAutospacing="1" w:after="100" w:afterAutospacing="1"/>
      <w:widowControl/>
    </w:pPr>
    <w:rPr>
      <w:rFonts w:ascii="宋体" w:hAnsi="宋体" w:cs="宋体"/>
      <w:sz w:val="24"/>
    </w:rPr>
  </w:style>
  <w:style w:type="paragraph" w:styleId="1141" w:customStyle="1">
    <w:name w:val="Test2"/>
    <w:basedOn w:val="790"/>
    <w:uiPriority w:val="0"/>
    <w:qFormat/>
    <w:pPr>
      <w:jc w:val="center"/>
      <w:spacing w:line="480" w:lineRule="exact"/>
      <w:widowControl/>
    </w:pPr>
    <w:rPr>
      <w:rFonts w:ascii="黑体"/>
      <w:sz w:val="24"/>
      <w:szCs w:val="24"/>
    </w:rPr>
  </w:style>
  <w:style w:type="paragraph" w:styleId="1142">
    <w:name w:val="List Paragraph"/>
    <w:basedOn w:val="788"/>
    <w:uiPriority w:val="0"/>
    <w:qFormat/>
    <w:pPr>
      <w:ind w:firstLine="420"/>
    </w:pPr>
  </w:style>
  <w:style w:type="paragraph" w:styleId="1143" w:customStyle="1">
    <w:name w:val="正文lzq"/>
    <w:basedOn w:val="788"/>
    <w:uiPriority w:val="0"/>
    <w:qFormat/>
    <w:pPr>
      <w:ind w:firstLine="480"/>
      <w:spacing w:line="360" w:lineRule="auto"/>
    </w:pPr>
    <w:rPr>
      <w:sz w:val="24"/>
      <w:szCs w:val="20"/>
    </w:rPr>
  </w:style>
  <w:style w:type="paragraph" w:styleId="1144" w:customStyle="1">
    <w:name w:val="正文 首行缩进:  2 字符 Char Char"/>
    <w:basedOn w:val="788"/>
    <w:uiPriority w:val="0"/>
    <w:qFormat/>
    <w:pPr>
      <w:ind w:firstLine="480"/>
      <w:spacing w:line="360" w:lineRule="auto"/>
    </w:pPr>
    <w:rPr>
      <w:rFonts w:ascii="楷体_GB2312" w:eastAsia="楷体_GB2312"/>
      <w:bCs/>
      <w:sz w:val="24"/>
    </w:rPr>
  </w:style>
  <w:style w:type="paragraph" w:styleId="1145" w:customStyle="1">
    <w:name w:val="！正文"/>
    <w:basedOn w:val="788"/>
    <w:uiPriority w:val="0"/>
    <w:qFormat/>
    <w:pPr>
      <w:ind w:firstLine="200"/>
      <w:spacing w:line="360" w:lineRule="auto"/>
    </w:pPr>
    <w:rPr>
      <w:sz w:val="28"/>
    </w:rPr>
  </w:style>
  <w:style w:type="paragraph" w:styleId="1146" w:customStyle="1">
    <w:name w:val="Char1 Char Char Char"/>
    <w:basedOn w:val="788"/>
    <w:uiPriority w:val="0"/>
    <w:qFormat/>
    <w:rPr>
      <w:rFonts w:ascii="Tahoma" w:hAnsi="Tahoma"/>
      <w:sz w:val="24"/>
      <w:szCs w:val="20"/>
    </w:rPr>
  </w:style>
  <w:style w:type="paragraph" w:styleId="1147" w:customStyle="1">
    <w:name w:val="样式 段后: 0.5 行 左  0.75 字符"/>
    <w:basedOn w:val="788"/>
    <w:uiPriority w:val="0"/>
    <w:qFormat/>
    <w:pPr>
      <w:ind w:firstLine="420"/>
      <w:spacing w:line="360" w:lineRule="auto"/>
      <w:widowControl/>
    </w:pPr>
    <w:rPr>
      <w:rFonts w:hAnsi="Arial" w:cs="Arial"/>
      <w:szCs w:val="21"/>
    </w:rPr>
  </w:style>
  <w:style w:type="paragraph" w:styleId="1148" w:customStyle="1">
    <w:name w:val="正文1"/>
    <w:basedOn w:val="788"/>
    <w:next w:val="788"/>
    <w:uiPriority w:val="0"/>
    <w:qFormat/>
    <w:pPr>
      <w:ind w:firstLine="510"/>
      <w:spacing w:before="156" w:line="360" w:lineRule="auto"/>
    </w:pPr>
    <w:rPr>
      <w:sz w:val="24"/>
      <w:szCs w:val="20"/>
    </w:rPr>
  </w:style>
  <w:style w:type="paragraph" w:styleId="1149" w:customStyle="1">
    <w:name w:val="符号与编号 Char Char"/>
    <w:basedOn w:val="788"/>
    <w:uiPriority w:val="0"/>
    <w:qFormat/>
    <w:pPr>
      <w:ind w:left="839" w:hanging="419"/>
      <w:spacing w:line="400" w:lineRule="atLeast"/>
      <w:tabs>
        <w:tab w:val="left" w:pos="840" w:leader="none"/>
      </w:tabs>
    </w:pPr>
    <w:rPr>
      <w:sz w:val="24"/>
    </w:rPr>
  </w:style>
  <w:style w:type="paragraph" w:styleId="1150" w:customStyle="1">
    <w:name w:val="三级条标题"/>
    <w:next w:val="788"/>
    <w:uiPriority w:val="0"/>
    <w:qFormat/>
    <w:pPr>
      <w:jc w:val="both"/>
      <w:outlineLvl w:val="4"/>
    </w:pPr>
    <w:rPr>
      <w:rFonts w:hint="default" w:ascii="黑体" w:hAnsi="Calibri" w:eastAsia="黑体" w:cs="Times New Roman"/>
      <w:sz w:val="21"/>
      <w:lang w:val="en-US" w:eastAsia="zh-CN" w:bidi="ar-SA"/>
    </w:rPr>
  </w:style>
  <w:style w:type="paragraph" w:styleId="1151" w:customStyle="1">
    <w:name w:val="xl36"/>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2" w:customStyle="1">
    <w:name w:val="Char Char Char Char Char Char Char Char Char Char Char1 Char Char Char1"/>
    <w:basedOn w:val="788"/>
    <w:uiPriority w:val="0"/>
    <w:qFormat/>
    <w:pPr>
      <w:ind w:firstLine="200"/>
      <w:jc w:val="left"/>
    </w:pPr>
    <w:rPr>
      <w:rFonts w:ascii="Tahoma" w:hAnsi="Tahoma"/>
      <w:sz w:val="24"/>
    </w:rPr>
  </w:style>
  <w:style w:type="paragraph" w:styleId="1153" w:customStyle="1">
    <w:name w:val="Char Char Char Char Char Char Char Char Char"/>
    <w:basedOn w:val="788"/>
    <w:uiPriority w:val="0"/>
    <w:qFormat/>
    <w:rPr>
      <w:szCs w:val="21"/>
    </w:rPr>
  </w:style>
  <w:style w:type="paragraph" w:styleId="1154" w:customStyle="1">
    <w:name w:val="符号与编号"/>
    <w:basedOn w:val="788"/>
    <w:uiPriority w:val="0"/>
    <w:qFormat/>
    <w:pPr>
      <w:ind w:left="900" w:hanging="420"/>
      <w:spacing w:line="400" w:lineRule="atLeast"/>
      <w:tabs>
        <w:tab w:val="left" w:pos="900" w:leader="none"/>
      </w:tabs>
    </w:pPr>
    <w:rPr>
      <w:sz w:val="24"/>
    </w:rPr>
  </w:style>
  <w:style w:type="paragraph" w:styleId="1155" w:customStyle="1">
    <w:name w:val="列出段落2"/>
    <w:basedOn w:val="788"/>
    <w:uiPriority w:val="0"/>
    <w:qFormat/>
    <w:pPr>
      <w:contextualSpacing/>
      <w:ind w:left="720"/>
      <w:jc w:val="left"/>
      <w:widowControl/>
    </w:pPr>
    <w:rPr>
      <w:rFonts w:ascii="Arial" w:hAnsi="Arial" w:eastAsia="黑体"/>
      <w:sz w:val="24"/>
      <w:lang w:eastAsia="en-US"/>
    </w:rPr>
  </w:style>
  <w:style w:type="paragraph" w:styleId="1156" w:customStyle="1">
    <w:name w:val="标题2，章节第二层"/>
    <w:basedOn w:val="788"/>
    <w:next w:val="1090"/>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57" w:customStyle="1">
    <w:name w:val="正文 居中"/>
    <w:basedOn w:val="788"/>
    <w:uiPriority w:val="0"/>
    <w:qFormat/>
    <w:pPr>
      <w:jc w:val="center"/>
      <w:spacing w:line="360" w:lineRule="auto"/>
    </w:pPr>
    <w:rPr>
      <w:sz w:val="24"/>
      <w:szCs w:val="20"/>
    </w:rPr>
  </w:style>
  <w:style w:type="paragraph" w:styleId="1158" w:customStyle="1">
    <w:name w:val="Char Char2 Char"/>
    <w:basedOn w:val="788"/>
    <w:uiPriority w:val="0"/>
    <w:qFormat/>
    <w:pPr>
      <w:ind w:left="390" w:hanging="390"/>
      <w:keepLines/>
      <w:keepNext/>
      <w:pageBreakBefore/>
      <w:tabs>
        <w:tab w:val="left" w:pos="390" w:leader="none"/>
      </w:tabs>
    </w:pPr>
    <w:rPr>
      <w:rFonts w:ascii="Tahoma" w:hAnsi="Tahoma"/>
      <w:sz w:val="24"/>
      <w:szCs w:val="20"/>
    </w:rPr>
  </w:style>
  <w:style w:type="paragraph" w:styleId="1159" w:customStyle="1">
    <w:name w:val="Char Char1"/>
    <w:basedOn w:val="788"/>
    <w:uiPriority w:val="0"/>
    <w:qFormat/>
    <w:pPr>
      <w:jc w:val="left"/>
      <w:spacing w:after="160" w:line="240" w:lineRule="exact"/>
      <w:widowControl/>
    </w:pPr>
    <w:rPr>
      <w:rFonts w:eastAsia="仿宋_GB2312"/>
      <w:sz w:val="28"/>
    </w:rPr>
  </w:style>
  <w:style w:type="paragraph" w:styleId="1160"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lang w:val="en-US" w:eastAsia="zh-CN" w:bidi="ar-SA"/>
    </w:rPr>
  </w:style>
  <w:style w:type="paragraph" w:styleId="1161" w:customStyle="1">
    <w:name w:val="xl44"/>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2" w:customStyle="1">
    <w:name w:val="样式 样式 首行缩进:  2 字符 + 行距: 1.5 倍行距"/>
    <w:basedOn w:val="788"/>
    <w:uiPriority w:val="0"/>
    <w:qFormat/>
    <w:pPr>
      <w:ind w:firstLine="470"/>
      <w:spacing w:line="360" w:lineRule="auto"/>
    </w:pPr>
    <w:rPr>
      <w:sz w:val="24"/>
      <w:szCs w:val="20"/>
    </w:rPr>
  </w:style>
  <w:style w:type="paragraph" w:styleId="1163" w:customStyle="1">
    <w:name w:val="xl37"/>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164" w:customStyle="1">
    <w:name w:val="小四 段落 宋体 Char"/>
    <w:basedOn w:val="802"/>
    <w:uiPriority w:val="0"/>
    <w:qFormat/>
    <w:pPr>
      <w:ind w:left="0" w:right="-33" w:firstLine="600"/>
      <w:jc w:val="left"/>
      <w:tabs>
        <w:tab w:val="clear" w:pos="2952" w:leader="none"/>
      </w:tabs>
    </w:pPr>
    <w:rPr>
      <w:rFonts w:ascii="仿宋_GB2312" w:eastAsia="仿宋_GB2312"/>
      <w:sz w:val="30"/>
      <w:szCs w:val="30"/>
    </w:rPr>
  </w:style>
  <w:style w:type="paragraph" w:styleId="1165" w:customStyle="1">
    <w:name w:val="样式 加点正文 + 段前: 0.5 行 段后: 0.5 行1"/>
    <w:basedOn w:val="788"/>
    <w:uiPriority w:val="0"/>
    <w:qFormat/>
    <w:pPr>
      <w:ind w:left="1268" w:hanging="420"/>
      <w:spacing w:line="300" w:lineRule="auto"/>
      <w:tabs>
        <w:tab w:val="left" w:pos="1268" w:leader="none"/>
      </w:tabs>
    </w:pPr>
    <w:rPr>
      <w:sz w:val="24"/>
      <w:szCs w:val="20"/>
    </w:rPr>
  </w:style>
  <w:style w:type="paragraph" w:styleId="1166" w:customStyle="1">
    <w:name w:val="qw"/>
    <w:uiPriority w:val="0"/>
    <w:qFormat/>
    <w:pPr>
      <w:jc w:val="both"/>
      <w:spacing w:line="312" w:lineRule="atLeast"/>
      <w:widowControl w:val="off"/>
    </w:pPr>
    <w:rPr>
      <w:rFonts w:hint="default" w:ascii="宋体" w:hAnsi="Calibri" w:eastAsia="宋体" w:cs="Times New Roman"/>
      <w:sz w:val="24"/>
      <w:lang w:val="en-US" w:eastAsia="zh-CN" w:bidi="ar-SA"/>
    </w:rPr>
  </w:style>
  <w:style w:type="paragraph" w:styleId="1167" w:customStyle="1">
    <w:name w:val="样式1"/>
    <w:basedOn w:val="788"/>
    <w:uiPriority w:val="0"/>
    <w:qFormat/>
    <w:pPr>
      <w:ind w:firstLine="480"/>
      <w:spacing w:line="300" w:lineRule="auto"/>
    </w:pPr>
    <w:rPr>
      <w:sz w:val="24"/>
    </w:rPr>
  </w:style>
  <w:style w:type="paragraph" w:styleId="1168" w:customStyle="1">
    <w:name w:val="列出段落11"/>
    <w:basedOn w:val="788"/>
    <w:uiPriority w:val="0"/>
    <w:qFormat/>
    <w:pPr>
      <w:contextualSpacing/>
      <w:ind w:left="720"/>
      <w:jc w:val="left"/>
      <w:widowControl/>
    </w:pPr>
    <w:rPr>
      <w:rFonts w:ascii="Arial" w:hAnsi="Arial" w:eastAsia="黑体"/>
      <w:sz w:val="24"/>
      <w:lang w:eastAsia="en-US"/>
    </w:rPr>
  </w:style>
  <w:style w:type="paragraph" w:styleId="1169" w:customStyle="1">
    <w:name w:val="Char Char Char1"/>
    <w:basedOn w:val="788"/>
    <w:uiPriority w:val="0"/>
    <w:qFormat/>
    <w:rPr>
      <w:rFonts w:ascii="Tahoma" w:hAnsi="Tahoma"/>
      <w:sz w:val="24"/>
      <w:szCs w:val="20"/>
    </w:rPr>
  </w:style>
  <w:style w:type="paragraph" w:styleId="1170" w:customStyle="1">
    <w:name w:val="Char Char Char Char Char Char Char Char Char1"/>
    <w:basedOn w:val="788"/>
    <w:uiPriority w:val="0"/>
    <w:qFormat/>
    <w:pPr>
      <w:ind w:left="360" w:hanging="360"/>
      <w:tabs>
        <w:tab w:val="left" w:pos="360" w:leader="none"/>
      </w:tabs>
    </w:pPr>
    <w:rPr>
      <w:sz w:val="24"/>
    </w:rPr>
  </w:style>
  <w:style w:type="paragraph" w:styleId="1171" w:customStyle="1">
    <w:name w:val="xl45"/>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2" w:customStyle="1">
    <w:name w:val="马刚标题1"/>
    <w:basedOn w:val="789"/>
    <w:next w:val="788"/>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73" w:customStyle="1">
    <w:name w:val="xl43"/>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4" w:customStyle="1">
    <w:name w:val="Char Char Char Char"/>
    <w:basedOn w:val="788"/>
    <w:uiPriority w:val="0"/>
    <w:qFormat/>
    <w:pPr>
      <w:jc w:val="center"/>
      <w:spacing w:after="160" w:line="240" w:lineRule="exact"/>
      <w:widowControl/>
    </w:pPr>
    <w:rPr>
      <w:rFonts w:ascii="黑体" w:hAnsi="Verdana" w:eastAsia="黑体"/>
      <w:sz w:val="32"/>
      <w:szCs w:val="32"/>
      <w:lang w:eastAsia="en-US"/>
    </w:rPr>
  </w:style>
  <w:style w:type="paragraph" w:styleId="1175" w:customStyle="1">
    <w:name w:val="丁华正文"/>
    <w:basedOn w:val="831"/>
    <w:uiPriority w:val="0"/>
    <w:qFormat/>
    <w:pPr>
      <w:ind w:left="0" w:firstLine="510"/>
      <w:spacing w:before="0" w:after="0" w:line="360" w:lineRule="auto"/>
    </w:pPr>
    <w:rPr>
      <w:rFonts w:ascii="宋体" w:hAnsi="Arial"/>
      <w:bCs w:val="0"/>
      <w:color w:val="000000"/>
      <w:szCs w:val="16"/>
    </w:rPr>
  </w:style>
  <w:style w:type="paragraph" w:styleId="1176" w:customStyle="1">
    <w:name w:val="Char Char Char Char Char Char Char Char Char Char Char Char Char Char Char Char Char Char Char Char Char Char Char"/>
    <w:basedOn w:val="788"/>
    <w:uiPriority w:val="0"/>
    <w:qFormat/>
    <w:rPr>
      <w:rFonts w:ascii="Tahoma" w:hAnsi="Tahoma"/>
      <w:sz w:val="24"/>
      <w:szCs w:val="20"/>
    </w:rPr>
  </w:style>
  <w:style w:type="paragraph" w:styleId="1177" w:customStyle="1">
    <w:name w:val="Char Char Char Char Char Char Char Char Char Char Char Char Char Char"/>
    <w:basedOn w:val="788"/>
    <w:uiPriority w:val="0"/>
    <w:qFormat/>
    <w:rPr>
      <w:rFonts w:ascii="Tahoma" w:hAnsi="Tahoma"/>
      <w:sz w:val="24"/>
      <w:szCs w:val="20"/>
    </w:rPr>
  </w:style>
  <w:style w:type="paragraph" w:styleId="1178" w:customStyle="1">
    <w:name w:val="小四 段落 宋体"/>
    <w:basedOn w:val="802"/>
    <w:uiPriority w:val="0"/>
    <w:qFormat/>
    <w:pPr>
      <w:ind w:left="113" w:right="113" w:firstLine="425"/>
      <w:jc w:val="left"/>
      <w:spacing w:line="360" w:lineRule="auto"/>
      <w:tabs>
        <w:tab w:val="clear" w:pos="2952" w:leader="none"/>
      </w:tabs>
    </w:pPr>
    <w:rPr>
      <w:sz w:val="24"/>
    </w:rPr>
  </w:style>
  <w:style w:type="paragraph" w:styleId="1179" w:customStyle="1">
    <w:name w:val="小四 段落 宋体 Char Char Char Char"/>
    <w:basedOn w:val="788"/>
    <w:uiPriority w:val="0"/>
    <w:qFormat/>
    <w:pPr>
      <w:ind w:right="-33" w:firstLine="480"/>
      <w:jc w:val="left"/>
      <w:spacing w:line="360" w:lineRule="auto"/>
    </w:pPr>
    <w:rPr>
      <w:sz w:val="24"/>
    </w:rPr>
  </w:style>
  <w:style w:type="paragraph" w:styleId="1180" w:customStyle="1">
    <w:name w:val="xl35"/>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1" w:customStyle="1">
    <w:name w:val="样式 样式 标题 3H3sect1.2.3BOD 0Heading 3 - oldh3l3CTLevel 3 Head... +..."/>
    <w:basedOn w:val="788"/>
    <w:uiPriority w:val="0"/>
    <w:qFormat/>
    <w:pPr>
      <w:jc w:val="left"/>
      <w:keepLines/>
      <w:keepNext/>
      <w:outlineLvl w:val="2"/>
    </w:pPr>
    <w:rPr>
      <w:rFonts w:cs="宋体"/>
      <w:b/>
      <w:bCs/>
      <w:sz w:val="24"/>
      <w:szCs w:val="20"/>
    </w:rPr>
  </w:style>
  <w:style w:type="paragraph" w:styleId="1182" w:customStyle="1">
    <w:name w:val="Char Char1 Char"/>
    <w:basedOn w:val="788"/>
    <w:uiPriority w:val="0"/>
    <w:qFormat/>
    <w:pPr>
      <w:jc w:val="left"/>
      <w:spacing w:after="160" w:line="240" w:lineRule="exact"/>
      <w:widowControl/>
    </w:pPr>
    <w:rPr>
      <w:rFonts w:ascii="Verdana" w:hAnsi="Verdana"/>
      <w:sz w:val="20"/>
      <w:szCs w:val="20"/>
      <w:lang w:eastAsia="en-US"/>
    </w:rPr>
  </w:style>
  <w:style w:type="paragraph" w:styleId="1183" w:customStyle="1">
    <w:name w:val="Char Char11"/>
    <w:basedOn w:val="788"/>
    <w:uiPriority w:val="0"/>
    <w:qFormat/>
    <w:rPr>
      <w:rFonts w:ascii="Tahoma" w:hAnsi="Tahoma"/>
      <w:sz w:val="24"/>
      <w:szCs w:val="20"/>
    </w:rPr>
  </w:style>
  <w:style w:type="paragraph" w:styleId="1184" w:customStyle="1">
    <w:name w:val="z-窗体底端1"/>
    <w:basedOn w:val="788"/>
    <w:next w:val="788"/>
    <w:uiPriority w:val="0"/>
    <w:qFormat/>
    <w:pPr>
      <w:jc w:val="center"/>
      <w:widowControl/>
      <w:pBdr>
        <w:top w:val="single" w:color="auto" w:sz="6" w:space="1"/>
      </w:pBdr>
    </w:pPr>
    <w:rPr>
      <w:rFonts w:ascii="Arial" w:hAnsi="Arial" w:cs="Arial"/>
      <w:vanish/>
      <w:sz w:val="16"/>
      <w:szCs w:val="16"/>
    </w:rPr>
  </w:style>
  <w:style w:type="paragraph" w:styleId="1185" w:customStyle="1">
    <w:name w:val="xl41"/>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6" w:customStyle="1">
    <w:name w:val="段落"/>
    <w:uiPriority w:val="0"/>
    <w:qFormat/>
    <w:pPr>
      <w:ind w:firstLine="480"/>
      <w:jc w:val="both"/>
      <w:spacing w:before="120" w:after="120" w:line="360" w:lineRule="auto"/>
    </w:pPr>
    <w:rPr>
      <w:rFonts w:hint="default" w:ascii="Calibri" w:hAnsi="Calibri" w:eastAsia="仿宋_GB2312" w:cs="Times New Roman"/>
      <w:sz w:val="24"/>
      <w:szCs w:val="24"/>
      <w:lang w:val="en-US" w:eastAsia="zh-CN" w:bidi="ar-SA"/>
    </w:rPr>
  </w:style>
  <w:style w:type="paragraph" w:styleId="1187" w:customStyle="1">
    <w:name w:val="7"/>
    <w:basedOn w:val="788"/>
    <w:next w:val="837"/>
    <w:uiPriority w:val="0"/>
    <w:qFormat/>
    <w:pPr>
      <w:jc w:val="left"/>
      <w:spacing w:before="100" w:beforeAutospacing="1" w:after="100" w:afterAutospacing="1"/>
      <w:widowControl/>
    </w:pPr>
    <w:rPr>
      <w:rFonts w:ascii="宋体" w:hAnsi="宋体"/>
      <w:sz w:val="24"/>
      <w:szCs w:val="20"/>
    </w:rPr>
  </w:style>
  <w:style w:type="paragraph" w:styleId="1188" w:customStyle="1">
    <w:name w:val="文档正文"/>
    <w:basedOn w:val="788"/>
    <w:uiPriority w:val="0"/>
    <w:qFormat/>
    <w:pPr>
      <w:spacing w:line="360" w:lineRule="auto"/>
    </w:pPr>
    <w:rPr>
      <w:rFonts w:ascii="宋体" w:hAnsi="宋体"/>
      <w:b/>
      <w:bCs/>
    </w:rPr>
  </w:style>
  <w:style w:type="paragraph" w:styleId="1189" w:customStyle="1">
    <w:name w:val="标题4，章节第四层"/>
    <w:basedOn w:val="788"/>
    <w:next w:val="788"/>
    <w:uiPriority w:val="0"/>
    <w:qFormat/>
    <w:pPr>
      <w:spacing w:line="360" w:lineRule="auto"/>
      <w:tabs>
        <w:tab w:val="left" w:pos="0" w:leader="none"/>
      </w:tabs>
      <w:outlineLvl w:val="3"/>
    </w:pPr>
    <w:rPr>
      <w:rFonts w:ascii="宋体" w:hAnsi="宋体"/>
      <w:b/>
      <w:sz w:val="24"/>
    </w:rPr>
  </w:style>
  <w:style w:type="paragraph" w:styleId="1190" w:customStyle="1">
    <w:name w:val="默认段落字体 Para Char"/>
    <w:basedOn w:val="788"/>
    <w:uiPriority w:val="0"/>
    <w:qFormat/>
    <w:pPr>
      <w:spacing w:line="360" w:lineRule="auto"/>
    </w:pPr>
    <w:rPr>
      <w:sz w:val="24"/>
    </w:rPr>
  </w:style>
  <w:style w:type="paragraph" w:styleId="1191" w:customStyle="1">
    <w:name w:val="表格内文字"/>
    <w:basedOn w:val="788"/>
    <w:uiPriority w:val="0"/>
    <w:qFormat/>
    <w:pPr>
      <w:spacing w:line="300" w:lineRule="atLeast"/>
    </w:pPr>
    <w:rPr>
      <w:sz w:val="18"/>
    </w:rPr>
  </w:style>
  <w:style w:type="paragraph" w:styleId="119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93" w:customStyle="1">
    <w:name w:val="方案正文"/>
    <w:basedOn w:val="788"/>
    <w:uiPriority w:val="0"/>
    <w:qFormat/>
    <w:pPr>
      <w:ind w:firstLine="359"/>
      <w:jc w:val="left"/>
      <w:spacing w:before="156" w:line="360" w:lineRule="auto"/>
    </w:pPr>
    <w:rPr>
      <w:rFonts w:ascii="Arial" w:hAnsi="Arial" w:cs="宋体"/>
      <w:sz w:val="24"/>
      <w:szCs w:val="21"/>
    </w:rPr>
  </w:style>
  <w:style w:type="paragraph" w:styleId="1194" w:customStyle="1">
    <w:name w:val="样式 小四 段前: 3 磅 段后: 3 磅 行距: 1.5 倍行距"/>
    <w:basedOn w:val="788"/>
    <w:uiPriority w:val="0"/>
    <w:qFormat/>
    <w:pPr>
      <w:ind w:firstLine="540"/>
      <w:spacing w:before="60" w:after="60" w:line="360" w:lineRule="auto"/>
    </w:pPr>
    <w:rPr>
      <w:rFonts w:cs="宋体"/>
      <w:sz w:val="24"/>
    </w:rPr>
  </w:style>
  <w:style w:type="paragraph" w:styleId="1195" w:customStyle="1">
    <w:name w:val="retrait3"/>
    <w:basedOn w:val="788"/>
    <w:uiPriority w:val="0"/>
    <w:qFormat/>
    <w:pPr>
      <w:ind w:left="851"/>
      <w:jc w:val="left"/>
      <w:spacing w:before="20" w:after="20"/>
      <w:widowControl/>
    </w:pPr>
    <w:rPr>
      <w:rFonts w:ascii="Arial" w:hAnsi="Arial"/>
      <w:sz w:val="24"/>
      <w:szCs w:val="20"/>
      <w:lang w:val="en-GB"/>
    </w:rPr>
  </w:style>
  <w:style w:type="paragraph" w:styleId="1196" w:customStyle="1">
    <w:name w:val="font6"/>
    <w:basedOn w:val="788"/>
    <w:uiPriority w:val="0"/>
    <w:qFormat/>
    <w:pPr>
      <w:jc w:val="left"/>
      <w:spacing w:before="100" w:beforeAutospacing="1" w:after="100" w:afterAutospacing="1"/>
      <w:widowControl/>
    </w:pPr>
    <w:rPr>
      <w:szCs w:val="21"/>
    </w:rPr>
  </w:style>
  <w:style w:type="paragraph" w:styleId="1197" w:customStyle="1">
    <w:name w:val="Table Paragraph"/>
    <w:basedOn w:val="788"/>
    <w:uiPriority w:val="1"/>
    <w:qFormat/>
    <w:rPr>
      <w:rFonts w:ascii="宋体" w:hAnsi="宋体" w:cs="宋体"/>
      <w:lang w:val="zh-CN" w:bidi="zh-CN"/>
    </w:rPr>
  </w:style>
  <w:style w:type="paragraph" w:styleId="1198" w:customStyle="1">
    <w:name w:val="正文表标题"/>
    <w:next w:val="1100"/>
    <w:uiPriority w:val="0"/>
    <w:qFormat/>
    <w:pPr>
      <w:ind w:left="900" w:hanging="420"/>
      <w:jc w:val="center"/>
      <w:tabs>
        <w:tab w:val="left" w:pos="900" w:leader="none"/>
      </w:tabs>
    </w:pPr>
    <w:rPr>
      <w:rFonts w:hint="default" w:ascii="黑体" w:hAnsi="Calibri" w:eastAsia="黑体" w:cs="Times New Roman"/>
      <w:sz w:val="21"/>
      <w:lang w:val="en-US" w:eastAsia="zh-CN" w:bidi="ar-SA"/>
    </w:rPr>
  </w:style>
  <w:style w:type="paragraph" w:styleId="1199" w:customStyle="1">
    <w:name w:val="Char Char Char Char Char Char Char Char Char Char Char"/>
    <w:basedOn w:val="788"/>
    <w:uiPriority w:val="0"/>
    <w:qFormat/>
    <w:rPr>
      <w:rFonts w:ascii="Tahoma" w:hAnsi="Tahoma"/>
      <w:sz w:val="24"/>
      <w:szCs w:val="20"/>
    </w:rPr>
  </w:style>
  <w:style w:type="paragraph" w:styleId="1200" w:customStyle="1">
    <w:name w:val="华宇段落1 Char"/>
    <w:basedOn w:val="788"/>
    <w:uiPriority w:val="0"/>
    <w:qFormat/>
    <w:pPr>
      <w:ind w:firstLine="200"/>
      <w:spacing w:line="360" w:lineRule="auto"/>
    </w:pPr>
    <w:rPr>
      <w:bCs/>
      <w:sz w:val="24"/>
    </w:rPr>
  </w:style>
  <w:style w:type="paragraph" w:styleId="1201" w:customStyle="1">
    <w:name w:val="丁华标题2"/>
    <w:basedOn w:val="790"/>
    <w:next w:val="1175"/>
    <w:uiPriority w:val="0"/>
    <w:qFormat/>
    <w:pPr>
      <w:ind w:left="567" w:hanging="567"/>
      <w:jc w:val="left"/>
      <w:spacing w:before="120" w:after="120"/>
      <w:tabs>
        <w:tab w:val="left" w:pos="567" w:leader="none"/>
      </w:tabs>
    </w:pPr>
    <w:rPr>
      <w:color w:val="000000"/>
      <w:sz w:val="28"/>
      <w:szCs w:val="20"/>
    </w:rPr>
  </w:style>
  <w:style w:type="paragraph" w:styleId="1202" w:customStyle="1">
    <w:name w:val="样式3"/>
    <w:basedOn w:val="788"/>
    <w:next w:val="788"/>
    <w:uiPriority w:val="0"/>
    <w:qFormat/>
    <w:pPr>
      <w:spacing w:line="360" w:lineRule="auto"/>
    </w:pPr>
    <w:rPr>
      <w:szCs w:val="20"/>
    </w:rPr>
  </w:style>
  <w:style w:type="paragraph" w:styleId="1203" w:customStyle="1">
    <w:name w:val="部分1"/>
    <w:basedOn w:val="788"/>
    <w:uiPriority w:val="0"/>
    <w:qFormat/>
    <w:pPr>
      <w:jc w:val="center"/>
      <w:keepNext/>
      <w:pageBreakBefore/>
      <w:spacing w:line="360" w:lineRule="auto"/>
      <w:tabs>
        <w:tab w:val="left" w:pos="360" w:leader="none"/>
      </w:tabs>
      <w:outlineLvl w:val="0"/>
    </w:pPr>
    <w:rPr>
      <w:rFonts w:eastAsia="黑体"/>
      <w:b/>
      <w:sz w:val="36"/>
      <w:szCs w:val="20"/>
    </w:rPr>
  </w:style>
  <w:style w:type="paragraph" w:styleId="1204" w:customStyle="1">
    <w:name w:val="章标题"/>
    <w:next w:val="1100"/>
    <w:uiPriority w:val="0"/>
    <w:qFormat/>
    <w:pPr>
      <w:jc w:val="both"/>
      <w:outlineLvl w:val="1"/>
    </w:pPr>
    <w:rPr>
      <w:rFonts w:hint="default" w:ascii="Calibri" w:hAnsi="Calibri" w:eastAsia="黑体" w:cs="Times New Roman"/>
      <w:sz w:val="21"/>
      <w:lang w:val="en-US" w:eastAsia="zh-CN" w:bidi="ar-SA"/>
    </w:rPr>
  </w:style>
  <w:style w:type="paragraph" w:styleId="1205" w:customStyle="1">
    <w:name w:val="zw"/>
    <w:basedOn w:val="788"/>
    <w:uiPriority w:val="0"/>
    <w:qFormat/>
    <w:pPr>
      <w:ind w:firstLine="480"/>
      <w:jc w:val="left"/>
      <w:spacing w:line="360" w:lineRule="auto"/>
      <w:widowControl/>
    </w:pPr>
    <w:rPr>
      <w:rFonts w:ascii="宋体" w:hAnsi="宋体"/>
      <w:bCs/>
      <w:sz w:val="24"/>
      <w:szCs w:val="20"/>
    </w:rPr>
  </w:style>
  <w:style w:type="paragraph" w:styleId="1206" w:customStyle="1">
    <w:name w:val="列出段落1"/>
    <w:basedOn w:val="788"/>
    <w:uiPriority w:val="0"/>
    <w:qFormat/>
    <w:pPr>
      <w:ind w:firstLine="420"/>
    </w:pPr>
    <w:rPr>
      <w:szCs w:val="22"/>
    </w:rPr>
  </w:style>
  <w:style w:type="paragraph" w:styleId="1207" w:customStyle="1">
    <w:name w:val="Char Char1 Char Char Char Char1 Char Char Char Char Char Char"/>
    <w:basedOn w:val="788"/>
    <w:uiPriority w:val="0"/>
    <w:qFormat/>
    <w:rPr>
      <w:rFonts w:ascii="Tahoma" w:hAnsi="Tahoma"/>
      <w:sz w:val="24"/>
      <w:szCs w:val="20"/>
    </w:rPr>
  </w:style>
  <w:style w:type="paragraph" w:styleId="1208" w:customStyle="1">
    <w:name w:val="font5"/>
    <w:basedOn w:val="788"/>
    <w:uiPriority w:val="0"/>
    <w:qFormat/>
    <w:pPr>
      <w:jc w:val="left"/>
      <w:spacing w:before="100" w:beforeAutospacing="1" w:after="100" w:afterAutospacing="1"/>
      <w:widowControl/>
    </w:pPr>
    <w:rPr>
      <w:rFonts w:ascii="宋体" w:hAnsi="宋体" w:cs="宋体"/>
      <w:sz w:val="18"/>
      <w:szCs w:val="18"/>
    </w:rPr>
  </w:style>
  <w:style w:type="paragraph" w:styleId="1209" w:customStyle="1">
    <w:name w:val="a"/>
    <w:basedOn w:val="788"/>
    <w:uiPriority w:val="0"/>
    <w:qFormat/>
    <w:pPr>
      <w:spacing w:before="100" w:beforeAutospacing="1" w:after="100" w:afterAutospacing="1"/>
      <w:widowControl/>
    </w:pPr>
    <w:rPr>
      <w:rFonts w:ascii="宋体" w:hAnsi="宋体" w:cs="宋体"/>
      <w:sz w:val="24"/>
    </w:rPr>
  </w:style>
  <w:style w:type="paragraph" w:styleId="1210" w:customStyle="1">
    <w:name w:val="Char Char Char"/>
    <w:basedOn w:val="805"/>
    <w:uiPriority w:val="0"/>
    <w:qFormat/>
    <w:pPr>
      <w:spacing w:line="436" w:lineRule="exact"/>
    </w:pPr>
  </w:style>
  <w:style w:type="paragraph" w:styleId="1211" w:customStyle="1">
    <w:name w:val="正文文本 New New"/>
    <w:basedOn w:val="788"/>
    <w:uiPriority w:val="0"/>
    <w:qFormat/>
    <w:pPr>
      <w:ind w:firstLine="200"/>
      <w:spacing w:before="60" w:after="60" w:line="360" w:lineRule="auto"/>
      <w:widowControl/>
    </w:pPr>
    <w:rPr>
      <w:rFonts w:eastAsia="华文楷体"/>
      <w:sz w:val="24"/>
    </w:rPr>
  </w:style>
  <w:style w:type="paragraph" w:styleId="1212" w:customStyle="1">
    <w:name w:val="正文2"/>
    <w:basedOn w:val="788"/>
    <w:uiPriority w:val="0"/>
    <w:qFormat/>
    <w:pPr>
      <w:ind w:firstLine="510"/>
      <w:spacing w:before="156" w:line="360" w:lineRule="auto"/>
    </w:pPr>
    <w:rPr>
      <w:sz w:val="24"/>
      <w:szCs w:val="20"/>
    </w:rPr>
  </w:style>
  <w:style w:type="paragraph" w:styleId="1213" w:customStyle="1">
    <w:name w:val="插图"/>
    <w:basedOn w:val="788"/>
    <w:uiPriority w:val="0"/>
    <w:qFormat/>
    <w:pPr>
      <w:jc w:val="center"/>
      <w:tabs>
        <w:tab w:val="left" w:pos="1620" w:leader="none"/>
      </w:tabs>
    </w:pPr>
    <w:rPr>
      <w:bCs/>
      <w:color w:val="000000"/>
      <w:szCs w:val="22"/>
    </w:rPr>
  </w:style>
  <w:style w:type="paragraph" w:styleId="1214" w:customStyle="1">
    <w:name w:val="样式 标题 2第一章 标题 2Heading 2 HiddenHeading 2 CCBSheading 2H2h2..."/>
    <w:basedOn w:val="790"/>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15" w:customStyle="1">
    <w:name w:val="tableau"/>
    <w:basedOn w:val="788"/>
    <w:uiPriority w:val="0"/>
    <w:qFormat/>
    <w:pPr>
      <w:jc w:val="center"/>
      <w:spacing w:before="20" w:after="20"/>
      <w:widowControl/>
    </w:pPr>
    <w:rPr>
      <w:rFonts w:ascii="Arial" w:hAnsi="Arial"/>
      <w:sz w:val="16"/>
      <w:szCs w:val="20"/>
      <w:lang w:val="en-GB" w:eastAsia="en-US"/>
    </w:rPr>
  </w:style>
  <w:style w:type="paragraph" w:styleId="1216" w:customStyle="1">
    <w:name w:val="z-窗体顶端1"/>
    <w:basedOn w:val="788"/>
    <w:next w:val="788"/>
    <w:uiPriority w:val="0"/>
    <w:qFormat/>
    <w:pPr>
      <w:jc w:val="center"/>
      <w:widowControl/>
      <w:pBdr>
        <w:bottom w:val="single" w:color="auto" w:sz="6" w:space="1"/>
      </w:pBdr>
    </w:pPr>
    <w:rPr>
      <w:rFonts w:ascii="Arial" w:hAnsi="Arial" w:cs="Arial"/>
      <w:vanish/>
      <w:sz w:val="16"/>
      <w:szCs w:val="16"/>
    </w:rPr>
  </w:style>
  <w:style w:type="paragraph" w:styleId="1217" w:customStyle="1">
    <w:name w:val="样式2"/>
    <w:basedOn w:val="788"/>
    <w:uiPriority w:val="0"/>
    <w:qFormat/>
    <w:pPr>
      <w:ind w:left="200"/>
      <w:spacing w:line="360" w:lineRule="auto"/>
    </w:pPr>
    <w:rPr>
      <w:rFonts w:ascii="宋体" w:hAnsi="宋体"/>
      <w:b/>
      <w:sz w:val="24"/>
    </w:rPr>
  </w:style>
  <w:style w:type="paragraph" w:styleId="1218" w:customStyle="1">
    <w:name w:val="标题1，章节第一层"/>
    <w:basedOn w:val="1090"/>
    <w:next w:val="1090"/>
    <w:uiPriority w:val="0"/>
    <w:qFormat/>
    <w:pPr>
      <w:ind w:left="482"/>
      <w:tabs>
        <w:tab w:val="left" w:pos="693" w:leader="none"/>
      </w:tabs>
      <w:outlineLvl w:val="0"/>
    </w:pPr>
    <w:rPr>
      <w:color w:val="000000"/>
      <w:sz w:val="24"/>
      <w:szCs w:val="24"/>
    </w:rPr>
  </w:style>
  <w:style w:type="paragraph" w:styleId="1219" w:customStyle="1">
    <w:name w:val="样式 样式 首行缩进:  0.74 厘米 行距: 1.5 倍行距 + 段后: 0.5 行"/>
    <w:basedOn w:val="788"/>
    <w:uiPriority w:val="0"/>
    <w:qFormat/>
    <w:pPr>
      <w:ind w:firstLine="420"/>
      <w:spacing w:line="360" w:lineRule="auto"/>
    </w:pPr>
    <w:rPr>
      <w:rFonts w:ascii="楷体_GB2312" w:eastAsia="楷体_GB2312"/>
      <w:bCs/>
      <w:sz w:val="24"/>
      <w:szCs w:val="20"/>
    </w:rPr>
  </w:style>
  <w:style w:type="paragraph" w:styleId="1220" w:customStyle="1">
    <w:name w:val="宏图高科"/>
    <w:basedOn w:val="788"/>
    <w:uiPriority w:val="0"/>
    <w:qFormat/>
    <w:pPr>
      <w:ind w:firstLine="480"/>
      <w:spacing w:line="360" w:lineRule="auto"/>
    </w:pPr>
    <w:rPr>
      <w:rFonts w:eastAsia="楷体_GB2312"/>
      <w:sz w:val="24"/>
      <w:szCs w:val="20"/>
    </w:rPr>
  </w:style>
  <w:style w:type="paragraph" w:styleId="1221" w:customStyle="1">
    <w:name w:val="表格内容"/>
    <w:basedOn w:val="788"/>
    <w:uiPriority w:val="0"/>
    <w:qFormat/>
    <w:pPr>
      <w:jc w:val="center"/>
      <w:spacing w:before="60" w:line="300" w:lineRule="auto"/>
      <w:widowControl/>
    </w:pPr>
    <w:rPr>
      <w:szCs w:val="20"/>
    </w:rPr>
  </w:style>
  <w:style w:type="paragraph" w:styleId="1222" w:customStyle="1">
    <w:name w:val="xl32"/>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23" w:customStyle="1">
    <w:name w:val="1"/>
    <w:basedOn w:val="788"/>
    <w:next w:val="835"/>
    <w:uiPriority w:val="0"/>
    <w:qFormat/>
    <w:pPr>
      <w:spacing w:line="360" w:lineRule="auto"/>
    </w:pPr>
    <w:rPr>
      <w:rFonts w:eastAsia="仿宋_GB2312"/>
      <w:sz w:val="24"/>
    </w:rPr>
  </w:style>
  <w:style w:type="paragraph" w:styleId="1224" w:customStyle="1">
    <w:name w:val="小四 段落 宋体 Char Char Char"/>
    <w:basedOn w:val="802"/>
    <w:uiPriority w:val="0"/>
    <w:qFormat/>
    <w:pPr>
      <w:ind w:left="0" w:right="-33" w:firstLine="545"/>
      <w:jc w:val="left"/>
      <w:spacing w:line="360" w:lineRule="auto"/>
      <w:tabs>
        <w:tab w:val="clear" w:pos="2952" w:leader="none"/>
      </w:tabs>
    </w:pPr>
    <w:rPr>
      <w:sz w:val="24"/>
    </w:rPr>
  </w:style>
  <w:style w:type="paragraph" w:styleId="1225" w:customStyle="1">
    <w:name w:val="Char2"/>
    <w:basedOn w:val="805"/>
    <w:uiPriority w:val="0"/>
    <w:qFormat/>
    <w:rPr>
      <w:rFonts w:ascii="Tahoma" w:hAnsi="Tahoma"/>
      <w:sz w:val="24"/>
    </w:rPr>
  </w:style>
  <w:style w:type="paragraph" w:styleId="1226" w:customStyle="1">
    <w:name w:val="方案文档"/>
    <w:basedOn w:val="788"/>
    <w:uiPriority w:val="0"/>
    <w:qFormat/>
    <w:pPr>
      <w:ind w:firstLine="225"/>
      <w:spacing w:before="60" w:after="60" w:line="360" w:lineRule="auto"/>
    </w:pPr>
    <w:rPr>
      <w:rFonts w:ascii="宋体"/>
      <w:color w:val="000000"/>
      <w:sz w:val="24"/>
      <w:szCs w:val="20"/>
    </w:rPr>
  </w:style>
  <w:style w:type="paragraph" w:styleId="1227" w:customStyle="1">
    <w:name w:val="标题3，章节第三层"/>
    <w:basedOn w:val="788"/>
    <w:next w:val="1090"/>
    <w:uiPriority w:val="0"/>
    <w:qFormat/>
    <w:pPr>
      <w:spacing w:before="78" w:line="300" w:lineRule="auto"/>
      <w:outlineLvl w:val="2"/>
    </w:pPr>
    <w:rPr>
      <w:rFonts w:ascii="Arial" w:hAnsi="Arial" w:eastAsia="华文细黑"/>
      <w:sz w:val="30"/>
    </w:rPr>
  </w:style>
  <w:style w:type="paragraph" w:styleId="1228" w:customStyle="1">
    <w:name w:val="Char Char Char Char Char Char Char Char Char Char Char Char Char Char Char Char Char Char Char Char Char"/>
    <w:basedOn w:val="788"/>
    <w:uiPriority w:val="0"/>
    <w:qFormat/>
    <w:rPr>
      <w:rFonts w:ascii="Tahoma" w:hAnsi="Tahoma"/>
      <w:sz w:val="24"/>
      <w:szCs w:val="20"/>
    </w:rPr>
  </w:style>
  <w:style w:type="paragraph" w:styleId="1229" w:customStyle="1">
    <w:name w:val="样式 模板正文 + 左侧:  2 字符 段前: 0 磅 行距: 单倍行距"/>
    <w:basedOn w:val="788"/>
    <w:uiPriority w:val="0"/>
    <w:qFormat/>
    <w:pPr>
      <w:ind w:firstLine="200"/>
      <w:spacing w:before="120" w:line="320" w:lineRule="exact"/>
    </w:pPr>
    <w:rPr>
      <w:rFonts w:ascii="Arial" w:hAnsi="Arial" w:cs="宋体"/>
      <w:szCs w:val="20"/>
    </w:rPr>
  </w:style>
  <w:style w:type="paragraph" w:styleId="1230" w:customStyle="1">
    <w:name w:val="xl34"/>
    <w:basedOn w:val="78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31" w:customStyle="1">
    <w:name w:val="font7"/>
    <w:basedOn w:val="788"/>
    <w:uiPriority w:val="0"/>
    <w:qFormat/>
    <w:pPr>
      <w:jc w:val="left"/>
      <w:spacing w:before="100" w:beforeAutospacing="1" w:after="100" w:afterAutospacing="1"/>
      <w:widowControl/>
    </w:pPr>
    <w:rPr>
      <w:rFonts w:hint="eastAsia" w:ascii="宋体" w:hAnsi="宋体"/>
      <w:b/>
      <w:bCs/>
      <w:sz w:val="24"/>
    </w:rPr>
  </w:style>
  <w:style w:type="paragraph" w:styleId="1232" w:customStyle="1">
    <w:name w:val="列出段落3"/>
    <w:basedOn w:val="788"/>
    <w:uiPriority w:val="34"/>
    <w:qFormat/>
    <w:pPr>
      <w:ind w:firstLine="420"/>
    </w:pPr>
    <w:rPr>
      <w:rFonts w:ascii="等线" w:hAnsi="等线" w:eastAsia="等线" w:cs="黑体"/>
      <w:szCs w:val="22"/>
    </w:rPr>
  </w:style>
  <w:style w:type="paragraph" w:styleId="1233" w:customStyle="1">
    <w:name w:val="列出段落4"/>
    <w:basedOn w:val="788"/>
    <w:uiPriority w:val="0"/>
    <w:qFormat/>
    <w:pPr>
      <w:ind w:firstLine="420"/>
    </w:pPr>
    <w:rPr>
      <w:rFonts w:eastAsia="仿宋"/>
      <w:sz w:val="32"/>
      <w:szCs w:val="22"/>
    </w:rPr>
  </w:style>
  <w:style w:type="character" w:styleId="1234" w:customStyle="1">
    <w:name w:val="fontstyle01"/>
    <w:basedOn w:val="798"/>
    <w:uiPriority w:val="0"/>
    <w:qFormat/>
    <w:rPr>
      <w:rFonts w:ascii="宋体" w:hAnsi="宋体" w:eastAsia="宋体" w:cs="宋体"/>
      <w:color w:val="ff0000"/>
      <w:sz w:val="22"/>
      <w:szCs w:val="22"/>
    </w:rPr>
  </w:style>
  <w:style w:type="paragraph" w:styleId="1235" w:customStyle="1">
    <w:name w:val="Table Text"/>
    <w:basedOn w:val="788"/>
    <w:uiPriority w:val="0"/>
    <w:semiHidden/>
    <w:qFormat/>
    <w:rPr>
      <w:rFonts w:ascii="宋体" w:hAnsi="宋体" w:cs="宋体"/>
      <w:sz w:val="24"/>
      <w:lang w:eastAsia="en-US"/>
    </w:rPr>
  </w:style>
  <w:style w:type="table" w:styleId="1236" w:customStyle="1">
    <w:name w:val="Table Normal"/>
    <w:uiPriority w:val="0"/>
    <w:unhideWhenUsed/>
    <w:qFormat/>
    <w:tblPr>
      <w:tblCellMar>
        <w:left w:w="0" w:type="dxa"/>
        <w:top w:w="0" w:type="dxa"/>
        <w:right w:w="0" w:type="dxa"/>
        <w:bottom w:w="0" w:type="dxa"/>
      </w:tblCellMar>
    </w:tblPr>
  </w:style>
  <w:style w:type="paragraph" w:styleId="1237" w:customStyle="1">
    <w:name w:val="列表段落1"/>
    <w:basedOn w:val="788"/>
    <w:uiPriority w:val="99"/>
    <w:qFormat/>
    <w:pPr>
      <w:ind w:firstLine="420"/>
    </w:pPr>
    <w:rPr>
      <w:rFonts w:ascii="Times New Roman" w:hAnsi="Times New Roman"/>
      <w:szCs w:val="20"/>
    </w:rPr>
  </w:style>
  <w:style w:type="paragraph" w:styleId="1238" w:customStyle="1">
    <w:name w:val="List Paragraph1"/>
    <w:basedOn w:val="788"/>
    <w:next w:val="788"/>
    <w:uiPriority w:val="0"/>
    <w:qFormat/>
    <w:pPr>
      <w:ind w:firstLine="420"/>
    </w:pPr>
    <w:rPr>
      <w:rFonts w:ascii="Times New Roman" w:hAnsi="Times New Roman"/>
      <w:szCs w:val="21"/>
    </w:rPr>
  </w:style>
  <w:style w:type="numbering" w:styleId="1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jpg"/><Relationship Id="rId22" Type="http://schemas.openxmlformats.org/officeDocument/2006/relationships/image" Target="media/image3.jpg"/><Relationship Id="rId23" Type="http://schemas.openxmlformats.org/officeDocument/2006/relationships/image" Target="media/image4.jpg"/><Relationship Id="rId24" Type="http://schemas.openxmlformats.org/officeDocument/2006/relationships/image" Target="media/image5.jpg"/><Relationship Id="rId25" Type="http://schemas.openxmlformats.org/officeDocument/2006/relationships/image" Target="media/image6.jpg"/><Relationship Id="rId26" Type="http://schemas.openxmlformats.org/officeDocument/2006/relationships/image" Target="media/image7.jpg"/><Relationship Id="rId27" Type="http://schemas.openxmlformats.org/officeDocument/2006/relationships/image" Target="media/image8.jpg"/><Relationship Id="rId28" Type="http://schemas.openxmlformats.org/officeDocument/2006/relationships/image" Target="media/image9.png"/><Relationship Id="rId29"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0FAEA479-FC7F-401B-B526-4A795835892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赵杨</dc:creator>
  <cp:lastModifiedBy>宣志霞</cp:lastModifiedBy>
  <cp:revision>49</cp:revision>
  <dcterms:created xsi:type="dcterms:W3CDTF">2023-12-14T02:55:00Z</dcterms:created>
  <dcterms:modified xsi:type="dcterms:W3CDTF">2026-07-28T00:31:17Z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4B111DCD905743C4A2EEDF2560A1515D_13</vt:lpwstr>
  </property>
  <property fmtid="{D5CDD505-2E9C-101B-9397-08002B2CF9AE}" pid="4" name="KSOTemplateDocerSaveRecord">
    <vt:lpwstr>eyJoZGlkIjoiMDJlNWI5NmRhZDhkMzJiMzRlYmU2ODdmZWZmNDcxNWEiLCJ1c2VySWQiOiIyNjYxMzk2ODMifQ==</vt:lpwstr>
  </property>
</Properties>
</file>