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采购编号:JSZC-320591-PMJS-C2026-0025</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采购项目：2026年唯亭街道宣传品项目</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采购人：苏州工业园区唯亭街道办事处</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2026年08月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shd w:val="nil"/>
        <w:rPr>
          <w:rFonts w:ascii="Times New Roman" w:hAnsi="Times New Roman" w:eastAsia="Times New Roman" w:cs="Times New Roman"/>
          <w:sz w:val="26"/>
          <w:szCs w:val="26"/>
        </w:rPr>
      </w:pPr>
      <w:r>
        <w:rPr>
          <w:rFonts w:ascii="Times New Roman" w:hAnsi="Times New Roman" w:eastAsia="Times New Roman" w:cs="Times New Roman"/>
          <w:sz w:val="26"/>
          <w:szCs w:val="26"/>
        </w:rPr>
        <w:br w:type="page" w:clear="all"/>
      </w:r>
      <w:r>
        <w:rPr>
          <w:rFonts w:ascii="Times New Roman" w:hAnsi="Times New Roman" w:eastAsia="Times New Roman" w:cs="Times New Roman"/>
          <w:sz w:val="26"/>
          <w:szCs w:val="26"/>
        </w:rP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竞争性磋商公告</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采购内容：2026年唯亭街道宣传品项目</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标段数：5个标段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合同履行期限：一年（具体以合同签订时间为准）。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电子响应文件上传截止时间：2026年08月18日14:00（北京时间）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代理机构提出质疑。采购代理机构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代理服务费收费标准，由成交供应商在领取成交通知书时付清：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代理服务费：28200元</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rPr>
          <w:rFonts w:ascii="SimSun" w:hAnsi="SimSun" w:eastAsia="SimSun" w:cs="SimSun"/>
          <w:color w:val="000000"/>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r>
      <w:r>
        <w:rPr>
          <w:rFonts w:ascii="SimSun" w:hAnsi="SimSun" w:eastAsia="SimSun" w:cs="SimSun"/>
          <w:color w:val="000000"/>
          <w:sz w:val="26"/>
          <w:highlight w:val="none"/>
        </w:rPr>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2026年唯亭街道宣传品项目</w:t>
      </w:r>
      <w:r>
        <w:rPr>
          <w:rFonts w:ascii="SimSun" w:hAnsi="SimSun" w:eastAsia="SimSun" w:cs="SimSun"/>
          <w:color w:val="000000"/>
          <w:sz w:val="24"/>
        </w:rPr>
        <w:t xml:space="preserve">的潜在磋商供应商应在“苏采云政府采购一体化平台”网站自行免费下载磋商文件，并于2026年08月18日14点00分（北京时间）前提交响应文件。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项目名称：2026年唯亭街道宣传品项目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预算金额：220.000000万元（采购包1：60.000000万元；采购包2：40.000000万元；采购包3：40.000000万元；采购包4：40.000000万元；采购包5：40.000000万元）（含代理费）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项目概况：</w:t>
      </w:r>
      <w:r>
        <w:rPr>
          <w:rFonts w:ascii="SimSun" w:hAnsi="SimSun" w:eastAsia="SimSun" w:cs="SimSun"/>
          <w:color w:val="000000"/>
          <w:sz w:val="24"/>
        </w:rPr>
        <w:t xml:space="preserve">根据苏州工业园区唯亭街道发展及年度各项业务实际需求，综合考虑以往年度业务需求情况，现通过政府采购方式对街道各办公室（中心）及所属37个社区宣传品服务项目选定有专业技术能力的宣传品制作服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2、服务范围与内容：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党政和人大办公室、党建工作办公室、社会事业办公室、便民服务中心、财务和资产管理办公室、综合行政执法和安全生产监督管理办公室、社会治理办公室、建设管理办公室展板展架等宣传品及零星阵地建设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采购包2：张泾社区、跨塘社区、高浜社区、古娄一村社区、古娄二村社区、新娄社区、新和社区、唯正社区、西湖社区9个社区</w:t>
      </w:r>
      <w:r>
        <w:rPr>
          <w:rFonts w:ascii="SimSun" w:hAnsi="SimSun" w:eastAsia="SimSun" w:cs="SimSun"/>
          <w:color w:val="000000"/>
          <w:sz w:val="24"/>
          <w:u w:val="none"/>
        </w:rPr>
        <w:t xml:space="preserve">展板展架等宣传品及零星阵地建设等服务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rPr>
          <w:rFonts w:ascii="SimSun" w:hAnsi="SimSun" w:eastAsia="SimSun" w:cs="SimSun"/>
          <w:color w:val="000000"/>
          <w:sz w:val="24"/>
          <w:u w:val="none"/>
        </w:rPr>
        <w:t xml:space="preserve">青剑湖社区、虹桥社区、龙会社区、湖滨社区、青苑社区、望湖社区、观湖社区、晴湾社区、澄湾社区、青澄花园社区10个社区展板展架等宣传品及零星阵地建设等服务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采购包4：浦田社区、泾上社区、新镇社区、戈巷社区、施家浜社区、亭苑社区、优澄社区、青春家园社区、芭堤社区9个社区展板展架等宣传品及零星阵地建设等服务。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采购包5：唯亭社区、亭南社区、厦亭社区、东亭社区、悬珠社区、怡邻社区、阳澄湖村社区、维纳花园社区、阳光社区9个社区展板展架等宣传品及零星阵地建设等服务。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段划分及中标原则：本项目采购分为五个标段，磋商响应单位可以选择多个标段进行响应，成交标段数量不超过一个。本项目按标段号顺序磋商，确定响应单位的成交标段。已确定成交标段的响应单位，其余标段将自动失去成交资格且不再参加下一个标段的评审。在合同签订之前，若某标段因质疑、投诉等事项导致成交结果改变的，不影响其它任何标段的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4、合同履行期限：一年（具体以合同签订时间为准）。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rPr>
          <w:rFonts w:ascii="SimSun" w:hAnsi="SimSun" w:eastAsia="SimSun" w:cs="SimSun"/>
          <w:b/>
          <w:color w:val="000000"/>
          <w:sz w:val="24"/>
        </w:rPr>
        <w:t xml:space="preserve">本项目专门面向中小企业采购，所属行业为其他未列明行业（商务服务业），投标单位须为中小微企业或监狱企业或残疾人福利性单位。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w:t>
      </w:r>
      <w:r>
        <w:rPr>
          <w:rFonts w:ascii="SimSun" w:hAnsi="SimSun" w:eastAsia="SimSun" w:cs="SimSun"/>
          <w:color w:val="000000"/>
          <w:sz w:val="24"/>
        </w:rPr>
        <w:t xml:space="preserve">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截止时间：2026年08月18日14：00（北京时间）</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时间：2026年08月18日14：00（北京时间）</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地点：苏州工业园区公共资源交易中心新场地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w:t>
      </w:r>
      <w:r>
        <w:rPr>
          <w:rFonts w:ascii="SimSun" w:hAnsi="SimSun" w:eastAsia="SimSun" w:cs="SimSun"/>
          <w:color w:val="000000"/>
          <w:sz w:val="24"/>
        </w:rPr>
        <w:t xml:space="preserve">苏州高新区邓尉路105号狮山科技馆1楼服务大厅，咨询电话：0512-65737699</w:t>
      </w:r>
      <w:r>
        <w:rPr>
          <w:rFonts w:ascii="SimSun" w:hAnsi="SimSun" w:eastAsia="SimSun" w:cs="SimSun"/>
          <w:color w:val="000000"/>
          <w:sz w:val="24"/>
        </w:rPr>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9、投标人（供应商）应自行在苏采云政府采购一体化平台上下载/获取招标（采购）文件及其澄清（答疑）等相关招标（采购）资料，恕不另行通知。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13、苏州工业园区财政审计局电话：0512-66681110、0512-66186093。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名称：苏州工业园区唯亭街道办事处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联系方式:0512-69996840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项目联系人：刘金华、周东星、顾苏芯（项目负责人）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联合体各方中至少应当有一方应具备承担本磋商项目的相应资格条件。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供应商另外组成联合体参加同一合同项下的政府采购活动。出现上述情况者，其磋商响应和与其有关的联合体的磋商响应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7.1.4联合体成交的，联合体各方应当共同与采购人签订合同，就成交项目向采购人承担连带责任。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7.2除非另有规定或说明，本磋商文件中“供应商”一词亦指联合体各成员。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在政府/国企/集体企业采购系统线上询问，疑问回复将通过政府/国企/集体企业采购系统进行回复，响应供应商可进入问题列表页面，查看已提问问题的回复情况。代理机构通过政府采购电子招投标平台收到询问后应在三个工作日内以网上答复的方式予以解答，由系统回复给询问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磋商文件及其补充文件不是直接从磋商采购单位处获得的，磋商采购单位对磋商文件及其补遗的真实性、完整性不承担任何责任。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12.1.3响应总报价表；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12.1.4响应分项报价表；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磋商供应商情况表（格式见第三章）；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（2）具有良好的商业信誉和健全的财务会计制度证明：财务审计报告或（财务制度、最近一期财务报表或其基本开户银行出具的资信证明）；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（3）具备履行合同所必需的设备和专业技术能力的证明材料或承诺函；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w:t>
      </w:r>
      <w:r>
        <w:rPr>
          <w:rFonts w:ascii="SimSun" w:hAnsi="SimSun" w:eastAsia="SimSun" w:cs="SimSun"/>
          <w:b/>
          <w:color w:val="000000"/>
          <w:sz w:val="24"/>
        </w:rPr>
        <w:t xml:space="preserve">《关于符合本国产品标准的声明函》（注：如供应商提供的货物中涉及本国产品标准，声明函须加盖有公章的彩色扫描件上传至电子投标文件）；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注：供应商应提交以上12.1.1-12.2.7条完整响应文件。否则，响应文件将因资格条件不符或未实质响应磋商文件而被拒绝。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电子投标（响应）文件制作完成后请于上传截止前成功上传，未按要求线上递交电子投标（响应）文件将被拒收，供应商参与多个标段投标的，应分别单独上传。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材料、设计、制作、安装、人工费（包括人员工资、补贴、保险、加班等）、机械、管理、维护、保险、利润、税金、通讯器材、办公设备、器材、政策性文件规定及合同包含的所有风险、责任等各项应有费用。磋商供应商应对所投项目的全部内容进行报价，只投其中部分内容者，其标书将被拒绝。投标报价为最终报价，除非因特殊原因并经双方协商同意，磋商供应商不得再要求追加任何费用。同时，除非合同条款中另有规定，否则，磋商供应商所报价格在合同实施期间</w:t>
      </w:r>
      <w:r>
        <w:rPr>
          <w:rFonts w:ascii="SimSun" w:hAnsi="SimSun" w:eastAsia="SimSun" w:cs="SimSun"/>
          <w:color w:val="000000"/>
          <w:sz w:val="24"/>
        </w:rPr>
        <w:t xml:space="preserve">不因市场变化因素而变动,政策性条款例外。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14.3磋商供应商应按《响应报价表》中的全部服务计算单价和总价。《响应报价表》中的每一单项均应计算并填写单价和总价。如发现响应报价中有错算现象，一旦成交，供应商自行承担错算这部分的经济损失。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评审中需要供应商进行澄清的通知会通过苏采云系统发出，供应商应及时登录采购系统查看澄清要求并在规定的时间内按要求进行线上答复，否则视为未实质性响应。</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20.10.2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20.13技术支持</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24.1.3进入每个标段评审的实质性响应磋商文件且具有得标权的供应商不满三家或进入二次报价的不满三家或二次报价在采购预算、单价限价内不满三家的。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30.3本项目各单项报价二次报价中未明确的，按照磋商总价（最终报价）/第一次总价*响应文件中列明单价（第一次）执行。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32.5质疑联系方式详见前附表。</w:t>
      </w:r>
      <w:r/>
    </w:p>
    <w:p>
      <w:pPr>
        <w:numPr>
          <w:ilvl w:val="0"/>
          <w:numId w:val="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履约保证金：本项目无需缴纳，涉及相关条款均不适用。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33.2如果乙方未能履行合同规定的任何义务，或因乙方责任应由乙方承担的赔偿或违约金支付未完成，甲方有权从履约保证金中取得补偿。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33.3履约保证金（无息）将在乙方履行完合同义务一个月内，凭乙方的收款收据退还余款给乙方。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33.4甲方逾期退还履约保证金的，乙方有权要求甲方自约定的退还期限届满次日起，每逾期一日，按应退还的履约保证金款项的0.03%支付违约金，直至实际退还之日为止。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33.5乙方擅自解除合同，或因乙方违约导致甲方解除合同，或因乙方违约给甲方造成重大损失时，履约保证金不予退还。</w:t>
      </w:r>
      <w:r/>
    </w:p>
    <w:p>
      <w:pPr>
        <w:numPr>
          <w:ilvl w:val="0"/>
          <w:numId w:val="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商务服务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rPr>
          <w:rFonts w:ascii="KaiTi" w:hAnsi="KaiTi" w:eastAsia="KaiTi" w:cs="KaiTi"/>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本项目为服务类项目，如提供服务中需提供货物，根据《国务院办公厅关于在政府采购中实施本国产品标准及相关政策的通知》（国办发〔2025〕34号）的规定，本项目对采购本国产品给予政策支持。</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w:t>
      </w:r>
      <w:r>
        <w:rPr>
          <w:rFonts w:ascii="SimSun" w:hAnsi="SimSun" w:eastAsia="SimSun" w:cs="SimSun"/>
          <w:b/>
          <w:color w:val="000000"/>
          <w:sz w:val="24"/>
        </w:rPr>
        <w:t xml:space="preserve">供应商需在《声明函》中逐一中单列、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JSZC-320591-PMJS-C2026-0025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8、我们承诺我公司符合磋商文件供应商须知中“合格供应商的基本、特定条件”的要求，若与真实情况不符，本公司愿意承担由此而产生的一切后果。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联系电话（手机）：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rPr>
          <w:rFonts w:ascii="SimSun" w:hAnsi="SimSun" w:eastAsia="SimSun" w:cs="SimSun"/>
          <w:color w:val="000000"/>
          <w:sz w:val="24"/>
          <w:u w:val="single"/>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sz w:val="26"/>
          <w:szCs w:val="26"/>
        </w:rPr>
      </w:r>
      <w:r>
        <w:rPr>
          <w:rFonts w:ascii="SimSun" w:hAnsi="SimSun" w:eastAsia="SimSun" w:cs="SimSun"/>
          <w:sz w:val="26"/>
          <w:szCs w:val="26"/>
        </w:rPr>
      </w:r>
      <w:r/>
    </w:p>
    <w:p>
      <w:pPr>
        <w:ind w:left="0" w:right="0" w:firstLine="0"/>
        <w:jc w:val="both"/>
        <w:spacing w:before="0" w:after="0" w:line="380" w:lineRule="atLeast"/>
        <w:rPr>
          <w:rFonts w:ascii="SimSun" w:hAnsi="SimSun" w:eastAsia="SimSun" w:cs="SimSu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3、响应总报价表</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响应总报价表（标段号）</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4"/>
        <w:gridCol w:w="5625"/>
      </w:tblGrid>
      <w:tr>
        <w:trPr>
          <w:trHeight w:val="6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中型企业（  ）   小型企业（  ）     微型企业（  ）     监狱企业 （  ）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残疾人福利性企业(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注：磋商供应商如为中小微企业、监狱企业、残疾人福利性企业在相对应处打“√”。</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4、响应分项报价表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响应分项报价表</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549"/>
        <w:gridCol w:w="1266"/>
        <w:gridCol w:w="1683"/>
        <w:gridCol w:w="745"/>
        <w:gridCol w:w="819"/>
        <w:gridCol w:w="789"/>
        <w:gridCol w:w="879"/>
        <w:gridCol w:w="83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响应合价（元）</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20*30cmPVC背胶+哑膜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60*90cmPVC写真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60cm*40cm黑胶画面+光膜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图片、海报设计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用作于满足日常宣传之需求，原图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立屏展架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80*180cm双面KT板画面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60*160cm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60*160cm铁座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铝合金材质+60cm*90cm框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外形尺寸68cm*98cm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外形尺寸50cm*70cm*140cm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注水底座600mm*800mm-900mm可调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外形尺寸31cm*123cm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镀锌管架+铝合金框+PVC背板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外形尺寸145cm*65cm*40cm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展架透明板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不锈钢可移动双面展架(可转动)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不锈钢可移动双面展架(参数:750*400*1400mm，201不锈钢材质，外框材料厚度1.0mm，固定支架：方管12*25mm，材料厚度1.0mm，支架：φ25*1.0mm圆管，底座材料厚度1.0mm，耐立板：3厘透明机片，配有固定插销，内含600*900mm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塑盖型易拉宝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塑盖型+pvc海报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60*90cm铝型材3cm型材，单面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60*90cm铝型材4cm型材，单面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60*40cm，PVC写真+5mmKT板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宽80cm*高200cm丽屏展架,厚度不低于1cm(含双面画面裱KT板)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写真裱5mmkt板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写真裱10mm雪弗板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1.2mm铝板烤漆装饰面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5mm铝塑板装饰面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5mm木纹板装饰面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30mm防腐木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无纺布喷画打印及制作安装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铝合金拉丝木纹打印及制作安装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UV10mm雪弗板1200*900mm+23mm照片盒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303mm*495mm异型雕刻+亚克力插盒+内页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7cm防水贴纸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宣传栏底板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0.2镀锌板+车贴+磁条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130cm*103cm+8磁条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公告宣传栏架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高120cm*宽200cm，整体厚度不低于3cm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2米长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旗杆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2米伸缩杆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各类广告牌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8mm雪弗板+户外车贴    支架2*6方钢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L形展架60*90cm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各类门牌(可替换)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底板5mm雪弗板UV+一个透明亚克力插盒25*25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居委会活动室门牌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30cm*15cm亚克力材质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300mm*55mm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标识牌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亚克力材质20cm*30cm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各类上墙制度等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60cm*80cm合金框，3mm亚克力面板,附照片插槽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不锈钢禁止牌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1.2米*1米不锈钢烤漆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20mm雪弗板+高清UV画面，根据实际需求提供尺寸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宣绒布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磨砂膜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精工吸塑字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LED发光字，根据实际需求提供尺寸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精工铜字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精工不锈钢烤漆字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不锈钢精品字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迷你立体字(正面发光)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迷你立体字(反面发光)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开启式玻璃橱窗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29.7*21cm亚克力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29.7*42cm亚克力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双色板插牌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双色板雕刻/UV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4cm*19cm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手举牌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户外写真+KT板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异型50cm（宽）*30cm（高）以内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玻璃框+A4内页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外形尺寸25cm*34cm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金属材质烤漆+uv画面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55cm*50cm，插杆4cm*3cm*60cm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造型牌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异型40cm*175cm*5cm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21cm*29.7cm+200克内页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强磁台卡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24*11cm亚克力(含设计制作及外壳）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各类台牌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28*15cm亚克力(含设计制作及外壳）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外形尺寸120cm*15cm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圆直径7.5cm双面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实木底+金属材质UV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5mm亚克力UV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雕刻设计制作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1.2mm镀锌板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250mm*250mm激光雕刻单面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打磨、批腻子二遍，刷漆两遍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打磨、批腻子遍两遍，刷涂料二合一油漆两遍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透明亚克力灯槽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筒灯/射灯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16mm木工板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轻钢龙骨隔墙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路灯旗正反4个面，40cm*100cm+挂旗结构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路灯旗正反4个面，25cm*80cm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路灯旗正反4个面，25cm*80cm+挂旗结构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挂牌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外形尺寸30cm*200cm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宣传标语牌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80cm*1000cm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磁吸底材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软铁板+PVC</w:t>
              <w:br/>
              <w:t xml:space="preserve">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 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15.2cm*10.2cm 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打印塑封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A4、300 克铜</w:t>
              <w:br/>
              <w:t xml:space="preserve">版纸彩色数码</w:t>
              <w:br/>
              <w:t xml:space="preserve">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塑封裁切/打孔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 不锈钢烤</w:t>
              <w:br/>
              <w:t xml:space="preserve">漆/不锈钢拉</w:t>
              <w:br/>
              <w:t xml:space="preserve">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w:t>
              <w:br/>
              <w:t xml:space="preserve">40cm*200cm，厚度不</w:t>
              <w:br/>
              <w:t xml:space="preserve">低于 3cm（如更新含</w:t>
              <w:br/>
              <w:t xml:space="preserve">原始数据测量和拆装费</w:t>
              <w:br/>
              <w:t xml:space="preserve">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玻璃上腰带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A3铜版纸，200g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A3尺寸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A4铜版纸，200g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A4尺寸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响应总价：  元</w:t>
            </w:r>
            <w:r/>
          </w:p>
        </w:tc>
      </w:tr>
      <w:tr>
        <w:trPr>
          <w:trHeight w:val="2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符合本国产品标准的产品成本之和占本项目提供的全部产品成本之和的比例：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注：</w:t>
      </w:r>
      <w:r>
        <w:rPr>
          <w:rFonts w:ascii="SimSun" w:hAnsi="SimSun" w:eastAsia="SimSun" w:cs="SimSun"/>
          <w:color w:val="000000"/>
          <w:sz w:val="21"/>
        </w:rPr>
        <w:t xml:space="preserve">1.分项报价明细表与响应总报价表不一致，以响应总报价表为准。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2.本项目预算中包含采购代理服务费，代理服务费由中标供应商支付，供应商报价中综合考虑。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响应分项报价表</w:t>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采购包2-5：</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4"/>
        <w:gridCol w:w="1415"/>
        <w:gridCol w:w="1285"/>
        <w:gridCol w:w="2148"/>
        <w:gridCol w:w="591"/>
        <w:gridCol w:w="601"/>
        <w:gridCol w:w="943"/>
        <w:gridCol w:w="943"/>
        <w:gridCol w:w="94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预估数量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响应合价（元）</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20*30cmPVC背胶+哑膜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60*90cmPVC写真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60cm*40cm黑胶画面+光膜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图片、海报设计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用作于满足日常宣传之需求，原图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立屏展架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80*180cm双面KT板画面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60*160cm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60*160cm铁座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80*180cm铁座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铝合金材质+60cm*90cm框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外形尺寸68cm*98cm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外形尺寸50cm*70cm*140cm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注水底座600mm*800mm-900mm可调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外形尺寸31cm*123cm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镀锌管架+铝合金框+PVC背板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外形尺寸145cm*65cm*40cm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展架透明板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不锈钢可移动双面展架(可转动)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不锈钢可移动双面展架(参数:750*400*1400mm，201不锈钢材质，外框材料厚度1.0mm，固定支架：方管12*25mm，材料厚度1.0mm，支架：φ25*1.0mm圆管，底座材料厚度1.0mm，耐立板：3厘透明机片，配有固定插销，内含600*900mm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塑盖型易拉宝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塑盖型+pvc海报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60*90cm铝型材3cm型材，单面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60*90cm铝型材4cm型材，单面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60*40cm，PVC写真+5mmKT板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宽80cm*高200cm丽屏展架,厚度不低于1cm(含双面画面裱KT板)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写真裱5mmkt板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写真裱10mm雪弗板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1.2mm铝板烤漆装饰面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5mm铝塑板装饰面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5mm木纹板装饰面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30mm防腐木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无纺布喷画打印及制作安装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铝合金拉丝木纹打印及制作安装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UV10mm雪弗板1200*900mm+23mm照片盒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303mm*495mm异型雕刻+亚克力插盒+内页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7cm防水贴纸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宣传栏底板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0.2镀锌板+车贴+磁条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130cm*103cm+8磁条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公告宣传栏架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高120cm*宽200cm，整体厚度不低于3cm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2米长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旗杆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2米伸缩杆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各类广告牌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8mm雪弗板+户外车贴    支架2*6方钢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L形展架60*90cm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各类门牌(可替换)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底板5mm雪弗板UV+一个透明亚克力插盒25*25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居委会活动室门牌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30cm*15cm亚克力材质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300mm*55mm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标识牌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亚克力材质20cm*30cm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各类上墙制度等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60cm*80cm合金框，3mm亚克力面板,附照片插槽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不锈钢禁止牌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1.2米*1米不锈钢烤漆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20mm雪弗板+高清UV画面，根据实际需求提供尺寸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宣绒布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磨砂膜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精工吸塑字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LED发光字，根据实际需求提供尺寸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精工铜字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精工不锈钢烤漆字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15mm水晶字雕刻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不锈钢精品字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迷你立体字(正面发光)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迷你立体字(反面发光)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开启式玻璃橱窗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29.7*21cm亚克力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29.7*42cm亚克力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双色板插牌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双色板雕刻/UV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4cm*19cm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手举牌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户外写真+KT板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异型50cm（宽）*30cm（高）以内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玻璃框+A4内页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外形尺寸25cm*34cm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金属材质烤漆+uv画面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55cm*50cm，插杆4cm*3cm*60cm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造型牌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异型40cm*175cm*5cm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21cm*29.7cm+200克内页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强磁台卡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24*11cm亚克力(含设计制作及外壳）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各类台牌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28*15cm亚克力(含设计制作及外壳）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外形尺寸120cm*15cm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圆直径7.5cm双面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实木底+金属材质UV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5mm亚克力UV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雕刻设计制作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1.2mm镀锌板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250mm*250mm激光雕刻单面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打磨、批腻子二遍，刷漆两遍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打磨、批腻子遍两遍，刷涂料二合一油漆两遍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透明亚克力灯槽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筒灯/射灯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10mm石膏板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16mm木工板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轻钢龙骨隔墙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路灯旗正反4个面，40cm*100cm+挂旗结构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路灯旗正反4个面，25cm*80cm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路灯旗正反4个面，25cm*80cm+挂旗结构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挂牌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外形尺寸30cm*200cm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宣传标语牌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80cm*1000cm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磁吸底材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软铁板+PVC</w:t>
              <w:br/>
              <w:t xml:space="preserve">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60cm*90cm 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15.2cm*10.2cm 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打印塑封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A4、300 克铜</w:t>
              <w:br/>
              <w:t xml:space="preserve">版纸彩色数码</w:t>
              <w:br/>
              <w:t xml:space="preserve">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塑封裁切/打孔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 不锈钢烤</w:t>
              <w:br/>
              <w:t xml:space="preserve">漆/不锈钢拉</w:t>
              <w:br/>
              <w:t xml:space="preserve">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外形尺寸</w:t>
              <w:br/>
              <w:t xml:space="preserve">40cm*200cm，厚度不</w:t>
              <w:br/>
              <w:t xml:space="preserve">低于 3cm（如更新含</w:t>
              <w:br/>
              <w:t xml:space="preserve">原始数据测量和拆装费</w:t>
              <w:br/>
              <w:t xml:space="preserve">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玻璃上腰带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防水写真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A3铜版纸，200g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A3尺寸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A4铜版纸，200g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A4尺寸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响应总价：  元</w:t>
            </w:r>
            <w:r/>
          </w:p>
        </w:tc>
      </w:tr>
      <w:tr>
        <w:trPr>
          <w:trHeight w:val="2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符合本国产品标准的产品成本之和占本项目提供的全部产品成本之和的比例：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注：</w:t>
      </w:r>
      <w:r>
        <w:rPr>
          <w:rFonts w:ascii="SimSun" w:hAnsi="SimSun" w:eastAsia="SimSun" w:cs="SimSun"/>
          <w:color w:val="000000"/>
          <w:sz w:val="21"/>
        </w:rPr>
        <w:t xml:space="preserve">1.分项报价明细表与响应总报价表不一致，以响应总报价表为准。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2.本项目预算中包含采购代理服务费，代理服务费由中标供应商支付，供应商报价中综合考虑。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17"/>
        <w:ind w:left="0" w:right="0" w:firstLine="0"/>
        <w:jc w:val="both"/>
        <w:spacing w:before="260" w:after="2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5、人员配备一览表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）人员配备一览表（标段号）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1555"/>
        <w:gridCol w:w="679"/>
        <w:gridCol w:w="772"/>
        <w:gridCol w:w="757"/>
        <w:gridCol w:w="1587"/>
        <w:gridCol w:w="1493"/>
        <w:gridCol w:w="787"/>
        <w:gridCol w:w="1065"/>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在本项目中负责的岗位（按照采购要求填写）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资质及从业资历(按照采购要求填写是否满足)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资质证书名称、等级、编号等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4"/>
        </w:rPr>
        <w:t xml:space="preserve"> </w:t>
      </w:r>
      <w:r>
        <w:rPr>
          <w:rFonts w:ascii="KaiTi" w:hAnsi="KaiTi" w:eastAsia="KaiTi" w:cs="KaiTi"/>
          <w:sz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）拟投入本项目的负责人简历表（标段号）</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服务要求偏离表</w:t>
      </w:r>
      <w:r>
        <w:rPr>
          <w:rFonts w:ascii="SimSun" w:hAnsi="SimSun" w:eastAsia="SimSun" w:cs="SimSun"/>
          <w:b/>
          <w:color w:val="000000"/>
          <w:sz w:val="24"/>
        </w:rPr>
        <w:t xml:space="preserve">（标段号）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                                                 </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商务条款偏离表</w:t>
      </w:r>
      <w:r>
        <w:rPr>
          <w:rFonts w:ascii="SimSun" w:hAnsi="SimSun" w:eastAsia="SimSun" w:cs="SimSun"/>
          <w:b/>
          <w:color w:val="000000"/>
          <w:sz w:val="24"/>
        </w:rPr>
        <w:t xml:space="preserve">（标段号）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                                                </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4"/>
        <w:gridCol w:w="1814"/>
        <w:gridCol w:w="1814"/>
        <w:gridCol w:w="1814"/>
        <w:gridCol w:w="1814"/>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响应单位提交的响应文件应在本表中将响应文件实际响应的服务、商务部分与招标文件的服务、商务部分进行逐项对应列出对比，并在“偏离说明”项下填写以下内容：优于的，填写“正偏离”；符合的，填写“无偏离”；低于的，填写“负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2.若事项较多，响应单位可根据投标内容的实际情况另纸说明。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p>
    <w:p>
      <w:pPr>
        <w:ind w:left="0" w:right="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(2)、磋商供应商情况表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rPr>
          <w:rFonts w:ascii="KaiTi" w:hAnsi="KaiTi" w:eastAsia="KaiTi" w:cs="KaiTi"/>
          <w:sz w:val="28"/>
          <w:szCs w:val="28"/>
        </w:rPr>
        <w:pBdr>
          <w:top w:val="none" w:color="000000" w:sz="4" w:space="0"/>
          <w:left w:val="none" w:color="000000" w:sz="4" w:space="0"/>
          <w:bottom w:val="none" w:color="000000" w:sz="4" w:space="0"/>
          <w:right w:val="none" w:color="000000" w:sz="4" w:space="0"/>
        </w:pBdr>
      </w:pPr>
      <w:r>
        <w:rPr>
          <w:rFonts w:ascii="KaiTi" w:hAnsi="KaiTi" w:eastAsia="KaiTi" w:cs="KaiTi"/>
          <w:sz w:val="28"/>
          <w:szCs w:val="28"/>
        </w:rPr>
      </w:r>
      <w:r>
        <w:rPr>
          <w:rFonts w:ascii="KaiTi" w:hAnsi="KaiTi" w:eastAsia="KaiTi" w:cs="KaiTi"/>
          <w:sz w:val="28"/>
          <w:szCs w:val="28"/>
        </w:rPr>
      </w:r>
      <w:r/>
    </w:p>
    <w:p>
      <w:pPr>
        <w:ind w:left="0" w:right="0" w:firstLine="0"/>
        <w:jc w:val="both"/>
        <w:spacing w:before="0" w:after="0" w:line="400" w:lineRule="atLeast"/>
        <w:rPr>
          <w:rFonts w:ascii="KaiTi" w:hAnsi="KaiTi" w:eastAsia="KaiTi" w:cs="KaiTi"/>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pStyle w:val="916"/>
        <w:ind w:left="0" w:right="0" w:firstLine="0"/>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其他未列明行业（商务服务业）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20"/>
        <w:spacing w:before="240" w:after="24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2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10、残疾人福利性单位声明函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本单位郑重声明，根据《财政部民政部中国残疾人联合会关于促进残疾人就业政府采购政策的通知》（财库〔2017〕141号）的规定，本单位为符合条件的残疾人福利性单位，且本单位参加___</w:t>
      </w:r>
      <w:r>
        <w:rPr>
          <w:rFonts w:ascii="SimSun" w:hAnsi="SimSun" w:eastAsia="SimSun" w:cs="SimSun"/>
          <w:color w:val="000000"/>
          <w:sz w:val="26"/>
          <w:u w:val="single"/>
        </w:rPr>
        <w:t xml:space="preserve">   </w:t>
      </w:r>
      <w:r>
        <w:rPr>
          <w:rFonts w:ascii="SimSun" w:hAnsi="SimSun" w:eastAsia="SimSun" w:cs="SimSun"/>
          <w:color w:val="000000"/>
          <w:sz w:val="26"/>
        </w:rPr>
        <w:t xml:space="preserve">__单位的______项目采购活动提供本单位制造的货物（由本单位承担工程/提供服务），或者提供其他残疾人福利性单位制造的货物（不包括使用非残疾人福利性单位注册商标的货物）。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rPr>
          <w:rFonts w:ascii="SimSun" w:hAnsi="SimSun" w:eastAsia="SimSun" w:cs="SimSun"/>
          <w:color w:val="000000"/>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line="400"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line="400"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line="400"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r>
      <w:r>
        <w:rPr>
          <w:rFonts w:ascii="SimSun" w:hAnsi="SimSun" w:eastAsia="SimSun" w:cs="SimSun"/>
          <w:color w:val="000000"/>
          <w:sz w:val="26"/>
          <w:highlight w:val="none"/>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u w:val="none"/>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w:t>
      </w:r>
      <w:r>
        <w:rPr>
          <w:rFonts w:ascii="SimSun" w:hAnsi="SimSun" w:eastAsia="SimSun" w:cs="SimSun"/>
          <w:color w:val="000000"/>
          <w:sz w:val="24"/>
          <w:u w:val="single"/>
        </w:rPr>
        <w:t xml:space="preserve">苏州工业园区唯亭街道办事处 </w:t>
      </w:r>
      <w:r>
        <w:rPr>
          <w:rFonts w:ascii="SimSun" w:hAnsi="SimSun" w:eastAsia="SimSun" w:cs="SimSun"/>
          <w:color w:val="000000"/>
          <w:sz w:val="24"/>
        </w:rPr>
        <w:t xml:space="preserve">的委托，就其所需的</w:t>
      </w:r>
      <w:r>
        <w:rPr>
          <w:rFonts w:ascii="SimSun" w:hAnsi="SimSun" w:eastAsia="SimSun" w:cs="SimSun"/>
          <w:color w:val="000000"/>
          <w:sz w:val="24"/>
          <w:u w:val="single"/>
        </w:rPr>
        <w:t xml:space="preserve">2026年唯亭街道宣传品项目</w:t>
      </w:r>
      <w:r>
        <w:rPr>
          <w:rFonts w:ascii="SimSun" w:hAnsi="SimSun" w:eastAsia="SimSun" w:cs="SimSun"/>
          <w:color w:val="000000"/>
          <w:sz w:val="24"/>
        </w:rPr>
        <w:t xml:space="preserve">采用竞争性磋商方式进行采购，欢迎有资格的磋商供应商前来参加本次磋商采购。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JSZC-320591-PMJS-C2026-0025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工业园区唯亭街道发展及年度各项业务实际需求，综合考虑以往年度业务需求情况，现通过政府采购方式对街道各办公室（中心）及所属37个社区宣传品服务项目选定有专业技术能力的宣传制作服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（二）服务范围：</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6416"/>
        <w:gridCol w:w="1300"/>
      </w:tblGrid>
      <w:tr>
        <w:trPr>
          <w:trHeight w:val="8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24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144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标段预算价（元）</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党政和人大办公室、党建工作办公室、社会事业办公室、便民服务中心、财务和资产管理办公室、综合行政执法和安全生产监督管理办公室、社会治理办公室、建设管理办公室展板展架等宣传品及零星阵地建设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张泾社区、跨塘社区、高浜社区、古娄一村社区、古娄二村社区、新娄社区、新和社区、唯正社区、西湖社区9个社区展板展架等宣传品及零星阵地建设等服务。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青剑湖社区、虹桥社区、龙会社区、湖滨社区、青苑社区、望湖社区、观湖社区、晴湾社区、澄湾社区、青澄花园社区10个社区展板展架等宣传品及零星阵地建设等服务。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浦田社区、泾上社区、新镇社区、戈巷社区、施家浜社区、亭苑社区、优澄社区、青春家园社区、芭堤社区9个社区展板展架等宣传品及零星阵地建设等服务。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唯亭社区、亭南社区、厦亭社区、东亭社区、悬珠社区、怡邻社区、阳澄湖村社区、维纳花园社区、阳光社区9个社区展板展架等宣传品及零星阵地建设等服务。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bl>
    <w:p>
      <w:pPr>
        <w:ind w:left="0" w:right="0" w:firstLine="2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（三）服务清单及单价限价：</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采购包1:</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61"/>
        <w:gridCol w:w="1679"/>
        <w:gridCol w:w="2318"/>
        <w:gridCol w:w="702"/>
        <w:gridCol w:w="822"/>
        <w:gridCol w:w="1130"/>
      </w:tblGrid>
      <w:tr>
        <w:trPr>
          <w:trHeight w:val="11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单价限价（元）</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20*30cmPVC背胶+哑膜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60*90cmPVC写真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60cm*40cm黑胶画面+光膜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图片、海报设计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用作于满足日常宣传之需求，原图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立屏展架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80*180cm双面KT板画面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60*160cm铁座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铝合金材质+60cm*90cm框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外形尺寸68cm*98cm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外形尺寸50cm*70cm*140cm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注水底座600mm*800mm-900mm可调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外形尺寸31cm*123cm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镀锌管架+铝合金框+PVC背板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外形尺寸145cm*65cm*40cm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展架透明板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3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不锈钢可移动双面展架(可转动)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不锈钢可移动双面展架(参数:750*400*1400mm，201不锈钢材质，外框材料厚度1.0mm，固定支架：方管12*25mm，材料厚度1.0mm，支架：φ25*1.0mm圆管，底座材料厚度1.0mm，耐立板：3厘透明机片，配有固定插销，内含600*900mm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全铝型易拉宝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全铝型+pvc海报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塑盖型易拉宝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塑盖型+pvc海报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60*90cm铝型材3cm型材，单面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60*90cm铝型材4cm型材，单面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60*40cm，PVC写真+5mmKT板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宽80cm*高200cm丽屏展架,厚度不低于1cm(含双面画面裱KT板)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写真裱5mmkt板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写真裱10mm雪弗板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1.2mm铝板烤漆装饰面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5mm铝塑板装饰面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5mm木纹板装饰面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30mm防腐木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无纺布喷画打印及制作安装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铝合金拉丝木纹打印及制作安装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UV10mm雪弗板1200*900mm+23mm照片盒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303mm*495mm异型雕刻+亚克力插盒+内页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7cm防水贴纸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宣传栏底板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0.2镀锌板+车贴+磁条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130cm*103cm+8磁条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公告宣传栏架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高120cm*宽200cm，整体厚度不低于3cm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旗杆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各类广告牌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8mm雪弗板+户外车贴    支架2*6方钢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L形展架60*90cm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各类门牌(可替换)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底板5mm雪弗板UV+一个透明亚克力插盒25*25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居委会活动室门牌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30cm*15cm亚克力材质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300mm*55mm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标识牌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亚克力材质20cm*30cm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各类上墙制度等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60cm*80cm合金框，3mm亚克力面板,附照片插槽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不锈钢禁止牌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1.2米*1米不锈钢烤漆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20mm雪弗板+高清UV画面，根据实际需求提供尺寸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宣绒布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磨砂膜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精工吸塑字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LED发光字，根据实际需求提供尺寸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精工铜字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精工不锈钢烤漆字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不锈钢精品字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迷你立体字(正面发光)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迷你立体字(反面发光)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开启式玻璃橱窗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29.7*21cm亚克力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29.7*42cm亚克力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双色板插牌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双色板雕刻/UV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4cm*19cm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手举牌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异型50cm（宽）*30cm（高）以内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玻璃框+A4内页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外形尺寸25cm*34cm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金属材质烤漆+uv画面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55cm*50cm，插杆4cm*3cm*60cm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异型40cm*175cm*5cm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21cm*29.7cm+200克内页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强磁台卡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各类台牌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外形尺寸120cm*15cm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圆直径7.5cm双面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实木铜牌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实木底+金属材质UV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5mm亚克力UV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雕刻设计制作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1.2mm镀锌板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250mm*250mm激光雕刻单面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打磨、批腻子二遍，刷漆两遍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打磨、批腻子遍两遍，刷涂料二合一油漆两遍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透明亚克力灯槽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筒灯/射灯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16mm木工板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轻钢龙骨隔墙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路灯旗正反4个面，40cm*100cm+挂旗结构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路灯旗正反4个面，25cm*80cm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路灯旗正反4个面，25cm*80cm+挂旗结构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外形尺寸30cm*200cm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宣传标语牌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80cm*1000cm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磁吸底材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软铁板+PVC</w:t>
              <w:br/>
              <w:t xml:space="preserve">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 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15.2cm*10.2cm 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打印塑封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A4、300 克铜</w:t>
              <w:br/>
              <w:t xml:space="preserve">版纸彩色数码</w:t>
              <w:br/>
              <w:t xml:space="preserve">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塑封裁切/打孔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20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不锈钢烤</w:t>
              <w:br/>
              <w:t xml:space="preserve">漆/不锈钢拉</w:t>
              <w:br/>
              <w:t xml:space="preserve">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w:t>
              <w:br/>
              <w:t xml:space="preserve">40cm*200cm，厚度不</w:t>
              <w:br/>
              <w:t xml:space="preserve">低于 3cm（如更新含</w:t>
              <w:br/>
              <w:t xml:space="preserve">原始数据测量和拆装费</w:t>
              <w:br/>
              <w:t xml:space="preserve">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1750</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玻璃上腰带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A3铜版纸，200g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A3尺寸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bl>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采购包2-5：</w:t>
      </w: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755"/>
        <w:gridCol w:w="1594"/>
        <w:gridCol w:w="2664"/>
        <w:gridCol w:w="683"/>
        <w:gridCol w:w="701"/>
        <w:gridCol w:w="1147"/>
      </w:tblGrid>
      <w:tr>
        <w:trPr>
          <w:trHeight w:val="12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单价限价（元）</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20*30cmPVC背胶+哑膜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60*90cmPVC写真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60cm*40cm黑胶画面+光膜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60cm*90cm黑胶画面+光膜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图片、海报设计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用作于满足日常宣传之需求，原图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立屏展架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80*180cm双面KT板画面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60*160cm铁座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门型展架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80*180cm铁座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铝合金材质+60cm*90cm框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外形尺寸68cm*98cm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外形尺寸50cm*70cm*140cm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注水底座600mm*800mm-900mm可调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外形尺寸31cm*123cm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镀锌管架+铝合金框+PVC背板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外形尺寸145cm*65cm*40cm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展架透明板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2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不锈钢可移动双面展架(可转动)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不锈钢可移动双面展架(参数:750*400*1400mm，201不锈钢材质，外框材料厚度1.0mm，固定支架：方管12*25mm，材料厚度1.0mm，支架：φ25*1.0mm圆管，底座材料厚度1.0mm，耐立板：3厘透明机片，配有固定插销，内含600*900mm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全铝型易拉宝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全铝型+pvc海报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塑盖型易拉宝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塑盖型+pvc海报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80cm*200cm整套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60*90cm铝型材3cm型材，单面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海报展架-A字型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A字展架铝合金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60*90cm铝型材4cm型材，单面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60*40cm，PVC写真+5mmKT板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60*90cm，PVC写真+5mmKT板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防水车贴+5mm雪弗板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宽80cm*高200cm丽屏展架,厚度不低于1cm(含双面画面裱KT板)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写真裱5mmkt板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写真裱10mm雪弗板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1.2mm铝板烤漆装饰面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5mm铝塑板装饰面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5mm木纹板装饰面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30mm防腐木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无纺布喷画打印及制作安装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铝合金拉丝木纹打印及制作安装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UV10mm雪弗板1200*900mm+23mm照片盒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303mm*495mm异型雕刻+亚克力插盒+内页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PVC胶膜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7cm防水贴纸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宣传栏底板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0.2镀锌板+车贴+磁条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130cm*103cm+8磁条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公告宣传栏架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高120cm*宽200cm，整体厚度不低于3cm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竹杆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旗杆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各类广告牌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8mm雪弗板+户外车贴    支架2*6方钢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L形展架60*90cm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各类门牌(可替换)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底板5mm雪弗板UV+一个透明亚克力插盒25*25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居委会活动室门牌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30cm*15cm亚克力材质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300mm*55mm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拉丝银双色板雕刻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标识牌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亚克力材质20cm*30cm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各类上墙制度等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60cm*80cm合金框，3mm亚克力面板,附照片插槽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不锈钢禁止牌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1.2米*1米不锈钢烤漆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20mm亚克力+高清UV画面，根据实际需求提供尺寸及内容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780</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15mm雪弗板+高清UV画面，根据实际需求提供尺寸及内容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20mm雪弗板+高清UV画面，根据实际需求提供尺寸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宣绒布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磨砂膜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彩色UV画面，根据实际需求提供尺寸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精工吸塑字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LED发光字，根据实际需求提供尺寸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精工铜字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各类阵地建设,整体墙面布置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精工不锈钢烤漆字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不锈钢字，根据实际需求提供尺寸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立体字制作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12mm+3mm厚，水晶字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雪弗板雕刻喷漆字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雪弗板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10mm厚雪弗板雕刻喷漆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10mm厚水晶字雕刻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15mm雪弗板雕刻喷漆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15mm水晶字雕刻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不锈钢精品字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迷你立体字(正面发光)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迷你立体字(反面发光)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文字/内容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开启式玻璃橱窗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29.7*21cm亚克力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各类亚克力袋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29.7*42cm亚克力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双色板插牌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双色板雕刻/UV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4cm*19cm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手举牌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户外写真+KT板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异型50cm（宽）*30cm（高）以内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玻璃框+A4内页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外形尺寸25cm*34cm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地插牌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金属材质烤漆+uv画面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55cm*50cm，插杆4cm*3cm*60cm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异型40cm*175cm*5cm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21cm*29.7cm+200克内页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强磁台卡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各类台牌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28*15cm亚克力(含设计制作及外壳）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50cm*25cm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防水车贴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硬PVC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外形尺寸120cm*15cm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奖牌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圆直径7.5cm双面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实木铜牌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实木底+金属材质UV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5mm亚克力UV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外形尺寸60cm*40cm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雕刻设计制作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1.2mm镀锌板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250mm*250mm激光雕刻单面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打磨、批腻子二遍，刷漆两遍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打磨、批腻子遍两遍，刷涂料二合一油漆两遍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透明亚克力灯槽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筒灯/射灯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10mm石膏板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16mm木工板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轻钢龙骨隔墙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根据实际需求提供尺寸及内容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路灯旗正反4个面，40cm*100cm+挂旗结构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路灯旗正反4个面，25cm*80cm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路灯旗正反4个面，25cm*80cm+挂旗结构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金属材质烤漆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外形尺寸30cm*200cm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宣传标语牌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黑胶喷绘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80cm*1000cm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磁吸底材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软铁板+PVC</w:t>
              <w:br/>
              <w:t xml:space="preserve">底材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60cm*90cm 金属海报框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15.2cm*10.2cm 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相片纸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寸根据实际需求提供尺寸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打印塑封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A4、300 克铜</w:t>
              <w:br/>
              <w:t xml:space="preserve">版纸彩色数码</w:t>
              <w:br/>
              <w:t xml:space="preserve">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塑封裁切/打孔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w:t>
              <w:br/>
              <w:t xml:space="preserve">21cm*12cm，根据实际</w:t>
              <w:br/>
              <w:t xml:space="preserve">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五折页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成品尺寸：21cm*11cm</w:t>
              <w:br/>
              <w:t xml:space="preserve">根据实际需求提供尺寸（300张起）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不锈钢烤</w:t>
              <w:br/>
              <w:t xml:space="preserve">漆/不锈钢拉</w:t>
              <w:br/>
              <w:t xml:space="preserve">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w:t>
              <w:br/>
              <w:t xml:space="preserve">40cm*200cm，厚度不</w:t>
              <w:br/>
              <w:t xml:space="preserve">低于 3cm（如更新含</w:t>
              <w:br/>
              <w:t xml:space="preserve">原始数据测量和拆装费</w:t>
              <w:br/>
              <w:t xml:space="preserve">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1750</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玻璃上腰带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户外写真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12cm*90cm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各类宣传贴纸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根据实际需求提供尺寸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A3铜版纸，200g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A3尺寸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宣传单页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A4铜版纸，200g 铜版纸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bl>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1、上表所述的数量为本项目预估工作量， 供应商须根据此表制定响应报价（包括各项明确单价及项目总价），其中各项单价及项目总价分别不得超过单价限价及标段预算金额，否则视为无效响应。实际支付金额根据成交供应商所报单价按实结算，最终支付总金额不超过最高限价。供应商根据自身情况并结合项目实际需求综合考虑后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（四）项目要求</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1、响应单位至少配备1名负责人，响应文件中必须提供负责人的身份证复印件及单位为其缴纳社保的证明材料复印件，否则视为非实质性响应采购文件要求。</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2、响应单位承诺至少配备4名设计人员，响应文件中提供相关承诺书，否则视为非实质性响应采购文件要求。</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3、配送要求：中标单位须根据招标单位需求在一年内分多次送货。</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4、工作范围：苏州工业园区唯亭街道范围（具体根据采购单位指定地点指定范围）。</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制作供货时间要求：出具设计初稿的时间不得超过3个工作日，定稿后制作周期不得超过7个工作日。如涉及现场制作的阵地类大型布置，布置实施周期在15日内。（具体按照采购单位要求执行）。如遇特殊紧急事项、接待等重大活动项目需现场布置，中标单位应积极配合招标单位，如在规定时间内最终无法满足招标方要求，招标单位有权向第三方先行购买，由此收取的费用由中标单位支付，或在当年中标金额中扣除。</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6、招标单位应严格按照招标文件的有关规定提供合格商品（若涉及品牌或品牌导向，仅作参考），保证货物为全新、未使用的原装正品（除租赁外）。</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7、采购单位提供的所有产品应符合技术要求条款中所标称的规格、参数和标准。其质量必须符合产品国家标准或行业标准，并符合出厂检验标准（每英寸300像素以上，图片要求精度在300dpi-350dpi之间，画册在600dpi）。</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8、所有物品需进行设计，并经确认后制作，费用均包含在对应标段的投标报价中。</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安全措施：成交单位承诺必须为本项目服务人员购买安全生产相关的保险，因成交单位未给本项目服务人员购买安全生产相关的保险及项目实施工作中违反操作规程等所发生的设备、人员事故，造成的一切后果均由成交单位负责承担。采购单位不承担任何相关责任。</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10、售后服务要求：成交单位交付的阵地建设类物品免费质保期不低于一年，如出现问题后，成交单位应在2小时内到达现场，24小时内负责解决。</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w:t>
      </w:r>
      <w:r>
        <w:rPr>
          <w:rFonts w:ascii="SimSun" w:hAnsi="SimSun" w:eastAsia="SimSun" w:cs="SimSun"/>
          <w:color w:val="000000"/>
          <w:sz w:val="24"/>
        </w:rPr>
        <w:t xml:space="preserve">供应商应做各部门的协调工作，确保项目按计划进行；供应商应建立完善的售后服务体系。</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12、供应商应做好档案及台账管理，做好应急保障措施。</w:t>
      </w:r>
      <w:r/>
    </w:p>
    <w:p>
      <w:pPr>
        <w:ind w:left="0" w:right="0" w:firstLine="48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13、供应商应做好内控管理，人员管理，应急预案，控制风险，严格按规范流程操作。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三、综合说明其他要求</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1、供应商应对所投项目的全部服务内容进行报价，</w:t>
      </w:r>
      <w:r>
        <w:rPr>
          <w:rFonts w:ascii="SimSun" w:hAnsi="SimSun" w:eastAsia="SimSun" w:cs="SimSun"/>
          <w:color w:val="000000"/>
          <w:sz w:val="24"/>
        </w:rPr>
        <w:t xml:space="preserve">只投其中部分的为无效响应。</w:t>
      </w:r>
      <w:r>
        <w:rPr>
          <w:rFonts w:ascii="SimSun" w:hAnsi="SimSun" w:eastAsia="SimSun" w:cs="SimSun"/>
          <w:color w:val="000000"/>
          <w:spacing w:val="-4"/>
          <w:sz w:val="24"/>
        </w:rPr>
        <w:t xml:space="preserve">成交单位对服务缺陷不予更正，采购方有权另请其他单位更正，所发生的费用有成交单位承担。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总报价包括完成本项目所需全部服务的报价，具体包括但不限于完成本项目所需全部材料、设计、制作、安装、人工费（包括人员工资、补贴、保险、加班等）、机械、管理、维护、保险、利润、税金、通讯器材、办公设备、器材、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3、供应商在本项目的人员报价中须包含人员工资和社保费用， 其中人员工资部分不得低于 供应商所在地区当前最低工资标准，社保缴费部分不得低于供应商所在行政区域社保管理部门 规定的当前最低缴费标准， 供应商在报价时应将在服务期限内人员工资和社保费用进行调整的 情况包含在内，采购人不再为此承担任何费用和责任。相关服务人员与采购人无任何劳动人事关系，用工事宜由成交供应商负责。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4、服务期限：一年（具体以合同签订时间为准）。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5、付款方式：详见合同条款。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6、凡涉及磋商文件的补充说明和修改，均以苏州政府采购网发布的通知为准。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采购编号：JSZC-320591-PMJS-C2026-0025</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合同打印日期：年月日</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江苏京苏项目管理咨询有限公司进行2026年唯亭街道宣传品项目采购编号JSZC-320591-PMJS-C2026-0025的采购结果，确定乙方为本次成交供应商，现依照采购文件、乙方的响应文件及相关文件的内容，签订本合同书。</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合同价格</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合同价格应包括完成本项工作所需的一切费用，包括但不限于材料、设计、设计、制作、安装、人工（包括工资、补贴、加班、保险）、机械、管理、维护、保险、利润、税金、通讯器材、办公设备、器材、政策性文件规定及合同包含的所有风险、责任等各项应有费用。</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根据现行税法对甲方征收的与本合同有关的一切税费均由甲方承担；根据现行税法对乙方征收的与本合同有关的一切税费均由乙方承担。</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甲方聘请乙方提供以下服务：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（1）本合同项下的服务指：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（2）服务内容及要求：</w:t>
      </w:r>
      <w:r>
        <w:rPr>
          <w:rFonts w:ascii="SimSun" w:hAnsi="SimSun" w:eastAsia="SimSun" w:cs="SimSun"/>
          <w:color w:val="000000"/>
          <w:sz w:val="24"/>
          <w:u w:val="single"/>
        </w:rPr>
        <w:t xml:space="preserve">（详见采购文件）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（3）合同履行期限：一年（具体以合同签订时间为准）。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（4）服务地点：唯亭街道</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合同标的（详见响应文件）</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合同价款结算与支付</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4.1.1本合同的结算金额根据成交单价按实结算。</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进度款：合同签订生效，最终根据实际发生的数量结算，按履约期内单个服务项目进行结算，每次结算时，乙方向甲方发出单个服务项目验收申请，甲方接到乙方验收申请后进行验收，验收合格后阵地建设类支付至阵地建设类实际结算金额的80%，单次使用物品按实付清，阵地建设类余款待整个标段完成，审计完成后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支付总金额=中标综合单价*实际发生数。本项目预算金额为一年预估量金额，最终支付金额按实结算。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标段预算金额为对应服务期内的预估量金额，最终支付金额按实结算。在不改变合同其他条款的前提下，甲方与乙方协商签订补充合同，补充合同的增加金额不超过原合同金额的百分之十。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付款时成交单位须向甲方提供正规发票，发票背面书写乙方帐户，正面备注合同号，加盖公章或发票专用章。</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4.2.3乙方要求付款应提供以下资料：</w:t>
      </w:r>
      <w:r/>
    </w:p>
    <w:p>
      <w:pPr>
        <w:numPr>
          <w:ilvl w:val="3"/>
          <w:numId w:val="11"/>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合格的发票。</w:t>
      </w:r>
      <w:r/>
    </w:p>
    <w:p>
      <w:pPr>
        <w:numPr>
          <w:ilvl w:val="3"/>
          <w:numId w:val="11"/>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 支付方式：银行转账（具体支付方式甲方有权根据财务安排自主选择）。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4.2.5乙方开户银行名称、地址、账号为：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4.2.6收款人全称：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4.2.7乙方数字人民币账号：</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服务质量要求</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乙方应按采购文件的有关规定提供合格的服务。</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服务涉及到的知识产权是合法取得，并享有完整的知识产权，不会因为甲方的使用而被责令停止使用、追偿或要求赔偿损失，如出现此情况，一切经济和法律责任均由乙方承担。乙方应按采购文件的有关规定提供合格服务，质量符合国际或国家通用标准。</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质量与验收：</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6.2乙方应按照磋商文件的要求及其磋商响应文件中的有关要求提供合格的服务；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6.3履约验收主体：由采购人组织人员进行验收；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6.4履约验收时间：验收期限自乙方提出书面验收申请之日起三十天内。特殊情况需延长的，双方应在合同的特殊条款中约定；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6.5履约验收方式：根据磋商文件及磋商响应文件要求由甲方到场，并按本磋商文件及相关法律、法规及行业规定进行验收；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6.6履约验收程序及内容：根据磋商文件的有关要求、相关考核标准及相关法律、法规及行业规定；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6.7履约验收标准：严格按照本合同约定对每一项技术、服务、安全标准的履约情况进行确认，验收结束后，出具验收结果，列明各分项标准的验收情况，由验收双方共同签署。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6.8甲方在验收过程中，应当于双方约定的检验期间内将服务质量等不符合约定的情况及处理方式以书面方式通知乙方；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6.9如果甲方在验收期满后既不出具验收合格证明又未提出书面异议的视为乙方所提供服务符合合同规定；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6.10乙方应在收到甲方书面异议后七个日历天内负责处理问题并书面回复甲方，否则将视为默认甲方提出的异议和处理意见。</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甲乙双方责任及义务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7.1甲方的主要义务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7.1.1按照本合同约定支付费用；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7.1.2负责协调相关方的关系，及时解决现场作业时与相关方产生的矛盾，以免影响工作的顺利进行；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7.1.3现场服务时提供必要的协助：无偿提供场地的道路、用水、用电等必需的配合工作；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7.2乙方的主要义务：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7.2.1按期完成甲方的委托，按甲方的要求按期按质完成本项目：乙方</w:t>
      </w:r>
      <w:r>
        <w:rPr>
          <w:rFonts w:ascii="SimSun" w:hAnsi="SimSun" w:eastAsia="SimSun" w:cs="SimSun"/>
          <w:color w:val="000000"/>
          <w:spacing w:val="-4"/>
          <w:sz w:val="24"/>
        </w:rPr>
        <w:t xml:space="preserve">出具设计初稿的时间不得超过3个工作日，定稿后制作周期不得超过7个工作日，如涉及现场制作的阵地类大型布置，布置实施周期在15日内，具体按照甲方要求执行。如遇特殊紧急事项、接待等重大活动项目需现场布置，中标单位应积极配合甲方，如在规定时间内最终无法满足甲方要求，甲方有权向第三方先行购买，由此收取的费用由乙方支付，或在合同金额中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7.2.2服务必须保障足够的安全防范措施，符合安全作业要求，保障服务人员及设备的安全，加强工作人员的安全教育和管理，负责工作人员的工作安全；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乙方须为本项目施工服务人员购买安全生产相关的保险，因乙方未给本项目施工服务人员购买安全生产相关的保险及项目实施工作中违反操作规程等所发生的设备、人员事故，造成的一切后果均由乙方负责承担。甲方不承担任何相关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7.2.4严格按国家规范、标准进行服务；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7.2.5乙方工作人员交通、食宿自理。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7.2.6由乙方施工损坏的建筑、玻璃、窗户、道板砖等，乙方负责更换或维修恢复原样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7.2.7本合同有效期内，双方当事人应对技术资料承担保密义务。</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甲方违约责任及违约金支付：</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（2）甲方违反合同规定，拒绝接受乙方提供服务，应当承担乙方由此造成的损失。        </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乙方违约责任及违约金支付：</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540" w:right="-153" w:firstLine="24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540" w:right="-153" w:firstLine="24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2）甲方有权部分或全部解除合同，并要求乙方赔偿由此造成的损失及甲方因此产生的对第三方的责任。此时甲方可采取必要的补救措施，相关费用由乙方承担。</w:t>
      </w:r>
      <w:r/>
    </w:p>
    <w:p>
      <w:pPr>
        <w:ind w:left="540" w:right="-153" w:firstLine="24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3）甲方为采取必要的补救措施或因防止损失扩大而支出的合理费用应由乙方承担。</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在收到甲方的违约通知书【7】日内未作答复也没有按照甲方选择的方式承担违约责任，则甲方有权从尚未支付的合同价款中扣除相当于甲方所选择的方式计算的索赔金额。如果前述金额不足以补偿，甲方有权向乙方提出不足部分的赔偿要求。</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（3）因乙方违约导致合同解除的，乙方应向甲方支付合同总金额10%的违约金。</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（4）如果出现政府采购监管部门在处理投诉事项期间，通知甲方暂停采购活动的情形，或者询问或质疑事项可能影响最终成交结果的，或导致甲方中止或终止履行合同的情形，均不视为甲方违约。</w:t>
      </w:r>
      <w:r/>
    </w:p>
    <w:p>
      <w:pPr>
        <w:ind w:left="540" w:right="-153"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因不可抗力不能履行合同的，根据不可抗力的影响，部分或者全部免除责任。但合同一方延迟履行后发生不可抗力的，不能免除责任。</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合同一方因不可抗力不能履行合同的，应当及时通知对方，以减轻可能给对方造成的损失，并应当在合理期限内提供证明。</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合同修改</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甲方和乙方都不得擅自变更本合同，但合同继续履行将损害国家和社会公共利益的除外。</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转让和分包</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政府采购合同的部分和全部都不得转让。</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合同的解除</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有下列情形之一，合同一方可以解除合同：</w:t>
      </w:r>
      <w:r/>
    </w:p>
    <w:p>
      <w:pPr>
        <w:numPr>
          <w:ilvl w:val="0"/>
          <w:numId w:val="12"/>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因不可抗力致使不能实现合同目的，未受不可抗力影响的一方有权解除合同；</w:t>
      </w:r>
      <w:r/>
    </w:p>
    <w:p>
      <w:pPr>
        <w:numPr>
          <w:ilvl w:val="0"/>
          <w:numId w:val="12"/>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因合同一方违约导致合同不能履行，另一方有权解除合同。</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有权解除合同的一方，应当在违约事实或不可抗力发生之后三十天内书面通知对方以主张解除合同，合同在书面通知到达对方时解除。</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乙方如不能按照以下规定完成服务，则甲方有权终止合同：</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w:t>
      </w:r>
      <w:r>
        <w:rPr>
          <w:rFonts w:ascii="SimSun" w:hAnsi="SimSun" w:eastAsia="SimSun" w:cs="SimSun"/>
          <w:color w:val="000000"/>
          <w:spacing w:val="-4"/>
          <w:sz w:val="24"/>
        </w:rPr>
        <w:t xml:space="preserve">出具设计初稿的时间不超过3个工作日，定稿后制作周期不超过7个工作日，如涉及现场制作的阵地类大型布置，布置实施周期在15日内，具体按照甲方要求执行。如遇特殊紧急事项，需积极配合，在规定的时间内满足甲方使用要求。</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合同解除的异议期限：解除合同的通知到达之日起30日内提出异议。</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争议解决办法</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因本合同或与本合同有关的一切事项发生争议，由双方友好协商解决。协商不成的，向甲方所在地的人民法院起诉。</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合同生效及其他</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本合同经双方签字并盖公章后生效。</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下列文件为本合同不可分割部分：</w:t>
      </w:r>
      <w:r/>
    </w:p>
    <w:p>
      <w:pPr>
        <w:numPr>
          <w:ilvl w:val="0"/>
          <w:numId w:val="13"/>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出具通知书；</w:t>
      </w:r>
      <w:r/>
    </w:p>
    <w:p>
      <w:pPr>
        <w:numPr>
          <w:ilvl w:val="0"/>
          <w:numId w:val="13"/>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乙方响应文件；</w:t>
      </w:r>
      <w:r/>
    </w:p>
    <w:p>
      <w:pPr>
        <w:numPr>
          <w:ilvl w:val="0"/>
          <w:numId w:val="13"/>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w:t>
      </w:r>
      <w:r/>
    </w:p>
    <w:p>
      <w:pPr>
        <w:numPr>
          <w:ilvl w:val="0"/>
          <w:numId w:val="13"/>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乙方在磋商过程中所作的其他承诺、声明、书面澄清等。</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合同在执行过程中出现的未尽事宜，双方在不违背本合同和采购文件的原则下协商解决，协商结果以书面形式盖章记录在案，作为本合同的附件，与本合同具有同等效力。</w:t>
      </w:r>
      <w:r/>
    </w:p>
    <w:p>
      <w:pPr>
        <w:numPr>
          <w:ilvl w:val="1"/>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同意，在本合同签订后，若因乙方办理“园采贷”信用融资的需要，本合同第四条第4.5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未尽事宜</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未尽事宜应按照《中华人民共和国民法典》等相关法律法规之规定解释。</w:t>
      </w:r>
      <w:r/>
    </w:p>
    <w:p>
      <w:pPr>
        <w:numPr>
          <w:ilvl w:val="0"/>
          <w:numId w:val="10"/>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附则</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份，采购代理执</w:t>
      </w:r>
      <w:r>
        <w:rPr>
          <w:rFonts w:ascii="SimSun" w:hAnsi="SimSun" w:eastAsia="SimSun" w:cs="SimSun"/>
          <w:color w:val="000000"/>
          <w:sz w:val="24"/>
          <w:u w:val="single"/>
        </w:rPr>
        <w:t xml:space="preserve">壹</w:t>
      </w:r>
      <w:r>
        <w:rPr>
          <w:rFonts w:ascii="SimSun" w:hAnsi="SimSun" w:eastAsia="SimSun" w:cs="SimSun"/>
          <w:color w:val="000000"/>
          <w:sz w:val="24"/>
        </w:rPr>
        <w:t xml:space="preserve">份，采购监管部门执</w:t>
      </w:r>
      <w:r>
        <w:rPr>
          <w:rFonts w:ascii="SimSun" w:hAnsi="SimSun" w:eastAsia="SimSun" w:cs="SimSun"/>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代理人：代理人：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 </w:t>
        <w:br w:type="page" w:clear="all"/>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915"/>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评审办法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1、评价和比较采用综合评分法，即指响应文件满足采购文件全部实质性要求，且按照评审因素的量化指标评审得分最高的供应商为排名第一的成交候选人的评审方法。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第一步：磋商报价低于或等于财政预算价格、单价限价的，为有效磋商报价。超出财政预算或最高限价的磋商报价文件为未实质性响应文件，不参与评审。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磋商报价得分＝（评标基准价/磋商报价）×20%×100。</w:t>
      </w:r>
      <w:r/>
    </w:p>
    <w:p>
      <w:pPr>
        <w:numPr>
          <w:ilvl w:val="0"/>
          <w:numId w:val="14"/>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技术服务方案（50分）</w:t>
      </w:r>
      <w:r/>
    </w:p>
    <w:p>
      <w:pPr>
        <w:ind w:left="0" w:right="0" w:firstLine="422"/>
        <w:jc w:val="cente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以下适用于一标段</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2.1设计及实施方案：（20分）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（1）针对城市管理题材设计及实施方案：（10分） </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题和内容贴近实际、贴近生活、贴近群众、多方位、多角度展现街道城市管理工作主题的设计。设计理念新颖、针对性强、整体构思巧妙且极富创意、制作方案切实可行的得10分；设计理念较新颖、整体构思巧妙、制作方案较可行的得7分；设计美观、制作方案一般的得4分；设计及制作方案简略的得1分；未提供方案的不得分。本项最高10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注：投标文件中需出具设计方案并做相应文字说明并提供不少于5张效果图，未提供不得分。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（2）针对党建题材的设计方案，最高10分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党建为主题的设计方案,设计理念新颖、针对性强、整体构思巧妙且极富创意、制作方案切实可行的得10分；设计理念较新颖、整体构思巧妙、制作方案较可行的得7分；设计美观、制作方案一般的得4分；设计及制作方案简略的得1分；未提供方案的不得分。本项最高10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注：投标文件中需出具设计方案并做相应文字说明并提供不少于5张效果图，未提供不得分。</w:t>
      </w:r>
      <w:r/>
    </w:p>
    <w:p>
      <w:pPr>
        <w:ind w:left="0" w:right="0" w:firstLine="422"/>
        <w:jc w:val="cente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以下适用于二标段、三标段、四标段、五标段</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2.1设计及实施方案：（20分）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（1）针对精神文明题材的设计方案：10分 </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社会主义核心价值观、文明实践、移风易俗、志愿服务等内容为主题进行设计。设计理念新颖、针对性强、整体构思巧妙且极富创意、制作方案切实可行的得10分；设计理念较新颖、整体构思巧妙、制作方案较可行的得7分；设计美观、制作方案一般的得4分；设计及制作方案简略的得1分；未提供方案的不得分。本项最高10分。    注：投标文件中需出具设计方案并做相应文字说明并提供不少于5张效果图，未提供不得分。  （2）对网格化治理题材的设计方案10分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社区环境、垃圾分类等工作设计理念新颖、针对性强、整体构思巧妙且极富创意、制作方案切实可行的得10分；设计理念较新颖、整体构思巧妙、制作方案较可行的得7分；设计美观、制作方案一般的得4分；设计及制作方案简略的得1分；未提供方案的不得分。本项最高10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注：投标文件中需出具设计方案并做相应文字说明并提供不少于5张效果图，未提供不得分。</w:t>
      </w:r>
      <w:r/>
    </w:p>
    <w:p>
      <w:pPr>
        <w:ind w:left="0" w:right="0" w:firstLine="422"/>
        <w:jc w:val="cente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以下适用于所有标段</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2.2服务方案 ：（22分）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沟通协调机制方案：4分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本项目特点，制定与采购单位、各职能部门的综合协调方案全面完善、科学合理、合理性、可行性强的得4分；制定与其他单位、各职能部门的综合协调方案较全面的得2分；制定与其他单位、各职能部门的综合协调方案基本完整的得1分；未提供方案的不得分。本项最高4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安装布置、流程管控方案：5分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本项目特点，安装布置、流程管控方案全面完善、科学合理、操作性强、可靠性高的得5分；安装布置、流程管控方案全面、较合理、操作性较强的得3分；安装布置、流程管控方案基本完整的得1分；未提供方案的不得分。本项最高5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应急方案及措施：5分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应急方案措施全面完善、措施得当、可行性强的得5分；应急方案措施较全面、措施较得当、可行性尚可的得3分；应急方案措施基本全面的得1分；未提供应急方案措施的此项不得分。本项最高5分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（4）服务期间安全文明保障措施：5分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保障措施内容全面，科学合理、切实可行的得5分；保障措施内容全面，合理的得3分；保障措施内容基本完整的得1分；未提供保障措施的不得分。本项最高5分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（5）内部管理制度、考核及奖惩：3分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规章制度全面完善、考核管理办法科学合理且操作性强的得3分；内部管理规章制度较全面、考核管理办法合理的得2分；内部管理规章制度及考核管理办法的基本完整的得1分，未提供内部管理规章制度及考核管理办法的此项不得分。本项最高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2.3投标单位用于本标段的设施设备配置情况：（5分）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设施设备配置科学合理、针对性强、具有先进性的得5分；设施设备配置较合理、针对性较强的得3分；设施设备配置简单的得1分。本项最高5分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2.4服务进度实施方案：（3分）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针对本项目进度实施方案全面完善、切实可行、把控度高、计划科学合理的得3分；进度实施方案较全面、较可行、较合理的得2分；进度实施方案基本合理的得1分；未提供方案的此项不得分。本项最高3分</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（三）投标人履约能力（30分）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本项目负责人应具有广告、传媒工作经验，具有≥5年相关经验的得8分，具有≥4年相关经验的得6分，具有≥3年相关经验的得4分，具有≥2年相关经验的得2分；最高8分。投标文件中需提供相应广告、传媒工作经验的证明材料，投标单位为该员工缴纳的近三个月内社保证明材料扫描件；未按上述要求提供材料的对应项不得分。本项最高8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拟投入本项目的团队成员配备，每配置1人得1分，最高得5分；投入团队成员（除项目负责人外）具有广告学类、设计类等相关的证书，每有一人得4分，最高8分。（响应文件中提供响应单位为其缴纳近三个月内的社保证明复印件，否则不得分。）本项最高13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单位自2023年以来有过同类年度项目服务经验的，每提供一份相关合同复印件得3分，最高9分；投标文件中提供对应合同、对应合同任意一期发票的扫描件（扫描件均须清晰可见，否则不予认可）；未按上述要求提供材料的对应合同不得分。本项最高9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2、报价超过采购预算或最高限价的为无效标，将不进入综合评审程序。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0" w:right="9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5"/>
      </w:rPr>
      <w:framePr w:wrap="around" w:vAnchor="text" w:hAnchor="margin" w:xAlign="outside" w:y="1"/>
    </w:pPr>
    <w:r>
      <w:rPr>
        <w:rStyle w:val="945"/>
      </w:rPr>
      <w:fldChar w:fldCharType="begin"/>
    </w:r>
    <w:r>
      <w:rPr>
        <w:rStyle w:val="945"/>
      </w:rPr>
      <w:instrText xml:space="preserve">PAGE  </w:instrText>
    </w:r>
    <w:r>
      <w:rPr>
        <w:rStyle w:val="945"/>
      </w:rPr>
      <w:fldChar w:fldCharType="end"/>
    </w:r>
    <w:r/>
  </w:p>
  <w:p>
    <w:pPr>
      <w:pStyle w:val="933"/>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92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7">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66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8">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ascii="SimSun" w:hAnsi="SimSun" w:eastAsia="SimSun" w:cs="SimSun"/>
      </w:rPr>
    </w:lvl>
    <w:lvl w:ilvl="1">
      <w:start w:val="1"/>
      <w:numFmt w:val="decimal"/>
      <w:isLgl w:val="false"/>
      <w:suff w:val="tab"/>
      <w:lvlText w:val="%1.%2"/>
      <w:lvlJc w:val="left"/>
      <w:pPr>
        <w:ind w:left="567" w:hanging="567"/>
      </w:pPr>
      <w:rPr>
        <w:rFonts w:ascii="SimSun" w:hAnsi="SimSun" w:eastAsia="SimSun" w:cs="SimSun"/>
      </w:rPr>
    </w:lvl>
    <w:lvl w:ilvl="2">
      <w:start w:val="1"/>
      <w:numFmt w:val="decimal"/>
      <w:isLgl w:val="false"/>
      <w:suff w:val="tab"/>
      <w:lvlText w:val="%1.%2.%3."/>
      <w:lvlJc w:val="left"/>
      <w:pPr>
        <w:ind w:left="709" w:hanging="709"/>
      </w:pPr>
      <w:rPr>
        <w:rFonts w:ascii="SimSun" w:hAnsi="SimSun" w:eastAsia="SimSun" w:cs="SimSun"/>
      </w:rPr>
    </w:lvl>
    <w:lvl w:ilvl="3">
      <w:start w:val="1"/>
      <w:numFmt w:val="decimal"/>
      <w:isLgl w:val="false"/>
      <w:suff w:val="tab"/>
      <w:lvlText w:val="%1.%2.%3.%4."/>
      <w:lvlJc w:val="left"/>
      <w:pPr>
        <w:ind w:left="851" w:hanging="851"/>
      </w:pPr>
      <w:rPr>
        <w:rFonts w:ascii="SimSun" w:hAnsi="SimSun" w:eastAsia="SimSun" w:cs="SimSun"/>
      </w:rPr>
    </w:lvl>
    <w:lvl w:ilvl="4">
      <w:start w:val="1"/>
      <w:numFmt w:val="decimal"/>
      <w:isLgl w:val="false"/>
      <w:suff w:val="tab"/>
      <w:lvlText w:val="%1.%2.%3.%4.%5."/>
      <w:lvlJc w:val="left"/>
      <w:pPr>
        <w:ind w:left="992" w:hanging="992"/>
      </w:pPr>
      <w:rPr>
        <w:rFonts w:ascii="SimSun" w:hAnsi="SimSun" w:eastAsia="SimSun" w:cs="SimSun"/>
      </w:rPr>
    </w:lvl>
    <w:lvl w:ilvl="5">
      <w:start w:val="1"/>
      <w:numFmt w:val="decimal"/>
      <w:isLgl w:val="false"/>
      <w:suff w:val="tab"/>
      <w:lvlText w:val="%1.%2.%3.%4.%5.%6."/>
      <w:lvlJc w:val="left"/>
      <w:pPr>
        <w:ind w:left="1134" w:hanging="1134"/>
      </w:pPr>
      <w:rPr>
        <w:rFonts w:ascii="SimSun" w:hAnsi="SimSun" w:eastAsia="SimSun" w:cs="SimSun"/>
      </w:rPr>
    </w:lvl>
    <w:lvl w:ilvl="6">
      <w:start w:val="1"/>
      <w:numFmt w:val="decimal"/>
      <w:isLgl w:val="false"/>
      <w:suff w:val="tab"/>
      <w:lvlText w:val="%1.%2.%3.%4.%5.%6.%7."/>
      <w:lvlJc w:val="left"/>
      <w:pPr>
        <w:ind w:left="1276" w:hanging="1276"/>
      </w:pPr>
      <w:rPr>
        <w:rFonts w:ascii="SimSun" w:hAnsi="SimSun" w:eastAsia="SimSun" w:cs="SimSun"/>
      </w:rPr>
    </w:lvl>
    <w:lvl w:ilvl="7">
      <w:start w:val="1"/>
      <w:numFmt w:val="decimal"/>
      <w:isLgl w:val="false"/>
      <w:suff w:val="tab"/>
      <w:lvlText w:val="%1.%2.%3.%4.%5.%6.%7.%8."/>
      <w:lvlJc w:val="left"/>
      <w:pPr>
        <w:ind w:left="1418" w:hanging="1418"/>
      </w:pPr>
      <w:rPr>
        <w:rFonts w:ascii="SimSun" w:hAnsi="SimSun" w:eastAsia="SimSun" w:cs="SimSun"/>
      </w:rPr>
    </w:lvl>
    <w:lvl w:ilvl="8">
      <w:start w:val="1"/>
      <w:numFmt w:val="decimal"/>
      <w:isLgl w:val="false"/>
      <w:suff w:val="tab"/>
      <w:lvlText w:val="%1.%2.%3.%4.%5.%6.%7.%8.%9."/>
      <w:lvlJc w:val="left"/>
      <w:pPr>
        <w:ind w:left="1559" w:hanging="1559"/>
      </w:pPr>
      <w:rPr>
        <w:rFonts w:ascii="SimSun" w:hAnsi="SimSun" w:eastAsia="SimSun" w:cs="SimSun"/>
      </w:rPr>
    </w:lvl>
  </w:abstractNum>
  <w:abstractNum w:abstractNumId="10">
    <w:multiLevelType w:val="hybridMultilevel"/>
    <w:lvl w:ilvl="0">
      <w:start w:val="1"/>
      <w:numFmt w:val="decimal"/>
      <w:isLgl w:val="false"/>
      <w:suff w:val="tab"/>
      <w:lvlText w:val="（%1）"/>
      <w:lvlJc w:val="left"/>
      <w:pPr>
        <w:ind w:left="1739" w:hanging="420"/>
      </w:pPr>
      <w:rPr>
        <w:rFonts w:ascii="SimSun" w:hAnsi="SimSun" w:eastAsia="SimSun" w:cs="SimSun"/>
      </w:rPr>
    </w:lvl>
    <w:lvl w:ilvl="1">
      <w:start w:val="1"/>
      <w:numFmt w:val="lowerLetter"/>
      <w:isLgl w:val="false"/>
      <w:suff w:val="tab"/>
      <w:lvlText w:val="%2)"/>
      <w:lvlJc w:val="left"/>
      <w:pPr>
        <w:ind w:left="1739" w:hanging="420"/>
      </w:pPr>
    </w:lvl>
    <w:lvl w:ilvl="2">
      <w:start w:val="1"/>
      <w:numFmt w:val="decimal"/>
      <w:isLgl w:val="false"/>
      <w:suff w:val="tab"/>
      <w:lvlText w:val="%3."/>
      <w:lvlJc w:val="right"/>
      <w:pPr>
        <w:ind w:left="2159" w:hanging="420"/>
      </w:pPr>
    </w:lvl>
    <w:lvl w:ilvl="3">
      <w:start w:val="1"/>
      <w:numFmt w:val="decimal"/>
      <w:isLgl w:val="false"/>
      <w:suff w:val="tab"/>
      <w:lvlText w:val="（%4）"/>
      <w:lvlJc w:val="left"/>
      <w:pPr>
        <w:ind w:left="2669" w:hanging="420"/>
      </w:pPr>
      <w:rPr>
        <w:rFonts w:ascii="SimSun" w:hAnsi="SimSun" w:eastAsia="SimSun" w:cs="SimSun"/>
      </w:rPr>
    </w:lvl>
    <w:lvl w:ilvl="4">
      <w:start w:val="1"/>
      <w:numFmt w:val="lowerLetter"/>
      <w:isLgl w:val="false"/>
      <w:suff w:val="tab"/>
      <w:lvlText w:val="%5)"/>
      <w:lvlJc w:val="left"/>
      <w:pPr>
        <w:ind w:left="2999" w:hanging="420"/>
      </w:pPr>
    </w:lvl>
    <w:lvl w:ilvl="5">
      <w:start w:val="1"/>
      <w:numFmt w:val="decimal"/>
      <w:isLgl w:val="false"/>
      <w:suff w:val="tab"/>
      <w:lvlText w:val="%6."/>
      <w:lvlJc w:val="right"/>
      <w:pPr>
        <w:ind w:left="3419" w:hanging="420"/>
      </w:pPr>
    </w:lvl>
    <w:lvl w:ilvl="6">
      <w:start w:val="1"/>
      <w:numFmt w:val="decimal"/>
      <w:isLgl w:val="false"/>
      <w:suff w:val="tab"/>
      <w:lvlText w:val="%7."/>
      <w:lvlJc w:val="left"/>
      <w:pPr>
        <w:ind w:left="3839" w:hanging="420"/>
      </w:pPr>
    </w:lvl>
    <w:lvl w:ilvl="7">
      <w:start w:val="1"/>
      <w:numFmt w:val="lowerLetter"/>
      <w:isLgl w:val="false"/>
      <w:suff w:val="tab"/>
      <w:lvlText w:val="%8)"/>
      <w:lvlJc w:val="left"/>
      <w:pPr>
        <w:ind w:left="4259" w:hanging="420"/>
      </w:pPr>
    </w:lvl>
    <w:lvl w:ilvl="8">
      <w:start w:val="1"/>
      <w:numFmt w:val="decimal"/>
      <w:isLgl w:val="false"/>
      <w:suff w:val="tab"/>
      <w:lvlText w:val="%9."/>
      <w:lvlJc w:val="right"/>
      <w:pPr>
        <w:ind w:left="4679" w:hanging="420"/>
      </w:pPr>
    </w:lvl>
  </w:abstractNum>
  <w:abstractNum w:abstractNumId="11">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2">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7"/>
  </w:num>
  <w:num w:numId="5">
    <w:abstractNumId w:val="6"/>
  </w:num>
  <w:num w:numId="6">
    <w:abstractNumId w:val="5"/>
  </w:num>
  <w:num w:numId="7">
    <w:abstractNumId w:val="0"/>
  </w:num>
  <w:num w:numId="8">
    <w:abstractNumId w:val="1"/>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20"/>
    <w:link w:val="915"/>
    <w:uiPriority w:val="9"/>
    <w:rPr>
      <w:rFonts w:ascii="Arial" w:hAnsi="Arial" w:eastAsia="Arial" w:cs="Arial"/>
      <w:sz w:val="40"/>
      <w:szCs w:val="40"/>
    </w:rPr>
  </w:style>
  <w:style w:type="character" w:styleId="750">
    <w:name w:val="Heading 2 Char"/>
    <w:basedOn w:val="920"/>
    <w:link w:val="916"/>
    <w:uiPriority w:val="9"/>
    <w:rPr>
      <w:rFonts w:ascii="Arial" w:hAnsi="Arial" w:eastAsia="Arial" w:cs="Arial"/>
      <w:sz w:val="34"/>
    </w:rPr>
  </w:style>
  <w:style w:type="character" w:styleId="751">
    <w:name w:val="Heading 3 Char"/>
    <w:basedOn w:val="920"/>
    <w:link w:val="917"/>
    <w:uiPriority w:val="9"/>
    <w:rPr>
      <w:rFonts w:ascii="Arial" w:hAnsi="Arial" w:eastAsia="Arial" w:cs="Arial"/>
      <w:sz w:val="30"/>
      <w:szCs w:val="30"/>
    </w:rPr>
  </w:style>
  <w:style w:type="character" w:styleId="752">
    <w:name w:val="Heading 4 Char"/>
    <w:basedOn w:val="920"/>
    <w:link w:val="918"/>
    <w:uiPriority w:val="9"/>
    <w:rPr>
      <w:rFonts w:ascii="Arial" w:hAnsi="Arial" w:eastAsia="Arial" w:cs="Arial"/>
      <w:b/>
      <w:bCs/>
      <w:sz w:val="26"/>
      <w:szCs w:val="26"/>
    </w:rPr>
  </w:style>
  <w:style w:type="character" w:styleId="753">
    <w:name w:val="Heading 5 Char"/>
    <w:basedOn w:val="920"/>
    <w:link w:val="919"/>
    <w:uiPriority w:val="9"/>
    <w:rPr>
      <w:rFonts w:ascii="Arial" w:hAnsi="Arial" w:eastAsia="Arial" w:cs="Arial"/>
      <w:b/>
      <w:bCs/>
      <w:sz w:val="24"/>
      <w:szCs w:val="24"/>
    </w:rPr>
  </w:style>
  <w:style w:type="paragraph" w:styleId="754">
    <w:name w:val="Heading 6"/>
    <w:basedOn w:val="914"/>
    <w:next w:val="914"/>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basedOn w:val="920"/>
    <w:link w:val="754"/>
    <w:uiPriority w:val="9"/>
    <w:rPr>
      <w:rFonts w:ascii="Arial" w:hAnsi="Arial" w:eastAsia="Arial" w:cs="Arial"/>
      <w:b/>
      <w:bCs/>
      <w:sz w:val="22"/>
      <w:szCs w:val="22"/>
    </w:rPr>
  </w:style>
  <w:style w:type="paragraph" w:styleId="756">
    <w:name w:val="Heading 7"/>
    <w:basedOn w:val="914"/>
    <w:next w:val="914"/>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basedOn w:val="920"/>
    <w:link w:val="756"/>
    <w:uiPriority w:val="9"/>
    <w:rPr>
      <w:rFonts w:ascii="Arial" w:hAnsi="Arial" w:eastAsia="Arial" w:cs="Arial"/>
      <w:b/>
      <w:bCs/>
      <w:i/>
      <w:iCs/>
      <w:sz w:val="22"/>
      <w:szCs w:val="22"/>
    </w:rPr>
  </w:style>
  <w:style w:type="paragraph" w:styleId="758">
    <w:name w:val="Heading 8"/>
    <w:basedOn w:val="914"/>
    <w:next w:val="914"/>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basedOn w:val="920"/>
    <w:link w:val="758"/>
    <w:uiPriority w:val="9"/>
    <w:rPr>
      <w:rFonts w:ascii="Arial" w:hAnsi="Arial" w:eastAsia="Arial" w:cs="Arial"/>
      <w:i/>
      <w:iCs/>
      <w:sz w:val="22"/>
      <w:szCs w:val="22"/>
    </w:rPr>
  </w:style>
  <w:style w:type="paragraph" w:styleId="760">
    <w:name w:val="Heading 9"/>
    <w:basedOn w:val="914"/>
    <w:next w:val="914"/>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basedOn w:val="920"/>
    <w:link w:val="760"/>
    <w:uiPriority w:val="9"/>
    <w:rPr>
      <w:rFonts w:ascii="Arial" w:hAnsi="Arial" w:eastAsia="Arial" w:cs="Arial"/>
      <w:i/>
      <w:iCs/>
      <w:sz w:val="21"/>
      <w:szCs w:val="21"/>
    </w:rPr>
  </w:style>
  <w:style w:type="paragraph" w:styleId="762">
    <w:name w:val="Title"/>
    <w:basedOn w:val="914"/>
    <w:next w:val="914"/>
    <w:link w:val="763"/>
    <w:uiPriority w:val="10"/>
    <w:qFormat/>
    <w:pPr>
      <w:contextualSpacing/>
      <w:spacing w:before="300" w:after="200"/>
    </w:pPr>
    <w:rPr>
      <w:sz w:val="48"/>
      <w:szCs w:val="48"/>
    </w:rPr>
  </w:style>
  <w:style w:type="character" w:styleId="763">
    <w:name w:val="Title Char"/>
    <w:basedOn w:val="920"/>
    <w:link w:val="762"/>
    <w:uiPriority w:val="10"/>
    <w:rPr>
      <w:sz w:val="48"/>
      <w:szCs w:val="48"/>
    </w:rPr>
  </w:style>
  <w:style w:type="character" w:styleId="764">
    <w:name w:val="Subtitle Char"/>
    <w:basedOn w:val="920"/>
    <w:link w:val="936"/>
    <w:uiPriority w:val="11"/>
    <w:rPr>
      <w:sz w:val="24"/>
      <w:szCs w:val="24"/>
    </w:rPr>
  </w:style>
  <w:style w:type="paragraph" w:styleId="765">
    <w:name w:val="Quote"/>
    <w:basedOn w:val="914"/>
    <w:next w:val="914"/>
    <w:link w:val="766"/>
    <w:uiPriority w:val="29"/>
    <w:qFormat/>
    <w:pPr>
      <w:ind w:left="720" w:right="720"/>
    </w:pPr>
    <w:rPr>
      <w:i/>
    </w:rPr>
  </w:style>
  <w:style w:type="character" w:styleId="766">
    <w:name w:val="Quote Char"/>
    <w:link w:val="765"/>
    <w:uiPriority w:val="29"/>
    <w:rPr>
      <w:i/>
    </w:rPr>
  </w:style>
  <w:style w:type="paragraph" w:styleId="767">
    <w:name w:val="Intense Quote"/>
    <w:basedOn w:val="914"/>
    <w:next w:val="914"/>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20"/>
    <w:link w:val="934"/>
    <w:uiPriority w:val="99"/>
  </w:style>
  <w:style w:type="character" w:styleId="770">
    <w:name w:val="Footer Char"/>
    <w:basedOn w:val="920"/>
    <w:link w:val="933"/>
    <w:uiPriority w:val="99"/>
  </w:style>
  <w:style w:type="paragraph" w:styleId="771">
    <w:name w:val="Caption"/>
    <w:basedOn w:val="914"/>
    <w:next w:val="914"/>
    <w:uiPriority w:val="35"/>
    <w:semiHidden/>
    <w:unhideWhenUsed/>
    <w:qFormat/>
    <w:pPr>
      <w:spacing w:line="276" w:lineRule="auto"/>
    </w:pPr>
    <w:rPr>
      <w:b/>
      <w:bCs/>
      <w:color w:val="4f81bd" w:themeColor="accent1"/>
      <w:sz w:val="18"/>
      <w:szCs w:val="18"/>
    </w:rPr>
  </w:style>
  <w:style w:type="character" w:styleId="772">
    <w:name w:val="Caption Char"/>
    <w:basedOn w:val="771"/>
    <w:link w:val="933"/>
    <w:uiPriority w:val="99"/>
  </w:style>
  <w:style w:type="table" w:styleId="773">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4"/>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20"/>
    <w:uiPriority w:val="99"/>
    <w:unhideWhenUsed/>
    <w:rPr>
      <w:vertAlign w:val="superscript"/>
    </w:rPr>
  </w:style>
  <w:style w:type="paragraph" w:styleId="901">
    <w:name w:val="endnote text"/>
    <w:basedOn w:val="914"/>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20"/>
    <w:uiPriority w:val="99"/>
    <w:semiHidden/>
    <w:unhideWhenUsed/>
    <w:rPr>
      <w:vertAlign w:val="superscript"/>
    </w:r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5">
    <w:name w:val="Heading 1"/>
    <w:basedOn w:val="914"/>
    <w:next w:val="914"/>
    <w:link w:val="958"/>
    <w:uiPriority w:val="0"/>
    <w:qFormat/>
    <w:pPr>
      <w:keepLines/>
      <w:keepNext/>
      <w:spacing w:before="340" w:after="330" w:line="578" w:lineRule="auto"/>
      <w:outlineLvl w:val="0"/>
    </w:pPr>
    <w:rPr>
      <w:b/>
      <w:sz w:val="44"/>
    </w:rPr>
  </w:style>
  <w:style w:type="paragraph" w:styleId="916">
    <w:name w:val="Heading 2"/>
    <w:basedOn w:val="914"/>
    <w:next w:val="914"/>
    <w:link w:val="959"/>
    <w:uiPriority w:val="0"/>
    <w:qFormat/>
    <w:pPr>
      <w:keepLines/>
      <w:keepNext/>
      <w:spacing w:before="260" w:after="260" w:line="416" w:lineRule="auto"/>
      <w:outlineLvl w:val="1"/>
    </w:pPr>
    <w:rPr>
      <w:rFonts w:ascii="Arial" w:hAnsi="Arial" w:eastAsia="黑体"/>
      <w:b/>
      <w:bCs/>
      <w:sz w:val="32"/>
      <w:szCs w:val="32"/>
    </w:rPr>
  </w:style>
  <w:style w:type="paragraph" w:styleId="917">
    <w:name w:val="Heading 3"/>
    <w:basedOn w:val="914"/>
    <w:next w:val="914"/>
    <w:link w:val="960"/>
    <w:uiPriority w:val="0"/>
    <w:qFormat/>
    <w:pPr>
      <w:keepLines/>
      <w:keepNext/>
      <w:spacing w:before="260" w:after="260" w:line="416" w:lineRule="auto"/>
      <w:outlineLvl w:val="2"/>
    </w:pPr>
    <w:rPr>
      <w:b/>
      <w:bCs/>
      <w:sz w:val="32"/>
      <w:szCs w:val="32"/>
    </w:rPr>
  </w:style>
  <w:style w:type="paragraph" w:styleId="918">
    <w:name w:val="Heading 4"/>
    <w:basedOn w:val="914"/>
    <w:next w:val="914"/>
    <w:link w:val="961"/>
    <w:uiPriority w:val="0"/>
    <w:qFormat/>
    <w:pPr>
      <w:keepLines/>
      <w:keepNext/>
      <w:spacing w:before="280" w:after="290" w:line="376" w:lineRule="auto"/>
      <w:outlineLvl w:val="3"/>
    </w:pPr>
    <w:rPr>
      <w:rFonts w:ascii="Arial" w:hAnsi="Arial" w:eastAsia="黑体"/>
      <w:b/>
      <w:bCs/>
      <w:sz w:val="28"/>
      <w:szCs w:val="28"/>
    </w:rPr>
  </w:style>
  <w:style w:type="paragraph" w:styleId="919">
    <w:name w:val="Heading 5"/>
    <w:basedOn w:val="914"/>
    <w:next w:val="914"/>
    <w:uiPriority w:val="1"/>
    <w:qFormat/>
    <w:pPr>
      <w:ind w:left="721"/>
      <w:outlineLvl w:val="4"/>
    </w:pPr>
    <w:rPr>
      <w:b/>
      <w:bCs/>
      <w:sz w:val="21"/>
      <w:szCs w:val="21"/>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List Number"/>
    <w:basedOn w:val="914"/>
    <w:uiPriority w:val="0"/>
    <w:qFormat/>
    <w:pPr>
      <w:ind w:left="1125" w:hanging="555"/>
      <w:tabs>
        <w:tab w:val="left" w:pos="1125" w:leader="none"/>
      </w:tabs>
    </w:pPr>
    <w:rPr>
      <w:rFonts w:eastAsia="宋体"/>
      <w:sz w:val="21"/>
      <w:szCs w:val="24"/>
    </w:rPr>
  </w:style>
  <w:style w:type="paragraph" w:styleId="923">
    <w:name w:val="Normal Indent"/>
    <w:basedOn w:val="914"/>
    <w:link w:val="962"/>
    <w:uiPriority w:val="99"/>
    <w:qFormat/>
    <w:pPr>
      <w:ind w:firstLine="420"/>
      <w:jc w:val="left"/>
    </w:pPr>
    <w:rPr>
      <w:sz w:val="24"/>
    </w:rPr>
  </w:style>
  <w:style w:type="paragraph" w:styleId="924">
    <w:name w:val="List Bullet"/>
    <w:basedOn w:val="915"/>
    <w:next w:val="914"/>
    <w:uiPriority w:val="99"/>
    <w:semiHidden/>
    <w:unhideWhenUsed/>
    <w:qFormat/>
    <w:pPr>
      <w:numPr>
        <w:ilvl w:val="0"/>
        <w:numId w:val="1"/>
      </w:numPr>
    </w:pPr>
  </w:style>
  <w:style w:type="paragraph" w:styleId="925">
    <w:name w:val="annotation text"/>
    <w:basedOn w:val="914"/>
    <w:link w:val="975"/>
    <w:uiPriority w:val="99"/>
    <w:semiHidden/>
    <w:qFormat/>
    <w:pPr>
      <w:jc w:val="left"/>
    </w:pPr>
  </w:style>
  <w:style w:type="paragraph" w:styleId="926">
    <w:name w:val="Body Text"/>
    <w:basedOn w:val="914"/>
    <w:next w:val="914"/>
    <w:link w:val="967"/>
    <w:uiPriority w:val="0"/>
    <w:qFormat/>
    <w:pPr>
      <w:spacing w:line="400" w:lineRule="exact"/>
    </w:pPr>
    <w:rPr>
      <w:rFonts w:ascii="楷体_GB2312"/>
      <w:sz w:val="28"/>
    </w:rPr>
  </w:style>
  <w:style w:type="paragraph" w:styleId="927">
    <w:name w:val="Body Text Indent"/>
    <w:basedOn w:val="914"/>
    <w:link w:val="978"/>
    <w:uiPriority w:val="0"/>
    <w:qFormat/>
    <w:pPr>
      <w:ind w:left="420"/>
      <w:spacing w:after="120"/>
    </w:pPr>
  </w:style>
  <w:style w:type="paragraph" w:styleId="928">
    <w:name w:val="Block Text"/>
    <w:basedOn w:val="914"/>
    <w:uiPriority w:val="0"/>
    <w:qFormat/>
    <w:pPr>
      <w:ind w:left="147" w:right="246" w:firstLine="480"/>
      <w:spacing w:line="360" w:lineRule="auto"/>
    </w:pPr>
    <w:rPr>
      <w:rFonts w:ascii="宋体" w:hAnsi="宋体" w:eastAsia="宋体"/>
      <w:sz w:val="24"/>
      <w:szCs w:val="24"/>
    </w:rPr>
  </w:style>
  <w:style w:type="paragraph" w:styleId="929">
    <w:name w:val="Plain Text"/>
    <w:basedOn w:val="914"/>
    <w:link w:val="965"/>
    <w:uiPriority w:val="99"/>
    <w:qFormat/>
    <w:rPr>
      <w:rFonts w:ascii="宋体" w:hAnsi="Courier New"/>
    </w:rPr>
  </w:style>
  <w:style w:type="paragraph" w:styleId="930">
    <w:name w:val="Date"/>
    <w:basedOn w:val="914"/>
    <w:next w:val="914"/>
    <w:link w:val="966"/>
    <w:uiPriority w:val="0"/>
    <w:qFormat/>
    <w:rPr>
      <w:rFonts w:ascii="宋体" w:hAnsi="宋体"/>
      <w:sz w:val="24"/>
    </w:rPr>
  </w:style>
  <w:style w:type="paragraph" w:styleId="931">
    <w:name w:val="Body Text Indent 2"/>
    <w:basedOn w:val="914"/>
    <w:link w:val="968"/>
    <w:uiPriority w:val="0"/>
    <w:qFormat/>
    <w:pPr>
      <w:ind w:firstLine="502"/>
      <w:spacing w:line="360" w:lineRule="auto"/>
      <w:tabs>
        <w:tab w:val="left" w:pos="0" w:leader="none"/>
      </w:tabs>
    </w:pPr>
    <w:rPr>
      <w:rFonts w:ascii="宋体" w:eastAsia="宋体"/>
      <w:b/>
      <w:bCs/>
      <w:sz w:val="24"/>
    </w:rPr>
  </w:style>
  <w:style w:type="paragraph" w:styleId="932">
    <w:name w:val="Balloon Text"/>
    <w:basedOn w:val="914"/>
    <w:link w:val="969"/>
    <w:uiPriority w:val="0"/>
    <w:semiHidden/>
    <w:qFormat/>
    <w:rPr>
      <w:sz w:val="18"/>
      <w:szCs w:val="18"/>
    </w:rPr>
  </w:style>
  <w:style w:type="paragraph" w:styleId="933">
    <w:name w:val="Footer"/>
    <w:basedOn w:val="914"/>
    <w:link w:val="957"/>
    <w:uiPriority w:val="99"/>
    <w:unhideWhenUsed/>
    <w:qFormat/>
    <w:pPr>
      <w:jc w:val="left"/>
      <w:tabs>
        <w:tab w:val="center" w:pos="4153" w:leader="none"/>
        <w:tab w:val="right" w:pos="8306" w:leader="none"/>
      </w:tabs>
    </w:pPr>
    <w:rPr>
      <w:sz w:val="18"/>
      <w:szCs w:val="18"/>
    </w:rPr>
  </w:style>
  <w:style w:type="paragraph" w:styleId="934">
    <w:name w:val="Header"/>
    <w:basedOn w:val="914"/>
    <w:link w:val="95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4"/>
    <w:next w:val="914"/>
    <w:uiPriority w:val="39"/>
    <w:qFormat/>
    <w:pPr>
      <w:jc w:val="left"/>
    </w:pPr>
    <w:rPr>
      <w:sz w:val="24"/>
    </w:rPr>
  </w:style>
  <w:style w:type="paragraph" w:styleId="936">
    <w:name w:val="Subtitle"/>
    <w:basedOn w:val="914"/>
    <w:next w:val="914"/>
    <w:link w:val="994"/>
    <w:uiPriority w:val="0"/>
    <w:qFormat/>
    <w:pPr>
      <w:jc w:val="center"/>
      <w:spacing w:before="240" w:after="60" w:line="312" w:lineRule="auto"/>
      <w:outlineLvl w:val="1"/>
    </w:pPr>
    <w:rPr>
      <w:rFonts w:ascii="Cambria" w:hAnsi="Cambria" w:eastAsia="宋体"/>
      <w:b/>
      <w:bCs/>
      <w:sz w:val="32"/>
      <w:szCs w:val="32"/>
    </w:rPr>
  </w:style>
  <w:style w:type="paragraph" w:styleId="937">
    <w:name w:val="Body Text Indent 3"/>
    <w:basedOn w:val="914"/>
    <w:link w:val="970"/>
    <w:uiPriority w:val="0"/>
    <w:qFormat/>
    <w:pPr>
      <w:ind w:left="420"/>
      <w:spacing w:after="120"/>
    </w:pPr>
    <w:rPr>
      <w:sz w:val="16"/>
      <w:szCs w:val="16"/>
    </w:rPr>
  </w:style>
  <w:style w:type="paragraph" w:styleId="938">
    <w:name w:val="Body Text 2"/>
    <w:basedOn w:val="915"/>
    <w:next w:val="924"/>
    <w:uiPriority w:val="0"/>
    <w:qFormat/>
    <w:pPr>
      <w:spacing w:after="120" w:line="480" w:lineRule="auto"/>
    </w:pPr>
  </w:style>
  <w:style w:type="paragraph" w:styleId="939">
    <w:name w:val="Normal (Web)"/>
    <w:basedOn w:val="914"/>
    <w:uiPriority w:val="99"/>
    <w:qFormat/>
    <w:pPr>
      <w:jc w:val="left"/>
      <w:spacing w:before="100" w:beforeAutospacing="1" w:after="100" w:afterAutospacing="1"/>
      <w:widowControl/>
    </w:pPr>
    <w:rPr>
      <w:rFonts w:ascii="宋体" w:hAnsi="宋体" w:eastAsia="宋体" w:cs="宋体"/>
      <w:sz w:val="24"/>
      <w:szCs w:val="24"/>
    </w:rPr>
  </w:style>
  <w:style w:type="paragraph" w:styleId="940">
    <w:name w:val="index 1"/>
    <w:basedOn w:val="914"/>
    <w:next w:val="914"/>
    <w:uiPriority w:val="0"/>
    <w:semiHidden/>
    <w:qFormat/>
  </w:style>
  <w:style w:type="paragraph" w:styleId="941">
    <w:name w:val="annotation subject"/>
    <w:basedOn w:val="925"/>
    <w:next w:val="925"/>
    <w:link w:val="976"/>
    <w:uiPriority w:val="0"/>
    <w:semiHidden/>
    <w:qFormat/>
    <w:rPr>
      <w:b/>
      <w:bCs/>
    </w:rPr>
  </w:style>
  <w:style w:type="paragraph" w:styleId="942">
    <w:name w:val="Body Text First Indent 2"/>
    <w:basedOn w:val="927"/>
    <w:link w:val="990"/>
    <w:uiPriority w:val="0"/>
    <w:qFormat/>
    <w:pPr>
      <w:ind w:firstLine="420"/>
    </w:pPr>
    <w:rPr>
      <w:rFonts w:eastAsia="宋体"/>
      <w:sz w:val="21"/>
      <w:szCs w:val="24"/>
    </w:rPr>
  </w:style>
  <w:style w:type="table" w:styleId="943">
    <w:name w:val="Table Grid"/>
    <w:basedOn w:val="9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basedOn w:val="920"/>
    <w:uiPriority w:val="22"/>
    <w:qFormat/>
    <w:rPr>
      <w:b/>
    </w:rPr>
  </w:style>
  <w:style w:type="character" w:styleId="945">
    <w:name w:val="page number"/>
    <w:basedOn w:val="920"/>
    <w:uiPriority w:val="0"/>
    <w:qFormat/>
  </w:style>
  <w:style w:type="character" w:styleId="946">
    <w:name w:val="FollowedHyperlink"/>
    <w:basedOn w:val="920"/>
    <w:uiPriority w:val="99"/>
    <w:semiHidden/>
    <w:unhideWhenUsed/>
    <w:qFormat/>
    <w:rPr>
      <w:color w:val="333333"/>
      <w:u w:val="none"/>
    </w:rPr>
  </w:style>
  <w:style w:type="character" w:styleId="947">
    <w:name w:val="Emphasis"/>
    <w:basedOn w:val="920"/>
    <w:uiPriority w:val="20"/>
    <w:qFormat/>
  </w:style>
  <w:style w:type="character" w:styleId="948">
    <w:name w:val="Hyperlink"/>
    <w:basedOn w:val="920"/>
    <w:uiPriority w:val="0"/>
    <w:qFormat/>
    <w:rPr>
      <w:color w:val="333333"/>
      <w:u w:val="none"/>
    </w:rPr>
  </w:style>
  <w:style w:type="character" w:styleId="949">
    <w:name w:val="annotation reference"/>
    <w:uiPriority w:val="99"/>
    <w:semiHidden/>
    <w:qFormat/>
    <w:rPr>
      <w:sz w:val="21"/>
      <w:szCs w:val="21"/>
    </w:rPr>
  </w:style>
  <w:style w:type="paragraph" w:styleId="950" w:customStyle="1">
    <w:name w:val="正文文本缩进11"/>
    <w:basedOn w:val="914"/>
    <w:next w:val="951"/>
    <w:uiPriority w:val="0"/>
    <w:qFormat/>
    <w:pPr>
      <w:ind w:firstLine="420"/>
      <w:spacing w:line="360" w:lineRule="exact"/>
    </w:pPr>
    <w:rPr>
      <w:sz w:val="24"/>
    </w:rPr>
  </w:style>
  <w:style w:type="paragraph" w:styleId="951" w:customStyle="1">
    <w:name w:val="目录 51"/>
    <w:next w:val="914"/>
    <w:uiPriority w:val="0"/>
    <w:qFormat/>
    <w:pPr>
      <w:ind w:left="1275"/>
      <w:jc w:val="both"/>
    </w:pPr>
    <w:rPr>
      <w:rFonts w:ascii="Times New Roman" w:hAnsi="Times New Roman" w:eastAsia="宋体" w:cs="Times New Roman"/>
      <w:sz w:val="21"/>
      <w:lang w:val="en-US" w:eastAsia="zh-CN" w:bidi="ar-SA"/>
    </w:rPr>
  </w:style>
  <w:style w:type="paragraph" w:styleId="952" w:customStyle="1">
    <w:name w:val="段"/>
    <w:next w:val="914"/>
    <w:uiPriority w:val="0"/>
    <w:qFormat/>
    <w:pPr>
      <w:ind w:firstLine="200"/>
      <w:jc w:val="both"/>
    </w:pPr>
    <w:rPr>
      <w:rFonts w:ascii="宋体" w:hAnsi="Times New Roman" w:eastAsia="宋体" w:cs="Times New Roman"/>
      <w:sz w:val="21"/>
      <w:lang w:val="en-US" w:eastAsia="zh-CN" w:bidi="ar-SA"/>
    </w:rPr>
  </w:style>
  <w:style w:type="paragraph" w:styleId="953" w:customStyle="1">
    <w:name w:val="正文文本1"/>
    <w:basedOn w:val="914"/>
    <w:uiPriority w:val="0"/>
    <w:qFormat/>
    <w:pPr>
      <w:jc w:val="center"/>
    </w:pPr>
    <w:rPr>
      <w:rFonts w:ascii="方正大黑简体" w:hAnsi="Tahoma" w:eastAsia="方正大黑简体"/>
      <w:position w:val="6"/>
      <w:sz w:val="30"/>
      <w:lang w:eastAsia="en-US"/>
    </w:rPr>
  </w:style>
  <w:style w:type="paragraph" w:styleId="954" w:customStyle="1">
    <w:name w:val="首行缩进"/>
    <w:basedOn w:val="914"/>
    <w:uiPriority w:val="0"/>
    <w:qFormat/>
    <w:pPr>
      <w:ind w:firstLine="480"/>
    </w:pPr>
    <w:rPr>
      <w:lang w:val="zh-CN"/>
    </w:rPr>
  </w:style>
  <w:style w:type="paragraph" w:styleId="955" w:customStyle="1">
    <w:name w:val="Default"/>
    <w:next w:val="914"/>
    <w:uiPriority w:val="0"/>
    <w:qFormat/>
    <w:pPr>
      <w:widowControl w:val="off"/>
    </w:pPr>
    <w:rPr>
      <w:rFonts w:ascii="宋体糭.飬.." w:hAnsi="Times New Roman" w:eastAsia="宋体糭.飬.." w:cs="宋体糭.飬.."/>
      <w:color w:val="000000"/>
      <w:sz w:val="24"/>
      <w:szCs w:val="24"/>
      <w:lang w:val="en-US" w:eastAsia="zh-CN" w:bidi="ar-SA"/>
    </w:rPr>
  </w:style>
  <w:style w:type="character" w:styleId="956" w:customStyle="1">
    <w:name w:val="页眉 字符"/>
    <w:basedOn w:val="920"/>
    <w:link w:val="934"/>
    <w:uiPriority w:val="0"/>
    <w:qFormat/>
    <w:rPr>
      <w:sz w:val="18"/>
      <w:szCs w:val="18"/>
    </w:rPr>
  </w:style>
  <w:style w:type="character" w:styleId="957" w:customStyle="1">
    <w:name w:val="页脚 字符"/>
    <w:basedOn w:val="920"/>
    <w:link w:val="933"/>
    <w:uiPriority w:val="99"/>
    <w:qFormat/>
    <w:rPr>
      <w:sz w:val="18"/>
      <w:szCs w:val="18"/>
    </w:rPr>
  </w:style>
  <w:style w:type="character" w:styleId="958" w:customStyle="1">
    <w:name w:val="标题 1 字符"/>
    <w:basedOn w:val="920"/>
    <w:link w:val="915"/>
    <w:uiPriority w:val="0"/>
    <w:qFormat/>
    <w:rPr>
      <w:rFonts w:ascii="Times New Roman" w:hAnsi="Times New Roman" w:eastAsia="楷体_GB2312" w:cs="Times New Roman"/>
      <w:b/>
      <w:sz w:val="44"/>
      <w:szCs w:val="20"/>
    </w:rPr>
  </w:style>
  <w:style w:type="character" w:styleId="959" w:customStyle="1">
    <w:name w:val="标题 2 字符"/>
    <w:basedOn w:val="920"/>
    <w:link w:val="916"/>
    <w:uiPriority w:val="0"/>
    <w:qFormat/>
    <w:rPr>
      <w:rFonts w:ascii="Arial" w:hAnsi="Arial" w:eastAsia="黑体" w:cs="Times New Roman"/>
      <w:b/>
      <w:bCs/>
      <w:sz w:val="32"/>
      <w:szCs w:val="32"/>
    </w:rPr>
  </w:style>
  <w:style w:type="character" w:styleId="960" w:customStyle="1">
    <w:name w:val="标题 3 字符"/>
    <w:basedOn w:val="920"/>
    <w:link w:val="917"/>
    <w:uiPriority w:val="0"/>
    <w:qFormat/>
    <w:rPr>
      <w:rFonts w:ascii="Times New Roman" w:hAnsi="Times New Roman" w:eastAsia="楷体_GB2312" w:cs="Times New Roman"/>
      <w:b/>
      <w:bCs/>
      <w:sz w:val="32"/>
      <w:szCs w:val="32"/>
    </w:rPr>
  </w:style>
  <w:style w:type="character" w:styleId="961" w:customStyle="1">
    <w:name w:val="标题 4 字符"/>
    <w:basedOn w:val="920"/>
    <w:link w:val="918"/>
    <w:uiPriority w:val="0"/>
    <w:qFormat/>
    <w:rPr>
      <w:rFonts w:ascii="Arial" w:hAnsi="Arial" w:eastAsia="黑体" w:cs="Times New Roman"/>
      <w:b/>
      <w:bCs/>
      <w:sz w:val="28"/>
      <w:szCs w:val="28"/>
    </w:rPr>
  </w:style>
  <w:style w:type="character" w:styleId="962" w:customStyle="1">
    <w:name w:val="正文缩进 字符"/>
    <w:link w:val="923"/>
    <w:uiPriority w:val="0"/>
    <w:qFormat/>
    <w:rPr>
      <w:rFonts w:ascii="Times New Roman" w:hAnsi="Times New Roman" w:eastAsia="楷体_GB2312" w:cs="Times New Roman"/>
      <w:sz w:val="24"/>
      <w:szCs w:val="20"/>
    </w:rPr>
  </w:style>
  <w:style w:type="paragraph" w:styleId="963" w:customStyle="1">
    <w:name w:val="纯文本1"/>
    <w:basedOn w:val="914"/>
    <w:link w:val="964"/>
    <w:uiPriority w:val="0"/>
    <w:qFormat/>
    <w:rPr>
      <w:rFonts w:ascii="宋体" w:hAnsi="Courier New"/>
    </w:rPr>
  </w:style>
  <w:style w:type="character" w:styleId="964" w:customStyle="1">
    <w:name w:val="Plain Text Char Char"/>
    <w:link w:val="963"/>
    <w:uiPriority w:val="0"/>
    <w:qFormat/>
    <w:rPr>
      <w:rFonts w:ascii="宋体" w:hAnsi="Courier New" w:eastAsia="楷体_GB2312" w:cs="Times New Roman"/>
      <w:sz w:val="26"/>
      <w:szCs w:val="20"/>
    </w:rPr>
  </w:style>
  <w:style w:type="character" w:styleId="965" w:customStyle="1">
    <w:name w:val="纯文本 字符"/>
    <w:basedOn w:val="920"/>
    <w:link w:val="929"/>
    <w:uiPriority w:val="99"/>
    <w:qFormat/>
    <w:rPr>
      <w:rFonts w:ascii="宋体" w:hAnsi="Courier New" w:eastAsia="楷体_GB2312" w:cs="Times New Roman"/>
      <w:sz w:val="26"/>
      <w:szCs w:val="20"/>
    </w:rPr>
  </w:style>
  <w:style w:type="character" w:styleId="966" w:customStyle="1">
    <w:name w:val="日期 字符"/>
    <w:basedOn w:val="920"/>
    <w:link w:val="930"/>
    <w:uiPriority w:val="0"/>
    <w:qFormat/>
    <w:rPr>
      <w:rFonts w:ascii="宋体" w:hAnsi="宋体" w:eastAsia="楷体_GB2312" w:cs="Times New Roman"/>
      <w:sz w:val="24"/>
      <w:szCs w:val="20"/>
    </w:rPr>
  </w:style>
  <w:style w:type="character" w:styleId="967" w:customStyle="1">
    <w:name w:val="正文文本 字符"/>
    <w:basedOn w:val="920"/>
    <w:link w:val="926"/>
    <w:uiPriority w:val="0"/>
    <w:qFormat/>
    <w:rPr>
      <w:rFonts w:ascii="楷体_GB2312" w:hAnsi="Times New Roman" w:eastAsia="楷体_GB2312" w:cs="Times New Roman"/>
      <w:sz w:val="28"/>
      <w:szCs w:val="20"/>
    </w:rPr>
  </w:style>
  <w:style w:type="character" w:styleId="968" w:customStyle="1">
    <w:name w:val="正文文本缩进 2 字符"/>
    <w:basedOn w:val="920"/>
    <w:link w:val="931"/>
    <w:uiPriority w:val="0"/>
    <w:qFormat/>
    <w:rPr>
      <w:rFonts w:ascii="宋体" w:hAnsi="Times New Roman" w:eastAsia="宋体" w:cs="Times New Roman"/>
      <w:b/>
      <w:bCs/>
      <w:sz w:val="24"/>
      <w:szCs w:val="20"/>
    </w:rPr>
  </w:style>
  <w:style w:type="character" w:styleId="969" w:customStyle="1">
    <w:name w:val="批注框文本 字符"/>
    <w:basedOn w:val="920"/>
    <w:link w:val="932"/>
    <w:uiPriority w:val="0"/>
    <w:semiHidden/>
    <w:qFormat/>
    <w:rPr>
      <w:rFonts w:ascii="Times New Roman" w:hAnsi="Times New Roman" w:eastAsia="楷体_GB2312" w:cs="Times New Roman"/>
      <w:sz w:val="18"/>
      <w:szCs w:val="18"/>
    </w:rPr>
  </w:style>
  <w:style w:type="character" w:styleId="970" w:customStyle="1">
    <w:name w:val="正文文本缩进 3 字符"/>
    <w:basedOn w:val="920"/>
    <w:link w:val="937"/>
    <w:uiPriority w:val="0"/>
    <w:qFormat/>
    <w:rPr>
      <w:rFonts w:ascii="Times New Roman" w:hAnsi="Times New Roman" w:eastAsia="楷体_GB2312" w:cs="Times New Roman"/>
      <w:sz w:val="16"/>
      <w:szCs w:val="16"/>
    </w:rPr>
  </w:style>
  <w:style w:type="character" w:styleId="971" w:customStyle="1">
    <w:name w:val="正文首行缩进 Char Char"/>
    <w:link w:val="972"/>
    <w:uiPriority w:val="0"/>
    <w:qFormat/>
    <w:rPr>
      <w:szCs w:val="24"/>
    </w:rPr>
  </w:style>
  <w:style w:type="paragraph" w:styleId="972" w:customStyle="1">
    <w:name w:val="正文首行缩进1"/>
    <w:basedOn w:val="926"/>
    <w:link w:val="971"/>
    <w:uiPriority w:val="0"/>
    <w:qFormat/>
    <w:pPr>
      <w:ind w:firstLine="420"/>
      <w:spacing w:after="120" w:line="240" w:lineRule="auto"/>
    </w:pPr>
    <w:rPr>
      <w:rFonts w:asciiTheme="minorHAnsi" w:hAnsiTheme="minorHAnsi" w:eastAsiaTheme="minorEastAsia" w:cstheme="minorBidi"/>
      <w:sz w:val="21"/>
      <w:szCs w:val="24"/>
    </w:rPr>
  </w:style>
  <w:style w:type="paragraph" w:styleId="973" w:customStyle="1">
    <w:name w:val="_Style 24"/>
    <w:basedOn w:val="914"/>
    <w:uiPriority w:val="0"/>
    <w:qFormat/>
    <w:rPr>
      <w:rFonts w:eastAsia="宋体"/>
      <w:sz w:val="21"/>
      <w:szCs w:val="24"/>
    </w:rPr>
  </w:style>
  <w:style w:type="character" w:styleId="974" w:customStyle="1">
    <w:name w:val="Char Char1"/>
    <w:uiPriority w:val="0"/>
    <w:qFormat/>
    <w:rPr>
      <w:rFonts w:ascii="宋体" w:hAnsi="Courier New" w:eastAsia="楷体_GB2312"/>
      <w:sz w:val="26"/>
      <w:lang w:val="en-US" w:eastAsia="zh-CN" w:bidi="ar-SA"/>
    </w:rPr>
  </w:style>
  <w:style w:type="character" w:styleId="975" w:customStyle="1">
    <w:name w:val="批注文字 字符"/>
    <w:basedOn w:val="920"/>
    <w:link w:val="925"/>
    <w:uiPriority w:val="99"/>
    <w:semiHidden/>
    <w:qFormat/>
    <w:rPr>
      <w:rFonts w:ascii="Times New Roman" w:hAnsi="Times New Roman" w:eastAsia="楷体_GB2312" w:cs="Times New Roman"/>
      <w:sz w:val="26"/>
      <w:szCs w:val="20"/>
    </w:rPr>
  </w:style>
  <w:style w:type="character" w:styleId="976" w:customStyle="1">
    <w:name w:val="批注主题 字符"/>
    <w:basedOn w:val="975"/>
    <w:link w:val="941"/>
    <w:uiPriority w:val="0"/>
    <w:semiHidden/>
    <w:qFormat/>
    <w:rPr>
      <w:rFonts w:ascii="Times New Roman" w:hAnsi="Times New Roman" w:eastAsia="楷体_GB2312" w:cs="Times New Roman"/>
      <w:b/>
      <w:bCs/>
      <w:sz w:val="26"/>
      <w:szCs w:val="20"/>
    </w:rPr>
  </w:style>
  <w:style w:type="paragraph" w:styleId="977" w:customStyle="1">
    <w:name w:val="纯文本111"/>
    <w:basedOn w:val="914"/>
    <w:uiPriority w:val="0"/>
    <w:qFormat/>
    <w:rPr>
      <w:rFonts w:ascii="宋体" w:hAnsi="Courier New"/>
      <w:sz w:val="28"/>
    </w:rPr>
  </w:style>
  <w:style w:type="character" w:styleId="978" w:customStyle="1">
    <w:name w:val="正文文本缩进 字符"/>
    <w:basedOn w:val="920"/>
    <w:link w:val="927"/>
    <w:uiPriority w:val="0"/>
    <w:qFormat/>
    <w:rPr>
      <w:rFonts w:ascii="Times New Roman" w:hAnsi="Times New Roman" w:eastAsia="楷体_GB2312" w:cs="Times New Roman"/>
      <w:sz w:val="26"/>
      <w:szCs w:val="20"/>
    </w:rPr>
  </w:style>
  <w:style w:type="character" w:styleId="979" w:customStyle="1">
    <w:name w:val="ca-221"/>
    <w:uiPriority w:val="0"/>
    <w:qFormat/>
    <w:rPr>
      <w:rFonts w:hint="eastAsia" w:ascii="宋体" w:hAnsi="宋体" w:eastAsia="宋体"/>
      <w:color w:val="ff0000"/>
      <w:sz w:val="24"/>
      <w:szCs w:val="24"/>
    </w:rPr>
  </w:style>
  <w:style w:type="paragraph" w:styleId="980" w:customStyle="1">
    <w:name w:val="p0"/>
    <w:basedOn w:val="914"/>
    <w:uiPriority w:val="0"/>
    <w:qFormat/>
    <w:pPr>
      <w:jc w:val="left"/>
      <w:spacing w:before="100" w:beforeAutospacing="1" w:after="100" w:afterAutospacing="1"/>
      <w:widowControl/>
    </w:pPr>
    <w:rPr>
      <w:rFonts w:ascii="宋体" w:hAnsi="宋体" w:eastAsia="宋体" w:cs="宋体"/>
      <w:sz w:val="24"/>
      <w:szCs w:val="24"/>
    </w:rPr>
  </w:style>
  <w:style w:type="paragraph" w:styleId="981"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82" w:customStyle="1">
    <w:name w:val="文字"/>
    <w:basedOn w:val="914"/>
    <w:uiPriority w:val="0"/>
    <w:qFormat/>
    <w:pPr>
      <w:ind w:firstLine="420"/>
      <w:spacing w:line="360" w:lineRule="auto"/>
      <w:widowControl/>
    </w:pPr>
    <w:rPr>
      <w:rFonts w:eastAsia="宋体"/>
      <w:sz w:val="24"/>
      <w:szCs w:val="24"/>
    </w:rPr>
  </w:style>
  <w:style w:type="character" w:styleId="983" w:customStyle="1">
    <w:name w:val="正文缩进 Char"/>
    <w:uiPriority w:val="0"/>
    <w:qFormat/>
    <w:rPr>
      <w:rFonts w:eastAsia="楷体_GB2312"/>
      <w:sz w:val="24"/>
      <w:lang w:val="en-US" w:eastAsia="zh-CN" w:bidi="ar-SA"/>
    </w:rPr>
  </w:style>
  <w:style w:type="paragraph" w:styleId="984">
    <w:name w:val="List Paragraph"/>
    <w:basedOn w:val="914"/>
    <w:uiPriority w:val="34"/>
    <w:qFormat/>
    <w:pPr>
      <w:ind w:firstLine="420"/>
    </w:pPr>
    <w:rPr>
      <w:rFonts w:eastAsia="宋体"/>
      <w:sz w:val="21"/>
      <w:szCs w:val="24"/>
    </w:rPr>
  </w:style>
  <w:style w:type="paragraph" w:styleId="985" w:customStyle="1">
    <w:name w:val="xl91"/>
    <w:basedOn w:val="915"/>
    <w:next w:val="986"/>
    <w:uiPriority w:val="0"/>
    <w:qFormat/>
    <w:pPr>
      <w:ind w:firstLine="3584"/>
      <w:spacing w:before="280" w:after="280" w:line="240" w:lineRule="auto"/>
    </w:pPr>
  </w:style>
  <w:style w:type="paragraph" w:styleId="986" w:customStyle="1">
    <w:name w:val="xl76"/>
    <w:basedOn w:val="915"/>
    <w:next w:val="938"/>
    <w:uiPriority w:val="0"/>
    <w:qFormat/>
    <w:pPr>
      <w:ind w:firstLine="3584"/>
      <w:jc w:val="center"/>
      <w:spacing w:before="280" w:after="280" w:line="240" w:lineRule="auto"/>
    </w:pPr>
  </w:style>
  <w:style w:type="paragraph" w:styleId="987" w:customStyle="1">
    <w:name w:val="正文_0_0"/>
    <w:uiPriority w:val="0"/>
    <w:qFormat/>
    <w:pPr>
      <w:jc w:val="both"/>
      <w:widowControl w:val="off"/>
    </w:pPr>
    <w:rPr>
      <w:rFonts w:ascii="Calibri" w:hAnsi="Calibri" w:eastAsia="宋体" w:cs="Times New Roman"/>
      <w:lang w:val="en-US" w:eastAsia="zh-CN" w:bidi="ar-SA"/>
    </w:rPr>
  </w:style>
  <w:style w:type="paragraph" w:styleId="988" w:customStyle="1">
    <w:name w:val="正文1"/>
    <w:next w:val="914"/>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89" w:customStyle="1">
    <w:name w:val="修订1"/>
    <w:hidden/>
    <w:uiPriority w:val="99"/>
    <w:semiHidden/>
    <w:qFormat/>
    <w:rPr>
      <w:rFonts w:ascii="Times New Roman" w:hAnsi="Times New Roman" w:eastAsia="楷体_GB2312" w:cs="Times New Roman"/>
      <w:sz w:val="26"/>
      <w:lang w:val="en-US" w:eastAsia="zh-CN" w:bidi="ar-SA"/>
    </w:rPr>
  </w:style>
  <w:style w:type="character" w:styleId="990" w:customStyle="1">
    <w:name w:val="正文文本首行缩进 2 字符"/>
    <w:basedOn w:val="978"/>
    <w:link w:val="942"/>
    <w:uiPriority w:val="0"/>
    <w:qFormat/>
    <w:rPr>
      <w:rFonts w:ascii="Times New Roman" w:hAnsi="Times New Roman" w:eastAsia="宋体" w:cs="Times New Roman"/>
      <w:sz w:val="26"/>
      <w:szCs w:val="24"/>
    </w:rPr>
  </w:style>
  <w:style w:type="paragraph" w:styleId="991" w:customStyle="1">
    <w:name w:val="b4一级标题"/>
    <w:basedOn w:val="914"/>
    <w:uiPriority w:val="0"/>
    <w:qFormat/>
    <w:pPr>
      <w:jc w:val="center"/>
      <w:spacing w:line="360" w:lineRule="auto"/>
      <w:outlineLvl w:val="0"/>
    </w:pPr>
    <w:rPr>
      <w:rFonts w:ascii="宋体" w:hAnsi="宋体" w:eastAsia="宋体"/>
      <w:b/>
      <w:sz w:val="36"/>
      <w:szCs w:val="36"/>
    </w:rPr>
  </w:style>
  <w:style w:type="paragraph" w:styleId="992" w:customStyle="1">
    <w:name w:val="标题3"/>
    <w:basedOn w:val="917"/>
    <w:uiPriority w:val="0"/>
    <w:qFormat/>
    <w:pPr>
      <w:contextualSpacing/>
      <w:jc w:val="center"/>
      <w:spacing w:line="240" w:lineRule="auto"/>
    </w:pPr>
    <w:rPr>
      <w:rFonts w:eastAsia="黑体" w:cs="宋体"/>
      <w:sz w:val="28"/>
      <w:szCs w:val="20"/>
    </w:rPr>
  </w:style>
  <w:style w:type="paragraph" w:styleId="993"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94" w:customStyle="1">
    <w:name w:val="副标题 字符"/>
    <w:basedOn w:val="920"/>
    <w:link w:val="936"/>
    <w:uiPriority w:val="0"/>
    <w:qFormat/>
    <w:rPr>
      <w:rFonts w:ascii="Cambria" w:hAnsi="Cambria" w:eastAsia="宋体" w:cs="Times New Roman"/>
      <w:b/>
      <w:bCs/>
      <w:sz w:val="32"/>
      <w:szCs w:val="32"/>
    </w:rPr>
  </w:style>
  <w:style w:type="paragraph" w:styleId="995">
    <w:name w:val="No Spacing"/>
    <w:link w:val="996"/>
    <w:uiPriority w:val="1"/>
    <w:qFormat/>
    <w:rPr>
      <w:rFonts w:asciiTheme="minorHAnsi" w:hAnsiTheme="minorHAnsi" w:eastAsiaTheme="minorEastAsia" w:cstheme="minorBidi"/>
      <w:sz w:val="22"/>
      <w:szCs w:val="22"/>
      <w:lang w:val="en-US" w:eastAsia="zh-CN" w:bidi="ar-SA"/>
    </w:rPr>
  </w:style>
  <w:style w:type="character" w:styleId="996" w:customStyle="1">
    <w:name w:val="无间隔 字符"/>
    <w:basedOn w:val="920"/>
    <w:link w:val="995"/>
    <w:uiPriority w:val="1"/>
    <w:qFormat/>
    <w:rPr>
      <w:sz w:val="22"/>
    </w:rPr>
  </w:style>
  <w:style w:type="character" w:styleId="997" w:customStyle="1">
    <w:name w:val="ask-title"/>
    <w:basedOn w:val="920"/>
    <w:uiPriority w:val="0"/>
    <w:qFormat/>
  </w:style>
  <w:style w:type="paragraph" w:styleId="998" w:customStyle="1">
    <w:name w:val="hidinshow"/>
    <w:basedOn w:val="914"/>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纯文本2"/>
    <w:basedOn w:val="914"/>
    <w:uiPriority w:val="0"/>
    <w:qFormat/>
    <w:rPr>
      <w:rFonts w:ascii="宋体" w:hAnsi="Courier New"/>
    </w:rPr>
  </w:style>
  <w:style w:type="paragraph" w:styleId="1000" w:customStyle="1">
    <w:name w:val="Plain Text1"/>
    <w:basedOn w:val="914"/>
    <w:uiPriority w:val="0"/>
    <w:qFormat/>
    <w:rPr>
      <w:rFonts w:hint="eastAsia" w:ascii="宋体" w:hAnsi="Courier New"/>
      <w:sz w:val="28"/>
    </w:rPr>
  </w:style>
  <w:style w:type="table" w:styleId="1001" w:customStyle="1">
    <w:name w:val="网格型1"/>
    <w:basedOn w:val="92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2" w:customStyle="1">
    <w:name w:val="*正文"/>
    <w:basedOn w:val="914"/>
    <w:uiPriority w:val="0"/>
    <w:qFormat/>
    <w:pPr>
      <w:ind w:firstLine="200"/>
      <w:spacing w:line="360" w:lineRule="auto"/>
      <w:widowControl/>
    </w:pPr>
    <w:rPr>
      <w:rFonts w:ascii="仿宋_GB2312" w:hAnsi="Calibri" w:eastAsia="仿宋_GB2312"/>
      <w:sz w:val="24"/>
      <w:szCs w:val="28"/>
    </w:rPr>
  </w:style>
  <w:style w:type="paragraph" w:styleId="1003" w:customStyle="1">
    <w:name w:val="p25"/>
    <w:basedOn w:val="914"/>
    <w:uiPriority w:val="0"/>
    <w:qFormat/>
    <w:rPr>
      <w:rFonts w:ascii="黑体" w:hAnsi="黑体" w:eastAsia="宋体" w:cs="黑体"/>
      <w:sz w:val="21"/>
      <w:szCs w:val="26"/>
    </w:rPr>
  </w:style>
  <w:style w:type="paragraph" w:styleId="1004" w:customStyle="1">
    <w:name w:val="纯文本11"/>
    <w:basedOn w:val="914"/>
    <w:uiPriority w:val="0"/>
    <w:qFormat/>
    <w:rPr>
      <w:rFonts w:ascii="宋体" w:hAnsi="Courier New"/>
      <w:sz w:val="28"/>
    </w:rPr>
  </w:style>
  <w:style w:type="paragraph" w:styleId="1005" w:customStyle="1">
    <w:name w:val="修订11"/>
    <w:hidden/>
    <w:uiPriority w:val="99"/>
    <w:semiHidden/>
    <w:qFormat/>
    <w:rPr>
      <w:rFonts w:ascii="Times New Roman" w:hAnsi="Times New Roman" w:eastAsia="楷体_GB2312" w:cs="Times New Roman"/>
      <w:sz w:val="26"/>
      <w:lang w:val="en-US" w:eastAsia="zh-CN" w:bidi="ar-SA"/>
    </w:rPr>
  </w:style>
  <w:style w:type="paragraph" w:styleId="10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格式３"/>
    <w:basedOn w:val="914"/>
    <w:uiPriority w:val="0"/>
    <w:qFormat/>
    <w:pPr>
      <w:ind w:left="600" w:hanging="600"/>
      <w:spacing w:line="420" w:lineRule="exact"/>
    </w:pPr>
    <w:rPr>
      <w:rFonts w:ascii="宋体" w:hAnsi="宋体" w:eastAsia="宋体"/>
      <w:color w:val="000000"/>
      <w:sz w:val="24"/>
    </w:rPr>
  </w:style>
  <w:style w:type="character" w:styleId="1008" w:customStyle="1">
    <w:name w:val="font71"/>
    <w:basedOn w:val="920"/>
    <w:uiPriority w:val="0"/>
    <w:qFormat/>
    <w:rPr>
      <w:rFonts w:hint="eastAsia" w:ascii="宋体" w:hAnsi="宋体" w:eastAsia="宋体" w:cs="宋体"/>
      <w:color w:val="000000"/>
      <w:sz w:val="21"/>
      <w:szCs w:val="21"/>
      <w:u w:val="none"/>
    </w:rPr>
  </w:style>
  <w:style w:type="character" w:styleId="1009" w:customStyle="1">
    <w:name w:val="font61"/>
    <w:basedOn w:val="920"/>
    <w:uiPriority w:val="0"/>
    <w:qFormat/>
    <w:rPr>
      <w:rFonts w:hint="eastAsia" w:ascii="宋体" w:hAnsi="宋体" w:eastAsia="宋体" w:cs="宋体"/>
      <w:color w:val="ff0000"/>
      <w:sz w:val="21"/>
      <w:szCs w:val="21"/>
      <w:u w:val="none"/>
    </w:rPr>
  </w:style>
  <w:style w:type="character" w:styleId="1010" w:customStyle="1">
    <w:name w:val="font41"/>
    <w:basedOn w:val="920"/>
    <w:uiPriority w:val="0"/>
    <w:qFormat/>
    <w:rPr>
      <w:rFonts w:hint="eastAsia" w:ascii="宋体" w:hAnsi="宋体" w:eastAsia="宋体" w:cs="宋体"/>
      <w:color w:val="000000"/>
      <w:sz w:val="21"/>
      <w:szCs w:val="21"/>
      <w:u w:val="none"/>
    </w:rPr>
  </w:style>
  <w:style w:type="character" w:styleId="1011" w:customStyle="1">
    <w:name w:val="font101"/>
    <w:basedOn w:val="920"/>
    <w:uiPriority w:val="0"/>
    <w:qFormat/>
    <w:rPr>
      <w:rFonts w:ascii="微软雅黑" w:hAnsi="微软雅黑" w:eastAsia="微软雅黑" w:cs="微软雅黑"/>
      <w:color w:val="000000"/>
      <w:sz w:val="22"/>
      <w:szCs w:val="22"/>
      <w:u w:val="none"/>
    </w:rPr>
  </w:style>
  <w:style w:type="character" w:styleId="1012" w:customStyle="1">
    <w:name w:val="font81"/>
    <w:basedOn w:val="920"/>
    <w:uiPriority w:val="0"/>
    <w:qFormat/>
    <w:rPr>
      <w:rFonts w:hint="eastAsia" w:ascii="宋体" w:hAnsi="宋体" w:eastAsia="宋体" w:cs="宋体"/>
      <w:color w:val="ff0000"/>
      <w:sz w:val="21"/>
      <w:szCs w:val="21"/>
      <w:u w:val="none"/>
    </w:rPr>
  </w:style>
  <w:style w:type="character" w:styleId="1013" w:customStyle="1">
    <w:name w:val="font111"/>
    <w:basedOn w:val="920"/>
    <w:uiPriority w:val="0"/>
    <w:qFormat/>
    <w:rPr>
      <w:rFonts w:hint="eastAsia" w:ascii="微软雅黑" w:hAnsi="微软雅黑" w:eastAsia="微软雅黑" w:cs="微软雅黑"/>
      <w:color w:val="ff0000"/>
      <w:sz w:val="22"/>
      <w:szCs w:val="22"/>
      <w:u w:val="none"/>
    </w:rPr>
  </w:style>
  <w:style w:type="character" w:styleId="1014" w:customStyle="1">
    <w:name w:val="font122"/>
    <w:basedOn w:val="920"/>
    <w:uiPriority w:val="0"/>
    <w:qFormat/>
    <w:rPr>
      <w:rFonts w:hint="eastAsia" w:ascii="宋体" w:hAnsi="宋体" w:eastAsia="宋体" w:cs="宋体"/>
      <w:color w:val="000000"/>
      <w:sz w:val="18"/>
      <w:szCs w:val="18"/>
      <w:u w:val="none"/>
    </w:rPr>
  </w:style>
  <w:style w:type="paragraph" w:styleId="1015" w:customStyle="1">
    <w:name w:val="[基本段落]"/>
    <w:basedOn w:val="914"/>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1016" w:customStyle="1">
    <w:name w:val="列表段落1"/>
    <w:basedOn w:val="914"/>
    <w:uiPriority w:val="34"/>
    <w:qFormat/>
    <w:pPr>
      <w:ind w:firstLine="420"/>
    </w:pPr>
  </w:style>
  <w:style w:type="paragraph" w:styleId="1017" w:customStyle="1">
    <w:name w:val="列出段落1"/>
    <w:basedOn w:val="914"/>
    <w:uiPriority w:val="34"/>
    <w:qFormat/>
    <w:pPr>
      <w:ind w:firstLine="420"/>
    </w:pPr>
    <w:rPr>
      <w:rFonts w:ascii="Calibri" w:hAnsi="Calibri" w:eastAsia="宋体"/>
      <w:sz w:val="21"/>
      <w:szCs w:val="22"/>
    </w:rPr>
  </w:style>
  <w:style w:type="paragraph" w:styleId="1018" w:customStyle="1">
    <w:name w:val="_正文段落"/>
    <w:basedOn w:val="914"/>
    <w:uiPriority w:val="0"/>
    <w:qFormat/>
    <w:pPr>
      <w:ind w:firstLine="480"/>
      <w:spacing w:line="360" w:lineRule="auto"/>
    </w:pPr>
    <w:rPr>
      <w:rFonts w:ascii="宋体" w:hAnsi="宋体" w:eastAsia="宋体"/>
      <w:sz w:val="24"/>
      <w:szCs w:val="24"/>
    </w:rPr>
  </w:style>
  <w:style w:type="paragraph" w:styleId="1019" w:customStyle="1">
    <w:name w:val="纯文本3"/>
    <w:basedOn w:val="914"/>
    <w:uiPriority w:val="0"/>
    <w:qFormat/>
    <w:rPr>
      <w:rFonts w:ascii="宋体" w:hAnsi="Courier New"/>
    </w:rPr>
  </w:style>
  <w:style w:type="character" w:styleId="1020" w:customStyle="1">
    <w:name w:val="NormalCharacter"/>
    <w:uiPriority w:val="0"/>
    <w:qFormat/>
  </w:style>
  <w:style w:type="paragraph" w:styleId="1021" w:customStyle="1">
    <w:name w:val="Table Text"/>
    <w:basedOn w:val="914"/>
    <w:uiPriority w:val="0"/>
    <w:semiHidden/>
    <w:qFormat/>
    <w:rPr>
      <w:rFonts w:ascii="宋体" w:hAnsi="宋体" w:eastAsia="宋体" w:cs="宋体"/>
      <w:sz w:val="24"/>
      <w:szCs w:val="24"/>
      <w:lang w:eastAsia="en-US"/>
    </w:rPr>
  </w:style>
  <w:style w:type="table" w:styleId="1022" w:customStyle="1">
    <w:name w:val="Table Normal"/>
    <w:uiPriority w:val="0"/>
    <w:semiHidden/>
    <w:unhideWhenUsed/>
    <w:qFormat/>
    <w:tblPr>
      <w:tblCellMar>
        <w:left w:w="0" w:type="dxa"/>
        <w:top w:w="0" w:type="dxa"/>
        <w:right w:w="0" w:type="dxa"/>
        <w:bottom w:w="0" w:type="dxa"/>
      </w:tblCellMar>
    </w:tblPr>
  </w:style>
  <w:style w:type="paragraph" w:styleId="1023" w:customStyle="1">
    <w:name w:val="寄信人地址1"/>
    <w:basedOn w:val="914"/>
    <w:uiPriority w:val="0"/>
    <w:qFormat/>
    <w:rPr>
      <w:rFonts w:ascii="Arial" w:hAnsi="Arial"/>
    </w:rPr>
  </w:style>
  <w:style w:type="character" w:styleId="1024" w:customStyle="1">
    <w:name w:val="font51"/>
    <w:basedOn w:val="920"/>
    <w:uiPriority w:val="0"/>
    <w:qFormat/>
    <w:rPr>
      <w:rFonts w:ascii="宋体" w:hAnsi="宋体" w:eastAsia="宋体" w:cs="宋体"/>
      <w:color w:val="000000"/>
      <w:sz w:val="18"/>
      <w:szCs w:val="18"/>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405</cp:revision>
  <dcterms:created xsi:type="dcterms:W3CDTF">2022-06-20T04:01:00Z</dcterms:created>
  <dcterms:modified xsi:type="dcterms:W3CDTF">2026-08-06T02:45:14Z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52D70C3289EE414ABA7C74A30D72A424_13</vt:lpwstr>
  </property>
  <property fmtid="{D5CDD505-2E9C-101B-9397-08002B2CF9AE}" pid="4" name="KSOTemplateDocerSaveRecord">
    <vt:lpwstr>eyJoZGlkIjoiZTljYzUxZDIxMjIyOTQ5MTdiMjczMzEzYTBjYzFjZGEiLCJ1c2VySWQiOiIyOTQ1NzYwNTUifQ==</vt:lpwstr>
  </property>
</Properties>
</file>