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hd w:val="clear" w:color="auto" w:fill="auto"/>
        <w:rPr>
          <w:rFonts w:hint="eastAsia" w:ascii="宋体" w:hAnsi="宋体" w:cs="宋体"/>
          <w:b/>
          <w:bCs/>
          <w:spacing w:val="20"/>
          <w:sz w:val="48"/>
          <w:szCs w:val="44"/>
          <w:highlight w:val="none"/>
        </w:rPr>
      </w:pPr>
      <w:r>
        <w:rPr>
          <w:rFonts w:hint="eastAsia" w:ascii="宋体" w:hAnsi="宋体" w:cs="宋体"/>
          <w:b/>
          <w:bCs/>
          <w:spacing w:val="20"/>
          <w:sz w:val="48"/>
          <w:szCs w:val="44"/>
          <w:highlight w:val="none"/>
        </w:rPr>
      </w:r>
      <w:r/>
    </w:p>
    <w:p>
      <w:pPr>
        <w:jc w:val="center"/>
        <w:shd w:val="clear" w:color="auto" w:fill="auto"/>
        <w:rPr>
          <w:rFonts w:hint="eastAsia" w:ascii="宋体" w:hAnsi="宋体" w:cs="宋体"/>
          <w:b/>
          <w:bCs/>
          <w:spacing w:val="20"/>
          <w:sz w:val="44"/>
          <w:szCs w:val="44"/>
          <w:highlight w:val="none"/>
        </w:rPr>
      </w:pPr>
      <w:r>
        <w:rPr>
          <w:rFonts w:hint="eastAsia" w:ascii="宋体" w:hAnsi="宋体" w:cs="宋体"/>
          <w:b/>
          <w:bCs/>
          <w:spacing w:val="20"/>
          <w:sz w:val="44"/>
          <w:szCs w:val="44"/>
          <w:highlight w:val="none"/>
        </w:rPr>
        <w:t xml:space="preserve">苏北运河船闸检修门存放基地</w:t>
      </w:r>
      <w:r/>
    </w:p>
    <w:p>
      <w:pPr>
        <w:jc w:val="center"/>
        <w:shd w:val="clear" w:color="auto" w:fill="auto"/>
        <w:rPr>
          <w:rFonts w:hint="eastAsia" w:ascii="宋体" w:hAnsi="宋体" w:eastAsia="宋体" w:cs="宋体"/>
          <w:b/>
          <w:spacing w:val="100"/>
          <w:sz w:val="30"/>
          <w:highlight w:val="none"/>
          <w:lang w:eastAsia="zh-CN"/>
        </w:rPr>
      </w:pPr>
      <w:r>
        <w:rPr>
          <w:rFonts w:hint="eastAsia" w:ascii="宋体" w:hAnsi="宋体" w:cs="宋体"/>
          <w:b/>
          <w:bCs/>
          <w:spacing w:val="20"/>
          <w:sz w:val="44"/>
          <w:szCs w:val="44"/>
          <w:highlight w:val="none"/>
        </w:rPr>
        <w:t xml:space="preserve">扩容及功能完善项目</w:t>
      </w:r>
      <w:r>
        <w:rPr>
          <w:rFonts w:hint="eastAsia" w:ascii="宋体" w:hAnsi="宋体" w:cs="宋体"/>
          <w:b/>
          <w:bCs/>
          <w:spacing w:val="20"/>
          <w:sz w:val="44"/>
          <w:szCs w:val="44"/>
          <w:highlight w:val="none"/>
          <w:lang w:eastAsia="zh-CN"/>
        </w:rPr>
        <w:t xml:space="preserve">（</w:t>
      </w:r>
      <w:r>
        <w:rPr>
          <w:rFonts w:hint="eastAsia" w:ascii="宋体" w:hAnsi="宋体" w:cs="宋体"/>
          <w:b/>
          <w:bCs/>
          <w:spacing w:val="20"/>
          <w:sz w:val="44"/>
          <w:szCs w:val="44"/>
          <w:highlight w:val="none"/>
          <w:lang w:val="en-US" w:eastAsia="zh-CN"/>
        </w:rPr>
        <w:t xml:space="preserve">二次</w:t>
      </w:r>
      <w:r>
        <w:rPr>
          <w:rFonts w:hint="eastAsia" w:ascii="宋体" w:hAnsi="宋体" w:cs="宋体"/>
          <w:b/>
          <w:bCs/>
          <w:spacing w:val="20"/>
          <w:sz w:val="44"/>
          <w:szCs w:val="44"/>
          <w:highlight w:val="none"/>
          <w:lang w:eastAsia="zh-CN"/>
        </w:rPr>
        <w:t xml:space="preserve">）</w:t>
      </w:r>
      <w:r/>
    </w:p>
    <w:p>
      <w:pPr>
        <w:pStyle w:val="1074"/>
        <w:shd w:val="clear" w:color="auto" w:fill="auto"/>
        <w:rPr>
          <w:rFonts w:hint="eastAsia" w:ascii="宋体" w:hAnsi="宋体" w:cs="宋体"/>
          <w:highlight w:val="none"/>
        </w:rPr>
      </w:pPr>
      <w:r>
        <w:rPr>
          <w:rFonts w:hint="eastAsia" w:ascii="宋体" w:hAnsi="宋体" w:cs="宋体"/>
          <w:highlight w:val="none"/>
        </w:rPr>
      </w:r>
      <w:r/>
    </w:p>
    <w:p>
      <w:pPr>
        <w:pStyle w:val="1074"/>
        <w:shd w:val="clear" w:color="auto" w:fill="auto"/>
        <w:rPr>
          <w:rFonts w:hint="eastAsia" w:ascii="宋体" w:hAnsi="宋体" w:cs="宋体"/>
          <w:highlight w:val="none"/>
        </w:rPr>
      </w:pPr>
      <w:r>
        <w:rPr>
          <w:rFonts w:hint="eastAsia" w:ascii="宋体" w:hAnsi="宋体" w:cs="宋体"/>
          <w:highlight w:val="none"/>
        </w:rPr>
      </w:r>
      <w:r/>
    </w:p>
    <w:p>
      <w:pPr>
        <w:pStyle w:val="1074"/>
        <w:shd w:val="clear" w:color="auto" w:fill="auto"/>
        <w:rPr>
          <w:rFonts w:hint="eastAsia" w:ascii="宋体" w:hAnsi="宋体" w:cs="宋体"/>
          <w:highlight w:val="none"/>
        </w:rPr>
      </w:pPr>
      <w:r>
        <w:rPr>
          <w:rFonts w:hint="eastAsia" w:ascii="宋体" w:hAnsi="宋体" w:cs="宋体"/>
          <w:highlight w:val="none"/>
        </w:rPr>
      </w:r>
      <w:r/>
    </w:p>
    <w:p>
      <w:pPr>
        <w:shd w:val="clear" w:color="auto" w:fill="auto"/>
        <w:rPr>
          <w:rFonts w:hint="eastAsia" w:ascii="宋体" w:hAnsi="宋体" w:cs="宋体"/>
          <w:highlight w:val="none"/>
        </w:rPr>
      </w:pPr>
      <w:r>
        <w:rPr>
          <w:rFonts w:hint="eastAsia" w:ascii="宋体" w:hAnsi="宋体" w:cs="宋体"/>
          <w:highlight w:val="none"/>
        </w:rPr>
      </w:r>
      <w:r/>
    </w:p>
    <w:p>
      <w:pPr>
        <w:jc w:val="center"/>
        <w:spacing w:before="120" w:after="120"/>
        <w:shd w:val="clear" w:color="auto" w:fill="auto"/>
        <w:rPr>
          <w:rFonts w:hint="eastAsia" w:ascii="宋体" w:hAnsi="宋体" w:cs="宋体"/>
          <w:b/>
          <w:spacing w:val="60"/>
          <w:sz w:val="84"/>
          <w:szCs w:val="84"/>
          <w:highlight w:val="none"/>
        </w:rPr>
      </w:pPr>
      <w:r>
        <w:rPr>
          <w:rFonts w:hint="eastAsia" w:ascii="宋体" w:hAnsi="宋体" w:cs="宋体"/>
          <w:b/>
          <w:spacing w:val="60"/>
          <w:sz w:val="84"/>
          <w:szCs w:val="84"/>
          <w:highlight w:val="none"/>
        </w:rPr>
      </w:r>
      <w:r/>
    </w:p>
    <w:p>
      <w:pPr>
        <w:jc w:val="center"/>
        <w:spacing w:before="120" w:after="120"/>
        <w:shd w:val="clear" w:color="auto" w:fill="auto"/>
        <w:rPr>
          <w:rFonts w:hint="eastAsia" w:ascii="宋体" w:hAnsi="宋体" w:cs="宋体"/>
          <w:b/>
          <w:spacing w:val="60"/>
          <w:sz w:val="84"/>
          <w:szCs w:val="84"/>
          <w:highlight w:val="none"/>
        </w:rPr>
      </w:pPr>
      <w:r>
        <w:rPr>
          <w:rFonts w:hint="eastAsia" w:ascii="宋体" w:hAnsi="宋体" w:cs="宋体"/>
          <w:b/>
          <w:spacing w:val="60"/>
          <w:sz w:val="84"/>
          <w:szCs w:val="84"/>
          <w:highlight w:val="none"/>
        </w:rPr>
        <w:t xml:space="preserve">招 标 文 件</w:t>
      </w:r>
      <w:r/>
    </w:p>
    <w:p>
      <w:pPr>
        <w:jc w:val="center"/>
        <w:shd w:val="clear" w:color="auto" w:fill="auto"/>
        <w:rPr>
          <w:rFonts w:hint="eastAsia" w:ascii="宋体" w:hAnsi="宋体" w:cs="宋体"/>
          <w:b/>
          <w:sz w:val="32"/>
          <w:szCs w:val="44"/>
          <w:highlight w:val="none"/>
        </w:rPr>
      </w:pPr>
      <w:r>
        <w:rPr>
          <w:rFonts w:hint="eastAsia" w:ascii="宋体" w:hAnsi="宋体" w:cs="宋体"/>
          <w:b/>
          <w:sz w:val="32"/>
          <w:szCs w:val="44"/>
          <w:highlight w:val="none"/>
        </w:rPr>
      </w:r>
      <w:r/>
    </w:p>
    <w:p>
      <w:pPr>
        <w:jc w:val="center"/>
        <w:shd w:val="clear" w:color="auto" w:fill="auto"/>
        <w:rPr>
          <w:rFonts w:hint="eastAsia" w:ascii="宋体" w:hAnsi="宋体" w:cs="宋体"/>
          <w:b/>
          <w:sz w:val="32"/>
          <w:szCs w:val="44"/>
          <w:highlight w:val="none"/>
        </w:rPr>
      </w:pPr>
      <w:r>
        <w:rPr>
          <w:rFonts w:hint="eastAsia" w:ascii="宋体" w:hAnsi="宋体" w:cs="宋体"/>
          <w:b/>
          <w:sz w:val="32"/>
          <w:szCs w:val="44"/>
          <w:highlight w:val="none"/>
        </w:rPr>
      </w:r>
      <w:r/>
    </w:p>
    <w:p>
      <w:pPr>
        <w:jc w:val="center"/>
        <w:shd w:val="clear" w:color="auto" w:fill="auto"/>
        <w:rPr>
          <w:rFonts w:hint="eastAsia" w:ascii="宋体" w:hAnsi="宋体" w:cs="宋体"/>
          <w:b/>
          <w:sz w:val="32"/>
          <w:szCs w:val="44"/>
          <w:highlight w:val="none"/>
        </w:rPr>
      </w:pPr>
      <w:r>
        <w:rPr>
          <w:rFonts w:hint="eastAsia" w:ascii="宋体" w:hAnsi="宋体" w:cs="宋体"/>
          <w:b/>
          <w:sz w:val="32"/>
          <w:szCs w:val="44"/>
          <w:highlight w:val="none"/>
        </w:rPr>
      </w:r>
      <w:r/>
    </w:p>
    <w:p>
      <w:pPr>
        <w:jc w:val="center"/>
        <w:shd w:val="clear" w:color="auto" w:fill="auto"/>
        <w:rPr>
          <w:rFonts w:hint="eastAsia" w:ascii="宋体" w:hAnsi="宋体" w:cs="宋体"/>
          <w:b/>
          <w:sz w:val="32"/>
          <w:szCs w:val="44"/>
          <w:highlight w:val="none"/>
        </w:rPr>
      </w:pPr>
      <w:r>
        <w:rPr>
          <w:rFonts w:hint="eastAsia" w:ascii="宋体" w:hAnsi="宋体" w:cs="宋体"/>
          <w:b/>
          <w:sz w:val="32"/>
          <w:szCs w:val="44"/>
          <w:highlight w:val="none"/>
        </w:rPr>
      </w:r>
      <w:r/>
    </w:p>
    <w:p>
      <w:pPr>
        <w:spacing w:before="240"/>
        <w:shd w:val="clear" w:color="auto" w:fill="auto"/>
        <w:tabs>
          <w:tab w:val="left" w:pos="4605" w:leader="none"/>
        </w:tabs>
        <w:rPr>
          <w:rFonts w:hint="eastAsia" w:ascii="宋体" w:hAnsi="宋体" w:cs="宋体"/>
          <w:highlight w:val="none"/>
        </w:rPr>
      </w:pPr>
      <w:r>
        <w:rPr>
          <w:rFonts w:hint="eastAsia" w:ascii="宋体" w:hAnsi="宋体" w:cs="宋体"/>
          <w:b/>
          <w:sz w:val="32"/>
          <w:highlight w:val="none"/>
        </w:rPr>
        <w:tab/>
      </w:r>
      <w:r/>
    </w:p>
    <w:p>
      <w:pPr>
        <w:ind w:firstLine="939"/>
        <w:spacing w:before="240" w:line="240" w:lineRule="auto"/>
        <w:shd w:val="clear" w:color="auto" w:fill="auto"/>
        <w:rPr>
          <w:rFonts w:hint="eastAsia" w:ascii="宋体" w:hAnsi="宋体" w:cs="宋体"/>
          <w:bCs/>
          <w:sz w:val="32"/>
          <w:szCs w:val="32"/>
          <w:highlight w:val="none"/>
        </w:rPr>
      </w:pPr>
      <w:r>
        <w:rPr>
          <w:rFonts w:hint="eastAsia" w:ascii="宋体" w:hAnsi="宋体" w:cs="宋体"/>
          <w:bCs/>
          <w:sz w:val="32"/>
          <w:szCs w:val="32"/>
          <w:highlight w:val="none"/>
        </w:rPr>
        <w:t xml:space="preserve">招 标 人：京杭运河江苏省交通运输厅苏北航务管理处</w:t>
      </w:r>
      <w:r/>
    </w:p>
    <w:p>
      <w:pPr>
        <w:jc w:val="center"/>
        <w:spacing w:before="240" w:line="240" w:lineRule="auto"/>
        <w:shd w:val="clear" w:color="auto" w:fill="auto"/>
        <w:rPr>
          <w:rFonts w:hint="eastAsia" w:ascii="宋体" w:hAnsi="宋体" w:cs="宋体"/>
          <w:bCs/>
          <w:sz w:val="32"/>
          <w:szCs w:val="32"/>
          <w:highlight w:val="none"/>
        </w:rPr>
      </w:pPr>
      <w:r>
        <w:rPr>
          <w:rFonts w:hint="eastAsia" w:ascii="宋体" w:hAnsi="宋体" w:cs="宋体"/>
          <w:bCs/>
          <w:sz w:val="32"/>
          <w:szCs w:val="32"/>
          <w:highlight w:val="none"/>
        </w:rPr>
        <w:t xml:space="preserve">招标代理机构：江苏天业工程咨询房地产估价有限责任公司</w:t>
      </w:r>
      <w:r/>
    </w:p>
    <w:p>
      <w:pPr>
        <w:jc w:val="center"/>
        <w:spacing w:before="240" w:line="240" w:lineRule="auto"/>
        <w:shd w:val="clear" w:color="auto" w:fill="auto"/>
        <w:rPr>
          <w:rFonts w:hint="eastAsia" w:ascii="宋体" w:hAnsi="宋体" w:cs="宋体"/>
          <w:bCs/>
          <w:sz w:val="32"/>
          <w:szCs w:val="32"/>
          <w:highlight w:val="none"/>
        </w:rPr>
      </w:pPr>
      <w:r>
        <w:rPr>
          <w:rFonts w:hint="eastAsia" w:ascii="宋体" w:hAnsi="宋体" w:cs="宋体"/>
          <w:bCs/>
          <w:sz w:val="32"/>
          <w:szCs w:val="32"/>
          <w:highlight w:val="none"/>
        </w:rPr>
        <w:t xml:space="preserve">2026年</w:t>
      </w:r>
      <w:r>
        <w:rPr>
          <w:rFonts w:hint="eastAsia" w:ascii="宋体" w:hAnsi="宋体" w:cs="宋体"/>
          <w:bCs/>
          <w:sz w:val="32"/>
          <w:szCs w:val="32"/>
          <w:highlight w:val="none"/>
          <w:lang w:val="en-US" w:eastAsia="zh-CN"/>
        </w:rPr>
        <w:t xml:space="preserve">8</w:t>
      </w:r>
      <w:r>
        <w:rPr>
          <w:rFonts w:hint="eastAsia" w:ascii="宋体" w:hAnsi="宋体" w:cs="宋体"/>
          <w:bCs/>
          <w:sz w:val="32"/>
          <w:szCs w:val="32"/>
          <w:highlight w:val="none"/>
        </w:rPr>
        <w:t xml:space="preserve">月</w:t>
      </w:r>
      <w:r/>
    </w:p>
    <w:p>
      <w:pPr>
        <w:jc w:val="center"/>
        <w:spacing w:line="420" w:lineRule="exact"/>
        <w:shd w:val="clear" w:color="auto" w:fill="auto"/>
        <w:rPr>
          <w:rFonts w:hint="eastAsia" w:ascii="宋体" w:hAnsi="宋体" w:cs="宋体"/>
          <w:bCs/>
          <w:sz w:val="32"/>
          <w:szCs w:val="32"/>
          <w:highlight w:val="none"/>
        </w:rPr>
        <w:sectPr>
          <w:footerReference w:type="default" r:id="rId10"/>
          <w:footnotePr/>
          <w:endnotePr/>
          <w:type w:val="nextPage"/>
          <w:pgSz w:w="11906" w:h="16838" w:orient="portrait"/>
          <w:pgMar w:top="1417" w:right="1417" w:bottom="1417" w:left="1417" w:header="567" w:footer="567" w:gutter="0"/>
          <w:pgNumType w:start="1"/>
          <w:cols w:num="1" w:sep="0" w:space="1701" w:equalWidth="1"/>
          <w:docGrid w:linePitch="360"/>
        </w:sectPr>
      </w:pPr>
      <w:r>
        <w:rPr>
          <w:rFonts w:hint="eastAsia" w:ascii="宋体" w:hAnsi="宋体" w:cs="宋体"/>
          <w:bCs/>
          <w:sz w:val="32"/>
          <w:szCs w:val="32"/>
          <w:highlight w:val="none"/>
        </w:rPr>
      </w:r>
      <w:r/>
    </w:p>
    <w:p>
      <w:pPr>
        <w:shd w:val="clear" w:color="auto" w:fill="auto"/>
        <w:rPr>
          <w:rFonts w:hint="eastAsia" w:ascii="宋体" w:hAnsi="宋体" w:cs="宋体"/>
          <w:highlight w:val="none"/>
        </w:rPr>
      </w:pPr>
      <w:r>
        <w:rPr>
          <w:rFonts w:hint="eastAsia" w:ascii="宋体" w:hAnsi="宋体" w:cs="宋体"/>
          <w:highlight w:val="none"/>
        </w:rPr>
      </w:r>
      <w:r/>
    </w:p>
    <w:p>
      <w:pPr>
        <w:jc w:val="center"/>
        <w:shd w:val="clear" w:color="auto" w:fill="auto"/>
        <w:rPr>
          <w:rFonts w:hint="eastAsia" w:ascii="宋体" w:hAnsi="宋体" w:cs="宋体"/>
          <w:b/>
          <w:sz w:val="44"/>
          <w:szCs w:val="44"/>
          <w:highlight w:val="none"/>
        </w:rPr>
      </w:pPr>
      <w:r/>
      <w:bookmarkStart w:id="0" w:name="_Toc503901899"/>
      <w:r/>
      <w:bookmarkStart w:id="1" w:name="_Toc432244487"/>
      <w:r/>
      <w:bookmarkStart w:id="2" w:name="_Toc503307418"/>
      <w:r>
        <w:rPr>
          <w:rFonts w:hint="eastAsia" w:ascii="宋体" w:hAnsi="宋体" w:cs="宋体"/>
          <w:b/>
          <w:sz w:val="44"/>
          <w:szCs w:val="44"/>
          <w:highlight w:val="none"/>
        </w:rPr>
        <w:t xml:space="preserve">目    录</w:t>
      </w:r>
      <w:bookmarkEnd w:id="0"/>
      <w:r/>
      <w:bookmarkEnd w:id="1"/>
      <w:r/>
      <w:bookmarkEnd w:id="2"/>
      <w:r/>
      <w:r/>
    </w:p>
    <w:p>
      <w:pPr>
        <w:pStyle w:val="1079"/>
        <w:shd w:val="clear" w:color="auto" w:fill="auto"/>
        <w:rPr>
          <w:rFonts w:hint="eastAsia" w:ascii="宋体" w:hAnsi="宋体" w:cs="宋体"/>
          <w:sz w:val="28"/>
          <w:szCs w:val="28"/>
          <w:highlight w:val="none"/>
        </w:rPr>
      </w:pPr>
      <w:r>
        <w:rPr>
          <w:rFonts w:hint="eastAsia" w:ascii="宋体" w:hAnsi="宋体" w:cs="宋体"/>
          <w:b/>
          <w:bCs/>
          <w:sz w:val="48"/>
          <w:szCs w:val="48"/>
          <w:highlight w:val="none"/>
        </w:rPr>
        <w:fldChar w:fldCharType="begin"/>
      </w:r>
      <w:r>
        <w:rPr>
          <w:rFonts w:hint="eastAsia" w:ascii="宋体" w:hAnsi="宋体" w:cs="宋体"/>
          <w:b/>
          <w:bCs/>
          <w:sz w:val="48"/>
          <w:szCs w:val="48"/>
          <w:highlight w:val="none"/>
        </w:rPr>
        <w:instrText xml:space="preserve"> TOC \o "1-3" \h \z \u </w:instrText>
      </w:r>
      <w:r>
        <w:rPr>
          <w:rFonts w:hint="eastAsia" w:ascii="宋体" w:hAnsi="宋体" w:cs="宋体"/>
          <w:b/>
          <w:bCs/>
          <w:sz w:val="48"/>
          <w:szCs w:val="48"/>
          <w:highlight w:val="none"/>
        </w:rPr>
        <w:fldChar w:fldCharType="separate"/>
      </w:r>
      <w:r>
        <w:rPr>
          <w:highlight w:val="none"/>
        </w:rPr>
        <w:fldChar w:fldCharType="begin"/>
      </w:r>
      <w:r>
        <w:rPr>
          <w:highlight w:val="none"/>
        </w:rPr>
        <w:instrText xml:space="preserve"> HYPERLINK \l "_Toc211090850" </w:instrText>
      </w:r>
      <w:r>
        <w:rPr>
          <w:highlight w:val="none"/>
        </w:rPr>
        <w:fldChar w:fldCharType="separate"/>
      </w:r>
      <w:r>
        <w:rPr>
          <w:rStyle w:val="1088"/>
          <w:rFonts w:hint="eastAsia" w:ascii="宋体" w:hAnsi="宋体" w:cs="宋体"/>
          <w:color w:val="auto"/>
          <w:sz w:val="28"/>
          <w:szCs w:val="28"/>
          <w:highlight w:val="none"/>
        </w:rPr>
        <w:t xml:space="preserve">第一章  招标公告</w:t>
      </w:r>
      <w:r>
        <w:rPr>
          <w:rFonts w:hint="eastAsia" w:ascii="宋体" w:hAnsi="宋体" w:cs="宋体"/>
          <w:sz w:val="28"/>
          <w:szCs w:val="28"/>
          <w:highlight w:val="none"/>
        </w:rPr>
        <w:tab/>
      </w:r>
      <w:r>
        <w:rPr>
          <w:rFonts w:hint="eastAsia" w:ascii="宋体" w:hAnsi="宋体" w:cs="宋体"/>
          <w:sz w:val="28"/>
          <w:szCs w:val="28"/>
          <w:highlight w:val="none"/>
        </w:rPr>
        <w:t xml:space="preserve">1</w:t>
      </w:r>
      <w:r>
        <w:rPr>
          <w:rFonts w:hint="eastAsia" w:ascii="宋体" w:hAnsi="宋体" w:cs="宋体"/>
          <w:sz w:val="28"/>
          <w:szCs w:val="28"/>
          <w:highlight w:val="none"/>
        </w:rPr>
        <w:fldChar w:fldCharType="end"/>
      </w:r>
      <w:r/>
    </w:p>
    <w:p>
      <w:pPr>
        <w:pStyle w:val="1079"/>
        <w:shd w:val="clear" w:color="auto" w:fill="auto"/>
        <w:rPr>
          <w:rFonts w:hint="eastAsia" w:ascii="宋体" w:hAnsi="宋体" w:cs="宋体"/>
          <w:sz w:val="28"/>
          <w:szCs w:val="28"/>
          <w:highlight w:val="none"/>
        </w:rPr>
      </w:pPr>
      <w:r>
        <w:rPr>
          <w:highlight w:val="none"/>
        </w:rPr>
        <w:fldChar w:fldCharType="begin"/>
      </w:r>
      <w:r>
        <w:rPr>
          <w:highlight w:val="none"/>
        </w:rPr>
        <w:instrText xml:space="preserve"> HYPERLINK \l "_Toc211090857" </w:instrText>
      </w:r>
      <w:r>
        <w:rPr>
          <w:highlight w:val="none"/>
        </w:rPr>
        <w:fldChar w:fldCharType="separate"/>
      </w:r>
      <w:r>
        <w:rPr>
          <w:rStyle w:val="1088"/>
          <w:rFonts w:hint="eastAsia" w:ascii="宋体" w:hAnsi="宋体" w:cs="宋体"/>
          <w:color w:val="auto"/>
          <w:sz w:val="28"/>
          <w:szCs w:val="28"/>
          <w:highlight w:val="none"/>
        </w:rPr>
        <w:t xml:space="preserve">第二章  投标人须知</w:t>
      </w:r>
      <w:r>
        <w:rPr>
          <w:rFonts w:hint="eastAsia" w:ascii="宋体" w:hAnsi="宋体" w:cs="宋体"/>
          <w:sz w:val="28"/>
          <w:szCs w:val="28"/>
          <w:highlight w:val="none"/>
        </w:rPr>
        <w:tab/>
      </w:r>
      <w:r>
        <w:rPr>
          <w:rFonts w:hint="eastAsia" w:ascii="宋体" w:hAnsi="宋体" w:cs="宋体"/>
          <w:sz w:val="28"/>
          <w:szCs w:val="28"/>
          <w:highlight w:val="none"/>
          <w:lang w:val="en-US" w:eastAsia="zh-CN"/>
        </w:rPr>
        <w:t xml:space="preserve">5</w:t>
      </w:r>
      <w:r>
        <w:rPr>
          <w:rFonts w:hint="eastAsia" w:ascii="宋体" w:hAnsi="宋体" w:cs="宋体"/>
          <w:sz w:val="28"/>
          <w:szCs w:val="28"/>
          <w:highlight w:val="none"/>
        </w:rPr>
        <w:fldChar w:fldCharType="end"/>
      </w:r>
      <w:r/>
    </w:p>
    <w:p>
      <w:pPr>
        <w:pStyle w:val="1079"/>
        <w:shd w:val="clear" w:color="auto" w:fill="auto"/>
        <w:rPr>
          <w:rFonts w:hint="default" w:ascii="宋体" w:hAnsi="宋体" w:eastAsia="宋体" w:cs="宋体"/>
          <w:sz w:val="28"/>
          <w:szCs w:val="28"/>
          <w:highlight w:val="none"/>
        </w:rPr>
      </w:pPr>
      <w:r>
        <w:rPr>
          <w:highlight w:val="none"/>
        </w:rPr>
        <w:fldChar w:fldCharType="begin"/>
      </w:r>
      <w:r>
        <w:rPr>
          <w:highlight w:val="none"/>
        </w:rPr>
        <w:instrText xml:space="preserve"> HYPERLINK \l "_Toc211090859" </w:instrText>
      </w:r>
      <w:r>
        <w:rPr>
          <w:highlight w:val="none"/>
        </w:rPr>
        <w:fldChar w:fldCharType="separate"/>
      </w:r>
      <w:r>
        <w:rPr>
          <w:rStyle w:val="1088"/>
          <w:rFonts w:hint="eastAsia" w:ascii="宋体" w:hAnsi="宋体" w:cs="宋体"/>
          <w:color w:val="auto"/>
          <w:sz w:val="28"/>
          <w:szCs w:val="28"/>
          <w:highlight w:val="none"/>
        </w:rPr>
        <w:t xml:space="preserve">第三章  评标办法</w:t>
      </w:r>
      <w:r>
        <w:rPr>
          <w:rFonts w:hint="eastAsia" w:ascii="宋体" w:hAnsi="宋体" w:cs="宋体"/>
          <w:sz w:val="28"/>
          <w:szCs w:val="28"/>
          <w:highlight w:val="none"/>
        </w:rPr>
        <w:tab/>
      </w:r>
      <w:r>
        <w:rPr>
          <w:rFonts w:hint="eastAsia" w:ascii="宋体" w:hAnsi="宋体" w:cs="宋体"/>
          <w:sz w:val="28"/>
          <w:szCs w:val="28"/>
          <w:highlight w:val="none"/>
        </w:rPr>
        <w:fldChar w:fldCharType="end"/>
      </w:r>
      <w:r>
        <w:rPr>
          <w:rStyle w:val="1088"/>
          <w:rFonts w:hint="eastAsia" w:ascii="宋体" w:hAnsi="宋体" w:cs="宋体"/>
          <w:color w:val="auto"/>
          <w:sz w:val="28"/>
          <w:szCs w:val="28"/>
          <w:highlight w:val="none"/>
          <w:lang w:val="en-US" w:eastAsia="zh-CN"/>
        </w:rPr>
        <w:t xml:space="preserve">17</w:t>
      </w:r>
      <w:r/>
    </w:p>
    <w:p>
      <w:pPr>
        <w:pStyle w:val="1079"/>
        <w:shd w:val="clear" w:color="auto" w:fill="auto"/>
        <w:rPr>
          <w:rFonts w:hint="eastAsia" w:ascii="宋体" w:hAnsi="宋体" w:eastAsia="宋体" w:cs="宋体"/>
          <w:sz w:val="28"/>
          <w:szCs w:val="28"/>
          <w:highlight w:val="none"/>
        </w:rPr>
      </w:pPr>
      <w:r>
        <w:rPr>
          <w:highlight w:val="none"/>
        </w:rPr>
        <w:fldChar w:fldCharType="begin"/>
      </w:r>
      <w:r>
        <w:rPr>
          <w:highlight w:val="none"/>
        </w:rPr>
        <w:instrText xml:space="preserve"> HYPERLINK \l "_Toc211090862" </w:instrText>
      </w:r>
      <w:r>
        <w:rPr>
          <w:highlight w:val="none"/>
        </w:rPr>
        <w:fldChar w:fldCharType="separate"/>
      </w:r>
      <w:r>
        <w:rPr>
          <w:rStyle w:val="1088"/>
          <w:rFonts w:hint="eastAsia" w:ascii="宋体" w:hAnsi="宋体" w:cs="宋体"/>
          <w:color w:val="auto"/>
          <w:sz w:val="28"/>
          <w:szCs w:val="28"/>
          <w:highlight w:val="none"/>
        </w:rPr>
        <w:t xml:space="preserve">第四章  合同条款及格式</w:t>
      </w:r>
      <w:r>
        <w:rPr>
          <w:rFonts w:hint="eastAsia" w:ascii="宋体" w:hAnsi="宋体" w:cs="宋体"/>
          <w:sz w:val="28"/>
          <w:szCs w:val="28"/>
          <w:highlight w:val="none"/>
        </w:rPr>
        <w:tab/>
      </w:r>
      <w:r>
        <w:rPr>
          <w:rFonts w:hint="eastAsia" w:ascii="宋体" w:hAnsi="宋体" w:cs="宋体"/>
          <w:sz w:val="28"/>
          <w:szCs w:val="28"/>
          <w:highlight w:val="none"/>
        </w:rPr>
        <w:fldChar w:fldCharType="end"/>
      </w:r>
      <w:r>
        <w:rPr>
          <w:rStyle w:val="1088"/>
          <w:rFonts w:hint="eastAsia" w:ascii="宋体" w:hAnsi="宋体" w:cs="宋体"/>
          <w:color w:val="auto"/>
          <w:sz w:val="28"/>
          <w:szCs w:val="28"/>
          <w:highlight w:val="none"/>
        </w:rPr>
        <w:t xml:space="preserve">2</w:t>
      </w:r>
      <w:r>
        <w:rPr>
          <w:rStyle w:val="1088"/>
          <w:rFonts w:hint="eastAsia" w:ascii="宋体" w:hAnsi="宋体" w:cs="宋体"/>
          <w:color w:val="auto"/>
          <w:sz w:val="28"/>
          <w:szCs w:val="28"/>
          <w:highlight w:val="none"/>
          <w:lang w:val="en-US" w:eastAsia="zh-CN"/>
        </w:rPr>
        <w:t xml:space="preserve">4</w:t>
      </w:r>
      <w:r/>
    </w:p>
    <w:p>
      <w:pPr>
        <w:pStyle w:val="1079"/>
        <w:shd w:val="clear" w:color="auto" w:fill="auto"/>
        <w:rPr>
          <w:rFonts w:hint="eastAsia" w:ascii="宋体" w:hAnsi="宋体" w:cs="宋体"/>
          <w:sz w:val="28"/>
          <w:szCs w:val="28"/>
          <w:highlight w:val="none"/>
        </w:rPr>
      </w:pPr>
      <w:r>
        <w:rPr>
          <w:highlight w:val="none"/>
        </w:rPr>
        <w:fldChar w:fldCharType="begin"/>
      </w:r>
      <w:r>
        <w:rPr>
          <w:highlight w:val="none"/>
        </w:rPr>
        <w:instrText xml:space="preserve"> HYPERLINK \l "_Toc211090866" </w:instrText>
      </w:r>
      <w:r>
        <w:rPr>
          <w:highlight w:val="none"/>
        </w:rPr>
        <w:fldChar w:fldCharType="separate"/>
      </w:r>
      <w:r>
        <w:rPr>
          <w:rStyle w:val="1088"/>
          <w:rFonts w:hint="eastAsia" w:ascii="宋体" w:hAnsi="宋体" w:cs="宋体"/>
          <w:color w:val="auto"/>
          <w:sz w:val="28"/>
          <w:szCs w:val="28"/>
          <w:highlight w:val="none"/>
        </w:rPr>
        <w:t xml:space="preserve">第五章  工程量清单</w:t>
      </w:r>
      <w:r>
        <w:rPr>
          <w:rFonts w:hint="eastAsia" w:ascii="宋体" w:hAnsi="宋体" w:cs="宋体"/>
          <w:sz w:val="28"/>
          <w:szCs w:val="28"/>
          <w:highlight w:val="none"/>
        </w:rPr>
        <w:tab/>
      </w:r>
      <w:r>
        <w:rPr>
          <w:rFonts w:hint="eastAsia" w:ascii="宋体" w:hAnsi="宋体" w:cs="宋体"/>
          <w:sz w:val="28"/>
          <w:szCs w:val="28"/>
          <w:highlight w:val="none"/>
          <w:lang w:val="en-US" w:eastAsia="zh-CN"/>
        </w:rPr>
        <w:t xml:space="preserve">52</w:t>
      </w:r>
      <w:r>
        <w:rPr>
          <w:rFonts w:hint="eastAsia" w:ascii="宋体" w:hAnsi="宋体" w:cs="宋体"/>
          <w:sz w:val="28"/>
          <w:szCs w:val="28"/>
          <w:highlight w:val="none"/>
        </w:rPr>
        <w:fldChar w:fldCharType="end"/>
      </w:r>
      <w:r/>
    </w:p>
    <w:p>
      <w:pPr>
        <w:pStyle w:val="1079"/>
        <w:shd w:val="clear" w:color="auto" w:fill="auto"/>
        <w:rPr>
          <w:rFonts w:hint="eastAsia" w:ascii="宋体" w:hAnsi="宋体" w:cs="宋体"/>
          <w:sz w:val="28"/>
          <w:szCs w:val="28"/>
          <w:highlight w:val="none"/>
        </w:rPr>
      </w:pPr>
      <w:r>
        <w:rPr>
          <w:highlight w:val="none"/>
        </w:rPr>
        <w:fldChar w:fldCharType="begin"/>
      </w:r>
      <w:r>
        <w:rPr>
          <w:highlight w:val="none"/>
        </w:rPr>
        <w:instrText xml:space="preserve"> HYPERLINK \l "_Toc211090867" </w:instrText>
      </w:r>
      <w:r>
        <w:rPr>
          <w:highlight w:val="none"/>
        </w:rPr>
        <w:fldChar w:fldCharType="separate"/>
      </w:r>
      <w:r>
        <w:rPr>
          <w:rStyle w:val="1088"/>
          <w:rFonts w:hint="eastAsia" w:ascii="宋体" w:hAnsi="宋体" w:cs="宋体"/>
          <w:color w:val="auto"/>
          <w:sz w:val="28"/>
          <w:szCs w:val="28"/>
          <w:highlight w:val="none"/>
        </w:rPr>
        <w:t xml:space="preserve">第六章  图纸（另册）</w:t>
      </w:r>
      <w:r>
        <w:rPr>
          <w:rFonts w:hint="eastAsia" w:ascii="宋体" w:hAnsi="宋体" w:cs="宋体"/>
          <w:sz w:val="28"/>
          <w:szCs w:val="28"/>
          <w:highlight w:val="none"/>
        </w:rPr>
        <w:tab/>
      </w:r>
      <w:r>
        <w:rPr>
          <w:rFonts w:hint="eastAsia" w:ascii="宋体" w:hAnsi="宋体" w:cs="宋体"/>
          <w:sz w:val="28"/>
          <w:szCs w:val="28"/>
          <w:highlight w:val="none"/>
          <w:lang w:val="en-US" w:eastAsia="zh-CN"/>
        </w:rPr>
        <w:t xml:space="preserve">58</w:t>
      </w:r>
      <w:r>
        <w:rPr>
          <w:rFonts w:hint="eastAsia" w:ascii="宋体" w:hAnsi="宋体" w:cs="宋体"/>
          <w:sz w:val="28"/>
          <w:szCs w:val="28"/>
          <w:highlight w:val="none"/>
        </w:rPr>
        <w:fldChar w:fldCharType="end"/>
      </w:r>
      <w:r/>
    </w:p>
    <w:p>
      <w:pPr>
        <w:pStyle w:val="1079"/>
        <w:shd w:val="clear" w:color="auto" w:fill="auto"/>
        <w:rPr>
          <w:rFonts w:hint="eastAsia" w:ascii="宋体" w:hAnsi="宋体" w:cs="宋体"/>
          <w:sz w:val="28"/>
          <w:szCs w:val="28"/>
          <w:highlight w:val="none"/>
        </w:rPr>
      </w:pPr>
      <w:r>
        <w:rPr>
          <w:highlight w:val="none"/>
        </w:rPr>
        <w:fldChar w:fldCharType="begin"/>
      </w:r>
      <w:r>
        <w:rPr>
          <w:highlight w:val="none"/>
        </w:rPr>
        <w:instrText xml:space="preserve"> HYPERLINK \l "_Toc211090868" </w:instrText>
      </w:r>
      <w:r>
        <w:rPr>
          <w:highlight w:val="none"/>
        </w:rPr>
        <w:fldChar w:fldCharType="separate"/>
      </w:r>
      <w:r>
        <w:rPr>
          <w:rStyle w:val="1088"/>
          <w:rFonts w:hint="eastAsia" w:ascii="宋体" w:hAnsi="宋体" w:cs="宋体"/>
          <w:color w:val="auto"/>
          <w:sz w:val="28"/>
          <w:szCs w:val="28"/>
          <w:highlight w:val="none"/>
        </w:rPr>
        <w:t xml:space="preserve">第七章  技术标准和要求</w:t>
      </w:r>
      <w:r>
        <w:rPr>
          <w:rFonts w:hint="eastAsia" w:ascii="宋体" w:hAnsi="宋体" w:cs="宋体"/>
          <w:sz w:val="28"/>
          <w:szCs w:val="28"/>
          <w:highlight w:val="none"/>
        </w:rPr>
        <w:tab/>
      </w:r>
      <w:r>
        <w:rPr>
          <w:rFonts w:hint="eastAsia" w:ascii="宋体" w:hAnsi="宋体" w:cs="宋体"/>
          <w:sz w:val="28"/>
          <w:szCs w:val="28"/>
          <w:highlight w:val="none"/>
        </w:rPr>
        <w:fldChar w:fldCharType="end"/>
      </w:r>
      <w:r>
        <w:rPr>
          <w:rFonts w:hint="eastAsia" w:ascii="宋体" w:hAnsi="宋体" w:cs="宋体"/>
          <w:sz w:val="28"/>
          <w:szCs w:val="28"/>
          <w:highlight w:val="none"/>
          <w:lang w:val="en-US" w:eastAsia="zh-CN"/>
        </w:rPr>
        <w:t xml:space="preserve">59</w:t>
      </w:r>
      <w:r/>
    </w:p>
    <w:p>
      <w:pPr>
        <w:pStyle w:val="1079"/>
        <w:shd w:val="clear" w:color="auto" w:fill="auto"/>
        <w:rPr>
          <w:rFonts w:hint="eastAsia" w:ascii="宋体" w:hAnsi="宋体" w:eastAsia="宋体" w:cs="宋体"/>
          <w:sz w:val="28"/>
          <w:szCs w:val="28"/>
          <w:highlight w:val="none"/>
        </w:rPr>
      </w:pPr>
      <w:r>
        <w:rPr>
          <w:highlight w:val="none"/>
        </w:rPr>
        <w:fldChar w:fldCharType="begin"/>
      </w:r>
      <w:r>
        <w:rPr>
          <w:highlight w:val="none"/>
        </w:rPr>
        <w:instrText xml:space="preserve"> HYPERLINK \l "_Toc211090869" </w:instrText>
      </w:r>
      <w:r>
        <w:rPr>
          <w:highlight w:val="none"/>
        </w:rPr>
        <w:fldChar w:fldCharType="separate"/>
      </w:r>
      <w:r>
        <w:rPr>
          <w:rStyle w:val="1088"/>
          <w:rFonts w:hint="eastAsia" w:ascii="宋体" w:hAnsi="宋体" w:cs="宋体"/>
          <w:color w:val="auto"/>
          <w:sz w:val="28"/>
          <w:szCs w:val="28"/>
          <w:highlight w:val="none"/>
        </w:rPr>
        <w:t xml:space="preserve">第八章  投标文件格式</w:t>
      </w:r>
      <w:r>
        <w:rPr>
          <w:rFonts w:hint="eastAsia" w:ascii="宋体" w:hAnsi="宋体" w:cs="宋体"/>
          <w:sz w:val="28"/>
          <w:szCs w:val="28"/>
          <w:highlight w:val="none"/>
        </w:rPr>
        <w:tab/>
      </w:r>
      <w:r>
        <w:rPr>
          <w:rFonts w:hint="eastAsia" w:ascii="宋体" w:hAnsi="宋体" w:cs="宋体"/>
          <w:sz w:val="28"/>
          <w:szCs w:val="28"/>
          <w:highlight w:val="none"/>
          <w:lang w:val="en-US" w:eastAsia="zh-CN"/>
        </w:rPr>
        <w:t xml:space="preserve">6</w:t>
      </w:r>
      <w:r>
        <w:rPr>
          <w:rFonts w:hint="eastAsia" w:ascii="宋体" w:hAnsi="宋体" w:cs="宋体"/>
          <w:sz w:val="28"/>
          <w:szCs w:val="28"/>
          <w:highlight w:val="none"/>
        </w:rPr>
        <w:fldChar w:fldCharType="end"/>
      </w:r>
      <w:r>
        <w:rPr>
          <w:rFonts w:hint="eastAsia" w:ascii="宋体" w:hAnsi="宋体" w:cs="宋体"/>
          <w:sz w:val="28"/>
          <w:szCs w:val="28"/>
          <w:highlight w:val="none"/>
          <w:lang w:val="en-US" w:eastAsia="zh-CN"/>
        </w:rPr>
        <w:t xml:space="preserve">1</w:t>
      </w:r>
      <w:r/>
    </w:p>
    <w:p>
      <w:pPr>
        <w:pStyle w:val="1071"/>
        <w:shd w:val="clear" w:color="auto" w:fill="auto"/>
        <w:tabs>
          <w:tab w:val="right" w:pos="9431" w:leader="dot"/>
        </w:tabs>
        <w:rPr>
          <w:rFonts w:hint="eastAsia" w:ascii="宋体" w:hAnsi="宋体" w:cs="宋体"/>
          <w:sz w:val="32"/>
          <w:szCs w:val="36"/>
          <w:highlight w:val="none"/>
        </w:rPr>
      </w:pPr>
      <w:r>
        <w:rPr>
          <w:rFonts w:hint="eastAsia" w:ascii="宋体" w:hAnsi="宋体" w:cs="宋体"/>
          <w:sz w:val="32"/>
          <w:szCs w:val="36"/>
          <w:highlight w:val="none"/>
        </w:rPr>
      </w:r>
      <w:r/>
    </w:p>
    <w:p>
      <w:pPr>
        <w:spacing w:line="480" w:lineRule="auto"/>
        <w:shd w:val="clear" w:color="auto" w:fill="auto"/>
        <w:tabs>
          <w:tab w:val="left" w:pos="7190" w:leader="none"/>
        </w:tabs>
        <w:rPr>
          <w:rFonts w:hint="eastAsia" w:ascii="宋体" w:hAnsi="宋体" w:cs="宋体"/>
          <w:b/>
          <w:bCs/>
          <w:highlight w:val="none"/>
        </w:rPr>
      </w:pPr>
      <w:r>
        <w:rPr>
          <w:rFonts w:hint="eastAsia" w:ascii="宋体" w:hAnsi="宋体" w:cs="宋体"/>
          <w:b/>
          <w:bCs/>
          <w:sz w:val="40"/>
          <w:szCs w:val="48"/>
          <w:highlight w:val="none"/>
        </w:rPr>
        <w:fldChar w:fldCharType="end"/>
      </w:r>
      <w:r/>
    </w:p>
    <w:p>
      <w:pPr>
        <w:jc w:val="left"/>
        <w:spacing w:beforeAutospacing="1" w:afterAutospacing="1"/>
        <w:shd w:val="clear" w:color="auto" w:fill="auto"/>
        <w:widowControl/>
        <w:tabs>
          <w:tab w:val="left" w:pos="7190" w:leader="none"/>
        </w:tabs>
        <w:rPr>
          <w:rFonts w:hint="eastAsia" w:ascii="宋体" w:hAnsi="宋体" w:cs="宋体"/>
          <w:highlight w:val="none"/>
        </w:rPr>
        <w:sectPr>
          <w:footerReference w:type="default" r:id="rId11"/>
          <w:footnotePr/>
          <w:endnotePr/>
          <w:type w:val="nextPage"/>
          <w:pgSz w:w="11906" w:h="16838" w:orient="portrait"/>
          <w:pgMar w:top="1417" w:right="1417" w:bottom="1417" w:left="1417" w:header="851" w:footer="992" w:gutter="0"/>
          <w:pgNumType w:start="1"/>
          <w:cols w:num="1" w:sep="0" w:space="1701" w:equalWidth="1"/>
          <w:docGrid w:linePitch="360"/>
        </w:sectPr>
      </w:pPr>
      <w:r>
        <w:rPr>
          <w:rFonts w:hint="eastAsia" w:ascii="宋体" w:hAnsi="宋体" w:cs="宋体"/>
          <w:highlight w:val="none"/>
        </w:rPr>
        <w:tab/>
      </w:r>
      <w:r/>
    </w:p>
    <w:p>
      <w:pPr>
        <w:pStyle w:val="1058"/>
        <w:jc w:val="center"/>
        <w:keepLines w:val="0"/>
        <w:keepNext w:val="0"/>
        <w:spacing w:before="0" w:after="0" w:line="360" w:lineRule="auto"/>
        <w:shd w:val="clear" w:color="auto" w:fill="auto"/>
        <w:tabs>
          <w:tab w:val="left" w:pos="0" w:leader="none"/>
          <w:tab w:val="left" w:pos="3165" w:leader="none"/>
          <w:tab w:val="center" w:pos="4153" w:leader="none"/>
        </w:tabs>
        <w:rPr>
          <w:rFonts w:hint="eastAsia" w:ascii="宋体" w:hAnsi="宋体" w:cs="宋体"/>
          <w:sz w:val="32"/>
          <w:szCs w:val="32"/>
          <w:highlight w:val="none"/>
        </w:rPr>
      </w:pPr>
      <w:r/>
      <w:bookmarkStart w:id="3" w:name="_Toc211090850"/>
      <w:r/>
      <w:bookmarkStart w:id="4" w:name="_Toc28359001"/>
      <w:r/>
      <w:bookmarkStart w:id="5" w:name="_Toc35393789"/>
      <w:r/>
      <w:bookmarkStart w:id="6" w:name="_Toc432244490"/>
      <w:r/>
      <w:bookmarkStart w:id="7" w:name="_Toc503307421"/>
      <w:r/>
      <w:bookmarkStart w:id="8" w:name="_Toc503901902"/>
      <w:r>
        <w:rPr>
          <w:rFonts w:hint="eastAsia" w:ascii="宋体" w:hAnsi="宋体" w:cs="宋体"/>
          <w:sz w:val="32"/>
          <w:szCs w:val="32"/>
          <w:highlight w:val="none"/>
        </w:rPr>
        <w:t xml:space="preserve">第一章  招标公告</w:t>
      </w:r>
      <w:bookmarkEnd w:id="3"/>
      <w:r/>
      <w:bookmarkEnd w:id="4"/>
      <w:r/>
      <w:bookmarkEnd w:id="5"/>
      <w:r/>
      <w:r/>
    </w:p>
    <w:p>
      <w:pPr>
        <w:contextualSpacing/>
        <w:ind w:firstLine="480"/>
        <w:shd w:val="clear" w:color="auto" w:fill="auto"/>
        <w:rPr>
          <w:rFonts w:hint="eastAsia" w:ascii="宋体" w:hAnsi="宋体" w:cs="宋体"/>
          <w:sz w:val="24"/>
          <w:highlight w:val="none"/>
        </w:rPr>
        <w:pBdr>
          <w:top w:val="single" w:color="000000" w:sz="4" w:space="8"/>
          <w:left w:val="single" w:color="000000" w:sz="4" w:space="4"/>
          <w:bottom w:val="single" w:color="000000" w:sz="4" w:space="1"/>
          <w:right w:val="single" w:color="000000" w:sz="4" w:space="4"/>
        </w:pBdr>
      </w:pPr>
      <w:r>
        <w:rPr>
          <w:rFonts w:hint="eastAsia" w:ascii="宋体" w:hAnsi="宋体" w:cs="宋体"/>
          <w:sz w:val="24"/>
          <w:highlight w:val="none"/>
        </w:rPr>
        <w:t xml:space="preserve">项目概况</w:t>
      </w:r>
      <w:r/>
    </w:p>
    <w:p>
      <w:pPr>
        <w:contextualSpacing/>
        <w:ind w:firstLine="480"/>
        <w:shd w:val="clear" w:color="auto" w:fill="auto"/>
        <w:rPr>
          <w:rFonts w:hint="eastAsia" w:ascii="宋体" w:hAnsi="宋体" w:cs="宋体"/>
          <w:sz w:val="24"/>
          <w:highlight w:val="none"/>
        </w:rPr>
        <w:pBdr>
          <w:top w:val="single" w:color="000000" w:sz="4" w:space="8"/>
          <w:left w:val="single" w:color="000000" w:sz="4" w:space="4"/>
          <w:bottom w:val="single" w:color="000000" w:sz="4" w:space="1"/>
          <w:right w:val="single" w:color="000000" w:sz="4" w:space="4"/>
        </w:pBdr>
      </w:pPr>
      <w:r/>
      <w:bookmarkStart w:id="203" w:name="_GoBack"/>
      <w:r>
        <w:rPr>
          <w:rFonts w:hint="eastAsia" w:ascii="宋体" w:hAnsi="宋体" w:cs="宋体"/>
          <w:sz w:val="24"/>
          <w:highlight w:val="none"/>
          <w:u w:val="single"/>
        </w:rPr>
        <w:t xml:space="preserve">苏北运河船闸检修门存放基地扩容及功能完善项目（二次）</w:t>
      </w:r>
      <w:bookmarkEnd w:id="203"/>
      <w:r>
        <w:rPr>
          <w:rFonts w:hint="eastAsia" w:ascii="宋体" w:hAnsi="宋体" w:cs="宋体"/>
          <w:sz w:val="24"/>
          <w:highlight w:val="none"/>
        </w:rPr>
        <w:t xml:space="preserve">的潜在投标人应在“苏采云”政府采购一体化平台获取招标文件，并于2026年</w:t>
      </w:r>
      <w:r>
        <w:rPr>
          <w:rFonts w:hint="eastAsia" w:ascii="宋体" w:hAnsi="宋体" w:cs="宋体"/>
          <w:sz w:val="24"/>
          <w:highlight w:val="none"/>
          <w:lang w:val="en-US" w:eastAsia="zh-CN"/>
        </w:rPr>
        <w:t xml:space="preserve">9</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18</w:t>
      </w:r>
      <w:r>
        <w:rPr>
          <w:rFonts w:hint="eastAsia" w:ascii="宋体" w:hAnsi="宋体" w:cs="宋体"/>
          <w:sz w:val="24"/>
          <w:highlight w:val="none"/>
        </w:rPr>
        <w:t xml:space="preserve">日14时00分（北京时间）前提交投标文件。</w:t>
      </w: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outlineLvl w:val="1"/>
      </w:pPr>
      <w:r/>
      <w:bookmarkStart w:id="9" w:name="_Toc35393790"/>
      <w:r/>
      <w:bookmarkStart w:id="10" w:name="_Toc28359002"/>
      <w:r/>
      <w:bookmarkStart w:id="11" w:name="_Toc7066"/>
      <w:r/>
      <w:bookmarkStart w:id="12" w:name="_Toc1475"/>
      <w:r/>
      <w:bookmarkStart w:id="13" w:name="_Toc7483"/>
      <w:r/>
      <w:bookmarkStart w:id="14" w:name="_Toc20615"/>
      <w:r/>
      <w:bookmarkStart w:id="15" w:name="_Toc28538"/>
      <w:r/>
      <w:bookmarkStart w:id="16" w:name="_Toc28359079"/>
      <w:r/>
      <w:bookmarkStart w:id="17" w:name="_Toc35393621"/>
      <w:r/>
      <w:bookmarkStart w:id="18" w:name="_Hlk24379207"/>
      <w:r>
        <w:rPr>
          <w:rFonts w:hint="eastAsia" w:ascii="宋体" w:hAnsi="宋体" w:eastAsia="宋体" w:cs="宋体"/>
          <w:b/>
          <w:bCs/>
          <w:sz w:val="24"/>
          <w:highlight w:val="none"/>
        </w:rPr>
        <w:t xml:space="preserve">一、项目基本情况</w:t>
      </w:r>
      <w:bookmarkEnd w:id="9"/>
      <w:r/>
      <w:bookmarkEnd w:id="10"/>
      <w:r/>
      <w:bookmarkEnd w:id="11"/>
      <w:r/>
      <w:bookmarkEnd w:id="12"/>
      <w:r/>
      <w:bookmarkEnd w:id="13"/>
      <w:r/>
      <w:bookmarkEnd w:id="14"/>
      <w:r/>
      <w:bookmarkEnd w:id="15"/>
      <w:r/>
      <w:bookmarkEnd w:id="16"/>
      <w:r/>
      <w:bookmarkEnd w:id="17"/>
      <w:r>
        <w:rPr>
          <w:rFonts w:hint="eastAsia" w:ascii="宋体" w:hAnsi="宋体" w:eastAsia="宋体" w:cs="宋体"/>
          <w:b/>
          <w:bCs/>
          <w:sz w:val="24"/>
          <w:highlight w:val="none"/>
        </w:rPr>
        <w:tab/>
      </w: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项目编号：</w:t>
      </w:r>
      <w:r>
        <w:rPr>
          <w:rFonts w:ascii="Arial" w:hAnsi="Arial" w:eastAsia="Arial" w:cs="Arial"/>
          <w:color w:val="000000"/>
          <w:sz w:val="21"/>
          <w:highlight w:val="white"/>
        </w:rPr>
        <w:t xml:space="preserve">JSZC-320000-JSTY-G2026-0015</w:t>
      </w:r>
      <w:r>
        <w:rPr>
          <w:rFonts w:hint="eastAsia" w:ascii="宋体" w:hAnsi="宋体" w:eastAsia="宋体" w:cs="宋体"/>
          <w:b/>
          <w:bCs/>
          <w:sz w:val="24"/>
          <w:highlight w:val="none"/>
        </w:rPr>
        <w:t xml:space="preserve">                  </w:t>
      </w:r>
      <w:r/>
    </w:p>
    <w:p>
      <w:pPr>
        <w:ind w:firstLine="482"/>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b/>
          <w:bCs/>
          <w:sz w:val="24"/>
          <w:highlight w:val="none"/>
        </w:rPr>
        <w:t xml:space="preserve">项目名称：</w:t>
      </w:r>
      <w:bookmarkEnd w:id="18"/>
      <w:r>
        <w:rPr>
          <w:rFonts w:hint="eastAsia" w:ascii="宋体" w:hAnsi="宋体" w:eastAsia="宋体" w:cs="宋体"/>
          <w:sz w:val="24"/>
          <w:highlight w:val="none"/>
        </w:rPr>
        <w:t xml:space="preserve">苏北运河船闸检修门存放基地扩容及功能完善项目（二次）</w:t>
      </w:r>
      <w:r/>
    </w:p>
    <w:p>
      <w:pPr>
        <w:ind w:firstLine="482"/>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b/>
          <w:bCs/>
          <w:sz w:val="24"/>
          <w:highlight w:val="none"/>
        </w:rPr>
        <w:t xml:space="preserve">预算金额：</w:t>
      </w:r>
      <w:r>
        <w:rPr>
          <w:rFonts w:hint="eastAsia" w:ascii="宋体" w:hAnsi="宋体" w:eastAsia="宋体" w:cs="宋体"/>
          <w:sz w:val="24"/>
          <w:highlight w:val="none"/>
        </w:rPr>
        <w:t xml:space="preserve">130万元</w:t>
      </w:r>
      <w:r/>
    </w:p>
    <w:p>
      <w:pPr>
        <w:ind w:firstLine="482"/>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b/>
          <w:bCs/>
          <w:sz w:val="24"/>
          <w:highlight w:val="none"/>
        </w:rPr>
        <w:t xml:space="preserve">最高限价：</w:t>
      </w:r>
      <w:r>
        <w:rPr>
          <w:rFonts w:hint="eastAsia" w:ascii="宋体" w:hAnsi="宋体" w:cs="宋体"/>
          <w:sz w:val="24"/>
          <w:highlight w:val="none"/>
          <w:lang w:val="en-US" w:eastAsia="zh-CN"/>
        </w:rPr>
        <w:t xml:space="preserve">123.37万元（含暂列金3万元、安全生产费2.4万元）</w:t>
      </w:r>
      <w:r/>
    </w:p>
    <w:p>
      <w:pPr>
        <w:ind w:firstLine="482"/>
        <w:jc w:val="both"/>
        <w:keepLines w:val="0"/>
        <w:keepNext w:val="0"/>
        <w:pageBreakBefore w:val="0"/>
        <w:spacing w:line="288" w:lineRule="auto"/>
        <w:shd w:val="clear" w:color="auto" w:fill="auto"/>
        <w:widowControl w:val="off"/>
        <w:rPr>
          <w:rFonts w:hint="eastAsia" w:ascii="宋体" w:hAnsi="宋体" w:eastAsia="宋体" w:cs="宋体"/>
          <w:sz w:val="24"/>
          <w:szCs w:val="24"/>
          <w:highlight w:val="none"/>
        </w:rPr>
        <w:suppressLineNumbers w:val="0"/>
      </w:pPr>
      <w:r>
        <w:rPr>
          <w:rFonts w:hint="eastAsia" w:ascii="宋体" w:hAnsi="宋体" w:eastAsia="宋体" w:cs="宋体"/>
          <w:b/>
          <w:bCs/>
          <w:sz w:val="24"/>
          <w:szCs w:val="24"/>
          <w:highlight w:val="none"/>
        </w:rPr>
        <w:t xml:space="preserve">项目概况：</w:t>
      </w:r>
      <w:r>
        <w:rPr>
          <w:rFonts w:hint="eastAsia" w:ascii="宋体" w:hAnsi="宋体" w:eastAsia="宋体" w:cs="宋体"/>
          <w:sz w:val="24"/>
          <w:szCs w:val="24"/>
          <w:highlight w:val="none"/>
        </w:rPr>
        <w:t xml:space="preserve">苏北运河船闸检修门存放基地扩容及功能完善项目，本工程主要内容包括:</w:t>
      </w:r>
      <w:r>
        <w:rPr>
          <w:rFonts w:hint="eastAsia" w:ascii="宋体" w:hAnsi="宋体" w:eastAsia="宋体" w:cs="宋体"/>
          <w:color w:val="auto"/>
          <w:sz w:val="24"/>
          <w:szCs w:val="24"/>
          <w:highlight w:val="none"/>
          <w:lang w:val="en-US" w:eastAsia="zh-CN"/>
        </w:rPr>
        <w:t xml:space="preserve">对泗阳基地进行扩容，泗阳、刘老涧及刘山检修门基地进行功能完善。</w:t>
      </w:r>
      <w:r>
        <w:rPr>
          <w:rFonts w:hint="eastAsia" w:ascii="宋体" w:hAnsi="宋体" w:eastAsia="宋体" w:cs="宋体"/>
          <w:color w:val="auto"/>
          <w:sz w:val="24"/>
          <w:szCs w:val="24"/>
          <w:highlight w:val="none"/>
          <w:lang w:val="en-US" w:eastAsia="zh-CN" w:bidi="ar"/>
        </w:rPr>
        <w:t xml:space="preserve">本次泗阳基地拟扩容摆放全省规划口门宽度为 34m 的船闸检修门，同时可兼顾 23m 口门检修门。34m 口门宽度的船闸上、</w:t>
      </w:r>
      <w:r>
        <w:rPr>
          <w:rFonts w:hint="eastAsia" w:ascii="宋体" w:hAnsi="宋体" w:eastAsia="宋体" w:cs="宋体"/>
          <w:color w:val="auto"/>
          <w:sz w:val="24"/>
          <w:szCs w:val="24"/>
          <w:highlight w:val="none"/>
          <w:lang w:val="en-US" w:eastAsia="zh-CN" w:bidi="ar"/>
        </w:rPr>
        <w:t xml:space="preserve">下闸首检修闸门尺寸均为 35.44m×12.0m×3.2m（宽×高×厚），由6片叠梁组成，按由下至上的叠放顺序分别为 1.5m、1.5m、2.0m、2.0m、2.5m和2.5m，共12片叠梁。23m 口门宽度的船闸上、下闸首检修门尺寸均为 23.96m×11.1m×2.4m（宽×高×厚，底层厚 2.6m），由 7 片叠梁组成，按由下至上的叠放顺序分别为 1.5m、1.5m、1.5m、1.5m、1.7m、1.7m 和 1.7m，共 14 片叠梁。 结合工程实际情况，考虑到现状检修门基地功能需进一步完善，同时对</w:t>
      </w:r>
      <w:r>
        <w:rPr>
          <w:rFonts w:hint="eastAsia" w:ascii="宋体" w:hAnsi="宋体" w:eastAsia="宋体" w:cs="宋体"/>
          <w:color w:val="auto"/>
          <w:sz w:val="24"/>
          <w:szCs w:val="24"/>
          <w:highlight w:val="none"/>
        </w:rPr>
        <w:t xml:space="preserve">泗阳基地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刘老涧、刘山基地基地现有枕木全套更换</w:t>
      </w:r>
      <w:r>
        <w:rPr>
          <w:rFonts w:hint="eastAsia" w:ascii="宋体" w:hAnsi="宋体" w:eastAsia="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rPr>
        <w:t xml:space="preserve">视频监控系统改造</w:t>
      </w:r>
      <w:r>
        <w:rPr>
          <w:rFonts w:hint="eastAsia" w:ascii="宋体" w:hAnsi="宋体" w:eastAsia="宋体" w:cs="宋体"/>
          <w:color w:val="auto"/>
          <w:sz w:val="24"/>
          <w:szCs w:val="24"/>
          <w:highlight w:val="none"/>
          <w:lang w:val="en-US" w:eastAsia="zh-CN"/>
        </w:rPr>
        <w:t xml:space="preserve">更新</w:t>
      </w:r>
      <w:r>
        <w:rPr>
          <w:rFonts w:hint="eastAsia" w:ascii="宋体" w:hAnsi="宋体" w:eastAsia="宋体" w:cs="宋体"/>
          <w:color w:val="auto"/>
          <w:sz w:val="24"/>
          <w:szCs w:val="24"/>
          <w:highlight w:val="none"/>
        </w:rPr>
        <w:t xml:space="preserve">等。</w:t>
      </w:r>
      <w:r>
        <w:rPr>
          <w:rFonts w:hint="eastAsia" w:ascii="宋体" w:hAnsi="宋体" w:eastAsia="宋体" w:cs="宋体"/>
          <w:sz w:val="24"/>
          <w:szCs w:val="24"/>
          <w:highlight w:val="none"/>
        </w:rPr>
        <w:t xml:space="preserve">具体以工程量清单及图纸为准，采购人保留根据实际情况进行调整的权利。</w:t>
      </w:r>
      <w:r/>
    </w:p>
    <w:p>
      <w:pPr>
        <w:ind w:firstLine="482"/>
        <w:jc w:val="both"/>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sz w:val="24"/>
          <w:highlight w:val="none"/>
        </w:rPr>
        <w:t xml:space="preserve">计划工期：</w:t>
      </w:r>
      <w:r>
        <w:rPr>
          <w:rFonts w:hint="eastAsia" w:ascii="宋体" w:hAnsi="宋体" w:cs="宋体"/>
          <w:b/>
          <w:sz w:val="24"/>
          <w:highlight w:val="none"/>
          <w:lang w:val="en-US" w:eastAsia="zh-CN"/>
        </w:rPr>
        <w:t xml:space="preserve">80</w:t>
      </w:r>
      <w:r>
        <w:rPr>
          <w:rFonts w:hint="eastAsia" w:ascii="宋体" w:hAnsi="宋体" w:eastAsia="宋体" w:cs="宋体"/>
          <w:bCs/>
          <w:sz w:val="24"/>
          <w:highlight w:val="none"/>
        </w:rPr>
        <w:t xml:space="preserve">日历天（具体以监理签发的开工令为准），</w:t>
      </w:r>
      <w:r>
        <w:rPr>
          <w:rFonts w:hint="eastAsia" w:ascii="宋体" w:hAnsi="宋体" w:eastAsia="宋体" w:cs="宋体"/>
          <w:b/>
          <w:sz w:val="24"/>
          <w:highlight w:val="none"/>
        </w:rPr>
        <w:t xml:space="preserve">缺陷责任期：12个月</w:t>
      </w:r>
      <w:r>
        <w:rPr>
          <w:rFonts w:hint="eastAsia" w:ascii="宋体" w:hAnsi="宋体" w:eastAsia="宋体" w:cs="宋体"/>
          <w:bCs/>
          <w:sz w:val="24"/>
          <w:highlight w:val="none"/>
        </w:rPr>
        <w:t xml:space="preserve">。</w:t>
      </w:r>
      <w:r/>
    </w:p>
    <w:p>
      <w:pPr>
        <w:ind w:firstLine="482"/>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b/>
          <w:bCs/>
          <w:sz w:val="24"/>
          <w:highlight w:val="none"/>
        </w:rPr>
        <w:t xml:space="preserve">质量要求：</w:t>
      </w:r>
      <w:r>
        <w:rPr>
          <w:rFonts w:hint="eastAsia" w:ascii="宋体" w:hAnsi="宋体" w:eastAsia="宋体" w:cs="宋体"/>
          <w:sz w:val="24"/>
          <w:highlight w:val="none"/>
        </w:rPr>
        <w:t xml:space="preserve">本工程竣工验收的质量评定：合格。</w:t>
      </w:r>
      <w:r/>
    </w:p>
    <w:p>
      <w:pPr>
        <w:ind w:firstLine="482"/>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b/>
          <w:bCs/>
          <w:sz w:val="24"/>
          <w:highlight w:val="none"/>
        </w:rPr>
        <w:t xml:space="preserve">安全目标：</w:t>
      </w:r>
      <w:r>
        <w:rPr>
          <w:rFonts w:hint="eastAsia" w:ascii="宋体" w:hAnsi="宋体" w:eastAsia="宋体" w:cs="宋体"/>
          <w:sz w:val="24"/>
          <w:highlight w:val="none"/>
        </w:rPr>
        <w:t xml:space="preserve">落实安全生产主体责任，确保本工程无安全生产责任事故发生，人员零伤亡。</w:t>
      </w: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所属行业：建筑业</w:t>
      </w: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是否专门面向中小型企业：</w:t>
      </w:r>
      <w:r>
        <w:rPr>
          <w:rFonts w:hint="eastAsia" w:ascii="宋体" w:hAnsi="宋体" w:eastAsia="宋体" w:cs="宋体"/>
          <w:sz w:val="24"/>
          <w:highlight w:val="none"/>
        </w:rPr>
        <w:t xml:space="preserve">否</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本项目（是/否）接受联合体投标：本项目</w:t>
      </w:r>
      <w:r>
        <w:rPr>
          <w:rFonts w:hint="eastAsia" w:ascii="宋体" w:hAnsi="宋体" w:eastAsia="宋体" w:cs="宋体"/>
          <w:sz w:val="24"/>
          <w:highlight w:val="none"/>
          <w:u w:val="single"/>
        </w:rPr>
        <w:t xml:space="preserve"> </w:t>
      </w:r>
      <w:r>
        <w:rPr>
          <w:rFonts w:hint="eastAsia" w:ascii="宋体" w:hAnsi="宋体" w:eastAsia="宋体" w:cs="宋体"/>
          <w:b/>
          <w:bCs/>
          <w:sz w:val="24"/>
          <w:highlight w:val="none"/>
          <w:u w:val="single"/>
        </w:rPr>
        <w:t xml:space="preserve">不接受 </w:t>
      </w:r>
      <w:r>
        <w:rPr>
          <w:rFonts w:hint="eastAsia" w:ascii="宋体" w:hAnsi="宋体" w:eastAsia="宋体" w:cs="宋体"/>
          <w:sz w:val="24"/>
          <w:highlight w:val="none"/>
        </w:rPr>
        <w:t xml:space="preserve">联合体。</w:t>
      </w:r>
      <w:bookmarkStart w:id="19" w:name="_Toc17697"/>
      <w:r/>
      <w:bookmarkStart w:id="20" w:name="_Toc11965"/>
      <w:r/>
      <w:bookmarkStart w:id="21" w:name="_Toc28359003"/>
      <w:r/>
      <w:bookmarkStart w:id="22" w:name="_Toc35393622"/>
      <w:r/>
      <w:bookmarkStart w:id="23" w:name="_Toc28359080"/>
      <w:r/>
      <w:bookmarkStart w:id="24" w:name="_Toc35393791"/>
      <w:r/>
      <w:bookmarkStart w:id="25" w:name="_Toc27817"/>
      <w:r/>
      <w:bookmarkStart w:id="26" w:name="_Toc31255"/>
      <w:r/>
      <w:bookmarkStart w:id="27" w:name="_Toc26389"/>
      <w:r/>
      <w:r/>
    </w:p>
    <w:p>
      <w:pPr>
        <w:pStyle w:val="1059"/>
        <w:keepLines w:val="0"/>
        <w:keepNext w:val="0"/>
        <w:pageBreakBefore w:val="0"/>
        <w:spacing w:before="0" w:after="0" w:line="288" w:lineRule="auto"/>
        <w:shd w:val="clear" w:color="auto" w:fill="auto"/>
        <w:widowControl w:val="off"/>
        <w:rPr>
          <w:rFonts w:hint="eastAsia" w:ascii="宋体" w:hAnsi="宋体" w:eastAsia="宋体" w:cs="宋体"/>
          <w:sz w:val="24"/>
          <w:szCs w:val="24"/>
          <w:highlight w:val="none"/>
        </w:rPr>
      </w:pPr>
      <w:r/>
      <w:bookmarkStart w:id="28" w:name="_Toc211090851"/>
      <w:r>
        <w:rPr>
          <w:rFonts w:hint="eastAsia" w:ascii="宋体" w:hAnsi="宋体" w:eastAsia="宋体" w:cs="宋体"/>
          <w:sz w:val="24"/>
          <w:szCs w:val="24"/>
          <w:highlight w:val="none"/>
        </w:rPr>
        <w:t xml:space="preserve">二、申请人的资格要求：</w:t>
      </w:r>
      <w:bookmarkEnd w:id="19"/>
      <w:r/>
      <w:bookmarkEnd w:id="20"/>
      <w:r/>
      <w:bookmarkEnd w:id="21"/>
      <w:r/>
      <w:bookmarkEnd w:id="22"/>
      <w:r/>
      <w:bookmarkEnd w:id="23"/>
      <w:r/>
      <w:bookmarkEnd w:id="24"/>
      <w:r/>
      <w:bookmarkEnd w:id="25"/>
      <w:r/>
      <w:bookmarkEnd w:id="26"/>
      <w:r/>
      <w:bookmarkEnd w:id="27"/>
      <w:r/>
      <w:bookmarkEnd w:id="28"/>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bookmarkStart w:id="29" w:name="_Toc28359004"/>
      <w:r/>
      <w:bookmarkStart w:id="30" w:name="_Toc28359081"/>
      <w:r>
        <w:rPr>
          <w:rFonts w:hint="eastAsia" w:ascii="宋体" w:hAnsi="宋体" w:eastAsia="宋体" w:cs="宋体"/>
          <w:sz w:val="24"/>
          <w:highlight w:val="none"/>
        </w:rPr>
        <w:t xml:space="preserve">1.满足《中华人民共和国政府采购法》第二十二条规定；</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2.落实政府采购政策需满足的资格要求：</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本项目为政府采购工程，按照以下第（4）种方式落实政府采购促进中小企业发展的要求：</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⑴本项目整体专门面向中小企业。</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⑵本项目整体专门面向小微企业。</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⑶本项目通过以下第（/）种方式预留部分采购份额面向中小企业：</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①本项目要求供应商以联合体形式参加，中小企业合同金额应当达到的比例为/%，其中小微企业所占比例应为/%（两项比例均应符合《政府采购促进中小企业发展管理办法》第八条规定）。</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②本项目要求供应商进行合同分包，中小企业合同金额应当达到的比例为/%，其中小微企业所占比例应为/%（两项比例均应符合《政府采购促进中小企业发展管理办法》第八条规定）。</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⑷本项目为非预留份额的采购项目或采购包，执行价格扣除优惠政策，具体详见第三章“评标办法”。。</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3.本项目的特定资格要求：</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⑴资质要求：投标人须具有有效期内的</w:t>
      </w:r>
      <w:r>
        <w:rPr>
          <w:rFonts w:hint="eastAsia" w:ascii="宋体" w:hAnsi="宋体" w:eastAsia="宋体" w:cs="宋体"/>
          <w:color w:val="auto"/>
          <w:sz w:val="24"/>
          <w:highlight w:val="none"/>
        </w:rPr>
        <w:t xml:space="preserve">港口与航道工程施工总承包三级及以上</w:t>
      </w:r>
      <w:r>
        <w:rPr>
          <w:rFonts w:hint="eastAsia" w:ascii="宋体" w:hAnsi="宋体" w:eastAsia="宋体" w:cs="宋体"/>
          <w:sz w:val="24"/>
          <w:highlight w:val="none"/>
        </w:rPr>
        <w:t xml:space="preserve">资质或具有有效期内的航道工程施工专业承包三级及以上资质</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同时须</w:t>
      </w:r>
      <w:r>
        <w:rPr>
          <w:rFonts w:hint="eastAsia" w:ascii="宋体" w:hAnsi="宋体" w:eastAsia="宋体" w:cs="宋体"/>
          <w:sz w:val="24"/>
          <w:highlight w:val="none"/>
        </w:rPr>
        <w:t xml:space="preserve">具有住建行政主管部门核发的有效的《安全生产许可证》；</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⑵主要人员要求：</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①拟投入本项目的项目经理应持有有效</w:t>
      </w:r>
      <w:r>
        <w:rPr>
          <w:rFonts w:hint="eastAsia" w:ascii="宋体" w:hAnsi="宋体" w:eastAsia="宋体" w:cs="宋体"/>
          <w:sz w:val="24"/>
          <w:highlight w:val="none"/>
          <w:lang w:val="en-US" w:eastAsia="zh-CN"/>
        </w:rPr>
        <w:t xml:space="preserve">期内的</w:t>
      </w:r>
      <w:r>
        <w:rPr>
          <w:rFonts w:hint="eastAsia" w:ascii="宋体" w:hAnsi="宋体" w:eastAsia="宋体" w:cs="宋体"/>
          <w:sz w:val="24"/>
          <w:highlight w:val="none"/>
        </w:rPr>
        <w:t xml:space="preserve">二级及以上港口与航道工程专业或水利水电工程专业注册建造师证书，</w:t>
      </w:r>
      <w:r>
        <w:rPr>
          <w:rFonts w:hint="eastAsia" w:ascii="宋体" w:hAnsi="宋体" w:eastAsia="宋体" w:cs="宋体"/>
          <w:sz w:val="24"/>
          <w:highlight w:val="none"/>
          <w:lang w:val="en-US" w:eastAsia="zh-CN"/>
        </w:rPr>
        <w:t xml:space="preserve">同时</w:t>
      </w:r>
      <w:r>
        <w:rPr>
          <w:rFonts w:hint="eastAsia" w:ascii="宋体" w:hAnsi="宋体" w:eastAsia="宋体" w:cs="宋体"/>
          <w:sz w:val="24"/>
          <w:highlight w:val="none"/>
        </w:rPr>
        <w:t xml:space="preserve">具有省级交通运输行政主管部门核发的《公路水运工程施工企业主要负责人和安全生产管理人员安全生产考核合格证书》（B类）或《公路水运工程施工单位主要负责人、项目负责人和专职安全生产管理人员安全生产考核合格证书》（B类）。</w:t>
      </w: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注：根据住房和城乡建设部办公厅关于全面实行一级建造师</w:t>
      </w:r>
      <w:r>
        <w:rPr>
          <w:rFonts w:hint="eastAsia" w:ascii="宋体" w:hAnsi="宋体" w:eastAsia="宋体" w:cs="宋体"/>
          <w:b/>
          <w:bCs/>
          <w:sz w:val="24"/>
          <w:highlight w:val="none"/>
        </w:rPr>
        <w:t xml:space="preserve">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投标人须上传一级建造师证书电子注册证书，电子注册证书应当符合相关文件规定，签名图像应当与持证人个人手写签名笔迹一致，证书应当在使用有效期限内。若文件中的证书复印件或扫描件无法识别有效信息的，视为无效。投标人将自行承担资格审查不通过等相应后果。</w:t>
      </w: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投标人拟委任项目经理若为二级建造师的，须附其有效的二级建造师注册证书扫描件，建造师注册地住建行政主管部门有明确规定使用电子证书的，则应附建造师电子注册证书扫描件。投标文件中未提供上述扫描件的，其投标将被否决；使用电子注册证书的，证书扫描件若存在投标文件递交截止时间当日超出使用时限或无手写签名或手写签名与签名图像笔迹不一致等证书注册地住建行政主管部门规定的无效情形的，该证书无效，其投标将被否决。</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②投标人</w:t>
      </w:r>
      <w:r>
        <w:rPr>
          <w:rFonts w:hint="eastAsia" w:ascii="宋体" w:hAnsi="宋体" w:eastAsia="宋体" w:cs="宋体"/>
          <w:b/>
          <w:bCs/>
          <w:sz w:val="24"/>
          <w:highlight w:val="none"/>
        </w:rPr>
        <w:t xml:space="preserve">至少配备1名专职安全员</w:t>
      </w:r>
      <w:r>
        <w:rPr>
          <w:rFonts w:hint="eastAsia" w:ascii="宋体" w:hAnsi="宋体" w:eastAsia="宋体" w:cs="宋体"/>
          <w:sz w:val="24"/>
          <w:highlight w:val="none"/>
        </w:rPr>
        <w:t xml:space="preserve">，专职安全员具有省级交通运输行政主管部门核发的《公路水运工程施工企业主要负责人和安全生产管理人员安全生产考核合格证书》（C类）或《公路水运工程施工单位主要负责人、项目负责人和专职安全生产管理人员安全生产考核合格证书》（C类）。</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⑶其他要求：</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①拟投入的项目经理无在岗项目（</w:t>
      </w:r>
      <w:r>
        <w:rPr>
          <w:rFonts w:hint="eastAsia" w:ascii="宋体" w:hAnsi="宋体" w:eastAsia="宋体" w:cs="宋体"/>
          <w:b/>
          <w:bCs/>
          <w:sz w:val="24"/>
          <w:highlight w:val="none"/>
        </w:rPr>
        <w:t xml:space="preserve">指目前未在其他项目上任职，或虽在其他项目上任职但本项目中标后能够从该项目撤离，提供相应承诺书，格式自拟</w:t>
      </w:r>
      <w:r>
        <w:rPr>
          <w:rFonts w:hint="eastAsia" w:ascii="宋体" w:hAnsi="宋体" w:eastAsia="宋体" w:cs="宋体"/>
          <w:sz w:val="24"/>
          <w:highlight w:val="none"/>
        </w:rPr>
        <w:t xml:space="preserve">）。</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②拟投入本项目的项目经理、专职安全员需提供所属社保机构出具的投标当月至投标当月开始往前3个月中，任意1个月的社保缴费证明（</w:t>
      </w:r>
      <w:r>
        <w:rPr>
          <w:rFonts w:hint="eastAsia" w:ascii="宋体" w:hAnsi="宋体" w:eastAsia="宋体" w:cs="宋体"/>
          <w:b/>
          <w:bCs/>
          <w:sz w:val="24"/>
          <w:highlight w:val="none"/>
        </w:rPr>
        <w:t xml:space="preserve">缴费证明内容需含缴费起止时间、缴费单位、缴费人员姓名并由社保机构加盖缴费证明专用章</w:t>
      </w:r>
      <w:r>
        <w:rPr>
          <w:rFonts w:hint="eastAsia" w:ascii="宋体" w:hAnsi="宋体" w:eastAsia="宋体" w:cs="宋体"/>
          <w:sz w:val="24"/>
          <w:highlight w:val="none"/>
        </w:rPr>
        <w:t xml:space="preserve">）。</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4.被“信用中国”网站（www.creditchina.gov.cn）</w:t>
      </w:r>
      <w:r>
        <w:rPr>
          <w:rFonts w:hint="eastAsia" w:ascii="宋体" w:hAnsi="宋体" w:eastAsia="宋体" w:cs="宋体"/>
          <w:b/>
          <w:bCs/>
          <w:sz w:val="24"/>
          <w:highlight w:val="none"/>
        </w:rPr>
        <w:t xml:space="preserve">列入失信被执行人和重大税收违法案件当事人名单的供应商</w:t>
      </w:r>
      <w:r>
        <w:rPr>
          <w:rFonts w:hint="eastAsia" w:ascii="宋体" w:hAnsi="宋体" w:eastAsia="宋体" w:cs="宋体"/>
          <w:sz w:val="24"/>
          <w:highlight w:val="none"/>
        </w:rPr>
        <w:t xml:space="preserve">、被中国政府采购网（www.ccgp.gov.cn）</w:t>
      </w:r>
      <w:r>
        <w:rPr>
          <w:rFonts w:hint="eastAsia" w:ascii="宋体" w:hAnsi="宋体" w:eastAsia="宋体" w:cs="宋体"/>
          <w:b/>
          <w:bCs/>
          <w:sz w:val="24"/>
          <w:highlight w:val="none"/>
        </w:rPr>
        <w:t xml:space="preserve">列入政府采购严重违法失信行为记录名单中被财政部门禁止参加政府采购活动的供应商（处罚决定规定的时间和地域范围内），无资格参加本项目的采购活动。</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5.单位负责人为同一人或者存在控股、管理关系的不同单位，不得参加同一合同项下的政府采购活动。除单一来源采购项目外，为本项目提供整体设计、规范编制或者项目管理、监理、检测等服务的投标人，不得再参加该采购项目的其他采购活动。</w:t>
      </w:r>
      <w:r/>
    </w:p>
    <w:p>
      <w:pPr>
        <w:pStyle w:val="1059"/>
        <w:keepLines w:val="0"/>
        <w:keepNext w:val="0"/>
        <w:pageBreakBefore w:val="0"/>
        <w:spacing w:before="0" w:after="0" w:line="288" w:lineRule="auto"/>
        <w:shd w:val="clear" w:color="auto" w:fill="auto"/>
        <w:widowControl w:val="off"/>
        <w:rPr>
          <w:rFonts w:hint="eastAsia" w:ascii="宋体" w:hAnsi="宋体" w:eastAsia="宋体" w:cs="宋体"/>
          <w:sz w:val="24"/>
          <w:szCs w:val="24"/>
          <w:highlight w:val="none"/>
        </w:rPr>
      </w:pPr>
      <w:r/>
      <w:bookmarkStart w:id="31" w:name="_Toc31322"/>
      <w:r/>
      <w:bookmarkStart w:id="32" w:name="_Toc35393623"/>
      <w:r/>
      <w:bookmarkStart w:id="33" w:name="_Toc26649"/>
      <w:r/>
      <w:bookmarkStart w:id="34" w:name="_Toc9257"/>
      <w:r/>
      <w:bookmarkStart w:id="35" w:name="_Toc14252"/>
      <w:r/>
      <w:bookmarkStart w:id="36" w:name="_Toc28537"/>
      <w:r/>
      <w:bookmarkStart w:id="37" w:name="_Toc211090852"/>
      <w:r/>
      <w:bookmarkStart w:id="38" w:name="_Toc35393792"/>
      <w:r>
        <w:rPr>
          <w:rFonts w:hint="eastAsia" w:ascii="宋体" w:hAnsi="宋体" w:eastAsia="宋体" w:cs="宋体"/>
          <w:sz w:val="24"/>
          <w:szCs w:val="24"/>
          <w:highlight w:val="none"/>
        </w:rPr>
        <w:t xml:space="preserve">三、获取招标文件</w:t>
      </w:r>
      <w:bookmarkEnd w:id="29"/>
      <w:r/>
      <w:bookmarkEnd w:id="30"/>
      <w:r/>
      <w:bookmarkEnd w:id="31"/>
      <w:r/>
      <w:bookmarkEnd w:id="32"/>
      <w:r/>
      <w:bookmarkEnd w:id="33"/>
      <w:r/>
      <w:bookmarkEnd w:id="34"/>
      <w:r/>
      <w:bookmarkEnd w:id="35"/>
      <w:r/>
      <w:bookmarkEnd w:id="36"/>
      <w:r/>
      <w:bookmarkEnd w:id="37"/>
      <w:r/>
      <w:bookmarkEnd w:id="38"/>
      <w:r/>
      <w:r/>
    </w:p>
    <w:p>
      <w:pPr>
        <w:ind w:firstLine="54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时间：自2026年</w:t>
      </w:r>
      <w:r>
        <w:rPr>
          <w:rFonts w:hint="eastAsia" w:ascii="宋体" w:hAnsi="宋体" w:cs="宋体"/>
          <w:sz w:val="24"/>
          <w:highlight w:val="none"/>
          <w:lang w:val="en-US" w:eastAsia="zh-CN"/>
        </w:rPr>
        <w:t xml:space="preserve">8</w:t>
      </w:r>
      <w:r>
        <w:rPr>
          <w:rFonts w:hint="eastAsia" w:ascii="宋体" w:hAnsi="宋体" w:eastAsia="宋体" w:cs="宋体"/>
          <w:sz w:val="24"/>
          <w:highlight w:val="none"/>
        </w:rPr>
        <w:t xml:space="preserve">月</w:t>
      </w:r>
      <w:r>
        <w:rPr>
          <w:rFonts w:hint="eastAsia" w:ascii="宋体" w:hAnsi="宋体" w:cs="宋体"/>
          <w:sz w:val="24"/>
          <w:highlight w:val="none"/>
          <w:lang w:val="en-US" w:eastAsia="zh-CN"/>
        </w:rPr>
        <w:t xml:space="preserve">28</w:t>
      </w:r>
      <w:r>
        <w:rPr>
          <w:rFonts w:hint="eastAsia" w:ascii="宋体" w:hAnsi="宋体" w:eastAsia="宋体" w:cs="宋体"/>
          <w:sz w:val="24"/>
          <w:highlight w:val="none"/>
        </w:rPr>
        <w:t xml:space="preserve">日9:00起至2026年</w:t>
      </w:r>
      <w:r>
        <w:rPr>
          <w:rFonts w:hint="eastAsia" w:ascii="宋体" w:hAnsi="宋体" w:cs="宋体"/>
          <w:sz w:val="24"/>
          <w:highlight w:val="none"/>
          <w:lang w:val="en-US" w:eastAsia="zh-CN"/>
        </w:rPr>
        <w:t xml:space="preserve">9</w:t>
      </w:r>
      <w:r>
        <w:rPr>
          <w:rFonts w:hint="eastAsia" w:ascii="宋体" w:hAnsi="宋体" w:eastAsia="宋体" w:cs="宋体"/>
          <w:sz w:val="24"/>
          <w:highlight w:val="none"/>
        </w:rPr>
        <w:t xml:space="preserve">月</w:t>
      </w:r>
      <w:r>
        <w:rPr>
          <w:rFonts w:hint="eastAsia" w:ascii="宋体" w:hAnsi="宋体" w:cs="宋体"/>
          <w:sz w:val="24"/>
          <w:highlight w:val="none"/>
          <w:lang w:val="en-US" w:eastAsia="zh-CN"/>
        </w:rPr>
        <w:t xml:space="preserve">4</w:t>
      </w:r>
      <w:r>
        <w:rPr>
          <w:rFonts w:hint="eastAsia" w:ascii="宋体" w:hAnsi="宋体" w:eastAsia="宋体" w:cs="宋体"/>
          <w:sz w:val="24"/>
          <w:highlight w:val="none"/>
        </w:rPr>
        <w:t xml:space="preserve">日17:00（北京时间，法定节假日除外）。</w:t>
      </w:r>
      <w:r/>
    </w:p>
    <w:p>
      <w:pPr>
        <w:ind w:firstLine="54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地点：“苏采云”政府采购一体化平台。</w:t>
      </w:r>
      <w:r/>
    </w:p>
    <w:p>
      <w:pPr>
        <w:ind w:firstLine="54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获取方式：线上获取。</w:t>
      </w:r>
      <w:r/>
    </w:p>
    <w:p>
      <w:pPr>
        <w:ind w:firstLine="54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售价：0.00元。</w:t>
      </w:r>
      <w:bookmarkStart w:id="39" w:name="_Toc17252"/>
      <w:r/>
      <w:bookmarkStart w:id="40" w:name="_Toc1984"/>
      <w:r/>
      <w:bookmarkStart w:id="41" w:name="_Toc1995"/>
      <w:r/>
      <w:bookmarkStart w:id="42" w:name="_Toc35393624"/>
      <w:r/>
      <w:bookmarkStart w:id="43" w:name="_Toc9463"/>
      <w:r/>
      <w:bookmarkStart w:id="44" w:name="_Toc25544"/>
      <w:r/>
      <w:bookmarkStart w:id="45" w:name="_Toc35393793"/>
      <w:r/>
      <w:bookmarkStart w:id="46" w:name="_Toc28359082"/>
      <w:r/>
      <w:bookmarkStart w:id="47" w:name="_Toc28359005"/>
      <w:r/>
      <w:r/>
    </w:p>
    <w:p>
      <w:pPr>
        <w:pStyle w:val="1059"/>
        <w:keepLines w:val="0"/>
        <w:keepNext w:val="0"/>
        <w:pageBreakBefore w:val="0"/>
        <w:spacing w:before="0" w:after="0" w:line="288" w:lineRule="auto"/>
        <w:shd w:val="clear" w:color="auto" w:fill="auto"/>
        <w:widowControl w:val="off"/>
        <w:rPr>
          <w:rFonts w:hint="eastAsia" w:ascii="宋体" w:hAnsi="宋体" w:eastAsia="宋体" w:cs="宋体"/>
          <w:sz w:val="24"/>
          <w:szCs w:val="24"/>
          <w:highlight w:val="none"/>
        </w:rPr>
      </w:pPr>
      <w:r/>
      <w:bookmarkStart w:id="48" w:name="_Toc211090853"/>
      <w:r>
        <w:rPr>
          <w:rFonts w:hint="eastAsia" w:ascii="宋体" w:hAnsi="宋体" w:eastAsia="宋体" w:cs="宋体"/>
          <w:sz w:val="24"/>
          <w:szCs w:val="24"/>
          <w:highlight w:val="none"/>
        </w:rPr>
        <w:t xml:space="preserve">四、</w:t>
      </w:r>
      <w:bookmarkEnd w:id="39"/>
      <w:r/>
      <w:bookmarkEnd w:id="40"/>
      <w:r/>
      <w:bookmarkEnd w:id="41"/>
      <w:r/>
      <w:bookmarkEnd w:id="42"/>
      <w:r/>
      <w:bookmarkEnd w:id="43"/>
      <w:r/>
      <w:bookmarkEnd w:id="44"/>
      <w:r/>
      <w:bookmarkEnd w:id="45"/>
      <w:r/>
      <w:bookmarkEnd w:id="46"/>
      <w:r/>
      <w:bookmarkEnd w:id="47"/>
      <w:r/>
      <w:bookmarkEnd w:id="48"/>
      <w:r>
        <w:rPr>
          <w:rFonts w:hint="eastAsia" w:ascii="宋体" w:hAnsi="宋体" w:eastAsia="宋体" w:cs="宋体"/>
          <w:sz w:val="24"/>
          <w:szCs w:val="24"/>
          <w:highlight w:val="none"/>
        </w:rPr>
        <w:t xml:space="preserve">提交投标文件截止时间、开标时间和地点</w:t>
      </w: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截止时间：2026年</w:t>
      </w:r>
      <w:r>
        <w:rPr>
          <w:rFonts w:hint="eastAsia" w:ascii="宋体" w:hAnsi="宋体" w:cs="宋体"/>
          <w:bCs/>
          <w:sz w:val="24"/>
          <w:highlight w:val="none"/>
          <w:lang w:val="en-US" w:eastAsia="zh-CN"/>
        </w:rPr>
        <w:t xml:space="preserve">9</w:t>
      </w:r>
      <w:r>
        <w:rPr>
          <w:rFonts w:hint="eastAsia" w:ascii="宋体" w:hAnsi="宋体" w:eastAsia="宋体" w:cs="宋体"/>
          <w:bCs/>
          <w:sz w:val="24"/>
          <w:highlight w:val="none"/>
        </w:rPr>
        <w:t xml:space="preserve">月</w:t>
      </w:r>
      <w:r>
        <w:rPr>
          <w:rFonts w:hint="eastAsia" w:ascii="宋体" w:hAnsi="宋体" w:cs="宋体"/>
          <w:bCs/>
          <w:sz w:val="24"/>
          <w:highlight w:val="none"/>
          <w:lang w:val="en-US" w:eastAsia="zh-CN"/>
        </w:rPr>
        <w:t xml:space="preserve">18</w:t>
      </w:r>
      <w:r>
        <w:rPr>
          <w:rFonts w:hint="eastAsia" w:ascii="宋体" w:hAnsi="宋体" w:eastAsia="宋体" w:cs="宋体"/>
          <w:bCs/>
          <w:sz w:val="24"/>
          <w:highlight w:val="none"/>
        </w:rPr>
        <w:t xml:space="preserve">日14时00分（北京时间）</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bCs/>
          <w:sz w:val="24"/>
          <w:highlight w:val="none"/>
        </w:rPr>
        <w:t xml:space="preserve">地点：“苏采云”系统（网址：http://jszfcg.jsczt.cn/）开标大厅，点击“苏采云”进入系统“开标大厅”。</w:t>
      </w:r>
      <w:bookmarkStart w:id="49" w:name="_Toc35393625"/>
      <w:r/>
      <w:bookmarkStart w:id="50" w:name="_Toc28359084"/>
      <w:r/>
      <w:bookmarkStart w:id="51" w:name="_Toc28671"/>
      <w:r/>
      <w:bookmarkStart w:id="52" w:name="_Toc6212"/>
      <w:r/>
      <w:bookmarkStart w:id="53" w:name="_Toc35393794"/>
      <w:r/>
      <w:bookmarkStart w:id="54" w:name="_Toc17787"/>
      <w:r/>
      <w:bookmarkStart w:id="55" w:name="_Toc28359007"/>
      <w:r/>
      <w:bookmarkStart w:id="56" w:name="_Toc730"/>
      <w:r/>
      <w:bookmarkStart w:id="57" w:name="_Toc13443"/>
      <w:r/>
      <w:r/>
    </w:p>
    <w:p>
      <w:pPr>
        <w:pStyle w:val="1059"/>
        <w:keepLines w:val="0"/>
        <w:keepNext w:val="0"/>
        <w:pageBreakBefore w:val="0"/>
        <w:spacing w:before="0" w:after="0" w:line="288" w:lineRule="auto"/>
        <w:shd w:val="clear" w:color="auto" w:fill="auto"/>
        <w:widowControl w:val="off"/>
        <w:rPr>
          <w:rFonts w:hint="eastAsia" w:ascii="宋体" w:hAnsi="宋体" w:eastAsia="宋体" w:cs="宋体"/>
          <w:sz w:val="24"/>
          <w:szCs w:val="24"/>
          <w:highlight w:val="none"/>
        </w:rPr>
      </w:pPr>
      <w:r/>
      <w:bookmarkStart w:id="58" w:name="_Toc211090854"/>
      <w:r>
        <w:rPr>
          <w:rFonts w:hint="eastAsia" w:ascii="宋体" w:hAnsi="宋体" w:eastAsia="宋体" w:cs="宋体"/>
          <w:sz w:val="24"/>
          <w:szCs w:val="24"/>
          <w:highlight w:val="none"/>
        </w:rPr>
        <w:t xml:space="preserve">五、公告期限</w:t>
      </w:r>
      <w:bookmarkEnd w:id="49"/>
      <w:r/>
      <w:bookmarkEnd w:id="50"/>
      <w:r/>
      <w:bookmarkEnd w:id="51"/>
      <w:r/>
      <w:bookmarkEnd w:id="52"/>
      <w:r/>
      <w:bookmarkEnd w:id="53"/>
      <w:r/>
      <w:bookmarkEnd w:id="54"/>
      <w:r/>
      <w:bookmarkEnd w:id="55"/>
      <w:r/>
      <w:bookmarkEnd w:id="56"/>
      <w:r/>
      <w:bookmarkEnd w:id="57"/>
      <w:r/>
      <w:bookmarkEnd w:id="58"/>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自本公告发布之日起5个工作日。</w:t>
      </w:r>
      <w:bookmarkStart w:id="59" w:name="_Toc26922"/>
      <w:r/>
      <w:bookmarkStart w:id="60" w:name="_Toc4792"/>
      <w:r/>
      <w:bookmarkStart w:id="61" w:name="_Toc8221"/>
      <w:r/>
      <w:bookmarkStart w:id="62" w:name="_Toc28954"/>
      <w:r/>
      <w:bookmarkStart w:id="63" w:name="_Toc35393795"/>
      <w:r/>
      <w:bookmarkStart w:id="64" w:name="_Toc1482"/>
      <w:r/>
      <w:bookmarkStart w:id="65" w:name="_Toc35393626"/>
      <w:r/>
      <w:r/>
    </w:p>
    <w:p>
      <w:pPr>
        <w:pStyle w:val="1059"/>
        <w:keepLines w:val="0"/>
        <w:keepNext w:val="0"/>
        <w:pageBreakBefore w:val="0"/>
        <w:spacing w:before="0" w:after="0" w:line="288" w:lineRule="auto"/>
        <w:shd w:val="clear" w:color="auto" w:fill="auto"/>
        <w:widowControl w:val="off"/>
        <w:rPr>
          <w:rFonts w:hint="eastAsia" w:ascii="宋体" w:hAnsi="宋体" w:eastAsia="宋体" w:cs="宋体"/>
          <w:sz w:val="24"/>
          <w:szCs w:val="24"/>
          <w:highlight w:val="none"/>
        </w:rPr>
      </w:pPr>
      <w:r/>
      <w:bookmarkStart w:id="66" w:name="_Toc211090855"/>
      <w:r>
        <w:rPr>
          <w:rFonts w:hint="eastAsia" w:ascii="宋体" w:hAnsi="宋体" w:eastAsia="宋体" w:cs="宋体"/>
          <w:sz w:val="24"/>
          <w:szCs w:val="24"/>
          <w:highlight w:val="none"/>
        </w:rPr>
        <w:t xml:space="preserve">六、其他补充事宜</w:t>
      </w:r>
      <w:bookmarkEnd w:id="59"/>
      <w:r/>
      <w:bookmarkEnd w:id="60"/>
      <w:r/>
      <w:bookmarkEnd w:id="61"/>
      <w:r/>
      <w:bookmarkEnd w:id="62"/>
      <w:r/>
      <w:bookmarkEnd w:id="63"/>
      <w:r/>
      <w:bookmarkEnd w:id="64"/>
      <w:r/>
      <w:bookmarkEnd w:id="65"/>
      <w:r/>
      <w:bookmarkEnd w:id="66"/>
      <w:r/>
      <w:r/>
    </w:p>
    <w:p>
      <w:pPr>
        <w:pStyle w:val="1106"/>
        <w:ind w:firstLine="480"/>
        <w:keepLines w:val="0"/>
        <w:keepNext w:val="0"/>
        <w:pageBreakBefore w:val="0"/>
        <w:spacing w:line="288" w:lineRule="auto"/>
        <w:shd w:val="clear" w:color="auto" w:fill="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1、本招标公告在</w:t>
      </w:r>
      <w:r>
        <w:rPr>
          <w:rFonts w:hint="eastAsia" w:ascii="宋体" w:hAnsi="宋体" w:eastAsia="宋体" w:cs="宋体"/>
          <w:b/>
          <w:bCs/>
          <w:sz w:val="24"/>
          <w:szCs w:val="24"/>
          <w:highlight w:val="none"/>
        </w:rPr>
        <w:t xml:space="preserve">江苏政府采购网（http://www.ccgp-jiangsu.gov.cn/）公示发布</w:t>
      </w:r>
      <w:r>
        <w:rPr>
          <w:rFonts w:hint="eastAsia" w:ascii="宋体" w:hAnsi="宋体" w:eastAsia="宋体" w:cs="宋体"/>
          <w:sz w:val="24"/>
          <w:szCs w:val="24"/>
          <w:highlight w:val="none"/>
        </w:rPr>
        <w:t xml:space="preserve">，若有关本次招标存在变动或修改，敬请各投标人及时关注江苏政府采购网发布的关于本项目的信息更正公告。</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现场踏勘或答疑：招标人不组织集中现场考察或答疑，投标人可自行前往项目现场进行考察。未考察现场或考察工作不详细的投标人中标后，不得以不完全了解现场情况为理由而向招标人提出任何索赔或其他要求，对此招标人不承担任何责任并将不做任何答复。</w:t>
      </w:r>
      <w:r/>
    </w:p>
    <w:p>
      <w:pPr>
        <w:pStyle w:val="1106"/>
        <w:ind w:firstLine="480"/>
        <w:keepLines w:val="0"/>
        <w:keepNext w:val="0"/>
        <w:pageBreakBefore w:val="0"/>
        <w:spacing w:line="288" w:lineRule="auto"/>
        <w:shd w:val="clear" w:color="auto" w:fill="auto"/>
        <w:widowControl w:val="off"/>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3、投标保证金：本次招标不收取投标保证金。</w:t>
      </w:r>
      <w:r/>
    </w:p>
    <w:p>
      <w:pPr>
        <w:pStyle w:val="1106"/>
        <w:ind w:firstLine="482"/>
        <w:keepLines w:val="0"/>
        <w:keepNext w:val="0"/>
        <w:pageBreakBefore w:val="0"/>
        <w:spacing w:line="288" w:lineRule="auto"/>
        <w:shd w:val="clear" w:color="auto" w:fill="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4、注意事项：</w:t>
      </w:r>
      <w:r/>
    </w:p>
    <w:p>
      <w:pPr>
        <w:pStyle w:val="1106"/>
        <w:ind w:firstLine="482"/>
        <w:keepLines w:val="0"/>
        <w:keepNext w:val="0"/>
        <w:pageBreakBefore w:val="0"/>
        <w:spacing w:line="288" w:lineRule="auto"/>
        <w:shd w:val="clear" w:color="auto" w:fill="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4.1潜在投标人访问“苏采云”系统的网络地址和方法：“苏采云”系统的网址：http://jszfcg.jsczt.cn/。</w:t>
      </w:r>
      <w:r/>
    </w:p>
    <w:p>
      <w:pPr>
        <w:pStyle w:val="1106"/>
        <w:ind w:firstLine="482"/>
        <w:keepLines w:val="0"/>
        <w:keepNext w:val="0"/>
        <w:pageBreakBefore w:val="0"/>
        <w:spacing w:line="288" w:lineRule="auto"/>
        <w:shd w:val="clear" w:color="auto" w:fill="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4.2“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pStyle w:val="1106"/>
        <w:ind w:firstLine="482"/>
        <w:keepLines w:val="0"/>
        <w:keepNext w:val="0"/>
        <w:pageBreakBefore w:val="0"/>
        <w:spacing w:line="288" w:lineRule="auto"/>
        <w:shd w:val="clear" w:color="auto" w:fill="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4.3“CA数字证书”的获取：</w:t>
      </w:r>
      <w:r/>
    </w:p>
    <w:p>
      <w:pPr>
        <w:pStyle w:val="1106"/>
        <w:ind w:firstLine="482"/>
        <w:keepLines w:val="0"/>
        <w:keepNext w:val="0"/>
        <w:pageBreakBefore w:val="0"/>
        <w:spacing w:line="288" w:lineRule="auto"/>
        <w:shd w:val="clear" w:color="auto" w:fill="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潜在投标人需办理“CA 数字证书”，CA办理指南及“苏采云”操作手册可至江苏省政府采购网―办事指南-资料下载中心下载，点击进入“江苏省政府采购管理交易系统（苏采云）供应商操作指南”，进行下载。（http://www.ccgp-jiangsu.gov.cn/jiangsu/zlxz/ee/ee3a4bc5a3454aa2b0d9312230633ce9.html）</w:t>
      </w:r>
      <w:r/>
    </w:p>
    <w:p>
      <w:pPr>
        <w:pStyle w:val="1106"/>
        <w:ind w:firstLine="482"/>
        <w:keepLines w:val="0"/>
        <w:keepNext w:val="0"/>
        <w:pageBreakBefore w:val="0"/>
        <w:spacing w:line="288" w:lineRule="auto"/>
        <w:shd w:val="clear" w:color="auto" w:fill="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4.4采购文件（后缀名为“.kedt”）、供应商操作手册及政府采购客户端工具可通过“苏采云”系统--已报名项目--报名详情页面内相应链接进行下载。</w:t>
      </w:r>
      <w:r/>
    </w:p>
    <w:p>
      <w:pPr>
        <w:pStyle w:val="1106"/>
        <w:ind w:firstLine="482"/>
        <w:keepLines w:val="0"/>
        <w:keepNext w:val="0"/>
        <w:pageBreakBefore w:val="0"/>
        <w:spacing w:line="288" w:lineRule="auto"/>
        <w:shd w:val="clear" w:color="auto" w:fill="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4.5招标人或招标代理机构将数据电文形式的采购文件加载至“苏采云”系统，供潜在投标人下载或者查阅。</w:t>
      </w:r>
      <w:r/>
    </w:p>
    <w:p>
      <w:pPr>
        <w:pStyle w:val="1106"/>
        <w:ind w:firstLine="482"/>
        <w:keepLines w:val="0"/>
        <w:keepNext w:val="0"/>
        <w:pageBreakBefore w:val="0"/>
        <w:spacing w:line="288" w:lineRule="auto"/>
        <w:shd w:val="clear" w:color="auto" w:fill="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4.6请潜在投标人提前安装相应的控件（详见《江苏省政府采购管理交易系统（苏采云）供应商操作手册》）并使用谷歌浏览器登录“苏采云”系统参与不见面开评标。（操作系统至少win7以上，建议使用win10操作系统。）</w:t>
      </w:r>
      <w:r/>
    </w:p>
    <w:p>
      <w:pPr>
        <w:pStyle w:val="1106"/>
        <w:ind w:firstLine="482"/>
        <w:keepLines w:val="0"/>
        <w:keepNext w:val="0"/>
        <w:pageBreakBefore w:val="0"/>
        <w:spacing w:line="288" w:lineRule="auto"/>
        <w:shd w:val="clear" w:color="auto" w:fill="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注：如潜在投标人未按上述要求操作，将自行承担所产生的风险。</w:t>
      </w:r>
      <w:bookmarkStart w:id="67" w:name="_Toc13925"/>
      <w:r/>
      <w:bookmarkStart w:id="68" w:name="_Toc28359008"/>
      <w:r/>
      <w:bookmarkStart w:id="69" w:name="_Toc3755"/>
      <w:r/>
      <w:bookmarkStart w:id="70" w:name="_Toc24169"/>
      <w:r/>
      <w:bookmarkStart w:id="71" w:name="_Toc8769"/>
      <w:r/>
      <w:bookmarkStart w:id="72" w:name="_Toc35393627"/>
      <w:r/>
      <w:bookmarkStart w:id="73" w:name="_Toc35393796"/>
      <w:r/>
      <w:bookmarkStart w:id="74" w:name="_Toc28359085"/>
      <w:r/>
      <w:bookmarkStart w:id="75" w:name="_Toc23188"/>
      <w:r/>
      <w:r/>
    </w:p>
    <w:p>
      <w:pPr>
        <w:pStyle w:val="1059"/>
        <w:keepLines w:val="0"/>
        <w:keepNext w:val="0"/>
        <w:pageBreakBefore w:val="0"/>
        <w:spacing w:before="0" w:after="0" w:line="288" w:lineRule="auto"/>
        <w:shd w:val="clear" w:color="auto" w:fill="auto"/>
        <w:widowControl w:val="off"/>
        <w:rPr>
          <w:rFonts w:hint="eastAsia" w:ascii="宋体" w:hAnsi="宋体" w:eastAsia="宋体" w:cs="宋体"/>
          <w:sz w:val="24"/>
          <w:szCs w:val="24"/>
          <w:highlight w:val="none"/>
        </w:rPr>
      </w:pPr>
      <w:r/>
      <w:bookmarkStart w:id="76" w:name="_Toc211090856"/>
      <w:r>
        <w:rPr>
          <w:rFonts w:hint="eastAsia" w:ascii="宋体" w:hAnsi="宋体" w:eastAsia="宋体" w:cs="宋体"/>
          <w:sz w:val="24"/>
          <w:szCs w:val="24"/>
          <w:highlight w:val="none"/>
        </w:rPr>
        <w:t xml:space="preserve">七、对本次招标提出询问，请按以下方式联系。</w:t>
      </w:r>
      <w:bookmarkEnd w:id="67"/>
      <w:r/>
      <w:bookmarkEnd w:id="68"/>
      <w:r/>
      <w:bookmarkEnd w:id="69"/>
      <w:r/>
      <w:bookmarkEnd w:id="70"/>
      <w:r/>
      <w:bookmarkEnd w:id="71"/>
      <w:r/>
      <w:bookmarkEnd w:id="72"/>
      <w:r/>
      <w:bookmarkEnd w:id="73"/>
      <w:r/>
      <w:bookmarkEnd w:id="74"/>
      <w:r/>
      <w:bookmarkEnd w:id="75"/>
      <w:r/>
      <w:bookmarkEnd w:id="76"/>
      <w: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　　　1.招标人信息</w:t>
      </w:r>
      <w:r/>
    </w:p>
    <w:p>
      <w:pPr>
        <w:ind w:firstLine="72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名    称：</w:t>
      </w:r>
      <w:r>
        <w:rPr>
          <w:rFonts w:hint="eastAsia" w:ascii="宋体" w:hAnsi="宋体" w:eastAsia="宋体" w:cs="宋体"/>
          <w:sz w:val="24"/>
          <w:highlight w:val="none"/>
          <w:u w:val="single"/>
        </w:rPr>
        <w:t xml:space="preserve">京杭运河江苏省交通运输厅苏北航务管理处</w:t>
      </w:r>
      <w:r/>
    </w:p>
    <w:p>
      <w:pPr>
        <w:ind w:firstLine="720"/>
        <w:keepLines w:val="0"/>
        <w:keepNext w:val="0"/>
        <w:pageBreakBefore w:val="0"/>
        <w:spacing w:line="288" w:lineRule="auto"/>
        <w:shd w:val="clear" w:color="auto" w:fill="auto"/>
        <w:widowControl w:val="off"/>
        <w:rPr>
          <w:rFonts w:hint="eastAsia" w:ascii="宋体" w:hAnsi="宋体" w:eastAsia="宋体" w:cs="宋体"/>
          <w:sz w:val="24"/>
          <w:highlight w:val="none"/>
          <w:u w:val="single"/>
        </w:rPr>
      </w:pPr>
      <w:r>
        <w:rPr>
          <w:rFonts w:hint="eastAsia" w:ascii="宋体" w:hAnsi="宋体" w:eastAsia="宋体" w:cs="宋体"/>
          <w:sz w:val="24"/>
          <w:highlight w:val="none"/>
        </w:rPr>
        <w:t xml:space="preserve">地    址：</w:t>
      </w:r>
      <w:r>
        <w:rPr>
          <w:rFonts w:hint="eastAsia" w:ascii="宋体" w:hAnsi="宋体" w:eastAsia="宋体" w:cs="宋体"/>
          <w:sz w:val="24"/>
          <w:highlight w:val="none"/>
          <w:u w:val="single"/>
        </w:rPr>
        <w:t xml:space="preserve">江苏省淮安市延安东路68号</w:t>
      </w:r>
      <w:r/>
    </w:p>
    <w:p>
      <w:pPr>
        <w:ind w:firstLine="720"/>
        <w:keepLines w:val="0"/>
        <w:keepNext w:val="0"/>
        <w:pageBreakBefore w:val="0"/>
        <w:spacing w:line="288" w:lineRule="auto"/>
        <w:shd w:val="clear" w:color="auto" w:fill="auto"/>
        <w:widowControl w:val="off"/>
        <w:rPr>
          <w:rFonts w:hint="eastAsia" w:ascii="宋体" w:hAnsi="宋体" w:eastAsia="宋体" w:cs="宋体"/>
          <w:sz w:val="24"/>
          <w:highlight w:val="none"/>
          <w:u w:val="single"/>
        </w:rPr>
      </w:pPr>
      <w:r>
        <w:rPr>
          <w:rFonts w:hint="eastAsia" w:ascii="宋体" w:hAnsi="宋体" w:eastAsia="宋体" w:cs="宋体"/>
          <w:sz w:val="24"/>
          <w:highlight w:val="none"/>
        </w:rPr>
        <w:t xml:space="preserve">联 系 人：</w:t>
      </w:r>
      <w:r>
        <w:rPr>
          <w:rFonts w:hint="eastAsia" w:ascii="宋体" w:hAnsi="宋体" w:eastAsia="宋体" w:cs="宋体"/>
          <w:sz w:val="24"/>
          <w:highlight w:val="none"/>
          <w:u w:val="single"/>
        </w:rPr>
        <w:t xml:space="preserve">张先生</w:t>
      </w:r>
      <w:r/>
    </w:p>
    <w:p>
      <w:pPr>
        <w:ind w:firstLine="720"/>
        <w:keepLines w:val="0"/>
        <w:keepNext w:val="0"/>
        <w:pageBreakBefore w:val="0"/>
        <w:spacing w:line="288" w:lineRule="auto"/>
        <w:shd w:val="clear" w:color="auto" w:fill="auto"/>
        <w:widowControl w:val="off"/>
        <w:rPr>
          <w:rFonts w:hint="eastAsia" w:ascii="宋体" w:hAnsi="宋体" w:eastAsia="宋体" w:cs="宋体"/>
          <w:sz w:val="24"/>
          <w:highlight w:val="none"/>
          <w:u w:val="single"/>
        </w:rPr>
      </w:pPr>
      <w:r>
        <w:rPr>
          <w:rFonts w:hint="eastAsia" w:ascii="宋体" w:hAnsi="宋体" w:eastAsia="宋体" w:cs="宋体"/>
          <w:sz w:val="24"/>
          <w:highlight w:val="none"/>
        </w:rPr>
        <w:t xml:space="preserve">联系方式：</w:t>
      </w:r>
      <w:bookmarkStart w:id="77" w:name="_Toc28359086"/>
      <w:r/>
      <w:bookmarkStart w:id="78" w:name="_Toc28359009"/>
      <w:r>
        <w:rPr>
          <w:rFonts w:hint="eastAsia" w:ascii="宋体" w:hAnsi="宋体" w:eastAsia="宋体" w:cs="宋体"/>
          <w:sz w:val="24"/>
          <w:highlight w:val="none"/>
          <w:u w:val="single"/>
        </w:rPr>
        <w:t xml:space="preserve">0517-83787646</w:t>
      </w:r>
      <w:r/>
    </w:p>
    <w:p>
      <w:pPr>
        <w:ind w:firstLine="72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w:t>
      </w:r>
      <w:bookmarkEnd w:id="77"/>
      <w:r/>
      <w:bookmarkEnd w:id="78"/>
      <w:r>
        <w:rPr>
          <w:rFonts w:hint="eastAsia" w:ascii="宋体" w:hAnsi="宋体" w:eastAsia="宋体" w:cs="宋体"/>
          <w:sz w:val="24"/>
          <w:highlight w:val="none"/>
        </w:rPr>
        <w:t xml:space="preserve">采购代理机构信息</w:t>
      </w:r>
      <w:r/>
    </w:p>
    <w:p>
      <w:pPr>
        <w:ind w:firstLine="720"/>
        <w:keepLines w:val="0"/>
        <w:keepNext w:val="0"/>
        <w:pageBreakBefore w:val="0"/>
        <w:spacing w:line="288" w:lineRule="auto"/>
        <w:shd w:val="clear" w:color="auto" w:fill="auto"/>
        <w:widowControl w:val="off"/>
        <w:rPr>
          <w:rFonts w:hint="eastAsia" w:ascii="宋体" w:hAnsi="宋体" w:eastAsia="宋体" w:cs="宋体"/>
          <w:sz w:val="24"/>
          <w:highlight w:val="none"/>
          <w:u w:val="single"/>
        </w:rPr>
      </w:pPr>
      <w:r>
        <w:rPr>
          <w:rFonts w:hint="eastAsia" w:ascii="宋体" w:hAnsi="宋体" w:eastAsia="宋体" w:cs="宋体"/>
          <w:sz w:val="24"/>
          <w:highlight w:val="none"/>
        </w:rPr>
        <w:t xml:space="preserve">名    称：</w:t>
      </w:r>
      <w:r>
        <w:rPr>
          <w:rFonts w:hint="eastAsia" w:ascii="宋体" w:hAnsi="宋体" w:eastAsia="宋体" w:cs="宋体"/>
          <w:sz w:val="24"/>
          <w:highlight w:val="none"/>
          <w:u w:val="single"/>
        </w:rPr>
        <w:t xml:space="preserve">江苏天业工程咨询房地产估价有限责任公司</w:t>
      </w:r>
      <w:r/>
    </w:p>
    <w:p>
      <w:pPr>
        <w:ind w:firstLine="720"/>
        <w:keepLines w:val="0"/>
        <w:keepNext w:val="0"/>
        <w:pageBreakBefore w:val="0"/>
        <w:spacing w:line="288" w:lineRule="auto"/>
        <w:shd w:val="clear" w:color="auto" w:fill="auto"/>
        <w:widowControl w:val="off"/>
        <w:rPr>
          <w:rFonts w:hint="eastAsia" w:ascii="宋体" w:hAnsi="宋体" w:eastAsia="宋体" w:cs="宋体"/>
          <w:sz w:val="24"/>
          <w:highlight w:val="none"/>
          <w:u w:val="single"/>
        </w:rPr>
      </w:pPr>
      <w:r>
        <w:rPr>
          <w:rFonts w:hint="eastAsia" w:ascii="宋体" w:hAnsi="宋体" w:eastAsia="宋体" w:cs="宋体"/>
          <w:sz w:val="24"/>
          <w:highlight w:val="none"/>
        </w:rPr>
        <w:t xml:space="preserve">地　  址：</w:t>
      </w:r>
      <w:r>
        <w:rPr>
          <w:rFonts w:hint="eastAsia" w:ascii="宋体" w:hAnsi="宋体" w:eastAsia="宋体" w:cs="宋体"/>
          <w:sz w:val="24"/>
          <w:highlight w:val="none"/>
          <w:u w:val="single"/>
        </w:rPr>
        <w:t xml:space="preserve">淮安市清江浦区延安东路105号武夷大厦17楼</w:t>
      </w:r>
      <w:r/>
    </w:p>
    <w:p>
      <w:pPr>
        <w:ind w:firstLine="720"/>
        <w:keepLines w:val="0"/>
        <w:keepNext w:val="0"/>
        <w:pageBreakBefore w:val="0"/>
        <w:spacing w:line="288" w:lineRule="auto"/>
        <w:shd w:val="clear" w:color="auto" w:fill="auto"/>
        <w:widowControl w:val="off"/>
        <w:rPr>
          <w:rFonts w:hint="eastAsia" w:ascii="宋体" w:hAnsi="宋体" w:eastAsia="宋体" w:cs="宋体"/>
          <w:sz w:val="24"/>
          <w:highlight w:val="none"/>
          <w:u w:val="single"/>
        </w:rPr>
      </w:pPr>
      <w:r>
        <w:rPr>
          <w:rFonts w:hint="eastAsia" w:ascii="宋体" w:hAnsi="宋体" w:eastAsia="宋体" w:cs="宋体"/>
          <w:sz w:val="24"/>
          <w:highlight w:val="none"/>
        </w:rPr>
        <w:t xml:space="preserve">联 系 人：</w:t>
      </w:r>
      <w:r>
        <w:rPr>
          <w:rFonts w:hint="eastAsia" w:ascii="宋体" w:hAnsi="宋体" w:eastAsia="宋体" w:cs="宋体"/>
          <w:sz w:val="24"/>
          <w:highlight w:val="none"/>
          <w:u w:val="single"/>
        </w:rPr>
        <w:t xml:space="preserve">姚晨、袁贵霞</w:t>
      </w:r>
      <w:r/>
    </w:p>
    <w:p>
      <w:pPr>
        <w:ind w:firstLine="720"/>
        <w:keepLines w:val="0"/>
        <w:keepNext w:val="0"/>
        <w:pageBreakBefore w:val="0"/>
        <w:spacing w:line="288" w:lineRule="auto"/>
        <w:shd w:val="clear" w:color="auto" w:fill="auto"/>
        <w:widowControl w:val="off"/>
        <w:rPr>
          <w:rFonts w:hint="eastAsia" w:ascii="宋体" w:hAnsi="宋体" w:eastAsia="宋体" w:cs="宋体"/>
          <w:sz w:val="24"/>
          <w:highlight w:val="none"/>
          <w:u w:val="single"/>
        </w:rPr>
      </w:pPr>
      <w:r>
        <w:rPr>
          <w:rFonts w:hint="eastAsia" w:ascii="宋体" w:hAnsi="宋体" w:eastAsia="宋体" w:cs="宋体"/>
          <w:sz w:val="24"/>
          <w:highlight w:val="none"/>
        </w:rPr>
        <w:t xml:space="preserve">联系方式：</w:t>
      </w:r>
      <w:bookmarkStart w:id="79" w:name="_Toc28359087"/>
      <w:r/>
      <w:bookmarkStart w:id="80" w:name="_Toc28359010"/>
      <w:r>
        <w:rPr>
          <w:rFonts w:hint="eastAsia" w:ascii="宋体" w:hAnsi="宋体" w:eastAsia="宋体" w:cs="宋体"/>
          <w:sz w:val="24"/>
          <w:highlight w:val="none"/>
          <w:u w:val="single"/>
        </w:rPr>
        <w:t xml:space="preserve">0517-83716665、15896199911</w:t>
      </w:r>
      <w:r/>
    </w:p>
    <w:p>
      <w:pPr>
        <w:ind w:firstLine="72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联 系 QQ：</w:t>
      </w:r>
      <w:r>
        <w:rPr>
          <w:rFonts w:hint="eastAsia" w:ascii="宋体" w:hAnsi="宋体" w:eastAsia="宋体" w:cs="宋体"/>
          <w:sz w:val="24"/>
          <w:highlight w:val="none"/>
          <w:u w:val="single"/>
        </w:rPr>
        <w:t xml:space="preserve">2571101（添加时请主动备注单位名称）</w:t>
      </w:r>
      <w:bookmarkEnd w:id="6"/>
      <w:r/>
      <w:bookmarkEnd w:id="7"/>
      <w:r/>
      <w:bookmarkEnd w:id="8"/>
      <w:r/>
      <w:bookmarkEnd w:id="79"/>
      <w:r/>
      <w:bookmarkEnd w:id="80"/>
      <w:r/>
      <w:bookmarkStart w:id="81" w:name="_Toc90105453"/>
      <w:r/>
      <w:bookmarkStart w:id="82" w:name="_Toc90105826"/>
      <w:r/>
      <w:bookmarkStart w:id="83" w:name="_Toc90105076"/>
      <w:r/>
      <w:bookmarkStart w:id="84" w:name="_Toc90106188"/>
      <w:r/>
      <w:bookmarkStart w:id="85" w:name="_Toc92015768"/>
      <w:r/>
      <w:bookmarkStart w:id="86" w:name="_Toc90105640"/>
      <w:r/>
      <w:bookmarkStart w:id="87" w:name="OLE_LINK5"/>
      <w:r/>
      <w:bookmarkStart w:id="88" w:name="_Toc90106007"/>
      <w:r/>
      <w:bookmarkStart w:id="89" w:name="_Toc90106826"/>
      <w:r/>
      <w:bookmarkStart w:id="90" w:name="_Toc90104558"/>
      <w:r/>
      <w:bookmarkStart w:id="91" w:name="_Toc90105265"/>
      <w:r/>
      <w:bookmarkStart w:id="92" w:name="_Toc89848286"/>
      <w:r/>
      <w:bookmarkStart w:id="93" w:name="_Toc90106645"/>
      <w:r/>
      <w:r/>
    </w:p>
    <w:p>
      <w:pPr>
        <w:numPr>
          <w:ilvl w:val="0"/>
          <w:numId w:val="3"/>
        </w:numPr>
        <w:ind w:firstLine="72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监督部门</w:t>
      </w:r>
      <w:r/>
    </w:p>
    <w:p>
      <w:pPr>
        <w:ind w:firstLine="72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名称：</w:t>
      </w:r>
      <w:r>
        <w:rPr>
          <w:rFonts w:hint="eastAsia" w:ascii="宋体" w:hAnsi="宋体" w:eastAsia="宋体" w:cs="宋体"/>
          <w:sz w:val="24"/>
          <w:highlight w:val="none"/>
          <w:u w:val="single"/>
        </w:rPr>
        <w:t xml:space="preserve">京杭运河江苏省船闸应急保障中心纪委办公室</w:t>
      </w:r>
      <w:r/>
    </w:p>
    <w:p>
      <w:pPr>
        <w:pStyle w:val="1072"/>
        <w:ind w:firstLine="720"/>
        <w:keepLines w:val="0"/>
        <w:keepNext w:val="0"/>
        <w:pageBreakBefore w:val="0"/>
        <w:spacing w:line="288" w:lineRule="auto"/>
        <w:shd w:val="clear" w:color="auto" w:fill="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项目联系人：</w:t>
      </w:r>
      <w:r>
        <w:rPr>
          <w:rFonts w:hint="eastAsia" w:ascii="宋体" w:hAnsi="宋体" w:eastAsia="宋体" w:cs="宋体"/>
          <w:sz w:val="24"/>
          <w:szCs w:val="24"/>
          <w:highlight w:val="none"/>
          <w:u w:val="single"/>
        </w:rPr>
        <w:t xml:space="preserve">刘先生</w:t>
      </w:r>
      <w:r/>
    </w:p>
    <w:p>
      <w:pPr>
        <w:pStyle w:val="1072"/>
        <w:ind w:firstLine="720"/>
        <w:keepLines w:val="0"/>
        <w:keepNext w:val="0"/>
        <w:pageBreakBefore w:val="0"/>
        <w:spacing w:line="288" w:lineRule="auto"/>
        <w:shd w:val="clear" w:color="auto" w:fill="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电　    话：</w:t>
      </w:r>
      <w:r>
        <w:rPr>
          <w:rFonts w:hint="eastAsia" w:ascii="宋体" w:hAnsi="宋体" w:eastAsia="宋体" w:cs="宋体"/>
          <w:sz w:val="24"/>
          <w:szCs w:val="24"/>
          <w:highlight w:val="none"/>
          <w:u w:val="single"/>
        </w:rPr>
        <w:t xml:space="preserve">0517-83787645</w:t>
      </w:r>
      <w:bookmarkEnd w:id="81"/>
      <w:bookmarkEnd w:id="82"/>
      <w:bookmarkEnd w:id="83"/>
      <w:bookmarkEnd w:id="84"/>
      <w:bookmarkEnd w:id="85"/>
      <w:bookmarkEnd w:id="86"/>
      <w:bookmarkEnd w:id="87"/>
      <w:bookmarkEnd w:id="88"/>
      <w:bookmarkEnd w:id="89"/>
      <w:bookmarkEnd w:id="90"/>
      <w:bookmarkEnd w:id="91"/>
      <w:bookmarkEnd w:id="92"/>
      <w:bookmarkEnd w:id="93"/>
      <w:r/>
    </w:p>
    <w:p>
      <w:pPr>
        <w:pStyle w:val="1072"/>
        <w:ind w:firstLine="720"/>
        <w:shd w:val="clear" w:color="auto" w:fill="auto"/>
        <w:rPr>
          <w:rFonts w:hint="eastAsia" w:hAnsi="宋体" w:cs="宋体"/>
          <w:sz w:val="24"/>
          <w:szCs w:val="24"/>
          <w:highlight w:val="none"/>
          <w:u w:val="single"/>
        </w:rPr>
      </w:pPr>
      <w:r>
        <w:rPr>
          <w:rFonts w:hint="eastAsia" w:hAnsi="宋体" w:cs="宋体"/>
          <w:sz w:val="24"/>
          <w:szCs w:val="24"/>
          <w:highlight w:val="none"/>
          <w:u w:val="single"/>
        </w:rPr>
      </w:r>
      <w:r/>
    </w:p>
    <w:p>
      <w:pPr>
        <w:pStyle w:val="1058"/>
        <w:jc w:val="center"/>
        <w:keepLines w:val="0"/>
        <w:keepNext w:val="0"/>
        <w:spacing w:before="0" w:after="0" w:line="360" w:lineRule="auto"/>
        <w:shd w:val="clear" w:color="auto" w:fill="auto"/>
        <w:tabs>
          <w:tab w:val="left" w:pos="0" w:leader="none"/>
          <w:tab w:val="left" w:pos="3165" w:leader="none"/>
          <w:tab w:val="center" w:pos="4153" w:leader="none"/>
        </w:tabs>
        <w:rPr>
          <w:rFonts w:hint="eastAsia" w:ascii="宋体" w:hAnsi="宋体" w:cs="宋体"/>
          <w:sz w:val="40"/>
          <w:highlight w:val="none"/>
        </w:rPr>
      </w:pPr>
      <w:r/>
      <w:bookmarkStart w:id="94" w:name="_Toc152045527"/>
      <w:r/>
      <w:bookmarkStart w:id="95" w:name="_Toc152042303"/>
      <w:r/>
      <w:bookmarkStart w:id="96" w:name="_Toc503307425"/>
      <w:r/>
      <w:bookmarkStart w:id="97" w:name="_Toc234675074"/>
      <w:r/>
      <w:bookmarkStart w:id="98" w:name="_Toc503901904"/>
      <w:r/>
      <w:bookmarkStart w:id="99" w:name="_Toc432244494"/>
      <w:r/>
      <w:bookmarkStart w:id="100" w:name="_Toc144974495"/>
      <w:r/>
      <w:bookmarkStart w:id="101" w:name="_Toc238559183"/>
      <w:r/>
      <w:bookmarkStart w:id="102" w:name="_Toc179632544"/>
      <w:r/>
      <w:bookmarkStart w:id="103" w:name="_Toc234744442"/>
      <w:r>
        <w:rPr>
          <w:rFonts w:hint="eastAsia" w:ascii="宋体" w:hAnsi="宋体" w:cs="宋体"/>
          <w:sz w:val="24"/>
          <w:szCs w:val="24"/>
          <w:highlight w:val="none"/>
        </w:rPr>
        <w:br w:type="page" w:clear="all"/>
      </w:r>
      <w:bookmarkStart w:id="104" w:name="_Toc211090857"/>
      <w:r>
        <w:rPr>
          <w:rFonts w:hint="eastAsia" w:ascii="宋体" w:hAnsi="宋体" w:cs="宋体"/>
          <w:sz w:val="32"/>
          <w:szCs w:val="32"/>
          <w:highlight w:val="none"/>
        </w:rPr>
        <w:t xml:space="preserve">第二章 投标人须知</w:t>
      </w:r>
      <w:bookmarkEnd w:id="94"/>
      <w:r/>
      <w:bookmarkEnd w:id="95"/>
      <w:r/>
      <w:bookmarkEnd w:id="96"/>
      <w:r/>
      <w:bookmarkEnd w:id="97"/>
      <w:r/>
      <w:bookmarkEnd w:id="98"/>
      <w:r/>
      <w:bookmarkEnd w:id="99"/>
      <w:r/>
      <w:bookmarkEnd w:id="100"/>
      <w:r/>
      <w:bookmarkEnd w:id="101"/>
      <w:r/>
      <w:bookmarkEnd w:id="102"/>
      <w:r/>
      <w:bookmarkEnd w:id="103"/>
      <w:r/>
      <w:bookmarkEnd w:id="104"/>
      <w:r/>
      <w:r/>
    </w:p>
    <w:p>
      <w:pPr>
        <w:pStyle w:val="1058"/>
        <w:jc w:val="center"/>
        <w:keepLines w:val="0"/>
        <w:keepNext w:val="0"/>
        <w:spacing w:before="0" w:after="0" w:line="312" w:lineRule="auto"/>
        <w:shd w:val="clear" w:color="auto" w:fill="auto"/>
        <w:tabs>
          <w:tab w:val="left" w:pos="1440" w:leader="none"/>
        </w:tabs>
        <w:rPr>
          <w:rFonts w:hint="eastAsia" w:ascii="宋体" w:hAnsi="宋体" w:cs="宋体"/>
          <w:sz w:val="24"/>
          <w:szCs w:val="24"/>
          <w:highlight w:val="none"/>
        </w:rPr>
      </w:pPr>
      <w:r/>
      <w:bookmarkStart w:id="105" w:name="_Toc211090858"/>
      <w:r/>
      <w:bookmarkStart w:id="106" w:name="_Toc499"/>
      <w:r/>
      <w:bookmarkStart w:id="107" w:name="_Toc5647"/>
      <w:r/>
      <w:bookmarkStart w:id="108" w:name="_Toc9333225"/>
      <w:r/>
      <w:bookmarkStart w:id="109" w:name="_Toc18914"/>
      <w:r/>
      <w:bookmarkStart w:id="110" w:name="_Toc17323"/>
      <w:r>
        <w:rPr>
          <w:rFonts w:hint="eastAsia" w:ascii="宋体" w:hAnsi="宋体" w:cs="宋体"/>
          <w:sz w:val="24"/>
          <w:szCs w:val="24"/>
          <w:highlight w:val="none"/>
        </w:rPr>
        <w:t xml:space="preserve">㈠投标人须知前附表</w:t>
      </w:r>
      <w:bookmarkEnd w:id="105"/>
      <w:r/>
      <w:bookmarkEnd w:id="106"/>
      <w:r/>
      <w:bookmarkEnd w:id="107"/>
      <w:r/>
      <w:bookmarkEnd w:id="108"/>
      <w:r/>
      <w:bookmarkEnd w:id="109"/>
      <w:r/>
      <w:bookmarkEnd w:id="110"/>
      <w:r/>
      <w:r/>
    </w:p>
    <w:tbl>
      <w:tblPr>
        <w:tblStyle w:val="847"/>
        <w:tblpPr w:horzAnchor="text" w:tblpXSpec="center" w:vertAnchor="text" w:tblpY="1" w:leftFromText="180" w:topFromText="0" w:rightFromText="180" w:bottomFromText="0"/>
        <w:tblW w:w="48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6"/>
        <w:gridCol w:w="1738"/>
        <w:gridCol w:w="6299"/>
      </w:tblGrid>
      <w:tr>
        <w:trPr>
          <w:jc w:val="center"/>
          <w:trHeight w:val="966"/>
        </w:trPr>
        <w:tc>
          <w:tcPr>
            <w:tcW w:w="0" w:type="auto"/>
            <w:vAlign w:val="center"/>
            <w:textDirection w:val="lrTb"/>
            <w:noWrap w:val="false"/>
          </w:tcPr>
          <w:p>
            <w:pPr>
              <w:jc w:val="center"/>
              <w:keepLines w:val="0"/>
              <w:keepNext w:val="0"/>
              <w:pageBreakBefore w:val="0"/>
              <w:spacing w:line="288" w:lineRule="auto"/>
              <w:shd w:val="clear" w:color="auto" w:fill="auto"/>
              <w:widowControl w:val="off"/>
              <w:rPr>
                <w:rFonts w:hint="eastAsia" w:ascii="宋体" w:hAnsi="宋体" w:cs="宋体"/>
                <w:szCs w:val="21"/>
                <w:highlight w:val="none"/>
              </w:rPr>
            </w:pPr>
            <w:r/>
            <w:bookmarkStart w:id="111" w:name="_Hlk71812492"/>
            <w:r>
              <w:rPr>
                <w:rFonts w:hint="eastAsia" w:ascii="宋体" w:hAnsi="宋体" w:cs="宋体"/>
                <w:szCs w:val="21"/>
                <w:highlight w:val="none"/>
              </w:rPr>
              <w:t xml:space="preserve">条款号</w:t>
            </w:r>
            <w:r/>
          </w:p>
        </w:tc>
        <w:tc>
          <w:tcPr>
            <w:tcW w:w="999" w:type="pct"/>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条 款 名 称</w:t>
            </w:r>
            <w:r/>
          </w:p>
        </w:tc>
        <w:tc>
          <w:tcPr>
            <w:tcW w:w="3621" w:type="pct"/>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编 列 内 容</w:t>
            </w:r>
            <w:r/>
          </w:p>
        </w:tc>
      </w:tr>
      <w:tr>
        <w:trPr>
          <w:jc w:val="center"/>
          <w:trHeight w:val="567"/>
        </w:trPr>
        <w:tc>
          <w:tcPr>
            <w:tcW w:w="0" w:type="auto"/>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1</w:t>
            </w:r>
            <w:r/>
          </w:p>
        </w:tc>
        <w:tc>
          <w:tcPr>
            <w:tcW w:w="999" w:type="pct"/>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采购标的对应的中小企业划分标准所属行业</w:t>
            </w:r>
            <w:r/>
          </w:p>
        </w:tc>
        <w:tc>
          <w:tcPr>
            <w:tcW w:w="3621" w:type="pct"/>
            <w:vAlign w:val="center"/>
            <w:textDirection w:val="lrTb"/>
            <w:noWrap w:val="false"/>
          </w:tcPr>
          <w:p>
            <w:pPr>
              <w:ind w:hanging="10"/>
              <w:jc w:val="left"/>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所属行业为：建筑业</w:t>
            </w:r>
            <w:r/>
          </w:p>
        </w:tc>
      </w:tr>
      <w:tr>
        <w:trPr>
          <w:jc w:val="center"/>
          <w:trHeight w:val="567"/>
        </w:trPr>
        <w:tc>
          <w:tcPr>
            <w:tcW w:w="0" w:type="auto"/>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2</w:t>
            </w:r>
            <w:r/>
          </w:p>
        </w:tc>
        <w:tc>
          <w:tcPr>
            <w:tcW w:w="999" w:type="pct"/>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是否专门面向中小企业或小型、微型企业采购</w:t>
            </w:r>
            <w:r/>
          </w:p>
        </w:tc>
        <w:tc>
          <w:tcPr>
            <w:tcW w:w="3621" w:type="pct"/>
            <w:vAlign w:val="center"/>
            <w:textDirection w:val="lrTb"/>
            <w:noWrap w:val="false"/>
          </w:tcPr>
          <w:p>
            <w:pPr>
              <w:ind w:hanging="10"/>
              <w:jc w:val="left"/>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☑否</w:t>
            </w:r>
            <w:r/>
          </w:p>
        </w:tc>
      </w:tr>
      <w:tr>
        <w:trPr>
          <w:jc w:val="center"/>
          <w:trHeight w:val="776"/>
        </w:trPr>
        <w:tc>
          <w:tcPr>
            <w:tcW w:w="0" w:type="auto"/>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3</w:t>
            </w:r>
            <w:r/>
          </w:p>
        </w:tc>
        <w:tc>
          <w:tcPr>
            <w:tcW w:w="999" w:type="pct"/>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分包</w:t>
            </w:r>
            <w:r/>
          </w:p>
        </w:tc>
        <w:tc>
          <w:tcPr>
            <w:tcW w:w="3621" w:type="pct"/>
            <w:vAlign w:val="center"/>
            <w:textDirection w:val="lrTb"/>
            <w:noWrap w:val="false"/>
          </w:tcPr>
          <w:p>
            <w:pPr>
              <w:ind w:hanging="10"/>
              <w:jc w:val="left"/>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☑不允许违法分包，分包管理按照《江苏省公路水运工程施工分包管理实施细则》（苏交规【2025】2号文）执行。</w:t>
            </w:r>
            <w:r>
              <w:rPr>
                <w:rFonts w:hint="eastAsia" w:ascii="宋体" w:hAnsi="宋体" w:cs="宋体"/>
                <w:b/>
                <w:bCs/>
                <w:szCs w:val="21"/>
                <w:highlight w:val="none"/>
              </w:rPr>
              <w:t xml:space="preserve">(提供承诺书）</w:t>
            </w:r>
            <w:r/>
          </w:p>
        </w:tc>
      </w:tr>
      <w:tr>
        <w:trPr>
          <w:jc w:val="center"/>
          <w:trHeight w:val="567"/>
        </w:trPr>
        <w:tc>
          <w:tcPr>
            <w:tcW w:w="0" w:type="auto"/>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4</w:t>
            </w:r>
            <w:r/>
          </w:p>
        </w:tc>
        <w:tc>
          <w:tcPr>
            <w:tcW w:w="999" w:type="pct"/>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联合体</w:t>
            </w:r>
            <w:r/>
          </w:p>
        </w:tc>
        <w:tc>
          <w:tcPr>
            <w:tcW w:w="3621" w:type="pct"/>
            <w:vAlign w:val="center"/>
            <w:textDirection w:val="lrTb"/>
            <w:noWrap w:val="false"/>
          </w:tcPr>
          <w:p>
            <w:pPr>
              <w:ind w:hanging="10"/>
              <w:jc w:val="left"/>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不接受</w:t>
            </w:r>
            <w:r/>
          </w:p>
        </w:tc>
      </w:tr>
      <w:tr>
        <w:trPr>
          <w:jc w:val="center"/>
          <w:trHeight w:val="567"/>
        </w:trPr>
        <w:tc>
          <w:tcPr>
            <w:tcW w:w="0" w:type="auto"/>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5</w:t>
            </w:r>
            <w:r/>
          </w:p>
        </w:tc>
        <w:tc>
          <w:tcPr>
            <w:tcW w:w="999" w:type="pct"/>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投标人询问或要求澄清的截止时间</w:t>
            </w:r>
            <w:r/>
          </w:p>
        </w:tc>
        <w:tc>
          <w:tcPr>
            <w:tcW w:w="3621" w:type="pct"/>
            <w:vAlign w:val="center"/>
            <w:textDirection w:val="lrTb"/>
            <w:noWrap w:val="false"/>
          </w:tcPr>
          <w:p>
            <w:pPr>
              <w:ind w:hanging="10"/>
              <w:jc w:val="left"/>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提交投标文件截止时间前15日</w:t>
            </w:r>
            <w:r/>
          </w:p>
        </w:tc>
      </w:tr>
      <w:tr>
        <w:trPr>
          <w:jc w:val="center"/>
          <w:trHeight w:val="1877"/>
        </w:trPr>
        <w:tc>
          <w:tcPr>
            <w:tcW w:w="0" w:type="auto"/>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6</w:t>
            </w:r>
            <w:r/>
          </w:p>
        </w:tc>
        <w:tc>
          <w:tcPr>
            <w:tcW w:w="999" w:type="pct"/>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szCs w:val="21"/>
                <w:highlight w:val="none"/>
              </w:rPr>
            </w:pPr>
            <w:r/>
            <w:bookmarkStart w:id="112" w:name="_Toc9333273"/>
            <w:r/>
            <w:bookmarkStart w:id="113" w:name="_Toc9333226"/>
            <w:r/>
            <w:bookmarkStart w:id="114" w:name="_Toc38466022"/>
            <w:r>
              <w:rPr>
                <w:rFonts w:hint="eastAsia" w:ascii="宋体" w:hAnsi="宋体" w:cs="宋体"/>
                <w:szCs w:val="21"/>
                <w:highlight w:val="none"/>
              </w:rPr>
              <w:t xml:space="preserve">质疑函送达方式</w:t>
            </w:r>
            <w:bookmarkEnd w:id="112"/>
            <w:r/>
            <w:bookmarkEnd w:id="113"/>
            <w:r/>
            <w:bookmarkEnd w:id="114"/>
            <w:r/>
            <w:r/>
          </w:p>
        </w:tc>
        <w:tc>
          <w:tcPr>
            <w:tcW w:w="3621" w:type="pct"/>
            <w:vAlign w:val="center"/>
            <w:textDirection w:val="lrTb"/>
            <w:noWrap w:val="false"/>
          </w:tcPr>
          <w:p>
            <w:pPr>
              <w:ind w:hanging="10"/>
              <w:jc w:val="left"/>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各投标人如对项目招标活动有异议，应在法定时间内，以书面形式向招标人（招标代理机构）</w:t>
            </w:r>
            <w:r>
              <w:rPr>
                <w:rFonts w:hint="eastAsia" w:ascii="宋体" w:hAnsi="宋体" w:cs="宋体"/>
                <w:szCs w:val="21"/>
                <w:highlight w:val="none"/>
                <w:lang w:eastAsia="zh-CN"/>
              </w:rPr>
              <w:t xml:space="preserve">质疑</w:t>
            </w:r>
            <w:r>
              <w:rPr>
                <w:rFonts w:hint="eastAsia" w:ascii="宋体" w:hAnsi="宋体" w:cs="宋体"/>
                <w:szCs w:val="21"/>
                <w:highlight w:val="none"/>
              </w:rPr>
              <w:t xml:space="preserve">，该质疑须按《政府采购质疑和投诉办法》（财政部94号令）、《江苏省政府采购供应商监督管理暂行办法》的规定提交。招标人（招标代理机构）将在收到质疑后七个工作日内，对质疑内容作出答复。</w:t>
            </w:r>
            <w:r/>
          </w:p>
        </w:tc>
      </w:tr>
      <w:tr>
        <w:trPr>
          <w:jc w:val="center"/>
          <w:trHeight w:val="567"/>
        </w:trPr>
        <w:tc>
          <w:tcPr>
            <w:tcW w:w="0" w:type="auto"/>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7</w:t>
            </w:r>
            <w:r/>
          </w:p>
        </w:tc>
        <w:tc>
          <w:tcPr>
            <w:tcW w:w="999" w:type="pct"/>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szCs w:val="21"/>
                <w:highlight w:val="none"/>
              </w:rPr>
            </w:pPr>
            <w:r/>
            <w:bookmarkStart w:id="115" w:name="_Toc38466023"/>
            <w:r/>
            <w:bookmarkStart w:id="116" w:name="_Toc9333274"/>
            <w:r/>
            <w:bookmarkStart w:id="117" w:name="_Toc9333227"/>
            <w:r>
              <w:rPr>
                <w:rFonts w:hint="eastAsia" w:ascii="宋体" w:hAnsi="宋体" w:cs="宋体"/>
                <w:szCs w:val="21"/>
                <w:highlight w:val="none"/>
              </w:rPr>
              <w:t xml:space="preserve">投标文件有效期</w:t>
            </w:r>
            <w:bookmarkEnd w:id="115"/>
            <w:r/>
            <w:bookmarkEnd w:id="116"/>
            <w:r/>
            <w:bookmarkEnd w:id="117"/>
            <w:r/>
            <w:r/>
          </w:p>
        </w:tc>
        <w:tc>
          <w:tcPr>
            <w:tcW w:w="3621" w:type="pct"/>
            <w:vAlign w:val="center"/>
            <w:textDirection w:val="lrTb"/>
            <w:noWrap w:val="false"/>
          </w:tcPr>
          <w:p>
            <w:pPr>
              <w:ind w:hanging="10"/>
              <w:jc w:val="left"/>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90日</w:t>
            </w:r>
            <w:r/>
          </w:p>
        </w:tc>
      </w:tr>
      <w:tr>
        <w:trPr>
          <w:jc w:val="center"/>
          <w:trHeight w:val="567"/>
        </w:trPr>
        <w:tc>
          <w:tcPr>
            <w:tcW w:w="0" w:type="auto"/>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8</w:t>
            </w:r>
            <w:r/>
          </w:p>
        </w:tc>
        <w:tc>
          <w:tcPr>
            <w:tcW w:w="999" w:type="pct"/>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szCs w:val="21"/>
                <w:highlight w:val="none"/>
              </w:rPr>
            </w:pPr>
            <w:r/>
            <w:bookmarkStart w:id="118" w:name="_Toc38466024"/>
            <w:r/>
            <w:bookmarkStart w:id="119" w:name="_Toc9333228"/>
            <w:r/>
            <w:bookmarkStart w:id="120" w:name="_Toc9333275"/>
            <w:r>
              <w:rPr>
                <w:rFonts w:hint="eastAsia" w:ascii="宋体" w:hAnsi="宋体" w:cs="宋体"/>
                <w:szCs w:val="21"/>
                <w:highlight w:val="none"/>
              </w:rPr>
              <w:t xml:space="preserve">投标保证金</w:t>
            </w:r>
            <w:bookmarkEnd w:id="118"/>
            <w:r/>
            <w:bookmarkEnd w:id="119"/>
            <w:r/>
            <w:bookmarkEnd w:id="120"/>
            <w:r/>
            <w:r/>
          </w:p>
        </w:tc>
        <w:tc>
          <w:tcPr>
            <w:tcW w:w="3621" w:type="pct"/>
            <w:vAlign w:val="center"/>
            <w:textDirection w:val="lrTb"/>
            <w:noWrap w:val="false"/>
          </w:tcPr>
          <w:p>
            <w:pPr>
              <w:ind w:hanging="10"/>
              <w:jc w:val="left"/>
              <w:keepLines w:val="0"/>
              <w:keepNext w:val="0"/>
              <w:pageBreakBefore w:val="0"/>
              <w:spacing w:line="288" w:lineRule="auto"/>
              <w:shd w:val="clear" w:color="auto" w:fill="auto"/>
              <w:widowControl w:val="off"/>
              <w:rPr>
                <w:rFonts w:hint="eastAsia" w:ascii="宋体" w:hAnsi="宋体" w:cs="宋体"/>
                <w:b/>
                <w:szCs w:val="21"/>
                <w:highlight w:val="none"/>
              </w:rPr>
            </w:pPr>
            <w:r>
              <w:rPr>
                <w:rFonts w:hint="eastAsia" w:ascii="宋体" w:hAnsi="宋体" w:cs="宋体"/>
                <w:szCs w:val="21"/>
                <w:highlight w:val="none"/>
              </w:rPr>
              <w:t xml:space="preserve">不收取</w:t>
            </w:r>
            <w:r/>
          </w:p>
        </w:tc>
      </w:tr>
      <w:tr>
        <w:trPr>
          <w:jc w:val="center"/>
          <w:trHeight w:val="567"/>
        </w:trPr>
        <w:tc>
          <w:tcPr>
            <w:tcW w:w="0" w:type="auto"/>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9</w:t>
            </w:r>
            <w:r/>
          </w:p>
        </w:tc>
        <w:tc>
          <w:tcPr>
            <w:tcW w:w="999" w:type="pct"/>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投标文件的份数</w:t>
            </w:r>
            <w:r/>
          </w:p>
        </w:tc>
        <w:tc>
          <w:tcPr>
            <w:tcW w:w="3621" w:type="pct"/>
            <w:vAlign w:val="center"/>
            <w:textDirection w:val="lrTb"/>
            <w:noWrap w:val="false"/>
          </w:tcPr>
          <w:p>
            <w:pPr>
              <w:ind w:hanging="10"/>
              <w:jc w:val="left"/>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电子响应文件壹份</w:t>
            </w:r>
            <w:r/>
          </w:p>
        </w:tc>
      </w:tr>
      <w:tr>
        <w:trPr>
          <w:jc w:val="center"/>
          <w:trHeight w:val="1170"/>
        </w:trPr>
        <w:tc>
          <w:tcPr>
            <w:tcW w:w="0" w:type="auto"/>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10</w:t>
            </w:r>
            <w:r/>
          </w:p>
        </w:tc>
        <w:tc>
          <w:tcPr>
            <w:tcW w:w="999" w:type="pct"/>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投标文件的签署盖章</w:t>
            </w:r>
            <w:r/>
          </w:p>
        </w:tc>
        <w:tc>
          <w:tcPr>
            <w:tcW w:w="3621" w:type="pct"/>
            <w:vAlign w:val="center"/>
            <w:textDirection w:val="lrTb"/>
            <w:noWrap w:val="false"/>
          </w:tcPr>
          <w:p>
            <w:pPr>
              <w:ind w:hanging="10"/>
              <w:jc w:val="left"/>
              <w:keepLines w:val="0"/>
              <w:keepNext w:val="0"/>
              <w:pageBreakBefore w:val="0"/>
              <w:spacing w:line="288" w:lineRule="auto"/>
              <w:shd w:val="clear" w:color="auto" w:fill="auto"/>
              <w:widowControl w:val="off"/>
              <w:rPr>
                <w:rFonts w:hint="eastAsia" w:ascii="宋体" w:hAnsi="宋体" w:cs="宋体"/>
                <w:i/>
                <w:szCs w:val="21"/>
                <w:highlight w:val="none"/>
              </w:rPr>
            </w:pPr>
            <w:r>
              <w:rPr>
                <w:rFonts w:hint="eastAsia" w:ascii="宋体" w:hAnsi="宋体" w:cs="宋体"/>
                <w:b/>
                <w:bCs/>
                <w:iCs/>
                <w:szCs w:val="21"/>
                <w:highlight w:val="none"/>
              </w:rPr>
              <w:t xml:space="preserve">招标文件“投标文件格式”中要求盖单位章和（或）签字的地方均应使用CA数字证书加盖投标人的单位电子印章和（或）法定代表人的个人电子印章或电子签名章。</w:t>
            </w:r>
            <w:r/>
          </w:p>
        </w:tc>
      </w:tr>
      <w:tr>
        <w:trPr>
          <w:jc w:val="center"/>
          <w:trHeight w:val="567"/>
        </w:trPr>
        <w:tc>
          <w:tcPr>
            <w:tcW w:w="0" w:type="auto"/>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11</w:t>
            </w:r>
            <w:r/>
          </w:p>
        </w:tc>
        <w:tc>
          <w:tcPr>
            <w:tcW w:w="999" w:type="pct"/>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推荐的中标候选人数量</w:t>
            </w:r>
            <w:r/>
          </w:p>
        </w:tc>
        <w:tc>
          <w:tcPr>
            <w:tcW w:w="3621" w:type="pct"/>
            <w:vAlign w:val="center"/>
            <w:textDirection w:val="lrTb"/>
            <w:noWrap w:val="false"/>
          </w:tcPr>
          <w:p>
            <w:pPr>
              <w:ind w:hanging="10"/>
              <w:jc w:val="left"/>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不超过 3 名</w:t>
            </w:r>
            <w:r/>
          </w:p>
        </w:tc>
      </w:tr>
      <w:tr>
        <w:trPr>
          <w:jc w:val="center"/>
          <w:trHeight w:val="567"/>
        </w:trPr>
        <w:tc>
          <w:tcPr>
            <w:tcW w:w="0" w:type="auto"/>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12</w:t>
            </w:r>
            <w:r/>
          </w:p>
        </w:tc>
        <w:tc>
          <w:tcPr>
            <w:tcW w:w="999" w:type="pct"/>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确定中标人方式</w:t>
            </w:r>
            <w:r/>
          </w:p>
        </w:tc>
        <w:tc>
          <w:tcPr>
            <w:tcW w:w="3621" w:type="pct"/>
            <w:vAlign w:val="center"/>
            <w:textDirection w:val="lrTb"/>
            <w:noWrap w:val="false"/>
          </w:tcPr>
          <w:p>
            <w:pPr>
              <w:ind w:hanging="10"/>
              <w:jc w:val="left"/>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招标人</w:t>
            </w:r>
            <w:r/>
          </w:p>
        </w:tc>
      </w:tr>
      <w:tr>
        <w:trPr>
          <w:jc w:val="center"/>
          <w:trHeight w:val="567"/>
        </w:trPr>
        <w:tc>
          <w:tcPr>
            <w:tcW w:w="0" w:type="auto"/>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13</w:t>
            </w:r>
            <w:r/>
          </w:p>
        </w:tc>
        <w:tc>
          <w:tcPr>
            <w:tcW w:w="999" w:type="pct"/>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履约保证金</w:t>
            </w:r>
            <w:r/>
          </w:p>
        </w:tc>
        <w:tc>
          <w:tcPr>
            <w:tcW w:w="3621" w:type="pct"/>
            <w:vAlign w:val="center"/>
            <w:textDirection w:val="lrTb"/>
            <w:noWrap w:val="false"/>
          </w:tcPr>
          <w:p>
            <w:pPr>
              <w:ind w:hanging="10"/>
              <w:jc w:val="left"/>
              <w:keepLines w:val="0"/>
              <w:keepNext w:val="0"/>
              <w:pageBreakBefore w:val="0"/>
              <w:spacing w:line="288" w:lineRule="auto"/>
              <w:shd w:val="clear" w:color="auto" w:fill="auto"/>
              <w:widowControl w:val="off"/>
              <w:rPr>
                <w:rFonts w:hint="default" w:ascii="宋体" w:hAnsi="宋体" w:eastAsia="宋体" w:cs="宋体"/>
                <w:szCs w:val="21"/>
                <w:highlight w:val="none"/>
              </w:rPr>
            </w:pPr>
            <w:r>
              <w:rPr>
                <w:rFonts w:hint="eastAsia" w:ascii="宋体" w:hAnsi="宋体" w:cs="宋体"/>
                <w:szCs w:val="21"/>
                <w:highlight w:val="none"/>
              </w:rPr>
              <w:t xml:space="preserve">中标人交纳合同金额的10%，人民币（中标价的10%四舍五入取整数）元作为本合同的履约保证金。</w:t>
            </w:r>
            <w:r>
              <w:rPr>
                <w:rFonts w:hint="eastAsia" w:ascii="宋体" w:hAnsi="宋体" w:cs="宋体"/>
                <w:szCs w:val="21"/>
                <w:highlight w:val="none"/>
                <w:lang w:val="en-US" w:eastAsia="zh-CN"/>
              </w:rPr>
              <w:t xml:space="preserve">在领取中标通知书后5个工作日内缴纳，且必须在合同签订前完成。</w:t>
            </w:r>
            <w:r/>
          </w:p>
        </w:tc>
      </w:tr>
      <w:tr>
        <w:trPr>
          <w:jc w:val="center"/>
          <w:trHeight w:val="923"/>
        </w:trPr>
        <w:tc>
          <w:tcPr>
            <w:tcW w:w="0" w:type="auto"/>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14</w:t>
            </w:r>
            <w:r/>
          </w:p>
        </w:tc>
        <w:tc>
          <w:tcPr>
            <w:tcW w:w="999" w:type="pct"/>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评标小组成员</w:t>
            </w:r>
            <w:r/>
          </w:p>
        </w:tc>
        <w:tc>
          <w:tcPr>
            <w:tcW w:w="3621" w:type="pct"/>
            <w:vAlign w:val="center"/>
            <w:textDirection w:val="lrTb"/>
            <w:noWrap w:val="false"/>
          </w:tcPr>
          <w:p>
            <w:pPr>
              <w:ind w:hanging="10"/>
              <w:jc w:val="left"/>
              <w:keepLines w:val="0"/>
              <w:keepNext w:val="0"/>
              <w:pageBreakBefore w:val="0"/>
              <w:spacing w:line="288" w:lineRule="auto"/>
              <w:shd w:val="clear" w:color="auto" w:fill="auto"/>
              <w:widowControl w:val="off"/>
              <w:rPr>
                <w:rFonts w:hint="eastAsia" w:ascii="宋体" w:hAnsi="宋体" w:cs="宋体"/>
                <w:bCs/>
                <w:szCs w:val="21"/>
                <w:highlight w:val="none"/>
              </w:rPr>
            </w:pPr>
            <w:r>
              <w:rPr>
                <w:rFonts w:hint="eastAsia" w:ascii="宋体" w:hAnsi="宋体" w:cs="宋体"/>
                <w:szCs w:val="21"/>
                <w:highlight w:val="none"/>
              </w:rPr>
              <w:t xml:space="preserve">评标小组成员为5人或5人以上单数，评标专家人数不得少于评标小组成员总数的2/3。</w:t>
            </w:r>
            <w:r/>
          </w:p>
        </w:tc>
      </w:tr>
      <w:tr>
        <w:trPr>
          <w:jc w:val="center"/>
          <w:trHeight w:val="567"/>
        </w:trPr>
        <w:tc>
          <w:tcPr>
            <w:tcW w:w="0" w:type="auto"/>
            <w:vAlign w:val="center"/>
            <w:textDirection w:val="lrTb"/>
            <w:noWrap w:val="false"/>
          </w:tcPr>
          <w:p>
            <w:pPr>
              <w:ind w:hanging="10"/>
              <w:jc w:val="center"/>
              <w:spacing w:line="312" w:lineRule="auto"/>
              <w:shd w:val="clear" w:color="auto" w:fill="auto"/>
              <w:rPr>
                <w:rFonts w:hint="eastAsia" w:ascii="宋体" w:hAnsi="宋体" w:cs="宋体"/>
                <w:szCs w:val="21"/>
                <w:highlight w:val="none"/>
              </w:rPr>
            </w:pPr>
            <w:r>
              <w:rPr>
                <w:rFonts w:hint="eastAsia" w:ascii="宋体" w:hAnsi="宋体" w:cs="宋体"/>
                <w:szCs w:val="21"/>
                <w:highlight w:val="none"/>
              </w:rPr>
              <w:t xml:space="preserve">15</w:t>
            </w:r>
            <w:r/>
          </w:p>
        </w:tc>
        <w:tc>
          <w:tcPr>
            <w:gridSpan w:val="2"/>
            <w:tcW w:w="0" w:type="auto"/>
            <w:vAlign w:val="center"/>
            <w:textDirection w:val="lrTb"/>
            <w:noWrap w:val="false"/>
          </w:tcPr>
          <w:p>
            <w:pPr>
              <w:ind w:hanging="10"/>
              <w:spacing w:line="312" w:lineRule="auto"/>
              <w:shd w:val="clear" w:color="auto" w:fill="auto"/>
              <w:rPr>
                <w:rFonts w:hint="eastAsia" w:ascii="宋体" w:hAnsi="宋体" w:cs="宋体"/>
                <w:szCs w:val="21"/>
                <w:highlight w:val="none"/>
              </w:rPr>
            </w:pPr>
            <w:r>
              <w:rPr>
                <w:rFonts w:hint="eastAsia" w:ascii="宋体" w:hAnsi="宋体" w:cs="宋体"/>
                <w:szCs w:val="21"/>
                <w:highlight w:val="none"/>
              </w:rPr>
              <w:t xml:space="preserve">其他</w:t>
            </w:r>
            <w:r/>
          </w:p>
        </w:tc>
      </w:tr>
      <w:tr>
        <w:trPr>
          <w:jc w:val="center"/>
          <w:trHeight w:val="567"/>
        </w:trPr>
        <w:tc>
          <w:tcPr>
            <w:tcW w:w="0" w:type="auto"/>
            <w:vAlign w:val="center"/>
            <w:textDirection w:val="lrTb"/>
            <w:noWrap w:val="false"/>
          </w:tcPr>
          <w:p>
            <w:pPr>
              <w:ind w:firstLine="42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r>
            <w:r/>
          </w:p>
          <w:p>
            <w:pPr>
              <w:ind w:firstLine="42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15.1</w:t>
            </w:r>
            <w:r/>
          </w:p>
        </w:tc>
        <w:tc>
          <w:tcPr>
            <w:gridSpan w:val="2"/>
            <w:tcW w:w="0" w:type="auto"/>
            <w:vAlign w:val="center"/>
            <w:textDirection w:val="lrTb"/>
            <w:noWrap w:val="false"/>
          </w:tcPr>
          <w:p>
            <w:pPr>
              <w:ind w:firstLine="42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报价说明：</w:t>
            </w:r>
            <w:r/>
          </w:p>
          <w:p>
            <w:pPr>
              <w:ind w:firstLine="42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⑴招标人设有最高投标限价人民币123.37 万元（含暂列金3万元、安全生产费2.4万元）</w:t>
            </w:r>
            <w:r/>
          </w:p>
          <w:p>
            <w:pPr>
              <w:ind w:firstLine="42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投标人的投标报价超过上述最高投标限价的（不含上限值），作否决投标处理。</w:t>
            </w:r>
            <w:r/>
          </w:p>
          <w:p>
            <w:pPr>
              <w:ind w:firstLine="422"/>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b/>
                <w:bCs/>
                <w:szCs w:val="21"/>
                <w:highlight w:val="none"/>
              </w:rPr>
              <w:t xml:space="preserve">⑵本项目采用固定单价合同方式</w:t>
            </w:r>
            <w:r>
              <w:rPr>
                <w:rFonts w:hint="eastAsia" w:ascii="宋体" w:hAnsi="宋体" w:cs="宋体"/>
                <w:szCs w:val="21"/>
                <w:highlight w:val="none"/>
              </w:rPr>
              <w:t xml:space="preserve">。投标人的投标报价，应是本项目招标范围内其所投标段的全部工程的报价，并以投标人在全费用工程量清单投标报价单中提出的全费用综合单价或总额价为根据。</w:t>
            </w:r>
            <w:r>
              <w:rPr>
                <w:rFonts w:hint="eastAsia" w:ascii="宋体" w:hAnsi="宋体" w:cs="宋体"/>
                <w:bCs/>
                <w:szCs w:val="21"/>
                <w:highlight w:val="none"/>
              </w:rPr>
              <w:t xml:space="preserve">投标人所报的</w:t>
            </w:r>
            <w:r>
              <w:rPr>
                <w:rFonts w:hint="eastAsia" w:ascii="宋体" w:hAnsi="宋体" w:cs="宋体"/>
                <w:b/>
                <w:szCs w:val="21"/>
                <w:highlight w:val="none"/>
              </w:rPr>
              <w:t xml:space="preserve">全费用综合单价或总额价应包括为实施和完成合同工程所需的劳务、材料、机械、质检</w:t>
            </w:r>
            <w:r>
              <w:rPr>
                <w:rFonts w:hint="eastAsia" w:ascii="宋体" w:hAnsi="宋体" w:cs="宋体"/>
                <w:b/>
                <w:szCs w:val="21"/>
                <w:highlight w:val="none"/>
              </w:rPr>
              <w:t xml:space="preserve">、测量、管理、验收、保险、保修、利润、税金、施工场地临时占用、有关矛盾协调等费用以及合同明示或暗示的所有责任、义务和一般风险（本工程还包括风、雨、雾、浪、水流、水位、地质等自然现象对施工的影响以及船闸正常通航对施工安全、进度的影响和水下地质（含拟建构筑物附近的水下可能障碍物）情况对施工的影响等。合同实施过程中，承包人不得就上述可以预见的风险向发包人索赔或要求调整合同全费用综合单价或总额价）。现场施工工地需要按标准化施工工地管理要求，设置护栏、围挡、标志、标牌及其他必要的所需设备设施，营造文明、安全施工工地。</w:t>
            </w:r>
            <w:r/>
          </w:p>
          <w:p>
            <w:pPr>
              <w:ind w:firstLine="42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⑶投标人在编制投标报价时，应充分考虑施工期间市场的风险和国家政策性调整风险等一切因素，并计入投标报价中。合同协议书一经签订，除合同另有规定外，合同单价一概不予调整。</w:t>
            </w:r>
            <w:r/>
          </w:p>
          <w:p>
            <w:pPr>
              <w:ind w:firstLine="42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⑷中国政府（江苏省）根据现行税法和有关部门现行规定就本合同项下向承包人征收的所有税金及其他应交纳的所有费用均由承包人摊入各工程细目的单价中。</w:t>
            </w:r>
            <w:r/>
          </w:p>
          <w:p>
            <w:pPr>
              <w:ind w:firstLine="42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⑸工程实施过程中，承包人应做好海事、水利、渔政、林业、航政、环保等部门的沟通、协调工作，施工期间本项目施工区域范围内海事、水利、渔政、林业、航政、环保等相关主管部门可能会根据各部门相关管理规定收取规费，相关费用由承包人自行考虑并承担，不单独计列，包含在投标人的投标总价及单价中。</w:t>
            </w:r>
            <w:r/>
          </w:p>
          <w:p>
            <w:pPr>
              <w:ind w:firstLine="42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⑹施工现场通讯条件、临时交通、承包人驻地建设等，投标人应根据现场考察情况自行解决；临时工程与设施应考虑施工期施工、地方临时通行以及防汛的需要，达到以上要求所需的费用应含在投标人的投标报价中，不单独计量与支付。</w:t>
            </w:r>
            <w:r/>
          </w:p>
          <w:p>
            <w:pPr>
              <w:pStyle w:val="1108"/>
              <w:ind w:left="0" w:firstLine="420"/>
              <w:keepLines w:val="0"/>
              <w:keepNext w:val="0"/>
              <w:pageBreakBefore w:val="0"/>
              <w:spacing w:line="288" w:lineRule="auto"/>
              <w:shd w:val="clear" w:color="auto" w:fill="auto"/>
              <w:widowControl w:val="off"/>
              <w:rPr>
                <w:rFonts w:hint="eastAsia" w:cs="宋体"/>
                <w:bCs/>
                <w:color w:val="auto"/>
                <w:sz w:val="21"/>
                <w:szCs w:val="21"/>
                <w:highlight w:val="none"/>
              </w:rPr>
            </w:pPr>
            <w:r>
              <w:rPr>
                <w:rFonts w:hint="eastAsia" w:cs="宋体"/>
                <w:bCs/>
                <w:color w:val="auto"/>
                <w:sz w:val="21"/>
                <w:szCs w:val="21"/>
                <w:highlight w:val="none"/>
              </w:rPr>
              <w:t xml:space="preserve">所有临时用地（永久征地线范围之外的一切用地）由承包人根据其施工组织计划，确定项目施工所必需的临时用地数量，进场后要在规定时间内上报临时用地计划，经监理人审核，发包人同意后方可实施。承包人自行与工程所在地政府商谈办理临时用地租用及复垦手续，并承担租用、青苗补偿、复垦及可能的地面附属构筑物复建等相关费用，发包人给予必要的协助，相关费用包含在投标报价中。</w:t>
            </w:r>
            <w:r/>
          </w:p>
          <w:p>
            <w:pPr>
              <w:ind w:firstLine="42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bCs/>
                <w:szCs w:val="21"/>
                <w:highlight w:val="none"/>
              </w:rPr>
              <w:t xml:space="preserve">到达临时用地的临时道路（桥）的修建、维护、拆除以及便道（桥）用地的租用手续和复垦、临时堆土区围堰构筑、排水设施由承包人负责并承担费用，所需的相关费用包含在投标报价中。</w:t>
            </w:r>
            <w:r/>
          </w:p>
          <w:p>
            <w:pPr>
              <w:ind w:firstLine="42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⑺承包人发生劳务分包时必须遵守国家相关法律以及市县的相关规定，并承担一切责任，承包人须将劳务分包合同报发包人备案。</w:t>
            </w:r>
            <w:r/>
          </w:p>
          <w:p>
            <w:pPr>
              <w:ind w:firstLine="42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⑻承包人施工现场的管理必须满足工程所在地地方政府的相关规定。不得随意抛弃建筑垃圾、废弃物、散体施工材料；严格执行关于排污的环保要求，严禁随意将垃圾、污水、泥浆及废弃油料直接排入航道，排放污染物应进行必要的处理，达到排污标准以后方可排放；及时做好施工涉及相关道路的交通维护、保洁维修工作；各类施工过程中，施工中应做到文明施工，确保不发生沿线扬尘、排污。如果承包人违反上述规定，由此产生的罚款、索赔、赔偿、诉讼费用及其它开支均由承包人承担。投标人在进行现场考察及投标时需充分考虑，相关费用包含在投标人的投标总价中。</w:t>
            </w:r>
            <w:r/>
          </w:p>
          <w:p>
            <w:pPr>
              <w:ind w:firstLine="42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⑼承包人在施工前必须对邻近现有的建筑物、构造物、管道管线（供水、燃气、通信、盐卤管道等）以及其他工程设施的作详尽的调查，做好各种保护措施，确保施工过程中不影响原有设施的安全与正常使用。如果由于承包人的原因导致各类损坏，由此产生的索赔、赔偿、诉讼费用及其它开支均由承包人承担。承包人在进行现场考察及投标时需充分考虑，相关费用包含在承包人的投标总价中。</w:t>
            </w:r>
            <w:r/>
          </w:p>
          <w:p>
            <w:pPr>
              <w:ind w:firstLine="42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⑽工程一切险及第三者责任险由承包人以承包人与发包人联名投保，工程一切险的费用为全部保费，由承包人按相关规定投保，发包人予以配合。投保条件与保险费率由承包人自行考虑，不单独计列，相关费用包含在投标人的投标总价及单价中。如承包人未按相关要求参保，出现任何事故，由承包人自行承担。</w:t>
            </w:r>
            <w:r/>
          </w:p>
          <w:p>
            <w:pPr>
              <w:ind w:firstLine="42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承包人装备险和承包人职工的（人身）事故险均由承包人自行投保，保险费用由承包人承担并含在合同综合单价中，不单独列支。</w:t>
            </w:r>
            <w:r/>
          </w:p>
          <w:p>
            <w:pPr>
              <w:ind w:firstLine="42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⑾根据《公路水运工程安全生产监督管理办法》（交通运输部令2017年第25号）、关于印发《企业安全生产费用提取和使用管理办法》的通知（财资〔2022〕136号）、《江苏省公路水运工程安全生产费用管理办法》（苏交规〔2025〕1号）的规定，投标人应在投标总价中计入安全生产费用，安全生产费用须经监理审核合格后，计量支付。</w:t>
            </w:r>
            <w:r/>
          </w:p>
          <w:p>
            <w:pPr>
              <w:ind w:firstLine="422"/>
              <w:keepLines w:val="0"/>
              <w:keepNext w:val="0"/>
              <w:pageBreakBefore w:val="0"/>
              <w:spacing w:line="288" w:lineRule="auto"/>
              <w:shd w:val="clear" w:color="auto" w:fill="auto"/>
              <w:widowControl w:val="off"/>
              <w:rPr>
                <w:rFonts w:hint="eastAsia" w:ascii="宋体" w:hAnsi="宋体" w:cs="宋体"/>
                <w:b/>
                <w:bCs/>
                <w:szCs w:val="21"/>
                <w:highlight w:val="none"/>
              </w:rPr>
            </w:pPr>
            <w:r>
              <w:rPr>
                <w:rFonts w:hint="eastAsia" w:ascii="宋体" w:hAnsi="宋体" w:cs="宋体"/>
                <w:b/>
                <w:bCs/>
                <w:szCs w:val="21"/>
                <w:highlight w:val="none"/>
              </w:rPr>
              <w:t xml:space="preserve">根据《安全生产责任保险实施办法》（应急〔2025〕27号）的要求，承包人必须投保安全生产责任险，保险费用包含在安全生产费中，据实计量支付。</w:t>
            </w:r>
            <w:r/>
          </w:p>
          <w:p>
            <w:pPr>
              <w:ind w:firstLine="422"/>
              <w:keepLines w:val="0"/>
              <w:keepNext w:val="0"/>
              <w:pageBreakBefore w:val="0"/>
              <w:spacing w:line="288" w:lineRule="auto"/>
              <w:shd w:val="clear" w:color="auto" w:fill="auto"/>
              <w:widowControl w:val="off"/>
              <w:rPr>
                <w:rFonts w:hint="eastAsia" w:ascii="宋体" w:hAnsi="宋体" w:cs="宋体"/>
                <w:b/>
                <w:bCs/>
                <w:szCs w:val="21"/>
                <w:highlight w:val="none"/>
              </w:rPr>
            </w:pPr>
            <w:r>
              <w:rPr>
                <w:rFonts w:hint="eastAsia" w:ascii="宋体" w:hAnsi="宋体" w:cs="宋体"/>
                <w:b/>
                <w:bCs/>
                <w:szCs w:val="21"/>
                <w:highlight w:val="none"/>
              </w:rPr>
              <w:t xml:space="preserve">承包人施工作业应向属地交通运输综合执法、水利等相关部门进行报备；涉及危险性较大的分部分项工程按规定编制专项施工方案；对于超过一定规模的危大工程，承包人编制的专项施工方案，应依法组织召开专家论证会对专项施工方案进行论证，并按照专家论证通过的专项施工方案进行实施。以上相关论证费用、实施所需费用在投标报价中应充分考虑，招标人不另行支付。</w:t>
            </w:r>
            <w:r/>
          </w:p>
          <w:p>
            <w:pPr>
              <w:ind w:firstLine="42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⑿本项目承包人应当根据《江苏省人力资源社会保障厅 江苏省财政厅 江苏省税务局关于印发江苏省工伤保险费率管理办法（修订版）的通知》（苏人社规〔2023〕2号）、《省人力资源社会保障厅关于确定2025年全省工程建设项目工伤保险费率的通知》（苏人社函〔2025〕1号）的规定，在建设工程开工前，以工程项目为单元参加工伤保险，与之相关的费用计入合同总价中，不单独计量与支付。</w:t>
            </w:r>
            <w:r/>
          </w:p>
          <w:p>
            <w:pPr>
              <w:ind w:firstLine="42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⒀）承包人在施工过程中应严格遵守《中华人民共和国大气污染防治法》、《江苏省大气污染防治条例》、《江苏省公路水运工程工地扬尘污染防治行动方案》、《江苏省公路水运工程施工扬尘污染防治指导手册》等相关规定，按照招标文件及发包人要求，在合同实施过程中制定扬尘污染防治实施方案并切实有效的开展相关工作，所需费用含在承包人所报的单价或总额价内，发包人不再单独计列。</w:t>
            </w:r>
            <w:r/>
          </w:p>
          <w:p>
            <w:pPr>
              <w:ind w:firstLine="422"/>
              <w:keepLines w:val="0"/>
              <w:keepNext w:val="0"/>
              <w:pageBreakBefore w:val="0"/>
              <w:spacing w:line="288" w:lineRule="auto"/>
              <w:shd w:val="clear" w:color="auto" w:fill="auto"/>
              <w:widowControl w:val="off"/>
              <w:rPr>
                <w:rFonts w:hint="eastAsia" w:ascii="宋体" w:hAnsi="宋体" w:cs="宋体"/>
                <w:b/>
                <w:bCs/>
                <w:szCs w:val="21"/>
                <w:highlight w:val="none"/>
              </w:rPr>
            </w:pPr>
            <w:r>
              <w:rPr>
                <w:rFonts w:hint="eastAsia" w:ascii="宋体" w:hAnsi="宋体" w:cs="宋体"/>
                <w:b/>
                <w:bCs/>
                <w:szCs w:val="21"/>
                <w:highlight w:val="none"/>
              </w:rPr>
              <w:t xml:space="preserve">⒁报价必须在招标人提供的电子固化全费用工程量清单投标报价单中填写，投标人不能按照报价格式用自己的报价软件自动生成，否则将被否决投标。</w:t>
            </w:r>
            <w:r/>
          </w:p>
          <w:p>
            <w:pPr>
              <w:ind w:firstLine="422"/>
              <w:keepLines w:val="0"/>
              <w:keepNext w:val="0"/>
              <w:pageBreakBefore w:val="0"/>
              <w:spacing w:line="288" w:lineRule="auto"/>
              <w:shd w:val="clear" w:color="auto" w:fill="auto"/>
              <w:widowControl w:val="off"/>
              <w:rPr>
                <w:rFonts w:hint="eastAsia" w:ascii="宋体" w:hAnsi="宋体" w:cs="宋体"/>
                <w:b/>
                <w:bCs/>
                <w:szCs w:val="21"/>
                <w:highlight w:val="none"/>
              </w:rPr>
            </w:pPr>
            <w:r>
              <w:rPr>
                <w:rFonts w:hint="eastAsia" w:ascii="宋体" w:hAnsi="宋体" w:cs="宋体"/>
                <w:b/>
                <w:bCs/>
                <w:szCs w:val="21"/>
                <w:highlight w:val="none"/>
              </w:rPr>
              <w:t xml:space="preserve">投标人应确保工程量固化全费用工程量清单投标报价单中的投标报价和投标函大写金额报价一致，否则将被否决投标。</w:t>
            </w:r>
            <w:r/>
          </w:p>
          <w:p>
            <w:pPr>
              <w:ind w:firstLine="42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⒂评标过程中出现下列情形之一的，评标委员会应当启动异常低价投标审查程序：</w:t>
            </w:r>
            <w:r/>
          </w:p>
          <w:p>
            <w:pPr>
              <w:ind w:firstLine="42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①投标报价低于全部通过符合性审查投标人投标报价平均值50%的，即投标报价＜全部通过符合性审查投标人投标报价平均值×50%；</w:t>
            </w:r>
            <w:r/>
          </w:p>
          <w:p>
            <w:pPr>
              <w:ind w:firstLine="42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②投标报价低于通过符合性审查的次低报价投标人投标报价50%的，即投标报价＜通过符合性审查的次低报价投标人投标报价×50%；</w:t>
            </w:r>
            <w:r/>
          </w:p>
          <w:p>
            <w:pPr>
              <w:ind w:firstLine="42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③投标报价低于招标项目最高限价45%的，即投标报价＜招标项目最高限价×45%；</w:t>
            </w:r>
            <w:r/>
          </w:p>
          <w:p>
            <w:pPr>
              <w:ind w:firstLine="42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④评审委员会基于专业判断，认为投标人报价过低，有可能影响产品质量或者不能诚信履约的其他情形。</w:t>
            </w:r>
            <w:r/>
          </w:p>
          <w:p>
            <w:pPr>
              <w:ind w:firstLine="42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供应商已随投标文件一并提交相关书面说明及必要的证明材料的，在评审现场可不再重复提交。</w:t>
            </w:r>
            <w:r/>
          </w:p>
          <w:p>
            <w:pPr>
              <w:ind w:firstLine="42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firstLine="42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招标人、招标代理机构应当为评标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p>
          <w:p>
            <w:pPr>
              <w:ind w:firstLine="420"/>
              <w:keepLines w:val="0"/>
              <w:keepNext w:val="0"/>
              <w:pageBreakBefore w:val="0"/>
              <w:spacing w:line="288" w:lineRule="auto"/>
              <w:shd w:val="clear" w:color="auto" w:fill="auto"/>
              <w:widowControl w:val="off"/>
              <w:rPr>
                <w:rFonts w:hint="eastAsia" w:ascii="宋体" w:hAnsi="宋体" w:cs="宋体"/>
                <w:b/>
                <w:bCs/>
                <w:szCs w:val="21"/>
                <w:highlight w:val="none"/>
              </w:rPr>
            </w:pPr>
            <w:r>
              <w:rPr>
                <w:rFonts w:hint="eastAsia" w:ascii="宋体" w:hAnsi="宋体" w:cs="宋体"/>
                <w:szCs w:val="21"/>
                <w:highlight w:val="none"/>
              </w:rPr>
              <w:t xml:space="preserve">异常低价投标审查的启动原因、审查意见和审查结果应当在评标报告中记录，并随投标人提供的相关书面说明及证明材料，以及评标委员会有关互联网浏览、查询历史一并归档。</w:t>
            </w:r>
            <w:r/>
          </w:p>
        </w:tc>
      </w:tr>
      <w:tr>
        <w:trPr>
          <w:jc w:val="center"/>
          <w:trHeight w:val="567"/>
        </w:trPr>
        <w:tc>
          <w:tcPr>
            <w:tcW w:w="0" w:type="auto"/>
            <w:vAlign w:val="center"/>
            <w:textDirection w:val="lrTb"/>
            <w:noWrap w:val="false"/>
          </w:tcPr>
          <w:p>
            <w:pPr>
              <w:ind w:hanging="10"/>
              <w:jc w:val="center"/>
              <w:spacing w:line="312" w:lineRule="auto"/>
              <w:shd w:val="clear" w:color="auto" w:fill="auto"/>
              <w:rPr>
                <w:rFonts w:hint="eastAsia" w:ascii="宋体" w:hAnsi="宋体" w:cs="宋体"/>
                <w:szCs w:val="21"/>
                <w:highlight w:val="none"/>
              </w:rPr>
            </w:pPr>
            <w:r>
              <w:rPr>
                <w:rFonts w:hint="eastAsia" w:ascii="宋体" w:hAnsi="宋体" w:cs="宋体"/>
                <w:szCs w:val="21"/>
                <w:highlight w:val="none"/>
              </w:rPr>
              <w:t xml:space="preserve">15.2</w:t>
            </w:r>
            <w:r/>
          </w:p>
        </w:tc>
        <w:tc>
          <w:tcPr>
            <w:gridSpan w:val="2"/>
            <w:tcW w:w="0" w:type="auto"/>
            <w:vAlign w:val="center"/>
            <w:textDirection w:val="lrTb"/>
            <w:noWrap w:val="false"/>
          </w:tcPr>
          <w:p>
            <w:pPr>
              <w:ind w:hanging="10"/>
              <w:spacing w:line="312" w:lineRule="auto"/>
              <w:shd w:val="clear" w:color="auto" w:fill="auto"/>
              <w:rPr>
                <w:rFonts w:hint="eastAsia" w:ascii="宋体" w:hAnsi="宋体" w:cs="宋体"/>
                <w:szCs w:val="21"/>
                <w:highlight w:val="none"/>
              </w:rPr>
            </w:pPr>
            <w:r>
              <w:rPr>
                <w:rFonts w:hint="eastAsia" w:ascii="宋体" w:hAnsi="宋体" w:cs="宋体"/>
                <w:b/>
                <w:szCs w:val="21"/>
                <w:highlight w:val="none"/>
              </w:rPr>
              <w:t xml:space="preserve">本项目发包人：京杭运河江苏省船闸应急保障中心。后续由发包人与本项目承包人签订合同，履行相关权利义务。</w:t>
            </w:r>
            <w:bookmarkEnd w:id="111"/>
            <w:r/>
            <w:r/>
          </w:p>
        </w:tc>
      </w:tr>
    </w:tbl>
    <w:p>
      <w:pPr>
        <w:shd w:val="clear" w:color="auto" w:fill="auto"/>
        <w:rPr>
          <w:rFonts w:hint="eastAsia" w:ascii="宋体" w:hAnsi="宋体" w:cs="宋体"/>
          <w:b/>
          <w:sz w:val="24"/>
          <w:highlight w:val="none"/>
        </w:rPr>
      </w:pPr>
      <w:r>
        <w:rPr>
          <w:rFonts w:hint="eastAsia" w:ascii="宋体" w:hAnsi="宋体" w:cs="宋体"/>
          <w:b/>
          <w:sz w:val="24"/>
          <w:highlight w:val="none"/>
        </w:rPr>
      </w: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一、总则</w:t>
      </w: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1．招标方式</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 本次招标采取公开招标方式，本招标文件仅适用于招标公告中所述项目。</w:t>
      </w: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2．合格的投标人</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 满足招标公告中投标人的资格要求的规定。</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2.2 满足本文件实质性条款的规定。</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2.3投标人须知前附表规定接受联合体投标的，除应符合招标公告和投标人须知前附表的要求外，还应遵守以下规定： </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⑴联合体各方应按招标文件提供的格式签订联合体协议书，明确联合体牵头人和各方权利义务；</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⑵联合体各方不得再以自己名义单独或参加其他联合体在同一标段中投标；</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⑶联合体所有成员数量不得超过招标公告规定的数量；</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⑷联合体各方应分别按照本招标文件的要求，填写投标文件中的相应表格，并由联合体牵头人负责对联合体各成员的资料进行统一汇总后一并提交给招标人；联合体牵头人所提交的投标文件应认为已代表了联合体各成员的真实情况；</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⑸尽管委任了联合体牵头人，但联合体各成员在投标、签约与履行合同过程中，仍负有连带的和各自的法律责任。</w:t>
      </w: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3．适用法律</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3.1 本次招标及由此产生的合同受中华人民共和国有关的法律法规制约和保护。</w:t>
      </w: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4. 政策功能</w:t>
      </w: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4.1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4.2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4.3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4.4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4.5强制采购信息安全产品。参加政府采购活动的信息安全产品投标人应当选择经国家认证的信息安全产品投标，并提供由国家信息安全认证中心按国家标准认证颁发的有效认证证书。</w:t>
      </w: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4.6未按要求提供相关材料的，不享受相关政策。</w:t>
      </w: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5．投标费用</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5.1 投标人应自行承担所有与参加投标有关的费用，无论投标过程中的做法和结果如何，招标人、招标代理机构在任何情况下均无义务和责任承担这些费用。</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5.2 本次招标代理服务费和造价咨询服务费、评审费由发包人支付。</w:t>
      </w: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6．招标文件的约束力</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6.1 投标人一旦领取本招标文件决定参加投标，即被认为接受了本招标文件的规定和约束，并且视为自招标公告发布之日起已经知道或应当知道自身权益是否受到了损害。</w:t>
      </w: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二、招标文件</w:t>
      </w: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7．招标文件构成</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7.1 招标文件由以下部分组成：</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第一章  招标公告</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第二章  投标人须知</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第三章  评标办法</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第四章  合同条款及格式</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第五章  工程量清单</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第六章  图纸</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第七章  技术标准和要求</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第八章  投标文件格式</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请仔细检查招标文件是否齐全，如有缺漏请立即与招标代理机构联系解决。</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7.2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8．招标文件的澄清</w:t>
      </w:r>
      <w:r/>
    </w:p>
    <w:p>
      <w:pPr>
        <w:ind w:firstLine="480"/>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sz w:val="24"/>
          <w:highlight w:val="none"/>
        </w:rPr>
        <w:t xml:space="preserve">8.1 投标人可自行联系招标人踏勘项目现场（未现场勘察和未提出疑义的投标人将被视为已勘察，认同招标项目要求的内容）。未踏勘项目或踏勘工作不详细的投标人中标后，不得以不了解现场情况为理由而向招标人提出任何索赔或其他要求，对此招标人不承担任何责任并将不作任何答复。</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8.2 任何要求对招标文件进行澄清的投标人，均应在答疑时间截止前以书面形式向招标代理机构提出。招标人对答疑时间截止前收到的任何澄清要求将以书面形式予以答复。</w:t>
      </w: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9．招标文件的修改</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9.1 在提交投标文件截止15日前的任何时候，无论出于何种原因，招标人均可主动地或在解答投标人提出的澄清问题时对招标文件进行修改。</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9.2 招标代理机构有权按照法定的要求推迟投标截止日期和开标日期。</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9.3 招标文件的实质性变动或修改将在江苏政府采购网通知，投标人可自行下载。补充文件将作为招标文件的组成部分，并对投标人具有约束力。</w:t>
      </w: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三、投标文件的编制</w:t>
      </w: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10．投标文件的语言及度量衡单位</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10.1 投标人提交的投标文件以及投标人与招标代理机构就有关投标的所有来往通知、函件和文件均应使用简体中文。</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10.2 除技术性能另有规定外，投标文件所使用的度量衡单位，均须采用国家法定计量单位。</w:t>
      </w: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11．投标文件构成</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11.1 投标人编写的投标文件应包括投标函、资格证明文件、项目经理及其他人员介绍、主要业绩、施工组织设计、投标人情况介绍等部分。</w:t>
      </w: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12．投标函</w:t>
      </w: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投标人应按照招标文件中提供的格式完整、正确填写投标函。</w:t>
      </w: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13．投标人资格证明文件</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13.1 投标人应按招标文件的要求提交资格证明文件。</w:t>
      </w: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14．投标报价</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14.1 投标人应按照招标文件规定格式填表。每项只允许有一个报价。</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14.2 标的物</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详见招标公告</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14.3 投标货币</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投标文件中的单项报价和总价均采用人民币报价，以元为单位标注。招标文件中另有规定的按规定执行。</w:t>
      </w:r>
      <w:r/>
    </w:p>
    <w:p>
      <w:pPr>
        <w:ind w:firstLine="482"/>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b/>
          <w:bCs/>
          <w:sz w:val="24"/>
          <w:highlight w:val="none"/>
        </w:rPr>
        <w:t xml:space="preserve">14.4投标报价的相关要求详见本章投标人须知《投标人须知前附表》中15.1报价说明和第七章技术标准和要求中工程量清单编制说明及投标报价要求。</w:t>
      </w: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15．技术条款响应及偏离表、商务条款响应及偏离表 </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对招标文件中的技术条款与商务条款要求逐项作出响应或偏离，并说明原因。</w:t>
      </w: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16．施工组织设计</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投标文件中应体现根据自己对需求的理解撰写需求分析和工程项目的组织与管理、工作计划、组织分工等内容、配置的人员情况等。</w:t>
      </w: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17．投标人情况介绍</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投标人的总体情况应在投标文件以书面形式作出说明。</w:t>
      </w: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18．投标保证金</w:t>
      </w: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本项目不收取投标保证金。</w:t>
      </w: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19．投标有效期</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19.1 投标有效期为招标代理机构规定的开标之日后</w:t>
      </w:r>
      <w:r>
        <w:rPr>
          <w:rFonts w:hint="eastAsia" w:ascii="宋体" w:hAnsi="宋体" w:eastAsia="宋体" w:cs="宋体"/>
          <w:b/>
          <w:bCs/>
          <w:sz w:val="24"/>
          <w:highlight w:val="none"/>
        </w:rPr>
        <w:t xml:space="preserve">九十（90）天</w:t>
      </w:r>
      <w:r>
        <w:rPr>
          <w:rFonts w:hint="eastAsia" w:ascii="宋体" w:hAnsi="宋体" w:eastAsia="宋体" w:cs="宋体"/>
          <w:sz w:val="24"/>
          <w:highlight w:val="none"/>
        </w:rPr>
        <w:t xml:space="preserve">。投标有效期比规定短的将被视为非响应性投标而予以拒绝。</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19.2 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w:t>
      </w: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四、投标文件的递交</w:t>
      </w: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20．投标文件的递交</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投标人应充分考虑网络及系统平台可能存在的非正常情况等各种风险因素，在规定的提交投标文件截止时间前，通过江苏省政府采购管理交易系统（苏采云），完成投标文件的上传。</w:t>
      </w: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21．投标文件的修改与撤回</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在提交投标文件截止时间前，投标人可以修改或撤回已递交的投标文件。修改的投标文件应按照本招标文件规定进行编制和重新提交。</w:t>
      </w: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22．投标文件的确认</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投标人可以通过江苏省政府采购管理交易系统（苏采云）多次上传投标文件，以规定的提交投标文件截止时间前，江苏省政府采购管理交易系统（苏采云）接受到的最后一份投标文件为准。</w:t>
      </w: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23．投标文件的拒收</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在规定的提交投标文件截止时间后，江苏省政府采购管理交易系统（苏采云）将不再接受投标文件的上传。</w:t>
      </w: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五、开标与评标</w:t>
      </w: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24．开标</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24.1开标将在“苏采云”系统“开标大厅”内公开进行，投标人应当按照《江苏省政府采购管理交易系统（苏采云）供应商操作手册》规定参加，并在规定的时间内解密投标文件。</w:t>
      </w: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24.2特殊情况的处置</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24.2.1在提交投标文件截止时间后，不见面开标系统出现下列情况之一时，投标文件未开启的，暂停开启活动；正在开启的，立即暂停，待系统恢复正常后再组织。</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⑴系统服务器发生故障，无法访问或无法使用系统；</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⑵系统的软件或数据库出现错误，不能进行正常操作；</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⑶系统发现有安全漏洞，有潜在的泄密危险；</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⑷其他无法保证信息安全的情形。</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24.2.2因投标人自身原因造成投标文件无法解密的，视为撤销投标文件。</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24.2.3投标人对开标活动或开标结果等有疑义的，可向招标人提出。</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24.2.4投标人未在系统中确认开标结果的，视同认可开标结果。</w:t>
      </w: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25．评标委员会</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25.1 开标后，招标代理机构将立即组织评标委员会（以下简称评委会）进行评标。</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25.2 </w:t>
      </w:r>
      <w:r>
        <w:rPr>
          <w:rFonts w:hint="eastAsia" w:ascii="宋体" w:hAnsi="宋体" w:eastAsia="宋体" w:cs="宋体"/>
          <w:b/>
          <w:bCs/>
          <w:sz w:val="24"/>
          <w:highlight w:val="none"/>
        </w:rPr>
        <w:t xml:space="preserve">评委会由评标专家、招标人代表组成</w:t>
      </w:r>
      <w:r>
        <w:rPr>
          <w:rFonts w:hint="eastAsia" w:ascii="宋体" w:hAnsi="宋体" w:eastAsia="宋体" w:cs="宋体"/>
          <w:sz w:val="24"/>
          <w:highlight w:val="none"/>
        </w:rPr>
        <w:t xml:space="preserve">，且人员构成符合政府采购有关规定。</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25.3 评委会应以科学、公正的态度参加评标工作并推荐中标候选人。评标专家和招标人代表在评标过程中不受任何干扰，独立、负责地提出评审意见，并对自己的评审意见承担责任。</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25.4 评委会将对投标人的商业、技术秘密予以保密。</w:t>
      </w: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26．评标过程的保密与公正</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26.1 公开开标后，直至向中标的投标人授予合同时止，凡是与审查、澄清、评价和比较投标的有关资料以及授标建议等，均不得向投标人或与评标无关的其他人员透露。</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26.2 在评标过程中，如果投标人试图向招标代理机构和参与评标的人员施加任何影响，都将会导致其投标被拒绝。</w:t>
      </w: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27．投标的澄清</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27.1 评标期间，为有助于投标文件的审查、评价和比较，评委会有权要求投标人对其投标文件进行澄清，但并非对每个投标人都作澄清要求。</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27.2 投标人在开标后应随时关注“苏采云”系统，接到评委会澄清要求的投标人如未按规定时间作出澄清，其风险由投标人自行承担。</w:t>
      </w: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28．对投标文件的审核</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28.1 投标文件资格性审查</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招标人或者招标代理机构依法对投标人的资格进行审查。</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28.1.1本项目将执行在政府采购活动中查询及使用信用记录的规定，具体要求为：</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⑴信用信息查询的截止时点：投标截止时间。</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⑵查询渠道：“信用中国”网站（www.creditchina.gov.cn）和中国政府采购网（www.ccgp.gov.cn）；</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⑶信用信息查询记录和证据留存具体方式：将经查询存在不良信用记录的潜在投标人的查询结果网页截图作为查询记录和证据，与其他采购文件一并保存；</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⑷信用信息的使用规则：本政府采购项目的投标人在信用信息查询截止时点（含）之前存在第一章招标公告中所述不良信用记录的，投标无效。</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28.2 评委会审查、评价投标文件是否符合招标文件的商务、技术等实质性要求。实质性响应的投标应该是与招标文件要求的全部条款、条件和规格相符，没有重大偏离或保留的投标。</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所谓重大偏离或保留是指与招标文件规定的实质性要求存在负偏离，或者在实质上与招标文件不一致，而且限制了合同中发包人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28.3 如果投标文件实质上没有响应招标文件的要求，评委会将予以拒绝，投标人不得通过修改或撤销不合要求的偏离或保留而使其投标成为实质性响应的投标。</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28.4 评委会将对确定为实质性响应的投标进行进一步审核，除前附表另有规定外，若投标文件报价出现前后不一致的，按下列规定修正：</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⑴大写金额和小写金额不一致的，以大写金额为准；</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⑵单价金额小数点或者百分比有明显错位的，以投标函的总价为准，并修改单价；</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⑶总价金额与按单价汇总金额不一致的，以单价金额计算结果为准。</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同时出现两种以上不一致的，按照前款规定的顺序修正。修正后的报价经投标人确认后产生约束力。投标人拒绝接受修正的，将作无效投标文件处理。</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28.5 评委会将允许修正投标文件中不构成重大偏离的、微小的、非正规的、不一致的或不规则的地方，但这些修改不能影响任何投标人相应的名次排列。</w:t>
      </w: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29．无效投标条款和采购活动终止情形</w:t>
      </w: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29.1 无效投标条款</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29.1.1 投标文件未按招标文件要求盖章的；</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29.1.2 投标文件中任何有选择的报价；</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29.1.3 投标文件报价出现前后不一致的，按招标文件规定修正后投标人不确认的</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29.1.4 未按招标文件要求提供投标文件的</w:t>
      </w:r>
      <w:r>
        <w:rPr>
          <w:rFonts w:hint="eastAsia" w:ascii="宋体" w:hAnsi="宋体" w:eastAsia="宋体" w:cs="宋体"/>
          <w:b/>
          <w:bCs/>
          <w:sz w:val="24"/>
          <w:highlight w:val="none"/>
        </w:rPr>
        <w:t xml:space="preserve">（包括未提供全费用工程量清单投标报价单分析表的）</w:t>
      </w:r>
      <w:r>
        <w:rPr>
          <w:rFonts w:hint="eastAsia" w:ascii="宋体" w:hAnsi="宋体" w:eastAsia="宋体" w:cs="宋体"/>
          <w:sz w:val="24"/>
          <w:highlight w:val="none"/>
        </w:rPr>
        <w:t xml:space="preserve">；</w:t>
      </w:r>
      <w:r/>
    </w:p>
    <w:p>
      <w:pPr>
        <w:ind w:firstLine="480"/>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sz w:val="24"/>
          <w:highlight w:val="none"/>
        </w:rPr>
        <w:t xml:space="preserve">29.1.5 报价超过招标文件中规定的预算金额或者最高限价的</w:t>
      </w:r>
      <w:r>
        <w:rPr>
          <w:rFonts w:hint="eastAsia" w:ascii="宋体" w:hAnsi="宋体" w:eastAsia="宋体" w:cs="宋体"/>
          <w:b/>
          <w:bCs/>
          <w:sz w:val="24"/>
          <w:highlight w:val="none"/>
        </w:rPr>
        <w:t xml:space="preserve">（包括暂列金、安全生产费用未按照招标文件规定计取的）；</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29.1.6 评标委员会认定投标人的报价明显低于其他通过符合性审查投标人的报价，有可能影响产品质量或者不能诚信履约，且投标人不能应评标委员会要求在规定时间内提供书面说明，证明其报价合理性的；</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29.1.7 凡“节能产品政府采购品目清单”中以★标注的政府强制采购产品，未提供国家确定的认证机构出具的、处于有效期之内的节能产品认证证书复印件的；</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29.1.8 投标人被中国政府采购网、信用中国、信用江苏网站列入失信被执行人名单、重大税收违法案件当事人名单、政府采购严重失信行为记录名单的；</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29.1.9 不同投标人的单位负责人为同一人或者存在直接控股、管理关系的；</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29.1.10 为采购项目提供整体设计、规范编制或者项目管理、监理、检测等服务的；</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29.1.11 投标文件含有招标人不能接受的附加条件的；</w:t>
      </w:r>
      <w:r/>
    </w:p>
    <w:p>
      <w:pPr>
        <w:ind w:firstLine="482"/>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b/>
          <w:bCs/>
          <w:sz w:val="24"/>
          <w:highlight w:val="none"/>
        </w:rPr>
        <w:t xml:space="preserve">29.1.12</w:t>
      </w:r>
      <w:r>
        <w:rPr>
          <w:rFonts w:hint="eastAsia" w:ascii="宋体" w:hAnsi="宋体" w:eastAsia="宋体" w:cs="宋体"/>
          <w:sz w:val="24"/>
          <w:highlight w:val="none"/>
        </w:rPr>
        <w:t xml:space="preserve">法律、法规和招标文件规定的其他无效情形。</w:t>
      </w: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29.2 采购活动终止情形</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29.2.1符合专业条件的投标人或者对招标文件作实质响应的投标人不足三家的；</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29.2.2出现影响采购公正的违法、违规行为的；</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29.2.3因重大变故，采购任务取消的。</w:t>
      </w: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29.3 投标截止时间结束后参加投标的投标人不足三家的处理：</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⑴招标文件存在不合理条款或者招标程序不符合规定的，招标人、招标代理机构改正后依法重新招标；</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⑵招标文件没有不合理条款、招标程序符合规定，需要采用其他采购方式采购的，招标人应当依法报财政部门批准。</w:t>
      </w: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六、定标</w:t>
      </w: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30．确定中标单位</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30.1 评委会根据本招标文件规定评分办法与评分标准推荐中标候选人顺序。</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30.2 中标候选人依据得分由高到低进行排名。</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30.3 中标人名单将在“江苏政府采购网”进行公示，公示时间为一个工作日。</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30.4 若有充分证据证明，中标人出现下列情况之一的，一经查实，将被取消中标资格：</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⑴提供虚假材料谋取中标的；</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⑵与评标专家、招标人、其他投标人或者招标代理机构工作人员恶意串通的；</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⑶向评标专家、招标人或招标代理机构工作人员行贿或者提供其他不正当利益的；</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⑷不满足本招标文件规定的实质性要求，但在评标过程中又未被评委会发现的；</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⑸其他不符合法律、法规规定的。</w:t>
      </w: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31．质疑</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31.1 质疑形式</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31.1.1 投标人认为采购文件、采购过程和采购结果使自己的权益受到损害的，可以在知道或应知其权益受到损害之日起七个工作日内，以书面形式提出质疑（涉及技术和商务条款问题的，向采购单位提出；涉及采购程序问题的，向招标代理机构提出）。非书面形式、七个工作日之外提交的质疑将不予受理。</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31.1.2 质疑必须按《政府采购法》《政府采购法实施条例》及财政部94号令的相关规定提交，未按上述要求提交的质疑函招标代理机构有权不予受理。</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31.1.3 质疑函应当包括下列内容：</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31.1.3.1 投标人的姓名或者名称、地址、邮编、联系人及联系电话；</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31.1.3.2 质疑项目的名称、编号；</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31.1.3.3 具体、明确的质疑事项和与质疑事项相关的请求；</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31.1.3.4 事实依据；</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31.1.3.5 必要的法律依据；</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31.1.3.6 提出质疑的日期。</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31.1.4 质疑函应当由法定代表人、主要负责人，或者其授权代表签字或者盖章，并加盖公章。匿名提交的质疑将不予受理。</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31.1.5 质疑的送达方式</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31.1.5.1 质疑函应采用邮寄送达或直接送达的方式递交，采用其他方式送达（含传真、电子邮件等）的，招标代理机构有权不予受理。</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31.2 特别提示</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31.2.1 根据财政部94号令第十一条规定，提出质疑的投标人应当是参与所质疑项目采购活动的投标人。</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31.2.2 投标人在法定质疑期内应一次性提出针对同一采购程序环节的质疑。</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31.2.3 投标人提出书面质疑必须有理、有据，不得恶意质疑或提交虚假质疑。否则，一经查实，招标人或招标代理机构有权依据政府采购的有关规定，报请政府采购监管部门对该投标人进行相应的行政处罚。</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31.3 其他</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31.3.1 接收质疑函的联系部门、联系电话和通讯地址同招标公告中本次招标联系事项一致。</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31.3.2 招标人或招标代理机构应当在收到投标人的书面质疑后七个工作日内作出答复，并以书面形式通知质疑投标人和其他有关投标人，但答复的内容不得涉及商业秘密。</w:t>
      </w: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32．中标通知书</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32.1 自中标人确定之日起2个工作日内，招标人在江苏政府采购网公布中标结果，同时向中标人发出中标通知书。</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32.2 中标通知书将是合同的一个组成部分。对招标人和中标人均具有法律效力。中标通知书发出后，招标人改变中标结果的，或者中标人放弃中标项目的，应当依法承担法律责任。</w:t>
      </w: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七、授予合同</w:t>
      </w: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33．签订合同</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33.1 </w:t>
      </w:r>
      <w:r>
        <w:rPr>
          <w:rFonts w:hint="eastAsia" w:ascii="宋体" w:hAnsi="宋体" w:eastAsia="宋体" w:cs="宋体"/>
          <w:b/>
          <w:sz w:val="24"/>
          <w:highlight w:val="none"/>
        </w:rPr>
        <w:t xml:space="preserve">中标人应按中标通知书规定的时间、地点，按照招标文件确定的事项与发包人签订政府采购合同</w:t>
      </w:r>
      <w:r>
        <w:rPr>
          <w:rFonts w:hint="eastAsia" w:ascii="宋体" w:hAnsi="宋体" w:eastAsia="宋体" w:cs="宋体"/>
          <w:sz w:val="24"/>
          <w:highlight w:val="none"/>
        </w:rPr>
        <w:t xml:space="preserve">，且不得迟于中标通知书发出之日起三十日内，由此给招标人及发包人造成损失的，中标人还应承担赔偿责任。</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33.2 招标文件、中标人的投标文件及招标过程中有关澄清、承诺文件均应作为合同附件。</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33.3 签订合同后，中标人不得相关服务进行转包和违法分包。</w:t>
      </w: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34．履约保证金</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.1中标人交纳合同金额的10%，人民币（中标价的10%四舍五入取整数）元作为本合同的履约保证金。</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.2中标人提供的履约保证金可以是人民币形式（银行本票、汇票、支票、电汇），或银行保函、担保公司的保证担保或保险公司的保证保险等多种形式。</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.3中标人选取银行保函、担保公司的保证担保或保险公司的保证保险等形式的向采购人缴纳的，如保函（担保、保险等）的约定期到期但中标人履约仍未结束的，中标人须进行续保。</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4中标人优先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.5如中标人未能履行合同规定的义务，采购人有权从履约保证金中取得补偿。</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.6履约保证金在合同约定期间内不予退还或者应完全有效，约定期间届满之日起 5个工作日内，采购人应将履约保证金退还中标人；逾期退还的，按中国人民银行同期贷款基利率上浮20%后的利率支付超期资金占用费，但因中标人自身原因导致无法及时退还的除外。</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.7履约保证金在合同约定期间内不予退还或者应完全有效，履约保证金在项目验收合格后无息退还给中标人。</w:t>
      </w: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35．监督</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行业监督部门将对招标投标全过程进行监督。</w:t>
      </w:r>
      <w:r/>
    </w:p>
    <w:p>
      <w:pPr>
        <w:jc w:val="center"/>
        <w:shd w:val="clear" w:color="auto" w:fill="auto"/>
        <w:rPr>
          <w:rFonts w:hint="eastAsia" w:ascii="宋体" w:hAnsi="宋体" w:cs="宋体"/>
          <w:b/>
          <w:bCs/>
          <w:sz w:val="32"/>
          <w:szCs w:val="32"/>
          <w:highlight w:val="none"/>
        </w:rPr>
      </w:pPr>
      <w:r/>
      <w:bookmarkStart w:id="121" w:name="_Toc211090859"/>
      <w:r/>
      <w:r/>
    </w:p>
    <w:p>
      <w:pPr>
        <w:jc w:val="center"/>
        <w:shd w:val="clear" w:color="auto" w:fill="auto"/>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hd w:val="clear" w:color="auto" w:fill="auto"/>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hd w:val="clear" w:color="auto" w:fill="auto"/>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hd w:val="clear" w:color="auto" w:fill="auto"/>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hd w:val="clear" w:color="auto" w:fill="auto"/>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hd w:val="clear" w:color="auto" w:fill="auto"/>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hd w:val="clear" w:color="auto" w:fill="auto"/>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hd w:val="clear" w:color="auto" w:fill="auto"/>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hd w:val="clear" w:color="auto" w:fill="auto"/>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hd w:val="clear" w:color="auto" w:fill="auto"/>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hd w:val="clear" w:color="auto" w:fill="auto"/>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hd w:val="clear" w:color="auto" w:fill="auto"/>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hd w:val="clear" w:color="auto" w:fill="auto"/>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hd w:val="clear" w:color="auto" w:fill="auto"/>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hd w:val="clear" w:color="auto" w:fill="auto"/>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hd w:val="clear" w:color="auto" w:fill="auto"/>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hd w:val="clear" w:color="auto" w:fill="auto"/>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hd w:val="clear" w:color="auto" w:fill="auto"/>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hd w:val="clear" w:color="auto" w:fill="auto"/>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hd w:val="clear" w:color="auto" w:fill="auto"/>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hd w:val="clear" w:color="auto" w:fill="auto"/>
        <w:rPr>
          <w:rFonts w:hint="eastAsia" w:ascii="宋体" w:hAnsi="宋体" w:cs="宋体"/>
          <w:sz w:val="32"/>
          <w:szCs w:val="32"/>
          <w:highlight w:val="none"/>
        </w:rPr>
      </w:pPr>
      <w:r>
        <w:rPr>
          <w:rFonts w:hint="eastAsia" w:ascii="宋体" w:hAnsi="宋体" w:cs="宋体"/>
          <w:b/>
          <w:bCs/>
          <w:sz w:val="32"/>
          <w:szCs w:val="32"/>
          <w:highlight w:val="none"/>
        </w:rPr>
        <w:t xml:space="preserve">第三章  评标办法</w:t>
      </w:r>
      <w:bookmarkEnd w:id="121"/>
      <w:r/>
      <w:r/>
    </w:p>
    <w:p>
      <w:pPr>
        <w:pStyle w:val="1113"/>
        <w:contextualSpacing/>
        <w:ind w:firstLine="0"/>
        <w:jc w:val="both"/>
        <w:keepLines w:val="0"/>
        <w:keepNext w:val="0"/>
        <w:pageBreakBefore w:val="0"/>
        <w:spacing w:line="288" w:lineRule="auto"/>
        <w:shd w:val="clear" w:color="auto" w:fill="auto"/>
        <w:widowControl w:val="off"/>
        <w:rPr>
          <w:rFonts w:hint="eastAsia" w:cs="宋体"/>
          <w:b/>
          <w:bCs/>
          <w:highlight w:val="none"/>
        </w:rPr>
      </w:pPr>
      <w:r>
        <w:rPr>
          <w:rFonts w:hint="eastAsia" w:cs="宋体"/>
          <w:b/>
          <w:bCs/>
          <w:highlight w:val="none"/>
        </w:rPr>
        <w:t xml:space="preserve">一、评标方法</w:t>
      </w:r>
      <w:r/>
    </w:p>
    <w:p>
      <w:pPr>
        <w:contextualSpacing/>
        <w:keepLines w:val="0"/>
        <w:keepNext w:val="0"/>
        <w:pageBreakBefore w:val="0"/>
        <w:spacing w:line="288" w:lineRule="auto"/>
        <w:shd w:val="clear" w:color="auto" w:fill="auto"/>
        <w:widowControl w:val="off"/>
        <w:rPr>
          <w:rFonts w:hint="eastAsia" w:ascii="宋体" w:hAnsi="宋体" w:cs="宋体"/>
          <w:b/>
          <w:bCs/>
          <w:sz w:val="24"/>
          <w:highlight w:val="none"/>
        </w:rPr>
      </w:pPr>
      <w:r>
        <w:rPr>
          <w:rFonts w:hint="eastAsia" w:ascii="宋体" w:hAnsi="宋体" w:cs="宋体"/>
          <w:b/>
          <w:bCs/>
          <w:sz w:val="24"/>
          <w:highlight w:val="none"/>
        </w:rPr>
        <w:t xml:space="preserve">1、本次评标采用综合评分法</w:t>
      </w:r>
      <w:r/>
    </w:p>
    <w:p>
      <w:pPr>
        <w:contextualSpacing/>
        <w:ind w:firstLine="480"/>
        <w:keepLines w:val="0"/>
        <w:keepNext w:val="0"/>
        <w:pageBreakBefore w:val="0"/>
        <w:spacing w:line="288" w:lineRule="auto"/>
        <w:shd w:val="clear" w:color="auto" w:fill="auto"/>
        <w:widowControl w:val="off"/>
        <w:rPr>
          <w:rFonts w:hint="eastAsia" w:ascii="宋体" w:hAnsi="宋体" w:cs="宋体"/>
          <w:b/>
          <w:sz w:val="24"/>
          <w:highlight w:val="none"/>
        </w:rPr>
      </w:pPr>
      <w:r>
        <w:rPr>
          <w:rFonts w:hint="eastAsia" w:ascii="宋体" w:hAnsi="宋体" w:cs="宋体"/>
          <w:sz w:val="24"/>
          <w:highlight w:val="none"/>
        </w:rPr>
        <w:t xml:space="preserve">评标委员会对满足招标文件实质性要求的投标文件，按照本章规定的评标标准进行打分，并按各投标人得分由高到低顺序排列，确定3家中标候选人。若得分相同，按报价由低到高顺序排列；得分且报价相同，按技术指标优劣顺序排列。</w:t>
      </w:r>
      <w:r/>
    </w:p>
    <w:p>
      <w:pPr>
        <w:pStyle w:val="1113"/>
        <w:ind w:firstLine="0"/>
        <w:keepLines w:val="0"/>
        <w:keepNext w:val="0"/>
        <w:pageBreakBefore w:val="0"/>
        <w:spacing w:line="288" w:lineRule="auto"/>
        <w:shd w:val="clear" w:color="auto" w:fill="auto"/>
        <w:widowControl w:val="off"/>
        <w:rPr>
          <w:rFonts w:hint="eastAsia" w:cs="宋体"/>
          <w:b/>
          <w:highlight w:val="none"/>
        </w:rPr>
      </w:pPr>
      <w:r>
        <w:rPr>
          <w:rFonts w:hint="eastAsia" w:cs="宋体"/>
          <w:b/>
          <w:highlight w:val="none"/>
        </w:rPr>
        <w:t xml:space="preserve">2、政府采购政策功能落实</w:t>
      </w:r>
      <w:r/>
    </w:p>
    <w:p>
      <w:pPr>
        <w:pStyle w:val="1113"/>
        <w:ind w:firstLine="0"/>
        <w:keepLines w:val="0"/>
        <w:keepNext w:val="0"/>
        <w:pageBreakBefore w:val="0"/>
        <w:spacing w:line="288" w:lineRule="auto"/>
        <w:shd w:val="clear" w:color="auto" w:fill="auto"/>
        <w:widowControl w:val="off"/>
        <w:rPr>
          <w:rFonts w:hint="eastAsia" w:cs="宋体"/>
          <w:bCs/>
          <w:highlight w:val="none"/>
        </w:rPr>
      </w:pPr>
      <w:r>
        <w:rPr>
          <w:rFonts w:hint="eastAsia" w:cs="宋体"/>
          <w:bCs/>
          <w:highlight w:val="none"/>
        </w:rPr>
        <w:t xml:space="preserve">2.1小微型企业价格扣除</w:t>
      </w:r>
      <w:r/>
    </w:p>
    <w:p>
      <w:pPr>
        <w:pStyle w:val="1113"/>
        <w:ind w:firstLine="0"/>
        <w:keepLines w:val="0"/>
        <w:keepNext w:val="0"/>
        <w:pageBreakBefore w:val="0"/>
        <w:spacing w:line="288" w:lineRule="auto"/>
        <w:shd w:val="clear" w:color="auto" w:fill="auto"/>
        <w:widowControl w:val="off"/>
        <w:rPr>
          <w:rFonts w:hint="eastAsia" w:cs="宋体"/>
          <w:b/>
          <w:bCs w:val="0"/>
          <w:highlight w:val="none"/>
        </w:rPr>
      </w:pPr>
      <w:r>
        <w:rPr>
          <w:rFonts w:hint="eastAsia" w:cs="宋体"/>
          <w:bCs/>
          <w:highlight w:val="none"/>
        </w:rPr>
        <w:t xml:space="preserve">⑴根据《政府采购促进中小企业发展管理办法》（财库〔2020〕46号）及（财库〔2022〕19号调整）规定，投标人参与评标的价格，用扣除后的价格参加评标。</w:t>
      </w:r>
      <w:r>
        <w:rPr>
          <w:rFonts w:hint="eastAsia" w:cs="宋体"/>
          <w:b/>
          <w:bCs w:val="0"/>
          <w:highlight w:val="none"/>
        </w:rPr>
        <w:t xml:space="preserve">本项目对小型和微型企业给予3%的扣除价格，用扣除后的价格参与评标。</w:t>
      </w:r>
      <w:r/>
    </w:p>
    <w:p>
      <w:pPr>
        <w:pStyle w:val="1113"/>
        <w:ind w:firstLine="0"/>
        <w:keepLines w:val="0"/>
        <w:keepNext w:val="0"/>
        <w:pageBreakBefore w:val="0"/>
        <w:spacing w:line="288" w:lineRule="auto"/>
        <w:shd w:val="clear" w:color="auto" w:fill="auto"/>
        <w:widowControl w:val="off"/>
        <w:rPr>
          <w:rFonts w:hint="eastAsia" w:cs="宋体"/>
          <w:bCs/>
          <w:highlight w:val="none"/>
        </w:rPr>
      </w:pPr>
      <w:r>
        <w:rPr>
          <w:rFonts w:hint="eastAsia" w:cs="宋体"/>
          <w:bCs/>
          <w:highlight w:val="none"/>
        </w:rPr>
        <w:t xml:space="preserve">⑵投标人需按照招标文件的要求提供相应的《中小企业声明函》。</w:t>
      </w:r>
      <w:r/>
    </w:p>
    <w:p>
      <w:pPr>
        <w:pStyle w:val="1113"/>
        <w:ind w:firstLine="0"/>
        <w:keepLines w:val="0"/>
        <w:keepNext w:val="0"/>
        <w:pageBreakBefore w:val="0"/>
        <w:spacing w:line="288" w:lineRule="auto"/>
        <w:shd w:val="clear" w:color="auto" w:fill="auto"/>
        <w:widowControl w:val="off"/>
        <w:rPr>
          <w:rFonts w:hint="eastAsia" w:cs="宋体"/>
          <w:bCs/>
          <w:highlight w:val="none"/>
        </w:rPr>
      </w:pPr>
      <w:r>
        <w:rPr>
          <w:rFonts w:hint="eastAsia" w:cs="宋体"/>
          <w:bCs/>
          <w:highlight w:val="none"/>
        </w:rPr>
        <w:t xml:space="preserve">2.2残疾人福利单位价格扣除</w:t>
      </w:r>
      <w:r/>
    </w:p>
    <w:p>
      <w:pPr>
        <w:pStyle w:val="1113"/>
        <w:ind w:firstLine="0"/>
        <w:keepLines w:val="0"/>
        <w:keepNext w:val="0"/>
        <w:pageBreakBefore w:val="0"/>
        <w:spacing w:line="288" w:lineRule="auto"/>
        <w:shd w:val="clear" w:color="auto" w:fill="auto"/>
        <w:widowControl w:val="off"/>
        <w:rPr>
          <w:rFonts w:hint="eastAsia" w:cs="宋体"/>
          <w:bCs/>
          <w:highlight w:val="none"/>
        </w:rPr>
      </w:pPr>
      <w:r>
        <w:rPr>
          <w:rFonts w:hint="eastAsia" w:cs="宋体"/>
          <w:bCs/>
          <w:highlight w:val="none"/>
        </w:rPr>
        <w:t xml:space="preserve">⑴本项目对残疾人福利性单位视同小型、微型企业，给予3%的价格扣除，用扣除后的价格参与评标。</w:t>
      </w:r>
      <w:r/>
    </w:p>
    <w:p>
      <w:pPr>
        <w:pStyle w:val="1113"/>
        <w:ind w:firstLine="0"/>
        <w:keepLines w:val="0"/>
        <w:keepNext w:val="0"/>
        <w:pageBreakBefore w:val="0"/>
        <w:spacing w:line="288" w:lineRule="auto"/>
        <w:shd w:val="clear" w:color="auto" w:fill="auto"/>
        <w:widowControl w:val="off"/>
        <w:rPr>
          <w:rFonts w:hint="eastAsia" w:cs="宋体"/>
          <w:bCs/>
          <w:highlight w:val="none"/>
        </w:rPr>
      </w:pPr>
      <w:r>
        <w:rPr>
          <w:rFonts w:hint="eastAsia" w:cs="宋体"/>
          <w:bCs/>
          <w:highlight w:val="none"/>
        </w:rPr>
        <w:t xml:space="preserve">⑵残疾人福利单位需按照招标文件的要求提供《残疾人福利性单位声明函》。</w:t>
      </w:r>
      <w:r/>
    </w:p>
    <w:p>
      <w:pPr>
        <w:pStyle w:val="1113"/>
        <w:ind w:firstLine="0"/>
        <w:keepLines w:val="0"/>
        <w:keepNext w:val="0"/>
        <w:pageBreakBefore w:val="0"/>
        <w:spacing w:line="288" w:lineRule="auto"/>
        <w:shd w:val="clear" w:color="auto" w:fill="auto"/>
        <w:widowControl w:val="off"/>
        <w:rPr>
          <w:rFonts w:hint="eastAsia" w:cs="宋体"/>
          <w:bCs/>
          <w:highlight w:val="none"/>
        </w:rPr>
      </w:pPr>
      <w:r>
        <w:rPr>
          <w:rFonts w:hint="eastAsia" w:cs="宋体"/>
          <w:bCs/>
          <w:highlight w:val="none"/>
        </w:rPr>
        <w:t xml:space="preserve">⑶残疾人福利单位标准请参照《关于促进残疾人就业政府采购政策的通知》（财库〔2017〕141号）。</w:t>
      </w:r>
      <w:r/>
    </w:p>
    <w:p>
      <w:pPr>
        <w:pStyle w:val="1113"/>
        <w:ind w:firstLine="0"/>
        <w:keepLines w:val="0"/>
        <w:keepNext w:val="0"/>
        <w:pageBreakBefore w:val="0"/>
        <w:spacing w:line="288" w:lineRule="auto"/>
        <w:shd w:val="clear" w:color="auto" w:fill="auto"/>
        <w:widowControl w:val="off"/>
        <w:rPr>
          <w:rFonts w:hint="eastAsia" w:cs="宋体"/>
          <w:bCs/>
          <w:highlight w:val="none"/>
        </w:rPr>
      </w:pPr>
      <w:r>
        <w:rPr>
          <w:rFonts w:hint="eastAsia" w:cs="宋体"/>
          <w:bCs/>
          <w:highlight w:val="none"/>
        </w:rPr>
        <w:t xml:space="preserve">3、监狱和戒毒企业价格扣除</w:t>
      </w:r>
      <w:r/>
    </w:p>
    <w:p>
      <w:pPr>
        <w:pStyle w:val="1113"/>
        <w:ind w:firstLine="0"/>
        <w:keepLines w:val="0"/>
        <w:keepNext w:val="0"/>
        <w:pageBreakBefore w:val="0"/>
        <w:spacing w:line="288" w:lineRule="auto"/>
        <w:shd w:val="clear" w:color="auto" w:fill="auto"/>
        <w:widowControl w:val="off"/>
        <w:rPr>
          <w:rFonts w:hint="eastAsia" w:cs="宋体"/>
          <w:bCs/>
          <w:highlight w:val="none"/>
        </w:rPr>
      </w:pPr>
      <w:r>
        <w:rPr>
          <w:rFonts w:hint="eastAsia" w:cs="宋体"/>
          <w:bCs/>
          <w:highlight w:val="none"/>
        </w:rPr>
        <w:t xml:space="preserve">⑴本项目对监狱和戒毒企业（简称监狱企业）视同小型、微型企业，给予3%的价格扣除，用扣除后的价格参与评标。</w:t>
      </w:r>
      <w:r/>
    </w:p>
    <w:p>
      <w:pPr>
        <w:pStyle w:val="1113"/>
        <w:ind w:firstLine="0"/>
        <w:keepLines w:val="0"/>
        <w:keepNext w:val="0"/>
        <w:pageBreakBefore w:val="0"/>
        <w:spacing w:line="288" w:lineRule="auto"/>
        <w:shd w:val="clear" w:color="auto" w:fill="auto"/>
        <w:widowControl w:val="off"/>
        <w:rPr>
          <w:rFonts w:hint="eastAsia" w:cs="宋体"/>
          <w:bCs/>
          <w:highlight w:val="none"/>
        </w:rPr>
      </w:pPr>
      <w:r>
        <w:rPr>
          <w:rFonts w:hint="eastAsia" w:cs="宋体"/>
          <w:bCs/>
          <w:highlight w:val="none"/>
        </w:rPr>
        <w:t xml:space="preserve">⑵监狱企业参加政府采购活动时，需提供由省级以上监狱管理局、戒毒管理局（含新疆生产建设兵团）出具的属于监狱企业的证明文件。投标人如不提供上述证明文件，价格将不作相应扣除。</w:t>
      </w:r>
      <w:r/>
    </w:p>
    <w:p>
      <w:pPr>
        <w:pStyle w:val="1113"/>
        <w:ind w:firstLine="0"/>
        <w:keepLines w:val="0"/>
        <w:keepNext w:val="0"/>
        <w:pageBreakBefore w:val="0"/>
        <w:spacing w:line="288" w:lineRule="auto"/>
        <w:shd w:val="clear" w:color="auto" w:fill="auto"/>
        <w:widowControl w:val="off"/>
        <w:rPr>
          <w:rFonts w:hint="eastAsia" w:cs="宋体"/>
          <w:bCs/>
          <w:highlight w:val="none"/>
        </w:rPr>
      </w:pPr>
      <w:r>
        <w:rPr>
          <w:rFonts w:hint="eastAsia" w:cs="宋体"/>
          <w:bCs/>
          <w:highlight w:val="none"/>
        </w:rPr>
        <w:t xml:space="preserve">⑶监狱企业标准请参照《关于政府采购支持监狱企业发展有关问题的通知》（财库[2014]68号）。</w:t>
      </w:r>
      <w:r/>
    </w:p>
    <w:p>
      <w:pPr>
        <w:pStyle w:val="1113"/>
        <w:ind w:firstLine="0"/>
        <w:keepLines w:val="0"/>
        <w:keepNext w:val="0"/>
        <w:pageBreakBefore w:val="0"/>
        <w:spacing w:line="288" w:lineRule="auto"/>
        <w:shd w:val="clear" w:color="auto" w:fill="auto"/>
        <w:widowControl w:val="off"/>
        <w:rPr>
          <w:rFonts w:hint="eastAsia" w:cs="宋体"/>
          <w:bCs/>
          <w:highlight w:val="none"/>
        </w:rPr>
      </w:pPr>
      <w:r>
        <w:rPr>
          <w:rFonts w:hint="eastAsia" w:cs="宋体"/>
          <w:bCs/>
          <w:highlight w:val="none"/>
        </w:rPr>
        <w:t xml:space="preserve">注：监狱企业、残疾人福利性单位视同小微企业；监狱企业、残疾人福利性单位属于小型、微型企业的，不重复享受政策。</w:t>
      </w:r>
      <w:r/>
    </w:p>
    <w:p>
      <w:pPr>
        <w:pStyle w:val="1113"/>
        <w:ind w:firstLine="0"/>
        <w:shd w:val="clear" w:color="auto" w:fill="auto"/>
        <w:rPr>
          <w:rFonts w:hint="eastAsia" w:cs="宋体"/>
          <w:b/>
          <w:bCs/>
          <w:highlight w:val="none"/>
        </w:rPr>
      </w:pPr>
      <w:r>
        <w:rPr>
          <w:rFonts w:hint="eastAsia" w:cs="宋体"/>
          <w:b/>
          <w:bCs/>
          <w:highlight w:val="none"/>
        </w:rPr>
      </w:r>
      <w:r/>
    </w:p>
    <w:p>
      <w:pPr>
        <w:pStyle w:val="1113"/>
        <w:ind w:firstLine="0"/>
        <w:shd w:val="clear" w:color="auto" w:fill="auto"/>
        <w:rPr>
          <w:rFonts w:hint="eastAsia" w:cs="宋体"/>
          <w:b/>
          <w:bCs/>
          <w:highlight w:val="none"/>
        </w:rPr>
      </w:pPr>
      <w:r>
        <w:rPr>
          <w:rFonts w:hint="eastAsia" w:cs="宋体"/>
          <w:b/>
          <w:bCs/>
          <w:highlight w:val="none"/>
        </w:rPr>
        <w:t xml:space="preserve">二、评标标准</w:t>
      </w:r>
      <w:r/>
    </w:p>
    <w:tbl>
      <w:tblPr>
        <w:tblStyle w:val="847"/>
        <w:tblW w:w="486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016"/>
        <w:gridCol w:w="7222"/>
      </w:tblGrid>
      <w:tr>
        <w:trPr>
          <w:jc w:val="center"/>
          <w:trHeight w:val="803"/>
        </w:trPr>
        <w:tc>
          <w:tcPr>
            <w:tcW w:w="772" w:type="dxa"/>
            <w:vAlign w:val="center"/>
            <w:textDirection w:val="lrTb"/>
            <w:noWrap w:val="false"/>
          </w:tcPr>
          <w:p>
            <w:pPr>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评分项</w:t>
            </w:r>
            <w:r/>
          </w:p>
        </w:tc>
        <w:tc>
          <w:tcPr>
            <w:gridSpan w:val="2"/>
            <w:tcW w:w="8047" w:type="dxa"/>
            <w:vAlign w:val="center"/>
            <w:textDirection w:val="lrTb"/>
            <w:noWrap w:val="false"/>
          </w:tcPr>
          <w:p>
            <w:pPr>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评 分 内 容</w:t>
            </w:r>
            <w:r/>
          </w:p>
        </w:tc>
      </w:tr>
      <w:tr>
        <w:trPr>
          <w:jc w:val="center"/>
          <w:trHeight w:val="701"/>
        </w:trPr>
        <w:tc>
          <w:tcPr>
            <w:tcW w:w="772" w:type="dxa"/>
            <w:vAlign w:val="center"/>
            <w:textDirection w:val="lrTb"/>
            <w:noWrap w:val="false"/>
          </w:tcPr>
          <w:p>
            <w:pPr>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价格分</w:t>
            </w:r>
            <w:r/>
          </w:p>
          <w:p>
            <w:pPr>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color w:val="ee0000"/>
                <w:szCs w:val="21"/>
                <w:highlight w:val="none"/>
              </w:rPr>
              <w:t xml:space="preserve">40</w:t>
            </w:r>
            <w:r>
              <w:rPr>
                <w:rFonts w:hint="eastAsia" w:ascii="宋体" w:hAnsi="宋体" w:cs="宋体"/>
                <w:szCs w:val="21"/>
                <w:highlight w:val="none"/>
              </w:rPr>
              <w:t xml:space="preserve">分）</w:t>
            </w:r>
            <w:r/>
          </w:p>
        </w:tc>
        <w:tc>
          <w:tcPr>
            <w:gridSpan w:val="2"/>
            <w:tcW w:w="8047" w:type="dxa"/>
            <w:vAlign w:val="center"/>
            <w:textDirection w:val="lrTb"/>
            <w:noWrap w:val="false"/>
          </w:tcPr>
          <w:p>
            <w:pP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满足招标文件要求且投标价格最低的投标价为评标基准价，其价格分为满分。其他投标人的价格统一按照下列公式计算：投标得分＝（评标基准价/投标报价）×</w:t>
            </w:r>
            <w:r>
              <w:rPr>
                <w:rFonts w:hint="eastAsia" w:ascii="宋体" w:hAnsi="宋体" w:cs="宋体"/>
                <w:color w:val="ee0000"/>
                <w:szCs w:val="21"/>
                <w:highlight w:val="none"/>
              </w:rPr>
              <w:t xml:space="preserve">40</w:t>
            </w:r>
            <w:r>
              <w:rPr>
                <w:rFonts w:hint="eastAsia" w:ascii="宋体" w:hAnsi="宋体" w:cs="宋体"/>
                <w:szCs w:val="21"/>
                <w:highlight w:val="none"/>
              </w:rPr>
              <w:t xml:space="preserve">。</w:t>
            </w:r>
            <w:r/>
          </w:p>
        </w:tc>
      </w:tr>
      <w:tr>
        <w:trPr>
          <w:jc w:val="center"/>
          <w:trHeight w:val="676"/>
        </w:trPr>
        <w:tc>
          <w:tcPr>
            <w:tcW w:w="772" w:type="dxa"/>
            <w:vAlign w:val="center"/>
            <w:vMerge w:val="restart"/>
            <w:textDirection w:val="lrTb"/>
            <w:noWrap w:val="false"/>
          </w:tcPr>
          <w:p>
            <w:pPr>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商务部分（28分）</w:t>
            </w:r>
            <w:r/>
          </w:p>
        </w:tc>
        <w:tc>
          <w:tcPr>
            <w:tcW w:w="992" w:type="dxa"/>
            <w:vAlign w:val="center"/>
            <w:textDirection w:val="lrTb"/>
            <w:noWrap w:val="false"/>
          </w:tcPr>
          <w:p>
            <w:pPr>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主要人员</w:t>
            </w:r>
            <w:r/>
          </w:p>
          <w:p>
            <w:pP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（8分）</w:t>
            </w:r>
            <w:r/>
          </w:p>
        </w:tc>
        <w:tc>
          <w:tcPr>
            <w:tcW w:w="7055" w:type="dxa"/>
            <w:vAlign w:val="center"/>
            <w:textDirection w:val="lrTb"/>
            <w:noWrap w:val="false"/>
          </w:tcPr>
          <w:p>
            <w:pPr>
              <w:keepLines w:val="0"/>
              <w:keepNext w:val="0"/>
              <w:pageBreakBefore w:val="0"/>
              <w:spacing w:line="276"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（1）项目经理具有高级工程师及以上技术职称得2分。</w:t>
            </w:r>
            <w:r>
              <w:rPr>
                <w:rFonts w:hint="eastAsia" w:ascii="宋体" w:hAnsi="宋体" w:cs="宋体"/>
                <w:b/>
                <w:bCs/>
                <w:szCs w:val="21"/>
                <w:highlight w:val="none"/>
              </w:rPr>
              <w:t xml:space="preserve">（提供人员相关有效的职称证书扫描件加盖CA电子签章）</w:t>
            </w:r>
            <w:r/>
          </w:p>
          <w:p>
            <w:pPr>
              <w:keepLines w:val="0"/>
              <w:keepNext w:val="0"/>
              <w:pageBreakBefore w:val="0"/>
              <w:spacing w:line="276"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（2）项目经理自2023年1月1日以来担任过水运工程施工项目的项目经理，每提供一个得2分，本项最多得6分。</w:t>
            </w:r>
            <w:r>
              <w:rPr>
                <w:rFonts w:hint="eastAsia" w:ascii="宋体" w:hAnsi="宋体" w:cs="宋体"/>
                <w:b/>
                <w:bCs/>
                <w:szCs w:val="21"/>
                <w:highlight w:val="none"/>
              </w:rPr>
              <w:t xml:space="preserve">（业绩须同时提供合同、交/竣工验收证明等业绩证明材料扫描件加盖CA电子签章，业绩证明资料须能体现人员职务信息，若上述资料不能体现相关信息，则需提供发包人出具的任职证明，否则不予认可。时间以交/竣工验收时间为准，未提供不得分，若一份合同同时包含以上工作内容，仅按一个业绩计取加分。）</w:t>
            </w:r>
            <w:r/>
          </w:p>
          <w:p>
            <w:pPr>
              <w:keepLines w:val="0"/>
              <w:keepNext w:val="0"/>
              <w:pageBreakBefore w:val="0"/>
              <w:spacing w:line="276" w:lineRule="auto"/>
              <w:shd w:val="clear" w:color="auto" w:fill="auto"/>
              <w:widowControl w:val="off"/>
              <w:rPr>
                <w:rFonts w:hint="eastAsia" w:ascii="宋体" w:hAnsi="宋体" w:cs="宋体"/>
                <w:b/>
                <w:szCs w:val="21"/>
                <w:highlight w:val="none"/>
              </w:rPr>
            </w:pPr>
            <w:r>
              <w:rPr>
                <w:rFonts w:hint="eastAsia" w:ascii="宋体" w:hAnsi="宋体" w:cs="宋体"/>
                <w:b/>
                <w:szCs w:val="21"/>
                <w:highlight w:val="none"/>
              </w:rPr>
              <w:t xml:space="preserve">注：①项目经理、与企业业绩可重复加分。</w:t>
            </w:r>
            <w:r/>
          </w:p>
          <w:p>
            <w:pPr>
              <w:keepLines w:val="0"/>
              <w:keepNext w:val="0"/>
              <w:pageBreakBefore w:val="0"/>
              <w:spacing w:line="276" w:lineRule="auto"/>
              <w:shd w:val="clear" w:color="auto" w:fill="auto"/>
              <w:widowControl w:val="off"/>
              <w:rPr>
                <w:rFonts w:hint="eastAsia" w:ascii="宋体" w:hAnsi="宋体" w:cs="宋体"/>
                <w:szCs w:val="21"/>
                <w:highlight w:val="none"/>
              </w:rPr>
            </w:pPr>
            <w:r>
              <w:rPr>
                <w:rFonts w:hint="eastAsia" w:ascii="宋体" w:hAnsi="宋体" w:cs="宋体"/>
                <w:b/>
                <w:szCs w:val="21"/>
                <w:highlight w:val="none"/>
              </w:rPr>
              <w:t xml:space="preserve">*②项目经理业绩评审以“主要人员经历表”为准，未在表中填报的业绩不予评审。</w:t>
            </w:r>
            <w:r/>
          </w:p>
        </w:tc>
      </w:tr>
      <w:tr>
        <w:trPr>
          <w:jc w:val="center"/>
          <w:trHeight w:val="701"/>
        </w:trPr>
        <w:tc>
          <w:tcPr>
            <w:tcW w:w="772" w:type="dxa"/>
            <w:vAlign w:val="center"/>
            <w:vMerge w:val="continue"/>
            <w:textDirection w:val="lrTb"/>
            <w:noWrap w:val="false"/>
          </w:tcPr>
          <w:p>
            <w:pPr>
              <w:jc w:val="center"/>
              <w:keepLines w:val="0"/>
              <w:keepNext w:val="0"/>
              <w:pageBreakBefore w:val="0"/>
              <w:spacing w:line="288" w:lineRule="auto"/>
              <w:widowControl w:val="off"/>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企业业绩</w:t>
            </w:r>
            <w:r/>
          </w:p>
          <w:p>
            <w:pP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（20分）</w:t>
            </w:r>
            <w:r/>
          </w:p>
        </w:tc>
        <w:tc>
          <w:tcPr>
            <w:tcW w:w="7055" w:type="dxa"/>
            <w:vAlign w:val="center"/>
            <w:textDirection w:val="lrTb"/>
            <w:noWrap w:val="false"/>
          </w:tcPr>
          <w:p>
            <w:pPr>
              <w:keepLines w:val="0"/>
              <w:keepNext w:val="0"/>
              <w:pageBreakBefore w:val="0"/>
              <w:spacing w:line="276"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投标人自2023年1月1日以来完成过水运工程施工项目的，每提供一个得5分，本项最多得20分。</w:t>
            </w:r>
            <w:r/>
          </w:p>
          <w:p>
            <w:pPr>
              <w:keepLines w:val="0"/>
              <w:keepNext w:val="0"/>
              <w:pageBreakBefore w:val="0"/>
              <w:spacing w:line="276" w:lineRule="auto"/>
              <w:shd w:val="clear" w:color="auto" w:fill="auto"/>
              <w:widowControl w:val="off"/>
              <w:rPr>
                <w:rFonts w:hint="eastAsia" w:ascii="宋体" w:hAnsi="宋体" w:cs="宋体"/>
                <w:b/>
                <w:szCs w:val="21"/>
                <w:highlight w:val="none"/>
              </w:rPr>
            </w:pPr>
            <w:r>
              <w:rPr>
                <w:rFonts w:hint="eastAsia" w:ascii="宋体" w:hAnsi="宋体" w:cs="宋体"/>
                <w:b/>
                <w:szCs w:val="21"/>
                <w:highlight w:val="none"/>
              </w:rPr>
              <w:t xml:space="preserve">（须同时提供合同，</w:t>
            </w:r>
            <w:r>
              <w:rPr>
                <w:rFonts w:hint="eastAsia" w:ascii="宋体" w:hAnsi="宋体" w:cs="宋体"/>
                <w:b/>
                <w:bCs/>
                <w:szCs w:val="21"/>
                <w:highlight w:val="none"/>
              </w:rPr>
              <w:t xml:space="preserve">交/竣工</w:t>
            </w:r>
            <w:r>
              <w:rPr>
                <w:rFonts w:hint="eastAsia" w:ascii="宋体" w:hAnsi="宋体" w:cs="宋体"/>
                <w:b/>
                <w:szCs w:val="21"/>
                <w:highlight w:val="none"/>
              </w:rPr>
              <w:t xml:space="preserve">验收证明或建设单位业绩证明材料</w:t>
            </w:r>
            <w:r>
              <w:rPr>
                <w:rFonts w:hint="eastAsia" w:ascii="宋体" w:hAnsi="宋体" w:cs="宋体"/>
                <w:b/>
                <w:bCs/>
                <w:szCs w:val="21"/>
                <w:highlight w:val="none"/>
              </w:rPr>
              <w:t xml:space="preserve">扫描件加盖CA电子签章</w:t>
            </w:r>
            <w:r>
              <w:rPr>
                <w:rFonts w:hint="eastAsia" w:ascii="宋体" w:hAnsi="宋体" w:cs="宋体"/>
                <w:b/>
                <w:szCs w:val="21"/>
                <w:highlight w:val="none"/>
              </w:rPr>
              <w:t xml:space="preserve">，时间以</w:t>
            </w:r>
            <w:r>
              <w:rPr>
                <w:rFonts w:hint="eastAsia" w:ascii="宋体" w:hAnsi="宋体" w:cs="宋体"/>
                <w:b/>
                <w:bCs/>
                <w:szCs w:val="21"/>
                <w:highlight w:val="none"/>
              </w:rPr>
              <w:t xml:space="preserve">交/竣工</w:t>
            </w:r>
            <w:r>
              <w:rPr>
                <w:rFonts w:hint="eastAsia" w:ascii="宋体" w:hAnsi="宋体" w:cs="宋体"/>
                <w:b/>
                <w:szCs w:val="21"/>
                <w:highlight w:val="none"/>
              </w:rPr>
              <w:t xml:space="preserve">验收时间为准，未提供不得分，若一份合同同时包含以上工作内容，仅按一个业绩计取加分。）</w:t>
            </w:r>
            <w:r/>
          </w:p>
          <w:p>
            <w:pPr>
              <w:keepLines w:val="0"/>
              <w:keepNext w:val="0"/>
              <w:pageBreakBefore w:val="0"/>
              <w:spacing w:line="276" w:lineRule="auto"/>
              <w:shd w:val="clear" w:color="auto" w:fill="auto"/>
              <w:widowControl w:val="off"/>
              <w:rPr>
                <w:rFonts w:hint="eastAsia" w:ascii="宋体" w:hAnsi="宋体" w:cs="宋体"/>
                <w:b/>
                <w:szCs w:val="21"/>
                <w:highlight w:val="none"/>
              </w:rPr>
            </w:pPr>
            <w:r>
              <w:rPr>
                <w:rFonts w:hint="eastAsia" w:ascii="宋体" w:hAnsi="宋体" w:cs="宋体"/>
                <w:b/>
                <w:szCs w:val="21"/>
                <w:highlight w:val="none"/>
              </w:rPr>
              <w:t xml:space="preserve">注：①项目经理业绩与企业业绩可重复加分。</w:t>
            </w:r>
            <w:r/>
          </w:p>
          <w:p>
            <w:pPr>
              <w:keepLines w:val="0"/>
              <w:keepNext w:val="0"/>
              <w:pageBreakBefore w:val="0"/>
              <w:spacing w:line="276" w:lineRule="auto"/>
              <w:shd w:val="clear" w:color="auto" w:fill="auto"/>
              <w:widowControl w:val="off"/>
              <w:rPr>
                <w:rFonts w:hint="eastAsia" w:ascii="宋体" w:hAnsi="宋体" w:cs="宋体"/>
                <w:szCs w:val="21"/>
                <w:highlight w:val="none"/>
              </w:rPr>
            </w:pPr>
            <w:r>
              <w:rPr>
                <w:rFonts w:hint="eastAsia" w:ascii="宋体" w:hAnsi="宋体" w:cs="宋体"/>
                <w:b/>
                <w:szCs w:val="21"/>
                <w:highlight w:val="none"/>
              </w:rPr>
              <w:t xml:space="preserve">*②企业业绩评审以“企业代表工程表”为准，未在表中填报的业绩不予评审。</w:t>
            </w:r>
            <w:r/>
          </w:p>
        </w:tc>
      </w:tr>
      <w:tr>
        <w:trPr>
          <w:jc w:val="center"/>
          <w:trHeight w:val="2208"/>
        </w:trPr>
        <w:tc>
          <w:tcPr>
            <w:tcW w:w="772" w:type="dxa"/>
            <w:vAlign w:val="center"/>
            <w:vMerge w:val="restart"/>
            <w:textDirection w:val="lrTb"/>
            <w:noWrap w:val="false"/>
          </w:tcPr>
          <w:p>
            <w:pPr>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技术部分</w:t>
            </w:r>
            <w:r/>
          </w:p>
          <w:p>
            <w:pPr>
              <w:jc w:val="center"/>
              <w:keepLines w:val="0"/>
              <w:keepNext w:val="0"/>
              <w:pageBreakBefore w:val="0"/>
              <w:spacing w:line="288" w:lineRule="auto"/>
              <w:shd w:val="clear" w:color="auto" w:fill="auto"/>
              <w:widowControl w:val="off"/>
              <w:rPr>
                <w:rFonts w:hint="eastAsia" w:ascii="宋体" w:hAnsi="宋体" w:cs="宋体"/>
                <w:b/>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2分）</w:t>
            </w:r>
            <w:r/>
          </w:p>
        </w:tc>
        <w:tc>
          <w:tcPr>
            <w:tcW w:w="992" w:type="dxa"/>
            <w:vAlign w:val="center"/>
            <w:textDirection w:val="lrTb"/>
            <w:noWrap w:val="false"/>
          </w:tcPr>
          <w:p>
            <w:pPr>
              <w:ind w:right="-58"/>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总体施工方案</w:t>
            </w:r>
            <w:r/>
          </w:p>
          <w:p>
            <w:pPr>
              <w:ind w:right="-58"/>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分）</w:t>
            </w:r>
            <w:r/>
          </w:p>
        </w:tc>
        <w:tc>
          <w:tcPr>
            <w:tcW w:w="7055" w:type="dxa"/>
            <w:vAlign w:val="center"/>
            <w:textDirection w:val="lrTb"/>
            <w:noWrap w:val="false"/>
          </w:tcPr>
          <w:p>
            <w:pPr>
              <w:keepLines w:val="0"/>
              <w:keepNext w:val="0"/>
              <w:pageBreakBefore w:val="0"/>
              <w:spacing w:line="276" w:lineRule="auto"/>
              <w:shd w:val="clear" w:color="auto" w:fill="auto"/>
              <w:widowControl w:val="off"/>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根据总体施工方案内容是否齐全、是否符合本工程的特点和实际情况进行评价：</w:t>
            </w:r>
            <w:r/>
          </w:p>
          <w:p>
            <w:pPr>
              <w:keepLines w:val="0"/>
              <w:keepNext w:val="0"/>
              <w:pageBreakBefore w:val="0"/>
              <w:spacing w:line="276" w:lineRule="auto"/>
              <w:shd w:val="clear" w:color="auto" w:fill="auto"/>
              <w:widowControl w:val="off"/>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⑴总体施工组织、施工方案逻辑条理清晰，内容完整详实、编制精准，实操落地性强；施工流程及工序安排、人员配置、主要机械设备规划完善，针对施工难点制定的应对方案、处置措施细致可行，完全适配本工程施工实际，得 7 分；</w:t>
            </w:r>
            <w:r/>
          </w:p>
          <w:p>
            <w:pPr>
              <w:keepLines w:val="0"/>
              <w:keepNext w:val="0"/>
              <w:pageBreakBefore w:val="0"/>
              <w:spacing w:line="276" w:lineRule="auto"/>
              <w:shd w:val="clear" w:color="auto" w:fill="auto"/>
              <w:widowControl w:val="off"/>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⑵总体施工方案编制规范，各项内容适配工程施工条件，能够满足本项目全部施工管控需求，得 5 分；;</w:t>
            </w:r>
            <w:r/>
          </w:p>
          <w:p>
            <w:pPr>
              <w:keepLines w:val="0"/>
              <w:keepNext w:val="0"/>
              <w:pageBreakBefore w:val="0"/>
              <w:spacing w:line="276" w:lineRule="auto"/>
              <w:shd w:val="clear" w:color="auto" w:fill="auto"/>
              <w:widowControl w:val="off"/>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⑶总体施工方案，但核心内容缺漏、关键部署及保障措施不完善，内容完整性不足，得 3 分；</w:t>
            </w:r>
            <w:r/>
          </w:p>
          <w:p>
            <w:pPr>
              <w:keepLines w:val="0"/>
              <w:keepNext w:val="0"/>
              <w:pageBreakBefore w:val="0"/>
              <w:spacing w:line="276" w:lineRule="auto"/>
              <w:shd w:val="clear" w:color="auto" w:fill="auto"/>
              <w:widowControl w:val="off"/>
              <w:tabs>
                <w:tab w:val="left" w:pos="0" w:leader="none"/>
              </w:tabs>
              <w:rPr>
                <w:rFonts w:hint="eastAsia" w:ascii="宋体" w:hAnsi="宋体" w:cs="宋体"/>
                <w:color w:val="auto"/>
                <w:szCs w:val="21"/>
                <w:highlight w:val="none"/>
              </w:rPr>
            </w:pPr>
            <w:r>
              <w:rPr>
                <w:rFonts w:hint="eastAsia" w:ascii="宋体" w:hAnsi="宋体" w:cs="宋体"/>
                <w:bCs/>
                <w:color w:val="auto"/>
                <w:szCs w:val="21"/>
                <w:highlight w:val="none"/>
              </w:rPr>
              <w:t xml:space="preserve">⑷未</w:t>
            </w:r>
            <w:r>
              <w:rPr>
                <w:rFonts w:hint="eastAsia" w:ascii="宋体" w:hAnsi="宋体" w:cs="宋体"/>
                <w:bCs/>
                <w:color w:val="auto"/>
                <w:szCs w:val="21"/>
                <w:highlight w:val="none"/>
                <w:lang w:val="en-US" w:eastAsia="zh-CN"/>
              </w:rPr>
              <w:t xml:space="preserve">提供</w:t>
            </w:r>
            <w:r>
              <w:rPr>
                <w:rFonts w:hint="eastAsia" w:ascii="宋体" w:hAnsi="宋体" w:cs="宋体"/>
                <w:bCs/>
                <w:color w:val="auto"/>
                <w:szCs w:val="21"/>
                <w:highlight w:val="none"/>
              </w:rPr>
              <w:t xml:space="preserve">总体施工方案，或方案与本工程工况严重不符、无法满足项目施工基本要求，不得分。</w:t>
            </w:r>
            <w:r/>
          </w:p>
        </w:tc>
      </w:tr>
      <w:tr>
        <w:trPr>
          <w:jc w:val="center"/>
          <w:trHeight w:val="366"/>
        </w:trPr>
        <w:tc>
          <w:tcPr>
            <w:tcW w:w="772" w:type="dxa"/>
            <w:vAlign w:val="center"/>
            <w:vMerge w:val="continue"/>
            <w:textDirection w:val="lrTb"/>
            <w:noWrap w:val="false"/>
          </w:tcPr>
          <w:p>
            <w:pPr>
              <w:jc w:val="center"/>
              <w:keepLines w:val="0"/>
              <w:keepNext w:val="0"/>
              <w:pageBreakBefore w:val="0"/>
              <w:spacing w:line="288" w:lineRule="auto"/>
              <w:shd w:val="clear" w:color="auto" w:fill="ffffff"/>
              <w:widowControl w:val="off"/>
              <w:rPr>
                <w:rFonts w:hint="eastAsia" w:ascii="宋体" w:hAnsi="宋体" w:cs="宋体"/>
                <w:b/>
                <w:szCs w:val="21"/>
              </w:rPr>
            </w:pPr>
            <w:r>
              <w:rPr>
                <w:rFonts w:hint="eastAsia" w:ascii="宋体" w:hAnsi="宋体" w:cs="宋体"/>
                <w:b/>
                <w:szCs w:val="21"/>
              </w:rPr>
            </w:r>
            <w:r/>
          </w:p>
        </w:tc>
        <w:tc>
          <w:tcPr>
            <w:tcW w:w="992" w:type="dxa"/>
            <w:vAlign w:val="center"/>
            <w:textDirection w:val="lrTb"/>
            <w:noWrap w:val="false"/>
          </w:tcPr>
          <w:p>
            <w:pPr>
              <w:ind w:right="-58"/>
              <w:jc w:val="center"/>
              <w:keepLines w:val="0"/>
              <w:keepNext w:val="0"/>
              <w:pageBreakBefore w:val="0"/>
              <w:spacing w:line="288" w:lineRule="auto"/>
              <w:shd w:val="clear" w:color="auto" w:fill="auto"/>
              <w:widowControl w:val="off"/>
              <w:rPr>
                <w:rFonts w:hint="eastAsia" w:ascii="宋体" w:hAnsi="宋体" w:cs="宋体"/>
                <w:bCs/>
                <w:szCs w:val="21"/>
                <w:highlight w:val="none"/>
              </w:rPr>
            </w:pPr>
            <w:r>
              <w:rPr>
                <w:rFonts w:hint="eastAsia" w:ascii="宋体" w:hAnsi="宋体" w:cs="宋体"/>
                <w:bCs/>
                <w:szCs w:val="21"/>
                <w:highlight w:val="none"/>
              </w:rPr>
              <w:t xml:space="preserve">重、难点</w:t>
            </w:r>
            <w:r/>
          </w:p>
          <w:p>
            <w:pPr>
              <w:ind w:right="-58"/>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bCs/>
                <w:szCs w:val="21"/>
                <w:highlight w:val="none"/>
              </w:rPr>
              <w:t xml:space="preserve">分析</w:t>
            </w:r>
            <w:r/>
          </w:p>
          <w:p>
            <w:pPr>
              <w:ind w:right="-58"/>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分）</w:t>
            </w:r>
            <w:r/>
          </w:p>
        </w:tc>
        <w:tc>
          <w:tcPr>
            <w:tcW w:w="7055" w:type="dxa"/>
            <w:vAlign w:val="center"/>
            <w:textDirection w:val="lrTb"/>
            <w:noWrap w:val="false"/>
          </w:tcPr>
          <w:p>
            <w:pPr>
              <w:keepLines w:val="0"/>
              <w:keepNext w:val="0"/>
              <w:pageBreakBefore w:val="0"/>
              <w:spacing w:line="276" w:lineRule="auto"/>
              <w:shd w:val="clear" w:color="auto" w:fill="auto"/>
              <w:widowControl w:val="off"/>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根据工程项目特点、投标人施工能力和施工条件分析并提出相应的对策和解决措施。对项目存在的重点难点（如弃土及垃圾处置、施工现场周边单位、个人相关施工影响、矛盾的协调等等）问题进行分析</w:t>
            </w:r>
            <w:r>
              <w:rPr>
                <w:rFonts w:hint="eastAsia" w:ascii="宋体" w:hAnsi="宋体" w:cs="宋体"/>
                <w:bCs/>
                <w:color w:val="auto"/>
                <w:szCs w:val="21"/>
                <w:highlight w:val="none"/>
                <w:lang w:eastAsia="zh-CN"/>
              </w:rPr>
              <w:t xml:space="preserve">。</w:t>
            </w:r>
            <w:r/>
          </w:p>
          <w:p>
            <w:pPr>
              <w:keepLines w:val="0"/>
              <w:keepNext w:val="0"/>
              <w:pageBreakBefore w:val="0"/>
              <w:spacing w:line="276" w:lineRule="auto"/>
              <w:shd w:val="clear" w:color="auto" w:fill="auto"/>
              <w:widowControl w:val="off"/>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⑴重难点分析完整精准，应对对策细致扎实、合理可行，落地操作性强，完全适配本工程，得 7 分；</w:t>
            </w:r>
            <w:r/>
          </w:p>
          <w:p>
            <w:pPr>
              <w:keepLines w:val="0"/>
              <w:keepNext w:val="0"/>
              <w:pageBreakBefore w:val="0"/>
              <w:spacing w:line="276" w:lineRule="auto"/>
              <w:shd w:val="clear" w:color="auto" w:fill="auto"/>
              <w:widowControl w:val="off"/>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⑵重难点分析及处置方案基本齐全，可满足项目施工需求，得 5 分；</w:t>
            </w:r>
            <w:r/>
          </w:p>
          <w:p>
            <w:pPr>
              <w:keepLines w:val="0"/>
              <w:keepNext w:val="0"/>
              <w:pageBreakBefore w:val="0"/>
              <w:spacing w:line="276" w:lineRule="auto"/>
              <w:shd w:val="clear" w:color="auto" w:fill="auto"/>
              <w:widowControl w:val="off"/>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⑶已提供相关分析及措施，但内容残缺、关键处置方案缺失，得 3 分；</w:t>
            </w:r>
            <w:r/>
          </w:p>
          <w:p>
            <w:pPr>
              <w:keepLines w:val="0"/>
              <w:keepNext w:val="0"/>
              <w:pageBreakBefore w:val="0"/>
              <w:spacing w:line="276" w:lineRule="auto"/>
              <w:shd w:val="clear" w:color="auto" w:fill="auto"/>
              <w:widowControl w:val="off"/>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⑷未提供相关资料，或方案无法适配项目施工要求，0 分。</w:t>
            </w:r>
            <w:r/>
          </w:p>
        </w:tc>
      </w:tr>
      <w:tr>
        <w:trPr>
          <w:jc w:val="center"/>
          <w:trHeight w:val="90"/>
        </w:trPr>
        <w:tc>
          <w:tcPr>
            <w:tcW w:w="772" w:type="dxa"/>
            <w:vAlign w:val="center"/>
            <w:vMerge w:val="continue"/>
            <w:textDirection w:val="lrTb"/>
            <w:noWrap w:val="false"/>
          </w:tcPr>
          <w:p>
            <w:pPr>
              <w:jc w:val="center"/>
              <w:keepLines w:val="0"/>
              <w:keepNext w:val="0"/>
              <w:pageBreakBefore w:val="0"/>
              <w:spacing w:line="288" w:lineRule="auto"/>
              <w:shd w:val="clear" w:color="auto" w:fill="ffffff"/>
              <w:widowControl w:val="off"/>
              <w:rPr>
                <w:rFonts w:hint="eastAsia" w:ascii="宋体" w:hAnsi="宋体" w:cs="宋体"/>
                <w:b/>
                <w:szCs w:val="21"/>
              </w:rPr>
            </w:pPr>
            <w:r>
              <w:rPr>
                <w:rFonts w:hint="eastAsia" w:ascii="宋体" w:hAnsi="宋体" w:cs="宋体"/>
                <w:b/>
                <w:szCs w:val="21"/>
              </w:rPr>
            </w:r>
            <w:r/>
          </w:p>
        </w:tc>
        <w:tc>
          <w:tcPr>
            <w:tcW w:w="992" w:type="dxa"/>
            <w:vAlign w:val="center"/>
            <w:textDirection w:val="lrTb"/>
            <w:noWrap w:val="false"/>
          </w:tcPr>
          <w:p>
            <w:pPr>
              <w:ind w:left="420" w:hanging="420"/>
              <w:jc w:val="center"/>
              <w:keepLines w:val="0"/>
              <w:keepNext w:val="0"/>
              <w:pageBreakBefore w:val="0"/>
              <w:spacing w:line="288" w:lineRule="auto"/>
              <w:shd w:val="clear" w:color="auto" w:fill="auto"/>
              <w:widowControl w:val="off"/>
              <w:tabs>
                <w:tab w:val="left" w:pos="0" w:leader="none"/>
              </w:tabs>
              <w:rPr>
                <w:rFonts w:hint="eastAsia" w:ascii="宋体" w:hAnsi="宋体" w:cs="宋体"/>
                <w:bCs/>
                <w:szCs w:val="21"/>
                <w:highlight w:val="none"/>
              </w:rPr>
            </w:pPr>
            <w:r>
              <w:rPr>
                <w:rFonts w:hint="eastAsia" w:ascii="宋体" w:hAnsi="宋体" w:cs="宋体"/>
                <w:bCs/>
                <w:szCs w:val="21"/>
                <w:highlight w:val="none"/>
              </w:rPr>
              <w:t xml:space="preserve">安全保证</w:t>
            </w:r>
            <w:r/>
          </w:p>
          <w:p>
            <w:pPr>
              <w:ind w:left="420" w:hanging="420"/>
              <w:jc w:val="center"/>
              <w:keepLines w:val="0"/>
              <w:keepNext w:val="0"/>
              <w:pageBreakBefore w:val="0"/>
              <w:spacing w:line="288" w:lineRule="auto"/>
              <w:shd w:val="clear" w:color="auto" w:fill="auto"/>
              <w:widowControl w:val="off"/>
              <w:tabs>
                <w:tab w:val="left" w:pos="0" w:leader="none"/>
              </w:tabs>
              <w:rPr>
                <w:rFonts w:hint="eastAsia" w:ascii="宋体" w:hAnsi="宋体" w:cs="宋体"/>
                <w:bCs/>
                <w:szCs w:val="21"/>
                <w:highlight w:val="none"/>
              </w:rPr>
            </w:pPr>
            <w:r>
              <w:rPr>
                <w:rFonts w:hint="eastAsia" w:ascii="宋体" w:hAnsi="宋体" w:cs="宋体"/>
                <w:bCs/>
                <w:szCs w:val="21"/>
                <w:highlight w:val="none"/>
              </w:rPr>
              <w:t xml:space="preserve">措施</w:t>
            </w:r>
            <w:r/>
          </w:p>
          <w:p>
            <w:pPr>
              <w:ind w:left="420" w:hanging="420"/>
              <w:jc w:val="center"/>
              <w:keepLines w:val="0"/>
              <w:keepNext w:val="0"/>
              <w:pageBreakBefore w:val="0"/>
              <w:spacing w:line="288" w:lineRule="auto"/>
              <w:shd w:val="clear" w:color="auto" w:fill="auto"/>
              <w:widowControl w:val="off"/>
              <w:tabs>
                <w:tab w:val="left" w:pos="0" w:leader="none"/>
              </w:tabs>
              <w:rPr>
                <w:rFonts w:hint="eastAsia" w:ascii="宋体" w:hAnsi="宋体" w:cs="宋体"/>
                <w:bCs/>
                <w:szCs w:val="21"/>
                <w:highlight w:val="none"/>
              </w:rPr>
            </w:pPr>
            <w:r>
              <w:rPr>
                <w:rFonts w:hint="eastAsia" w:ascii="宋体" w:hAnsi="宋体" w:cs="宋体"/>
                <w:bCs/>
                <w:szCs w:val="21"/>
                <w:highlight w:val="none"/>
              </w:rPr>
              <w:t xml:space="preserve">（</w:t>
            </w:r>
            <w:r>
              <w:rPr>
                <w:rFonts w:hint="eastAsia" w:ascii="宋体" w:hAnsi="宋体" w:cs="宋体"/>
                <w:bCs/>
                <w:szCs w:val="21"/>
                <w:highlight w:val="none"/>
                <w:lang w:val="en-US" w:eastAsia="zh-CN"/>
              </w:rPr>
              <w:t xml:space="preserve">7</w:t>
            </w:r>
            <w:r>
              <w:rPr>
                <w:rFonts w:hint="eastAsia" w:ascii="宋体" w:hAnsi="宋体" w:cs="宋体"/>
                <w:bCs/>
                <w:szCs w:val="21"/>
                <w:highlight w:val="none"/>
              </w:rPr>
              <w:t xml:space="preserve">分）</w:t>
            </w:r>
            <w:r/>
          </w:p>
        </w:tc>
        <w:tc>
          <w:tcPr>
            <w:tcW w:w="7055" w:type="dxa"/>
            <w:vAlign w:val="center"/>
            <w:textDirection w:val="lrTb"/>
            <w:noWrap w:val="false"/>
          </w:tcPr>
          <w:p>
            <w:pPr>
              <w:keepLines w:val="0"/>
              <w:keepNext w:val="0"/>
              <w:pageBreakBefore w:val="0"/>
              <w:spacing w:line="276" w:lineRule="auto"/>
              <w:shd w:val="clear" w:color="auto" w:fill="auto"/>
              <w:widowControl w:val="off"/>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⑴安全管理体系内容完整、条理清晰、职责明确，制度流程健全，保障措施具体可行、针对性强，完全满足工程安全管理要求，得 7 分；⑵安全管理体系及保证措施基本齐全，能够满足工程安全管理需要，得 5 分；</w:t>
            </w:r>
            <w:r/>
          </w:p>
          <w:p>
            <w:pPr>
              <w:keepLines w:val="0"/>
              <w:keepNext w:val="0"/>
              <w:pageBreakBefore w:val="0"/>
              <w:spacing w:line="276" w:lineRule="auto"/>
              <w:shd w:val="clear" w:color="auto" w:fill="auto"/>
              <w:widowControl w:val="off"/>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⑶已提供安全管理体系及保证措施，但内容不完整、缺项，得 3 分；</w:t>
            </w:r>
            <w:r/>
          </w:p>
          <w:p>
            <w:pPr>
              <w:keepLines w:val="0"/>
              <w:keepNext w:val="0"/>
              <w:pageBreakBefore w:val="0"/>
              <w:spacing w:line="276" w:lineRule="auto"/>
              <w:shd w:val="clear" w:color="auto" w:fill="auto"/>
              <w:widowControl w:val="off"/>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⑷安全管理体系及保证措施不适用本工程，或未提供，不得分。</w:t>
            </w:r>
            <w:r/>
          </w:p>
        </w:tc>
      </w:tr>
      <w:tr>
        <w:trPr>
          <w:jc w:val="center"/>
          <w:trHeight w:val="4081"/>
        </w:trPr>
        <w:tc>
          <w:tcPr>
            <w:tcW w:w="772" w:type="dxa"/>
            <w:vAlign w:val="center"/>
            <w:vMerge w:val="continue"/>
            <w:textDirection w:val="lrTb"/>
            <w:noWrap w:val="false"/>
          </w:tcPr>
          <w:p>
            <w:pPr>
              <w:jc w:val="center"/>
              <w:spacing w:line="264" w:lineRule="auto"/>
              <w:shd w:val="clear" w:color="auto" w:fill="ffffff"/>
              <w:rPr>
                <w:rFonts w:hint="eastAsia" w:ascii="宋体" w:hAnsi="宋体" w:cs="宋体"/>
                <w:b/>
                <w:szCs w:val="21"/>
              </w:rPr>
            </w:pPr>
            <w:r>
              <w:rPr>
                <w:rFonts w:hint="eastAsia" w:ascii="宋体" w:hAnsi="宋体" w:cs="宋体"/>
                <w:b/>
                <w:szCs w:val="21"/>
              </w:rPr>
            </w:r>
            <w:r/>
          </w:p>
        </w:tc>
        <w:tc>
          <w:tcPr>
            <w:tcW w:w="992" w:type="dxa"/>
            <w:vAlign w:val="center"/>
            <w:textDirection w:val="lrTb"/>
            <w:noWrap w:val="false"/>
          </w:tcPr>
          <w:p>
            <w:pPr>
              <w:ind w:right="-58"/>
              <w:jc w:val="center"/>
              <w:spacing w:line="264" w:lineRule="auto"/>
              <w:shd w:val="clear" w:color="auto" w:fill="auto"/>
              <w:rPr>
                <w:rFonts w:hint="eastAsia" w:ascii="宋体" w:hAnsi="宋体" w:cs="宋体"/>
                <w:szCs w:val="21"/>
                <w:highlight w:val="none"/>
              </w:rPr>
            </w:pPr>
            <w:r>
              <w:rPr>
                <w:rFonts w:hint="eastAsia" w:ascii="宋体" w:hAnsi="宋体" w:cs="宋体"/>
                <w:szCs w:val="21"/>
                <w:highlight w:val="none"/>
              </w:rPr>
              <w:t xml:space="preserve">质量、进度、环保等措施及合理化建议（</w:t>
            </w: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分）</w:t>
            </w:r>
            <w:r/>
          </w:p>
        </w:tc>
        <w:tc>
          <w:tcPr>
            <w:tcW w:w="7055" w:type="dxa"/>
            <w:vAlign w:val="center"/>
            <w:textDirection w:val="lrTb"/>
            <w:noWrap w:val="false"/>
          </w:tcPr>
          <w:p>
            <w:pPr>
              <w:spacing w:line="264" w:lineRule="auto"/>
              <w:shd w:val="clear" w:color="auto" w:fill="auto"/>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提出合理化建议的情况；对施工过程中可能出现的安全、质量问题是否有较细致的事前控制措施；是否对保证工程进度和完善的交通组织安排提出具体可靠的方案；是否考虑对环境、交通等造成影响；是否已考虑了特殊情况的影响及相关施工安排和措施；各分部、分项工程安排的前后顺序有无矛盾；工期是否满足招标文件要求的总工期及是否有阶段性目标计划等方面进行评价：</w:t>
            </w:r>
            <w:r/>
          </w:p>
          <w:p>
            <w:pPr>
              <w:spacing w:line="264" w:lineRule="auto"/>
              <w:shd w:val="clear" w:color="auto" w:fill="auto"/>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⑴质量、进度、安全保证措施及合理化建议逻辑清晰、全面准确、可操作性强、内容完整详实；关键阶段和任务无遗漏；进度计划在资源、人力、时间配置上合理，贴合项目实际，具备弹性，可应对项目变更及不可预见因素，得 7 分；</w:t>
            </w:r>
            <w:r/>
          </w:p>
          <w:p>
            <w:pPr>
              <w:spacing w:line="264" w:lineRule="auto"/>
              <w:shd w:val="clear" w:color="auto" w:fill="auto"/>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⑵</w:t>
            </w:r>
            <w:r>
              <w:rPr>
                <w:rFonts w:hint="eastAsia" w:ascii="宋体" w:hAnsi="宋体" w:cs="宋体"/>
                <w:bCs/>
                <w:color w:val="auto"/>
                <w:szCs w:val="21"/>
                <w:highlight w:val="none"/>
              </w:rPr>
              <w:t xml:space="preserve">质量、进度、安全保证措施及合理化建议基本齐全、切实可行，得 5 分；</w:t>
            </w:r>
            <w:r/>
          </w:p>
          <w:p>
            <w:pPr>
              <w:spacing w:line="264" w:lineRule="auto"/>
              <w:shd w:val="clear" w:color="auto" w:fill="auto"/>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⑶</w:t>
            </w:r>
            <w:r>
              <w:rPr>
                <w:rFonts w:hint="eastAsia" w:ascii="宋体" w:hAnsi="宋体" w:cs="宋体"/>
                <w:bCs/>
                <w:color w:val="auto"/>
                <w:szCs w:val="21"/>
                <w:highlight w:val="none"/>
              </w:rPr>
              <w:t xml:space="preserve">质量、进度、安全保证措施及合理化建议不完善、存在缺项，得 3 分；</w:t>
            </w:r>
            <w:r/>
          </w:p>
          <w:p>
            <w:pPr>
              <w:spacing w:line="264" w:lineRule="auto"/>
              <w:shd w:val="clear" w:color="auto" w:fill="auto"/>
              <w:tabs>
                <w:tab w:val="left" w:pos="0" w:leader="none"/>
              </w:tabs>
              <w:rPr>
                <w:rFonts w:hint="eastAsia" w:ascii="宋体" w:hAnsi="宋体" w:cs="宋体"/>
                <w:b/>
                <w:color w:val="auto"/>
                <w:szCs w:val="21"/>
                <w:highlight w:val="none"/>
              </w:rPr>
            </w:pPr>
            <w:r>
              <w:rPr>
                <w:rFonts w:hint="eastAsia" w:ascii="宋体" w:hAnsi="宋体" w:cs="宋体"/>
                <w:bCs/>
                <w:color w:val="auto"/>
                <w:szCs w:val="21"/>
                <w:highlight w:val="none"/>
                <w:lang w:val="en-US" w:eastAsia="zh-CN"/>
              </w:rPr>
              <w:t xml:space="preserve">⑷</w:t>
            </w:r>
            <w:r>
              <w:rPr>
                <w:rFonts w:hint="eastAsia" w:ascii="宋体" w:hAnsi="宋体" w:cs="宋体"/>
                <w:bCs/>
                <w:color w:val="auto"/>
                <w:szCs w:val="21"/>
                <w:highlight w:val="none"/>
              </w:rPr>
              <w:t xml:space="preserve">质量、进度、安全保证措施及合理化建议不适用本工程，或未提供，不得分。</w:t>
            </w:r>
            <w:r/>
          </w:p>
        </w:tc>
      </w:tr>
      <w:tr>
        <w:trPr>
          <w:jc w:val="center"/>
          <w:trHeight w:val="1531"/>
        </w:trPr>
        <w:tc>
          <w:tcPr>
            <w:tcW w:w="772" w:type="dxa"/>
            <w:vAlign w:val="center"/>
            <w:vMerge w:val="continue"/>
            <w:textDirection w:val="lrTb"/>
            <w:noWrap w:val="false"/>
          </w:tcPr>
          <w:p>
            <w:pPr>
              <w:jc w:val="both"/>
              <w:spacing w:line="264" w:lineRule="auto"/>
              <w:shd w:val="clear" w:color="auto" w:fill="ffffff"/>
              <w:rPr>
                <w:rFonts w:hint="eastAsia" w:ascii="宋体" w:hAnsi="宋体" w:cs="宋体"/>
                <w:b/>
                <w:szCs w:val="21"/>
              </w:rPr>
            </w:pPr>
            <w:r>
              <w:rPr>
                <w:rFonts w:hint="eastAsia" w:ascii="宋体" w:hAnsi="宋体" w:cs="宋体"/>
                <w:b/>
                <w:szCs w:val="21"/>
              </w:rPr>
            </w:r>
            <w:r/>
          </w:p>
        </w:tc>
        <w:tc>
          <w:tcPr>
            <w:tcW w:w="992" w:type="dxa"/>
            <w:vAlign w:val="center"/>
            <w:textDirection w:val="lrTb"/>
            <w:noWrap w:val="false"/>
          </w:tcPr>
          <w:p>
            <w:pPr>
              <w:spacing w:line="264" w:lineRule="auto"/>
              <w:shd w:val="clear" w:color="auto" w:fill="auto"/>
              <w:tabs>
                <w:tab w:val="left" w:pos="0" w:leader="none"/>
              </w:tabs>
              <w:rPr>
                <w:rFonts w:hint="eastAsia" w:ascii="宋体" w:hAnsi="宋体" w:cs="宋体"/>
                <w:bCs/>
                <w:szCs w:val="21"/>
                <w:highlight w:val="none"/>
              </w:rPr>
            </w:pPr>
            <w:r>
              <w:rPr>
                <w:rFonts w:hint="eastAsia" w:ascii="宋体" w:hAnsi="宋体" w:cs="宋体"/>
                <w:bCs/>
                <w:szCs w:val="21"/>
                <w:highlight w:val="none"/>
              </w:rPr>
              <w:t xml:space="preserve">应急预案及抵抗风险的措施（</w:t>
            </w:r>
            <w:r>
              <w:rPr>
                <w:rFonts w:hint="eastAsia" w:ascii="宋体" w:hAnsi="宋体" w:cs="宋体"/>
                <w:bCs/>
                <w:szCs w:val="21"/>
                <w:highlight w:val="none"/>
                <w:lang w:val="en-US" w:eastAsia="zh-CN"/>
              </w:rPr>
              <w:t xml:space="preserve">4</w:t>
            </w:r>
            <w:r>
              <w:rPr>
                <w:rFonts w:hint="eastAsia" w:ascii="宋体" w:hAnsi="宋体" w:cs="宋体"/>
                <w:bCs/>
                <w:szCs w:val="21"/>
                <w:highlight w:val="none"/>
              </w:rPr>
              <w:t xml:space="preserve">分）</w:t>
            </w:r>
            <w:r/>
          </w:p>
        </w:tc>
        <w:tc>
          <w:tcPr>
            <w:tcW w:w="7055" w:type="dxa"/>
            <w:vAlign w:val="center"/>
            <w:textDirection w:val="lrTb"/>
            <w:noWrap w:val="false"/>
          </w:tcPr>
          <w:p>
            <w:pPr>
              <w:spacing w:line="264" w:lineRule="auto"/>
              <w:shd w:val="clear" w:color="auto" w:fill="auto"/>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制定应急预案，针对可能发生的应急或风险事件有详细的应对措施，包括响应的时间、配备的人员、应急动作等</w:t>
            </w:r>
            <w:r>
              <w:rPr>
                <w:rFonts w:hint="eastAsia" w:ascii="宋体" w:hAnsi="宋体" w:cs="宋体"/>
                <w:bCs/>
                <w:color w:val="auto"/>
                <w:szCs w:val="21"/>
                <w:highlight w:val="none"/>
                <w:lang w:eastAsia="zh-CN"/>
              </w:rPr>
              <w:t xml:space="preserve">。</w:t>
            </w:r>
            <w:r/>
          </w:p>
          <w:p>
            <w:pPr>
              <w:spacing w:line="264" w:lineRule="auto"/>
              <w:shd w:val="clear" w:color="auto" w:fill="auto"/>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⑴应急预案及风险应对措施内容完整、针对性强、流程清晰，响应时间、人员配置、应急动作明确具体，可操作性强，得 4 分；⑵应急预案及风险应对措施内容基本齐全，具备可执行性，得 2 分；</w:t>
            </w:r>
            <w:r/>
          </w:p>
          <w:p>
            <w:pPr>
              <w:spacing w:line="264" w:lineRule="auto"/>
              <w:shd w:val="clear" w:color="auto" w:fill="auto"/>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⑶已提供应急预案及风险应对措施，但内容不完整、关键要素缺失，得 1 分；</w:t>
            </w:r>
            <w:r/>
          </w:p>
          <w:p>
            <w:pPr>
              <w:spacing w:line="264" w:lineRule="auto"/>
              <w:shd w:val="clear" w:color="auto" w:fill="auto"/>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⑷应急预案及风险应对措施不符合本工程实际，或未提供，不得分。</w:t>
            </w:r>
            <w:r/>
          </w:p>
        </w:tc>
      </w:tr>
    </w:tbl>
    <w:p>
      <w:pPr>
        <w:pStyle w:val="1113"/>
        <w:ind w:firstLine="0"/>
        <w:keepLines w:val="0"/>
        <w:keepNext w:val="0"/>
        <w:pageBreakBefore w:val="0"/>
        <w:spacing w:line="288" w:lineRule="auto"/>
        <w:shd w:val="clear" w:color="auto" w:fill="auto"/>
        <w:widowControl w:val="off"/>
        <w:rPr>
          <w:rFonts w:hint="eastAsia" w:cs="宋体"/>
          <w:b/>
          <w:bCs/>
          <w:sz w:val="21"/>
          <w:szCs w:val="21"/>
          <w:highlight w:val="none"/>
        </w:rPr>
      </w:pPr>
      <w:r>
        <w:rPr>
          <w:rFonts w:hint="eastAsia" w:cs="宋体"/>
          <w:b/>
          <w:bCs/>
          <w:sz w:val="21"/>
          <w:szCs w:val="21"/>
          <w:highlight w:val="none"/>
        </w:rPr>
        <w:t xml:space="preserve">说明：⑴评分分值及计算结果精确到小数点后二位，第三位四舍五入；</w:t>
      </w:r>
      <w:r/>
    </w:p>
    <w:p>
      <w:pPr>
        <w:pStyle w:val="1113"/>
        <w:ind w:firstLine="632"/>
        <w:jc w:val="both"/>
        <w:keepLines w:val="0"/>
        <w:keepNext w:val="0"/>
        <w:pageBreakBefore w:val="0"/>
        <w:spacing w:line="288" w:lineRule="auto"/>
        <w:shd w:val="clear" w:color="auto" w:fill="auto"/>
        <w:widowControl w:val="off"/>
        <w:rPr>
          <w:rFonts w:hint="eastAsia" w:cs="宋体"/>
          <w:sz w:val="21"/>
          <w:szCs w:val="21"/>
          <w:highlight w:val="none"/>
        </w:rPr>
      </w:pPr>
      <w:r>
        <w:rPr>
          <w:rFonts w:hint="eastAsia" w:cs="宋体"/>
          <w:b/>
          <w:bCs/>
          <w:sz w:val="21"/>
          <w:szCs w:val="21"/>
          <w:highlight w:val="none"/>
        </w:rPr>
        <w:t xml:space="preserve">⑵评标时，评标委员会各成员应当独立对每个有效投标人的报价文件进行评价、打分，然后汇总每个投标人每项评分因素的得分，取各评标委员会各成员评分的算术平均数作为投标人的评标最后得分，并以此作为排序、推荐的基础。</w:t>
      </w:r>
      <w:r/>
    </w:p>
    <w:p>
      <w:pPr>
        <w:pStyle w:val="1113"/>
        <w:ind w:firstLine="0"/>
        <w:jc w:val="both"/>
        <w:keepLines w:val="0"/>
        <w:keepNext w:val="0"/>
        <w:pageBreakBefore w:val="0"/>
        <w:spacing w:line="288" w:lineRule="auto"/>
        <w:shd w:val="clear" w:color="auto" w:fill="auto"/>
        <w:widowControl w:val="off"/>
        <w:rPr>
          <w:rFonts w:hint="eastAsia" w:cs="宋体"/>
          <w:b/>
          <w:bCs/>
          <w:highlight w:val="none"/>
        </w:rPr>
      </w:pPr>
      <w:r>
        <w:rPr>
          <w:rFonts w:hint="eastAsia" w:cs="宋体"/>
          <w:b/>
          <w:bCs/>
          <w:highlight w:val="none"/>
        </w:rPr>
        <w:t xml:space="preserve">三、评标程序</w:t>
      </w:r>
      <w:r/>
    </w:p>
    <w:p>
      <w:pPr>
        <w:pStyle w:val="1113"/>
        <w:ind w:firstLine="420"/>
        <w:jc w:val="both"/>
        <w:keepLines w:val="0"/>
        <w:keepNext w:val="0"/>
        <w:pageBreakBefore w:val="0"/>
        <w:spacing w:line="288" w:lineRule="auto"/>
        <w:shd w:val="clear" w:color="auto" w:fill="auto"/>
        <w:widowControl w:val="off"/>
        <w:rPr>
          <w:rFonts w:hint="eastAsia" w:cs="宋体"/>
          <w:highlight w:val="none"/>
        </w:rPr>
      </w:pPr>
      <w:r/>
      <w:bookmarkStart w:id="122" w:name="_Toc9333235"/>
      <w:r>
        <w:rPr>
          <w:rFonts w:hint="eastAsia" w:cs="宋体"/>
          <w:highlight w:val="none"/>
        </w:rPr>
        <w:t xml:space="preserve">1、资格审查及符合性审查</w:t>
      </w:r>
      <w:bookmarkEnd w:id="122"/>
      <w:r/>
      <w:r/>
    </w:p>
    <w:p>
      <w:pPr>
        <w:pStyle w:val="1113"/>
        <w:ind w:firstLine="420"/>
        <w:jc w:val="both"/>
        <w:keepLines w:val="0"/>
        <w:keepNext w:val="0"/>
        <w:pageBreakBefore w:val="0"/>
        <w:spacing w:line="288" w:lineRule="auto"/>
        <w:shd w:val="clear" w:color="auto" w:fill="auto"/>
        <w:widowControl w:val="off"/>
        <w:rPr>
          <w:rFonts w:hint="eastAsia" w:cs="宋体"/>
          <w:highlight w:val="none"/>
        </w:rPr>
      </w:pPr>
      <w:r>
        <w:rPr>
          <w:rFonts w:hint="eastAsia" w:cs="宋体"/>
          <w:highlight w:val="none"/>
        </w:rPr>
        <w:t xml:space="preserve">1.1 招标人或招标代理机构按附表一所列审查标准，对投标人资格进行审查，以确定投标人是否具备投标资格。</w:t>
      </w:r>
      <w:r/>
    </w:p>
    <w:p>
      <w:pPr>
        <w:pStyle w:val="1113"/>
        <w:ind w:firstLine="420"/>
        <w:jc w:val="both"/>
        <w:keepLines w:val="0"/>
        <w:keepNext w:val="0"/>
        <w:pageBreakBefore w:val="0"/>
        <w:spacing w:line="288" w:lineRule="auto"/>
        <w:shd w:val="clear" w:color="auto" w:fill="auto"/>
        <w:widowControl w:val="off"/>
        <w:rPr>
          <w:rFonts w:hint="eastAsia" w:cs="宋体"/>
          <w:highlight w:val="none"/>
        </w:rPr>
      </w:pPr>
      <w:r>
        <w:rPr>
          <w:rFonts w:hint="eastAsia" w:cs="宋体"/>
          <w:highlight w:val="none"/>
        </w:rPr>
        <w:t xml:space="preserve">1.2 评标委员会对符合资格要求的投标人按附表二进行符合性审查，以确定其是否满足招标文件的实质性要求。</w:t>
      </w:r>
      <w:r/>
    </w:p>
    <w:p>
      <w:pPr>
        <w:pStyle w:val="1113"/>
        <w:ind w:firstLine="420"/>
        <w:jc w:val="both"/>
        <w:keepLines w:val="0"/>
        <w:keepNext w:val="0"/>
        <w:pageBreakBefore w:val="0"/>
        <w:spacing w:line="288" w:lineRule="auto"/>
        <w:shd w:val="clear" w:color="auto" w:fill="auto"/>
        <w:widowControl w:val="off"/>
        <w:rPr>
          <w:rFonts w:hint="eastAsia" w:cs="宋体"/>
          <w:highlight w:val="none"/>
        </w:rPr>
      </w:pPr>
      <w:r>
        <w:rPr>
          <w:rFonts w:hint="eastAsia" w:cs="宋体"/>
          <w:highlight w:val="none"/>
        </w:rPr>
        <w:t xml:space="preserve">1.2.1评标委员会在资格审查和符合性审查时，可以要求投标人对投标文件中含义不明确、同类问题表述不一致或者有明显文字和计算错误的内容作出必要的澄清、说明或更正。投标人的澄清、说明或更正不得超出投标文件的范围或者改变投标文件的实质性内容。</w:t>
      </w:r>
      <w:r/>
    </w:p>
    <w:p>
      <w:pPr>
        <w:pStyle w:val="1113"/>
        <w:ind w:firstLine="420"/>
        <w:jc w:val="both"/>
        <w:keepLines w:val="0"/>
        <w:keepNext w:val="0"/>
        <w:pageBreakBefore w:val="0"/>
        <w:spacing w:line="288" w:lineRule="auto"/>
        <w:shd w:val="clear" w:color="auto" w:fill="auto"/>
        <w:widowControl w:val="off"/>
        <w:rPr>
          <w:rFonts w:hint="eastAsia" w:cs="宋体"/>
          <w:highlight w:val="none"/>
        </w:rPr>
      </w:pPr>
      <w:r>
        <w:rPr>
          <w:rFonts w:hint="eastAsia" w:cs="宋体"/>
          <w:highlight w:val="none"/>
        </w:rPr>
        <w:t xml:space="preserve">评标委员会不接受投标人主动提出的澄清、说明或补正。</w:t>
      </w:r>
      <w:r/>
    </w:p>
    <w:p>
      <w:pPr>
        <w:pStyle w:val="1113"/>
        <w:ind w:firstLine="420"/>
        <w:jc w:val="both"/>
        <w:keepLines w:val="0"/>
        <w:keepNext w:val="0"/>
        <w:pageBreakBefore w:val="0"/>
        <w:spacing w:line="288" w:lineRule="auto"/>
        <w:shd w:val="clear" w:color="auto" w:fill="auto"/>
        <w:widowControl w:val="off"/>
        <w:rPr>
          <w:rFonts w:hint="eastAsia" w:cs="宋体"/>
          <w:highlight w:val="none"/>
        </w:rPr>
      </w:pPr>
      <w:r>
        <w:rPr>
          <w:rFonts w:hint="eastAsia" w:cs="宋体"/>
          <w:highlight w:val="none"/>
        </w:rPr>
        <w:t xml:space="preserve">投标人的书面澄清、说明和补正属于投标文件的组成部分。</w:t>
      </w:r>
      <w:r/>
    </w:p>
    <w:p>
      <w:pPr>
        <w:pStyle w:val="1113"/>
        <w:ind w:firstLine="420"/>
        <w:jc w:val="both"/>
        <w:keepLines w:val="0"/>
        <w:keepNext w:val="0"/>
        <w:pageBreakBefore w:val="0"/>
        <w:spacing w:line="288" w:lineRule="auto"/>
        <w:shd w:val="clear" w:color="auto" w:fill="auto"/>
        <w:widowControl w:val="off"/>
        <w:rPr>
          <w:rFonts w:hint="eastAsia" w:cs="宋体"/>
          <w:highlight w:val="none"/>
        </w:rPr>
      </w:pPr>
      <w:r>
        <w:rPr>
          <w:rFonts w:hint="eastAsia" w:cs="宋体"/>
          <w:highlight w:val="none"/>
        </w:rPr>
        <w:t xml:space="preserve">评标委员会对投标人提交的澄清、说明或补正有疑问的，可以要求投标人进一步澄清、说明或补正，直至满足评标小组的要求。</w:t>
      </w:r>
      <w:r/>
    </w:p>
    <w:p>
      <w:pPr>
        <w:pStyle w:val="1113"/>
        <w:ind w:firstLine="420"/>
        <w:jc w:val="both"/>
        <w:keepLines w:val="0"/>
        <w:keepNext w:val="0"/>
        <w:pageBreakBefore w:val="0"/>
        <w:spacing w:line="288" w:lineRule="auto"/>
        <w:shd w:val="clear" w:color="auto" w:fill="auto"/>
        <w:widowControl w:val="off"/>
        <w:rPr>
          <w:rFonts w:hint="eastAsia" w:cs="宋体"/>
          <w:highlight w:val="none"/>
        </w:rPr>
      </w:pPr>
      <w:r>
        <w:rPr>
          <w:rFonts w:hint="eastAsia" w:cs="宋体"/>
          <w:highlight w:val="none"/>
        </w:rPr>
        <w:t xml:space="preserve">1.2.2投标文件报价出现前后不一致的，除招标文件另有规定外，按照下列规定修正：</w:t>
      </w:r>
      <w:r/>
    </w:p>
    <w:p>
      <w:pPr>
        <w:pStyle w:val="1113"/>
        <w:ind w:firstLine="420"/>
        <w:jc w:val="both"/>
        <w:keepLines w:val="0"/>
        <w:keepNext w:val="0"/>
        <w:pageBreakBefore w:val="0"/>
        <w:spacing w:line="288" w:lineRule="auto"/>
        <w:shd w:val="clear" w:color="auto" w:fill="auto"/>
        <w:widowControl w:val="off"/>
        <w:rPr>
          <w:rFonts w:hint="eastAsia" w:cs="宋体"/>
          <w:highlight w:val="none"/>
        </w:rPr>
      </w:pPr>
      <w:r>
        <w:rPr>
          <w:rFonts w:hint="eastAsia" w:cs="宋体"/>
          <w:highlight w:val="none"/>
        </w:rPr>
        <w:t xml:space="preserve">⑴投标文件中的大写金额与小写金额不一致的，以大写金额为准（工程量清单中的投标报价和投标函报价不一致的除外，但不包括元单位以下数值不一致的情况）； </w:t>
      </w:r>
      <w:r/>
    </w:p>
    <w:p>
      <w:pPr>
        <w:pStyle w:val="1113"/>
        <w:ind w:firstLine="420"/>
        <w:jc w:val="both"/>
        <w:keepLines w:val="0"/>
        <w:keepNext w:val="0"/>
        <w:pageBreakBefore w:val="0"/>
        <w:spacing w:line="288" w:lineRule="auto"/>
        <w:shd w:val="clear" w:color="auto" w:fill="auto"/>
        <w:widowControl w:val="off"/>
        <w:rPr>
          <w:rFonts w:hint="eastAsia" w:cs="宋体"/>
          <w:highlight w:val="none"/>
        </w:rPr>
      </w:pPr>
      <w:r>
        <w:rPr>
          <w:rFonts w:hint="eastAsia" w:cs="宋体"/>
          <w:highlight w:val="none"/>
        </w:rPr>
        <w:t xml:space="preserve">⑵总价金额与依据单价计算出的结果不一致的，以单价金额为准修正总价，但单价金额小数点有明显错误、四舍五入原因的除外；</w:t>
      </w:r>
      <w:r/>
    </w:p>
    <w:p>
      <w:pPr>
        <w:pStyle w:val="1113"/>
        <w:ind w:firstLine="420"/>
        <w:jc w:val="both"/>
        <w:keepLines w:val="0"/>
        <w:keepNext w:val="0"/>
        <w:pageBreakBefore w:val="0"/>
        <w:spacing w:line="288" w:lineRule="auto"/>
        <w:shd w:val="clear" w:color="auto" w:fill="auto"/>
        <w:widowControl w:val="off"/>
        <w:rPr>
          <w:rFonts w:hint="eastAsia" w:cs="宋体"/>
          <w:highlight w:val="none"/>
        </w:rPr>
      </w:pPr>
      <w:r>
        <w:rPr>
          <w:rFonts w:hint="eastAsia" w:cs="宋体"/>
          <w:highlight w:val="none"/>
        </w:rPr>
        <w:t xml:space="preserve">同时出现两种不一致的，按照前款规定的顺序修正。修正后的报价经投标人确认后产生约束力。投标人拒绝接受修正的，将作无效投标文件处理。</w:t>
      </w:r>
      <w:r/>
    </w:p>
    <w:p>
      <w:pPr>
        <w:pStyle w:val="1113"/>
        <w:ind w:firstLine="420"/>
        <w:jc w:val="both"/>
        <w:keepLines w:val="0"/>
        <w:keepNext w:val="0"/>
        <w:pageBreakBefore w:val="0"/>
        <w:spacing w:line="288" w:lineRule="auto"/>
        <w:shd w:val="clear" w:color="auto" w:fill="auto"/>
        <w:widowControl w:val="off"/>
        <w:rPr>
          <w:rFonts w:hint="eastAsia" w:cs="宋体"/>
          <w:highlight w:val="none"/>
        </w:rPr>
      </w:pPr>
      <w:r>
        <w:rPr>
          <w:rFonts w:hint="eastAsia" w:cs="宋体"/>
          <w:highlight w:val="none"/>
        </w:rPr>
        <w:t xml:space="preserve">1.3不具备招标文件要求的资格或未通过符合性审查的投标人，不参与评标，由评标委员会告知该投标人。</w:t>
      </w:r>
      <w:r/>
    </w:p>
    <w:p>
      <w:pPr>
        <w:pStyle w:val="1113"/>
        <w:ind w:firstLine="420"/>
        <w:jc w:val="both"/>
        <w:keepLines w:val="0"/>
        <w:keepNext w:val="0"/>
        <w:pageBreakBefore w:val="0"/>
        <w:spacing w:line="288" w:lineRule="auto"/>
        <w:shd w:val="clear" w:color="auto" w:fill="auto"/>
        <w:widowControl w:val="off"/>
        <w:rPr>
          <w:rFonts w:hint="eastAsia" w:cs="宋体"/>
          <w:highlight w:val="none"/>
        </w:rPr>
      </w:pPr>
      <w:r/>
      <w:bookmarkStart w:id="123" w:name="_Toc9333237"/>
      <w:r>
        <w:rPr>
          <w:rFonts w:hint="eastAsia" w:cs="宋体"/>
          <w:highlight w:val="none"/>
        </w:rPr>
        <w:t xml:space="preserve">2、</w:t>
      </w:r>
      <w:bookmarkEnd w:id="123"/>
      <w:r>
        <w:rPr>
          <w:rFonts w:hint="eastAsia" w:cs="宋体"/>
          <w:highlight w:val="none"/>
        </w:rPr>
        <w:t xml:space="preserve">评标</w:t>
      </w:r>
      <w:r/>
    </w:p>
    <w:p>
      <w:pPr>
        <w:pStyle w:val="1113"/>
        <w:ind w:firstLine="420"/>
        <w:jc w:val="both"/>
        <w:keepLines w:val="0"/>
        <w:keepNext w:val="0"/>
        <w:pageBreakBefore w:val="0"/>
        <w:spacing w:line="288" w:lineRule="auto"/>
        <w:shd w:val="clear" w:color="auto" w:fill="auto"/>
        <w:widowControl w:val="off"/>
        <w:rPr>
          <w:rFonts w:hint="eastAsia" w:cs="宋体"/>
          <w:highlight w:val="none"/>
        </w:rPr>
      </w:pPr>
      <w:r>
        <w:rPr>
          <w:rFonts w:hint="eastAsia" w:cs="宋体"/>
          <w:highlight w:val="none"/>
        </w:rPr>
        <w:t xml:space="preserve">评标委员会对资格审查合格且符合性审查合格的投标文件进行商务和技术评估，综合比较与评价。</w:t>
      </w:r>
      <w:r/>
    </w:p>
    <w:p>
      <w:pPr>
        <w:pStyle w:val="1113"/>
        <w:ind w:firstLine="420"/>
        <w:jc w:val="both"/>
        <w:keepLines w:val="0"/>
        <w:keepNext w:val="0"/>
        <w:pageBreakBefore w:val="0"/>
        <w:spacing w:line="288" w:lineRule="auto"/>
        <w:shd w:val="clear" w:color="auto" w:fill="auto"/>
        <w:widowControl w:val="off"/>
        <w:rPr>
          <w:rFonts w:hint="eastAsia" w:cs="宋体"/>
          <w:highlight w:val="none"/>
        </w:rPr>
      </w:pPr>
      <w:r>
        <w:rPr>
          <w:rFonts w:hint="eastAsia" w:cs="宋体"/>
          <w:highlight w:val="none"/>
        </w:rPr>
        <w:t xml:space="preserve">评标委员会认为投标人的报价明显低于其他通过符合性审查投标人的报价，有可能影响工程质量或者不能诚信履约的，应当要求其在评标现场合理的时间内提供书面说明，必要时提交相关证明材料；投标人不能证明其报价合理性的，评标委员会应当将其作为无效投标处理。</w:t>
      </w:r>
      <w:r/>
    </w:p>
    <w:p>
      <w:pPr>
        <w:pStyle w:val="1113"/>
        <w:ind w:firstLine="420"/>
        <w:jc w:val="both"/>
        <w:keepLines w:val="0"/>
        <w:keepNext w:val="0"/>
        <w:pageBreakBefore w:val="0"/>
        <w:spacing w:line="288" w:lineRule="auto"/>
        <w:shd w:val="clear" w:color="auto" w:fill="auto"/>
        <w:widowControl w:val="off"/>
        <w:rPr>
          <w:rFonts w:hint="eastAsia" w:cs="宋体"/>
          <w:highlight w:val="none"/>
        </w:rPr>
      </w:pPr>
      <w:r>
        <w:rPr>
          <w:rFonts w:hint="eastAsia" w:cs="宋体"/>
          <w:highlight w:val="none"/>
        </w:rPr>
        <w:t xml:space="preserve">2.1 投标人得分＝价格部分得分+技术方案得分+商务部分得分。</w:t>
      </w:r>
      <w:r/>
    </w:p>
    <w:p>
      <w:pPr>
        <w:pStyle w:val="1113"/>
        <w:ind w:firstLine="420"/>
        <w:jc w:val="both"/>
        <w:keepLines w:val="0"/>
        <w:keepNext w:val="0"/>
        <w:pageBreakBefore w:val="0"/>
        <w:spacing w:line="288" w:lineRule="auto"/>
        <w:shd w:val="clear" w:color="auto" w:fill="auto"/>
        <w:widowControl w:val="off"/>
        <w:rPr>
          <w:rFonts w:hint="eastAsia" w:cs="宋体"/>
          <w:highlight w:val="none"/>
        </w:rPr>
      </w:pPr>
      <w:r>
        <w:rPr>
          <w:rFonts w:hint="eastAsia" w:cs="宋体"/>
          <w:highlight w:val="none"/>
        </w:rPr>
        <w:t xml:space="preserve">2.2 评标结果</w:t>
      </w:r>
      <w:r/>
    </w:p>
    <w:p>
      <w:pPr>
        <w:pStyle w:val="1113"/>
        <w:ind w:firstLine="420"/>
        <w:jc w:val="both"/>
        <w:keepLines w:val="0"/>
        <w:keepNext w:val="0"/>
        <w:pageBreakBefore w:val="0"/>
        <w:spacing w:line="288" w:lineRule="auto"/>
        <w:shd w:val="clear" w:color="auto" w:fill="auto"/>
        <w:widowControl w:val="off"/>
        <w:rPr>
          <w:rFonts w:hint="eastAsia" w:cs="宋体"/>
          <w:highlight w:val="none"/>
        </w:rPr>
      </w:pPr>
      <w:r>
        <w:rPr>
          <w:rFonts w:hint="eastAsia" w:cs="宋体"/>
          <w:highlight w:val="none"/>
        </w:rPr>
        <w:t xml:space="preserve">除第二章“投标人须知”前附表授权直接确定中标人外，评标委员会按照得分由高到低的顺序推荐不超过3名中标候选人。</w:t>
      </w:r>
      <w:r/>
    </w:p>
    <w:p>
      <w:pPr>
        <w:ind w:firstLine="480"/>
        <w:keepLines w:val="0"/>
        <w:keepNext w:val="0"/>
        <w:pageBreakBefore w:val="0"/>
        <w:spacing w:line="288" w:lineRule="auto"/>
        <w:shd w:val="clear" w:color="auto" w:fill="auto"/>
        <w:widowControl w:val="off"/>
        <w:tabs>
          <w:tab w:val="left" w:pos="-94" w:leader="none"/>
          <w:tab w:val="left" w:pos="428" w:leader="none"/>
        </w:tabs>
        <w:rPr>
          <w:rFonts w:hint="eastAsia" w:ascii="宋体" w:hAnsi="宋体" w:cs="宋体"/>
          <w:sz w:val="24"/>
          <w:highlight w:val="none"/>
        </w:rPr>
      </w:pPr>
      <w:r>
        <w:rPr>
          <w:rFonts w:hint="eastAsia" w:ascii="宋体" w:hAnsi="宋体" w:cs="宋体"/>
          <w:sz w:val="24"/>
          <w:highlight w:val="none"/>
        </w:rPr>
        <w:t xml:space="preserve">评标委员会完成评标后，应当向招标人提交书面评标报告。</w:t>
      </w:r>
      <w:r/>
    </w:p>
    <w:p>
      <w:pPr>
        <w:shd w:val="clear" w:color="auto" w:fill="auto"/>
        <w:tabs>
          <w:tab w:val="left" w:pos="-94" w:leader="none"/>
          <w:tab w:val="left" w:pos="428" w:leader="none"/>
        </w:tabs>
        <w:rPr>
          <w:rFonts w:hint="eastAsia" w:ascii="宋体" w:hAnsi="宋体" w:cs="宋体"/>
          <w:b/>
          <w:sz w:val="24"/>
          <w:highlight w:val="none"/>
        </w:rPr>
        <w:outlineLvl w:val="1"/>
      </w:pPr>
      <w:r/>
      <w:bookmarkStart w:id="124" w:name="_Toc14519"/>
      <w:r/>
      <w:bookmarkStart w:id="125" w:name="_Toc22058"/>
      <w:r/>
      <w:bookmarkStart w:id="126" w:name="_Toc2037"/>
      <w:r/>
      <w:bookmarkStart w:id="127" w:name="_Toc30618"/>
      <w:r/>
      <w:bookmarkStart w:id="128" w:name="_Toc15628"/>
      <w:r/>
      <w:bookmarkStart w:id="129" w:name="_Toc211090860"/>
      <w:r/>
      <w:bookmarkStart w:id="130" w:name="_Toc9333238"/>
      <w:r>
        <w:rPr>
          <w:rFonts w:hint="eastAsia" w:ascii="宋体" w:hAnsi="宋体" w:cs="宋体"/>
          <w:b/>
          <w:sz w:val="24"/>
          <w:highlight w:val="none"/>
        </w:rPr>
        <w:t xml:space="preserve">附表一 资格审查表</w:t>
      </w:r>
      <w:bookmarkEnd w:id="124"/>
      <w:r/>
      <w:bookmarkEnd w:id="125"/>
      <w:r/>
      <w:bookmarkEnd w:id="126"/>
      <w:r/>
      <w:bookmarkEnd w:id="127"/>
      <w:r/>
      <w:bookmarkEnd w:id="128"/>
      <w:r/>
      <w:bookmarkEnd w:id="129"/>
      <w:r/>
      <w:bookmarkEnd w:id="130"/>
      <w:r/>
      <w:r/>
    </w:p>
    <w:tbl>
      <w:tblPr>
        <w:tblStyle w:val="847"/>
        <w:tblW w:w="477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47"/>
        <w:gridCol w:w="1823"/>
        <w:gridCol w:w="5712"/>
        <w:gridCol w:w="884"/>
      </w:tblGrid>
      <w:tr>
        <w:trPr>
          <w:jc w:val="center"/>
          <w:trHeight w:val="980"/>
        </w:trPr>
        <w:tc>
          <w:tcPr>
            <w:tcW w:w="437" w:type="dxa"/>
            <w:vAlign w:val="center"/>
            <w:textDirection w:val="lrTb"/>
            <w:noWrap w:val="false"/>
          </w:tcPr>
          <w:p>
            <w:pPr>
              <w:ind w:left="0" w:right="0"/>
              <w:jc w:val="center"/>
              <w:keepLines w:val="0"/>
              <w:keepNext w:val="0"/>
              <w:pageBreakBefore w:val="0"/>
              <w:spacing w:line="288" w:lineRule="auto"/>
              <w:shd w:val="clear" w:color="auto" w:fill="auto"/>
              <w:widowControl w:val="off"/>
              <w:rPr>
                <w:rFonts w:hint="eastAsia" w:ascii="宋体" w:hAnsi="宋体" w:cs="宋体"/>
                <w:b/>
                <w:szCs w:val="21"/>
                <w:highlight w:val="none"/>
              </w:rPr>
            </w:pPr>
            <w:r>
              <w:rPr>
                <w:rFonts w:hint="eastAsia" w:ascii="宋体" w:hAnsi="宋体" w:cs="宋体"/>
                <w:b/>
                <w:szCs w:val="21"/>
                <w:highlight w:val="none"/>
              </w:rPr>
              <w:t xml:space="preserve">序号</w:t>
            </w:r>
            <w:r/>
          </w:p>
        </w:tc>
        <w:tc>
          <w:tcPr>
            <w:tcW w:w="1781" w:type="dxa"/>
            <w:vAlign w:val="center"/>
            <w:textDirection w:val="lrTb"/>
            <w:noWrap w:val="false"/>
          </w:tcPr>
          <w:p>
            <w:pPr>
              <w:ind w:left="0" w:right="0" w:firstLine="611"/>
              <w:jc w:val="center"/>
              <w:keepLines w:val="0"/>
              <w:keepNext w:val="0"/>
              <w:pageBreakBefore w:val="0"/>
              <w:spacing w:line="288" w:lineRule="auto"/>
              <w:shd w:val="clear" w:color="auto" w:fill="auto"/>
              <w:widowControl w:val="off"/>
              <w:rPr>
                <w:rFonts w:hint="eastAsia" w:ascii="宋体" w:hAnsi="宋体" w:cs="宋体"/>
                <w:b/>
                <w:szCs w:val="21"/>
                <w:highlight w:val="none"/>
              </w:rPr>
            </w:pPr>
            <w:r>
              <w:rPr>
                <w:rFonts w:hint="eastAsia" w:ascii="宋体" w:hAnsi="宋体" w:cs="宋体"/>
                <w:b/>
                <w:szCs w:val="21"/>
                <w:highlight w:val="none"/>
              </w:rPr>
              <w:t xml:space="preserve">评标内容</w:t>
            </w:r>
            <w:r/>
          </w:p>
        </w:tc>
        <w:tc>
          <w:tcPr>
            <w:tcW w:w="5580" w:type="dxa"/>
            <w:vAlign w:val="center"/>
            <w:textDirection w:val="lrTb"/>
            <w:noWrap w:val="false"/>
          </w:tcPr>
          <w:p>
            <w:pPr>
              <w:ind w:left="0" w:right="0"/>
              <w:jc w:val="center"/>
              <w:keepLines w:val="0"/>
              <w:keepNext w:val="0"/>
              <w:pageBreakBefore w:val="0"/>
              <w:spacing w:line="288" w:lineRule="auto"/>
              <w:shd w:val="clear" w:color="auto" w:fill="auto"/>
              <w:widowControl w:val="off"/>
              <w:rPr>
                <w:rFonts w:hint="eastAsia" w:ascii="宋体" w:hAnsi="宋体" w:cs="宋体"/>
                <w:b/>
                <w:szCs w:val="21"/>
                <w:highlight w:val="none"/>
              </w:rPr>
            </w:pPr>
            <w:r>
              <w:rPr>
                <w:rFonts w:hint="eastAsia" w:ascii="宋体" w:hAnsi="宋体" w:cs="宋体"/>
                <w:b/>
                <w:szCs w:val="21"/>
                <w:highlight w:val="none"/>
              </w:rPr>
              <w:t xml:space="preserve">评标合格标准</w:t>
            </w:r>
            <w:r/>
          </w:p>
        </w:tc>
        <w:tc>
          <w:tcPr>
            <w:tcW w:w="863" w:type="dxa"/>
            <w:vAlign w:val="center"/>
            <w:textDirection w:val="lrTb"/>
            <w:noWrap w:val="false"/>
          </w:tcPr>
          <w:p>
            <w:pPr>
              <w:ind w:left="0" w:right="0"/>
              <w:jc w:val="center"/>
              <w:keepLines w:val="0"/>
              <w:keepNext w:val="0"/>
              <w:pageBreakBefore w:val="0"/>
              <w:spacing w:line="288" w:lineRule="auto"/>
              <w:shd w:val="clear" w:color="auto" w:fill="auto"/>
              <w:widowControl w:val="off"/>
              <w:rPr>
                <w:rFonts w:hint="eastAsia" w:ascii="宋体" w:hAnsi="宋体" w:cs="宋体"/>
                <w:b/>
                <w:szCs w:val="21"/>
                <w:highlight w:val="none"/>
              </w:rPr>
            </w:pPr>
            <w:r>
              <w:rPr>
                <w:rFonts w:hint="eastAsia" w:ascii="宋体" w:hAnsi="宋体" w:cs="宋体"/>
                <w:b/>
                <w:szCs w:val="21"/>
                <w:highlight w:val="none"/>
              </w:rPr>
              <w:t xml:space="preserve">是否符合要求</w:t>
            </w:r>
            <w:r/>
          </w:p>
        </w:tc>
      </w:tr>
      <w:tr>
        <w:trPr>
          <w:jc w:val="center"/>
          <w:trHeight w:val="883"/>
        </w:trPr>
        <w:tc>
          <w:tcPr>
            <w:tcW w:w="437" w:type="dxa"/>
            <w:vAlign w:val="center"/>
            <w:textDirection w:val="lrTb"/>
            <w:noWrap w:val="false"/>
          </w:tcPr>
          <w:p>
            <w:pPr>
              <w:ind w:left="0" w:right="0"/>
              <w:jc w:val="center"/>
              <w:keepLines w:val="0"/>
              <w:keepNext w:val="0"/>
              <w:pageBreakBefore w:val="0"/>
              <w:spacing w:line="288" w:lineRule="auto"/>
              <w:shd w:val="clear" w:color="auto" w:fill="auto"/>
              <w:widowControl w:val="off"/>
              <w:rPr>
                <w:rFonts w:hint="eastAsia" w:ascii="宋体" w:hAnsi="宋体" w:cs="宋体"/>
                <w:b/>
                <w:szCs w:val="21"/>
                <w:highlight w:val="none"/>
              </w:rPr>
            </w:pPr>
            <w:r>
              <w:rPr>
                <w:rFonts w:hint="eastAsia" w:ascii="宋体" w:hAnsi="宋体" w:cs="宋体"/>
                <w:szCs w:val="21"/>
                <w:highlight w:val="none"/>
              </w:rPr>
              <w:t xml:space="preserve">1</w:t>
            </w:r>
            <w:r/>
          </w:p>
        </w:tc>
        <w:tc>
          <w:tcPr>
            <w:tcW w:w="1781" w:type="dxa"/>
            <w:vAlign w:val="center"/>
            <w:textDirection w:val="lrTb"/>
            <w:noWrap w:val="false"/>
          </w:tcPr>
          <w:p>
            <w:pPr>
              <w:ind w:left="0" w:right="0"/>
              <w:keepLines w:val="0"/>
              <w:keepNext w:val="0"/>
              <w:pageBreakBefore w:val="0"/>
              <w:spacing w:line="288" w:lineRule="auto"/>
              <w:shd w:val="clear" w:color="auto" w:fill="auto"/>
              <w:widowControl w:val="off"/>
              <w:rPr>
                <w:rFonts w:hint="eastAsia" w:ascii="宋体" w:hAnsi="宋体" w:cs="宋体"/>
                <w:b/>
                <w:szCs w:val="21"/>
                <w:highlight w:val="none"/>
              </w:rPr>
            </w:pPr>
            <w:r>
              <w:rPr>
                <w:rFonts w:hint="eastAsia" w:ascii="宋体" w:hAnsi="宋体" w:cs="宋体"/>
                <w:szCs w:val="21"/>
                <w:highlight w:val="none"/>
              </w:rPr>
              <w:t xml:space="preserve">投标人名称</w:t>
            </w:r>
            <w:r/>
          </w:p>
        </w:tc>
        <w:tc>
          <w:tcPr>
            <w:tcW w:w="5580" w:type="dxa"/>
            <w:vAlign w:val="center"/>
            <w:textDirection w:val="lrTb"/>
            <w:noWrap w:val="false"/>
          </w:tcPr>
          <w:p>
            <w:pPr>
              <w:ind w:left="0" w:right="0"/>
              <w:keepLines w:val="0"/>
              <w:keepNext w:val="0"/>
              <w:pageBreakBefore w:val="0"/>
              <w:spacing w:line="288" w:lineRule="auto"/>
              <w:shd w:val="clear" w:color="auto" w:fill="auto"/>
              <w:widowControl w:val="off"/>
              <w:rPr>
                <w:rFonts w:hint="eastAsia" w:ascii="宋体" w:hAnsi="宋体" w:cs="宋体"/>
                <w:b/>
                <w:szCs w:val="21"/>
                <w:highlight w:val="none"/>
              </w:rPr>
            </w:pPr>
            <w:r>
              <w:rPr>
                <w:rFonts w:hint="eastAsia" w:ascii="宋体" w:hAnsi="宋体" w:cs="宋体"/>
                <w:szCs w:val="21"/>
                <w:highlight w:val="none"/>
              </w:rPr>
              <w:t xml:space="preserve">与投标报名、营业执照一致（符合法定工商变更程序除外）。提供营业执照扫描件加盖CA电子签章</w:t>
            </w:r>
            <w:r/>
          </w:p>
        </w:tc>
        <w:tc>
          <w:tcPr>
            <w:tcW w:w="863" w:type="dxa"/>
            <w:vAlign w:val="center"/>
            <w:textDirection w:val="lrTb"/>
            <w:noWrap w:val="false"/>
          </w:tcPr>
          <w:p>
            <w:pPr>
              <w:ind w:left="0" w:right="0"/>
              <w:keepLines w:val="0"/>
              <w:keepNext w:val="0"/>
              <w:pageBreakBefore w:val="0"/>
              <w:spacing w:line="288" w:lineRule="auto"/>
              <w:shd w:val="clear" w:color="auto" w:fill="auto"/>
              <w:widowControl w:val="off"/>
              <w:rPr>
                <w:rFonts w:hint="eastAsia" w:ascii="宋体" w:hAnsi="宋体" w:cs="宋体"/>
                <w:b/>
                <w:szCs w:val="21"/>
                <w:highlight w:val="none"/>
              </w:rPr>
            </w:pPr>
            <w:r>
              <w:rPr>
                <w:rFonts w:hint="eastAsia" w:ascii="宋体" w:hAnsi="宋体" w:cs="宋体"/>
                <w:b/>
                <w:szCs w:val="21"/>
                <w:highlight w:val="none"/>
              </w:rPr>
            </w:r>
            <w:r/>
          </w:p>
        </w:tc>
      </w:tr>
      <w:tr>
        <w:trPr>
          <w:jc w:val="center"/>
          <w:trHeight w:val="776"/>
        </w:trPr>
        <w:tc>
          <w:tcPr>
            <w:tcW w:w="437" w:type="dxa"/>
            <w:vAlign w:val="center"/>
            <w:textDirection w:val="lrTb"/>
            <w:noWrap w:val="false"/>
          </w:tcPr>
          <w:p>
            <w:pPr>
              <w:ind w:left="0" w:right="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2</w:t>
            </w:r>
            <w:r/>
          </w:p>
        </w:tc>
        <w:tc>
          <w:tcPr>
            <w:tcW w:w="1781" w:type="dxa"/>
            <w:vAlign w:val="center"/>
            <w:textDirection w:val="lrTb"/>
            <w:noWrap w:val="false"/>
          </w:tcPr>
          <w:p>
            <w:pPr>
              <w:ind w:left="0" w:right="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具有独立承担民事责任的能力</w:t>
            </w:r>
            <w:r/>
          </w:p>
        </w:tc>
        <w:tc>
          <w:tcPr>
            <w:tcW w:w="5580" w:type="dxa"/>
            <w:vAlign w:val="center"/>
            <w:vMerge w:val="restart"/>
            <w:textDirection w:val="lrTb"/>
            <w:noWrap w:val="false"/>
          </w:tcPr>
          <w:p>
            <w:pPr>
              <w:ind w:left="0" w:right="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lang w:val="zh-CN"/>
              </w:rPr>
              <w:t xml:space="preserve">提供</w:t>
            </w:r>
            <w:r>
              <w:rPr>
                <w:rFonts w:hint="eastAsia" w:ascii="宋体" w:hAnsi="宋体" w:cs="宋体"/>
                <w:szCs w:val="21"/>
                <w:highlight w:val="none"/>
              </w:rPr>
              <w:t xml:space="preserve">承诺书</w:t>
            </w:r>
            <w:r>
              <w:rPr>
                <w:rFonts w:hint="eastAsia" w:ascii="宋体" w:hAnsi="宋体" w:cs="宋体"/>
                <w:szCs w:val="21"/>
                <w:highlight w:val="none"/>
                <w:lang w:val="zh-CN"/>
              </w:rPr>
              <w:t xml:space="preserve">并加盖投标人CA电子签章，</w:t>
            </w:r>
            <w:r>
              <w:rPr>
                <w:rFonts w:hint="eastAsia" w:ascii="宋体" w:hAnsi="宋体" w:cs="宋体"/>
                <w:szCs w:val="21"/>
                <w:highlight w:val="none"/>
              </w:rPr>
              <w:t xml:space="preserve">并附信用中国”网站和中国政府采购网查询记录截图</w:t>
            </w:r>
            <w:r/>
          </w:p>
        </w:tc>
        <w:tc>
          <w:tcPr>
            <w:tcW w:w="863" w:type="dxa"/>
            <w:vAlign w:val="center"/>
            <w:vMerge w:val="restart"/>
            <w:textDirection w:val="lrTb"/>
            <w:noWrap w:val="false"/>
          </w:tcPr>
          <w:p>
            <w:pPr>
              <w:ind w:left="0" w:right="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r>
            <w:r/>
          </w:p>
        </w:tc>
      </w:tr>
      <w:tr>
        <w:trPr>
          <w:jc w:val="center"/>
          <w:trHeight w:val="803"/>
        </w:trPr>
        <w:tc>
          <w:tcPr>
            <w:tcW w:w="437" w:type="dxa"/>
            <w:vAlign w:val="center"/>
            <w:textDirection w:val="lrTb"/>
            <w:noWrap w:val="false"/>
          </w:tcPr>
          <w:p>
            <w:pPr>
              <w:ind w:left="0" w:right="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3</w:t>
            </w:r>
            <w:r/>
          </w:p>
        </w:tc>
        <w:tc>
          <w:tcPr>
            <w:tcW w:w="1781" w:type="dxa"/>
            <w:vAlign w:val="center"/>
            <w:textDirection w:val="lrTb"/>
            <w:noWrap w:val="false"/>
          </w:tcPr>
          <w:p>
            <w:pPr>
              <w:ind w:left="0" w:right="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具有健全的财务会计制度</w:t>
            </w:r>
            <w:r/>
          </w:p>
        </w:tc>
        <w:tc>
          <w:tcPr>
            <w:tcW w:w="5580" w:type="dxa"/>
            <w:vAlign w:val="center"/>
            <w:vMerge w:val="continue"/>
            <w:textDirection w:val="lrTb"/>
            <w:noWrap w:val="false"/>
          </w:tcPr>
          <w:p>
            <w:pPr>
              <w:ind w:left="0" w:right="0"/>
              <w:keepLines w:val="0"/>
              <w:keepNext w:val="0"/>
              <w:pageBreakBefore w:val="0"/>
              <w:spacing w:line="288" w:lineRule="auto"/>
              <w:widowControl w:val="off"/>
              <w:rPr>
                <w:rFonts w:hint="eastAsia" w:ascii="宋体" w:hAnsi="宋体" w:cs="宋体"/>
                <w:szCs w:val="21"/>
              </w:rPr>
            </w:pPr>
            <w:r>
              <w:rPr>
                <w:rFonts w:hint="eastAsia" w:ascii="宋体" w:hAnsi="宋体" w:cs="宋体"/>
                <w:szCs w:val="21"/>
              </w:rPr>
            </w:r>
            <w:r/>
          </w:p>
        </w:tc>
        <w:tc>
          <w:tcPr>
            <w:tcW w:w="863" w:type="dxa"/>
            <w:vAlign w:val="center"/>
            <w:vMerge w:val="continue"/>
            <w:textDirection w:val="lrTb"/>
            <w:noWrap w:val="false"/>
          </w:tcPr>
          <w:p>
            <w:pPr>
              <w:ind w:left="0" w:right="0"/>
              <w:keepLines w:val="0"/>
              <w:keepNext w:val="0"/>
              <w:pageBreakBefore w:val="0"/>
              <w:spacing w:line="288" w:lineRule="auto"/>
              <w:widowControl w:val="off"/>
              <w:rPr>
                <w:rFonts w:hint="eastAsia" w:ascii="宋体" w:hAnsi="宋体" w:cs="宋体"/>
                <w:szCs w:val="21"/>
              </w:rPr>
            </w:pPr>
            <w:r>
              <w:rPr>
                <w:rFonts w:hint="eastAsia" w:ascii="宋体" w:hAnsi="宋体" w:cs="宋体"/>
                <w:szCs w:val="21"/>
              </w:rPr>
            </w:r>
            <w:r/>
          </w:p>
        </w:tc>
      </w:tr>
      <w:tr>
        <w:trPr>
          <w:jc w:val="center"/>
          <w:trHeight w:val="1117"/>
        </w:trPr>
        <w:tc>
          <w:tcPr>
            <w:tcW w:w="437" w:type="dxa"/>
            <w:vAlign w:val="center"/>
            <w:textDirection w:val="lrTb"/>
            <w:noWrap w:val="false"/>
          </w:tcPr>
          <w:p>
            <w:pPr>
              <w:ind w:left="0" w:right="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4</w:t>
            </w:r>
            <w:r/>
          </w:p>
        </w:tc>
        <w:tc>
          <w:tcPr>
            <w:tcW w:w="1781" w:type="dxa"/>
            <w:vAlign w:val="center"/>
            <w:textDirection w:val="lrTb"/>
            <w:noWrap w:val="false"/>
          </w:tcPr>
          <w:p>
            <w:pPr>
              <w:ind w:left="0" w:right="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具有履行合同所必需的设备和专业技术能力</w:t>
            </w:r>
            <w:r/>
          </w:p>
        </w:tc>
        <w:tc>
          <w:tcPr>
            <w:tcW w:w="5580" w:type="dxa"/>
            <w:vAlign w:val="center"/>
            <w:vMerge w:val="continue"/>
            <w:textDirection w:val="lrTb"/>
            <w:noWrap w:val="false"/>
          </w:tcPr>
          <w:p>
            <w:pPr>
              <w:ind w:left="0" w:right="0"/>
              <w:keepLines w:val="0"/>
              <w:keepNext w:val="0"/>
              <w:pageBreakBefore w:val="0"/>
              <w:spacing w:line="288" w:lineRule="auto"/>
              <w:widowControl w:val="off"/>
              <w:rPr>
                <w:rFonts w:hint="eastAsia" w:ascii="宋体" w:hAnsi="宋体" w:cs="宋体"/>
                <w:szCs w:val="21"/>
              </w:rPr>
            </w:pPr>
            <w:r>
              <w:rPr>
                <w:rFonts w:hint="eastAsia" w:ascii="宋体" w:hAnsi="宋体" w:cs="宋体"/>
                <w:szCs w:val="21"/>
              </w:rPr>
            </w:r>
            <w:r/>
          </w:p>
        </w:tc>
        <w:tc>
          <w:tcPr>
            <w:tcW w:w="863" w:type="dxa"/>
            <w:vAlign w:val="center"/>
            <w:vMerge w:val="continue"/>
            <w:textDirection w:val="lrTb"/>
            <w:noWrap w:val="false"/>
          </w:tcPr>
          <w:p>
            <w:pPr>
              <w:ind w:left="0" w:right="0"/>
              <w:keepLines w:val="0"/>
              <w:keepNext w:val="0"/>
              <w:pageBreakBefore w:val="0"/>
              <w:spacing w:line="288" w:lineRule="auto"/>
              <w:widowControl w:val="off"/>
              <w:rPr>
                <w:rFonts w:hint="eastAsia" w:ascii="宋体" w:hAnsi="宋体" w:cs="宋体"/>
                <w:szCs w:val="21"/>
              </w:rPr>
            </w:pPr>
            <w:r>
              <w:rPr>
                <w:rFonts w:hint="eastAsia" w:ascii="宋体" w:hAnsi="宋体" w:cs="宋体"/>
                <w:szCs w:val="21"/>
              </w:rPr>
            </w:r>
            <w:r/>
          </w:p>
        </w:tc>
      </w:tr>
      <w:tr>
        <w:trPr>
          <w:jc w:val="center"/>
          <w:trHeight w:val="1359"/>
        </w:trPr>
        <w:tc>
          <w:tcPr>
            <w:tcW w:w="437" w:type="dxa"/>
            <w:vAlign w:val="center"/>
            <w:textDirection w:val="lrTb"/>
            <w:noWrap w:val="false"/>
          </w:tcPr>
          <w:p>
            <w:pPr>
              <w:ind w:left="0" w:right="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5</w:t>
            </w:r>
            <w:r/>
          </w:p>
        </w:tc>
        <w:tc>
          <w:tcPr>
            <w:tcW w:w="1781" w:type="dxa"/>
            <w:vAlign w:val="center"/>
            <w:textDirection w:val="lrTb"/>
            <w:noWrap w:val="false"/>
          </w:tcPr>
          <w:p>
            <w:pPr>
              <w:ind w:left="0" w:right="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有依法缴纳税收和社会保障资金的良好记录</w:t>
            </w:r>
            <w:r/>
          </w:p>
        </w:tc>
        <w:tc>
          <w:tcPr>
            <w:tcW w:w="5580" w:type="dxa"/>
            <w:vAlign w:val="center"/>
            <w:vMerge w:val="continue"/>
            <w:textDirection w:val="lrTb"/>
            <w:noWrap w:val="false"/>
          </w:tcPr>
          <w:p>
            <w:pPr>
              <w:ind w:left="0" w:right="0"/>
              <w:keepLines w:val="0"/>
              <w:keepNext w:val="0"/>
              <w:pageBreakBefore w:val="0"/>
              <w:spacing w:line="288" w:lineRule="auto"/>
              <w:widowControl w:val="off"/>
              <w:rPr>
                <w:rFonts w:hint="eastAsia" w:ascii="宋体" w:hAnsi="宋体" w:cs="宋体"/>
                <w:szCs w:val="21"/>
              </w:rPr>
            </w:pPr>
            <w:r>
              <w:rPr>
                <w:rFonts w:hint="eastAsia" w:ascii="宋体" w:hAnsi="宋体" w:cs="宋体"/>
                <w:szCs w:val="21"/>
              </w:rPr>
            </w:r>
            <w:r/>
          </w:p>
        </w:tc>
        <w:tc>
          <w:tcPr>
            <w:tcW w:w="863" w:type="dxa"/>
            <w:vAlign w:val="center"/>
            <w:vMerge w:val="continue"/>
            <w:textDirection w:val="lrTb"/>
            <w:noWrap w:val="false"/>
          </w:tcPr>
          <w:p>
            <w:pPr>
              <w:ind w:left="0" w:right="0"/>
              <w:keepLines w:val="0"/>
              <w:keepNext w:val="0"/>
              <w:pageBreakBefore w:val="0"/>
              <w:spacing w:line="288" w:lineRule="auto"/>
              <w:widowControl w:val="off"/>
              <w:rPr>
                <w:rFonts w:hint="eastAsia" w:ascii="宋体" w:hAnsi="宋体" w:cs="宋体"/>
                <w:szCs w:val="21"/>
              </w:rPr>
            </w:pPr>
            <w:r>
              <w:rPr>
                <w:rFonts w:hint="eastAsia" w:ascii="宋体" w:hAnsi="宋体" w:cs="宋体"/>
                <w:szCs w:val="21"/>
              </w:rPr>
            </w:r>
            <w:r/>
          </w:p>
        </w:tc>
      </w:tr>
      <w:tr>
        <w:trPr>
          <w:jc w:val="center"/>
          <w:trHeight w:val="1431"/>
        </w:trPr>
        <w:tc>
          <w:tcPr>
            <w:tcW w:w="437" w:type="dxa"/>
            <w:vAlign w:val="center"/>
            <w:textDirection w:val="lrTb"/>
            <w:noWrap w:val="false"/>
          </w:tcPr>
          <w:p>
            <w:pPr>
              <w:ind w:left="0" w:right="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6</w:t>
            </w:r>
            <w:r/>
          </w:p>
        </w:tc>
        <w:tc>
          <w:tcPr>
            <w:tcW w:w="1781" w:type="dxa"/>
            <w:vAlign w:val="center"/>
            <w:textDirection w:val="lrTb"/>
            <w:noWrap w:val="false"/>
          </w:tcPr>
          <w:p>
            <w:pPr>
              <w:ind w:left="0" w:right="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参加政府采购活动前三年内，在经营活动中没有重大违法记录</w:t>
            </w:r>
            <w:r/>
          </w:p>
        </w:tc>
        <w:tc>
          <w:tcPr>
            <w:tcW w:w="5580" w:type="dxa"/>
            <w:vAlign w:val="center"/>
            <w:vMerge w:val="continue"/>
            <w:textDirection w:val="lrTb"/>
            <w:noWrap w:val="false"/>
          </w:tcPr>
          <w:p>
            <w:pPr>
              <w:ind w:left="0" w:right="0"/>
              <w:keepLines w:val="0"/>
              <w:keepNext w:val="0"/>
              <w:pageBreakBefore w:val="0"/>
              <w:spacing w:line="288" w:lineRule="auto"/>
              <w:widowControl w:val="off"/>
              <w:rPr>
                <w:rFonts w:hint="eastAsia" w:ascii="宋体" w:hAnsi="宋体" w:cs="宋体"/>
                <w:szCs w:val="21"/>
              </w:rPr>
            </w:pPr>
            <w:r>
              <w:rPr>
                <w:rFonts w:hint="eastAsia" w:ascii="宋体" w:hAnsi="宋体" w:cs="宋体"/>
                <w:szCs w:val="21"/>
              </w:rPr>
            </w:r>
            <w:r/>
          </w:p>
        </w:tc>
        <w:tc>
          <w:tcPr>
            <w:tcW w:w="863" w:type="dxa"/>
            <w:vAlign w:val="center"/>
            <w:vMerge w:val="continue"/>
            <w:textDirection w:val="lrTb"/>
            <w:noWrap w:val="false"/>
          </w:tcPr>
          <w:p>
            <w:pPr>
              <w:ind w:left="0" w:right="0"/>
              <w:keepLines w:val="0"/>
              <w:keepNext w:val="0"/>
              <w:pageBreakBefore w:val="0"/>
              <w:spacing w:line="288" w:lineRule="auto"/>
              <w:widowControl w:val="off"/>
              <w:rPr>
                <w:rFonts w:hint="eastAsia" w:ascii="宋体" w:hAnsi="宋体" w:cs="宋体"/>
                <w:szCs w:val="21"/>
              </w:rPr>
            </w:pPr>
            <w:r>
              <w:rPr>
                <w:rFonts w:hint="eastAsia" w:ascii="宋体" w:hAnsi="宋体" w:cs="宋体"/>
                <w:szCs w:val="21"/>
              </w:rPr>
            </w:r>
            <w:r/>
          </w:p>
        </w:tc>
      </w:tr>
      <w:tr>
        <w:trPr>
          <w:jc w:val="center"/>
          <w:trHeight w:val="923"/>
        </w:trPr>
        <w:tc>
          <w:tcPr>
            <w:tcW w:w="437" w:type="dxa"/>
            <w:vAlign w:val="center"/>
            <w:textDirection w:val="lrTb"/>
            <w:noWrap w:val="false"/>
          </w:tcPr>
          <w:p>
            <w:pPr>
              <w:ind w:left="0" w:right="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7</w:t>
            </w:r>
            <w:r/>
          </w:p>
        </w:tc>
        <w:tc>
          <w:tcPr>
            <w:tcW w:w="1781" w:type="dxa"/>
            <w:vAlign w:val="center"/>
            <w:textDirection w:val="lrTb"/>
            <w:noWrap w:val="false"/>
          </w:tcPr>
          <w:p>
            <w:pPr>
              <w:ind w:left="0" w:right="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法律、行政法规规定的其他条件</w:t>
            </w:r>
            <w:r/>
          </w:p>
        </w:tc>
        <w:tc>
          <w:tcPr>
            <w:tcW w:w="5580" w:type="dxa"/>
            <w:vAlign w:val="center"/>
            <w:vMerge w:val="continue"/>
            <w:textDirection w:val="lrTb"/>
            <w:noWrap w:val="false"/>
          </w:tcPr>
          <w:p>
            <w:pPr>
              <w:ind w:left="0" w:right="0"/>
              <w:keepLines w:val="0"/>
              <w:keepNext w:val="0"/>
              <w:pageBreakBefore w:val="0"/>
              <w:spacing w:line="288" w:lineRule="auto"/>
              <w:widowControl w:val="off"/>
              <w:rPr>
                <w:rFonts w:hint="eastAsia" w:ascii="宋体" w:hAnsi="宋体" w:cs="宋体"/>
                <w:szCs w:val="21"/>
              </w:rPr>
            </w:pPr>
            <w:r>
              <w:rPr>
                <w:rFonts w:hint="eastAsia" w:ascii="宋体" w:hAnsi="宋体" w:cs="宋体"/>
                <w:szCs w:val="21"/>
              </w:rPr>
            </w:r>
            <w:r/>
          </w:p>
        </w:tc>
        <w:tc>
          <w:tcPr>
            <w:tcW w:w="863" w:type="dxa"/>
            <w:vAlign w:val="center"/>
            <w:vMerge w:val="continue"/>
            <w:textDirection w:val="lrTb"/>
            <w:noWrap w:val="false"/>
          </w:tcPr>
          <w:p>
            <w:pPr>
              <w:ind w:left="0" w:right="0"/>
              <w:keepLines w:val="0"/>
              <w:keepNext w:val="0"/>
              <w:pageBreakBefore w:val="0"/>
              <w:spacing w:line="288" w:lineRule="auto"/>
              <w:widowControl w:val="off"/>
              <w:rPr>
                <w:rFonts w:hint="eastAsia" w:ascii="宋体" w:hAnsi="宋体" w:cs="宋体"/>
                <w:szCs w:val="21"/>
              </w:rPr>
            </w:pPr>
            <w:r>
              <w:rPr>
                <w:rFonts w:hint="eastAsia" w:ascii="宋体" w:hAnsi="宋体" w:cs="宋体"/>
                <w:szCs w:val="21"/>
              </w:rPr>
            </w:r>
            <w:r/>
          </w:p>
        </w:tc>
      </w:tr>
      <w:tr>
        <w:trPr>
          <w:jc w:val="center"/>
          <w:trHeight w:val="1290"/>
        </w:trPr>
        <w:tc>
          <w:tcPr>
            <w:tcW w:w="437" w:type="dxa"/>
            <w:vAlign w:val="center"/>
            <w:textDirection w:val="lrTb"/>
            <w:noWrap w:val="false"/>
          </w:tcPr>
          <w:p>
            <w:pPr>
              <w:ind w:left="0" w:right="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8</w:t>
            </w:r>
            <w:r/>
          </w:p>
        </w:tc>
        <w:tc>
          <w:tcPr>
            <w:tcW w:w="1781" w:type="dxa"/>
            <w:vAlign w:val="center"/>
            <w:textDirection w:val="lrTb"/>
            <w:noWrap w:val="false"/>
          </w:tcPr>
          <w:p>
            <w:pPr>
              <w:ind w:left="0" w:right="0"/>
              <w:jc w:val="left"/>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“信用中国”网站和中国政府采购网查询记录</w:t>
            </w:r>
            <w:r/>
          </w:p>
        </w:tc>
        <w:tc>
          <w:tcPr>
            <w:tcW w:w="5580" w:type="dxa"/>
            <w:vAlign w:val="center"/>
            <w:vMerge w:val="continue"/>
            <w:textDirection w:val="lrTb"/>
            <w:noWrap w:val="false"/>
          </w:tcPr>
          <w:p>
            <w:pPr>
              <w:ind w:left="0" w:right="0"/>
              <w:keepLines w:val="0"/>
              <w:keepNext w:val="0"/>
              <w:pageBreakBefore w:val="0"/>
              <w:spacing w:line="288" w:lineRule="auto"/>
              <w:widowControl w:val="off"/>
              <w:rPr>
                <w:rFonts w:hint="eastAsia" w:ascii="宋体" w:hAnsi="宋体" w:cs="宋体"/>
                <w:szCs w:val="21"/>
              </w:rPr>
            </w:pPr>
            <w:r>
              <w:rPr>
                <w:rFonts w:hint="eastAsia" w:ascii="宋体" w:hAnsi="宋体" w:cs="宋体"/>
                <w:szCs w:val="21"/>
              </w:rPr>
            </w:r>
            <w:r/>
          </w:p>
        </w:tc>
        <w:tc>
          <w:tcPr>
            <w:tcW w:w="863" w:type="dxa"/>
            <w:vAlign w:val="center"/>
            <w:vMerge w:val="continue"/>
            <w:textDirection w:val="lrTb"/>
            <w:noWrap w:val="false"/>
          </w:tcPr>
          <w:p>
            <w:pPr>
              <w:ind w:left="0" w:right="0"/>
              <w:keepLines w:val="0"/>
              <w:keepNext w:val="0"/>
              <w:pageBreakBefore w:val="0"/>
              <w:spacing w:line="288" w:lineRule="auto"/>
              <w:widowControl w:val="off"/>
              <w:rPr>
                <w:rFonts w:hint="eastAsia" w:ascii="宋体" w:hAnsi="宋体" w:cs="宋体"/>
                <w:szCs w:val="21"/>
              </w:rPr>
            </w:pPr>
            <w:r>
              <w:rPr>
                <w:rFonts w:hint="eastAsia" w:ascii="宋体" w:hAnsi="宋体" w:cs="宋体"/>
                <w:szCs w:val="21"/>
              </w:rPr>
            </w:r>
            <w:r/>
          </w:p>
        </w:tc>
      </w:tr>
      <w:tr>
        <w:trPr>
          <w:jc w:val="center"/>
          <w:trHeight w:val="2830"/>
        </w:trPr>
        <w:tc>
          <w:tcPr>
            <w:tcW w:w="437" w:type="dxa"/>
            <w:vAlign w:val="center"/>
            <w:textDirection w:val="lrTb"/>
            <w:noWrap w:val="false"/>
          </w:tcPr>
          <w:p>
            <w:pPr>
              <w:ind w:left="0" w:right="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9</w:t>
            </w:r>
            <w:r/>
          </w:p>
        </w:tc>
        <w:tc>
          <w:tcPr>
            <w:tcW w:w="1781" w:type="dxa"/>
            <w:vAlign w:val="center"/>
            <w:textDirection w:val="lrTb"/>
            <w:noWrap w:val="false"/>
          </w:tcPr>
          <w:p>
            <w:pPr>
              <w:ind w:left="0" w:right="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为本项目提供整体设计、规范编制或者项目管理、监理、检测等服务的投标人，不得再参加该采购项目的其他采购活动。</w:t>
            </w:r>
            <w:r/>
          </w:p>
        </w:tc>
        <w:tc>
          <w:tcPr>
            <w:tcW w:w="5580" w:type="dxa"/>
            <w:vAlign w:val="center"/>
            <w:vMerge w:val="continue"/>
            <w:textDirection w:val="lrTb"/>
            <w:noWrap w:val="false"/>
          </w:tcPr>
          <w:p>
            <w:pPr>
              <w:ind w:left="0" w:right="0"/>
              <w:keepLines w:val="0"/>
              <w:keepNext w:val="0"/>
              <w:pageBreakBefore w:val="0"/>
              <w:spacing w:line="288" w:lineRule="auto"/>
              <w:widowControl w:val="off"/>
              <w:rPr>
                <w:rFonts w:hint="eastAsia" w:ascii="宋体" w:hAnsi="宋体" w:cs="宋体"/>
                <w:szCs w:val="21"/>
              </w:rPr>
            </w:pPr>
            <w:r>
              <w:rPr>
                <w:rFonts w:hint="eastAsia" w:ascii="宋体" w:hAnsi="宋体" w:cs="宋体"/>
                <w:szCs w:val="21"/>
              </w:rPr>
            </w:r>
            <w:r/>
          </w:p>
        </w:tc>
        <w:tc>
          <w:tcPr>
            <w:tcW w:w="863" w:type="dxa"/>
            <w:vAlign w:val="center"/>
            <w:vMerge w:val="continue"/>
            <w:textDirection w:val="lrTb"/>
            <w:noWrap w:val="false"/>
          </w:tcPr>
          <w:p>
            <w:pPr>
              <w:ind w:left="0" w:right="0"/>
              <w:keepLines w:val="0"/>
              <w:keepNext w:val="0"/>
              <w:pageBreakBefore w:val="0"/>
              <w:spacing w:line="288" w:lineRule="auto"/>
              <w:widowControl w:val="off"/>
              <w:rPr>
                <w:rFonts w:hint="eastAsia" w:ascii="宋体" w:hAnsi="宋体" w:cs="宋体"/>
                <w:szCs w:val="21"/>
              </w:rPr>
            </w:pPr>
            <w:r>
              <w:rPr>
                <w:rFonts w:hint="eastAsia" w:ascii="宋体" w:hAnsi="宋体" w:cs="宋体"/>
                <w:szCs w:val="21"/>
              </w:rPr>
            </w:r>
            <w:r/>
          </w:p>
        </w:tc>
      </w:tr>
      <w:tr>
        <w:trPr>
          <w:jc w:val="center"/>
          <w:trHeight w:val="2503"/>
        </w:trPr>
        <w:tc>
          <w:tcPr>
            <w:tcW w:w="437" w:type="dxa"/>
            <w:vAlign w:val="center"/>
            <w:textDirection w:val="lrTb"/>
            <w:noWrap w:val="false"/>
          </w:tcPr>
          <w:p>
            <w:pPr>
              <w:ind w:left="0" w:right="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10</w:t>
            </w:r>
            <w:r/>
          </w:p>
        </w:tc>
        <w:tc>
          <w:tcPr>
            <w:tcW w:w="1781" w:type="dxa"/>
            <w:vAlign w:val="center"/>
            <w:textDirection w:val="lrTb"/>
            <w:noWrap w:val="false"/>
          </w:tcPr>
          <w:p>
            <w:pPr>
              <w:ind w:left="0" w:right="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投标单位负责人为同一人或者存在直接控股、管理关系的不同投标人，不得参加同一合同项下的政府采购活动</w:t>
            </w:r>
            <w:r/>
          </w:p>
        </w:tc>
        <w:tc>
          <w:tcPr>
            <w:tcW w:w="5580" w:type="dxa"/>
            <w:vAlign w:val="center"/>
            <w:vMerge w:val="continue"/>
            <w:textDirection w:val="lrTb"/>
            <w:noWrap w:val="false"/>
          </w:tcPr>
          <w:p>
            <w:pPr>
              <w:ind w:left="0" w:right="0"/>
              <w:keepLines w:val="0"/>
              <w:keepNext w:val="0"/>
              <w:pageBreakBefore w:val="0"/>
              <w:spacing w:line="288" w:lineRule="auto"/>
              <w:widowControl w:val="off"/>
              <w:rPr>
                <w:rFonts w:hint="eastAsia" w:ascii="宋体" w:hAnsi="宋体" w:cs="宋体"/>
                <w:szCs w:val="21"/>
              </w:rPr>
            </w:pPr>
            <w:r>
              <w:rPr>
                <w:rFonts w:hint="eastAsia" w:ascii="宋体" w:hAnsi="宋体" w:cs="宋体"/>
                <w:szCs w:val="21"/>
              </w:rPr>
            </w:r>
            <w:r/>
          </w:p>
        </w:tc>
        <w:tc>
          <w:tcPr>
            <w:tcW w:w="863" w:type="dxa"/>
            <w:vAlign w:val="center"/>
            <w:vMerge w:val="continue"/>
            <w:textDirection w:val="lrTb"/>
            <w:noWrap w:val="false"/>
          </w:tcPr>
          <w:p>
            <w:pPr>
              <w:ind w:left="0" w:right="0"/>
              <w:keepLines w:val="0"/>
              <w:keepNext w:val="0"/>
              <w:pageBreakBefore w:val="0"/>
              <w:spacing w:line="288" w:lineRule="auto"/>
              <w:widowControl w:val="off"/>
              <w:rPr>
                <w:rFonts w:hint="eastAsia" w:ascii="宋体" w:hAnsi="宋体" w:cs="宋体"/>
                <w:szCs w:val="21"/>
              </w:rPr>
            </w:pPr>
            <w:r>
              <w:rPr>
                <w:rFonts w:hint="eastAsia" w:ascii="宋体" w:hAnsi="宋体" w:cs="宋体"/>
                <w:szCs w:val="21"/>
              </w:rPr>
            </w:r>
            <w:r/>
          </w:p>
        </w:tc>
      </w:tr>
      <w:tr>
        <w:trPr>
          <w:jc w:val="center"/>
          <w:trHeight w:val="950"/>
        </w:trPr>
        <w:tc>
          <w:tcPr>
            <w:tcW w:w="437" w:type="dxa"/>
            <w:vAlign w:val="center"/>
            <w:textDirection w:val="lrTb"/>
            <w:noWrap w:val="false"/>
          </w:tcPr>
          <w:p>
            <w:pPr>
              <w:ind w:left="0" w:right="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11</w:t>
            </w:r>
            <w:r/>
          </w:p>
        </w:tc>
        <w:tc>
          <w:tcPr>
            <w:tcW w:w="1781" w:type="dxa"/>
            <w:vAlign w:val="center"/>
            <w:textDirection w:val="lrTb"/>
            <w:noWrap w:val="false"/>
          </w:tcPr>
          <w:p>
            <w:pPr>
              <w:ind w:left="0" w:right="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本项目不接受联合体投标</w:t>
            </w:r>
            <w:r/>
          </w:p>
        </w:tc>
        <w:tc>
          <w:tcPr>
            <w:tcW w:w="5580" w:type="dxa"/>
            <w:vAlign w:val="center"/>
            <w:textDirection w:val="lrTb"/>
            <w:noWrap w:val="false"/>
          </w:tcPr>
          <w:p>
            <w:pPr>
              <w:ind w:left="0" w:right="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本项目未采用联合体投标</w:t>
            </w:r>
            <w:r/>
          </w:p>
        </w:tc>
        <w:tc>
          <w:tcPr>
            <w:tcW w:w="863" w:type="dxa"/>
            <w:vAlign w:val="center"/>
            <w:textDirection w:val="lrTb"/>
            <w:noWrap w:val="false"/>
          </w:tcPr>
          <w:p>
            <w:pPr>
              <w:ind w:left="0" w:right="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r>
            <w:r/>
          </w:p>
        </w:tc>
      </w:tr>
      <w:tr>
        <w:trPr>
          <w:jc w:val="center"/>
          <w:trHeight w:val="1237"/>
        </w:trPr>
        <w:tc>
          <w:tcPr>
            <w:tcW w:w="437" w:type="dxa"/>
            <w:vAlign w:val="center"/>
            <w:textDirection w:val="lrTb"/>
            <w:noWrap w:val="false"/>
          </w:tcPr>
          <w:p>
            <w:pPr>
              <w:ind w:left="0" w:right="0"/>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12</w:t>
            </w:r>
            <w:r/>
          </w:p>
        </w:tc>
        <w:tc>
          <w:tcPr>
            <w:tcW w:w="1781" w:type="dxa"/>
            <w:vAlign w:val="center"/>
            <w:textDirection w:val="lrTb"/>
            <w:noWrap w:val="false"/>
          </w:tcPr>
          <w:p>
            <w:pPr>
              <w:ind w:left="0" w:right="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落实政府采购政策需满足的资格要求</w:t>
            </w:r>
            <w:r/>
          </w:p>
        </w:tc>
        <w:tc>
          <w:tcPr>
            <w:tcW w:w="5580" w:type="dxa"/>
            <w:vAlign w:val="center"/>
            <w:textDirection w:val="lrTb"/>
            <w:noWrap w:val="false"/>
          </w:tcPr>
          <w:p>
            <w:pPr>
              <w:ind w:left="0" w:right="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投标人提供了满足落实政府采购政策资格要求的证明材料。提供承诺书并加盖投标人CA电子签章</w:t>
            </w:r>
            <w:r/>
          </w:p>
        </w:tc>
        <w:tc>
          <w:tcPr>
            <w:tcW w:w="863" w:type="dxa"/>
            <w:vAlign w:val="center"/>
            <w:textDirection w:val="lrTb"/>
            <w:noWrap w:val="false"/>
          </w:tcPr>
          <w:p>
            <w:pPr>
              <w:ind w:left="0" w:right="0"/>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r>
            <w:r/>
          </w:p>
        </w:tc>
      </w:tr>
      <w:tr>
        <w:trPr>
          <w:jc w:val="center"/>
          <w:trHeight w:val="549"/>
        </w:trPr>
        <w:tc>
          <w:tcPr>
            <w:tcW w:w="437" w:type="dxa"/>
            <w:vAlign w:val="center"/>
            <w:textDirection w:val="lrTb"/>
            <w:noWrap w:val="false"/>
          </w:tcPr>
          <w:p>
            <w:pPr>
              <w:ind w:left="0" w:right="0"/>
              <w:jc w:val="center"/>
              <w:keepLines w:val="0"/>
              <w:keepNext w:val="0"/>
              <w:pageBreakBefore w:val="0"/>
              <w:spacing w:line="264"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13</w:t>
            </w:r>
            <w:r/>
          </w:p>
        </w:tc>
        <w:tc>
          <w:tcPr>
            <w:tcW w:w="1781" w:type="dxa"/>
            <w:vAlign w:val="center"/>
            <w:textDirection w:val="lrTb"/>
            <w:noWrap w:val="false"/>
          </w:tcPr>
          <w:p>
            <w:pPr>
              <w:ind w:left="0" w:right="0"/>
              <w:keepLines w:val="0"/>
              <w:keepNext w:val="0"/>
              <w:pageBreakBefore w:val="0"/>
              <w:spacing w:line="264"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本项目的特定资格要求</w:t>
            </w:r>
            <w:r/>
          </w:p>
        </w:tc>
        <w:tc>
          <w:tcPr>
            <w:tcW w:w="5580" w:type="dxa"/>
            <w:vAlign w:val="center"/>
            <w:textDirection w:val="lrTb"/>
            <w:noWrap w:val="false"/>
          </w:tcPr>
          <w:p>
            <w:pPr>
              <w:ind w:left="0" w:right="0"/>
              <w:keepLines w:val="0"/>
              <w:keepNext w:val="0"/>
              <w:pageBreakBefore w:val="0"/>
              <w:spacing w:line="264"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⑴资质要求：具有住建行政主管部门核发的有效的《安全生产许可证》；投标人须具有有效期内的港口与航道工程施工总承包三级及以上资质或具有有效期内的航道工程施工专业承包三级及以上资质。（扫描件加盖CA电子签章）</w:t>
            </w:r>
            <w:r/>
          </w:p>
          <w:p>
            <w:pPr>
              <w:ind w:left="0" w:right="0"/>
              <w:keepLines w:val="0"/>
              <w:keepNext w:val="0"/>
              <w:pageBreakBefore w:val="0"/>
              <w:spacing w:line="264"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⑵主要人员要求：</w:t>
            </w:r>
            <w:r/>
          </w:p>
          <w:p>
            <w:pPr>
              <w:ind w:left="0" w:right="0"/>
              <w:keepLines w:val="0"/>
              <w:keepNext w:val="0"/>
              <w:pageBreakBefore w:val="0"/>
              <w:spacing w:line="264"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①拟投入本项目的项目经理应持有有效二级及以上注册建造师（港口与航道工程专业或水利水电工程专业）证书，具有省级交通运输行政主管部门核发的《公路水运工程施工企业主要负责人和安全生产管理人员安全生产考核合格证书》（B类）或《公路水运工程施工单位主要负责人、项目负责人和专职安全生产管理人员安全生产考核合格证书》（B类）（扫描件加盖CA电子签章）</w:t>
            </w:r>
            <w:r/>
          </w:p>
          <w:p>
            <w:pPr>
              <w:ind w:left="0" w:right="0"/>
              <w:keepLines w:val="0"/>
              <w:keepNext w:val="0"/>
              <w:pageBreakBefore w:val="0"/>
              <w:spacing w:line="264"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②投标人</w:t>
            </w:r>
            <w:r>
              <w:rPr>
                <w:rFonts w:hint="eastAsia" w:ascii="宋体" w:hAnsi="宋体" w:cs="宋体"/>
                <w:b/>
                <w:bCs/>
                <w:szCs w:val="21"/>
                <w:highlight w:val="none"/>
              </w:rPr>
              <w:t xml:space="preserve">至少配备1名专职安全员</w:t>
            </w:r>
            <w:r>
              <w:rPr>
                <w:rFonts w:hint="eastAsia" w:ascii="宋体" w:hAnsi="宋体" w:cs="宋体"/>
                <w:szCs w:val="21"/>
                <w:highlight w:val="none"/>
              </w:rPr>
              <w:t xml:space="preserve">，专职安全员具有省级交通运输行政主管部门核发的《公路水运工程施工企业主要负责人和安全生产管理人员安全生产考核合格证书》（C类）或《公路水运工程施工单位主要负责人、项目负责人和专职安全生产管理人员安全生产考核合格证书》（C类）。（扫描件加盖CA电子签章）</w:t>
            </w:r>
            <w:r/>
          </w:p>
          <w:p>
            <w:pPr>
              <w:ind w:left="0" w:right="0"/>
              <w:keepLines w:val="0"/>
              <w:keepNext w:val="0"/>
              <w:pageBreakBefore w:val="0"/>
              <w:spacing w:line="264"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⑶其他要求：</w:t>
            </w:r>
            <w:r/>
          </w:p>
          <w:p>
            <w:pPr>
              <w:ind w:left="0" w:right="0"/>
              <w:keepLines w:val="0"/>
              <w:keepNext w:val="0"/>
              <w:pageBreakBefore w:val="0"/>
              <w:spacing w:line="264"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①拟投入的项目经理无在岗项目（指目前未在其他项目上任职，或虽在其他项目上任职但本项目中标后能够从该项目撤离，提供承诺书原件加盖加盖CA电子签章，格式自拟）。</w:t>
            </w:r>
            <w:r/>
          </w:p>
          <w:p>
            <w:pPr>
              <w:ind w:left="0" w:right="0"/>
              <w:keepLines w:val="0"/>
              <w:keepNext w:val="0"/>
              <w:pageBreakBefore w:val="0"/>
              <w:spacing w:line="264"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②拟投入本项目的项目经理、专职安全员需提供所属社保机构出具的投标当月至投标当月开始往前3个月中，任意1个月的社保缴费证明（缴费证明内容需含缴费起止时间、缴费单位、缴费人员姓名并由社保机构加盖缴费证明专用章）。（扫描件加盖CA电子签章）</w:t>
            </w:r>
            <w:r/>
          </w:p>
          <w:p>
            <w:pPr>
              <w:ind w:left="0" w:right="0"/>
              <w:keepLines w:val="0"/>
              <w:keepNext w:val="0"/>
              <w:pageBreakBefore w:val="0"/>
              <w:spacing w:line="264" w:lineRule="auto"/>
              <w:shd w:val="clear" w:color="auto" w:fill="auto"/>
              <w:widowControl w:val="off"/>
              <w:rPr>
                <w:rFonts w:hint="eastAsia" w:ascii="宋体" w:hAnsi="宋体" w:cs="宋体"/>
                <w:b/>
                <w:bCs/>
                <w:szCs w:val="21"/>
                <w:highlight w:val="none"/>
              </w:rPr>
            </w:pPr>
            <w:r>
              <w:rPr>
                <w:rFonts w:hint="eastAsia" w:ascii="宋体" w:hAnsi="宋体" w:cs="宋体"/>
                <w:b/>
                <w:bCs/>
                <w:szCs w:val="21"/>
                <w:highlight w:val="none"/>
              </w:rPr>
              <w:t xml:space="preserve">注：根据住房和城乡建设部办公厅关于全面实行一级建造师</w:t>
            </w:r>
            <w:r>
              <w:rPr>
                <w:rFonts w:hint="eastAsia" w:ascii="宋体" w:hAnsi="宋体" w:cs="宋体"/>
                <w:b/>
                <w:bCs/>
                <w:szCs w:val="21"/>
                <w:highlight w:val="none"/>
              </w:rPr>
              <w:t xml:space="preserve">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投标人须上传一级建造师证书电子注册证书，电子注册证书应当符合相关文件规定，签名图像应当与持证人个人手写签名笔迹一致，证书应当在使用有效期限内。若文件中的证书复印件或扫描件无法识别有效信息的，视为无效。投标人将自行承担资格审查不通过等相应后果。</w:t>
            </w:r>
            <w:r/>
          </w:p>
          <w:p>
            <w:pPr>
              <w:ind w:left="0" w:right="0"/>
              <w:keepLines w:val="0"/>
              <w:keepNext w:val="0"/>
              <w:pageBreakBefore w:val="0"/>
              <w:spacing w:line="264" w:lineRule="auto"/>
              <w:shd w:val="clear" w:color="auto" w:fill="auto"/>
              <w:widowControl w:val="off"/>
              <w:rPr>
                <w:rFonts w:hint="eastAsia" w:ascii="宋体" w:hAnsi="宋体" w:cs="宋体"/>
                <w:szCs w:val="21"/>
                <w:highlight w:val="none"/>
              </w:rPr>
            </w:pPr>
            <w:r>
              <w:rPr>
                <w:rFonts w:hint="eastAsia" w:ascii="宋体" w:hAnsi="宋体" w:cs="宋体"/>
                <w:b/>
                <w:bCs/>
                <w:szCs w:val="21"/>
                <w:highlight w:val="none"/>
              </w:rPr>
              <w:t xml:space="preserve">投标人拟委任项目经理若为二级建造师的，须附其有效的二级建造师注册证书扫描件，建造师注册地住建行政主管部门有明确规定使用电子证书的，则应附建造师电子注册证书扫描件。投标文件中未提供上述扫描件的，其投标将被否决；使用电子注册证书的，证书扫描件若存在投标文件递交截止时间当日超出使用时限或无手写签名或手写签名与签名图像笔迹不一致等证书注册地住建行政主管部门规定的无效情形的，该证书无效，其投标将被否决。</w:t>
            </w:r>
            <w:r/>
          </w:p>
        </w:tc>
        <w:tc>
          <w:tcPr>
            <w:tcW w:w="863" w:type="dxa"/>
            <w:vAlign w:val="center"/>
            <w:textDirection w:val="lrTb"/>
            <w:noWrap w:val="false"/>
          </w:tcPr>
          <w:p>
            <w:pPr>
              <w:ind w:left="0" w:right="0"/>
              <w:keepLines w:val="0"/>
              <w:keepNext w:val="0"/>
              <w:pageBreakBefore w:val="0"/>
              <w:spacing w:line="264"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r>
            <w:r/>
          </w:p>
        </w:tc>
      </w:tr>
      <w:tr>
        <w:trPr>
          <w:jc w:val="center"/>
          <w:trHeight w:val="497"/>
        </w:trPr>
        <w:tc>
          <w:tcPr>
            <w:gridSpan w:val="3"/>
            <w:tcW w:w="7798" w:type="dxa"/>
            <w:vAlign w:val="center"/>
            <w:textDirection w:val="lrTb"/>
            <w:noWrap w:val="false"/>
          </w:tcPr>
          <w:p>
            <w:pPr>
              <w:ind w:left="0" w:right="0"/>
              <w:jc w:val="center"/>
              <w:keepLines w:val="0"/>
              <w:keepNext w:val="0"/>
              <w:pageBreakBefore w:val="0"/>
              <w:spacing w:line="264" w:lineRule="auto"/>
              <w:shd w:val="clear" w:color="auto" w:fill="auto"/>
              <w:widowControl w:val="off"/>
              <w:rPr>
                <w:rFonts w:hint="eastAsia" w:ascii="宋体" w:hAnsi="宋体" w:cs="宋体"/>
                <w:szCs w:val="21"/>
                <w:highlight w:val="none"/>
              </w:rPr>
            </w:pPr>
            <w:r>
              <w:rPr>
                <w:rFonts w:hint="eastAsia" w:ascii="宋体" w:hAnsi="宋体" w:cs="宋体"/>
                <w:b/>
                <w:szCs w:val="21"/>
                <w:highlight w:val="none"/>
              </w:rPr>
              <w:t xml:space="preserve">结论（通过或未通过）</w:t>
            </w:r>
            <w:r/>
          </w:p>
        </w:tc>
        <w:tc>
          <w:tcPr>
            <w:tcW w:w="863" w:type="dxa"/>
            <w:vAlign w:val="center"/>
            <w:textDirection w:val="lrTb"/>
            <w:noWrap w:val="false"/>
          </w:tcPr>
          <w:p>
            <w:pPr>
              <w:ind w:left="0" w:right="0"/>
              <w:keepLines w:val="0"/>
              <w:keepNext w:val="0"/>
              <w:pageBreakBefore w:val="0"/>
              <w:spacing w:line="264"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r>
            <w:r/>
          </w:p>
        </w:tc>
      </w:tr>
    </w:tbl>
    <w:p>
      <w:pPr>
        <w:ind w:left="0"/>
        <w:keepLines w:val="0"/>
        <w:keepNext w:val="0"/>
        <w:pageBreakBefore w:val="0"/>
        <w:spacing w:line="264" w:lineRule="auto"/>
        <w:shd w:val="clear" w:color="auto" w:fill="auto"/>
        <w:widowControl w:val="off"/>
        <w:rPr>
          <w:rFonts w:hint="eastAsia" w:ascii="宋体" w:hAnsi="宋体" w:cs="宋体"/>
          <w:b/>
          <w:bCs/>
          <w:szCs w:val="21"/>
          <w:highlight w:val="none"/>
        </w:rPr>
      </w:pPr>
      <w:r>
        <w:rPr>
          <w:rFonts w:hint="eastAsia" w:ascii="宋体" w:hAnsi="宋体" w:cs="宋体"/>
          <w:b/>
          <w:bCs/>
          <w:szCs w:val="21"/>
          <w:highlight w:val="none"/>
        </w:rPr>
        <w:t xml:space="preserve">注：符合要求用“√”表示，不符合用“×”表示。有一项不符合要求，结论为未通过。</w:t>
      </w:r>
      <w:r/>
    </w:p>
    <w:p>
      <w:pPr>
        <w:ind w:left="0"/>
        <w:keepLines w:val="0"/>
        <w:keepNext w:val="0"/>
        <w:pageBreakBefore w:val="0"/>
        <w:spacing w:line="288" w:lineRule="auto"/>
        <w:shd w:val="clear" w:color="auto" w:fill="auto"/>
        <w:widowControl w:val="off"/>
        <w:rPr>
          <w:rFonts w:hint="eastAsia" w:ascii="宋体" w:hAnsi="宋体" w:cs="宋体"/>
          <w:b/>
          <w:bCs/>
          <w:sz w:val="24"/>
          <w:highlight w:val="none"/>
        </w:rPr>
        <w:sectPr>
          <w:footerReference w:type="default" r:id="rId12"/>
          <w:footnotePr/>
          <w:endnotePr/>
          <w:type w:val="nextPage"/>
          <w:pgSz w:w="11906" w:h="16838" w:orient="portrait"/>
          <w:pgMar w:top="1417" w:right="1417" w:bottom="1417" w:left="1417" w:header="567" w:footer="567" w:gutter="0"/>
          <w:pgNumType w:start="1"/>
          <w:cols w:num="1" w:sep="0" w:space="1701" w:equalWidth="1"/>
          <w:docGrid w:linePitch="360"/>
        </w:sectPr>
      </w:pPr>
      <w:r>
        <w:rPr>
          <w:rFonts w:hint="eastAsia" w:ascii="宋体" w:hAnsi="宋体" w:cs="宋体"/>
          <w:b/>
          <w:bCs/>
          <w:sz w:val="24"/>
          <w:highlight w:val="none"/>
        </w:rPr>
      </w:r>
      <w:r/>
    </w:p>
    <w:p>
      <w:pPr>
        <w:spacing w:line="240" w:lineRule="exact"/>
        <w:shd w:val="clear" w:color="auto" w:fill="auto"/>
        <w:rPr>
          <w:rFonts w:hint="eastAsia" w:ascii="宋体" w:hAnsi="宋体" w:cs="宋体"/>
          <w:b/>
          <w:highlight w:val="none"/>
        </w:rPr>
      </w:pPr>
      <w:r>
        <w:rPr>
          <w:rFonts w:hint="eastAsia" w:ascii="宋体" w:hAnsi="宋体" w:cs="宋体"/>
          <w:b/>
          <w:highlight w:val="none"/>
        </w:rPr>
      </w:r>
      <w:r/>
    </w:p>
    <w:p>
      <w:pPr>
        <w:shd w:val="clear" w:color="auto" w:fill="auto"/>
        <w:tabs>
          <w:tab w:val="left" w:pos="-94" w:leader="none"/>
          <w:tab w:val="left" w:pos="428" w:leader="none"/>
        </w:tabs>
        <w:rPr>
          <w:rFonts w:hint="eastAsia" w:ascii="宋体" w:hAnsi="宋体" w:cs="宋体"/>
          <w:b/>
          <w:sz w:val="24"/>
          <w:highlight w:val="none"/>
        </w:rPr>
        <w:outlineLvl w:val="1"/>
      </w:pPr>
      <w:r/>
      <w:bookmarkStart w:id="131" w:name="_Toc10180"/>
      <w:r/>
      <w:bookmarkStart w:id="132" w:name="_Toc471"/>
      <w:r/>
      <w:bookmarkStart w:id="133" w:name="_Toc32503"/>
      <w:r/>
      <w:bookmarkStart w:id="134" w:name="_Toc12807"/>
      <w:r/>
      <w:bookmarkStart w:id="135" w:name="_Toc1570"/>
      <w:r/>
      <w:bookmarkStart w:id="136" w:name="_Toc211090861"/>
      <w:r>
        <w:rPr>
          <w:rFonts w:hint="eastAsia" w:ascii="宋体" w:hAnsi="宋体" w:cs="宋体"/>
          <w:b/>
          <w:sz w:val="24"/>
          <w:highlight w:val="none"/>
        </w:rPr>
        <w:t xml:space="preserve">附表二 符合性审查表</w:t>
      </w:r>
      <w:bookmarkEnd w:id="131"/>
      <w:r/>
      <w:bookmarkEnd w:id="132"/>
      <w:r/>
      <w:bookmarkEnd w:id="133"/>
      <w:r/>
      <w:bookmarkEnd w:id="134"/>
      <w:r/>
      <w:bookmarkEnd w:id="135"/>
      <w:r/>
      <w:bookmarkEnd w:id="136"/>
      <w:r/>
      <w:r/>
    </w:p>
    <w:tbl>
      <w:tblPr>
        <w:tblStyle w:val="847"/>
        <w:tblW w:w="4972"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441"/>
        <w:gridCol w:w="1650"/>
        <w:gridCol w:w="6028"/>
        <w:gridCol w:w="1117"/>
      </w:tblGrid>
      <w:tr>
        <w:trPr>
          <w:jc w:val="center"/>
          <w:trHeight w:val="454"/>
        </w:trPr>
        <w:tc>
          <w:tcPr>
            <w:tcW w:w="431" w:type="dxa"/>
            <w:vAlign w:val="center"/>
            <w:textDirection w:val="lrTb"/>
            <w:noWrap w:val="false"/>
          </w:tcPr>
          <w:p>
            <w:pPr>
              <w:jc w:val="center"/>
              <w:keepLines w:val="0"/>
              <w:keepNext w:val="0"/>
              <w:pageBreakBefore w:val="0"/>
              <w:spacing w:line="240" w:lineRule="auto"/>
              <w:shd w:val="clear" w:color="auto" w:fill="auto"/>
              <w:widowControl w:val="off"/>
              <w:tabs>
                <w:tab w:val="left" w:pos="1260" w:leader="none"/>
                <w:tab w:val="left" w:pos="1620" w:leader="none"/>
              </w:tabs>
              <w:rPr>
                <w:rFonts w:hint="eastAsia" w:ascii="宋体" w:hAnsi="宋体" w:cs="宋体"/>
                <w:b/>
                <w:caps/>
                <w:szCs w:val="21"/>
                <w:highlight w:val="none"/>
              </w:rPr>
            </w:pPr>
            <w:r>
              <w:rPr>
                <w:rFonts w:hint="eastAsia" w:ascii="宋体" w:hAnsi="宋体" w:cs="宋体"/>
                <w:b/>
                <w:caps/>
                <w:szCs w:val="21"/>
                <w:highlight w:val="none"/>
              </w:rPr>
              <w:t xml:space="preserve">序号</w:t>
            </w:r>
            <w:r/>
          </w:p>
        </w:tc>
        <w:tc>
          <w:tcPr>
            <w:tcW w:w="1612" w:type="dxa"/>
            <w:vAlign w:val="center"/>
            <w:textDirection w:val="lrTb"/>
            <w:noWrap w:val="false"/>
          </w:tcPr>
          <w:p>
            <w:pPr>
              <w:jc w:val="center"/>
              <w:keepLines w:val="0"/>
              <w:keepNext w:val="0"/>
              <w:pageBreakBefore w:val="0"/>
              <w:spacing w:line="240" w:lineRule="auto"/>
              <w:shd w:val="clear" w:color="auto" w:fill="auto"/>
              <w:widowControl w:val="off"/>
              <w:tabs>
                <w:tab w:val="left" w:pos="1260" w:leader="none"/>
                <w:tab w:val="left" w:pos="1620" w:leader="none"/>
              </w:tabs>
              <w:rPr>
                <w:rFonts w:hint="eastAsia" w:ascii="宋体" w:hAnsi="宋体" w:cs="宋体"/>
                <w:b/>
                <w:caps/>
                <w:szCs w:val="21"/>
                <w:highlight w:val="none"/>
              </w:rPr>
            </w:pPr>
            <w:r>
              <w:rPr>
                <w:rFonts w:hint="eastAsia" w:ascii="宋体" w:hAnsi="宋体" w:cs="宋体"/>
                <w:b/>
                <w:caps/>
                <w:szCs w:val="21"/>
                <w:highlight w:val="none"/>
              </w:rPr>
              <w:t xml:space="preserve">评标项目</w:t>
            </w:r>
            <w:r/>
          </w:p>
        </w:tc>
        <w:tc>
          <w:tcPr>
            <w:tcW w:w="5888" w:type="dxa"/>
            <w:vAlign w:val="center"/>
            <w:textDirection w:val="lrTb"/>
            <w:noWrap w:val="false"/>
          </w:tcPr>
          <w:p>
            <w:pPr>
              <w:jc w:val="center"/>
              <w:keepLines w:val="0"/>
              <w:keepNext w:val="0"/>
              <w:pageBreakBefore w:val="0"/>
              <w:spacing w:line="240" w:lineRule="auto"/>
              <w:shd w:val="clear" w:color="auto" w:fill="auto"/>
              <w:widowControl w:val="off"/>
              <w:tabs>
                <w:tab w:val="left" w:pos="1260" w:leader="none"/>
                <w:tab w:val="left" w:pos="1620" w:leader="none"/>
              </w:tabs>
              <w:rPr>
                <w:rFonts w:hint="eastAsia" w:ascii="宋体" w:hAnsi="宋体" w:cs="宋体"/>
                <w:b/>
                <w:caps/>
                <w:szCs w:val="21"/>
                <w:highlight w:val="none"/>
              </w:rPr>
            </w:pPr>
            <w:r>
              <w:rPr>
                <w:rFonts w:hint="eastAsia" w:ascii="宋体" w:hAnsi="宋体" w:cs="宋体"/>
                <w:b/>
                <w:caps/>
                <w:szCs w:val="21"/>
                <w:highlight w:val="none"/>
              </w:rPr>
              <w:t xml:space="preserve">评标标准</w:t>
            </w:r>
            <w:r/>
          </w:p>
        </w:tc>
        <w:tc>
          <w:tcPr>
            <w:tcW w:w="1091" w:type="dxa"/>
            <w:vAlign w:val="center"/>
            <w:textDirection w:val="lrTb"/>
            <w:noWrap w:val="false"/>
          </w:tcPr>
          <w:p>
            <w:pPr>
              <w:jc w:val="center"/>
              <w:keepLines w:val="0"/>
              <w:keepNext w:val="0"/>
              <w:pageBreakBefore w:val="0"/>
              <w:spacing w:line="240" w:lineRule="auto"/>
              <w:shd w:val="clear" w:color="auto" w:fill="auto"/>
              <w:widowControl w:val="off"/>
              <w:tabs>
                <w:tab w:val="left" w:pos="1260" w:leader="none"/>
                <w:tab w:val="left" w:pos="1620" w:leader="none"/>
              </w:tabs>
              <w:rPr>
                <w:rFonts w:hint="eastAsia" w:ascii="宋体" w:hAnsi="宋体" w:cs="宋体"/>
                <w:b/>
                <w:caps/>
                <w:szCs w:val="21"/>
                <w:highlight w:val="none"/>
              </w:rPr>
            </w:pPr>
            <w:r>
              <w:rPr>
                <w:rFonts w:hint="eastAsia" w:ascii="宋体" w:hAnsi="宋体" w:cs="宋体"/>
                <w:b/>
                <w:caps/>
                <w:szCs w:val="21"/>
                <w:highlight w:val="none"/>
              </w:rPr>
              <w:t xml:space="preserve">评标结论</w:t>
            </w:r>
            <w:r/>
          </w:p>
          <w:p>
            <w:pPr>
              <w:jc w:val="center"/>
              <w:keepLines w:val="0"/>
              <w:keepNext w:val="0"/>
              <w:pageBreakBefore w:val="0"/>
              <w:spacing w:line="240" w:lineRule="auto"/>
              <w:shd w:val="clear" w:color="auto" w:fill="auto"/>
              <w:widowControl w:val="off"/>
              <w:tabs>
                <w:tab w:val="left" w:pos="1260" w:leader="none"/>
                <w:tab w:val="left" w:pos="1620" w:leader="none"/>
              </w:tabs>
              <w:rPr>
                <w:rFonts w:hint="eastAsia" w:ascii="宋体" w:hAnsi="宋体" w:cs="宋体"/>
                <w:b/>
                <w:caps/>
                <w:szCs w:val="21"/>
                <w:highlight w:val="none"/>
              </w:rPr>
            </w:pPr>
            <w:r>
              <w:rPr>
                <w:rFonts w:hint="eastAsia" w:ascii="宋体" w:hAnsi="宋体" w:cs="宋体"/>
                <w:b/>
                <w:caps/>
                <w:szCs w:val="21"/>
                <w:highlight w:val="none"/>
              </w:rPr>
              <w:t xml:space="preserve">（</w:t>
            </w:r>
            <w:r>
              <w:rPr>
                <w:rFonts w:hint="eastAsia" w:ascii="宋体" w:hAnsi="宋体" w:cs="宋体"/>
                <w:szCs w:val="21"/>
                <w:highlight w:val="none"/>
              </w:rPr>
              <w:t xml:space="preserve">√</w:t>
            </w:r>
            <w:r>
              <w:rPr>
                <w:rFonts w:hint="eastAsia" w:ascii="宋体" w:hAnsi="宋体" w:cs="宋体"/>
                <w:b/>
                <w:caps/>
                <w:szCs w:val="21"/>
                <w:highlight w:val="none"/>
              </w:rPr>
              <w:t xml:space="preserve">/</w:t>
            </w:r>
            <w:r>
              <w:rPr>
                <w:rFonts w:hint="eastAsia" w:ascii="宋体" w:hAnsi="宋体" w:cs="宋体"/>
                <w:szCs w:val="21"/>
                <w:highlight w:val="none"/>
              </w:rPr>
              <w:t xml:space="preserve">×</w:t>
            </w:r>
            <w:r>
              <w:rPr>
                <w:rFonts w:hint="eastAsia" w:ascii="宋体" w:hAnsi="宋体" w:cs="宋体"/>
                <w:b/>
                <w:caps/>
                <w:szCs w:val="21"/>
                <w:highlight w:val="none"/>
              </w:rPr>
              <w:t xml:space="preserve">）</w:t>
            </w:r>
            <w:r/>
          </w:p>
        </w:tc>
      </w:tr>
      <w:tr>
        <w:trPr>
          <w:jc w:val="center"/>
          <w:trHeight w:val="1152"/>
        </w:trPr>
        <w:tc>
          <w:tcPr>
            <w:tcW w:w="431" w:type="dxa"/>
            <w:vAlign w:val="center"/>
            <w:textDirection w:val="lrTb"/>
            <w:noWrap w:val="false"/>
          </w:tcPr>
          <w:p>
            <w:pPr>
              <w:jc w:val="center"/>
              <w:keepLines w:val="0"/>
              <w:keepNext w:val="0"/>
              <w:pageBreakBefore w:val="0"/>
              <w:spacing w:line="288" w:lineRule="auto"/>
              <w:shd w:val="clear" w:color="auto" w:fill="auto"/>
              <w:widowControl w:val="off"/>
              <w:rPr>
                <w:rFonts w:hint="eastAsia" w:ascii="宋体" w:hAnsi="宋体" w:cs="宋体"/>
                <w:b/>
                <w:szCs w:val="21"/>
                <w:highlight w:val="none"/>
              </w:rPr>
            </w:pPr>
            <w:r>
              <w:rPr>
                <w:rFonts w:hint="eastAsia" w:ascii="宋体" w:hAnsi="宋体" w:cs="宋体"/>
                <w:szCs w:val="21"/>
                <w:highlight w:val="none"/>
              </w:rPr>
              <w:t xml:space="preserve">1</w:t>
            </w:r>
            <w:r/>
          </w:p>
        </w:tc>
        <w:tc>
          <w:tcPr>
            <w:tcW w:w="1612" w:type="dxa"/>
            <w:vAlign w:val="center"/>
            <w:textDirection w:val="lrTb"/>
            <w:noWrap w:val="false"/>
          </w:tcPr>
          <w:p>
            <w:pPr>
              <w:jc w:val="center"/>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szCs w:val="21"/>
                <w:highlight w:val="none"/>
              </w:rPr>
            </w:pPr>
            <w:r>
              <w:rPr>
                <w:rFonts w:hint="eastAsia" w:ascii="宋体" w:hAnsi="宋体" w:cs="宋体"/>
                <w:szCs w:val="21"/>
                <w:highlight w:val="none"/>
              </w:rPr>
              <w:t xml:space="preserve">投标文件</w:t>
            </w:r>
            <w:r/>
          </w:p>
          <w:p>
            <w:pPr>
              <w:jc w:val="center"/>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szCs w:val="21"/>
                <w:highlight w:val="none"/>
              </w:rPr>
            </w:pPr>
            <w:r>
              <w:rPr>
                <w:rFonts w:hint="eastAsia" w:ascii="宋体" w:hAnsi="宋体" w:cs="宋体"/>
                <w:szCs w:val="21"/>
                <w:highlight w:val="none"/>
              </w:rPr>
              <w:t xml:space="preserve">签署盖章</w:t>
            </w:r>
            <w:r/>
          </w:p>
        </w:tc>
        <w:tc>
          <w:tcPr>
            <w:tcW w:w="5888" w:type="dxa"/>
            <w:vAlign w:val="center"/>
            <w:textDirection w:val="lrTb"/>
            <w:noWrap w:val="false"/>
          </w:tcPr>
          <w:p>
            <w:pPr>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szCs w:val="21"/>
                <w:highlight w:val="none"/>
              </w:rPr>
            </w:pPr>
            <w:r>
              <w:rPr>
                <w:rFonts w:hint="eastAsia" w:ascii="宋体" w:hAnsi="宋体" w:cs="宋体"/>
                <w:b/>
                <w:bCs/>
                <w:szCs w:val="21"/>
                <w:highlight w:val="none"/>
              </w:rPr>
              <w:t xml:space="preserve">招标文件“投标文件格式”中要求盖单位章和（或）签字的地方均应使用CA数字证书加盖投标人的单位电子印章和（或）法定代表人的个人电子印章或电子签名章。</w:t>
            </w:r>
            <w:r/>
          </w:p>
        </w:tc>
        <w:tc>
          <w:tcPr>
            <w:tcW w:w="1091" w:type="dxa"/>
            <w:vAlign w:val="center"/>
            <w:textDirection w:val="lrTb"/>
            <w:noWrap w:val="false"/>
          </w:tcPr>
          <w:p>
            <w:pPr>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szCs w:val="21"/>
                <w:highlight w:val="none"/>
              </w:rPr>
            </w:pPr>
            <w:r>
              <w:rPr>
                <w:rFonts w:hint="eastAsia" w:ascii="宋体" w:hAnsi="宋体" w:cs="宋体"/>
                <w:szCs w:val="21"/>
                <w:highlight w:val="none"/>
              </w:rPr>
            </w:r>
            <w:r/>
          </w:p>
        </w:tc>
      </w:tr>
      <w:tr>
        <w:trPr>
          <w:jc w:val="center"/>
          <w:trHeight w:val="454"/>
        </w:trPr>
        <w:tc>
          <w:tcPr>
            <w:tcW w:w="431" w:type="dxa"/>
            <w:vAlign w:val="center"/>
            <w:textDirection w:val="lrTb"/>
            <w:noWrap w:val="false"/>
          </w:tcPr>
          <w:p>
            <w:pPr>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2</w:t>
            </w:r>
            <w:r/>
          </w:p>
        </w:tc>
        <w:tc>
          <w:tcPr>
            <w:tcW w:w="1612" w:type="dxa"/>
            <w:vAlign w:val="center"/>
            <w:textDirection w:val="lrTb"/>
            <w:noWrap w:val="false"/>
          </w:tcPr>
          <w:p>
            <w:pPr>
              <w:jc w:val="center"/>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szCs w:val="21"/>
                <w:highlight w:val="none"/>
              </w:rPr>
            </w:pPr>
            <w:r>
              <w:rPr>
                <w:rFonts w:hint="eastAsia" w:ascii="宋体" w:hAnsi="宋体" w:cs="宋体"/>
                <w:szCs w:val="21"/>
                <w:highlight w:val="none"/>
              </w:rPr>
              <w:t xml:space="preserve">投标文件有效期</w:t>
            </w:r>
            <w:r/>
          </w:p>
        </w:tc>
        <w:tc>
          <w:tcPr>
            <w:tcW w:w="5888" w:type="dxa"/>
            <w:vAlign w:val="center"/>
            <w:textDirection w:val="lrTb"/>
            <w:noWrap w:val="false"/>
          </w:tcPr>
          <w:p>
            <w:pPr>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szCs w:val="21"/>
                <w:highlight w:val="none"/>
              </w:rPr>
            </w:pPr>
            <w:r>
              <w:rPr>
                <w:rFonts w:hint="eastAsia" w:ascii="宋体" w:hAnsi="宋体" w:cs="宋体"/>
                <w:szCs w:val="21"/>
                <w:highlight w:val="none"/>
              </w:rPr>
              <w:t xml:space="preserve">有效期满足招标文件要求。</w:t>
            </w:r>
            <w:r/>
          </w:p>
        </w:tc>
        <w:tc>
          <w:tcPr>
            <w:tcW w:w="1091" w:type="dxa"/>
            <w:vAlign w:val="center"/>
            <w:textDirection w:val="lrTb"/>
            <w:noWrap w:val="false"/>
          </w:tcPr>
          <w:p>
            <w:pPr>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szCs w:val="21"/>
                <w:highlight w:val="none"/>
              </w:rPr>
            </w:pPr>
            <w:r>
              <w:rPr>
                <w:rFonts w:hint="eastAsia" w:ascii="宋体" w:hAnsi="宋体" w:cs="宋体"/>
                <w:szCs w:val="21"/>
                <w:highlight w:val="none"/>
              </w:rPr>
            </w:r>
            <w:r/>
          </w:p>
        </w:tc>
      </w:tr>
      <w:tr>
        <w:trPr>
          <w:jc w:val="center"/>
          <w:trHeight w:val="454"/>
        </w:trPr>
        <w:tc>
          <w:tcPr>
            <w:tcW w:w="431" w:type="dxa"/>
            <w:vAlign w:val="center"/>
            <w:textDirection w:val="lrTb"/>
            <w:noWrap w:val="false"/>
          </w:tcPr>
          <w:p>
            <w:pPr>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3</w:t>
            </w:r>
            <w:r/>
          </w:p>
        </w:tc>
        <w:tc>
          <w:tcPr>
            <w:tcW w:w="1612" w:type="dxa"/>
            <w:vAlign w:val="center"/>
            <w:textDirection w:val="lrTb"/>
            <w:noWrap w:val="false"/>
          </w:tcPr>
          <w:p>
            <w:pPr>
              <w:jc w:val="center"/>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szCs w:val="21"/>
                <w:highlight w:val="none"/>
              </w:rPr>
            </w:pPr>
            <w:r>
              <w:rPr>
                <w:rFonts w:hint="eastAsia" w:ascii="宋体" w:hAnsi="宋体" w:cs="宋体"/>
                <w:szCs w:val="21"/>
                <w:highlight w:val="none"/>
              </w:rPr>
              <w:t xml:space="preserve">响应范围</w:t>
            </w:r>
            <w:r/>
          </w:p>
        </w:tc>
        <w:tc>
          <w:tcPr>
            <w:tcW w:w="5888" w:type="dxa"/>
            <w:vAlign w:val="center"/>
            <w:textDirection w:val="lrTb"/>
            <w:noWrap w:val="false"/>
          </w:tcPr>
          <w:p>
            <w:pPr>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szCs w:val="21"/>
                <w:highlight w:val="none"/>
              </w:rPr>
            </w:pPr>
            <w:r>
              <w:rPr>
                <w:rFonts w:hint="eastAsia" w:ascii="宋体" w:hAnsi="宋体" w:cs="宋体"/>
                <w:szCs w:val="21"/>
                <w:highlight w:val="none"/>
              </w:rPr>
              <w:t xml:space="preserve">与招标文件要求的范围无实质性遗漏</w:t>
            </w:r>
            <w:r/>
          </w:p>
        </w:tc>
        <w:tc>
          <w:tcPr>
            <w:tcW w:w="1091" w:type="dxa"/>
            <w:vAlign w:val="center"/>
            <w:textDirection w:val="lrTb"/>
            <w:noWrap w:val="false"/>
          </w:tcPr>
          <w:p>
            <w:pPr>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szCs w:val="21"/>
                <w:highlight w:val="none"/>
              </w:rPr>
            </w:pPr>
            <w:r>
              <w:rPr>
                <w:rFonts w:hint="eastAsia" w:ascii="宋体" w:hAnsi="宋体" w:cs="宋体"/>
                <w:szCs w:val="21"/>
                <w:highlight w:val="none"/>
              </w:rPr>
            </w:r>
            <w:r/>
          </w:p>
        </w:tc>
      </w:tr>
      <w:tr>
        <w:trPr>
          <w:jc w:val="center"/>
          <w:trHeight w:val="2091"/>
        </w:trPr>
        <w:tc>
          <w:tcPr>
            <w:tcW w:w="431" w:type="dxa"/>
            <w:vAlign w:val="center"/>
            <w:textDirection w:val="lrTb"/>
            <w:noWrap w:val="false"/>
          </w:tcPr>
          <w:p>
            <w:pPr>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4</w:t>
            </w:r>
            <w:r/>
          </w:p>
        </w:tc>
        <w:tc>
          <w:tcPr>
            <w:tcW w:w="1612" w:type="dxa"/>
            <w:vAlign w:val="center"/>
            <w:textDirection w:val="lrTb"/>
            <w:noWrap w:val="false"/>
          </w:tcPr>
          <w:p>
            <w:pPr>
              <w:jc w:val="center"/>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szCs w:val="21"/>
                <w:highlight w:val="none"/>
              </w:rPr>
            </w:pPr>
            <w:r>
              <w:rPr>
                <w:rFonts w:hint="eastAsia" w:ascii="宋体" w:hAnsi="宋体" w:cs="宋体"/>
                <w:szCs w:val="21"/>
                <w:highlight w:val="none"/>
              </w:rPr>
              <w:t xml:space="preserve">报价</w:t>
            </w:r>
            <w:r/>
          </w:p>
        </w:tc>
        <w:tc>
          <w:tcPr>
            <w:tcW w:w="5888" w:type="dxa"/>
            <w:vAlign w:val="center"/>
            <w:textDirection w:val="lrTb"/>
            <w:noWrap w:val="false"/>
          </w:tcPr>
          <w:p>
            <w:pPr>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szCs w:val="21"/>
                <w:highlight w:val="none"/>
              </w:rPr>
            </w:pPr>
            <w:r>
              <w:rPr>
                <w:rFonts w:hint="eastAsia" w:ascii="宋体" w:hAnsi="宋体" w:cs="宋体"/>
                <w:iCs/>
                <w:szCs w:val="21"/>
                <w:highlight w:val="none"/>
              </w:rPr>
              <w:t xml:space="preserve">报价是固定单价及总价，且总价未超过预算金额或最高限价，投标人填写完毕的工程量固化</w:t>
            </w:r>
            <w:r>
              <w:rPr>
                <w:rFonts w:hint="eastAsia" w:ascii="宋体" w:hAnsi="宋体" w:cs="宋体"/>
                <w:b/>
                <w:bCs/>
                <w:iCs/>
                <w:szCs w:val="21"/>
                <w:highlight w:val="none"/>
              </w:rPr>
              <w:t xml:space="preserve">全费用工程量清单投标报价单未对工程量固化清单电子文件中的数据、格式和运算定义进行修改；全费用工程量清单投标报价单中的投标报价和投标函大写金额报价一致</w:t>
            </w:r>
            <w:r>
              <w:rPr>
                <w:rFonts w:hint="eastAsia" w:ascii="宋体" w:hAnsi="宋体" w:cs="宋体"/>
                <w:iCs/>
                <w:szCs w:val="21"/>
                <w:highlight w:val="none"/>
              </w:rPr>
              <w:t xml:space="preserve">（元单位以下数值不一致的除外）。</w:t>
            </w:r>
            <w:r/>
          </w:p>
        </w:tc>
        <w:tc>
          <w:tcPr>
            <w:tcW w:w="1091" w:type="dxa"/>
            <w:vAlign w:val="center"/>
            <w:textDirection w:val="lrTb"/>
            <w:noWrap w:val="false"/>
          </w:tcPr>
          <w:p>
            <w:pPr>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szCs w:val="21"/>
                <w:highlight w:val="none"/>
              </w:rPr>
            </w:pPr>
            <w:r>
              <w:rPr>
                <w:rFonts w:hint="eastAsia" w:ascii="宋体" w:hAnsi="宋体" w:cs="宋体"/>
                <w:szCs w:val="21"/>
                <w:highlight w:val="none"/>
              </w:rPr>
            </w:r>
            <w:r/>
          </w:p>
        </w:tc>
      </w:tr>
      <w:tr>
        <w:trPr>
          <w:jc w:val="center"/>
          <w:trHeight w:val="426"/>
        </w:trPr>
        <w:tc>
          <w:tcPr>
            <w:tcW w:w="431" w:type="dxa"/>
            <w:vAlign w:val="center"/>
            <w:textDirection w:val="lrTb"/>
            <w:noWrap w:val="false"/>
          </w:tcPr>
          <w:p>
            <w:pPr>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5</w:t>
            </w:r>
            <w:r/>
          </w:p>
        </w:tc>
        <w:tc>
          <w:tcPr>
            <w:tcW w:w="1612" w:type="dxa"/>
            <w:vAlign w:val="center"/>
            <w:textDirection w:val="lrTb"/>
            <w:noWrap w:val="false"/>
          </w:tcPr>
          <w:p>
            <w:pPr>
              <w:jc w:val="center"/>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szCs w:val="21"/>
                <w:highlight w:val="none"/>
              </w:rPr>
            </w:pPr>
            <w:r>
              <w:rPr>
                <w:rFonts w:hint="eastAsia" w:ascii="宋体" w:hAnsi="宋体" w:cs="宋体"/>
                <w:bCs/>
                <w:szCs w:val="21"/>
                <w:highlight w:val="none"/>
              </w:rPr>
              <w:t xml:space="preserve">计划工期</w:t>
            </w:r>
            <w:r/>
          </w:p>
        </w:tc>
        <w:tc>
          <w:tcPr>
            <w:tcW w:w="5888" w:type="dxa"/>
            <w:vAlign w:val="center"/>
            <w:textDirection w:val="lrTb"/>
            <w:noWrap w:val="false"/>
          </w:tcPr>
          <w:p>
            <w:pPr>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szCs w:val="21"/>
                <w:highlight w:val="none"/>
              </w:rPr>
            </w:pPr>
            <w:r>
              <w:rPr>
                <w:rFonts w:hint="eastAsia" w:ascii="宋体" w:hAnsi="宋体" w:cs="宋体"/>
                <w:szCs w:val="21"/>
                <w:highlight w:val="none"/>
              </w:rPr>
              <w:t xml:space="preserve">满足招标文件要求</w:t>
            </w:r>
            <w:r/>
          </w:p>
        </w:tc>
        <w:tc>
          <w:tcPr>
            <w:tcW w:w="1091" w:type="dxa"/>
            <w:vAlign w:val="center"/>
            <w:textDirection w:val="lrTb"/>
            <w:noWrap w:val="false"/>
          </w:tcPr>
          <w:p>
            <w:pPr>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szCs w:val="21"/>
                <w:highlight w:val="none"/>
              </w:rPr>
            </w:pPr>
            <w:r>
              <w:rPr>
                <w:rFonts w:hint="eastAsia" w:ascii="宋体" w:hAnsi="宋体" w:cs="宋体"/>
                <w:szCs w:val="21"/>
                <w:highlight w:val="none"/>
              </w:rPr>
            </w:r>
            <w:r/>
          </w:p>
        </w:tc>
      </w:tr>
      <w:tr>
        <w:trPr>
          <w:jc w:val="center"/>
          <w:trHeight w:val="454"/>
        </w:trPr>
        <w:tc>
          <w:tcPr>
            <w:tcW w:w="431" w:type="dxa"/>
            <w:vAlign w:val="center"/>
            <w:textDirection w:val="lrTb"/>
            <w:noWrap w:val="false"/>
          </w:tcPr>
          <w:p>
            <w:pPr>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6</w:t>
            </w:r>
            <w:r/>
          </w:p>
        </w:tc>
        <w:tc>
          <w:tcPr>
            <w:tcW w:w="1612" w:type="dxa"/>
            <w:vAlign w:val="center"/>
            <w:textDirection w:val="lrTb"/>
            <w:noWrap w:val="false"/>
          </w:tcPr>
          <w:p>
            <w:pPr>
              <w:jc w:val="center"/>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szCs w:val="21"/>
                <w:highlight w:val="none"/>
              </w:rPr>
            </w:pPr>
            <w:r>
              <w:rPr>
                <w:rFonts w:hint="eastAsia" w:ascii="宋体" w:hAnsi="宋体" w:cs="宋体"/>
                <w:szCs w:val="21"/>
                <w:highlight w:val="none"/>
              </w:rPr>
              <w:t xml:space="preserve">质量要求</w:t>
            </w:r>
            <w:r/>
          </w:p>
        </w:tc>
        <w:tc>
          <w:tcPr>
            <w:tcW w:w="5888" w:type="dxa"/>
            <w:vAlign w:val="center"/>
            <w:textDirection w:val="lrTb"/>
            <w:noWrap w:val="false"/>
          </w:tcPr>
          <w:p>
            <w:pPr>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szCs w:val="21"/>
                <w:highlight w:val="none"/>
              </w:rPr>
            </w:pPr>
            <w:r>
              <w:rPr>
                <w:rFonts w:hint="eastAsia" w:ascii="宋体" w:hAnsi="宋体" w:cs="宋体"/>
                <w:szCs w:val="21"/>
                <w:highlight w:val="none"/>
              </w:rPr>
              <w:t xml:space="preserve">满足招标文件要求</w:t>
            </w:r>
            <w:r/>
          </w:p>
        </w:tc>
        <w:tc>
          <w:tcPr>
            <w:tcW w:w="1091" w:type="dxa"/>
            <w:vAlign w:val="center"/>
            <w:textDirection w:val="lrTb"/>
            <w:noWrap w:val="false"/>
          </w:tcPr>
          <w:p>
            <w:pPr>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szCs w:val="21"/>
                <w:highlight w:val="none"/>
              </w:rPr>
            </w:pPr>
            <w:r>
              <w:rPr>
                <w:rFonts w:hint="eastAsia" w:ascii="宋体" w:hAnsi="宋体" w:cs="宋体"/>
                <w:szCs w:val="21"/>
                <w:highlight w:val="none"/>
              </w:rPr>
            </w:r>
            <w:r/>
          </w:p>
        </w:tc>
      </w:tr>
      <w:tr>
        <w:trPr>
          <w:jc w:val="center"/>
          <w:trHeight w:val="454"/>
        </w:trPr>
        <w:tc>
          <w:tcPr>
            <w:tcW w:w="431" w:type="dxa"/>
            <w:vAlign w:val="center"/>
            <w:textDirection w:val="lrTb"/>
            <w:noWrap w:val="false"/>
          </w:tcPr>
          <w:p>
            <w:pPr>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7</w:t>
            </w:r>
            <w:r/>
          </w:p>
        </w:tc>
        <w:tc>
          <w:tcPr>
            <w:tcW w:w="1612" w:type="dxa"/>
            <w:vAlign w:val="center"/>
            <w:textDirection w:val="lrTb"/>
            <w:noWrap w:val="false"/>
          </w:tcPr>
          <w:p>
            <w:pPr>
              <w:jc w:val="center"/>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szCs w:val="21"/>
                <w:highlight w:val="none"/>
              </w:rPr>
            </w:pPr>
            <w:r>
              <w:rPr>
                <w:rFonts w:hint="eastAsia" w:ascii="宋体" w:hAnsi="宋体" w:cs="宋体"/>
                <w:szCs w:val="21"/>
                <w:highlight w:val="none"/>
              </w:rPr>
              <w:t xml:space="preserve">安全目标</w:t>
            </w:r>
            <w:r/>
          </w:p>
        </w:tc>
        <w:tc>
          <w:tcPr>
            <w:tcW w:w="5888" w:type="dxa"/>
            <w:vAlign w:val="center"/>
            <w:textDirection w:val="lrTb"/>
            <w:noWrap w:val="false"/>
          </w:tcPr>
          <w:p>
            <w:pPr>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szCs w:val="21"/>
                <w:highlight w:val="none"/>
              </w:rPr>
            </w:pPr>
            <w:r>
              <w:rPr>
                <w:rFonts w:hint="eastAsia" w:ascii="宋体" w:hAnsi="宋体" w:cs="宋体"/>
                <w:szCs w:val="21"/>
                <w:highlight w:val="none"/>
              </w:rPr>
              <w:t xml:space="preserve">满足招标文件要求</w:t>
            </w:r>
            <w:r/>
          </w:p>
        </w:tc>
        <w:tc>
          <w:tcPr>
            <w:tcW w:w="1091" w:type="dxa"/>
            <w:vAlign w:val="center"/>
            <w:textDirection w:val="lrTb"/>
            <w:noWrap w:val="false"/>
          </w:tcPr>
          <w:p>
            <w:pPr>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szCs w:val="21"/>
                <w:highlight w:val="none"/>
              </w:rPr>
            </w:pPr>
            <w:r>
              <w:rPr>
                <w:rFonts w:hint="eastAsia" w:ascii="宋体" w:hAnsi="宋体" w:cs="宋体"/>
                <w:szCs w:val="21"/>
                <w:highlight w:val="none"/>
              </w:rPr>
            </w:r>
            <w:r/>
          </w:p>
        </w:tc>
      </w:tr>
      <w:tr>
        <w:trPr>
          <w:jc w:val="center"/>
          <w:trHeight w:val="702"/>
        </w:trPr>
        <w:tc>
          <w:tcPr>
            <w:tcW w:w="431" w:type="dxa"/>
            <w:vAlign w:val="center"/>
            <w:textDirection w:val="lrTb"/>
            <w:noWrap w:val="false"/>
          </w:tcPr>
          <w:p>
            <w:pPr>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8</w:t>
            </w:r>
            <w:r/>
          </w:p>
        </w:tc>
        <w:tc>
          <w:tcPr>
            <w:tcW w:w="1612" w:type="dxa"/>
            <w:vAlign w:val="center"/>
            <w:textDirection w:val="lrTb"/>
            <w:noWrap w:val="false"/>
          </w:tcPr>
          <w:p>
            <w:pPr>
              <w:jc w:val="center"/>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szCs w:val="21"/>
                <w:highlight w:val="none"/>
              </w:rPr>
            </w:pPr>
            <w:r>
              <w:rPr>
                <w:rFonts w:hint="eastAsia" w:ascii="宋体" w:hAnsi="宋体" w:cs="宋体"/>
                <w:szCs w:val="21"/>
                <w:highlight w:val="none"/>
              </w:rPr>
              <w:t xml:space="preserve">是否允许采用分包方式履行合同</w:t>
            </w:r>
            <w:r/>
          </w:p>
        </w:tc>
        <w:tc>
          <w:tcPr>
            <w:tcW w:w="5888" w:type="dxa"/>
            <w:vAlign w:val="center"/>
            <w:textDirection w:val="lrTb"/>
            <w:noWrap w:val="false"/>
          </w:tcPr>
          <w:p>
            <w:pP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b/>
                <w:bCs/>
                <w:szCs w:val="21"/>
                <w:highlight w:val="none"/>
              </w:rPr>
              <w:t xml:space="preserve">不允许。</w:t>
            </w:r>
            <w:r>
              <w:rPr>
                <w:rFonts w:hint="eastAsia" w:ascii="宋体" w:hAnsi="宋体" w:cs="宋体"/>
                <w:szCs w:val="21"/>
                <w:highlight w:val="none"/>
              </w:rPr>
              <w:t xml:space="preserve">分包管理按照《江苏省公路水运工程施工分包管理实施细则》（苏交规【2025】2号文）执行。</w:t>
            </w:r>
            <w:r>
              <w:rPr>
                <w:rFonts w:hint="eastAsia" w:ascii="宋体" w:hAnsi="宋体" w:cs="宋体"/>
                <w:b/>
                <w:bCs/>
                <w:szCs w:val="21"/>
                <w:highlight w:val="none"/>
              </w:rPr>
              <w:t xml:space="preserve">(</w:t>
            </w:r>
            <w:r>
              <w:rPr>
                <w:rFonts w:hint="eastAsia" w:ascii="宋体" w:hAnsi="宋体" w:cs="宋体"/>
                <w:szCs w:val="21"/>
                <w:highlight w:val="none"/>
                <w:lang w:val="zh-CN"/>
              </w:rPr>
              <w:t xml:space="preserve">提供</w:t>
            </w:r>
            <w:r>
              <w:rPr>
                <w:rFonts w:hint="eastAsia" w:ascii="宋体" w:hAnsi="宋体" w:cs="宋体"/>
                <w:szCs w:val="21"/>
                <w:highlight w:val="none"/>
              </w:rPr>
              <w:t xml:space="preserve">承诺书</w:t>
            </w:r>
            <w:r>
              <w:rPr>
                <w:rFonts w:hint="eastAsia" w:ascii="宋体" w:hAnsi="宋体" w:cs="宋体"/>
                <w:szCs w:val="21"/>
                <w:highlight w:val="none"/>
                <w:lang w:val="zh-CN"/>
              </w:rPr>
              <w:t xml:space="preserve">并加盖投标人CA电子签章</w:t>
            </w:r>
            <w:r>
              <w:rPr>
                <w:rFonts w:hint="eastAsia" w:ascii="宋体" w:hAnsi="宋体" w:cs="宋体"/>
                <w:b/>
                <w:bCs/>
                <w:szCs w:val="21"/>
                <w:highlight w:val="none"/>
              </w:rPr>
              <w:t xml:space="preserve">）</w:t>
            </w:r>
            <w:r/>
          </w:p>
        </w:tc>
        <w:tc>
          <w:tcPr>
            <w:tcW w:w="1091" w:type="dxa"/>
            <w:vAlign w:val="center"/>
            <w:textDirection w:val="lrTb"/>
            <w:noWrap w:val="false"/>
          </w:tcPr>
          <w:p>
            <w:pPr>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szCs w:val="21"/>
                <w:highlight w:val="none"/>
              </w:rPr>
            </w:pPr>
            <w:r>
              <w:rPr>
                <w:rFonts w:hint="eastAsia" w:ascii="宋体" w:hAnsi="宋体" w:cs="宋体"/>
                <w:szCs w:val="21"/>
                <w:highlight w:val="none"/>
              </w:rPr>
            </w:r>
            <w:r/>
          </w:p>
        </w:tc>
      </w:tr>
      <w:tr>
        <w:trPr>
          <w:jc w:val="center"/>
          <w:trHeight w:val="454"/>
        </w:trPr>
        <w:tc>
          <w:tcPr>
            <w:tcW w:w="431" w:type="dxa"/>
            <w:vAlign w:val="center"/>
            <w:textDirection w:val="lrTb"/>
            <w:noWrap w:val="false"/>
          </w:tcPr>
          <w:p>
            <w:pPr>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9</w:t>
            </w:r>
            <w:r/>
          </w:p>
        </w:tc>
        <w:tc>
          <w:tcPr>
            <w:tcW w:w="1612" w:type="dxa"/>
            <w:vAlign w:val="center"/>
            <w:textDirection w:val="lrTb"/>
            <w:noWrap w:val="false"/>
          </w:tcPr>
          <w:p>
            <w:pPr>
              <w:jc w:val="center"/>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szCs w:val="21"/>
                <w:highlight w:val="none"/>
              </w:rPr>
            </w:pPr>
            <w:r>
              <w:rPr>
                <w:rFonts w:hint="eastAsia" w:ascii="宋体" w:hAnsi="宋体" w:cs="宋体"/>
                <w:szCs w:val="21"/>
                <w:highlight w:val="none"/>
              </w:rPr>
              <w:t xml:space="preserve">附加条件</w:t>
            </w:r>
            <w:r/>
          </w:p>
        </w:tc>
        <w:tc>
          <w:tcPr>
            <w:tcW w:w="5888" w:type="dxa"/>
            <w:vAlign w:val="center"/>
            <w:textDirection w:val="lrTb"/>
            <w:noWrap w:val="false"/>
          </w:tcPr>
          <w:p>
            <w:pPr>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szCs w:val="21"/>
                <w:highlight w:val="none"/>
              </w:rPr>
            </w:pPr>
            <w:r>
              <w:rPr>
                <w:rFonts w:hint="eastAsia" w:ascii="宋体" w:hAnsi="宋体" w:cs="宋体"/>
                <w:szCs w:val="21"/>
                <w:highlight w:val="none"/>
              </w:rPr>
              <w:t xml:space="preserve">投标文件未含有招标人不能接受的附加条件</w:t>
            </w:r>
            <w:r/>
          </w:p>
        </w:tc>
        <w:tc>
          <w:tcPr>
            <w:tcW w:w="1091" w:type="dxa"/>
            <w:vAlign w:val="center"/>
            <w:textDirection w:val="lrTb"/>
            <w:noWrap w:val="false"/>
          </w:tcPr>
          <w:p>
            <w:pPr>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szCs w:val="21"/>
                <w:highlight w:val="none"/>
              </w:rPr>
            </w:pPr>
            <w:r>
              <w:rPr>
                <w:rFonts w:hint="eastAsia" w:ascii="宋体" w:hAnsi="宋体" w:cs="宋体"/>
                <w:szCs w:val="21"/>
                <w:highlight w:val="none"/>
              </w:rPr>
            </w:r>
            <w:r/>
          </w:p>
        </w:tc>
      </w:tr>
      <w:tr>
        <w:trPr>
          <w:jc w:val="center"/>
          <w:trHeight w:val="454"/>
        </w:trPr>
        <w:tc>
          <w:tcPr>
            <w:tcW w:w="431" w:type="dxa"/>
            <w:vAlign w:val="center"/>
            <w:textDirection w:val="lrTb"/>
            <w:noWrap w:val="false"/>
          </w:tcPr>
          <w:p>
            <w:pPr>
              <w:jc w:val="center"/>
              <w:keepLines w:val="0"/>
              <w:keepNext w:val="0"/>
              <w:pageBreakBefore w:val="0"/>
              <w:spacing w:line="288" w:lineRule="auto"/>
              <w:shd w:val="clear" w:color="auto" w:fill="auto"/>
              <w:widowControl w:val="off"/>
              <w:rPr>
                <w:rFonts w:hint="eastAsia" w:ascii="宋体" w:hAnsi="宋体" w:cs="宋体"/>
                <w:szCs w:val="21"/>
                <w:highlight w:val="none"/>
              </w:rPr>
            </w:pPr>
            <w:r>
              <w:rPr>
                <w:rFonts w:hint="eastAsia" w:ascii="宋体" w:hAnsi="宋体" w:cs="宋体"/>
                <w:szCs w:val="21"/>
                <w:highlight w:val="none"/>
              </w:rPr>
              <w:t xml:space="preserve">10</w:t>
            </w:r>
            <w:r/>
          </w:p>
        </w:tc>
        <w:tc>
          <w:tcPr>
            <w:tcW w:w="1612" w:type="dxa"/>
            <w:vAlign w:val="center"/>
            <w:textDirection w:val="lrTb"/>
            <w:noWrap w:val="false"/>
          </w:tcPr>
          <w:p>
            <w:pPr>
              <w:jc w:val="center"/>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szCs w:val="21"/>
                <w:highlight w:val="none"/>
              </w:rPr>
            </w:pPr>
            <w:r>
              <w:rPr>
                <w:rFonts w:hint="eastAsia" w:ascii="宋体" w:hAnsi="宋体" w:cs="宋体"/>
                <w:szCs w:val="21"/>
                <w:highlight w:val="none"/>
              </w:rPr>
              <w:t xml:space="preserve">其他无效情形</w:t>
            </w:r>
            <w:r/>
          </w:p>
        </w:tc>
        <w:tc>
          <w:tcPr>
            <w:tcW w:w="5888" w:type="dxa"/>
            <w:vAlign w:val="center"/>
            <w:textDirection w:val="lrTb"/>
            <w:noWrap w:val="false"/>
          </w:tcPr>
          <w:p>
            <w:pPr>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szCs w:val="21"/>
                <w:highlight w:val="none"/>
              </w:rPr>
            </w:pPr>
            <w:r>
              <w:rPr>
                <w:rFonts w:hint="eastAsia" w:ascii="宋体" w:hAnsi="宋体" w:cs="宋体"/>
                <w:szCs w:val="21"/>
                <w:highlight w:val="none"/>
              </w:rPr>
              <w:t xml:space="preserve">无法律、法规和招标文件规定的其他无效情形</w:t>
            </w:r>
            <w:r/>
          </w:p>
        </w:tc>
        <w:tc>
          <w:tcPr>
            <w:tcW w:w="1091" w:type="dxa"/>
            <w:vAlign w:val="center"/>
            <w:textDirection w:val="lrTb"/>
            <w:noWrap w:val="false"/>
          </w:tcPr>
          <w:p>
            <w:pPr>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szCs w:val="21"/>
                <w:highlight w:val="none"/>
              </w:rPr>
            </w:pPr>
            <w:r>
              <w:rPr>
                <w:rFonts w:hint="eastAsia" w:ascii="宋体" w:hAnsi="宋体" w:cs="宋体"/>
                <w:szCs w:val="21"/>
                <w:highlight w:val="none"/>
              </w:rPr>
            </w:r>
            <w:r/>
          </w:p>
        </w:tc>
      </w:tr>
      <w:tr>
        <w:trPr>
          <w:jc w:val="center"/>
          <w:trHeight w:val="454"/>
        </w:trPr>
        <w:tc>
          <w:tcPr>
            <w:gridSpan w:val="3"/>
            <w:tcW w:w="7931" w:type="dxa"/>
            <w:vAlign w:val="center"/>
            <w:textDirection w:val="lrTb"/>
            <w:noWrap w:val="false"/>
          </w:tcPr>
          <w:p>
            <w:pPr>
              <w:jc w:val="center"/>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szCs w:val="21"/>
                <w:highlight w:val="none"/>
              </w:rPr>
            </w:pPr>
            <w:r>
              <w:rPr>
                <w:rFonts w:hint="eastAsia" w:ascii="宋体" w:hAnsi="宋体" w:cs="宋体"/>
                <w:b/>
                <w:szCs w:val="21"/>
                <w:highlight w:val="none"/>
              </w:rPr>
              <w:t xml:space="preserve">结论（通过或未通过）</w:t>
            </w:r>
            <w:r/>
          </w:p>
        </w:tc>
        <w:tc>
          <w:tcPr>
            <w:tcW w:w="1091" w:type="dxa"/>
            <w:vAlign w:val="center"/>
            <w:textDirection w:val="lrTb"/>
            <w:noWrap w:val="false"/>
          </w:tcPr>
          <w:p>
            <w:pPr>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szCs w:val="21"/>
                <w:highlight w:val="none"/>
              </w:rPr>
            </w:pPr>
            <w:r>
              <w:rPr>
                <w:rFonts w:hint="eastAsia" w:ascii="宋体" w:hAnsi="宋体" w:cs="宋体"/>
                <w:szCs w:val="21"/>
                <w:highlight w:val="none"/>
              </w:rPr>
            </w:r>
            <w:r/>
          </w:p>
        </w:tc>
      </w:tr>
    </w:tbl>
    <w:p>
      <w:pPr>
        <w:jc w:val="left"/>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b/>
          <w:szCs w:val="21"/>
          <w:highlight w:val="none"/>
        </w:rPr>
      </w:pPr>
      <w:r>
        <w:rPr>
          <w:rFonts w:hint="eastAsia" w:ascii="宋体" w:hAnsi="宋体" w:cs="宋体"/>
          <w:b/>
          <w:szCs w:val="21"/>
          <w:highlight w:val="none"/>
        </w:rPr>
        <w:t xml:space="preserve">注：1、符合招标文件要求用“√”表示，不符合用“×”表示。有一项不符合要求，结论为未通过。</w:t>
      </w:r>
      <w:r/>
    </w:p>
    <w:p>
      <w:pPr>
        <w:ind w:firstLine="422"/>
        <w:jc w:val="left"/>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b/>
          <w:szCs w:val="21"/>
          <w:highlight w:val="none"/>
        </w:rPr>
      </w:pPr>
      <w:r>
        <w:rPr>
          <w:rFonts w:hint="eastAsia" w:ascii="宋体" w:hAnsi="宋体" w:cs="宋体"/>
          <w:b/>
          <w:szCs w:val="21"/>
          <w:highlight w:val="none"/>
        </w:rPr>
        <w:t xml:space="preserve">2、有下列情形之一的，视为投标人相互串通：</w:t>
      </w:r>
      <w:r/>
    </w:p>
    <w:p>
      <w:pPr>
        <w:ind w:firstLine="422"/>
        <w:jc w:val="left"/>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b/>
          <w:szCs w:val="21"/>
          <w:highlight w:val="none"/>
        </w:rPr>
      </w:pPr>
      <w:r>
        <w:rPr>
          <w:rFonts w:hint="eastAsia" w:ascii="宋体" w:hAnsi="宋体" w:cs="宋体"/>
          <w:b/>
          <w:szCs w:val="21"/>
          <w:highlight w:val="none"/>
        </w:rPr>
        <w:t xml:space="preserve">（1）不同投标人的投标文件由同一单位或者个人编制；</w:t>
      </w:r>
      <w:r/>
    </w:p>
    <w:p>
      <w:pPr>
        <w:ind w:firstLine="422"/>
        <w:jc w:val="left"/>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b/>
          <w:szCs w:val="21"/>
          <w:highlight w:val="none"/>
        </w:rPr>
      </w:pPr>
      <w:r>
        <w:rPr>
          <w:rFonts w:hint="eastAsia" w:ascii="宋体" w:hAnsi="宋体" w:cs="宋体"/>
          <w:b/>
          <w:szCs w:val="21"/>
          <w:highlight w:val="none"/>
        </w:rPr>
        <w:t xml:space="preserve">（2）不同投标人委托同一单位或者个人办理参与投标事宜；</w:t>
      </w:r>
      <w:r/>
    </w:p>
    <w:p>
      <w:pPr>
        <w:ind w:firstLine="422"/>
        <w:jc w:val="left"/>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b/>
          <w:szCs w:val="21"/>
          <w:highlight w:val="none"/>
        </w:rPr>
      </w:pPr>
      <w:r>
        <w:rPr>
          <w:rFonts w:hint="eastAsia" w:ascii="宋体" w:hAnsi="宋体" w:cs="宋体"/>
          <w:b/>
          <w:szCs w:val="21"/>
          <w:highlight w:val="none"/>
        </w:rPr>
        <w:t xml:space="preserve">（3）不同投标人的投标文件载明的项目管理成员或者联系人员为同一人；</w:t>
      </w:r>
      <w:r/>
    </w:p>
    <w:p>
      <w:pPr>
        <w:ind w:firstLine="422"/>
        <w:jc w:val="left"/>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b/>
          <w:szCs w:val="21"/>
          <w:highlight w:val="none"/>
        </w:rPr>
      </w:pPr>
      <w:r>
        <w:rPr>
          <w:rFonts w:hint="eastAsia" w:ascii="宋体" w:hAnsi="宋体" w:cs="宋体"/>
          <w:b/>
          <w:szCs w:val="21"/>
          <w:highlight w:val="none"/>
        </w:rPr>
        <w:t xml:space="preserve">（4）不同投标人的投标文件异常一致或者报价呈规律性差异；</w:t>
      </w:r>
      <w:r/>
    </w:p>
    <w:p>
      <w:pPr>
        <w:ind w:firstLine="422"/>
        <w:jc w:val="left"/>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b/>
          <w:szCs w:val="21"/>
          <w:highlight w:val="none"/>
        </w:rPr>
      </w:pPr>
      <w:r>
        <w:rPr>
          <w:rFonts w:hint="eastAsia" w:ascii="宋体" w:hAnsi="宋体" w:cs="宋体"/>
          <w:b/>
          <w:szCs w:val="21"/>
          <w:highlight w:val="none"/>
        </w:rPr>
        <w:t xml:space="preserve">（5）不同投标人的投标文件相互混装；</w:t>
      </w:r>
      <w:r/>
    </w:p>
    <w:p>
      <w:pPr>
        <w:ind w:firstLine="422"/>
        <w:jc w:val="left"/>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b/>
          <w:szCs w:val="21"/>
          <w:highlight w:val="none"/>
        </w:rPr>
      </w:pPr>
      <w:r>
        <w:rPr>
          <w:rFonts w:hint="eastAsia" w:ascii="宋体" w:hAnsi="宋体" w:cs="宋体"/>
          <w:b/>
          <w:szCs w:val="21"/>
          <w:highlight w:val="none"/>
        </w:rPr>
        <w:t xml:space="preserve">3、有下列情形之一的，属于提供虚假材料谋取中标的行为：</w:t>
      </w:r>
      <w:r/>
    </w:p>
    <w:p>
      <w:pPr>
        <w:ind w:firstLine="422"/>
        <w:jc w:val="left"/>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b/>
          <w:szCs w:val="21"/>
          <w:highlight w:val="none"/>
        </w:rPr>
      </w:pPr>
      <w:r>
        <w:rPr>
          <w:rFonts w:hint="eastAsia" w:ascii="宋体" w:hAnsi="宋体" w:cs="宋体"/>
          <w:b/>
          <w:szCs w:val="21"/>
          <w:highlight w:val="none"/>
        </w:rPr>
        <w:t xml:space="preserve">（1）使用伪造、变造的许可证件；</w:t>
      </w:r>
      <w:r/>
    </w:p>
    <w:p>
      <w:pPr>
        <w:ind w:firstLine="422"/>
        <w:jc w:val="left"/>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b/>
          <w:szCs w:val="21"/>
          <w:highlight w:val="none"/>
        </w:rPr>
      </w:pPr>
      <w:r>
        <w:rPr>
          <w:rFonts w:hint="eastAsia" w:ascii="宋体" w:hAnsi="宋体" w:cs="宋体"/>
          <w:b/>
          <w:szCs w:val="21"/>
          <w:highlight w:val="none"/>
        </w:rPr>
        <w:t xml:space="preserve">（2）提供虚假的财务状况或者业绩；</w:t>
      </w:r>
      <w:r/>
    </w:p>
    <w:p>
      <w:pPr>
        <w:ind w:firstLine="422"/>
        <w:jc w:val="left"/>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b/>
          <w:szCs w:val="21"/>
          <w:highlight w:val="none"/>
        </w:rPr>
      </w:pPr>
      <w:r>
        <w:rPr>
          <w:rFonts w:hint="eastAsia" w:ascii="宋体" w:hAnsi="宋体" w:cs="宋体"/>
          <w:b/>
          <w:szCs w:val="21"/>
          <w:highlight w:val="none"/>
        </w:rPr>
        <w:t xml:space="preserve">（3）提供虚假的项目经理或者主要技术人员简历、劳动关系证明；</w:t>
      </w:r>
      <w:r/>
    </w:p>
    <w:p>
      <w:pPr>
        <w:ind w:firstLine="422"/>
        <w:jc w:val="left"/>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b/>
          <w:szCs w:val="21"/>
          <w:highlight w:val="none"/>
        </w:rPr>
      </w:pPr>
      <w:r>
        <w:rPr>
          <w:rFonts w:hint="eastAsia" w:ascii="宋体" w:hAnsi="宋体" w:cs="宋体"/>
          <w:b/>
          <w:szCs w:val="21"/>
          <w:highlight w:val="none"/>
        </w:rPr>
        <w:t xml:space="preserve">（4）提供虚假的信用状况；</w:t>
      </w:r>
      <w:r/>
    </w:p>
    <w:p>
      <w:pPr>
        <w:ind w:firstLine="422"/>
        <w:jc w:val="left"/>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b/>
          <w:szCs w:val="21"/>
          <w:highlight w:val="none"/>
        </w:rPr>
      </w:pPr>
      <w:r>
        <w:rPr>
          <w:rFonts w:hint="eastAsia" w:ascii="宋体" w:hAnsi="宋体" w:cs="宋体"/>
          <w:b/>
          <w:szCs w:val="21"/>
          <w:highlight w:val="none"/>
        </w:rPr>
        <w:t xml:space="preserve">（5）其他弄虚作假的行为。</w:t>
      </w:r>
      <w:r/>
    </w:p>
    <w:p>
      <w:pPr>
        <w:pStyle w:val="1058"/>
        <w:spacing w:before="0" w:after="0" w:line="240" w:lineRule="auto"/>
        <w:shd w:val="clear" w:color="auto" w:fill="auto"/>
        <w:tabs>
          <w:tab w:val="left" w:pos="1440" w:leader="none"/>
        </w:tabs>
        <w:rPr>
          <w:rFonts w:hint="eastAsia" w:ascii="宋体" w:hAnsi="宋体" w:cs="宋体"/>
          <w:sz w:val="21"/>
          <w:szCs w:val="21"/>
          <w:highlight w:val="none"/>
        </w:rPr>
        <w:sectPr>
          <w:footerReference w:type="default" r:id="rId13"/>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cs="宋体"/>
          <w:sz w:val="21"/>
          <w:szCs w:val="21"/>
          <w:highlight w:val="none"/>
        </w:rPr>
      </w:r>
      <w:r/>
    </w:p>
    <w:p>
      <w:pPr>
        <w:pStyle w:val="1111"/>
        <w:jc w:val="center"/>
        <w:spacing w:line="360" w:lineRule="auto"/>
        <w:shd w:val="clear" w:color="auto" w:fill="auto"/>
        <w:rPr>
          <w:rFonts w:hint="eastAsia" w:ascii="宋体" w:hAnsi="宋体" w:cs="宋体"/>
          <w:b/>
          <w:sz w:val="32"/>
          <w:szCs w:val="32"/>
          <w:highlight w:val="none"/>
        </w:rPr>
        <w:outlineLvl w:val="0"/>
      </w:pPr>
      <w:r/>
      <w:bookmarkStart w:id="137" w:name="_Toc211090862"/>
      <w:r>
        <w:rPr>
          <w:rFonts w:hint="eastAsia" w:ascii="宋体" w:hAnsi="宋体" w:cs="宋体"/>
          <w:b/>
          <w:sz w:val="32"/>
          <w:szCs w:val="32"/>
          <w:highlight w:val="none"/>
        </w:rPr>
        <w:t xml:space="preserve">第四章  合同条款及格式</w:t>
      </w:r>
      <w:bookmarkEnd w:id="137"/>
      <w:r/>
      <w:r/>
    </w:p>
    <w:p>
      <w:pPr>
        <w:ind w:firstLine="560"/>
        <w:keepLines w:val="0"/>
        <w:keepNext w:val="0"/>
        <w:pageBreakBefore w:val="0"/>
        <w:spacing w:line="288" w:lineRule="auto"/>
        <w:shd w:val="clear" w:color="auto" w:fill="auto"/>
        <w:widowControl w:val="off"/>
        <w:tabs>
          <w:tab w:val="left" w:pos="180"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注:以下为招标人提出中标后签订本项目合同的条款，投标人必须实质性响应，中标投标人不得提出实质性的修改，关于专用条款将由发包人与中标投标人结合本项目具体情况协商后签订。</w:t>
      </w:r>
      <w:r/>
    </w:p>
    <w:p>
      <w:pPr>
        <w:jc w:val="center"/>
        <w:keepLines w:val="0"/>
        <w:keepNext w:val="0"/>
        <w:pageBreakBefore w:val="0"/>
        <w:spacing w:line="288" w:lineRule="auto"/>
        <w:shd w:val="clear" w:color="auto" w:fill="auto"/>
        <w:widowControl w:val="off"/>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第一节 通用合同条款</w:t>
      </w:r>
      <w:r/>
    </w:p>
    <w:p>
      <w:pPr>
        <w:jc w:val="cente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bCs/>
          <w:sz w:val="24"/>
          <w:highlight w:val="none"/>
        </w:rPr>
        <w:t xml:space="preserve">详见《标准施工招标文件》（2007年版）</w:t>
      </w:r>
      <w:r/>
    </w:p>
    <w:p>
      <w:pPr>
        <w:jc w:val="center"/>
        <w:keepLines w:val="0"/>
        <w:keepNext w:val="0"/>
        <w:pageBreakBefore w:val="0"/>
        <w:spacing w:line="288" w:lineRule="auto"/>
        <w:shd w:val="clear" w:color="auto" w:fill="auto"/>
        <w:widowControl w:val="off"/>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第二节 专用合同条款</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根据本项目的具体情况，对通用合同条款的内容做如下补充、细化： </w:t>
      </w: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  一般约定</w:t>
      </w: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b/>
          <w:bCs/>
          <w:sz w:val="24"/>
          <w:highlight w:val="none"/>
        </w:rPr>
        <w:t xml:space="preserve">1.1 词语定义</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1.1.1 合同</w:t>
      </w: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增加以下条款：</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1.1.1.10 指发出招标文件之后由发包人向已取得招标文件的潜在投标人发出的对招标文件补充或修改的书面文件。补遗书是招标文件和合同的组成部分。</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1.1.1.11 固定总价合同：在合同执行过程中，除约定的风险范围外，不得调整总价的合同。</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1.1.1.12 固定单价合同：在合同执行过程中，除约定的风险范围外，合同工程量清单中不得调整单价的合同。</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1.1.1.13 询标及澄清文件：指招标投标过程中，招标人为完成工作，向对方所发出的询问及投标人澄清的书面文件，属于投标文件的组成部分。</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1.1.2 合同当事人和人员</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1.1.2.8 工程建设项目代理人：指受发包人委托，具有相应资质及法定代理资格，代表发包人负责管理本合同的企业法人。</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1.1.2.9 项目技术负责人：指由承包人按投标文件承诺派驻施工现场负责施工技术管理的总工程师或技术总负责人。</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1.1.2.10 发包人代表：指发包人为履行本合同指定的负责人。</w:t>
      </w: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1.4  合同文件的优先顺序</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组成合同的各项文件应互相解释，互为说明，解释合同文件的优先顺序如下：</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⑴合同履行中双方签署的书面文件；</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⑵合同协议书；</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⑶中标通知书；</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⑷投标函；</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⑸专用合同条款；</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⑹通用合同条款；</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⑺技术标准和要求；</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⑻图纸；</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⑼已标价的工程量清单；</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⑽其他合同文件。</w:t>
      </w: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1.5  合同协议书</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1.5.1 合同价格和费用</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本合同的承包价格和费用，包括承包人按照合同约定应当完成的全部合同范围内的工作及缺陷责任期内的全部工作。</w:t>
      </w: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承发包人按以下</w:t>
      </w:r>
      <w:r>
        <w:rPr>
          <w:rFonts w:hint="eastAsia" w:ascii="宋体" w:hAnsi="宋体" w:eastAsia="宋体" w:cs="宋体"/>
          <w:sz w:val="24"/>
          <w:highlight w:val="none"/>
          <w:u w:val="single"/>
        </w:rPr>
        <w:t xml:space="preserve"> </w:t>
      </w:r>
      <w:r>
        <w:rPr>
          <w:rFonts w:hint="eastAsia" w:ascii="宋体" w:hAnsi="宋体" w:eastAsia="宋体" w:cs="宋体"/>
          <w:b/>
          <w:bCs/>
          <w:sz w:val="24"/>
          <w:highlight w:val="none"/>
          <w:u w:val="single"/>
        </w:rPr>
        <w:t xml:space="preserve">⑵</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方式确定承包合同价格：</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⑴固定总价合同；</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⑵固定单价合同。</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1.5.2 合同生效的其他条件：双方签字盖章后合同生效  。</w:t>
      </w: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1.6  图纸和承包人文件</w:t>
      </w:r>
      <w:r/>
    </w:p>
    <w:p>
      <w:pPr>
        <w:ind w:firstLine="480"/>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sz w:val="24"/>
          <w:highlight w:val="none"/>
        </w:rPr>
        <w:t xml:space="preserve">1.6.1 图纸的提供：</w:t>
      </w:r>
      <w:r>
        <w:rPr>
          <w:rFonts w:hint="eastAsia" w:ascii="宋体" w:hAnsi="宋体" w:eastAsia="宋体" w:cs="宋体"/>
          <w:b/>
          <w:bCs/>
          <w:sz w:val="24"/>
          <w:highlight w:val="none"/>
          <w:u w:val="single"/>
        </w:rPr>
        <w:t xml:space="preserve">发包人提供图纸2套。</w:t>
      </w: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1.7  联络</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1.7.3 各类往来书面函件的联络送达期限：</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⑴邮件以“特快专递”、“挂号信函”方式邮寄，以收件人签收日期为准；</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⑵传真、电子邮件以收件人发回确认回执日期为准；</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⑶人工送达以收件人签收日期为准。</w:t>
      </w: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1.8  转让</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1.8.1 合同转让：</w:t>
      </w:r>
      <w:r>
        <w:rPr>
          <w:rFonts w:hint="eastAsia" w:ascii="宋体" w:hAnsi="宋体" w:eastAsia="宋体" w:cs="宋体"/>
          <w:b/>
          <w:bCs/>
          <w:sz w:val="24"/>
          <w:highlight w:val="none"/>
          <w:u w:val="single"/>
        </w:rPr>
        <w:t xml:space="preserve"> 不允许 </w:t>
      </w:r>
      <w:r>
        <w:rPr>
          <w:rFonts w:hint="eastAsia" w:ascii="宋体" w:hAnsi="宋体" w:eastAsia="宋体" w:cs="宋体"/>
          <w:sz w:val="24"/>
          <w:highlight w:val="none"/>
        </w:rPr>
        <w:t xml:space="preserve">。</w:t>
      </w: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2  发包人义务</w:t>
      </w: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b/>
          <w:bCs/>
          <w:sz w:val="24"/>
          <w:highlight w:val="none"/>
        </w:rPr>
        <w:t xml:space="preserve">2.3  提供施工场地</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2.3.1 发包人应在计划开工日期14天前，向承包人无偿提供能满足工程主体范围并有合理有效的施工作业面位置的施工水域或场地，提供现有的施工水域或场地面积，应满足招标文件的最低要求。</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上述施工水域或场地应符合国家的有关规定，并已完成审批、征用、拆迁、补偿等工作。</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2.3.2 发包人应在计划开工日期14天前，提供能满足承包人生产、生活需要的临时施工水域或场地。</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2.3.3 施工现场三通和通讯条件，承包人应根据现场考察情况自行解决，并在投标价中予以考虑；承包人还必须充分考虑和理解工程的相互交叉和干扰，必须无条件地服从发包人的协调，由此可能发生的费用应计入报价中，在实际施工中，发包人不另承担由此产生的一切费用。承包人在工程建设期间不得损坏和污染发包人已完成的其他任何工程。</w:t>
      </w: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2.4  协助承包人办理证件和批件</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2.4.1 协调处理施工场地周围地下管线和邻近建筑物、构筑物的保护工作。</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2.4.2 协助解决对承包人施工有干扰的外部条件。</w:t>
      </w: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2.5  组织设计交底</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2.5.1 发包人应在计划开工日期14天前，组织设计单位向承包人进行设计交底。设计交底会应由发包人主持，设计单位、承包人、监理人和工程有关方面的人员参加，会后应形成会议纪要。</w:t>
      </w: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2.8  其他义务</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2.8.1 发包人应在合同协议书签署的同时任命发包人代表；发包人需更换其代表时，应至少提前10天书面通知承包人。</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2.8.2 发包人应协助承包人办理航行通告、抛泥区许可证等施工所需的各种手续。</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2.8.3 发包人应在计划开工日期14天前向承包人提供与施工现场相关的工程地质和地下管线资料，工程地质报告以及交验测量和水准点、坐标控制点等技术资料，并对其提供的上述资料的真实性、准确性负责。</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2.8.4 合同签订时，如果合同专用条款中所实行技术规范或标准有更新时，则发包人有权参照最新规范及标准实施本项目。</w:t>
      </w: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3  监理人</w:t>
      </w: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3.1  监理人的职责和权力</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3.1.1.1监理人在行使下列权利前需要经发包人事先批准：</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⑴根据第4.3款，同意分包本工程的非主体和非关键性工作；</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⑵根据第4.11款下产生的费用增加额；</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⑶根据第11.3款、12.3款、12.4款发布开工通知、暂停施工指示或复工通知；</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⑷决定第11.3款、11.4款下的工期延长；</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⑸审查批准技术标准和要求或设计的变更；</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⑹根据第15.3款发出的变更指令，确定变更价格；</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⑺确定第15.4款下变更工作的单价；</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⑻)按照第15.6款决定有关暂列金额的使用；</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⑼确定第15.8款项下的暂估价金额；</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⑽)根据第16.1款规定，确定材料价格波动调整的合同价格；</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⑾确定第23.1款项下的索赔额。</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如果发生紧急情况，监理人认为将造成人员伤亡，或危及本工程或邻近的财产需立即采取行动，监理人有权在未征得发包人的批准的情况下发布处理紧急情况所必需的指令，承包人应予执行。监理人应按第3.5款商定或确定因上述指令产生的合同价格的增加额。</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3.1.1.2 </w:t>
      </w:r>
      <w:r>
        <w:rPr>
          <w:rFonts w:hint="eastAsia" w:ascii="宋体" w:hAnsi="宋体" w:eastAsia="宋体" w:cs="宋体"/>
          <w:spacing w:val="-2"/>
          <w:sz w:val="24"/>
          <w:highlight w:val="none"/>
        </w:rPr>
        <w:t xml:space="preserve">监理人还应遵照《水运工程施工监理规范》以及监理规程行使职权。发包人将根据江苏省交通运输行业有关监理规定的文件编制适合本标段的监理管理办法，监理人应遵守上述办法规定</w:t>
      </w:r>
      <w:r>
        <w:rPr>
          <w:rFonts w:hint="eastAsia" w:ascii="宋体" w:hAnsi="宋体" w:eastAsia="宋体" w:cs="宋体"/>
          <w:sz w:val="24"/>
          <w:highlight w:val="none"/>
        </w:rPr>
        <w:t xml:space="preserve">。</w:t>
      </w: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3.5  商定或确定</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3.5.1项补充：如果这项商定或确定导致费用增加和（或）工期延长，或者涉及确定变更工程的价格，则总监理工程师在发出通知前，应征得发包人的同意。</w:t>
      </w: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4  承包人</w:t>
      </w: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4.1 承包人的一般义务</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4.1.5 保证工程施工和人员的安全增加以下条款：</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4.1.5.1 承包人应按国家和有关部门的规定，对施工现场人员和施工船舶、机械、设备的防台风、防突风、防风暴潮、防汛、防雷击等进行安全管理，对施工现场加强治安防范和消防安全防护措施，并承担由于措施不力造成的事故责任和由此发生的费用。</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4.1.5.2 承包人在高压线、水上、水下及地下管线、易燃、易爆地段或其他有害环境下施工时，施工前应提出安全保护措施，经监理人审查同意后实施。监理人的同意不能免除承包人应承担的责任。防护措施费用由承包人承担。</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4.1.5.3 施工现场发生安全事故时，承包人应立即采取有效措施，并将事故情况按规定上报有关部门并报告发包人与监理人。</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4.1.10 其他义务</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u w:val="single"/>
        </w:rPr>
      </w:pPr>
      <w:r>
        <w:rPr>
          <w:rFonts w:hint="eastAsia" w:ascii="宋体" w:hAnsi="宋体" w:eastAsia="宋体" w:cs="宋体"/>
          <w:sz w:val="24"/>
          <w:highlight w:val="none"/>
        </w:rPr>
        <w:t xml:space="preserve">4.1.10.1 承包人应在开工3天前进驻施工场地，并将开工所需施工船舶、机械、设备按照合同约定进场到位。承包人必须组织采用证照、手续齐全，性能良好，确保能安全施工的船舶、机械、设备进行各项施工，在施工过程中所发生的一切安全责任均由承包人自行承担。</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4.1.10.2 承包人按照批准的临时设施总平面布置图及相关生活配套设施，负责施工现场的布置和临时设施的施工。承包人的驻地建设应满足发包人的要求。</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4.1.10.3 承包人应妥善处理好与工程其他承包人的配合关系。发生交叉施工时，承包人和工程其他承包人应互相配合，友好协作，并服从监理人的统一协调。承包人由此增加的费用（如：由此而引起的局部临时停工等造成的费用增加）应认为已包括在承包人的合同价格之中，发包人不另行支付。</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4.1.10.4 承包人应根据工程施工情况及监理人的指令，及时向监理人提交开工报告、测量报告、试验检验报告、隐蔽工程验收通知、工程质量自检报告、竣工验收申请报告及工程事故报告等。</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4.1.10.5 承包人应支付为获得施工许可证及到海事船舶检验等有关证件所需的费用；办理应由承包人办理的施工所需各种证件、批件和其他审批手续。</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4.1.10.6 承包人应解决施工船舶的临时停泊设施并不得妨碍船闸正常运行，保证船舶在施工水域内航行安全和畅通。工程施工过程中，如工程确需影响到船闸正常运行和航道畅通，承包人应申报监理人与发包人，并自行向相关部门申报（发包人可协助协调）获得批准后方可继续施工，并尽可能地缩短影响时间，因承包人的不作为或未按上述要求办理相</w:t>
      </w:r>
      <w:r>
        <w:rPr>
          <w:rFonts w:hint="eastAsia" w:ascii="宋体" w:hAnsi="宋体" w:eastAsia="宋体" w:cs="宋体"/>
          <w:sz w:val="24"/>
          <w:highlight w:val="none"/>
        </w:rPr>
        <w:t xml:space="preserve">关事宜而造成的有关部门的损失或相关费用，由承包人承担。承包人应在不干扰航道正常运营和水利防洪等的前提下合理组织施工，服从监理人、发包人的统一安排。并应合理安排工期以尽可能避开汛期进行水中施工，确保汛期施工的安全和施工质量。承包人应对上述所有工作负责，发包人将根据承包人的要求给予适当协助。承包人采取上述措施而可能发生的全部费用应已包含在合同价格中，发包人将不另行支付。如因承包人采取的措施不力，影响航道通航安全给其它部门或个人造成的一切损失、或由上述原因造成本工程工期的拖延或施工费用的增加，均由承包人自行负责。</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4.1.10.7 承包人拆除的所有设备材料不得影响航道的正常运行，应及时清运。</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4.1.10.7.1承包人应采取一切措施，防止施工船舶、机械、设备及材料的沉没。若发生沉没，应立即向有关部门报告，并及时通知发包人与监理人。承包人应采取得当措施，及时设置浮标或障碍指示灯，直至打捞工作完成为止。</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4.1.10.8 承包人应充分考虑到施工现场所有的设备、临时建筑等防火安全，配备足够的防火设备。</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4.1.10.9 承包人应在施工过程中对工程建筑物进行监测，并承担相应费用。</w:t>
      </w: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4.1.10.10工程实施过程中，承包人应做好海事、水利、渔政、林业、航政、环保等部门的沟通、协调工作，施工期间本项目施工区域范围内海事、水利、渔政、林业、航政、环保等相关主管部门可能会根据各部门相关管理规定收取规费，相关费用由承包人自行考虑并承担，不单独计列，包含在承包人的投标总价及单价中。</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4.1.10.11 承包人在施工前必须对邻近现有的建筑物、构造物、管道管线（供水、燃气、通信、盐卤管道等）以及其他工程设施的作详尽的调查，做好各种保护措施，确保施工过程中不影响原有设施的安全与正常使用。如果由于承包人的原因导致各类损坏，由此产生的索赔、赔偿、诉讼费用及其它开支均由承包人承担。承包人在进行现场考察及投标时需充分考虑，相关费用包含在承包人的投标总价中。</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4.1.10.12 施工船舶临时停泊水域由承包人自行解决，发包人协助办理。由此产生的费用含入工程量清单中相关工程细目的单价及总额价中，发包人不另计列。</w:t>
      </w: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sz w:val="24"/>
          <w:highlight w:val="none"/>
        </w:rPr>
        <w:t xml:space="preserve">4.1.10.13 工程实施过程中，质量检测、试验项目可委托相应行业的具有资质和检测能力的单位进行，但该外委单位必须征得发包人和监理人的同意，且费用由承包人承担。</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bCs/>
          <w:sz w:val="24"/>
          <w:highlight w:val="none"/>
        </w:rPr>
        <w:t xml:space="preserve">4.1.10.14 </w:t>
      </w:r>
      <w:r>
        <w:rPr>
          <w:rFonts w:hint="eastAsia" w:ascii="宋体" w:hAnsi="宋体" w:eastAsia="宋体" w:cs="宋体"/>
          <w:sz w:val="24"/>
          <w:highlight w:val="none"/>
        </w:rPr>
        <w:t xml:space="preserve">承包人应对全部现场作业和施工方法的适用性、可靠性和安全性承担全部责任。合同实施期间，采用新的或更高的标准或规范，合同价格不予调整。因设计变更影响，承包人应因时制宜及时对施工组织和生产要素(工、料、机等)作好调整安排，避免造成停工停机损失。若承包人未及时做好妥善调整和安排，发包人不承担由此引起的索赔和补偿。</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4.1.10.15 承包人为实施合同工程需要的施工用水、用电等，由承包人自行负责解决，并执行有关部门的用电、用水等管理，为此而发生的一切费用应列入相应价格中，发包人不另行支付。</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4.1.10.16 承包人必须加强对地下管线等相关隐蔽设施的保护，承包人必须事先查明情况，办理相关施工交底手续后，方可进行对隐蔽设施可能产生影响的相关项目施工，否则造成后果，除了由承包人自行承担一切责任外，发包人还将严肃追究承包人的违约责任。</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4.1.10.17 已完工程未向发包人交工之前，承包人应按合同规定负责已完工程的成品保护，保护期发生损坏，承包人自费予以修复。</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4.1.10.18 结合当地的实际情况，一个有经验的承包人应考虑到施工过程中会发生的由于施工及各种原因造成的地方矛盾和阻工问题，承包人自行负责解决，并支付所发生的一切费用。发包人努力做好协助工作，发包人协助不承担任何责任，且不免除承包人自行解决矛盾的任何责任，因不可抗力或政策性因素导致工期延误时，经监理和发包人签证确认可以延长工期，免除因此造成经济处罚。</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4.1.10.19 施工现场通讯条件、临时交通、承包人驻地建设等，承包人应根据现场考察情况自行解决；临时工程与设施应考虑施工期施工、地方临时通行以及防汛的需要，达到以上要求所需的费用应含在承包人的投标报价中，不单独计量与支付。</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所有临时用地（永久征地线范围之外的一切用地）由承包人根据其施工组织计划，确定项目施工所必需的临时用地数量，进场后要在规定时间内上报临时用地计划，经监理人审核，发包人同意后方可实施。承包人自行与工程所在地政府商谈办理临时用地租用及复垦手续，并承担租用、青苗补偿、复垦及可能的地面附属构筑物复建等相关费用，发包人给予必要的协助，相关费用包含在投标报价中。</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到达临时用地的临时道路（桥）的修建、维护、拆除以及便道（桥）用地的租用手续和复垦、临时堆土区围堰构筑、排水设施由承包人负责并承担费用，所需的相关费用包含在投标报价中。</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4.1.10.20 现场施工工地需要按标准化施工工地管理要求，设置护栏、围挡、标志、标牌及其他必要的所需设备设施，营造文明、安全施工工地。</w:t>
      </w:r>
      <w:r/>
    </w:p>
    <w:p>
      <w:pPr>
        <w:ind w:firstLine="480"/>
        <w:keepLines w:val="0"/>
        <w:keepNext w:val="0"/>
        <w:pageBreakBefore w:val="0"/>
        <w:spacing w:line="288" w:lineRule="auto"/>
        <w:shd w:val="clear" w:color="auto" w:fill="auto"/>
        <w:widowControl w:val="off"/>
        <w:rPr>
          <w:rFonts w:hint="eastAsia" w:ascii="宋体" w:hAnsi="宋体" w:eastAsia="宋体" w:cs="宋体"/>
          <w:b/>
          <w:bCs/>
          <w:szCs w:val="21"/>
          <w:highlight w:val="none"/>
        </w:rPr>
      </w:pPr>
      <w:r>
        <w:rPr>
          <w:rFonts w:hint="eastAsia" w:ascii="宋体" w:hAnsi="宋体" w:eastAsia="宋体" w:cs="宋体"/>
          <w:sz w:val="24"/>
          <w:highlight w:val="none"/>
        </w:rPr>
        <w:t xml:space="preserve">4.1.10.21 根据《公路水运工程安全生产监督管理办法》（交通运输部令2017年第25号）的规定，承包人应配备相应的安全生产管理人员及设备。承包人必须组织采用证照、手续齐全，性能良好，确保能安全施工的车辆、设备进行各项施工，在施工过程中非因发包人原因所发生的一切安全事故均由承包人自行负责。</w:t>
      </w:r>
      <w:r>
        <w:rPr>
          <w:rFonts w:hint="eastAsia" w:ascii="宋体" w:hAnsi="宋体" w:eastAsia="宋体" w:cs="宋体"/>
          <w:b/>
          <w:bCs/>
          <w:sz w:val="24"/>
          <w:highlight w:val="none"/>
        </w:rPr>
        <w:t xml:space="preserve">承包人根据《安全生产责任保险实施办法》的通知（应急〔2025〕27号）要求必须投保安全生产责任险，保险费用包含在安全生产费中，据实计量支付。除合同另有规定，承包人在</w:t>
      </w:r>
      <w:r>
        <w:rPr>
          <w:rFonts w:hint="eastAsia" w:ascii="宋体" w:hAnsi="宋体" w:eastAsia="宋体" w:cs="宋体"/>
          <w:b/>
          <w:bCs/>
          <w:sz w:val="24"/>
          <w:highlight w:val="none"/>
        </w:rPr>
        <w:t xml:space="preserve">施工过程中用于安全生产、文明施工的费用超出的，超出部分费用承包人自行承担，视为包含在投标报价的单价中，不另行计量与支付。安全生产费用须经监理审核合格后，计量支付。承包人应依法办理交通执法、水利管理等部门审核备案手续，涉及危险性较大的分部分项工程安全管理应严格执行现行法律法规文件规定编制专项施工方案，对于超过一定规模的危大工程，承包人编制的专项施工方案，应依法组织召开专家论证会对专项施工方案进行论证，并按照专家论证通过的专项施工方案进行实施，相关论证费用、实施所需费用在投标报价中应充分考虑，招标人不另行支付。</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4.1.10.22 除非合同另有规定，承包人应自行聘（雇）用当地或其他来源的职员或工人，但不得从为发包人或监理人服务的人员中招聘雇员和工人。承包人雇用员工应完善劳务注册手续，并与他雇用的员工订立劳务合同，以明确双方的权利和义务。</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4.1.10.23关于竣工资料</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承包人在工程竣工后，验收前提供壹份完整的竣工资料（原件和PDF电子版及全过程节点工程、隐蔽工程等影像资料），否则，按合同总价的2%罚款。 </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竣工验收后，应至少编制竣工结算资料4份，发包人、承包人、审计单位、复审单位（如果有）各一份，因未能提供竣工结算资料导致竣工结算审计延误的责任由承包人承担，与发包人、招标人无关。</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4.1.10.24关于劳动用工和农民工工资：</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⑴ 关于劳动用工管理</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①承包人（包括其分包人）应依法与所招用的农民工订立劳动合同并进行用工实名登记，通过相应的管理服务信息平台（如有）进行用工实名登记、管理。未与承包人（包括其分包人）订立劳动合同并进行用工实名登记的人员，不得进入项目现场施工。</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②承包人应在工程项目部配备劳资专管员，对分包人劳动用工实施监督管理，掌握施工现场用工、考勤、工资支付等情况，审核分包人编制的农民工工资支付表。</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③承包人（包括其分包人）应建立用工管理台账，并保存至工程完工且工资全部结清后至少3年。</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⑵ 关于农民工工资支付形式与周期</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①农民工工资应以货币形式，通过银行转账或者现金支付给农民工本人，不得以实物或者有价证券等其他形式替代。</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②承包人（包括其分包人）应按照与农民工订立的劳动合同中约定的工资支付周期和具体支付日期足额支付工资。</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⑶关于农民工工资专用账户管理</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①承包人应分解工程价款中的人工费用，在签订合同后三十天内在工程项目所在地银行开设农民工工资专用账户，专项用于支付本工程项目的农民工工资。承包人在申请第一次工程款支付之前需提供农民工工资专用账户设立情况证明，此后在每一次申请付款之前，需提供农民工工资支付明细。农民工工资专用账户应向人力资源社会保障部门和工程项目行业主管部门备案，并委托开户银行负责日常监管，确保专款专用。</w:t>
      </w:r>
      <w:r/>
    </w:p>
    <w:p>
      <w:pPr>
        <w:ind w:firstLine="482"/>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b/>
          <w:bCs/>
          <w:sz w:val="24"/>
          <w:highlight w:val="none"/>
        </w:rPr>
        <w:t xml:space="preserve">符合相关规定的可不开设农民工工资专用账户，但应依法落实实名制管理等规定，按月考核农民工工作量并编制工资支付表，由农民工本人签字确认后，通过银行转账等方式足额发放至农民工本人工资卡，并留存相关材料备查</w:t>
      </w:r>
      <w:r>
        <w:rPr>
          <w:rFonts w:hint="eastAsia" w:ascii="宋体" w:hAnsi="宋体" w:eastAsia="宋体" w:cs="宋体"/>
          <w:sz w:val="24"/>
          <w:highlight w:val="none"/>
        </w:rPr>
        <w:t xml:space="preserve">。</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②开设、使用农民工工资专用账户有关资料应由承包人妥善保存备查。</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⑷关于维权信息公示</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承包人应在施工现场醒目位置设立维权信息告示牌，明示下列事项：</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①发包人、承包人及所在项目部、分包人、工程建设主管部门、劳资专管员等基本信息；</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②当地最低工资标准、工资支付日期等基本信息；</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③工程建设主管部门和劳动保障监察投诉举报电话、劳动争议调解仲裁申请渠道、法律援助申请渠道、公共法律服务热线等信息。</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⑸承包人应按时足额存储农民工工资保证金或者提交银行保函，具体要求见《江苏省工程建设领域农民工工资保证金管理办法》（苏人社规〔2022〕4号印发）。</w:t>
      </w: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4.2  履约保证金</w:t>
      </w:r>
      <w:r/>
    </w:p>
    <w:p>
      <w:pPr>
        <w:ind w:firstLine="480"/>
        <w:keepLines w:val="0"/>
        <w:keepNext w:val="0"/>
        <w:pageBreakBefore w:val="0"/>
        <w:spacing w:line="288" w:lineRule="auto"/>
        <w:shd w:val="clear" w:color="auto" w:fill="auto"/>
        <w:widowControl w:val="off"/>
        <w:rPr>
          <w:rFonts w:hint="eastAsia" w:ascii="宋体" w:hAnsi="宋体" w:cs="宋体"/>
          <w:sz w:val="24"/>
          <w:highlight w:val="none"/>
        </w:rPr>
      </w:pPr>
      <w:r>
        <w:rPr>
          <w:rFonts w:hint="eastAsia" w:ascii="宋体" w:hAnsi="宋体" w:eastAsia="宋体" w:cs="宋体"/>
          <w:sz w:val="24"/>
          <w:highlight w:val="none"/>
        </w:rPr>
        <w:t xml:space="preserve">本款细化为</w:t>
      </w:r>
      <w:r>
        <w:rPr>
          <w:rFonts w:hint="eastAsia" w:ascii="宋体" w:hAnsi="宋体" w:cs="宋体"/>
          <w:sz w:val="24"/>
          <w:highlight w:val="none"/>
          <w:lang w:eastAsia="zh-CN"/>
        </w:rPr>
        <w:t xml:space="preserve">：</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cs="宋体"/>
          <w:sz w:val="24"/>
          <w:highlight w:val="none"/>
          <w:lang w:val="en-US" w:eastAsia="zh-CN"/>
        </w:rPr>
        <w:t xml:space="preserve">4.1</w:t>
      </w:r>
      <w:r>
        <w:rPr>
          <w:rFonts w:hint="eastAsia" w:ascii="宋体" w:hAnsi="宋体" w:eastAsia="宋体" w:cs="宋体"/>
          <w:sz w:val="24"/>
          <w:highlight w:val="none"/>
        </w:rPr>
        <w:t xml:space="preserve">.1中标人交纳合同金额的10%，人民币（中标价的10%四舍五入取整数）元作为本合同的履约保证金。</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cs="宋体"/>
          <w:sz w:val="24"/>
          <w:highlight w:val="none"/>
          <w:lang w:val="en-US" w:eastAsia="zh-CN"/>
        </w:rPr>
        <w:t xml:space="preserve">4.1</w:t>
      </w: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2</w:t>
      </w:r>
      <w:r>
        <w:rPr>
          <w:rFonts w:hint="eastAsia" w:ascii="宋体" w:hAnsi="宋体" w:eastAsia="宋体" w:cs="宋体"/>
          <w:sz w:val="24"/>
          <w:highlight w:val="none"/>
        </w:rPr>
        <w:t xml:space="preserve">中标人提供的履约保证金可以是人民币形式（银行本票、汇票、支票、电汇），或银行保函、担保公司的保证担保或保险公司的保证保险等多种形式。</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cs="宋体"/>
          <w:sz w:val="24"/>
          <w:highlight w:val="none"/>
          <w:lang w:val="en-US" w:eastAsia="zh-CN"/>
        </w:rPr>
        <w:t xml:space="preserve">4.1</w:t>
      </w: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3</w:t>
      </w:r>
      <w:r>
        <w:rPr>
          <w:rFonts w:hint="eastAsia" w:ascii="宋体" w:hAnsi="宋体" w:eastAsia="宋体" w:cs="宋体"/>
          <w:sz w:val="24"/>
          <w:highlight w:val="none"/>
        </w:rPr>
        <w:t xml:space="preserve">中标人选取银行保函、担保公司的保证担保或保险公司的保证保险等形式的向采购人缴纳的，如保函（担保、保险等）的约定期到期但中标人履约仍未结束的，中标人须进行续保。</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cs="宋体"/>
          <w:sz w:val="24"/>
          <w:highlight w:val="none"/>
          <w:lang w:val="en-US" w:eastAsia="zh-CN"/>
        </w:rPr>
        <w:t xml:space="preserve">4.1</w:t>
      </w: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4</w:t>
      </w:r>
      <w:r>
        <w:rPr>
          <w:rFonts w:hint="eastAsia" w:ascii="宋体" w:hAnsi="宋体" w:eastAsia="宋体" w:cs="宋体"/>
          <w:sz w:val="24"/>
          <w:highlight w:val="none"/>
        </w:rPr>
        <w:t xml:space="preserve">中标人优先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cs="宋体"/>
          <w:sz w:val="24"/>
          <w:highlight w:val="none"/>
          <w:lang w:val="en-US" w:eastAsia="zh-CN"/>
        </w:rPr>
        <w:t xml:space="preserve">4.1</w:t>
      </w: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5</w:t>
      </w:r>
      <w:r>
        <w:rPr>
          <w:rFonts w:hint="eastAsia" w:ascii="宋体" w:hAnsi="宋体" w:eastAsia="宋体" w:cs="宋体"/>
          <w:sz w:val="24"/>
          <w:highlight w:val="none"/>
        </w:rPr>
        <w:t xml:space="preserve">如中标人未能履行合同规定的义务，采购人有权从履约保证金中取得补偿。</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cs="宋体"/>
          <w:sz w:val="24"/>
          <w:highlight w:val="none"/>
          <w:lang w:val="en-US" w:eastAsia="zh-CN"/>
        </w:rPr>
        <w:t xml:space="preserve">4.1</w:t>
      </w: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6</w:t>
      </w:r>
      <w:r>
        <w:rPr>
          <w:rFonts w:hint="eastAsia" w:ascii="宋体" w:hAnsi="宋体" w:eastAsia="宋体" w:cs="宋体"/>
          <w:sz w:val="24"/>
          <w:highlight w:val="none"/>
        </w:rPr>
        <w:t xml:space="preserve">履约保证金在合同约定期间内不予退还或者应完全有效，约定期间届满之日起 5个工作日内，采购人应将履约保证金退还中标人；逾期退还的，按中国人民银行同期贷款基利率上浮20%后的利率支付超期资金占用费，但因中标人自身原因导致无法及时退还的除外。</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cs="宋体"/>
          <w:sz w:val="24"/>
          <w:highlight w:val="none"/>
          <w:lang w:val="en-US" w:eastAsia="zh-CN"/>
        </w:rPr>
        <w:t xml:space="preserve">4.1</w:t>
      </w: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7</w:t>
      </w:r>
      <w:r>
        <w:rPr>
          <w:rFonts w:hint="eastAsia" w:ascii="宋体" w:hAnsi="宋体" w:eastAsia="宋体" w:cs="宋体"/>
          <w:sz w:val="24"/>
          <w:highlight w:val="none"/>
        </w:rPr>
        <w:t xml:space="preserve">履约保证金在合同约定期间内不予退还或者应完全有效，履约保证金在项目验收合格后无息退还给中标人。</w:t>
      </w: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4.3  分包</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bCs/>
          <w:sz w:val="24"/>
          <w:highlight w:val="none"/>
        </w:rPr>
        <w:t xml:space="preserve">本项目</w:t>
      </w:r>
      <w:r>
        <w:rPr>
          <w:rFonts w:hint="eastAsia" w:ascii="宋体" w:hAnsi="宋体" w:eastAsia="宋体" w:cs="宋体"/>
          <w:b/>
          <w:bCs/>
          <w:sz w:val="24"/>
          <w:highlight w:val="none"/>
        </w:rPr>
        <w:t xml:space="preserve">不允许违法分包</w:t>
      </w:r>
      <w:r>
        <w:rPr>
          <w:rFonts w:hint="eastAsia" w:ascii="宋体" w:hAnsi="宋体" w:eastAsia="宋体" w:cs="宋体"/>
          <w:sz w:val="24"/>
          <w:highlight w:val="none"/>
        </w:rPr>
        <w:t xml:space="preserve">，任何分包均应按照国家及江苏省有关分包管理的法律法规、行政规章执行。</w:t>
      </w: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4.5  承包人的项目经理</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增加以下条款：</w:t>
      </w:r>
      <w:r/>
    </w:p>
    <w:p>
      <w:pPr>
        <w:ind w:firstLine="482"/>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
          <w:bCs/>
          <w:sz w:val="24"/>
          <w:highlight w:val="none"/>
        </w:rPr>
        <w:t xml:space="preserve">4.5.5承包人在投标文件中承诺的拟投入本工程的项目经理、技术负责人目前应没有参加其他在建工程，或必须有目前在建工程的发包人书面撤离证明</w:t>
      </w:r>
      <w:r>
        <w:rPr>
          <w:rFonts w:hint="eastAsia" w:ascii="宋体" w:hAnsi="宋体" w:eastAsia="宋体" w:cs="宋体"/>
          <w:bCs/>
          <w:sz w:val="24"/>
          <w:highlight w:val="none"/>
        </w:rPr>
        <w:t xml:space="preserve">，以证明一旦投标人中标，该上述人员能立即撤出目前的在建工程，并能确保在发包人规定的时间进场，开展本工程。发包人将对项目经理、技术负责人实行考勤制度，必须保证每月至少有22天在施工现场。</w:t>
      </w: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4.5.6项目经理、项目总工（技术负责人）未经批准，擅自离开施工现场的违约责任：发包人代表随时检查项目经理、项目总工（技术负责人）的出勤情况，发现一次、每次超过24小时的由承包人支付1000元/天的违约金；一个月内发现三次或累计达72小时的，发包人有权单方解除合同或要求承包人更换项目经理，由此造成的一切损失由承包人承担。</w:t>
      </w:r>
      <w:r/>
    </w:p>
    <w:p>
      <w:pPr>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4.5.7未事先征得发包人同意，承包人不得擅自更换项目经理、项目总工（技术负责人），但发包人有权根据工程实施情况要求承包人更换项目经理、项目总工（技术负责人），对此，承包人不得拒绝。未事先征得发包人同意，承包人擅自更换项目经理、项目总工（技术负责人）必须交纳每人次10万元人民币（现金）的违约金，更换其他主要人员（安全员等）必须交纳每人次2万元人民币（现金）的违约金。</w:t>
      </w: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4.6  承包人人员的管理</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4.6.3增加补充：承包人在合同谈判时，除项目经理、</w:t>
      </w:r>
      <w:r>
        <w:rPr>
          <w:rFonts w:hint="eastAsia" w:ascii="宋体" w:hAnsi="宋体" w:eastAsia="宋体" w:cs="宋体"/>
          <w:bCs/>
          <w:sz w:val="24"/>
          <w:highlight w:val="none"/>
        </w:rPr>
        <w:t xml:space="preserve">项目总工（</w:t>
      </w:r>
      <w:r>
        <w:rPr>
          <w:rFonts w:hint="eastAsia" w:ascii="宋体" w:hAnsi="宋体" w:eastAsia="宋体" w:cs="宋体"/>
          <w:sz w:val="24"/>
          <w:highlight w:val="none"/>
        </w:rPr>
        <w:t xml:space="preserve">技术负责人</w:t>
      </w:r>
      <w:r>
        <w:rPr>
          <w:rFonts w:hint="eastAsia" w:ascii="宋体" w:hAnsi="宋体" w:eastAsia="宋体" w:cs="宋体"/>
          <w:bCs/>
          <w:sz w:val="24"/>
          <w:highlight w:val="none"/>
        </w:rPr>
        <w:t xml:space="preserve">）</w:t>
      </w:r>
      <w:r>
        <w:rPr>
          <w:rFonts w:hint="eastAsia" w:ascii="宋体" w:hAnsi="宋体" w:eastAsia="宋体" w:cs="宋体"/>
          <w:sz w:val="24"/>
          <w:highlight w:val="none"/>
        </w:rPr>
        <w:t xml:space="preserve">及专职安全员以外，除项目经理、项目总工（技术负责人）及专职安全员以外，技术负责人及专职安全员以外，仍需按照现行工程施工管理相关文件规定配备足额的管理人员，且不得随意更换。</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4,6.4增加以下条款：</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4.6.4.1 承包人的项目经理目前应没有参加其它在建工程，并能确保在发包人规定的时间内进场，开展本工程。中标后，在整个工程实施过程中，承包人成立项目经理部，派出投标文件中承诺的项目经理。</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4.6.4.1 承包人在签署了合同协议书之日后，投标文件所列的承包人人员必须在监理人指定的日期进场，以保证项目管理机构的有效运转。</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4.6.4.3 未经监理人批准，上述承包人人员不应无故不到位或被替换，若确定无法到位或需替换，需经监理人审核并报发包人批准，撤换后人员的水平不得低于原有的水平。</w:t>
      </w: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4.9  工程价款应专款专用</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增加以下条款：</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4.9.1 为本工程设立的安全、环保、文明施工措施费，必须专款专用，承包人不得挪作他用。</w:t>
      </w: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4.11 不利物质条件</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增加以下条款：</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4.11.3承包人遇到不可预见的不利物质条件时，应采取适应不利物质条件的合理措施继续施工，并及时通知监理人，合同价格及工期不予调整。</w:t>
      </w:r>
      <w:r/>
    </w:p>
    <w:p>
      <w:pPr>
        <w:ind w:firstLine="480"/>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sz w:val="24"/>
          <w:highlight w:val="none"/>
        </w:rPr>
        <w:t xml:space="preserve">4.11.3</w:t>
      </w:r>
      <w:r>
        <w:rPr>
          <w:rFonts w:hint="eastAsia" w:ascii="宋体" w:hAnsi="宋体" w:eastAsia="宋体" w:cs="宋体"/>
          <w:b/>
          <w:bCs/>
          <w:sz w:val="24"/>
          <w:highlight w:val="none"/>
        </w:rPr>
        <w:t xml:space="preserve">可预见的不利物质条件</w:t>
      </w: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(1)对于合同中已经明确指出的不利物质条件无论承包人是否有其经历和经验均视为承包人在接受合同时已预见其影响，并已在签约合同价中计入其影响而可能发生的一切费用。</w:t>
      </w: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(2)对于合同未明确指出，但是在不利物质条件发生之前，监理人已经指示承包人有可能发生，但承包人未能及时采取有效措施，而导致的损失和后果均由承包人承担。</w:t>
      </w: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(3)对于在没有监理人具体指令情况下，承包人已经及时采取了合理而恰当的措施，并事后为监理人接受，监理人应报发包人同意后适当考虑承包人因此增加的费用或工期。</w:t>
      </w: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5 材料和工程设备</w:t>
      </w: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5.1  承包人提供的材料和工程设备</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增加以下条款：</w:t>
      </w: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5.1.4 本工程的所有材料均由承包人自行采购。发包人为加强对工程质量的控制，将制定有关的材料管理办法，对用于本工程的大宗及主要材料，从材料供应的源头进行核准。发包人和监理人对上述材料的质量还将进行检查或抽查。</w:t>
      </w: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5.2  发包人提供的材料和工程设备</w:t>
      </w:r>
      <w:r/>
    </w:p>
    <w:p>
      <w:pPr>
        <w:ind w:firstLine="480"/>
        <w:keepLines w:val="0"/>
        <w:keepNext w:val="0"/>
        <w:pageBreakBefore w:val="0"/>
        <w:spacing w:line="288" w:lineRule="auto"/>
        <w:shd w:val="clear" w:color="auto" w:fill="auto"/>
        <w:widowControl w:val="off"/>
        <w:rPr>
          <w:rFonts w:hint="eastAsia" w:ascii="宋体" w:hAnsi="宋体" w:eastAsia="宋体" w:cs="宋体"/>
          <w:b/>
          <w:sz w:val="24"/>
          <w:highlight w:val="none"/>
          <w:u w:val="single"/>
        </w:rPr>
      </w:pPr>
      <w:r>
        <w:rPr>
          <w:rFonts w:hint="eastAsia" w:ascii="宋体" w:hAnsi="宋体" w:eastAsia="宋体" w:cs="宋体"/>
          <w:sz w:val="24"/>
          <w:highlight w:val="none"/>
        </w:rPr>
        <w:t xml:space="preserve">5.2.1 发包人提供的材料和工程设备：</w:t>
      </w:r>
      <w:r>
        <w:rPr>
          <w:rFonts w:hint="eastAsia" w:ascii="宋体" w:hAnsi="宋体" w:eastAsia="宋体" w:cs="宋体"/>
          <w:b/>
          <w:sz w:val="24"/>
          <w:highlight w:val="none"/>
          <w:u w:val="single"/>
        </w:rPr>
        <w:t xml:space="preserve">无。</w:t>
      </w: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5.3 材料和工程设备专用于合同工程</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5.3.1条款最后补充增加：否则将按第22.1款视为承包人违约。</w:t>
      </w: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b/>
          <w:bCs/>
          <w:sz w:val="24"/>
          <w:highlight w:val="none"/>
        </w:rPr>
        <w:t xml:space="preserve">6 施工设备和临时设施</w:t>
      </w: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6.1  承包人提供的施工设备和临时设施</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增加以下条款：</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6.1.3为实施和完成本标段及其缺陷的修复，承包人应按投标文件中所报的设备型号、规格、数量和时间向现场调遣或租用主要施工机械及材料试验、质检仪器设备，进入施工现场的承包人设备需经监理人核查后才能投入使用。承包人更换合同约定的承包人设备的，应报监理人批准。所有施工设备不得拖延、短缺或任意更换，否则将按第22.1款视为承包人违约。</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尽管承包人已按招标文件的要求提供了上述机械、设备和仪器，但当监理人认为仍不能满足现场施工的需要或不能保证工程安全和质量时，监理人有权要求承包人继续调遣或租用某些设备、仪器。承包人在接到指令后应立即执行，由此增加的费用和(或)工期延误由承包人承担。否则将按第22.1款视为承包人违约。</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6.1.4承包人修建临时设施和（或）需要临时占地的，应由承包人办理申请手续并承担相应费用，发包人可提供协助。</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6.1.4  实施程序</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⑴承包人应在合同签订后的 28 天内将有关临时工程与设施的布置、结构等施工图纸和相关资料提交监理人审查，有义务对监理人的疑问进行解答，并在必要时修改设计直至完全获得监理人的同意。</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⑵任何临时工程与设施的开工，均需经监理人书面同意。承包人应在计划的开工日期 7 天前向监理人书面提出相应临时工程与设施的开工申请。</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⑶临时工程与设施需经监理人验收同意后方可投入使用，但为此不应减轻承包人对其质量负责。</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6.1.5  协助与拆除</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⑴临时工程与设施开工前承包人应向当地政府有关部门（水利、港航监督、土地管理、公路等）提出申请，并应得到其书面批准。发包人和监理人应在获得批准方面给予帮助，不论效果怎样，均不能减轻承包人在合同范围内应负的责任。</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⑵在不影响工程施工的情况下，承包人有义务为现场的其它承包人对临时工程与设施的使用提供协助配合，并不因此增加额外的费用。</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⑶除非另有协议或监理人另有指示，永久工程完工后，承包人应撤走、拆除和处理全部临时工程与设施。并把由于建造时占用的区域整理好，但任何临时工程的撤除、拆除等必须事先取得监理人的同意，拆除的临时工程不得堆置在基坑周围以及可能影响施工的地方，应尽快运出工地，直至监理人满意。</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6.1.6  责任与义务</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⑴由于临时工程与设施未能及时交付使用或质量问题等而造成的工程延误或可能的费用增加应由承包人负责。</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⑵承包人应确保临时工程与设施在使用期间安全可靠，监理人对有关设计文件资料的批复不减轻承包人的任何责任。</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⑶所有用于临时工程与设施的材料、设备必须符合经监理人批准的设计资料的要求，特别对于反复使用的材料和设备须通过性能检测，经监理人验收同意方可进入现场使用。</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⑷承包人有义务对临时工程与设施在施工期的观测资料进行及时的分析、整理，并报送监理人。因承包人未能及时将有关异常的观测信息反馈给监理人而造成的延误和损失由承包人承担。</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⑸工程实施过程中，承包人应做好与交通、海事、航道、水利、渔政、自然资源、林业、航政、环保、公安、建设、城管等部门的沟通、协调工作。</w:t>
      </w: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6.2  发包人提供的施工设备和临时设施</w:t>
      </w:r>
      <w:r/>
    </w:p>
    <w:p>
      <w:pPr>
        <w:keepLines w:val="0"/>
        <w:keepNext w:val="0"/>
        <w:pageBreakBefore w:val="0"/>
        <w:spacing w:line="288" w:lineRule="auto"/>
        <w:shd w:val="clear" w:color="auto" w:fill="auto"/>
        <w:widowControl w:val="off"/>
        <w:rPr>
          <w:rFonts w:hint="eastAsia" w:ascii="宋体" w:hAnsi="宋体" w:eastAsia="宋体" w:cs="宋体"/>
          <w:sz w:val="24"/>
          <w:highlight w:val="none"/>
          <w:u w:val="single"/>
        </w:rPr>
      </w:pPr>
      <w:r>
        <w:rPr>
          <w:rFonts w:hint="eastAsia" w:ascii="宋体" w:hAnsi="宋体" w:eastAsia="宋体" w:cs="宋体"/>
          <w:sz w:val="24"/>
          <w:highlight w:val="none"/>
        </w:rPr>
        <w:t xml:space="preserve">     发包人在本合同施工中应提供的施工设备和临时设施：无。</w:t>
      </w: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7  交通运输</w:t>
      </w: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7.1  道路通行权和场外设施</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承包人应根据合同工程的施工需要，负责办理取得出入施工场地的专用和临时道路的通行权，以及取得为工程建设所需修建场外设施的权利，并承担有关费用。发包人应协助承包人办理上述手续。</w:t>
      </w: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b/>
          <w:bCs/>
          <w:sz w:val="24"/>
          <w:highlight w:val="none"/>
        </w:rPr>
        <w:t xml:space="preserve">7.4 超大件和超重件的运输</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u w:val="single"/>
        </w:rPr>
      </w:pPr>
      <w:r>
        <w:rPr>
          <w:rFonts w:hint="eastAsia" w:ascii="宋体" w:hAnsi="宋体" w:eastAsia="宋体" w:cs="宋体"/>
          <w:sz w:val="24"/>
          <w:highlight w:val="none"/>
        </w:rPr>
        <w:t xml:space="preserve">7.4.1 超大、超宽、超重物件的运输：</w:t>
      </w:r>
      <w:r>
        <w:rPr>
          <w:rFonts w:hint="eastAsia" w:ascii="宋体" w:hAnsi="宋体" w:eastAsia="宋体" w:cs="宋体"/>
          <w:sz w:val="24"/>
          <w:highlight w:val="none"/>
          <w:u w:val="single"/>
        </w:rPr>
        <w:t xml:space="preserve">应由承包人负责向交通管理部门办理申请手续，发包人给予协助。</w:t>
      </w: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8  测量放线</w:t>
      </w: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b/>
          <w:bCs/>
          <w:sz w:val="24"/>
          <w:highlight w:val="none"/>
        </w:rPr>
        <w:t xml:space="preserve">8.1  施工控制网</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增加以下条款：</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8.1.3发包人在计划开工日期 14 天前，通过监理人向承包人提供原始控制网(基准点、基准高程等)书面资料，并现场向承包人交桩，做好交桩记录，交桩记录必须经监理人、承包人双方签字确认。承包人应根据施工需要进行必要的复测和加密，各标段衔接处的测量应在监理人的统一协调下进行，将测量结果协调统一在允许的误差范围内。监理人还负责对承包人对控制网的复测、加密、施工定线和放样进行检查验收。承包人应：</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⑴根据监理人书面移交的控制网数据，负责对原始控制网数据的复测，根据工程施工放样的需要对控制网进行加密；</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⑵根据本标段的测量控制需要，对已完相邻工程进行必要的复测，向监理人提出复测报告，其费用由承包人承担；</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⑶在合同工程的整个施工期间，承包人必须对原始控制点及加密点的保护工作，对因自身原因造成原始控制点的破坏根据相关法律法规承担相应责任，对加密点进行免费修复，且不得因此向发包人索取可能延长的工期和可能增加的费用；由于控制点的破坏，造成工程不符合要求，由此引起的修复费用由承包人承担；</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⑷根据监理人书面移交的控制网数据，由承包人自行布置测量控制网，满足施工及相关规范要求；承包人应根据国家测绘基准、测绘系统和工程测量技术规范，按上述基准点(线)以及合同工程精度要求，测设施工控制网，并在开工之日 28 天内，将施工控制网资料报送监理人审批。承包人应对本工程进行准确的放样，并对本工程各部分的平面位置、标高、几何尺寸及其线形的正确性负责；</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⑸承包人应负责管理施工控制网点。施工控制网点丢失或损坏的，承包人应及时修复。承包人应承担施工控制网点的管理与修复费用，并在工程完成后将施工控制网点移交发包人。</w:t>
      </w: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8.2  施工测量</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增加以下条款：</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8.2.3承包人负责提供与放样工作有关的劳务、机具及仪器设备。应经常对使用的测量仪器进行定期检查与校正，填写检查证书报监理人核查。在本标段施工过程中，如果工程任何部分的位置、标高、尺寸或线形出现超出合同规定的误差，一经发现，承包人应自费纠正，直到监理人认为符合合同规定为止。</w:t>
      </w: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8.2.4　施工期间观测与检查</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8.2.4.1 承包人应在开工前 14 天内提交上述所有监测项目的实施计划、措施及可能发生异常情况的处理方案，经监理人批准后在施工中执行。</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8.2.4.2 各观测项目观测点的布置、观测频度等应在提交的实施计划中明确，并随工程进展，观测数据的变化及监理人的要求适当调整观测点数和观测频度，确保观测资料的客观全面。</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8.2.4.3 各观测项目应随着工程进度而及时开展，观测应定期进行，数据资料应详实可靠。</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8.2.4.4 因承包人未能及时反馈有关异常信息，未果断采取必要的防范、加固措施或未按监理人的指令采取补救措施而造成的一切损失由承包人承担。</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8.2.4.5 所有用于本工程监测的仪器设备必须预先经过校正率定，并获得监理人的验收认可。</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8.2.4.6 承包人应及时对观测所得数据和结果进行分析整理并上报监理人，在发现数据异常时应及时采取有效的控制措施，防止形成灾害或灾害扩大。同时尽快向监理人汇报，会同有关各方分析原因，商讨进一步的维护补救措施。</w:t>
      </w: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9  施工安全、治安保卫和环境保护</w:t>
      </w: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9.1  发包人的施工安全责任</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9.1.3项补充增加：⑶如果承包人或其雇员也对上述人身伤亡或财产损失负有部分责任时，承包人也应承担相应赔偿责任。</w:t>
      </w:r>
      <w:r/>
    </w:p>
    <w:p>
      <w:pPr>
        <w:ind w:firstLine="482"/>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
          <w:bCs/>
          <w:sz w:val="24"/>
          <w:highlight w:val="none"/>
        </w:rPr>
        <w:t xml:space="preserve">增加以下条款：</w:t>
      </w: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9.1.4 宣传、贯彻、执行有关安全生产的法律、法规，按照法定权限制定本工程安全生产管理细则；</w:t>
      </w: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9.1.5 依法对本工程各从业单位安全生产条件实施监督管理，组织对施工、监理、试验、检测单位的考核工作；</w:t>
      </w: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9.1.6 建立工程安全生产应急管理机制，制定重大安全生产事故应急预案；</w:t>
      </w: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9.1.7 建立本工程各从业单位安全生产信用档案，作为交通行业信用体系建设的一部分，对从业单位和人员实施安全生产动态管理；</w:t>
      </w: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9.1.8 会同驻项目纪检受理工程安全生产方面的举报和投诉，依法对工程安全生产实施监督检查，并提出相应的处罚；</w:t>
      </w: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9.1.9 会同驻项目纪检依法组织、调查处理安全生产问题，对本工程安全生产问题进行统计分析，发布工程安全生产动态信息。负责向上级有关部门报送事故信息报告，配合和接受有关部门对安全生产事故的调查和处理；</w:t>
      </w: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9.1.10 开展本工程安全生产经验交流，促进安全生产知识水平的提高；</w:t>
      </w: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9.1.11 每季度召开一次安全工作联席会议（可视情况与相关会议合并召开），听取各单位安全工作汇报和建议，分析、研究解决安全工作有关问题，检查督促落实整改情况，决定安全工作有关奖惩事项。会议由专人记录，并签发会议纪要。如有特殊需要可临时召开相关安全工作会议；</w:t>
      </w: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9.1.12 全面推行“工具化、定型化、标准化”安全防护，各分部分项工程实现安全标准化管理；</w:t>
      </w: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9.1.13 法律、法规规定的其他职责。</w:t>
      </w: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b/>
          <w:bCs/>
          <w:sz w:val="24"/>
          <w:highlight w:val="none"/>
        </w:rPr>
        <w:t xml:space="preserve">9.2  承包人的施工安全责任</w:t>
      </w: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增加以下条款：</w:t>
      </w:r>
      <w:r/>
    </w:p>
    <w:p>
      <w:pPr>
        <w:ind w:firstLine="482"/>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b/>
          <w:sz w:val="24"/>
          <w:highlight w:val="none"/>
        </w:rPr>
        <w:t xml:space="preserve">9.2.8</w:t>
      </w:r>
      <w:r>
        <w:rPr>
          <w:rFonts w:hint="eastAsia" w:ascii="宋体" w:hAnsi="宋体" w:eastAsia="宋体" w:cs="宋体"/>
          <w:sz w:val="24"/>
          <w:highlight w:val="none"/>
        </w:rPr>
        <w:t xml:space="preserve">承包人应按合同约定履行安全职责，严格执行国家、地方政府有关施工安全管理方面的法律、法规及规章制度，同时严格执行发包人制订的本标段安全生产管理方面的规章制度、安全检查程序及施工安全管理要求，以及监理人有关安全工作的指示。</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承包人应根据本工</w:t>
      </w:r>
      <w:r>
        <w:rPr>
          <w:rFonts w:hint="eastAsia" w:ascii="宋体" w:hAnsi="宋体" w:eastAsia="宋体" w:cs="宋体"/>
          <w:sz w:val="24"/>
          <w:highlight w:val="none"/>
        </w:rPr>
        <w:t xml:space="preserve">程的实际安全施工要求，编制本工程的实施性施工安全组织设计，报监理人和发包人批准。该施组包括(但不限于)施工安全保障体系，安全生产责任制，安全生产管理规章制度，安全防护施工方案，施工现场临时用电方案，施工安全评估，安全预控及保证措施方案、工地出入管理制度、环境卫生制度、防火制度，紧急应变措施，安全标识、警示和围护方案、周围及邻近环境保护规则等。对影响安全的重要工序和下列危险性较大的工程应编制专项施工方案，并附安全验算结果，经承包人技术负责人签字并报监理人和发包人批准后实施，由专职安全生产管理人员进行现场监督。</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对承包人按此采取的安全保护措施,发包人和监理人有权监督,并向承包人提出整改要求,对此承包人应遵照执行,并承担可能发生的一切费用。</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监理人和发包人在检查中发现有安全问题或有违反安全管理规章制度的情况时，可视其情节轻重，分别给予承包人通报批评、警告、责令停工等处罚。</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9.2.9  承包人应对施工船舶、机械、设备、仪器等进行定期检查，消除隐患，并取得有关部门的检验许可证明。</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9.2.10 承包人应按有关要求，设置施工水域的警示标志和施工船舶夜间警示标志。</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9.2.11 承包人应对施工现场的供电、消防、基坑开挖、水下作业、爆破、不良工程地质以及施工通航等制定专项的措施及应急预案，并报监理人审查同意。发包人或监理人的认可不能免除承包人所应承担的责任。</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9.2.12  承包人应调查了解施工地点的水文、地质、气象及海潮等情况，负责本标段的防潮和防汛的工作。为执行本款要求而发生的费用均应认为已计入承包人的报价之中，发包人将不另行支付。凡因承包人采取措施不力而造成本标段的一切损失、工期拖延及施工费用的增加等均由承包人自行负责。</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9.2.13  为了保护本标段免遭损坏，或为了现场附近和过往群众的安全与方便，在确有必要的时候和地方，或当监理人或有关主管部门要求时，承包人应自费提供照明、警卫、护栅、警告标志等安全防护设施。</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9.2.14 承包人应与地方航政等相关主管部门取得联系，设置必要的导航标志，及时发布航行通告，确保施工水域安全。</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9.2.15  在整个施工过程中对承包人采取的施工安全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9.2.16  承包人应遵守《中华人民共和国安全生产法》及有关指导安全、健康与环保卫生方面的法规和规范，并应提供相应的安全设施和保护器材及采取其他有效安全措施，以保护现场施工和监理人员的生命、健康及安全，改善作业环境。</w:t>
      </w: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9.4  环境保护</w:t>
      </w: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增加以下条款：</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9.4.7承包人应严格执行国家有关水域环境生态保护的规定，合理选择施工船机和施工工艺，采取有效措施，减少施工对周边水域的影响。</w:t>
      </w: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9.4.8 在施工期间，承包人必须对已有工程设施无条件予以保护，不得因施工造成对已有工程的污染、破坏和损害，若发生污染、破坏和损害，一切责任（包括费用）均由承包人承担。</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bCs/>
          <w:sz w:val="24"/>
          <w:highlight w:val="none"/>
        </w:rPr>
        <w:t xml:space="preserve">9.4.9 </w:t>
      </w:r>
      <w:r>
        <w:rPr>
          <w:rFonts w:hint="eastAsia" w:ascii="宋体" w:hAnsi="宋体" w:eastAsia="宋体" w:cs="宋体"/>
          <w:sz w:val="24"/>
          <w:highlight w:val="none"/>
        </w:rPr>
        <w:t xml:space="preserve">工程实施期间，承包人应做到文明施工，避免与地方群众发生纠纷，树立良好的企业形象，有关的标牌、标语等的设立应在确定设计方案报监理工程师批准后执行。</w:t>
      </w: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9.4.10 在施工期间，承包人必须</w:t>
      </w:r>
      <w:r>
        <w:rPr>
          <w:rFonts w:hint="eastAsia" w:ascii="宋体" w:hAnsi="宋体" w:eastAsia="宋体" w:cs="宋体"/>
          <w:sz w:val="24"/>
          <w:highlight w:val="none"/>
        </w:rPr>
        <w:t xml:space="preserve">遵守国家或地方政府及有关部门对施工场地交通、施工噪音、环境保护和安全生产等管理规定，妥善保护好施工现场周围建筑物、设备管线、文物、古树名木不受损坏，并承担责任。</w:t>
      </w:r>
      <w:r>
        <w:rPr>
          <w:rFonts w:hint="eastAsia" w:ascii="宋体" w:hAnsi="宋体" w:eastAsia="宋体" w:cs="宋体"/>
          <w:bCs/>
          <w:sz w:val="24"/>
          <w:highlight w:val="none"/>
        </w:rPr>
        <w:t xml:space="preserve">施工中未经发包人同意或有关部门批准，不得随意拆改原建筑物结构及各种设备、管线。</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bCs/>
          <w:sz w:val="24"/>
          <w:highlight w:val="none"/>
        </w:rPr>
        <w:t xml:space="preserve">9.4.11 在施工期间，承包人必须</w:t>
      </w:r>
      <w:r>
        <w:rPr>
          <w:rFonts w:hint="eastAsia" w:ascii="宋体" w:hAnsi="宋体" w:eastAsia="宋体" w:cs="宋体"/>
          <w:sz w:val="24"/>
          <w:highlight w:val="none"/>
        </w:rPr>
        <w:t xml:space="preserve">对施工场地进行清理、架空各种线路和处理地下障碍等工作，使施工场地具备施工条件，并在开工后继续负责解决以上事项遗留问题；</w:t>
      </w:r>
      <w:r>
        <w:rPr>
          <w:rFonts w:hint="eastAsia" w:ascii="宋体" w:hAnsi="宋体" w:eastAsia="宋体" w:cs="宋体"/>
          <w:bCs/>
          <w:sz w:val="24"/>
          <w:highlight w:val="none"/>
        </w:rPr>
        <w:t xml:space="preserve">做好施工现场垃圾清除等工作，施工垃圾必须运出施工现场，并不得污染环境，保证施工现场清洁达到业主、监理工程师满意程度，处理好由于施工带来的扰民问题及与周围单位(住户)的关系，涉及的相关费用施工单位自行承担，不单独计量。</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bCs/>
          <w:sz w:val="24"/>
          <w:highlight w:val="none"/>
        </w:rPr>
        <w:t xml:space="preserve">9.4.12 </w:t>
      </w:r>
      <w:r>
        <w:rPr>
          <w:rFonts w:hint="eastAsia" w:ascii="宋体" w:hAnsi="宋体" w:eastAsia="宋体" w:cs="宋体"/>
          <w:b/>
          <w:sz w:val="24"/>
          <w:highlight w:val="none"/>
        </w:rPr>
        <w:t xml:space="preserve">承包人在施工过程中应严格遵守《中华人民共和国大气污染防治法》、《江苏省大气污染防治条例》、</w:t>
      </w:r>
      <w:r>
        <w:rPr>
          <w:rFonts w:hint="eastAsia" w:ascii="宋体" w:hAnsi="宋体" w:eastAsia="宋体" w:cs="宋体"/>
          <w:b/>
          <w:bCs/>
          <w:sz w:val="24"/>
          <w:highlight w:val="none"/>
        </w:rPr>
        <w:t xml:space="preserve">《江苏省公路水运工程工地扬尘污染防治行动方案》、《江苏省公路水运工程施工扬尘污染防治指导手册》</w:t>
      </w:r>
      <w:r>
        <w:rPr>
          <w:rFonts w:hint="eastAsia" w:ascii="宋体" w:hAnsi="宋体" w:eastAsia="宋体" w:cs="宋体"/>
          <w:b/>
          <w:sz w:val="24"/>
          <w:highlight w:val="none"/>
        </w:rPr>
        <w:t xml:space="preserve">等相关规定，按照招标文件及发包人要求，在合同实施过程中制定扬尘污染防治实施方案并切实有效的开展相关工作，所需费用含在承包人所报的单价或总额价内，发包人不再单独计列。</w:t>
      </w: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10  进度计划</w:t>
      </w: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b/>
          <w:bCs/>
          <w:sz w:val="24"/>
          <w:highlight w:val="none"/>
        </w:rPr>
        <w:t xml:space="preserve">10.1  合同进度计划</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10.1.1  承包人应在计划开工日期7天前，向发包人和监理人报送施工组织设计；监理人应在7天内批复或提出修改意见，否则视为得到批准。</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监理人提出修改意见后，承包人应认真修改后及时重新上报，直至监理人同意后生效。工程进度计划应按照关键线路网络图和主要工作横道图两种形式分别编绘，并应包括每月预计完成的工作量和形象进度。</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10.1.2  承包人应在每月末</w:t>
      </w:r>
      <w:r>
        <w:rPr>
          <w:rFonts w:hint="eastAsia" w:ascii="宋体" w:hAnsi="宋体" w:eastAsia="宋体" w:cs="宋体"/>
          <w:sz w:val="24"/>
          <w:highlight w:val="none"/>
          <w:u w:val="single"/>
        </w:rPr>
        <w:t xml:space="preserve"> 25 </w:t>
      </w:r>
      <w:r>
        <w:rPr>
          <w:rFonts w:hint="eastAsia" w:ascii="宋体" w:hAnsi="宋体" w:eastAsia="宋体" w:cs="宋体"/>
          <w:sz w:val="24"/>
          <w:highlight w:val="none"/>
        </w:rPr>
        <w:t xml:space="preserve">日前，向监理人报送下月计划一式</w:t>
      </w:r>
      <w:r>
        <w:rPr>
          <w:rFonts w:hint="eastAsia" w:ascii="宋体" w:hAnsi="宋体" w:eastAsia="宋体" w:cs="宋体"/>
          <w:sz w:val="24"/>
          <w:highlight w:val="none"/>
          <w:u w:val="single"/>
        </w:rPr>
        <w:t xml:space="preserve"> 4 </w:t>
      </w:r>
      <w:r>
        <w:rPr>
          <w:rFonts w:hint="eastAsia" w:ascii="宋体" w:hAnsi="宋体" w:eastAsia="宋体" w:cs="宋体"/>
          <w:sz w:val="24"/>
          <w:highlight w:val="none"/>
        </w:rPr>
        <w:t xml:space="preserve">份。如果承包人未能按上述的关键控制工期要求完成，发包人将按11.5款规定执行。</w:t>
      </w: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10.2  合同进度计划的修订</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10.2.1  承包人应在48小时前向监理人提交修订合同进度计划的申请报告；监理人应在48小时内对承包人提交的申请报告批复，否则视为得到批准。</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10.2.2  对非承包人自身原因每月累计停水或停电不超过48小时的情况，施工组织设计中应有相应的保证措施。承包人不得因此顺延工期。</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10.2.3 承包人应在确保合同工期的前提下，监理人可要求承包人每一个月提交一次工程进度修订计划，以确保工程在预定工期内竣工。在这种情况下，承包人应在接到监理人指令后的根据要求将修订后的进度计划提交给监理人。修改后的工程进度计划，仍应保证本标段在合同规定的工期内完成。</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10.2.4 在合同总工期未变的前提下，发包人或监理人根据工程实际情况或他认为有必要的任何其它理由而对工程分阶段所进行的进度计划调整，承包人应无条件地服从，合同价格不予调整。</w:t>
      </w: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11  开工和竣工</w:t>
      </w: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b/>
          <w:bCs/>
          <w:sz w:val="24"/>
          <w:highlight w:val="none"/>
        </w:rPr>
        <w:t xml:space="preserve">11.1  开工</w:t>
      </w: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增加以下条款：</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11.1.3 分项工程的开工应事先得到监理人的书面同意，承包人应提前48小时将申请开工的书面通知报送监理人，监理人应在收到通知48小时内予以书面答复，否则视为同意。</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11.1.4 承包人不能按期开工时，应在接到开工令24小时内向监理人提出延期开工申请报告，监理人应在接到报告24小时内作出答复。若监理人在24小时内同意或未予以答复，工期相应顺延；若监理人不同意延期要求，则工期不予顺延。</w:t>
      </w: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11.2  竣工</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u w:val="single"/>
        </w:rPr>
      </w:pPr>
      <w:r>
        <w:rPr>
          <w:rFonts w:hint="eastAsia" w:ascii="宋体" w:hAnsi="宋体" w:eastAsia="宋体" w:cs="宋体"/>
          <w:sz w:val="24"/>
          <w:highlight w:val="none"/>
        </w:rPr>
        <w:t xml:space="preserve">11.2.1 重要节点工期：</w:t>
      </w:r>
      <w:r>
        <w:rPr>
          <w:rFonts w:hint="eastAsia" w:ascii="宋体" w:hAnsi="宋体" w:eastAsia="宋体" w:cs="宋体"/>
          <w:sz w:val="24"/>
          <w:highlight w:val="none"/>
          <w:u w:val="single"/>
        </w:rPr>
        <w:t xml:space="preserve">按照监理审批的工程进度计划进行施工。</w:t>
      </w: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11.2.2 工程竣工验收后，若在缺陷责任期内出现质量问题，所发生的维修费用从相关责任单位的经费（含发包人拨付的其他方面经费）中扣除（无论成本是否超出质保金范围），出现重大质量问题或有重大违法乱纪行为的，按照质量管理办法和有关法律法规规定移交司法机关予以处罚。</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bCs/>
          <w:sz w:val="24"/>
          <w:highlight w:val="none"/>
        </w:rPr>
        <w:t xml:space="preserve">11.2.3 承包人未按要求提交竣工资料时，发包人有权在支付中扣除合同结算价的</w:t>
      </w:r>
      <w:r>
        <w:rPr>
          <w:rFonts w:hint="eastAsia" w:ascii="宋体" w:hAnsi="宋体" w:cs="宋体"/>
          <w:bCs/>
          <w:sz w:val="24"/>
          <w:highlight w:val="none"/>
          <w:lang w:val="en-US" w:eastAsia="zh-CN"/>
        </w:rPr>
        <w:t xml:space="preserve">2</w:t>
      </w:r>
      <w:r>
        <w:rPr>
          <w:rFonts w:hint="eastAsia" w:ascii="宋体" w:hAnsi="宋体" w:eastAsia="宋体" w:cs="宋体"/>
          <w:bCs/>
          <w:sz w:val="24"/>
          <w:highlight w:val="none"/>
        </w:rPr>
        <w:t xml:space="preserve">%。</w:t>
      </w: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11.4  异常恶劣的气候条件</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11.4.1  异常恶劣的气候条件是指水运工程水域施工作业难以正常进行或须采取其他补救措施才能进行的气候条件。一般是指：</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⑴持续高温：连续三日日最高气温38度以上；</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⑵持续低温：连续三日日最低气温-20度以下；</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⑶大风天气：施工水域日风力在6级以上且持续时间不少于4小时，或阵风大于8级；</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⑷暴雨天气：日降雨量50mm及以上，或降雨强度大于20mm/h；</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⑸暴雪天气：日降雪量10mm及以上；</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⑹流速或波浪：内河3.5米/秒及以上流速，海上2米及以上的大浪和强浪；</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⑺水淹：施工场地大部分或全部被潮水、洪水或雨水淹没超过1天；</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⑻大雾：定点施工船舶能见度小于50米的雾天超过1天；运动船舶按有关规定。</w:t>
      </w: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11.5  承包人的工期延误</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⑴承包人应严格执行监理人批准的合同进度计划，对工作量计划和形象进度计划分别控制。除11.3款规定外，承包人的实际工程进度曲线应在合同进度管理曲线规定的安全区域之内。若承包人的实际工程进度曲线处在合同进度管理曲线规定的安全区域的下限之外时，则监理人有权认为本标段的进度过慢，并通知承包人应采取必要措施，以便加快工程进度，确保工程能在预定的工期内竣工。承包人应采取措施加快进度，并承担加快进度所增加的费用。</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⑵如果承包人在接到监理人通知后的14天内，未能采取加快工程进度的措施，致使实际工程进度进一步滞后，或承包人虽采取了一些措施，仍无法按预计工期竣工时，监理人应立即通知发包人。发包人在向承包人发出书面警告通知14天后，发包人可按22.1款终止对承包人的雇用，也可将本标段中的一部分工作交由其他承包人或特殊分包人完成。在不解除本合同规定的承包人责任和义务的同时，承包人应承担因此所增加的一切费用。</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⑶由于承包人原因造成工期延误，承包人应支付逾期竣工违约金。发包人将对承包人处以</w:t>
      </w:r>
      <w:r>
        <w:rPr>
          <w:rFonts w:hint="eastAsia" w:ascii="宋体" w:hAnsi="宋体" w:cs="宋体"/>
          <w:sz w:val="24"/>
          <w:highlight w:val="none"/>
          <w:lang w:val="en-US" w:eastAsia="zh-CN"/>
        </w:rPr>
        <w:t xml:space="preserve">2000</w:t>
      </w:r>
      <w:r>
        <w:rPr>
          <w:rFonts w:hint="eastAsia" w:ascii="宋体" w:hAnsi="宋体" w:eastAsia="宋体" w:cs="宋体"/>
          <w:sz w:val="24"/>
          <w:highlight w:val="none"/>
        </w:rPr>
        <w:t xml:space="preserve">元/天的逾期竣工违约金，逾期竣工违约金限额为签约合同价格的</w:t>
      </w:r>
      <w:r>
        <w:rPr>
          <w:rFonts w:hint="eastAsia" w:ascii="宋体" w:hAnsi="宋体" w:cs="宋体"/>
          <w:sz w:val="24"/>
          <w:highlight w:val="none"/>
          <w:lang w:val="en-US" w:eastAsia="zh-CN"/>
        </w:rPr>
        <w:t xml:space="preserve">10</w:t>
      </w:r>
      <w:r>
        <w:rPr>
          <w:rFonts w:hint="eastAsia" w:ascii="宋体" w:hAnsi="宋体" w:eastAsia="宋体" w:cs="宋体"/>
          <w:sz w:val="24"/>
          <w:highlight w:val="none"/>
        </w:rPr>
        <w:t xml:space="preserve">％。时间自预定的竣工日期起到工程接收证书中写明的实际竣工日期止(扣除已批准的延长工期)，按天计算。发包人可以从应付或到期应付给承包人的任何款项中或采用其他方法扣除此违约金。</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⑷承包人支付逾期竣工违约金，不免除承包人完成工程及修补缺陷的义务。</w:t>
      </w:r>
      <w:r/>
    </w:p>
    <w:p>
      <w:pPr>
        <w:ind w:firstLine="480"/>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sz w:val="24"/>
          <w:highlight w:val="none"/>
        </w:rPr>
        <w:t xml:space="preserve">⑸如果在合同工程完成之前，已对合同工程内按时完成的单位工程签发了工程接收证书，则合同工程的逾期竣工违约金，应按已签发工程接收证书的单位工程的价值占合同工程价值的比例予以减少，但本规定不应影响逾期竣工违约金的规定限额 。</w:t>
      </w: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11.6  工期提前</w:t>
      </w: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本款不适用。</w:t>
      </w: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12  暂停施工</w:t>
      </w: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12.1  承包人暂停施工的责任</w:t>
      </w:r>
      <w:r/>
    </w:p>
    <w:p>
      <w:pPr>
        <w:ind w:firstLine="482"/>
        <w:keepLines w:val="0"/>
        <w:keepNext w:val="0"/>
        <w:pageBreakBefore w:val="0"/>
        <w:spacing w:line="288" w:lineRule="auto"/>
        <w:shd w:val="clear" w:color="auto" w:fill="auto"/>
        <w:widowControl w:val="off"/>
        <w:tabs>
          <w:tab w:val="left" w:pos="720" w:leader="none"/>
        </w:tabs>
        <w:rPr>
          <w:rFonts w:hint="eastAsia" w:ascii="宋体" w:hAnsi="宋体" w:eastAsia="宋体" w:cs="宋体"/>
          <w:sz w:val="24"/>
          <w:highlight w:val="none"/>
        </w:rPr>
      </w:pPr>
      <w:r>
        <w:rPr>
          <w:rFonts w:hint="eastAsia" w:ascii="宋体" w:hAnsi="宋体" w:eastAsia="宋体" w:cs="宋体"/>
          <w:b/>
          <w:bCs/>
          <w:sz w:val="24"/>
          <w:highlight w:val="none"/>
        </w:rPr>
        <w:t xml:space="preserve">按照通用合同条款条款执行，专用条款不另行约定。</w:t>
      </w:r>
      <w:r/>
    </w:p>
    <w:p>
      <w:pPr>
        <w:keepLines w:val="0"/>
        <w:keepNext w:val="0"/>
        <w:pageBreakBefore w:val="0"/>
        <w:spacing w:line="288" w:lineRule="auto"/>
        <w:shd w:val="clear" w:color="auto" w:fill="auto"/>
        <w:widowControl w:val="off"/>
        <w:tabs>
          <w:tab w:val="left" w:pos="720" w:leader="none"/>
        </w:tabs>
        <w:rPr>
          <w:rFonts w:hint="eastAsia" w:ascii="宋体" w:hAnsi="宋体" w:eastAsia="宋体" w:cs="宋体"/>
          <w:b/>
          <w:bCs/>
          <w:sz w:val="24"/>
          <w:highlight w:val="none"/>
        </w:rPr>
      </w:pPr>
      <w:r>
        <w:rPr>
          <w:rFonts w:hint="eastAsia" w:ascii="宋体" w:hAnsi="宋体" w:eastAsia="宋体" w:cs="宋体"/>
          <w:b/>
          <w:bCs/>
          <w:sz w:val="24"/>
          <w:highlight w:val="none"/>
        </w:rPr>
        <w:t xml:space="preserve">13  工程质量</w:t>
      </w: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b/>
          <w:bCs/>
          <w:sz w:val="24"/>
          <w:highlight w:val="none"/>
        </w:rPr>
        <w:t xml:space="preserve">13.1  工程质量要求</w:t>
      </w: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增加以下条款：</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13.1.4 质量标准：合格。</w:t>
      </w: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13.1.5 质量目标</w:t>
      </w: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本工程质量目标：标段工程竣工验收的质量评定：合格。</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bCs/>
          <w:sz w:val="24"/>
          <w:highlight w:val="none"/>
        </w:rPr>
        <w:t xml:space="preserve">13.1.6 发包人是按照江苏省交通运输行业的规定和</w:t>
      </w:r>
      <w:r>
        <w:rPr>
          <w:rFonts w:hint="eastAsia" w:ascii="宋体" w:hAnsi="宋体" w:eastAsia="宋体" w:cs="宋体"/>
          <w:sz w:val="24"/>
          <w:highlight w:val="none"/>
        </w:rPr>
        <w:t xml:space="preserve">江苏省交通运输综合行政执法监督局</w:t>
      </w:r>
      <w:r>
        <w:rPr>
          <w:rFonts w:hint="eastAsia" w:ascii="宋体" w:hAnsi="宋体" w:eastAsia="宋体" w:cs="宋体"/>
          <w:bCs/>
          <w:sz w:val="24"/>
          <w:highlight w:val="none"/>
        </w:rPr>
        <w:t xml:space="preserve">的考核要求，对本工程项目进行管理和考核。发包人将该工程项目实施情况反映到履约考核中。</w:t>
      </w: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13.2  承包人的质量管理</w:t>
      </w: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增加以下条款：</w:t>
      </w: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13.2.3  承包人提交工程质量保证措施文件的期限：签订合同议书后28天之内。</w:t>
      </w: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13.2.4 建立质量责任制。分项施工的现场应实行标示牌管理，写明作业内容和质量要求，要认真执行三检制度，即：自检、互检、工序交接检验制度，要根据合同的规定切实作好隐蔽工程的检查工作。</w:t>
      </w: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13.2.5分项工程开工前必须按合同要求执行先试验再铺开的程序。</w:t>
      </w: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13.2.6 要建立质量奖罚制度，对质量事故要严肃处理，坚持三不放过：事故原因不明不放过，不分清责任不放过，没有改进措施不放过。</w:t>
      </w: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13.3  承包人的质量检查</w:t>
      </w: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13.3.1 必须完备检验手段，要根据技术标准和要求的规定配齐检测和试验仪器、仪表，并应及时校正确保其精度，要加强标准计量基础工作和材料检验工作，不得违规计量，不合格材料严禁用于本工程。</w:t>
      </w: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13.3.2 要加强质量监控，确保规范规定的检验、抽检频率，现场质检的原始资料必须真实、准确、可靠，不得追记，接受质量检查时必须出示原始资料。监理人有指令时，重要的隐蔽工程覆盖前应进行摄像或照相并保存现场记录。</w:t>
      </w: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13.5  工程隐蔽部位覆盖前的检查</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13.5.1 通知监理人检查</w:t>
      </w: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增加以下条款：</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13.5.1.1 承包人在自检合格后，填写隐蔽工程验收申请单，在覆盖前48小时，通知监理人进行验收；监理人在接到通知48小时内进行验收。经监理人验收合格并在验收记录上签认后，承包人可进行覆盖和继续施工，若验收不合格，承包人应按监理人的要求整改并重新申请验收。</w:t>
      </w: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14  试验和检验</w:t>
      </w: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b/>
          <w:bCs/>
          <w:sz w:val="24"/>
          <w:highlight w:val="none"/>
        </w:rPr>
        <w:t xml:space="preserve">14.1  材料、工程设备和工程的试验和检验</w:t>
      </w: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增加以下条款：</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14.1.4 材料、构件、配件和工程设备订货前，承包人应向监理人提供生产厂家的生产许可证和相应资质证明文件等材料，对新材料、新产品还应提供鉴定证明和有关确认文件。</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u w:val="single"/>
        </w:rPr>
      </w:pPr>
      <w:r>
        <w:rPr>
          <w:rFonts w:hint="eastAsia" w:ascii="宋体" w:hAnsi="宋体" w:eastAsia="宋体" w:cs="宋体"/>
          <w:sz w:val="24"/>
          <w:highlight w:val="none"/>
        </w:rPr>
        <w:t xml:space="preserve">监理人可以进行考察，考察内容和方式：</w:t>
      </w:r>
      <w:r>
        <w:rPr>
          <w:rFonts w:hint="eastAsia" w:ascii="宋体" w:hAnsi="宋体" w:eastAsia="宋体" w:cs="宋体"/>
          <w:sz w:val="24"/>
          <w:highlight w:val="none"/>
          <w:u w:val="single"/>
        </w:rPr>
        <w:t xml:space="preserve">工程进展过程中确定。</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u w:val="single"/>
        </w:rPr>
      </w:pPr>
      <w:r>
        <w:rPr>
          <w:rFonts w:hint="eastAsia" w:ascii="宋体" w:hAnsi="宋体" w:eastAsia="宋体" w:cs="宋体"/>
          <w:sz w:val="24"/>
          <w:highlight w:val="none"/>
        </w:rPr>
        <w:t xml:space="preserve">14.1.5 承包人与监理人不进行共同试验或检验。</w:t>
      </w: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14.2  现场材料试验</w:t>
      </w: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增加以下条款：</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14.2.3 承包人工地试验室的试验设备、器材的配备要求：满足相关规定。</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14.2.4 承包人应委托有试验检验资质的单位进行试验检验。</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14.2.5 发包人应委托有试验检验资质的单位进行第三方试验检验。</w:t>
      </w: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增加以下条款：</w:t>
      </w: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14.4  试验和检验费用</w:t>
      </w: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⑴承包人应负责提供合同和技术规范规定的试验和检验所需的全部样品，并承担其费用。</w:t>
      </w: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⑵在合同中明确规定的试验和检验，包括无须在工程量清单中单独列项和已在工程量清单中单独列项的试验和检验，其试验和检验的费用由承包人承担。</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bCs/>
          <w:sz w:val="24"/>
          <w:highlight w:val="none"/>
        </w:rPr>
        <w:t xml:space="preserve">⑶如果监理人所要求做的试验和检验为合同未规定的或是在该材料或工程设备的制造、加工、制配场地以外的场地进行的，则检验结束后，如表明操作工艺或材料、工程设备未能符合合同规定，其费用应由承包人承担，否则，其费用应由发包人承担。</w:t>
      </w: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15  变更</w:t>
      </w: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15.1 变更的范围和内容</w:t>
      </w: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15.1.1变更的范围和内容：设计变更是指向承包人提供的有关施工依据的设计文件的变更和数量的调整。包括： </w:t>
      </w: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⑴更改工程有关部分的标高、基线、位置和尺寸；</w:t>
      </w: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⑵增减合同中约定的工程量； </w:t>
      </w: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⑶其他有关工程变更需要的附加工作。</w:t>
      </w: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15.1.2凡符合下列条件之一者，可进行设计变更或调整：</w:t>
      </w: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⑴保持原设计标准质量，可降低投资；</w:t>
      </w: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⑵保持原设计标准质量，不增加投资或增加投资不多，能解决的特殊的技术问题，或对缩短工期效果明显；</w:t>
      </w: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⑶由于文物、环保等方面的原因或其他不可预见因素，必须变更设计方案；</w:t>
      </w: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⑷不增加投资或增加投资不多，有利于改善使用功能、提高使用寿命或节省工程的维修、养护费用；</w:t>
      </w: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⑸在基本不增加投资的情况下，便于采用新技术、新材料、新设备，有利于提高工程质量标准，提高功效和增进技术进步；</w:t>
      </w: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⑹由于重大政策调整、重大公共安全卫生、自然灾害等原因不可抗力导致工期紧张，为加快工程进度而采取相关措施；</w:t>
      </w: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⑺当施工图设计与现场情况不符时，为符合现场情况而进行变更设计；</w:t>
      </w: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⑻施工图设计差、错、漏及设计明显不合理；</w:t>
      </w: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⑼其他特殊情况。</w:t>
      </w: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15.3  变更程序</w:t>
      </w: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15.3.2 变更估价</w:t>
      </w: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第⑴、⑶条款约定修改为：</w:t>
      </w: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⑴承包人向监理人提交变更报价书的期限：承包人在双方确定变更后14天内不向监理人提出变更工程价款报告时，视为该项变更不涉及合同价款的变更。</w:t>
      </w: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⑶监理人商定或确定变更价格的期限：监理人应在收到变更工程价款报告之日起14天内予以确认，监理人无正当理由不确认时，自变更工程价款报告送达之日起14天后视为变更工程价款报告已被确认。</w:t>
      </w:r>
      <w:r/>
    </w:p>
    <w:p>
      <w:pPr>
        <w:ind w:firstLine="482"/>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
          <w:bCs/>
          <w:sz w:val="24"/>
          <w:highlight w:val="none"/>
        </w:rPr>
        <w:t xml:space="preserve">15.3.3  变更指示</w:t>
      </w: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增加以下条款：</w:t>
      </w: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⑶变更立项和价格审批按照发包人制订的相关管理办法执行。</w:t>
      </w: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15.5 承包人的合理化建议</w:t>
      </w: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增加以下条款：</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15.5.3承包人提出的合理化建议经实施后，按其节省费用的</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%奖励承包人。</w:t>
      </w: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16  价格调整</w:t>
      </w: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b/>
          <w:bCs/>
          <w:sz w:val="24"/>
          <w:highlight w:val="none"/>
        </w:rPr>
        <w:t xml:space="preserve">16.1  物价波动引起的价格调整</w:t>
      </w: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增加以下条款：</w:t>
      </w:r>
      <w:r/>
    </w:p>
    <w:p>
      <w:pPr>
        <w:ind w:firstLine="480"/>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sz w:val="24"/>
          <w:highlight w:val="none"/>
        </w:rPr>
        <w:t xml:space="preserve">16.1.3  物价波动引起的价格调整方法：</w:t>
      </w:r>
      <w:r>
        <w:rPr>
          <w:rFonts w:hint="eastAsia" w:ascii="宋体" w:hAnsi="宋体" w:eastAsia="宋体" w:cs="宋体"/>
          <w:b/>
          <w:sz w:val="24"/>
          <w:highlight w:val="none"/>
        </w:rPr>
        <w:t xml:space="preserve">在合同执行期间，由于人工、机械等因素对工程成本的影响，发包人对合同价格均不予调整；材料使用、价格涨落等因素对工程成本的影响，合同价格不调整。  </w:t>
      </w: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17  计量与支付</w:t>
      </w: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17.2.1  预付款</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无。</w:t>
      </w: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17.2.2 预付款保函</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不适用。</w:t>
      </w: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17.3  工程进度付款</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17.3.5  设备、人员进场后支付10%签约合同价款（含50%安全生产费，不含暂列金额）；项目竣工，经验收合格支付至结算价款的85%；审计后支付至审定价的100%（付款前，承包人向发包人缴纳工程竣工结算审定金额的3%作为质保金，待12个月缺陷责任期满，无质量问题经验收合格，一次性无息退还）。</w:t>
      </w: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注：①每次支付工程款前，承包人必须提交符合发包人要求的请款资料且经监理人及发包人审核，否则不予支付。</w:t>
      </w: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②每次支付工程款时，承包人必须向发包人提供正规税务发票，否则不予支付。</w:t>
      </w: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17.4  质量保证金</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竣工验收证书签发后 14 天内，承包人应向发包人缴纳质量保证金。</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质量保证金百分比：</w:t>
      </w:r>
      <w:r>
        <w:rPr>
          <w:rFonts w:hint="eastAsia" w:ascii="宋体" w:hAnsi="宋体" w:eastAsia="宋体" w:cs="宋体"/>
          <w:sz w:val="24"/>
          <w:highlight w:val="none"/>
          <w:u w:val="single"/>
        </w:rPr>
        <w:t xml:space="preserve"> 3 </w:t>
      </w:r>
      <w:r>
        <w:rPr>
          <w:rFonts w:hint="eastAsia" w:ascii="宋体" w:hAnsi="宋体" w:eastAsia="宋体" w:cs="宋体"/>
          <w:sz w:val="24"/>
          <w:highlight w:val="none"/>
        </w:rPr>
        <w:t xml:space="preserve">%结算价款</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质量保证金可采用银行保函或现金、支票等形式，采用银行保函时，出具保函的银行须具有相应担保能力，且按照发包人批准的格式出具，所需费用由承包人承担。</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质量保证金采用现金、支票形式的，不计利息。</w:t>
      </w: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17.6  最终结清</w:t>
      </w: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17.6.1最终结清申请单</w:t>
      </w: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增加以下条款：</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bCs/>
          <w:sz w:val="24"/>
          <w:highlight w:val="none"/>
        </w:rPr>
        <w:t xml:space="preserve">⑶缺陷责任期终止证书签发后，承包人应在60天内向监理人提交最终结清申请单一式</w:t>
      </w:r>
      <w:r>
        <w:rPr>
          <w:rFonts w:hint="eastAsia" w:ascii="宋体" w:hAnsi="宋体" w:eastAsia="宋体" w:cs="宋体"/>
          <w:bCs/>
          <w:sz w:val="24"/>
          <w:highlight w:val="none"/>
          <w:u w:val="single"/>
        </w:rPr>
        <w:t xml:space="preserve">4 </w:t>
      </w:r>
      <w:r>
        <w:rPr>
          <w:rFonts w:hint="eastAsia" w:ascii="宋体" w:hAnsi="宋体" w:eastAsia="宋体" w:cs="宋体"/>
          <w:bCs/>
          <w:sz w:val="24"/>
          <w:highlight w:val="none"/>
        </w:rPr>
        <w:t xml:space="preserve">份。</w:t>
      </w: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bookmarkStart w:id="138" w:name="_Toc149385688"/>
      <w:r/>
      <w:bookmarkStart w:id="139" w:name="_Toc149976107"/>
      <w:r/>
      <w:bookmarkStart w:id="140" w:name="_Toc139075092"/>
      <w:r/>
      <w:bookmarkStart w:id="141" w:name="_Toc137460003"/>
      <w:r/>
      <w:bookmarkStart w:id="142" w:name="_Toc147374653"/>
      <w:r/>
      <w:bookmarkStart w:id="143" w:name="_Toc149386481"/>
      <w:r/>
      <w:bookmarkStart w:id="144" w:name="_Toc139878173"/>
      <w:r/>
      <w:bookmarkStart w:id="145" w:name="_Toc149386002"/>
      <w:r/>
      <w:bookmarkStart w:id="146" w:name="_Toc149446727"/>
      <w:r/>
      <w:bookmarkStart w:id="147" w:name="_Toc137461290"/>
      <w:r/>
      <w:bookmarkStart w:id="148" w:name="_Toc149447311"/>
      <w:r/>
      <w:bookmarkStart w:id="149" w:name="_Toc149386312"/>
      <w:r/>
      <w:bookmarkStart w:id="150" w:name="_Toc149387856"/>
      <w:r/>
      <w:bookmarkStart w:id="151" w:name="_Toc149630609"/>
      <w:r/>
      <w:bookmarkStart w:id="152" w:name="_Toc139856275"/>
      <w:r/>
      <w:bookmarkStart w:id="153" w:name="_Toc149446274"/>
      <w:r/>
      <w:bookmarkStart w:id="154" w:name="_Toc139183339"/>
      <w:r/>
      <w:bookmarkStart w:id="155" w:name="_Toc173056194"/>
      <w:r/>
      <w:bookmarkStart w:id="156" w:name="_Toc149386767"/>
      <w:r/>
      <w:bookmarkStart w:id="157" w:name="_Toc149442664"/>
      <w:r/>
      <w:bookmarkStart w:id="158" w:name="_Toc173317103"/>
      <w:r/>
      <w:bookmarkStart w:id="159" w:name="_Toc173844061"/>
      <w:r/>
      <w:bookmarkStart w:id="160" w:name="_Toc186099733"/>
      <w:r>
        <w:rPr>
          <w:rFonts w:hint="eastAsia" w:ascii="宋体" w:hAnsi="宋体" w:eastAsia="宋体" w:cs="宋体"/>
          <w:b/>
          <w:bCs/>
          <w:sz w:val="24"/>
          <w:highlight w:val="none"/>
        </w:rPr>
        <w:t xml:space="preserve">增加以下条款：</w:t>
      </w: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17.7 </w:t>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rPr>
          <w:rFonts w:hint="eastAsia" w:ascii="宋体" w:hAnsi="宋体" w:eastAsia="宋体" w:cs="宋体"/>
          <w:b/>
          <w:sz w:val="24"/>
          <w:highlight w:val="none"/>
        </w:rPr>
        <w:t xml:space="preserve">农民工工资保障金</w:t>
      </w:r>
      <w:bookmarkEnd w:id="159"/>
      <w:r/>
      <w:bookmarkEnd w:id="160"/>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⑴</w:t>
      </w:r>
      <w:r>
        <w:rPr>
          <w:rFonts w:hint="eastAsia" w:ascii="宋体" w:hAnsi="宋体" w:eastAsia="宋体" w:cs="宋体"/>
          <w:b/>
          <w:sz w:val="24"/>
          <w:highlight w:val="none"/>
        </w:rPr>
        <w:t xml:space="preserve">承包人要认真贯彻落实《劳动法》、《保障农民工工资支付条例》、《关于印发江苏省</w:t>
      </w:r>
      <w:r>
        <w:rPr>
          <w:rFonts w:hint="eastAsia" w:ascii="宋体" w:hAnsi="宋体" w:eastAsia="宋体" w:cs="宋体"/>
          <w:b/>
          <w:sz w:val="24"/>
          <w:highlight w:val="none"/>
        </w:rPr>
        <w:t xml:space="preserve">工程建设领域农民工工资支付管理办法的通知》（苏建建管〔2016〕707号文件）、《省交通运输厅关于交通工程建设领域农民工工资支付管理的实施意见（试行）》（苏交建〔2018〕25号）、《交通运输部关于公路水运工程建设领域保障农民工工资支付的意见》（交公路规〔2020〕5号）、《省交通运输厅关于交通工程建设领域农民工工资专用账户管理的补充通知》（苏交传〔2020〕398号）、《省交通运输厅关于交通工程建设领域保障农民工工资支付的意见》（苏交规〔2021〕2号）等国家及省市相关法律法规有关禁止拖欠民工工资的要求；</w:t>
      </w:r>
      <w:r>
        <w:rPr>
          <w:rFonts w:hint="eastAsia" w:ascii="宋体" w:hAnsi="宋体" w:eastAsia="宋体" w:cs="宋体"/>
          <w:b/>
          <w:bCs/>
          <w:sz w:val="24"/>
          <w:highlight w:val="none"/>
        </w:rPr>
        <w:t xml:space="preserve">农民工工资与工程款实行分</w:t>
      </w:r>
      <w:r>
        <w:rPr>
          <w:rFonts w:hint="eastAsia" w:ascii="宋体" w:hAnsi="宋体" w:eastAsia="宋体" w:cs="宋体"/>
          <w:b/>
          <w:bCs/>
          <w:sz w:val="24"/>
          <w:highlight w:val="none"/>
        </w:rPr>
        <w:t xml:space="preserve">账管理，施工总承包企业应当按照《关于印发〈江苏省工程建设领域农民工工资专用账户管理细则〉的通知》（苏人社规〔2022〕3号）的规定在工程项目所在地银行开设农民工工资专用账户（如需），并按照《关于印发〈江苏省工程建设领域农民工工资保证金管理办法〉的通知》（苏人社规〔2022〕4号）规定缴存农民工工资保证金（如需）。承包人还应采取必要措施保证不拖欠民工工资。合同实施中，发包人将对此进行督查考核，并将考核结果纳入承包人信用等级评价；合同实施过程中，因承包人原因而造成的农民工上访等一切风险因素及后果承包人自行承担。</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⑵承包人的项目经理部是民工工资支付行为的主体，承包人的项目经理是民工工资支付的责任人。项目经理部要建立全体民工花名册和工资支付表，确保将工资直接发放给民工本人，或委托银行发放民工工资，严禁发放给“包工头”或其他不具备用工主体资格的组织和个人。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⑶如果发生违反规定拖欠或克扣农民工工资行为，造成农民工上访，发包人将上报上级交通运输行政主管部门并依照有关规定对其作出其它处罚决定。</w:t>
      </w: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18  竣工验收</w:t>
      </w: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b/>
          <w:bCs/>
          <w:sz w:val="24"/>
          <w:highlight w:val="none"/>
        </w:rPr>
        <w:t xml:space="preserve">18.1  竣工验收的含义</w:t>
      </w: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增加以下条款：</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18.1.4  </w:t>
      </w:r>
      <w:r>
        <w:rPr>
          <w:rFonts w:hint="eastAsia" w:ascii="宋体" w:hAnsi="宋体" w:eastAsia="宋体" w:cs="宋体"/>
          <w:bCs/>
          <w:sz w:val="24"/>
          <w:highlight w:val="none"/>
        </w:rPr>
        <w:t xml:space="preserve">承包人应在竣工验收14天前，向发包人提供竣工资料一式</w:t>
      </w:r>
      <w:r>
        <w:rPr>
          <w:rFonts w:hint="eastAsia" w:ascii="宋体" w:hAnsi="宋体" w:eastAsia="宋体" w:cs="宋体"/>
          <w:bCs/>
          <w:sz w:val="24"/>
          <w:highlight w:val="none"/>
          <w:u w:val="single"/>
        </w:rPr>
        <w:t xml:space="preserve">4</w:t>
      </w:r>
      <w:r>
        <w:rPr>
          <w:rFonts w:hint="eastAsia" w:ascii="宋体" w:hAnsi="宋体" w:eastAsia="宋体" w:cs="宋体"/>
          <w:bCs/>
          <w:sz w:val="24"/>
          <w:highlight w:val="none"/>
        </w:rPr>
        <w:t xml:space="preserve">份，电子化声像资料一式</w:t>
      </w:r>
      <w:r>
        <w:rPr>
          <w:rFonts w:hint="eastAsia" w:ascii="宋体" w:hAnsi="宋体" w:eastAsia="宋体" w:cs="宋体"/>
          <w:bCs/>
          <w:sz w:val="24"/>
          <w:highlight w:val="none"/>
          <w:u w:val="single"/>
        </w:rPr>
        <w:t xml:space="preserve">4</w:t>
      </w:r>
      <w:r>
        <w:rPr>
          <w:rFonts w:hint="eastAsia" w:ascii="宋体" w:hAnsi="宋体" w:eastAsia="宋体" w:cs="宋体"/>
          <w:bCs/>
          <w:sz w:val="24"/>
          <w:highlight w:val="none"/>
        </w:rPr>
        <w:t xml:space="preserve">份。</w:t>
      </w: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19  缺陷责任与保修责任</w:t>
      </w: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b/>
          <w:bCs/>
          <w:sz w:val="24"/>
          <w:highlight w:val="none"/>
        </w:rPr>
        <w:t xml:space="preserve">19.1  缺陷责任期的起算时间</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19.1.1 缺陷责任期从工程竣工验收合格之日起算为12个月：</w:t>
      </w: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19.7  保修责任</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19.7.1 工程质量保修责任：承包人在工程保修期内有责任返修因承包人原因造成的任何工程缺陷或损坏，返修费用由承包人承担。因发包人使用不当或其他非承包人原因造成的损坏，承包人应协助修复，费用由发包人承担。</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19.7.2保修期内，对应由承包人负责的保修内容，承包人应在接到发包人或监理人书面返修通知后 48小时内到达现场确认缺陷情况，7 天内完成返修（复杂情况经发包人书面同意可适当延长）。逾期未到场或未按期完成的，发包人有权自行或委托第三方修复，所产生费用由承包人承担。</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19.7.3 工程保修期终止后 28 天内，监理人签发保修期终止证书。</w:t>
      </w: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19.8工程质量保修期</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19.8.1根据《建设工程质量管理条例》及有关规定，本工程的质量保修期如下:</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(1)地基基础工程和主体结构工程为设计文件规定的该工程合理使用年限</w:t>
      </w:r>
      <w:r>
        <w:rPr>
          <w:rFonts w:hint="eastAsia" w:ascii="宋体" w:hAnsi="宋体" w:cs="宋体"/>
          <w:sz w:val="24"/>
          <w:highlight w:val="none"/>
          <w:lang w:eastAsia="zh-CN"/>
        </w:rPr>
        <w:t xml:space="preserve">；</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(2)屋面防水工程、有防水要求的卫生间、房间和外墙面的防渗漏为5年;</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(3)装修工程为2年;</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(4)电气管线、给排水管道、设备安装工程为2年;</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(5)供热与供冷系统为2个采暖期、供冷期;</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(6)其他项目保修期限约定如下:【根据项目具体情况填写，如:其他工程为1年】。</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19.8.2质量保修期自工程竣工验收合格之日起计算。</w:t>
      </w: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20  保险</w:t>
      </w: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20.1 工程保险</w:t>
      </w:r>
      <w:r/>
    </w:p>
    <w:p>
      <w:pPr>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
          <w:sz w:val="24"/>
          <w:highlight w:val="none"/>
        </w:rPr>
        <w:t xml:space="preserve">   </w:t>
      </w:r>
      <w:r>
        <w:rPr>
          <w:rFonts w:hint="eastAsia" w:ascii="宋体" w:hAnsi="宋体" w:eastAsia="宋体" w:cs="宋体"/>
          <w:bCs/>
          <w:sz w:val="24"/>
          <w:highlight w:val="none"/>
        </w:rPr>
        <w:t xml:space="preserve">本项目的工程一切险与第三方责任险以及承包人装备财产险与承包人雇员人身事故险等由投标人投保，上述保险的一切费用包含在所报的投标总价中，不单独计量与支付。</w:t>
      </w: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21  不可抗力</w:t>
      </w: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21.1 不可抗力的确认</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21.1.1 项细化为：</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21.1.1 不可抗力是指承包人和发包人在订立合同时不可预见，在工程施工过程中不可避免发生并不能克服的自然灾害和社会性突发事件。包括但不限于：</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⑴地震、海啸、火山爆发、泥石流、暴雨(雪)、台风、龙卷风、水灾等自然灾害；</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⑵)战争、骚乱、暴动，但纯属承包人或其分包人派遣与雇用的人员由于本标段施工原因引起者除外；</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⑶核反应、辐射或放射性污染；</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⑷空中飞行物体坠落或非发包人或承包人责任造成的爆炸、火灾；</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⑸)瘟疫。</w:t>
      </w: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21.3  不可抗力后果及其处理</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21.3.1  不可抗力造成损害的责任</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本项第一句细化为：</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由于任何一种已投保的风险造成的损失或损害，承包人应在事故发生后根据保险方案的时限报告监理人和保险公司并向保险公司提出索赔。</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任何一种无法投保的风险造成的损失或损害，承包人应在监理人要求的范围内弥补损失或损害。同时，监理人应按照第23条规定在与承包人协商并报发包人批准后，确定合同价格的增加额，通知承包人，并抄送发包人。由合同双方按以下原则承担：</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21.3.4  因不可抗力解除合同</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参照第22.2.4项约定，由监理人按第3.5款商定或确定，但由于解除合同应赔偿的承包人损失不予考虑。</w:t>
      </w: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22  违约</w:t>
      </w:r>
      <w:r/>
    </w:p>
    <w:p>
      <w:pPr>
        <w:keepLines w:val="0"/>
        <w:keepNext w:val="0"/>
        <w:pageBreakBefore w:val="0"/>
        <w:spacing w:line="288" w:lineRule="auto"/>
        <w:shd w:val="clear" w:color="auto" w:fill="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22.1  承包人违约</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补充如下内容：</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当承包人发生了下述违约现象之后，发包人可依据下列具体情况扣除承包人的违约金：</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⑴由于承包人原因造成工期延误，承包人应支付逾期竣工违约金。发包人可以从应付或到期应付给承包人的任何款项中或采用其他方法扣除此违约金。</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⑵承包人支付逾期竣工违约金，不免除承包人完成工程的义务。</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⑶如果在合同工程完成之前，已对合同工程内按时完成的单位工程签发了工程接收证书，则合同工程的逾期竣工违约金，应按已签发工程接收证书的单位工程的价值占合同工程价值的比例予以减少，但本规定不应影响逾期竣工违约金的规定限额。</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⑷承包人未能在开工期限内提交开工报告或按期开工，发包人将处以1000元/天罚款，并在当期工程价款支付中扣除。</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⑸经监理人和发包人检查，发现承包人有安全问题或有违反安全管理规章制度的情况，发包人将按照施工安全管理规定进行考核，在安全生产费中扣除。</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⑹弃土乱抛乱弃或者违反环境保护的规定，随意排放废油或其他生产生活废弃物，发包人将处3000元/次违约金，并工程价款支付中扣除。</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⑺承包人不按合同约定履行义务的其他情况：</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①承包人在施工期间如果在各种报表及检查试验记录中自己作假或诱导监理人作假，一经查实，发包人将按3000元/次处以承包人的违约金。由于假报表、假试验记录引起的工程损失费用，由承包人承担。</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②发包人可视承包人违约的严重程度采取下列措施之一：</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a.即使交纳了违约金，承包人仍应按合同规定继续实施和完成本标段及其缺陷修复；或</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b.发包人可雇用其他承包人完成部分工程。承包人无权对此提出反对意见并应按合同规定完成合同工程其它部分的施工和缺陷修复。在这种情况下，发包人向承包人支付的合同价格中不应包括由其他承包人完成的那部分工程的价格。监理人应与承包人和发包人协商后确定由于承包人违约而给发包人造成的费用增加和其他损失，并由发包人从应付或到期应付给承包人的款项中扣除，监理人应将上述决定通知承包人，并抄送发包人。</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c.发包人在向承包人发出书面通知的14天之后可以进驻现场和接管工程，终止承包人对本标段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③承包人应对工程的质量负责，对工程原材料、工程实体的分部分项工程，经承包人自检合格的项目，被发包人、上级机关、质量监督部门检验出不合格的，一般部位按照1万元/次、重要部位按照2万元以上/次的标准扣除工程款。</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⑻承包人无正当理由停工超过3日，或未经发包人书面同意擅自撤离施工人员、设备的，每停工或撤离一日，应按合同总价的千分之一向发包人支付违约金。停工或撤离超过10日的，发包人有权单方解除合同，没收全部履约保证金，并要求承包人按合同总价款的</w:t>
      </w:r>
      <w:r>
        <w:rPr>
          <w:rFonts w:hint="eastAsia" w:ascii="宋体" w:hAnsi="宋体" w:cs="宋体"/>
          <w:sz w:val="24"/>
          <w:highlight w:val="none"/>
          <w:lang w:val="en-US" w:eastAsia="zh-CN"/>
        </w:rPr>
        <w:t xml:space="preserve">10</w:t>
      </w:r>
      <w:r>
        <w:rPr>
          <w:rFonts w:hint="eastAsia" w:ascii="宋体" w:hAnsi="宋体" w:eastAsia="宋体" w:cs="宋体"/>
          <w:sz w:val="24"/>
          <w:highlight w:val="none"/>
        </w:rPr>
        <w:t xml:space="preserve">%支付违约金。前述违约金不足以弥补发包人全部损失的（包括但不限于工期延误损失、重新招标费用及其他直接、间接损失），承包人还应赔偿超出部分。</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24  争议的解决</w:t>
      </w: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24.1  争议的解决方式</w:t>
      </w:r>
      <w:r/>
    </w:p>
    <w:p>
      <w:pPr>
        <w:ind w:firstLine="435"/>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发包人和承包人在履行合同中发生争议的，可以友好协商解决或者提请争议评审组评审。合同当事人友好协商解决不成、不愿提请争议评审或者不接受争议评审组意见的，可向发包人所在地有管辖权的人民法院起诉。</w:t>
      </w: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25  其他约定</w:t>
      </w:r>
      <w:r/>
    </w:p>
    <w:p>
      <w:pPr>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25.1  项目监理人和现场派出机构：发包人另行确定。</w:t>
      </w:r>
      <w:r/>
    </w:p>
    <w:p>
      <w:pPr>
        <w:ind w:firstLine="480"/>
        <w:keepLines w:val="0"/>
        <w:keepNext w:val="0"/>
        <w:pageBreakBefore w:val="0"/>
        <w:spacing w:line="288" w:lineRule="auto"/>
        <w:shd w:val="clear" w:color="auto" w:fill="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 总监理工程师：发包人另行确定。</w:t>
      </w: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25.4  施工工艺要求</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⑴承包人应按照图纸、招标文件和技术标准和要求的要求，编制施工指导意见，明确确保工程质量的施工技术方案和施工工艺要求，特别是关键工程、重点部位、关键工序的施工技术方案和施工工艺。考虑到本标段建设的实际情况，发包人可能会提出一些比招标文件中技术标准和要求要求高的技术指标，承包人必须执行这一要求。在工程竣工质量要求未发生改变的情况下，即使发包人或监理人对施工工艺指标提出了特别要求，承包人也不得就此要求发包人给予额外费用补贴以及由此发生的一切费用。</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⑵承包人工程施工标准化、班组管理规范化，积极推广应用性能可靠、先进适用的新技术、新材料、新设备、新工艺等“四新技术”，淘汰影响工程质量安全的落后工艺。</w:t>
      </w:r>
      <w:r/>
    </w:p>
    <w:p>
      <w:pPr>
        <w:pStyle w:val="1060"/>
        <w:jc w:val="center"/>
        <w:keepLines w:val="0"/>
        <w:keepNext w:val="0"/>
        <w:pageBreakBefore w:val="0"/>
        <w:spacing w:before="0" w:after="0" w:line="288" w:lineRule="auto"/>
        <w:shd w:val="clear" w:color="auto" w:fill="auto"/>
        <w:widowControl w:val="off"/>
        <w:rPr>
          <w:rFonts w:hint="eastAsia" w:ascii="宋体" w:hAnsi="宋体" w:eastAsia="宋体" w:cs="宋体"/>
          <w:highlight w:val="none"/>
        </w:rPr>
      </w:pPr>
      <w:r/>
      <w:bookmarkStart w:id="161" w:name="_Toc406752721"/>
      <w:r/>
      <w:bookmarkStart w:id="162" w:name="_Toc211090863"/>
      <w:r/>
      <w:r/>
    </w:p>
    <w:p>
      <w:pPr>
        <w:pStyle w:val="1060"/>
        <w:jc w:val="center"/>
        <w:keepLines w:val="0"/>
        <w:keepNext w:val="0"/>
        <w:pageBreakBefore w:val="0"/>
        <w:spacing w:before="0" w:after="0" w:line="288" w:lineRule="auto"/>
        <w:shd w:val="clear" w:color="auto" w:fill="auto"/>
        <w:widowControl w:val="off"/>
        <w:rPr>
          <w:rFonts w:hint="eastAsia" w:ascii="宋体" w:hAnsi="宋体" w:eastAsia="宋体" w:cs="宋体"/>
          <w:highlight w:val="none"/>
        </w:rPr>
      </w:pPr>
      <w:r>
        <w:rPr>
          <w:rFonts w:hint="eastAsia" w:ascii="宋体" w:hAnsi="宋体" w:eastAsia="宋体" w:cs="宋体"/>
          <w:highlight w:val="none"/>
        </w:rPr>
      </w:r>
      <w:r/>
    </w:p>
    <w:p>
      <w:pPr>
        <w:pStyle w:val="1060"/>
        <w:jc w:val="center"/>
        <w:keepLines w:val="0"/>
        <w:keepNext w:val="0"/>
        <w:pageBreakBefore w:val="0"/>
        <w:spacing w:before="0" w:after="0" w:line="288" w:lineRule="auto"/>
        <w:shd w:val="clear" w:color="auto" w:fill="auto"/>
        <w:widowControl w:val="off"/>
        <w:rPr>
          <w:rFonts w:hint="eastAsia" w:ascii="宋体" w:hAnsi="宋体" w:eastAsia="宋体" w:cs="宋体"/>
          <w:highlight w:val="none"/>
        </w:rPr>
      </w:pPr>
      <w:r>
        <w:rPr>
          <w:rFonts w:hint="eastAsia" w:ascii="宋体" w:hAnsi="宋体" w:eastAsia="宋体" w:cs="宋体"/>
          <w:highlight w:val="none"/>
        </w:rPr>
      </w:r>
      <w:r/>
    </w:p>
    <w:p>
      <w:pPr>
        <w:pStyle w:val="1060"/>
        <w:jc w:val="center"/>
        <w:keepLines w:val="0"/>
        <w:keepNext w:val="0"/>
        <w:pageBreakBefore w:val="0"/>
        <w:spacing w:before="0" w:after="0" w:line="288" w:lineRule="auto"/>
        <w:shd w:val="clear" w:color="auto" w:fill="auto"/>
        <w:widowControl w:val="off"/>
        <w:rPr>
          <w:rFonts w:hint="eastAsia" w:ascii="宋体" w:hAnsi="宋体" w:eastAsia="宋体" w:cs="宋体"/>
          <w:highlight w:val="none"/>
        </w:rPr>
      </w:pPr>
      <w:r>
        <w:rPr>
          <w:rFonts w:hint="eastAsia" w:ascii="宋体" w:hAnsi="宋体" w:eastAsia="宋体" w:cs="宋体"/>
          <w:highlight w:val="none"/>
        </w:rPr>
      </w:r>
      <w:r/>
    </w:p>
    <w:p>
      <w:pPr>
        <w:pStyle w:val="1060"/>
        <w:jc w:val="center"/>
        <w:keepLines w:val="0"/>
        <w:keepNext w:val="0"/>
        <w:pageBreakBefore w:val="0"/>
        <w:spacing w:before="0" w:after="0" w:line="288" w:lineRule="auto"/>
        <w:shd w:val="clear" w:color="auto" w:fill="auto"/>
        <w:widowControl w:val="off"/>
        <w:rPr>
          <w:rFonts w:hint="eastAsia" w:ascii="宋体" w:hAnsi="宋体" w:eastAsia="宋体" w:cs="宋体"/>
          <w:highlight w:val="none"/>
        </w:rPr>
      </w:pPr>
      <w:r>
        <w:rPr>
          <w:rFonts w:hint="eastAsia" w:ascii="宋体" w:hAnsi="宋体" w:eastAsia="宋体" w:cs="宋体"/>
          <w:highlight w:val="none"/>
        </w:rPr>
      </w:r>
      <w:r/>
    </w:p>
    <w:p>
      <w:pPr>
        <w:pStyle w:val="1060"/>
        <w:jc w:val="center"/>
        <w:keepLines w:val="0"/>
        <w:keepNext w:val="0"/>
        <w:pageBreakBefore w:val="0"/>
        <w:spacing w:before="0" w:after="0" w:line="288" w:lineRule="auto"/>
        <w:shd w:val="clear" w:color="auto" w:fill="auto"/>
        <w:widowControl w:val="off"/>
        <w:rPr>
          <w:rFonts w:hint="eastAsia" w:ascii="宋体" w:hAnsi="宋体" w:eastAsia="宋体" w:cs="宋体"/>
          <w:highlight w:val="none"/>
        </w:rPr>
      </w:pPr>
      <w:r>
        <w:rPr>
          <w:rFonts w:hint="eastAsia" w:ascii="宋体" w:hAnsi="宋体" w:eastAsia="宋体" w:cs="宋体"/>
          <w:highlight w:val="none"/>
        </w:rPr>
      </w:r>
      <w:r/>
    </w:p>
    <w:p>
      <w:pPr>
        <w:pStyle w:val="1060"/>
        <w:jc w:val="center"/>
        <w:keepLines w:val="0"/>
        <w:keepNext w:val="0"/>
        <w:pageBreakBefore w:val="0"/>
        <w:spacing w:before="0" w:after="0" w:line="288" w:lineRule="auto"/>
        <w:shd w:val="clear" w:color="auto" w:fill="auto"/>
        <w:widowControl w:val="off"/>
        <w:rPr>
          <w:rFonts w:hint="eastAsia" w:ascii="宋体" w:hAnsi="宋体" w:eastAsia="宋体" w:cs="宋体"/>
          <w:highlight w:val="none"/>
        </w:rPr>
      </w:pPr>
      <w:r>
        <w:rPr>
          <w:rFonts w:hint="eastAsia" w:ascii="宋体" w:hAnsi="宋体" w:eastAsia="宋体" w:cs="宋体"/>
          <w:highlight w:val="none"/>
        </w:rPr>
      </w:r>
      <w:r/>
    </w:p>
    <w:p>
      <w:pPr>
        <w:pStyle w:val="1060"/>
        <w:jc w:val="center"/>
        <w:keepLines w:val="0"/>
        <w:keepNext w:val="0"/>
        <w:pageBreakBefore w:val="0"/>
        <w:spacing w:before="0" w:after="0" w:line="288" w:lineRule="auto"/>
        <w:shd w:val="clear" w:color="auto" w:fill="auto"/>
        <w:widowControl w:val="off"/>
        <w:rPr>
          <w:rFonts w:hint="eastAsia" w:ascii="宋体" w:hAnsi="宋体" w:eastAsia="宋体" w:cs="宋体"/>
          <w:highlight w:val="none"/>
        </w:rPr>
      </w:pPr>
      <w:r>
        <w:rPr>
          <w:rFonts w:hint="eastAsia" w:ascii="宋体" w:hAnsi="宋体" w:eastAsia="宋体" w:cs="宋体"/>
          <w:highlight w:val="none"/>
        </w:rPr>
      </w:r>
      <w:r/>
    </w:p>
    <w:p>
      <w:pPr>
        <w:pStyle w:val="1060"/>
        <w:jc w:val="center"/>
        <w:keepLines w:val="0"/>
        <w:keepNext w:val="0"/>
        <w:pageBreakBefore w:val="0"/>
        <w:spacing w:before="0" w:after="0" w:line="288" w:lineRule="auto"/>
        <w:shd w:val="clear" w:color="auto" w:fill="auto"/>
        <w:widowControl w:val="off"/>
        <w:rPr>
          <w:rFonts w:hint="eastAsia" w:ascii="宋体" w:hAnsi="宋体" w:eastAsia="宋体" w:cs="宋体"/>
          <w:highlight w:val="none"/>
        </w:rPr>
      </w:pPr>
      <w:r>
        <w:rPr>
          <w:rFonts w:hint="eastAsia" w:ascii="宋体" w:hAnsi="宋体" w:eastAsia="宋体" w:cs="宋体"/>
          <w:highlight w:val="none"/>
        </w:rPr>
      </w:r>
      <w:r/>
    </w:p>
    <w:p>
      <w:pPr>
        <w:pStyle w:val="1060"/>
        <w:jc w:val="center"/>
        <w:keepLines w:val="0"/>
        <w:keepNext w:val="0"/>
        <w:pageBreakBefore w:val="0"/>
        <w:spacing w:before="0" w:after="0" w:line="288" w:lineRule="auto"/>
        <w:shd w:val="clear" w:color="auto" w:fill="auto"/>
        <w:widowControl w:val="off"/>
        <w:rPr>
          <w:rFonts w:hint="eastAsia" w:ascii="宋体" w:hAnsi="宋体" w:eastAsia="宋体" w:cs="宋体"/>
          <w:highlight w:val="none"/>
        </w:rPr>
      </w:pPr>
      <w:r>
        <w:rPr>
          <w:rFonts w:hint="eastAsia" w:ascii="宋体" w:hAnsi="宋体" w:eastAsia="宋体" w:cs="宋体"/>
          <w:highlight w:val="none"/>
        </w:rPr>
      </w:r>
      <w:r/>
    </w:p>
    <w:p>
      <w:pPr>
        <w:pStyle w:val="1060"/>
        <w:jc w:val="both"/>
        <w:keepLines w:val="0"/>
        <w:keepNext w:val="0"/>
        <w:pageBreakBefore w:val="0"/>
        <w:spacing w:before="0" w:after="0" w:line="288" w:lineRule="auto"/>
        <w:shd w:val="clear" w:color="auto" w:fill="auto"/>
        <w:widowControl w:val="off"/>
        <w:rPr>
          <w:rFonts w:hint="eastAsia" w:ascii="宋体" w:hAnsi="宋体" w:eastAsia="宋体" w:cs="宋体"/>
          <w:highlight w:val="none"/>
        </w:rPr>
      </w:pPr>
      <w:r>
        <w:rPr>
          <w:rFonts w:hint="eastAsia" w:ascii="宋体" w:hAnsi="宋体" w:eastAsia="宋体" w:cs="宋体"/>
          <w:highlight w:val="none"/>
        </w:rPr>
      </w:r>
      <w:r/>
    </w:p>
    <w:p>
      <w:pPr>
        <w:pStyle w:val="1060"/>
        <w:jc w:val="center"/>
        <w:keepLines w:val="0"/>
        <w:keepNext w:val="0"/>
        <w:pageBreakBefore w:val="0"/>
        <w:spacing w:before="0" w:after="0" w:line="288" w:lineRule="auto"/>
        <w:shd w:val="clear" w:color="auto" w:fill="auto"/>
        <w:widowControl w:val="off"/>
        <w:rPr>
          <w:rFonts w:hint="eastAsia" w:ascii="宋体" w:hAnsi="宋体" w:eastAsia="宋体" w:cs="宋体"/>
          <w:highlight w:val="none"/>
        </w:rPr>
      </w:pPr>
      <w:r>
        <w:rPr>
          <w:rFonts w:hint="eastAsia" w:ascii="宋体" w:hAnsi="宋体" w:eastAsia="宋体" w:cs="宋体"/>
          <w:highlight w:val="none"/>
        </w:rPr>
        <w:t xml:space="preserve">第三节  合同附件格式</w:t>
      </w:r>
      <w:bookmarkEnd w:id="161"/>
      <w:r/>
      <w:bookmarkEnd w:id="162"/>
      <w:r/>
      <w:r/>
    </w:p>
    <w:p>
      <w:pPr>
        <w:pStyle w:val="1060"/>
        <w:jc w:val="left"/>
        <w:keepLines w:val="0"/>
        <w:keepNext w:val="0"/>
        <w:pageBreakBefore w:val="0"/>
        <w:spacing w:before="0" w:after="0" w:line="288" w:lineRule="auto"/>
        <w:shd w:val="clear" w:color="auto" w:fill="auto"/>
        <w:widowControl w:val="off"/>
        <w:rPr>
          <w:rFonts w:hint="eastAsia" w:ascii="宋体" w:hAnsi="宋体" w:eastAsia="宋体" w:cs="宋体"/>
          <w:highlight w:val="none"/>
        </w:rPr>
      </w:pPr>
      <w:r/>
      <w:bookmarkStart w:id="163" w:name="_Toc211090864"/>
      <w:r>
        <w:rPr>
          <w:rFonts w:hint="eastAsia" w:ascii="宋体" w:hAnsi="宋体" w:eastAsia="宋体" w:cs="宋体"/>
          <w:sz w:val="24"/>
          <w:szCs w:val="24"/>
          <w:highlight w:val="none"/>
        </w:rPr>
        <w:t xml:space="preserve">附件一：</w:t>
      </w:r>
      <w:bookmarkEnd w:id="163"/>
      <w:r/>
      <w:r/>
    </w:p>
    <w:p>
      <w:pPr>
        <w:jc w:val="center"/>
        <w:keepLines w:val="0"/>
        <w:keepNext w:val="0"/>
        <w:pageBreakBefore w:val="0"/>
        <w:spacing w:line="288" w:lineRule="auto"/>
        <w:shd w:val="clear" w:color="auto" w:fill="auto"/>
        <w:widowControl w:val="off"/>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合同协议书</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u w:val="single"/>
        </w:rPr>
        <w:t xml:space="preserve"> 京杭运河江苏省船闸应急保障中心 </w:t>
      </w:r>
      <w:r>
        <w:rPr>
          <w:rFonts w:hint="eastAsia" w:ascii="宋体" w:hAnsi="宋体" w:eastAsia="宋体" w:cs="宋体"/>
          <w:sz w:val="24"/>
          <w:highlight w:val="none"/>
        </w:rPr>
        <w:t xml:space="preserve">（发包人名称，以下简称“发包人”）为实施</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（项目名称），已接受</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（承包人名称，以下简称“承包人”）对该项目</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标段的投标。发包人和承包人共同达成如下协议。</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1．本协议书与下列文件一起构成合同文件：</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(l）中标通知书；</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(2）投标函；</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(3）专用合同条款；</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(4）通用合同条款；</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(5）技术标准和要求；</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(6）图纸；</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(7）已标价工程量清单；</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(8）其他合同文件。</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2．上述文件互相补充和解释，如有不明确或不一致之处，以合同约定次序在先者为准。</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3．签约合同价：人民币（大写）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元（¥</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4．承包人项目经理：</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5．工程质量符合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标准。</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w:t>
      </w:r>
      <w:r>
        <w:rPr>
          <w:rFonts w:hint="eastAsia" w:ascii="宋体" w:hAnsi="宋体" w:cs="宋体"/>
          <w:sz w:val="24"/>
          <w:highlight w:val="none"/>
          <w:lang w:val="en-US" w:eastAsia="zh-CN"/>
        </w:rPr>
        <w:t xml:space="preserve">工期：本项目施工工期80日历天</w:t>
      </w:r>
      <w:r>
        <w:rPr>
          <w:rFonts w:hint="eastAsia" w:ascii="宋体" w:hAnsi="宋体" w:eastAsia="宋体" w:cs="宋体"/>
          <w:bCs/>
          <w:sz w:val="24"/>
          <w:highlight w:val="none"/>
        </w:rPr>
        <w:t xml:space="preserve">（具体以监理签发的开工令为准）</w:t>
      </w:r>
      <w:r>
        <w:rPr>
          <w:rFonts w:hint="eastAsia" w:ascii="宋体" w:hAnsi="宋体" w:cs="宋体"/>
          <w:bCs/>
          <w:sz w:val="24"/>
          <w:highlight w:val="none"/>
          <w:lang w:eastAsia="zh-CN"/>
        </w:rPr>
        <w:t xml:space="preserve">。</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cs="宋体"/>
          <w:sz w:val="24"/>
          <w:highlight w:val="none"/>
          <w:lang w:val="en-US" w:eastAsia="zh-CN"/>
        </w:rPr>
        <w:t xml:space="preserve">7.</w:t>
      </w:r>
      <w:r>
        <w:rPr>
          <w:rFonts w:hint="eastAsia" w:ascii="宋体" w:hAnsi="宋体" w:eastAsia="宋体" w:cs="宋体"/>
          <w:sz w:val="24"/>
          <w:highlight w:val="none"/>
        </w:rPr>
        <w:t xml:space="preserve">承包人承诺按合同约定承担工程的实施、完成及缺陷修复。</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cs="宋体"/>
          <w:sz w:val="24"/>
          <w:highlight w:val="none"/>
          <w:lang w:val="en-US" w:eastAsia="zh-CN"/>
        </w:rPr>
        <w:t xml:space="preserve">8</w:t>
      </w:r>
      <w:r>
        <w:rPr>
          <w:rFonts w:hint="eastAsia" w:ascii="宋体" w:hAnsi="宋体" w:eastAsia="宋体" w:cs="宋体"/>
          <w:sz w:val="24"/>
          <w:highlight w:val="none"/>
        </w:rPr>
        <w:t xml:space="preserve">．发包人承诺按合同约定的条件、时间和方式向承包人支付合同价款。</w:t>
      </w:r>
      <w:r/>
    </w:p>
    <w:p>
      <w:pPr>
        <w:pStyle w:val="848"/>
        <w:ind w:firstLine="480"/>
        <w:keepLines w:val="0"/>
        <w:keepNext w:val="0"/>
        <w:pageBreakBefore w:val="0"/>
        <w:spacing w:line="288" w:lineRule="auto"/>
        <w:shd w:val="clear" w:color="auto" w:fill="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．承包人应按照监理人指示开工，工期为     日历天。工期总日历天数与根据前述计划开竣工日期计算的工期天数不一致的，以工期总日历天数为准。如遇政策导致需要协调、延期事宜，工期顺延，不增加费用。</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cs="宋体"/>
          <w:sz w:val="24"/>
          <w:highlight w:val="none"/>
          <w:lang w:val="en-US" w:eastAsia="zh-CN"/>
        </w:rPr>
        <w:t xml:space="preserve">10</w:t>
      </w:r>
      <w:r>
        <w:rPr>
          <w:rFonts w:hint="eastAsia" w:ascii="宋体" w:hAnsi="宋体" w:eastAsia="宋体" w:cs="宋体"/>
          <w:sz w:val="24"/>
          <w:highlight w:val="none"/>
        </w:rPr>
        <w:t xml:space="preserve">．本协议书一式</w:t>
      </w:r>
      <w:r>
        <w:rPr>
          <w:rFonts w:hint="eastAsia" w:ascii="宋体" w:hAnsi="宋体" w:eastAsia="宋体" w:cs="宋体"/>
          <w:sz w:val="24"/>
          <w:highlight w:val="none"/>
          <w:u w:val="single"/>
        </w:rPr>
        <w:t xml:space="preserve"> 陆 </w:t>
      </w:r>
      <w:r>
        <w:rPr>
          <w:rFonts w:hint="eastAsia" w:ascii="宋体" w:hAnsi="宋体" w:eastAsia="宋体" w:cs="宋体"/>
          <w:sz w:val="24"/>
          <w:highlight w:val="none"/>
        </w:rPr>
        <w:t xml:space="preserve">份，合同双方各执</w:t>
      </w:r>
      <w:r>
        <w:rPr>
          <w:rFonts w:hint="eastAsia" w:ascii="宋体" w:hAnsi="宋体" w:eastAsia="宋体" w:cs="宋体"/>
          <w:sz w:val="24"/>
          <w:highlight w:val="none"/>
          <w:u w:val="single"/>
        </w:rPr>
        <w:t xml:space="preserve"> 叁 </w:t>
      </w:r>
      <w:r>
        <w:rPr>
          <w:rFonts w:hint="eastAsia" w:ascii="宋体" w:hAnsi="宋体" w:eastAsia="宋体" w:cs="宋体"/>
          <w:sz w:val="24"/>
          <w:highlight w:val="none"/>
        </w:rPr>
        <w:t xml:space="preserve">份。</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cs="宋体"/>
          <w:sz w:val="24"/>
          <w:highlight w:val="none"/>
          <w:lang w:val="en-US" w:eastAsia="zh-CN"/>
        </w:rPr>
        <w:t xml:space="preserve">1</w:t>
      </w:r>
      <w:r>
        <w:rPr>
          <w:rFonts w:hint="eastAsia" w:ascii="宋体" w:hAnsi="宋体" w:eastAsia="宋体" w:cs="宋体"/>
          <w:sz w:val="24"/>
          <w:highlight w:val="none"/>
        </w:rPr>
        <w:t xml:space="preserve">．合同未尽事宜，双方另行签订补充协议。补充协议是合同的组成部分。</w:t>
      </w: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发包人：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（盖单位章） 承包人：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（盖单位章）</w:t>
      </w: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法定代表人                           法定代表人</w:t>
      </w: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或其委托代理人：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（签字）         或其委托代理人：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（签字）</w:t>
      </w:r>
      <w:r/>
    </w:p>
    <w:p>
      <w:pPr>
        <w:ind w:firstLine="1336"/>
        <w:keepLines w:val="0"/>
        <w:keepNext w:val="0"/>
        <w:pageBreakBefore w:val="0"/>
        <w:spacing w:line="288" w:lineRule="auto"/>
        <w:shd w:val="clear" w:color="auto" w:fill="auto"/>
        <w:widowControl w:val="off"/>
        <w:tabs>
          <w:tab w:val="left" w:pos="1425" w:leader="none"/>
          <w:tab w:val="left" w:pos="6360" w:leader="none"/>
        </w:tabs>
        <w:rPr>
          <w:rFonts w:hint="eastAsia" w:ascii="宋体" w:hAnsi="宋体" w:eastAsia="宋体" w:cs="宋体"/>
          <w:bCs/>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月＿日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月＿日</w:t>
      </w:r>
      <w:r/>
    </w:p>
    <w:p>
      <w:pPr>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附件二：</w:t>
      </w:r>
      <w:r/>
    </w:p>
    <w:p>
      <w:pPr>
        <w:jc w:val="center"/>
        <w:keepLines w:val="0"/>
        <w:keepNext w:val="0"/>
        <w:pageBreakBefore w:val="0"/>
        <w:spacing w:line="288" w:lineRule="auto"/>
        <w:shd w:val="clear" w:color="auto" w:fill="auto"/>
        <w:widowControl w:val="off"/>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廉政合同</w:t>
      </w:r>
      <w:r/>
    </w:p>
    <w:p>
      <w:pPr>
        <w:ind w:firstLine="480"/>
        <w:jc w:val="left"/>
        <w:keepLines w:val="0"/>
        <w:keepNext w:val="0"/>
        <w:pageBreakBefore w:val="0"/>
        <w:spacing w:line="288" w:lineRule="auto"/>
        <w:shd w:val="clear" w:color="auto" w:fill="auto"/>
        <w:widowControl w:val="off"/>
        <w:rPr>
          <w:rFonts w:hint="eastAsia" w:ascii="宋体" w:hAnsi="宋体" w:eastAsia="宋体" w:cs="宋体"/>
          <w:sz w:val="24"/>
          <w:highlight w:val="none"/>
          <w:u w:val="single"/>
        </w:rPr>
      </w:pPr>
      <w:r>
        <w:rPr>
          <w:rFonts w:hint="eastAsia" w:ascii="宋体" w:hAnsi="宋体" w:eastAsia="宋体" w:cs="宋体"/>
          <w:sz w:val="24"/>
          <w:highlight w:val="none"/>
        </w:rPr>
        <w:t xml:space="preserve">为了贯彻落实党中央、国务院《关于实行党风廉政建设责任制的规定》和交通部《关于在交通基础设施建设中加强廉政建设的若干意见》等有关工程建设、廉政建设的法律法规，加强工程建设中的党风廉政建设，保证</w:t>
      </w:r>
      <w:r>
        <w:rPr>
          <w:rFonts w:hint="eastAsia" w:ascii="宋体" w:hAnsi="宋体" w:eastAsia="宋体" w:cs="宋体"/>
          <w:sz w:val="24"/>
          <w:highlight w:val="none"/>
          <w:u w:val="single"/>
        </w:rPr>
        <w:t xml:space="preserve">苏北运河船闸检修门存放基地扩容及功能完善项目</w:t>
      </w:r>
      <w:r>
        <w:rPr>
          <w:rFonts w:hint="eastAsia" w:ascii="宋体" w:hAnsi="宋体" w:eastAsia="宋体" w:cs="宋体"/>
          <w:sz w:val="24"/>
          <w:highlight w:val="none"/>
        </w:rPr>
        <w:t xml:space="preserve">优质、高效、健康、有序地进行，</w:t>
      </w:r>
      <w:r>
        <w:rPr>
          <w:rFonts w:hint="eastAsia" w:ascii="宋体" w:hAnsi="宋体" w:eastAsia="宋体" w:cs="宋体"/>
          <w:sz w:val="24"/>
          <w:highlight w:val="none"/>
          <w:u w:val="single"/>
        </w:rPr>
        <w:t xml:space="preserve">京杭运河江苏省船闸应急保障中心</w:t>
      </w:r>
      <w:r>
        <w:rPr>
          <w:rFonts w:hint="eastAsia" w:ascii="宋体" w:hAnsi="宋体" w:eastAsia="宋体" w:cs="宋体"/>
          <w:sz w:val="24"/>
          <w:highlight w:val="none"/>
        </w:rPr>
        <w:t xml:space="preserve">（以下统称“甲方”），与承担的</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（以下称“乙方”）特订立如下合同。</w:t>
      </w: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一、甲乙双方约定</w:t>
      </w: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1、甲乙双方应共同遵守国家和省、市以及行业主管部门关于党风廉政建设的各项规定。</w:t>
      </w: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2、甲乙双方应认真执行本项目的合同文件，自觉按合同办事。</w:t>
      </w: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3、除非法律认定的商业秘密和合同文件另有规定之外，甲乙双方的业务活动应坚持公开、公正、透明的原则，严禁搞损害国家和集体利益、违反工程建设管理规章制度的不正当交易。</w:t>
      </w: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4、甲乙双方应加强对本方人员的廉政监督，建立和健全廉政制度，认真查处本方的违法违纪行为。</w:t>
      </w: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5、甲乙双方有对本方人员开展廉政告知、廉政教育和职业道德教育的义务。</w:t>
      </w: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6、甲乙双方如发现对方在业务活动中有不廉洁行为，有及时提醒对方并督促其纠正的权利和义务。</w:t>
      </w: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二、甲方在廉政建设方面的责任</w:t>
      </w: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1、甲方及其工作人员不得以任何形式向乙方索要和收受回扣。</w:t>
      </w: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2、甲方及其工作人员不得接受乙方的礼金、有价证券和贵重物品，不得在乙方报销任何应由个人支付的费用。</w:t>
      </w: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3、甲方工作人员不得参加可能对公正执行公务有影响的宴请和娱乐、旅游活动。</w:t>
      </w: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4、甲方及其工作人员不得要求或者接受乙方为其住房装修、婚丧嫁娶、家属子女的工作安排以及出国等提供方便。</w:t>
      </w: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5、甲方及其工作人员不得向乙方介绍家属、亲友从事与甲方工程有关的材料设备供应、工程分包、劳务等经济活动。</w:t>
      </w: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6、甲方及其工作人员不得以任何理由向乙方强行推荐分包单位，不得强行要求乙方购买合同规定外的材料和设备。</w:t>
      </w: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7、甲方工作人员不得在家里接待乙方有关工程事项的询访。</w:t>
      </w: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三、乙方在廉政建设方面的责任</w:t>
      </w: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1、乙方不得以任何理由向甲方及其工作人员行贿或馈赠礼品。</w:t>
      </w: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2、乙方不得以任何名义为甲方及其工作人员报支需由其个人支付的任何费用。</w:t>
      </w: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3、乙方不得以任何理由邀请甲方工作人员参加用公款支付的娱乐性等活动。</w:t>
      </w: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4、乙方不得为甲方单位和个人购置或提供通讯工具、交通工具、家电和高档办公用品。</w:t>
      </w: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5、乙方人员不得到甲方人员家里询访有关本项目的事项。</w:t>
      </w: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四、违约责任</w:t>
      </w: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1、甲方有违反本“合同”第一条第1至6款和第二条的，除按甲方单位的廉政建设规定处罚外，另外罚款2000元至4000元；给乙方单位造成损失的，应予以赔偿。</w:t>
      </w: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2、乙方有违反本“合同”第一条第1至第6款和第三条的，除乙方单位的廉政建设规定处罚外，视情节轻重和造成损失大小分别给予1万元至5万元的违约罚款的处罚。</w:t>
      </w: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五、对见证单位的约定和授权</w:t>
      </w: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双方约定：本“合同”的监督部门为</w:t>
      </w:r>
      <w:r>
        <w:rPr>
          <w:rFonts w:hint="eastAsia" w:ascii="宋体" w:hAnsi="宋体" w:eastAsia="宋体" w:cs="宋体"/>
          <w:b/>
          <w:bCs/>
          <w:sz w:val="24"/>
          <w:highlight w:val="none"/>
          <w:u w:val="single"/>
        </w:rPr>
        <w:t xml:space="preserve">京杭运河江苏省船闸应急保障中心纪委办公室</w:t>
      </w:r>
      <w:r>
        <w:rPr>
          <w:rFonts w:hint="eastAsia" w:ascii="宋体" w:hAnsi="宋体" w:eastAsia="宋体" w:cs="宋体"/>
          <w:sz w:val="24"/>
          <w:highlight w:val="none"/>
        </w:rPr>
        <w:t xml:space="preserve">，双方授权监督部门主持本“合同”执行情况的检查，提出在本合同规定范围内的裁定意见，执行本“合同”第四条所规定的处罚。</w:t>
      </w: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六、检查方式</w:t>
      </w: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本“合同”的履约情况检查由监督部门主持，甲乙双方共同派人参加，检查方式为座谈、问卷调查、查看资料或由各方约定的其他方式等。检查时间、次数、检查方式、检查结论和处罚意见等由各方协商确定，如无法达成一致的，由见证单位依据事实裁定。</w:t>
      </w: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七、本“合同”有效期为甲乙双方签署之日起至该工程项目验收后止。</w:t>
      </w: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八、本“合同”作为施工合同的附件，与主合同具有同等的法律效力，经协议双方签署后立即生效。</w:t>
      </w: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九、本“合同”一式三份，甲、乙双方各执一份，送交监督部门一份。</w:t>
      </w:r>
      <w:r/>
    </w:p>
    <w:p>
      <w:pPr>
        <w:jc w:val="left"/>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r>
      <w:r/>
    </w:p>
    <w:p>
      <w:pPr>
        <w:jc w:val="left"/>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r>
      <w:r/>
    </w:p>
    <w:p>
      <w:pPr>
        <w:jc w:val="left"/>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r>
      <w:r/>
    </w:p>
    <w:p>
      <w:pPr>
        <w:jc w:val="left"/>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bookmarkStart w:id="164" w:name="_Toc406752723"/>
      <w:r/>
      <w:bookmarkStart w:id="165" w:name="_Toc234382946"/>
      <w:r/>
      <w:bookmarkStart w:id="166" w:name="_Toc211090865"/>
      <w:r>
        <w:rPr>
          <w:rFonts w:hint="eastAsia" w:ascii="宋体" w:hAnsi="宋体" w:eastAsia="宋体" w:cs="宋体"/>
          <w:sz w:val="24"/>
          <w:highlight w:val="none"/>
        </w:rPr>
        <w:t xml:space="preserve">发包人：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（盖单位章） 承包人：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（盖单位章）</w:t>
      </w: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法定代表人                           法定代表人</w:t>
      </w: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或其委托代理人：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（签字）         或其委托代理人：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（签字）</w:t>
      </w:r>
      <w:r/>
    </w:p>
    <w:p>
      <w:pPr>
        <w:ind w:firstLine="1336"/>
        <w:keepLines w:val="0"/>
        <w:keepNext w:val="0"/>
        <w:pageBreakBefore w:val="0"/>
        <w:spacing w:line="288" w:lineRule="auto"/>
        <w:shd w:val="clear" w:color="auto" w:fill="auto"/>
        <w:widowControl w:val="off"/>
        <w:tabs>
          <w:tab w:val="left" w:pos="1425" w:leader="none"/>
          <w:tab w:val="left" w:pos="6360" w:leader="none"/>
        </w:tabs>
        <w:rPr>
          <w:rFonts w:hint="eastAsia" w:ascii="宋体" w:hAnsi="宋体" w:eastAsia="宋体" w:cs="宋体"/>
          <w:bCs/>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月＿日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月＿日</w:t>
      </w: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r>
      <w:r/>
    </w:p>
    <w:p>
      <w:pPr>
        <w:ind w:firstLine="482"/>
        <w:keepLines w:val="0"/>
        <w:keepNext w:val="0"/>
        <w:pageBreakBefore w:val="0"/>
        <w:spacing w:line="288" w:lineRule="auto"/>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b/>
          <w:bCs/>
          <w:sz w:val="24"/>
          <w:highlight w:val="none"/>
        </w:rPr>
        <w:t xml:space="preserve">附件三：</w:t>
      </w:r>
      <w:bookmarkEnd w:id="164"/>
      <w:r/>
      <w:bookmarkEnd w:id="165"/>
      <w:r/>
      <w:bookmarkEnd w:id="166"/>
      <w:r/>
      <w:r/>
    </w:p>
    <w:p>
      <w:pPr>
        <w:jc w:val="center"/>
        <w:keepLines w:val="0"/>
        <w:keepNext w:val="0"/>
        <w:pageBreakBefore w:val="0"/>
        <w:spacing w:line="288" w:lineRule="auto"/>
        <w:shd w:val="clear" w:color="auto" w:fill="auto"/>
        <w:widowControl w:val="off"/>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安全生产合同</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为在</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（项目名称）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标段施工合同的实施过程中创造安全、高效的施工环境，切实搞好本项目的安全管理工作，本项目发包人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（发包人名称，以下简称“发包人”）与承包人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（承包人名称，以下简称“承包人”）特此签订安全生产合同：</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1、发包人职责</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（1）严格遵守国家有关安全生产的法律法规，认真执行工程承包合同中的有关安全要求。</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（2）按照“安全第一、预防为主、综合治理”和坚持“管生产必须管安全”的原则进行安全生产管理，做到生产与安全工作同时计划、布置、检查、总结和评比。</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（3）重要的安全设施必须坚持与主体工程“三同时”的原则，即：同时设计、审批，同时施工，同时验收，投入使用。</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（4）定期召开安全生产调度会，及时传达中央及地方有关安全生产的精神。</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（5）组织对承包人施工现场进行安全生产检查，监督承包人及时处理发现的各种安全隐患。</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2、承包人职责</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（1）严格遵守《中华人民共和国安全生产法》、《建设工程安全生产管理条例》等国家有关安全生产的法律法规等有关安全生产的规定。认真执行工程承包合同中的有关安全要求。</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（4）承包人在任何时候都应采取各种合理的预防措施，防止其员工发生任何违法、违禁、暴力或妨碍治安的行为。</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（7）操作人员上岗，必须按规定穿戴防护用品。施工负责人和安全检查员应随时检查劳动防护用品的穿戴情况，不按规定穿戴防护用品的人员不得上岗。</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（8）所有施工机具设备和高空作业的设备均应定期检查，并有安全员的签字记录，保证其经常处于完好状态；不合格的机具、设备和劳动保护用品严禁使用。</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（9）施工中采用新技术、新工艺、新设备、新材料时，必须制定相应的安全技术措施，施工现场必须具有相关的安全标志牌。</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（11）安全生产费用按照《公路水运工程安全生产监督管理办法》的相关规定使用和管理。</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3、违约责任</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如因发包人或承包人违约造成安全事故，将依法追究责任。</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4、本合同由双方法定代表人或其授权的代理人签署并加盖单位章后生效，全部工程竣工验收后失效。</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5、本合同正本叁份、副本</w:t>
      </w:r>
      <w:r>
        <w:rPr>
          <w:rFonts w:hint="eastAsia" w:ascii="宋体" w:hAnsi="宋体" w:eastAsia="宋体" w:cs="宋体"/>
          <w:sz w:val="24"/>
          <w:highlight w:val="none"/>
          <w:u w:val="single"/>
        </w:rPr>
        <w:t xml:space="preserve">叁</w:t>
      </w:r>
      <w:r>
        <w:rPr>
          <w:rFonts w:hint="eastAsia" w:ascii="宋体" w:hAnsi="宋体" w:eastAsia="宋体" w:cs="宋体"/>
          <w:sz w:val="24"/>
          <w:highlight w:val="none"/>
        </w:rPr>
        <w:t xml:space="preserve">份，合同双方各执正本一份，副本</w:t>
      </w:r>
      <w:r>
        <w:rPr>
          <w:rFonts w:hint="eastAsia" w:ascii="宋体" w:hAnsi="宋体" w:eastAsia="宋体" w:cs="宋体"/>
          <w:sz w:val="24"/>
          <w:highlight w:val="none"/>
          <w:u w:val="single"/>
        </w:rPr>
        <w:t xml:space="preserve">一 </w:t>
      </w:r>
      <w:r>
        <w:rPr>
          <w:rFonts w:hint="eastAsia" w:ascii="宋体" w:hAnsi="宋体" w:eastAsia="宋体" w:cs="宋体"/>
          <w:sz w:val="24"/>
          <w:highlight w:val="none"/>
        </w:rPr>
        <w:t xml:space="preserve">份，当正本与副本的内容不一致时，以正本为准。</w:t>
      </w:r>
      <w:r/>
    </w:p>
    <w:p>
      <w:pPr>
        <w:ind w:firstLine="72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bookmarkStart w:id="167" w:name="_Toc211090866"/>
      <w:r>
        <w:rPr>
          <w:rFonts w:hint="eastAsia" w:ascii="宋体" w:hAnsi="宋体" w:eastAsia="宋体" w:cs="宋体"/>
          <w:sz w:val="24"/>
          <w:highlight w:val="none"/>
        </w:rPr>
        <w:t xml:space="preserve">发包人：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（盖单位章） 承包人：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（盖单位章）</w:t>
      </w: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法定代表人                           法定代表人</w:t>
      </w:r>
      <w:r/>
    </w:p>
    <w:p>
      <w:pPr>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或其委托代理人：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（签字）         或其委托代理人：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（签字）</w:t>
      </w:r>
      <w:r/>
    </w:p>
    <w:p>
      <w:pPr>
        <w:ind w:firstLine="1336"/>
        <w:keepLines w:val="0"/>
        <w:keepNext w:val="0"/>
        <w:pageBreakBefore w:val="0"/>
        <w:spacing w:line="288" w:lineRule="auto"/>
        <w:shd w:val="clear" w:color="auto" w:fill="auto"/>
        <w:widowControl w:val="off"/>
        <w:tabs>
          <w:tab w:val="left" w:pos="1425" w:leader="none"/>
          <w:tab w:val="left" w:pos="6360" w:leader="none"/>
        </w:tabs>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月＿日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月＿日</w:t>
      </w:r>
      <w:r/>
    </w:p>
    <w:p>
      <w:pPr>
        <w:ind w:firstLine="1336"/>
        <w:keepLines w:val="0"/>
        <w:keepNext w:val="0"/>
        <w:pageBreakBefore w:val="0"/>
        <w:spacing w:line="288" w:lineRule="auto"/>
        <w:shd w:val="clear" w:color="auto" w:fill="auto"/>
        <w:widowControl w:val="off"/>
        <w:tabs>
          <w:tab w:val="left" w:pos="1425" w:leader="none"/>
          <w:tab w:val="left" w:pos="6360" w:leader="none"/>
        </w:tabs>
        <w:rPr>
          <w:rFonts w:hint="eastAsia" w:ascii="宋体" w:hAnsi="宋体" w:eastAsia="宋体" w:cs="宋体"/>
          <w:sz w:val="24"/>
          <w:highlight w:val="none"/>
        </w:rPr>
      </w:pPr>
      <w:r>
        <w:rPr>
          <w:rFonts w:hint="eastAsia" w:ascii="宋体" w:hAnsi="宋体" w:eastAsia="宋体" w:cs="宋体"/>
          <w:sz w:val="24"/>
          <w:highlight w:val="none"/>
        </w:rPr>
      </w:r>
      <w:r/>
    </w:p>
    <w:p>
      <w:pPr>
        <w:ind w:firstLine="1336"/>
        <w:keepLines w:val="0"/>
        <w:keepNext w:val="0"/>
        <w:pageBreakBefore w:val="0"/>
        <w:spacing w:line="288" w:lineRule="auto"/>
        <w:shd w:val="clear" w:color="auto" w:fill="auto"/>
        <w:widowControl w:val="off"/>
        <w:tabs>
          <w:tab w:val="left" w:pos="1425" w:leader="none"/>
          <w:tab w:val="left" w:pos="6360" w:leader="none"/>
        </w:tabs>
        <w:rPr>
          <w:rFonts w:hint="eastAsia" w:ascii="宋体" w:hAnsi="宋体" w:eastAsia="宋体" w:cs="宋体"/>
          <w:sz w:val="24"/>
          <w:highlight w:val="none"/>
        </w:rPr>
      </w:pPr>
      <w:r>
        <w:rPr>
          <w:rFonts w:hint="eastAsia" w:ascii="宋体" w:hAnsi="宋体" w:eastAsia="宋体" w:cs="宋体"/>
          <w:sz w:val="24"/>
          <w:highlight w:val="none"/>
        </w:rPr>
      </w:r>
      <w:r/>
    </w:p>
    <w:p>
      <w:pPr>
        <w:ind w:firstLine="1336"/>
        <w:keepLines w:val="0"/>
        <w:keepNext w:val="0"/>
        <w:pageBreakBefore w:val="0"/>
        <w:spacing w:line="288" w:lineRule="auto"/>
        <w:shd w:val="clear" w:color="auto" w:fill="auto"/>
        <w:widowControl w:val="off"/>
        <w:tabs>
          <w:tab w:val="left" w:pos="1425" w:leader="none"/>
          <w:tab w:val="left" w:pos="6360" w:leader="none"/>
        </w:tabs>
        <w:rPr>
          <w:rFonts w:hint="eastAsia" w:ascii="宋体" w:hAnsi="宋体" w:eastAsia="宋体" w:cs="宋体"/>
          <w:sz w:val="24"/>
          <w:highlight w:val="none"/>
        </w:rPr>
      </w:pPr>
      <w:r>
        <w:rPr>
          <w:rFonts w:hint="eastAsia" w:ascii="宋体" w:hAnsi="宋体" w:eastAsia="宋体" w:cs="宋体"/>
          <w:sz w:val="24"/>
          <w:highlight w:val="none"/>
        </w:rPr>
      </w:r>
      <w:r/>
    </w:p>
    <w:p>
      <w:pPr>
        <w:ind w:firstLine="1336"/>
        <w:keepLines w:val="0"/>
        <w:keepNext w:val="0"/>
        <w:pageBreakBefore w:val="0"/>
        <w:spacing w:line="288" w:lineRule="auto"/>
        <w:shd w:val="clear" w:color="auto" w:fill="auto"/>
        <w:widowControl w:val="off"/>
        <w:tabs>
          <w:tab w:val="left" w:pos="1425" w:leader="none"/>
          <w:tab w:val="left" w:pos="6360"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1058"/>
        <w:numPr>
          <w:ilvl w:val="0"/>
          <w:numId w:val="0"/>
        </w:numPr>
        <w:jc w:val="center"/>
        <w:keepLines w:val="0"/>
        <w:keepNext w:val="0"/>
        <w:pageBreakBefore w:val="0"/>
        <w:spacing w:before="0" w:after="0" w:line="360" w:lineRule="auto"/>
        <w:shd w:val="clear" w:color="auto" w:fill="auto"/>
        <w:widowControl w:val="off"/>
        <w:tabs>
          <w:tab w:val="left" w:pos="0" w:leader="none"/>
          <w:tab w:val="left" w:pos="3165" w:leader="none"/>
          <w:tab w:val="center" w:pos="4153" w:leader="none"/>
        </w:tabs>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1058"/>
        <w:numPr>
          <w:ilvl w:val="0"/>
          <w:numId w:val="0"/>
        </w:numPr>
        <w:jc w:val="center"/>
        <w:keepLines w:val="0"/>
        <w:keepNext w:val="0"/>
        <w:pageBreakBefore w:val="0"/>
        <w:spacing w:before="0" w:after="0" w:line="360" w:lineRule="auto"/>
        <w:shd w:val="clear" w:color="auto" w:fill="auto"/>
        <w:widowControl w:val="off"/>
        <w:tabs>
          <w:tab w:val="left" w:pos="0" w:leader="none"/>
          <w:tab w:val="left" w:pos="3165" w:leader="none"/>
          <w:tab w:val="center" w:pos="4153" w:leader="none"/>
        </w:tabs>
        <w:rPr>
          <w:rFonts w:hint="eastAsia" w:ascii="宋体" w:hAnsi="宋体" w:eastAsia="宋体" w:cs="宋体"/>
          <w:sz w:val="32"/>
          <w:szCs w:val="32"/>
          <w:highlight w:val="none"/>
        </w:rPr>
      </w:pPr>
      <w:r>
        <w:rPr>
          <w:rFonts w:hint="eastAsia" w:ascii="宋体" w:hAnsi="宋体" w:eastAsia="宋体" w:cs="宋体"/>
          <w:sz w:val="32"/>
          <w:szCs w:val="32"/>
          <w:highlight w:val="none"/>
          <w:lang w:val="en-US" w:eastAsia="zh-CN"/>
        </w:rPr>
        <w:t xml:space="preserve">第五章  </w:t>
      </w:r>
      <w:r>
        <w:rPr>
          <w:rFonts w:hint="eastAsia" w:ascii="宋体" w:hAnsi="宋体" w:eastAsia="宋体" w:cs="宋体"/>
          <w:sz w:val="32"/>
          <w:szCs w:val="32"/>
          <w:highlight w:val="none"/>
        </w:rPr>
        <w:t xml:space="preserve"> 工程量清单</w:t>
      </w:r>
      <w:bookmarkEnd w:id="167"/>
      <w:r/>
      <w:r/>
    </w:p>
    <w:tbl>
      <w:tblPr>
        <w:tblStyle w:val="847"/>
        <w:tblW w:w="915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56"/>
        <w:gridCol w:w="1678"/>
        <w:gridCol w:w="5217"/>
        <w:gridCol w:w="623"/>
        <w:gridCol w:w="1176"/>
      </w:tblGrid>
      <w:tr>
        <w:trPr>
          <w:trHeight w:val="300"/>
        </w:trPr>
        <w:tc>
          <w:tcPr>
            <w:gridSpan w:val="5"/>
            <w:shd w:val="clear" w:color="auto" w:fill="auto"/>
            <w:tcBorders>
              <w:top w:val="none" w:color="000000" w:sz="4" w:space="0"/>
              <w:left w:val="none" w:color="000000" w:sz="4" w:space="0"/>
              <w:bottom w:val="none" w:color="000000" w:sz="4" w:space="0"/>
              <w:right w:val="none" w:color="000000" w:sz="4" w:space="0"/>
            </w:tcBorders>
            <w:tcW w:w="9150" w:type="dxa"/>
            <w:vAlign w:val="center"/>
            <w:textDirection w:val="lrTb"/>
            <w:noWrap w:val="false"/>
          </w:tcPr>
          <w:p>
            <w:pPr>
              <w:jc w:val="center"/>
              <w:keepLines w:val="0"/>
              <w:keepNext w:val="0"/>
              <w:shd w:val="clear" w:color="auto" w:fill="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苏北运河检修门存放基地扩容及功能完善项目工程量清单</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项目特征</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计量单位</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工程数量</w:t>
            </w:r>
            <w:r/>
          </w:p>
        </w:tc>
      </w:tr>
      <w:tr>
        <w:trPr>
          <w:cantSplit/>
          <w:trHeight w:val="567"/>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泗阳基地扩容</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cantSplit/>
          <w:trHeight w:val="1043"/>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挖一般土方</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1.土壤类别:详见地质勘探报告。</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2.挖土深度:≤1.5m。</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3.其他要求及说明:详见设计图纸。</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2045.300 </w:t>
            </w:r>
            <w:r/>
          </w:p>
        </w:tc>
      </w:tr>
      <w:tr>
        <w:trPr>
          <w:cantSplit/>
          <w:trHeight w:val="1096"/>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挖基坑土方</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1.土壤类别:详见地质勘探报告。</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2.挖土深度:≤4m。</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3.其他要求及说明:详见设计图纸。</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557.890 </w:t>
            </w:r>
            <w:r/>
          </w:p>
        </w:tc>
      </w:tr>
      <w:tr>
        <w:trPr>
          <w:cantSplit/>
          <w:trHeight w:val="1043"/>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1.废弃料品种:余土。</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2.弃土运距:投标人根据施工现场实际情况自行考虑外运方式、装卸、运距及处置费用等。</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996.795</w:t>
            </w:r>
            <w:r/>
          </w:p>
        </w:tc>
      </w:tr>
      <w:tr>
        <w:trPr>
          <w:cantSplit/>
          <w:trHeight w:val="567"/>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土方回填</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1.密实度要求:满足设计和规范要求。</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2.填方材料品种:素土分层回填压实。</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1606.395</w:t>
            </w:r>
            <w:r/>
          </w:p>
        </w:tc>
      </w:tr>
      <w:tr>
        <w:trPr>
          <w:cantSplit/>
          <w:trHeight w:val="567"/>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填(铺)筑垫层（500mm厚）</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1.石料规格:级配碎石。</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2.厚度:500mm。</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369.600 </w:t>
            </w:r>
            <w:r/>
          </w:p>
        </w:tc>
      </w:tr>
      <w:tr>
        <w:trPr>
          <w:cantSplit/>
          <w:trHeight w:val="567"/>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填(铺)筑垫层（100mm厚）</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1.石料规格:级配碎石。</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2.厚度:100mm。</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178.660 </w:t>
            </w:r>
            <w:r/>
          </w:p>
        </w:tc>
      </w:tr>
      <w:tr>
        <w:trPr>
          <w:cantSplit/>
          <w:trHeight w:val="1149"/>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left"/>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灯杆基础垫层（200mm厚）级配碎石</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1.石料规格:灯杆基础级配碎石。</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2.厚度:200mm。</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19.360 </w:t>
            </w:r>
            <w:r/>
          </w:p>
        </w:tc>
      </w:tr>
      <w:tr>
        <w:trPr>
          <w:cantSplit/>
          <w:trHeight w:val="567"/>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C30枕木砼基础</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1.混凝土种类及强度:C30商品砼。</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2.施工部位:枕木基础</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3.其他说明:本项目报价包括模板支护拆除等措施项目费用报价。</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151.200 </w:t>
            </w:r>
            <w:r/>
          </w:p>
        </w:tc>
      </w:tr>
      <w:tr>
        <w:trPr>
          <w:cantSplit/>
          <w:trHeight w:val="2057"/>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C30砼面层（150mm厚）</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1.面层:150mm厚C30商品砼混凝土压模面层。</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2.切缝:道路纵缝间距3m，横缝5m，堆场（除摆放区域外）纵缝间距4m，横缝5m，可根据现场实际情况确定。</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3.其他说明:本项目报价包括模板支护拆除等措施项目费用报价。</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239.000 </w:t>
            </w:r>
            <w:r/>
          </w:p>
        </w:tc>
      </w:tr>
      <w:tr>
        <w:trPr>
          <w:cantSplit/>
          <w:trHeight w:val="567"/>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新建高杆灯基础C30商品砼）</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1.混凝土种类及强度:C30商品砼。</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2.施工部位:枕木基础</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3.其他说明:本项目报价包括模板支护拆除等措施项目费用报价。</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72.280 </w:t>
            </w:r>
            <w:r/>
          </w:p>
        </w:tc>
      </w:tr>
      <w:tr>
        <w:trPr>
          <w:cantSplit/>
          <w:trHeight w:val="1901"/>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C20砼垫层</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1.混凝土种类强度等级:C20商品砼（包含灯杆垫层）</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2.厚度：100mm</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3.其他说明:本项目报价包括模板支护拆除等措施项目费用报价。</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43.240 </w:t>
            </w:r>
            <w:r/>
          </w:p>
        </w:tc>
      </w:tr>
      <w:tr>
        <w:trPr>
          <w:cantSplit/>
          <w:trHeight w:val="1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现浇混凝土钢筋</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1.钢筋种类:HRB400。</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2.钢筋规格:Φ16。</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3.施工部位:枕木基础钢筋。</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28.805 </w:t>
            </w:r>
            <w:r/>
          </w:p>
        </w:tc>
      </w:tr>
      <w:tr>
        <w:trPr>
          <w:cantSplit/>
          <w:trHeight w:val="794"/>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left"/>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灯杆基础钢筋制作安装1</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left"/>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1.钢筋种类:20HRB400。</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2.施工部位：灯杆基础钢筋。</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3.900 </w:t>
            </w:r>
            <w:r/>
          </w:p>
        </w:tc>
      </w:tr>
      <w:tr>
        <w:trPr>
          <w:cantSplit/>
          <w:trHeight w:val="567"/>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left"/>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灯杆基础钢筋制作安装2</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left"/>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1.钢筋种类：Φ10HPB300。</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2.施工部位：灯杆基础钢筋。</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0.540 </w:t>
            </w:r>
            <w:r/>
          </w:p>
        </w:tc>
      </w:tr>
      <w:tr>
        <w:trPr>
          <w:cantSplit/>
          <w:trHeight w:val="213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基地扩容防腐枕木</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1.防腐木规格：泗阳基地扩容防腐枕木(3500*240*160mm）42根。</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2.预埋螺栓螺帽及材质：Q235B钢材，M24螺栓（L350mm）及配套垫片、螺帽252套。</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3.压条材质规格：304不锈钢压条，规格760×50×10mm，126根。</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42.000 </w:t>
            </w:r>
            <w:r/>
          </w:p>
        </w:tc>
      </w:tr>
      <w:tr>
        <w:trPr>
          <w:cantSplit/>
          <w:trHeight w:val="2164"/>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现状绿化、灯具、监控等设施设备移除及部分恢复</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1.项目内容:现状移除绿化2135.9㎡、灯具8套、线杆3根、监控5套、标牌2块等设施设备及部分恢复</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2.其他说明:投标人应自行勘察现场，充分考虑现场不利状况，清单报价应包括拆除、装卸、外运、处置及拆除清理等所有费用。</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 </w:t>
            </w:r>
            <w:r/>
          </w:p>
        </w:tc>
      </w:tr>
      <w:tr>
        <w:trPr>
          <w:cantSplit/>
          <w:trHeight w:val="1741"/>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更换不锈钢推拉门</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项目内容</w:t>
            </w:r>
            <w:r>
              <w:rPr>
                <w:rFonts w:hint="eastAsia" w:ascii="宋体" w:hAnsi="宋体" w:eastAsia="宋体" w:cs="宋体"/>
                <w:i w:val="0"/>
                <w:iCs w:val="0"/>
                <w:color w:val="000000"/>
                <w:sz w:val="24"/>
                <w:szCs w:val="24"/>
                <w:highlight w:val="none"/>
                <w:u w:val="none"/>
                <w:lang w:val="en-US" w:eastAsia="zh-CN" w:bidi="ar"/>
              </w:rPr>
              <w:t xml:space="preserve">:更换不锈钢推拉门（门宽不小于6米）</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2.其他说明:成套外购订制成品推拉门，质量符合现行国家相关质量验收标准，颜色、式样等定制前报样品及资料经招标人审核确认后采购。</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 </w:t>
            </w:r>
            <w:r/>
          </w:p>
        </w:tc>
      </w:tr>
      <w:tr>
        <w:trPr>
          <w:cantSplit/>
          <w:trHeight w:val="313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可升降中杆灯</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1.名称:可升降中杆灯12x400W LED灯15米高</w:t>
            </w:r>
            <w:r/>
          </w:p>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其他说明:可升降中杆灯具体要求详见设计图纸，外购订制成套成品中杆灯，包含且不限于可升降灯杆、预埋铁件及螺栓螺帽制作安装（具体要求详见设计图纸或满足定制中杆灯厂家预埋及安全要求）、预埋管、灯具、接入电缆、控制装置、防雷接地（接地极及接地母线）及安装、调试等全部费用；定制前提交资料经发包人、设计人审核确认后采购。</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 </w:t>
            </w:r>
            <w:r/>
          </w:p>
        </w:tc>
      </w:tr>
      <w:tr>
        <w:trPr>
          <w:cantSplit/>
          <w:trHeight w:val="567"/>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泗阳基地功能完善</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cantSplit/>
          <w:trHeight w:val="2394"/>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64" w:lineRule="auto"/>
              <w:shd w:val="clear" w:color="auto" w:fill="auto"/>
              <w:widowControl w:val="off"/>
              <w:rPr>
                <w:rFonts w:hint="default"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泗阳基地功能完善更换防腐枕木</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1.防腐木规格：拆除更换3000×240×160mm，20根。</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2.植筋螺栓螺帽及材质：Q235B钢材，M24螺栓（L400mm）及配套垫片、螺帽120套。</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3.压条材质规格：316不锈钢压条，规格720×50×10mm，60根。</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 </w:t>
            </w:r>
            <w:r/>
          </w:p>
        </w:tc>
      </w:tr>
      <w:tr>
        <w:trPr>
          <w:cantSplit/>
          <w:trHeight w:val="3982"/>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泗阳基地功能完善室外红外高清网络球型摄像机400万像素</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1.项目内容:：传感器：≥1/1 .8"宽动态低照度CMOS，分辨率：1920×1080@30fps，宽动态范围：≥120dB，红外距离不小于150米；广角镜头，自动聚焦，自动ICR 彩转黑，强光抑制，支持onvif 等协议，支持360°水平旋转，工作温度：-20℃~+50℃（室内）-40℃~+60℃（室外），室外型达IP66 防护等级。</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2.其他说明:相关配套电气可根据不同产品要求及现场条件适当调整，具体实施方案需符合相关规范要求，并报业主认可。</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3.技术要求:详见设计图纸。</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 </w:t>
            </w:r>
            <w:r/>
          </w:p>
        </w:tc>
      </w:tr>
      <w:tr>
        <w:trPr>
          <w:cantSplit/>
          <w:trHeight w:val="4324"/>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泗阳基地功能完善网络视频存储设备</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1.项目内容:可接驳符合ONVIF、PSIA、RTSP 等标准及众多主流厂商的网络摄像机；支持视频分辨率为1920*1080 等；支持不少于16 个SATA 接口；录像存储，所有视频图像尺寸应符合以上标准；支持一键开启录像功能；支持冗余录像、假日录像和抓图计划配置；支持不小于16 路同步回放及多路同步倒放；平均无故障时间不少于60000 小时等。</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2.其他说明:相关配套电气可根据不同产品要求及现场条件适当调整，具体实施方案需符合相关规范要求，并报业主认可。</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3.技术要求:详见设计图纸。</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 </w:t>
            </w:r>
            <w:r/>
          </w:p>
        </w:tc>
      </w:tr>
      <w:tr>
        <w:trPr>
          <w:cantSplit/>
          <w:trHeight w:val="2244"/>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泗阳基地功能完善硬盘</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1.项目内容:4T/块，与网络视频存储设备配套使用。</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2.其他说明:相关配套电气可根据不同产品要求及现场条件适当调整，具体实施方案需符合相关规范要求，并报业主认可。</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3.技术要求:详见设计图纸。</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64"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 </w:t>
            </w:r>
            <w:r/>
          </w:p>
        </w:tc>
      </w:tr>
      <w:tr>
        <w:trPr>
          <w:cantSplit/>
          <w:trHeight w:val="187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刘老涧基地功能完善更换防腐枕木</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1.防腐木规格：拆除更换3200×240×160mm，36根。</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2.植筋螺栓螺帽及材质：Q235B钢材，M24螺栓（L400mm）及配套垫片、螺帽216套。</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3.压条材质规格：316不锈钢压条，规格720×50×10mm，108根。</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 </w:t>
            </w:r>
            <w:r/>
          </w:p>
        </w:tc>
      </w:tr>
      <w:tr>
        <w:trPr>
          <w:cantSplit/>
          <w:trHeight w:val="3129"/>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刘老涧基地功能完善室外红外高清网络球型摄像机400万像素</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1.项目内容:：传感器：≥1/1 .8"宽动态低照度CMOS，分辨率：1920×1080@30fps，宽动态范围：≥120dB，红外距离不小于150米；广角镜头，自动聚焦，自动ICR 彩转黑，强光抑制，支持onvif 等协议，支持360°水平旋转，工作温度：-20℃~+50℃（室内）-40℃~+60℃（室外），室外型达IP66 防护等级。</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2.其他说明:相关配套电气可根据不同产品要求及现场条件适当调整，具体实施方案需符合相关规范要求，并报业主认可。</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3.技术要求:详见设计图纸。</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 </w:t>
            </w:r>
            <w:r/>
          </w:p>
        </w:tc>
      </w:tr>
      <w:tr>
        <w:trPr>
          <w:cantSplit/>
          <w:trHeight w:val="351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刘老涧基地功能完善网络视频存储设备</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1.项目内容:可接驳符合ONVIF、PSIA、RTSP 等标准及众多主流厂商的网络摄像机；支持视频分辨率为1920*1080 等；支持不少于16 个SATA 接口；录像存储，所有视频图像尺寸应符合以上标准；支持一键开启录像功能；支持冗余录像、假日录像和抓图计划配置；支持不小于16 路同步回放及多路同步倒放；平均无故障时间不少于60000 小时等。</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2.其他说明:相关配套电气可根据不同产品要求及现场条件适当调整，具体实施方案需符合相关规范要求，并报业主认可。</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3.技术要求:详见设计图纸。</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 </w:t>
            </w:r>
            <w:r/>
          </w:p>
        </w:tc>
      </w:tr>
      <w:tr>
        <w:trPr>
          <w:cantSplit/>
          <w:trHeight w:val="1861"/>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刘老涧基地功能完善硬盘</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1.项目内容:4T/块，与网络视频存储设备配套使用。</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2.其他说明:相关配套电气可根据不同产品要求及现场条件适当调整，具体实施方案需符合相关规范要求，并报业主认可。</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3.技术要求:详见设计图纸。</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 </w:t>
            </w:r>
            <w:r/>
          </w:p>
        </w:tc>
      </w:tr>
      <w:tr>
        <w:trPr>
          <w:cantSplit/>
          <w:trHeight w:val="2034"/>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刘山基地功能完善更换防腐枕木</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1.防腐木规格：拆除更换(3000*240*160mm40根，3200*240*160mm8根。</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2.植筋螺栓螺帽及材质：Q235B钢材，M24螺栓（L400mm）及配套垫片、螺帽288套。</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3.压条材质规格：316不锈钢压条，规格720×50×10mm，144根。</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 </w:t>
            </w:r>
            <w:r/>
          </w:p>
        </w:tc>
      </w:tr>
      <w:tr>
        <w:trPr>
          <w:cantSplit/>
          <w:trHeight w:val="362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刘山基地功能完善室外红外高清网络球型摄像机400万像素</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1.项目内容:：传感器：≥1/1 .8"宽动态低照度CMOS，分辨率：1920×1080@30fps，宽动态范围：≥120dB，红外距离不小于150米；广角镜头，自动聚焦，自动ICR 彩转黑，强光抑制，支持onvif 等协议，支持360°水平旋转，工作温度：-20℃~+50℃（室内）-40℃~+60℃（室外），室外型达IP66 防护等级。</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2.其他说明:相关配套电气可根据不同产品要求及现场条件适当调整，具体实施方案需符合相关规范要求，并报业主认可。</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3.技术要求:详见设计图纸。</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 </w:t>
            </w:r>
            <w:r/>
          </w:p>
        </w:tc>
      </w:tr>
      <w:tr>
        <w:trPr>
          <w:cantSplit/>
          <w:trHeight w:val="3899"/>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刘山基地功能完善网络视频存储设备</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1.项目内容:可接驳符合ONVIF、PSIA、RTSP 等标准及众多主流厂商的网络摄像机；支持视频分辨率为1920*1080 等；支持不少于16 个SATA 接口；录像存储，所有视频图像尺寸应符合以上标准；支持一键开启录像功能；支持冗余录像、假日录像和抓图计划配置；支持不小于16 路同步回放及多路同步倒放；平均无故障时间不少于60000 小时等。</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2.其他说明:相关配套电气可根据不同产品要求及现场条件适当调整，具体实施方案需符合相关规范要求，并报业主认可。</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3.技术要求:详见设计图纸。</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 </w:t>
            </w:r>
            <w:r/>
          </w:p>
        </w:tc>
      </w:tr>
      <w:tr>
        <w:trPr>
          <w:cantSplit/>
          <w:trHeight w:val="567"/>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刘山基地功能完善硬盘</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1.项目内容:4T/块，与网络视频存储设备配套使用。</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2.其他说明:相关配套电气可根据不同产品要求及现场条件适当调整，具体实施方案需符合相关规范要求，并报业主认可。</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3.技术要求:详见设计图纸。</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40"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 </w:t>
            </w:r>
            <w:r/>
          </w:p>
        </w:tc>
      </w:tr>
      <w:tr>
        <w:trPr>
          <w:cantSplit/>
          <w:trHeight w:val="1337"/>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88"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both"/>
              <w:keepLines w:val="0"/>
              <w:keepNext w:val="0"/>
              <w:pageBreakBefore w:val="0"/>
              <w:spacing w:line="288"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施工临时措施及临时场地、水电、支护、排水等</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both"/>
              <w:keepLines w:val="0"/>
              <w:keepNext w:val="0"/>
              <w:pageBreakBefore w:val="0"/>
              <w:spacing w:line="288"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1.施工内容：施工临时措施及临时场地、水电、支护、排水等.       2.其他说明:投标人应查勘现场，并根据设计图纸要求和自身施工组织设计方案报价。实施前需经招标人审核确认。</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88"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88"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 </w:t>
            </w:r>
            <w:r/>
          </w:p>
        </w:tc>
      </w:tr>
      <w:tr>
        <w:trPr>
          <w:cantSplit/>
          <w:trHeight w:val="567"/>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88" w:lineRule="auto"/>
              <w:shd w:val="clear" w:color="auto" w:fill="auto"/>
              <w:widowControl w:val="off"/>
              <w:rPr>
                <w:rFonts w:hint="default"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both"/>
              <w:keepLines w:val="0"/>
              <w:keepNext w:val="0"/>
              <w:pageBreakBefore w:val="0"/>
              <w:spacing w:line="288"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暂列金额</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left"/>
              <w:keepLines w:val="0"/>
              <w:keepNext w:val="0"/>
              <w:pageBreakBefore w:val="0"/>
              <w:spacing w:line="288"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1.报价规定:</w:t>
            </w:r>
            <w:r>
              <w:rPr>
                <w:rFonts w:hint="eastAsia" w:ascii="宋体" w:hAnsi="宋体" w:eastAsia="宋体" w:cs="宋体"/>
                <w:b/>
                <w:bCs/>
                <w:i w:val="0"/>
                <w:iCs w:val="0"/>
                <w:color w:val="000000"/>
                <w:sz w:val="24"/>
                <w:szCs w:val="24"/>
                <w:highlight w:val="none"/>
                <w:u w:val="none"/>
                <w:lang w:val="en-US" w:eastAsia="zh-CN" w:bidi="ar"/>
              </w:rPr>
              <w:t xml:space="preserve">本暂列金30000元为本项为不可竞争</w:t>
            </w:r>
            <w:r>
              <w:rPr>
                <w:rFonts w:hint="eastAsia" w:ascii="宋体" w:hAnsi="宋体" w:cs="宋体"/>
                <w:b/>
                <w:bCs/>
                <w:i w:val="0"/>
                <w:iCs w:val="0"/>
                <w:color w:val="000000"/>
                <w:sz w:val="24"/>
                <w:szCs w:val="24"/>
                <w:highlight w:val="none"/>
                <w:u w:val="none"/>
                <w:lang w:val="en-US" w:eastAsia="zh-CN" w:bidi="ar"/>
              </w:rPr>
              <w:t xml:space="preserve">费用</w:t>
            </w:r>
            <w:r>
              <w:rPr>
                <w:rFonts w:hint="eastAsia" w:ascii="宋体" w:hAnsi="宋体" w:eastAsia="宋体" w:cs="宋体"/>
                <w:b/>
                <w:bCs/>
                <w:i w:val="0"/>
                <w:iCs w:val="0"/>
                <w:color w:val="000000"/>
                <w:sz w:val="24"/>
                <w:szCs w:val="24"/>
                <w:highlight w:val="none"/>
                <w:u w:val="none"/>
                <w:lang w:val="en-US" w:eastAsia="zh-CN" w:bidi="ar"/>
              </w:rPr>
              <w:t xml:space="preserve">，</w:t>
            </w:r>
            <w:r>
              <w:rPr>
                <w:rFonts w:hint="eastAsia" w:ascii="宋体" w:hAnsi="宋体" w:cs="宋体"/>
                <w:b/>
                <w:bCs/>
                <w:i w:val="0"/>
                <w:iCs w:val="0"/>
                <w:color w:val="000000"/>
                <w:sz w:val="24"/>
                <w:szCs w:val="24"/>
                <w:highlight w:val="none"/>
                <w:u w:val="none"/>
                <w:lang w:val="en-US" w:eastAsia="zh-CN" w:bidi="ar"/>
              </w:rPr>
              <w:t xml:space="preserve">属于不可竞争项，</w:t>
            </w:r>
            <w:r>
              <w:rPr>
                <w:rFonts w:hint="eastAsia" w:ascii="宋体" w:hAnsi="宋体" w:eastAsia="宋体" w:cs="宋体"/>
                <w:b/>
                <w:bCs/>
                <w:i w:val="0"/>
                <w:iCs w:val="0"/>
                <w:color w:val="000000"/>
                <w:sz w:val="24"/>
                <w:szCs w:val="24"/>
                <w:highlight w:val="none"/>
                <w:u w:val="none"/>
                <w:lang w:val="en-US" w:eastAsia="zh-CN" w:bidi="ar"/>
              </w:rPr>
              <w:t xml:space="preserve">投标人投标报价中变动本暂列金的投标评审中视为无效标。</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管理规定:本暂列金用于本工程合同签订时尚未确定或不可预见的所需材料、工程设备、服务的采购，施工中可能发生的工程变更、合同约定调整因素出现时的合同价款调整以及发生的索赔、现场签证确认等的费用。</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88"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88" w:lineRule="auto"/>
              <w:shd w:val="clear" w:color="auto" w:fill="auto"/>
              <w:widowControl w:val="off"/>
              <w:rPr>
                <w:rFonts w:hint="default"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1</w:t>
            </w:r>
            <w:r/>
          </w:p>
        </w:tc>
      </w:tr>
      <w:tr>
        <w:trPr>
          <w:cantSplit/>
          <w:trHeight w:val="567"/>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88"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both"/>
              <w:keepLines w:val="0"/>
              <w:keepNext w:val="0"/>
              <w:pageBreakBefore w:val="0"/>
              <w:spacing w:line="288"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安全生产费用</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numPr>
                <w:ilvl w:val="0"/>
                <w:numId w:val="4"/>
              </w:numPr>
              <w:jc w:val="left"/>
              <w:keepLines w:val="0"/>
              <w:keepNext w:val="0"/>
              <w:pageBreakBefore w:val="0"/>
              <w:spacing w:line="288"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报价金额：安全生产费用为24000元。</w:t>
            </w:r>
            <w:r/>
          </w:p>
          <w:p>
            <w:pPr>
              <w:numPr>
                <w:ilvl w:val="0"/>
                <w:numId w:val="0"/>
              </w:numPr>
              <w:jc w:val="left"/>
              <w:keepLines w:val="0"/>
              <w:keepNext w:val="0"/>
              <w:pageBreakBefore w:val="0"/>
              <w:spacing w:line="288"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2.报价规定：</w:t>
            </w:r>
            <w:r>
              <w:rPr>
                <w:rFonts w:hint="eastAsia" w:ascii="宋体" w:hAnsi="宋体" w:eastAsia="宋体" w:cs="宋体"/>
                <w:b/>
                <w:bCs/>
                <w:i w:val="0"/>
                <w:iCs w:val="0"/>
                <w:color w:val="000000"/>
                <w:sz w:val="24"/>
                <w:szCs w:val="24"/>
                <w:highlight w:val="none"/>
                <w:u w:val="none"/>
                <w:lang w:val="en-US" w:eastAsia="zh-CN" w:bidi="ar"/>
              </w:rPr>
              <w:t xml:space="preserve">本项为不可竞争费用，未报价或报价没有按照上述金额计算的投标文件均做无效标处理。</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88"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88"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 </w:t>
            </w:r>
            <w:r/>
          </w:p>
        </w:tc>
      </w:tr>
      <w:tr>
        <w:trPr>
          <w:cantSplit/>
          <w:trHeight w:val="567"/>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88" w:lineRule="auto"/>
              <w:shd w:val="clear" w:color="auto" w:fill="auto"/>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pageBreakBefore w:val="0"/>
              <w:spacing w:line="288"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both"/>
              <w:keepLines w:val="0"/>
              <w:keepNext w:val="0"/>
              <w:pageBreakBefore w:val="0"/>
              <w:spacing w:line="288"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投标总价（金额以上所有项目全费用清单综合合价之和）</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pageBreakBefore w:val="0"/>
              <w:spacing w:line="288" w:lineRule="auto"/>
              <w:shd w:val="clear" w:color="auto" w:fill="auto"/>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right"/>
              <w:keepLines w:val="0"/>
              <w:keepNext w:val="0"/>
              <w:pageBreakBefore w:val="0"/>
              <w:spacing w:line="288" w:lineRule="auto"/>
              <w:shd w:val="clear" w:color="auto" w:fill="auto"/>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numPr>
          <w:ilvl w:val="0"/>
          <w:numId w:val="0"/>
        </w:numPr>
        <w:jc w:val="both"/>
        <w:spacing w:line="360" w:lineRule="auto"/>
        <w:shd w:val="clear" w:color="auto" w:fill="auto"/>
        <w:widowControl w:val="off"/>
        <w:rPr>
          <w:rFonts w:hint="eastAsia"/>
          <w:highlight w:val="none"/>
        </w:rPr>
        <w:sectPr>
          <w:footerReference w:type="default" r:id="rId14"/>
          <w:footnotePr/>
          <w:endnotePr/>
          <w:type w:val="nextPage"/>
          <w:pgSz w:w="11906" w:h="16838" w:orient="portrait"/>
          <w:pgMar w:top="1417" w:right="1417" w:bottom="1417" w:left="1417" w:header="851" w:footer="992" w:gutter="0"/>
          <w:cols w:num="1" w:sep="0" w:space="1701" w:equalWidth="1"/>
          <w:docGrid w:linePitch="360"/>
        </w:sectPr>
      </w:pPr>
      <w:r>
        <w:rPr>
          <w:rFonts w:hint="eastAsia"/>
          <w:highlight w:val="none"/>
        </w:rPr>
      </w:r>
      <w:r/>
    </w:p>
    <w:p>
      <w:pPr>
        <w:pStyle w:val="1058"/>
        <w:jc w:val="center"/>
        <w:spacing w:before="0" w:after="0" w:line="360" w:lineRule="auto"/>
        <w:shd w:val="clear" w:color="auto" w:fill="auto"/>
        <w:tabs>
          <w:tab w:val="left" w:pos="0" w:leader="none"/>
          <w:tab w:val="left" w:pos="3165" w:leader="none"/>
          <w:tab w:val="center" w:pos="4153" w:leader="none"/>
        </w:tabs>
        <w:rPr>
          <w:rFonts w:hint="eastAsia" w:ascii="宋体" w:hAnsi="宋体" w:cs="宋体"/>
          <w:sz w:val="32"/>
          <w:szCs w:val="32"/>
          <w:highlight w:val="none"/>
        </w:rPr>
        <w:sectPr>
          <w:footnotePr/>
          <w:endnotePr/>
          <w:type w:val="nextPage"/>
          <w:pgSz w:w="11906" w:h="16838" w:orient="portrait"/>
          <w:pgMar w:top="1417" w:right="1417" w:bottom="1417" w:left="1417" w:header="851" w:footer="992" w:gutter="0"/>
          <w:cols w:num="1" w:sep="0" w:space="1701" w:equalWidth="1"/>
          <w:docGrid w:linePitch="360"/>
        </w:sectPr>
      </w:pPr>
      <w:r/>
      <w:bookmarkStart w:id="168" w:name="_Toc406752730"/>
      <w:r/>
      <w:bookmarkStart w:id="169" w:name="_Toc211090867"/>
      <w:r>
        <w:rPr>
          <w:rFonts w:hint="eastAsia" w:ascii="宋体" w:hAnsi="宋体" w:cs="宋体"/>
          <w:sz w:val="32"/>
          <w:szCs w:val="32"/>
          <w:highlight w:val="none"/>
        </w:rPr>
        <w:t xml:space="preserve">第六章  图纸</w:t>
      </w:r>
      <w:bookmarkEnd w:id="168"/>
      <w:r>
        <w:rPr>
          <w:rFonts w:hint="eastAsia" w:ascii="宋体" w:hAnsi="宋体" w:cs="宋体"/>
          <w:sz w:val="32"/>
          <w:szCs w:val="32"/>
          <w:highlight w:val="none"/>
        </w:rPr>
        <w:t xml:space="preserve">（另册）</w:t>
      </w:r>
      <w:bookmarkEnd w:id="169"/>
      <w:r/>
      <w:r/>
    </w:p>
    <w:p>
      <w:pPr>
        <w:pStyle w:val="1058"/>
        <w:jc w:val="center"/>
        <w:spacing w:before="0" w:after="0" w:line="360" w:lineRule="auto"/>
        <w:shd w:val="clear" w:color="auto" w:fill="auto"/>
        <w:tabs>
          <w:tab w:val="left" w:pos="0" w:leader="none"/>
          <w:tab w:val="left" w:pos="3165" w:leader="none"/>
          <w:tab w:val="center" w:pos="4153" w:leader="none"/>
        </w:tabs>
        <w:rPr>
          <w:rFonts w:hint="eastAsia" w:ascii="宋体" w:hAnsi="宋体" w:cs="宋体"/>
          <w:sz w:val="32"/>
          <w:szCs w:val="32"/>
          <w:highlight w:val="none"/>
        </w:rPr>
      </w:pPr>
      <w:r/>
      <w:bookmarkStart w:id="170" w:name="_Toc211090868"/>
      <w:r/>
      <w:bookmarkStart w:id="171" w:name="_Toc406752734"/>
      <w:r>
        <w:rPr>
          <w:rFonts w:hint="eastAsia" w:ascii="宋体" w:hAnsi="宋体" w:cs="宋体"/>
          <w:sz w:val="32"/>
          <w:szCs w:val="32"/>
          <w:highlight w:val="none"/>
        </w:rPr>
        <w:t xml:space="preserve">第七章  技术标准和要求</w:t>
      </w:r>
      <w:bookmarkEnd w:id="170"/>
      <w:r/>
      <w:bookmarkEnd w:id="171"/>
      <w:r/>
      <w:r/>
    </w:p>
    <w:p>
      <w:pPr>
        <w:ind w:firstLine="482"/>
        <w:keepLines w:val="0"/>
        <w:keepNext w:val="0"/>
        <w:pageBreakBefore w:val="0"/>
        <w:spacing w:line="288" w:lineRule="auto"/>
        <w:shd w:val="clear" w:color="auto" w:fill="auto"/>
        <w:widowControl w:val="off"/>
        <w:rPr>
          <w:rFonts w:hint="eastAsia" w:ascii="宋体" w:hAnsi="宋体" w:cs="宋体"/>
          <w:b/>
          <w:bCs/>
          <w:sz w:val="24"/>
          <w:highlight w:val="none"/>
        </w:rPr>
      </w:pPr>
      <w:r/>
      <w:bookmarkStart w:id="172" w:name="_Toc406752742"/>
      <w:r>
        <w:rPr>
          <w:rFonts w:hint="eastAsia" w:ascii="宋体" w:hAnsi="宋体" w:cs="宋体"/>
          <w:b/>
          <w:bCs/>
          <w:sz w:val="24"/>
          <w:highlight w:val="none"/>
        </w:rPr>
        <w:t xml:space="preserve">一、见水运工程标准施工招标文件及本项目施工图设计的设计</w:t>
      </w:r>
      <w:r>
        <w:rPr>
          <w:rFonts w:hint="eastAsia" w:ascii="宋体" w:hAnsi="宋体" w:cs="宋体"/>
          <w:b/>
          <w:bCs/>
          <w:sz w:val="24"/>
          <w:highlight w:val="none"/>
          <w:lang w:val="en-US" w:eastAsia="zh-CN"/>
        </w:rPr>
        <w:t xml:space="preserve">图纸</w:t>
      </w:r>
      <w:r>
        <w:rPr>
          <w:rFonts w:hint="eastAsia" w:ascii="宋体" w:hAnsi="宋体" w:cs="宋体"/>
          <w:b/>
          <w:bCs/>
          <w:sz w:val="24"/>
          <w:highlight w:val="none"/>
        </w:rPr>
        <w:t xml:space="preserve">。</w:t>
      </w:r>
      <w:bookmarkEnd w:id="172"/>
      <w:r/>
      <w:r/>
    </w:p>
    <w:p>
      <w:pPr>
        <w:ind w:firstLine="480"/>
        <w:keepLines w:val="0"/>
        <w:keepNext w:val="0"/>
        <w:pageBreakBefore w:val="0"/>
        <w:spacing w:line="288" w:lineRule="auto"/>
        <w:shd w:val="clear" w:color="auto" w:fill="auto"/>
        <w:widowControl w:val="off"/>
        <w:rPr>
          <w:rFonts w:hint="default" w:ascii="宋体" w:hAnsi="宋体" w:eastAsia="宋体" w:cs="宋体"/>
          <w:sz w:val="24"/>
          <w:highlight w:val="none"/>
        </w:rPr>
      </w:pPr>
      <w:r>
        <w:rPr>
          <w:rFonts w:hint="eastAsia" w:ascii="宋体" w:hAnsi="宋体" w:cs="宋体"/>
          <w:b/>
          <w:bCs/>
          <w:sz w:val="24"/>
          <w:highlight w:val="none"/>
          <w:lang w:val="en-US" w:bidi="zh-CN"/>
        </w:rPr>
        <w:t xml:space="preserve">二、</w:t>
      </w:r>
      <w:r>
        <w:rPr>
          <w:rFonts w:hint="eastAsia" w:ascii="宋体" w:hAnsi="宋体" w:cs="宋体"/>
          <w:b/>
          <w:bCs/>
          <w:sz w:val="24"/>
          <w:highlight w:val="none"/>
          <w:lang w:bidi="zh-CN"/>
        </w:rPr>
        <w:t xml:space="preserve">工程量清单编制</w:t>
      </w:r>
      <w:r>
        <w:rPr>
          <w:rFonts w:hint="eastAsia" w:ascii="宋体" w:hAnsi="宋体" w:cs="宋体"/>
          <w:b/>
          <w:bCs/>
          <w:sz w:val="24"/>
          <w:highlight w:val="none"/>
          <w:lang w:val="en-US" w:bidi="zh-CN"/>
        </w:rPr>
        <w:t xml:space="preserve">依据：</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1、南京水科院瑞迪科技集团有限公司</w:t>
      </w:r>
      <w:r>
        <w:rPr>
          <w:rFonts w:hint="default" w:ascii="宋体" w:hAnsi="宋体" w:eastAsia="宋体" w:cs="宋体"/>
          <w:sz w:val="24"/>
          <w:highlight w:val="none"/>
          <w:lang w:val="en-US" w:eastAsia="zh-CN"/>
        </w:rPr>
        <w:t xml:space="preserve">2026 </w:t>
      </w:r>
      <w:r>
        <w:rPr>
          <w:rFonts w:hint="eastAsia" w:ascii="宋体" w:hAnsi="宋体" w:eastAsia="宋体" w:cs="宋体"/>
          <w:sz w:val="24"/>
          <w:highlight w:val="none"/>
          <w:lang w:val="en-US" w:eastAsia="zh-CN"/>
        </w:rPr>
        <w:t xml:space="preserve">年7</w:t>
      </w:r>
      <w:r>
        <w:rPr>
          <w:rFonts w:hint="default" w:ascii="宋体" w:hAnsi="宋体" w:eastAsia="宋体" w:cs="宋体"/>
          <w:sz w:val="24"/>
          <w:highlight w:val="none"/>
          <w:lang w:val="en-US" w:eastAsia="zh-CN"/>
        </w:rPr>
        <w:t xml:space="preserve"> </w:t>
      </w:r>
      <w:r>
        <w:rPr>
          <w:rFonts w:hint="eastAsia" w:ascii="宋体" w:hAnsi="宋体" w:eastAsia="宋体" w:cs="宋体"/>
          <w:sz w:val="24"/>
          <w:highlight w:val="none"/>
          <w:lang w:val="en-US" w:eastAsia="zh-CN"/>
        </w:rPr>
        <w:t xml:space="preserve">月设计的《</w:t>
      </w:r>
      <w:r>
        <w:rPr>
          <w:rFonts w:hint="eastAsia" w:ascii="宋体" w:hAnsi="宋体" w:eastAsia="宋体" w:cs="宋体"/>
          <w:sz w:val="24"/>
          <w:highlight w:val="none"/>
        </w:rPr>
        <w:t xml:space="preserve">苏北运河检修门存放基地扩容及功能完善项目</w:t>
      </w:r>
      <w:r>
        <w:rPr>
          <w:rFonts w:hint="eastAsia" w:ascii="宋体" w:hAnsi="宋体" w:eastAsia="宋体" w:cs="宋体"/>
          <w:sz w:val="24"/>
          <w:highlight w:val="none"/>
          <w:lang w:val="en-US" w:eastAsia="zh-CN"/>
        </w:rPr>
        <w:t xml:space="preserve">》设计</w:t>
      </w:r>
      <w:r>
        <w:rPr>
          <w:rFonts w:hint="eastAsia" w:ascii="宋体" w:hAnsi="宋体" w:eastAsia="宋体" w:cs="宋体"/>
          <w:sz w:val="24"/>
          <w:highlight w:val="none"/>
        </w:rPr>
        <w:t xml:space="preserve">图纸</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PDF版</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工程量清单立项以</w:t>
      </w:r>
      <w:r>
        <w:rPr>
          <w:rFonts w:hint="eastAsia" w:ascii="宋体" w:hAnsi="宋体" w:eastAsia="宋体" w:cs="宋体"/>
          <w:sz w:val="24"/>
          <w:highlight w:val="none"/>
        </w:rPr>
        <w:t xml:space="preserve">《水</w:t>
      </w:r>
      <w:r>
        <w:rPr>
          <w:rFonts w:hint="eastAsia" w:ascii="宋体" w:hAnsi="宋体" w:eastAsia="宋体" w:cs="宋体"/>
          <w:sz w:val="24"/>
          <w:highlight w:val="none"/>
          <w:lang w:val="en-US" w:eastAsia="zh-CN"/>
        </w:rPr>
        <w:t xml:space="preserve">运</w:t>
      </w:r>
      <w:r>
        <w:rPr>
          <w:rFonts w:hint="eastAsia" w:ascii="宋体" w:hAnsi="宋体" w:eastAsia="宋体" w:cs="宋体"/>
          <w:sz w:val="24"/>
          <w:highlight w:val="none"/>
        </w:rPr>
        <w:t xml:space="preserve">工程量清单计价规范》（20</w:t>
      </w:r>
      <w:r>
        <w:rPr>
          <w:rFonts w:hint="eastAsia" w:ascii="宋体" w:hAnsi="宋体" w:eastAsia="宋体" w:cs="宋体"/>
          <w:sz w:val="24"/>
          <w:highlight w:val="none"/>
          <w:lang w:val="en-US" w:eastAsia="zh-CN"/>
        </w:rPr>
        <w:t xml:space="preserve">20</w:t>
      </w:r>
      <w:r>
        <w:rPr>
          <w:rFonts w:hint="eastAsia" w:ascii="宋体" w:hAnsi="宋体" w:eastAsia="宋体" w:cs="宋体"/>
          <w:sz w:val="24"/>
          <w:highlight w:val="none"/>
        </w:rPr>
        <w:t xml:space="preserve">）为主，该规范没有的</w:t>
      </w:r>
      <w:r>
        <w:rPr>
          <w:rFonts w:hint="eastAsia" w:ascii="宋体" w:hAnsi="宋体" w:eastAsia="宋体" w:cs="宋体"/>
          <w:sz w:val="24"/>
          <w:highlight w:val="none"/>
          <w:lang w:val="en-US" w:eastAsia="zh-CN"/>
        </w:rPr>
        <w:t xml:space="preserve">参照</w:t>
      </w:r>
      <w:r>
        <w:rPr>
          <w:rFonts w:hint="eastAsia" w:ascii="宋体" w:hAnsi="宋体" w:eastAsia="宋体" w:cs="宋体"/>
          <w:sz w:val="24"/>
          <w:highlight w:val="none"/>
        </w:rPr>
        <w:t xml:space="preserve">《建设工程工程量清单计价规范》GB50500-2013</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《市政工程工程量清单计价规范》GB50857-2013</w:t>
      </w:r>
      <w:r>
        <w:rPr>
          <w:rFonts w:hint="eastAsia" w:ascii="宋体" w:hAnsi="宋体" w:eastAsia="宋体" w:cs="宋体"/>
          <w:sz w:val="24"/>
          <w:highlight w:val="none"/>
          <w:lang w:val="en-US" w:eastAsia="zh-CN"/>
        </w:rPr>
        <w:t xml:space="preserve">等规范执行</w:t>
      </w:r>
      <w:r>
        <w:rPr>
          <w:rFonts w:hint="eastAsia" w:ascii="宋体" w:hAnsi="宋体" w:eastAsia="宋体" w:cs="宋体"/>
          <w:sz w:val="24"/>
          <w:highlight w:val="none"/>
        </w:rPr>
        <w:t xml:space="preserve">。</w:t>
      </w:r>
      <w:r/>
    </w:p>
    <w:p>
      <w:pPr>
        <w:ind w:firstLine="480"/>
        <w:keepLines w:val="0"/>
        <w:keepNext w:val="0"/>
        <w:pageBreakBefore w:val="0"/>
        <w:spacing w:line="288" w:lineRule="auto"/>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省市</w:t>
      </w:r>
      <w:r>
        <w:rPr>
          <w:rFonts w:hint="eastAsia" w:ascii="宋体" w:hAnsi="宋体" w:eastAsia="宋体" w:cs="宋体"/>
          <w:sz w:val="24"/>
          <w:highlight w:val="none"/>
          <w:lang w:val="en-US" w:eastAsia="zh-CN"/>
        </w:rPr>
        <w:t xml:space="preserve">现行相关水运工程工程量清单计量补充</w:t>
      </w:r>
      <w:r>
        <w:rPr>
          <w:rFonts w:hint="eastAsia" w:ascii="宋体" w:hAnsi="宋体" w:eastAsia="宋体" w:cs="宋体"/>
          <w:sz w:val="24"/>
          <w:highlight w:val="none"/>
        </w:rPr>
        <w:t xml:space="preserve">规定、施工</w:t>
      </w:r>
      <w:r>
        <w:rPr>
          <w:rFonts w:hint="eastAsia" w:ascii="宋体" w:hAnsi="宋体" w:eastAsia="宋体" w:cs="宋体"/>
          <w:sz w:val="24"/>
          <w:highlight w:val="none"/>
          <w:lang w:val="en-US" w:eastAsia="zh-CN"/>
        </w:rPr>
        <w:t xml:space="preserve">验收</w:t>
      </w:r>
      <w:r>
        <w:rPr>
          <w:rFonts w:hint="eastAsia" w:ascii="宋体" w:hAnsi="宋体" w:eastAsia="宋体" w:cs="宋体"/>
          <w:sz w:val="24"/>
          <w:highlight w:val="none"/>
        </w:rPr>
        <w:t xml:space="preserve">规范、规程</w:t>
      </w:r>
      <w:r>
        <w:rPr>
          <w:rFonts w:hint="eastAsia" w:ascii="宋体" w:hAnsi="宋体" w:eastAsia="宋体" w:cs="宋体"/>
          <w:sz w:val="24"/>
          <w:highlight w:val="none"/>
          <w:lang w:val="en-US" w:eastAsia="zh-CN"/>
        </w:rPr>
        <w:t xml:space="preserve">等</w:t>
      </w:r>
      <w:r>
        <w:rPr>
          <w:rFonts w:hint="eastAsia" w:ascii="宋体" w:hAnsi="宋体" w:eastAsia="宋体" w:cs="宋体"/>
          <w:sz w:val="24"/>
          <w:highlight w:val="none"/>
        </w:rPr>
        <w:t xml:space="preserve">。</w:t>
      </w:r>
      <w:r/>
    </w:p>
    <w:p>
      <w:pPr>
        <w:ind w:firstLine="482"/>
        <w:keepLines w:val="0"/>
        <w:keepNext w:val="0"/>
        <w:pageBreakBefore w:val="0"/>
        <w:spacing w:line="288" w:lineRule="auto"/>
        <w:shd w:val="clear" w:color="auto" w:fill="auto"/>
        <w:widowControl w:val="off"/>
        <w:rPr>
          <w:rFonts w:hint="eastAsia" w:ascii="宋体" w:hAnsi="宋体" w:cs="宋体"/>
          <w:b/>
          <w:bCs/>
          <w:sz w:val="24"/>
          <w:highlight w:val="none"/>
        </w:rPr>
      </w:pPr>
      <w:r>
        <w:rPr>
          <w:rFonts w:hint="eastAsia" w:ascii="宋体" w:hAnsi="宋体" w:cs="宋体"/>
          <w:b/>
          <w:bCs/>
          <w:sz w:val="24"/>
          <w:highlight w:val="none"/>
          <w:lang w:val="en-US" w:eastAsia="zh-CN"/>
        </w:rPr>
        <w:t xml:space="preserve">三</w:t>
      </w:r>
      <w:r>
        <w:rPr>
          <w:rFonts w:hint="eastAsia" w:ascii="宋体" w:hAnsi="宋体" w:cs="宋体"/>
          <w:b/>
          <w:bCs/>
          <w:sz w:val="24"/>
          <w:highlight w:val="none"/>
        </w:rPr>
        <w:t xml:space="preserve">、</w:t>
      </w:r>
      <w:r>
        <w:rPr>
          <w:rFonts w:hint="eastAsia" w:ascii="宋体" w:hAnsi="宋体" w:cs="宋体"/>
          <w:b/>
          <w:bCs/>
          <w:sz w:val="24"/>
          <w:highlight w:val="none"/>
          <w:lang w:bidi="zh-CN"/>
        </w:rPr>
        <w:t xml:space="preserve">工程量清单编制说明及投标报价要求：</w:t>
      </w:r>
      <w:r/>
    </w:p>
    <w:p>
      <w:pPr>
        <w:ind w:firstLine="480"/>
        <w:keepLines w:val="0"/>
        <w:keepNext w:val="0"/>
        <w:pageBreakBefore w:val="0"/>
        <w:spacing w:line="288" w:lineRule="auto"/>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1、工程量清单“特征描述”，只是招标人对该部分分项工程特征的概述，而非是工程特征的全面描述，投标人计价时必须充分考虑清单项目特征、工作内容、设计图纸及相关国家现行施工验收规范要求。</w:t>
      </w:r>
      <w:r/>
    </w:p>
    <w:p>
      <w:pPr>
        <w:ind w:firstLine="480"/>
        <w:keepLines w:val="0"/>
        <w:keepNext w:val="0"/>
        <w:pageBreakBefore w:val="0"/>
        <w:spacing w:line="288" w:lineRule="auto"/>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2、如若涉及单项施工措施费用工程量清单没有单独立项的应包含在清单综合单价中，投标人应综合考虑，结算不因此增加额外费用。如果投标人勘察现场、研究设计图纸认为工程量清单单项措施项目不能满足项目施工需要时，不得改变工程量清单单项措施费用项目，需要增加的单项措施费用请在投标报价让利时统筹考虑，结算时不因此增加额外费用。</w:t>
      </w:r>
      <w:r/>
    </w:p>
    <w:p>
      <w:pPr>
        <w:ind w:firstLine="480"/>
        <w:keepLines w:val="0"/>
        <w:keepNext w:val="0"/>
        <w:pageBreakBefore w:val="0"/>
        <w:spacing w:line="288" w:lineRule="auto"/>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3、工程量清单中项目涉及未明确施工做法的内容，由投标人自行确定施工方案，施工过程中施工方案须得到发包方认可后方可作为施工依据，竣工结算时该部分费用不调整。</w:t>
      </w:r>
      <w:r/>
    </w:p>
    <w:p>
      <w:pPr>
        <w:ind w:firstLine="480"/>
        <w:keepLines w:val="0"/>
        <w:keepNext w:val="0"/>
        <w:pageBreakBefore w:val="0"/>
        <w:spacing w:line="288" w:lineRule="auto"/>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4、投标报价文件税费应按照一般纳税人增值税率9%计算，实际结算开票非9%增值税率发票时，在工程竣工结算中进行调整，由审计单位审定。</w:t>
      </w:r>
      <w:r/>
    </w:p>
    <w:p>
      <w:pPr>
        <w:ind w:firstLine="482"/>
        <w:keepLines w:val="0"/>
        <w:keepNext w:val="0"/>
        <w:pageBreakBefore w:val="0"/>
        <w:spacing w:line="288" w:lineRule="auto"/>
        <w:shd w:val="clear" w:color="auto" w:fill="auto"/>
        <w:widowControl w:val="off"/>
        <w:rPr>
          <w:rFonts w:hint="eastAsia" w:ascii="宋体" w:hAnsi="宋体" w:cs="宋体"/>
          <w:b/>
          <w:bCs/>
          <w:sz w:val="24"/>
          <w:highlight w:val="none"/>
        </w:rPr>
      </w:pPr>
      <w:r>
        <w:rPr>
          <w:rFonts w:hint="eastAsia" w:ascii="宋体" w:hAnsi="宋体" w:cs="宋体"/>
          <w:b/>
          <w:bCs/>
          <w:sz w:val="24"/>
          <w:highlight w:val="none"/>
        </w:rPr>
        <w:t xml:space="preserve">5、投标人除按照招标文件全费用工程量清单投标报价单报价外，还需提供全费用工程量清单投标报价单分析表，提供的全费用工程量清单投标报价单分析表综合单价、总价应与全费用工程量清单投标报价单综合单价、总价一致，未提供的做无效标处理</w:t>
      </w:r>
      <w:r/>
    </w:p>
    <w:p>
      <w:pPr>
        <w:ind w:firstLine="480"/>
        <w:keepLines w:val="0"/>
        <w:keepNext w:val="0"/>
        <w:pageBreakBefore w:val="0"/>
        <w:spacing w:line="288" w:lineRule="auto"/>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6、投标人在进行清单报价编制时要勘察现场，充分考虑现场实际情况，施工过程中投标人需采取措施保护现场及周边相关物品、设施等，因投标人的不规范操作、误操作等原因造成相关设施设备损坏、设备停用等后果的，由投标人自费修复，恢复正常使用。以上费用均不单列，由投标人在投标工程量清单报价中综合考虑。</w:t>
      </w:r>
      <w:r/>
    </w:p>
    <w:p>
      <w:pPr>
        <w:ind w:firstLine="480"/>
        <w:keepLines w:val="0"/>
        <w:keepNext w:val="0"/>
        <w:pageBreakBefore w:val="0"/>
        <w:spacing w:line="288" w:lineRule="auto"/>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7、本项目施工中不得影响所在地单位正常运行秩序，投标人在投标报价中需充分考虑相关临时隔离等各项措施费用，以上费用均不单列，由投标人在投标工程量清单报价中综合考虑。</w:t>
      </w:r>
      <w:r/>
    </w:p>
    <w:p>
      <w:pPr>
        <w:ind w:firstLine="480"/>
        <w:keepLines w:val="0"/>
        <w:keepNext w:val="0"/>
        <w:pageBreakBefore w:val="0"/>
        <w:spacing w:line="288" w:lineRule="auto"/>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8、投标人应自行踏勘现场，以充分了解项目位置、交通状况以及工作范围等任何足以影响其报价的情况。任何忽视或误解造成承包人自身损失的由承包人自行承担，导致采购人在项目实施过程中蒙受的损失，将由投标人进行赔偿。</w:t>
      </w:r>
      <w:r/>
    </w:p>
    <w:p>
      <w:pPr>
        <w:ind w:firstLine="480"/>
        <w:keepLines w:val="0"/>
        <w:keepNext w:val="0"/>
        <w:pageBreakBefore w:val="0"/>
        <w:spacing w:line="288" w:lineRule="auto"/>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9、投标人需积极主动地配合采购人进行相关验收，确保通过验收，若出现验收不合格的情况投标人需要返工直至验收合格，由此导致的返工费等相关其他费用，由投标人自行承担，并且采购人有权从工程款中扣除。</w:t>
      </w:r>
      <w:r/>
    </w:p>
    <w:p>
      <w:pPr>
        <w:ind w:firstLine="480"/>
        <w:keepLines w:val="0"/>
        <w:keepNext w:val="0"/>
        <w:pageBreakBefore w:val="0"/>
        <w:spacing w:line="288" w:lineRule="auto"/>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10、施工过程中产生的垃圾及时清运，费用由投标人承担。</w:t>
      </w:r>
      <w:r/>
    </w:p>
    <w:p>
      <w:pPr>
        <w:ind w:firstLine="480"/>
        <w:keepLines w:val="0"/>
        <w:keepNext w:val="0"/>
        <w:pageBreakBefore w:val="0"/>
        <w:spacing w:line="288" w:lineRule="auto"/>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11、投标清单单价和总价均应包括但不限于所有设备、材料、管理费、利润、税金、包装费、运杂费、保险费、卸力费、安装调试费、资料费、保修期内维修费用及服务费等直至完全交付采购人使用、缺陷期维修、质保期服务及工程量清单中质保期后服务等所有费用。</w:t>
      </w:r>
      <w:r/>
    </w:p>
    <w:p>
      <w:pPr>
        <w:ind w:firstLine="480"/>
        <w:keepLines w:val="0"/>
        <w:keepNext w:val="0"/>
        <w:pageBreakBefore w:val="0"/>
        <w:spacing w:line="288" w:lineRule="auto"/>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12、本项目承包范围为招标文件、工程量清单、附件范围相关的内容。投标人应根据设计文件内容以及现场踏勘情况，仔细核对工程量清单，核对内容包括清单数量、清单特征、计量单位等，并将疑问在提问截止时间书面提出，如未提出任何疑问，则视为对采购人提供的工程量清单不存在问题，漏报项视为价格已分摊到其他清单项中，投标人自行承担工程量清单数量偏差、漏项及清单错误的风险，竣工结算不予调整。</w:t>
      </w:r>
      <w:r/>
    </w:p>
    <w:p>
      <w:pPr>
        <w:ind w:firstLine="480"/>
        <w:keepLines w:val="0"/>
        <w:keepNext w:val="0"/>
        <w:pageBreakBefore w:val="0"/>
        <w:spacing w:line="288" w:lineRule="auto"/>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13、实际施工工程量以现场监管组确认为准。</w:t>
      </w:r>
      <w:r/>
    </w:p>
    <w:p>
      <w:pPr>
        <w:ind w:right="-4"/>
        <w:jc w:val="center"/>
        <w:shd w:val="clear" w:color="auto" w:fill="auto"/>
        <w:rPr>
          <w:rFonts w:hint="eastAsia" w:ascii="宋体" w:hAnsi="宋体" w:cs="宋体"/>
          <w:b/>
          <w:bCs/>
          <w:sz w:val="28"/>
          <w:szCs w:val="28"/>
          <w:highlight w:val="none"/>
        </w:rPr>
      </w:pPr>
      <w:r>
        <w:rPr>
          <w:rFonts w:hint="eastAsia" w:ascii="宋体" w:hAnsi="宋体" w:cs="宋体"/>
          <w:b/>
          <w:bCs/>
          <w:sz w:val="28"/>
          <w:szCs w:val="28"/>
          <w:highlight w:val="none"/>
        </w:rPr>
      </w:r>
      <w:r/>
    </w:p>
    <w:p>
      <w:pPr>
        <w:spacing w:line="400" w:lineRule="exact"/>
        <w:shd w:val="clear" w:color="auto" w:fill="auto"/>
        <w:rPr>
          <w:rFonts w:hint="eastAsia" w:ascii="宋体" w:hAnsi="宋体" w:cs="宋体"/>
          <w:b/>
          <w:bCs/>
          <w:sz w:val="36"/>
          <w:szCs w:val="36"/>
          <w:highlight w:val="none"/>
        </w:rPr>
      </w:pPr>
      <w:r>
        <w:rPr>
          <w:rFonts w:hint="eastAsia" w:ascii="宋体" w:hAnsi="宋体" w:cs="宋体"/>
          <w:b/>
          <w:bCs/>
          <w:sz w:val="36"/>
          <w:szCs w:val="36"/>
          <w:highlight w:val="none"/>
        </w:rPr>
      </w:r>
      <w:r/>
    </w:p>
    <w:p>
      <w:pPr>
        <w:spacing w:line="400" w:lineRule="exact"/>
        <w:shd w:val="clear" w:color="auto" w:fill="auto"/>
        <w:rPr>
          <w:rFonts w:hint="eastAsia" w:ascii="宋体" w:hAnsi="宋体" w:cs="宋体"/>
          <w:highlight w:val="none"/>
        </w:rPr>
      </w:pPr>
      <w:r>
        <w:rPr>
          <w:rFonts w:hint="eastAsia" w:ascii="宋体" w:hAnsi="宋体" w:cs="宋体"/>
          <w:highlight w:val="none"/>
        </w:rPr>
      </w:r>
      <w:r/>
    </w:p>
    <w:p>
      <w:pPr>
        <w:spacing w:line="400" w:lineRule="exact"/>
        <w:shd w:val="clear" w:color="auto" w:fill="auto"/>
        <w:rPr>
          <w:rFonts w:hint="eastAsia" w:ascii="宋体" w:hAnsi="宋体" w:cs="宋体"/>
          <w:highlight w:val="none"/>
        </w:rPr>
      </w:pPr>
      <w:r>
        <w:rPr>
          <w:rFonts w:hint="eastAsia" w:ascii="宋体" w:hAnsi="宋体" w:cs="宋体"/>
          <w:highlight w:val="none"/>
        </w:rPr>
      </w:r>
      <w:r/>
    </w:p>
    <w:p>
      <w:pPr>
        <w:spacing w:line="400" w:lineRule="exact"/>
        <w:shd w:val="clear" w:color="auto" w:fill="auto"/>
        <w:rPr>
          <w:rFonts w:hint="eastAsia" w:ascii="宋体" w:hAnsi="宋体" w:cs="宋体"/>
          <w:highlight w:val="none"/>
        </w:rPr>
      </w:pPr>
      <w:r>
        <w:rPr>
          <w:rFonts w:hint="eastAsia" w:ascii="宋体" w:hAnsi="宋体" w:cs="宋体"/>
          <w:highlight w:val="none"/>
        </w:rPr>
      </w:r>
      <w:r/>
    </w:p>
    <w:p>
      <w:pPr>
        <w:pStyle w:val="1058"/>
        <w:spacing w:before="0" w:after="0" w:line="360" w:lineRule="auto"/>
        <w:shd w:val="clear" w:color="auto" w:fill="auto"/>
        <w:tabs>
          <w:tab w:val="left" w:pos="0" w:leader="none"/>
          <w:tab w:val="left" w:pos="3165" w:leader="none"/>
          <w:tab w:val="center" w:pos="4153" w:leader="none"/>
        </w:tabs>
        <w:rPr>
          <w:rFonts w:hint="eastAsia" w:ascii="宋体" w:hAnsi="宋体" w:cs="宋体"/>
          <w:sz w:val="32"/>
          <w:szCs w:val="32"/>
          <w:highlight w:val="none"/>
        </w:rPr>
      </w:pPr>
      <w:r/>
      <w:bookmarkStart w:id="173" w:name="_Toc211090869"/>
      <w:r/>
      <w:bookmarkStart w:id="174" w:name="_Toc238559215"/>
      <w:r/>
      <w:r/>
    </w:p>
    <w:p>
      <w:pPr>
        <w:shd w:val="clear" w:color="auto" w:fill="auto"/>
        <w:rPr>
          <w:rFonts w:hint="eastAsia" w:ascii="宋体" w:hAnsi="宋体" w:cs="宋体"/>
          <w:sz w:val="32"/>
          <w:szCs w:val="32"/>
          <w:highlight w:val="none"/>
        </w:rPr>
      </w:pPr>
      <w:r>
        <w:rPr>
          <w:rFonts w:hint="eastAsia" w:ascii="宋体" w:hAnsi="宋体" w:cs="宋体"/>
          <w:sz w:val="32"/>
          <w:szCs w:val="32"/>
          <w:highlight w:val="none"/>
        </w:rPr>
      </w:r>
      <w:r/>
    </w:p>
    <w:p>
      <w:pPr>
        <w:shd w:val="clear" w:color="auto" w:fill="auto"/>
        <w:rPr>
          <w:rFonts w:hint="eastAsia" w:ascii="宋体" w:hAnsi="宋体" w:cs="宋体"/>
          <w:sz w:val="32"/>
          <w:szCs w:val="32"/>
          <w:highlight w:val="none"/>
        </w:rPr>
      </w:pPr>
      <w:r>
        <w:rPr>
          <w:rFonts w:hint="eastAsia" w:ascii="宋体" w:hAnsi="宋体" w:cs="宋体"/>
          <w:sz w:val="32"/>
          <w:szCs w:val="32"/>
          <w:highlight w:val="none"/>
        </w:rPr>
      </w:r>
      <w:r/>
    </w:p>
    <w:p>
      <w:pPr>
        <w:pStyle w:val="1058"/>
        <w:jc w:val="center"/>
        <w:spacing w:before="0" w:after="0" w:line="360" w:lineRule="auto"/>
        <w:shd w:val="clear" w:color="auto" w:fill="auto"/>
        <w:tabs>
          <w:tab w:val="left" w:pos="0" w:leader="none"/>
          <w:tab w:val="left" w:pos="3165" w:leader="none"/>
          <w:tab w:val="center" w:pos="4153" w:leader="none"/>
        </w:tabs>
        <w:rPr>
          <w:rFonts w:hint="eastAsia" w:ascii="宋体" w:hAnsi="宋体" w:cs="宋体"/>
          <w:sz w:val="32"/>
          <w:szCs w:val="32"/>
          <w:highlight w:val="none"/>
        </w:rPr>
      </w:pPr>
      <w:r>
        <w:rPr>
          <w:rFonts w:hint="eastAsia" w:ascii="宋体" w:hAnsi="宋体" w:cs="宋体"/>
          <w:sz w:val="32"/>
          <w:szCs w:val="32"/>
          <w:highlight w:val="none"/>
        </w:rPr>
      </w:r>
      <w:r/>
    </w:p>
    <w:p>
      <w:pPr>
        <w:shd w:val="clear" w:color="auto" w:fill="auto"/>
        <w:rPr>
          <w:rFonts w:hint="eastAsia" w:ascii="宋体" w:hAnsi="宋体" w:cs="宋体"/>
          <w:sz w:val="32"/>
          <w:szCs w:val="32"/>
          <w:highlight w:val="none"/>
        </w:rPr>
      </w:pPr>
      <w:r>
        <w:rPr>
          <w:rFonts w:hint="eastAsia" w:ascii="宋体" w:hAnsi="宋体" w:cs="宋体"/>
          <w:sz w:val="32"/>
          <w:szCs w:val="32"/>
          <w:highlight w:val="none"/>
        </w:rPr>
      </w:r>
      <w:r/>
    </w:p>
    <w:p>
      <w:pPr>
        <w:shd w:val="clear" w:color="auto" w:fill="auto"/>
        <w:rPr>
          <w:rFonts w:hint="eastAsia" w:ascii="宋体" w:hAnsi="宋体" w:cs="宋体"/>
          <w:sz w:val="32"/>
          <w:szCs w:val="32"/>
          <w:highlight w:val="none"/>
        </w:rPr>
      </w:pPr>
      <w:r>
        <w:rPr>
          <w:rFonts w:hint="eastAsia" w:ascii="宋体" w:hAnsi="宋体" w:cs="宋体"/>
          <w:sz w:val="32"/>
          <w:szCs w:val="32"/>
          <w:highlight w:val="none"/>
        </w:rPr>
      </w:r>
      <w:r/>
    </w:p>
    <w:p>
      <w:pPr>
        <w:shd w:val="clear" w:color="auto" w:fill="auto"/>
        <w:rPr>
          <w:rFonts w:hint="eastAsia" w:ascii="宋体" w:hAnsi="宋体" w:cs="宋体"/>
          <w:sz w:val="32"/>
          <w:szCs w:val="32"/>
          <w:highlight w:val="none"/>
        </w:rPr>
      </w:pPr>
      <w:r>
        <w:rPr>
          <w:rFonts w:hint="eastAsia" w:ascii="宋体" w:hAnsi="宋体" w:cs="宋体"/>
          <w:sz w:val="32"/>
          <w:szCs w:val="32"/>
          <w:highlight w:val="none"/>
        </w:rPr>
      </w:r>
      <w:r/>
    </w:p>
    <w:p>
      <w:pPr>
        <w:shd w:val="clear" w:color="auto" w:fill="auto"/>
        <w:rPr>
          <w:rFonts w:hint="eastAsia" w:ascii="宋体" w:hAnsi="宋体" w:cs="宋体"/>
          <w:sz w:val="32"/>
          <w:szCs w:val="32"/>
          <w:highlight w:val="none"/>
        </w:rPr>
      </w:pPr>
      <w:r>
        <w:rPr>
          <w:rFonts w:hint="eastAsia" w:ascii="宋体" w:hAnsi="宋体" w:cs="宋体"/>
          <w:sz w:val="32"/>
          <w:szCs w:val="32"/>
          <w:highlight w:val="none"/>
        </w:rPr>
      </w:r>
      <w:r/>
    </w:p>
    <w:p>
      <w:pPr>
        <w:shd w:val="clear" w:color="auto" w:fill="auto"/>
        <w:rPr>
          <w:rFonts w:hint="eastAsia" w:ascii="宋体" w:hAnsi="宋体" w:cs="宋体"/>
          <w:sz w:val="32"/>
          <w:szCs w:val="32"/>
          <w:highlight w:val="none"/>
        </w:rPr>
      </w:pPr>
      <w:r>
        <w:rPr>
          <w:rFonts w:hint="eastAsia" w:ascii="宋体" w:hAnsi="宋体" w:cs="宋体"/>
          <w:sz w:val="32"/>
          <w:szCs w:val="32"/>
          <w:highlight w:val="none"/>
        </w:rPr>
      </w:r>
      <w:r/>
    </w:p>
    <w:p>
      <w:pPr>
        <w:shd w:val="clear" w:color="auto" w:fill="auto"/>
        <w:rPr>
          <w:rFonts w:hint="eastAsia" w:ascii="宋体" w:hAnsi="宋体" w:cs="宋体"/>
          <w:sz w:val="32"/>
          <w:szCs w:val="32"/>
          <w:highlight w:val="none"/>
        </w:rPr>
      </w:pPr>
      <w:r>
        <w:rPr>
          <w:rFonts w:hint="eastAsia" w:ascii="宋体" w:hAnsi="宋体" w:cs="宋体"/>
          <w:sz w:val="32"/>
          <w:szCs w:val="32"/>
          <w:highlight w:val="none"/>
        </w:rPr>
      </w:r>
      <w:r/>
    </w:p>
    <w:p>
      <w:pPr>
        <w:pStyle w:val="1058"/>
        <w:jc w:val="center"/>
        <w:spacing w:before="0" w:after="0" w:line="360" w:lineRule="auto"/>
        <w:shd w:val="clear" w:color="auto" w:fill="auto"/>
        <w:tabs>
          <w:tab w:val="left" w:pos="0" w:leader="none"/>
          <w:tab w:val="left" w:pos="3165" w:leader="none"/>
          <w:tab w:val="center" w:pos="4153" w:leader="none"/>
        </w:tabs>
        <w:rPr>
          <w:rFonts w:hint="eastAsia" w:ascii="宋体" w:hAnsi="宋体" w:cs="宋体"/>
          <w:b w:val="0"/>
          <w:sz w:val="32"/>
          <w:szCs w:val="32"/>
          <w:highlight w:val="none"/>
        </w:rPr>
      </w:pPr>
      <w:r>
        <w:rPr>
          <w:rFonts w:hint="eastAsia" w:ascii="宋体" w:hAnsi="宋体" w:cs="宋体"/>
          <w:sz w:val="32"/>
          <w:szCs w:val="32"/>
          <w:highlight w:val="none"/>
        </w:rPr>
        <w:t xml:space="preserve">第八章 投标文件格式</w:t>
      </w:r>
      <w:bookmarkEnd w:id="173"/>
      <w:r/>
      <w:bookmarkEnd w:id="174"/>
      <w:r/>
      <w:r/>
    </w:p>
    <w:p>
      <w:pPr>
        <w:jc w:val="center"/>
        <w:spacing w:line="480" w:lineRule="auto"/>
        <w:shd w:val="clear" w:color="auto" w:fill="auto"/>
        <w:rPr>
          <w:rFonts w:hint="eastAsia" w:ascii="宋体" w:hAnsi="宋体" w:cs="宋体"/>
          <w:b/>
          <w:sz w:val="32"/>
          <w:szCs w:val="32"/>
          <w:highlight w:val="none"/>
        </w:rPr>
        <w:outlineLvl w:val="2"/>
      </w:pPr>
      <w:r>
        <w:rPr>
          <w:rFonts w:hint="eastAsia" w:ascii="宋体" w:hAnsi="宋体" w:cs="宋体"/>
          <w:b/>
          <w:sz w:val="32"/>
          <w:szCs w:val="32"/>
          <w:highlight w:val="none"/>
        </w:rPr>
        <w:t xml:space="preserve">封面</w:t>
      </w:r>
      <w:r/>
    </w:p>
    <w:p>
      <w:pPr>
        <w:jc w:val="center"/>
        <w:spacing w:line="480" w:lineRule="auto"/>
        <w:shd w:val="clear" w:color="auto" w:fill="auto"/>
        <w:rPr>
          <w:rFonts w:hint="eastAsia" w:ascii="宋体" w:hAnsi="宋体" w:cs="宋体"/>
          <w:b/>
          <w:sz w:val="32"/>
          <w:szCs w:val="32"/>
          <w:highlight w:val="none"/>
        </w:rPr>
        <w:outlineLvl w:val="2"/>
      </w:pPr>
      <w:r>
        <w:rPr>
          <w:rFonts w:hint="eastAsia" w:ascii="宋体" w:hAnsi="宋体" w:cs="宋体"/>
          <w:b/>
          <w:sz w:val="32"/>
          <w:szCs w:val="32"/>
          <w:highlight w:val="none"/>
        </w:rPr>
      </w:r>
      <w:r/>
    </w:p>
    <w:p>
      <w:pPr>
        <w:jc w:val="center"/>
        <w:spacing w:line="480" w:lineRule="auto"/>
        <w:shd w:val="clear" w:color="auto" w:fill="auto"/>
        <w:rPr>
          <w:rFonts w:hint="eastAsia" w:ascii="宋体" w:hAnsi="宋体" w:cs="宋体"/>
          <w:b/>
          <w:sz w:val="32"/>
          <w:szCs w:val="32"/>
          <w:highlight w:val="none"/>
        </w:rPr>
        <w:outlineLvl w:val="2"/>
      </w:pPr>
      <w:r>
        <w:rPr>
          <w:rFonts w:hint="eastAsia" w:ascii="宋体" w:hAnsi="宋体" w:cs="宋体"/>
          <w:b/>
          <w:sz w:val="32"/>
          <w:szCs w:val="32"/>
          <w:highlight w:val="none"/>
        </w:rPr>
      </w:r>
      <w:r/>
    </w:p>
    <w:p>
      <w:pPr>
        <w:jc w:val="center"/>
        <w:shd w:val="clear" w:color="auto" w:fill="auto"/>
        <w:rPr>
          <w:rFonts w:hint="eastAsia" w:ascii="宋体" w:hAnsi="宋体" w:cs="宋体"/>
          <w:sz w:val="32"/>
          <w:szCs w:val="32"/>
          <w:highlight w:val="none"/>
        </w:rPr>
      </w:pPr>
      <w:r>
        <w:rPr>
          <w:rFonts w:hint="eastAsia" w:ascii="宋体" w:hAnsi="宋体" w:cs="宋体"/>
          <w:b/>
          <w:bCs/>
          <w:spacing w:val="20"/>
          <w:sz w:val="32"/>
          <w:szCs w:val="32"/>
          <w:highlight w:val="none"/>
        </w:rPr>
        <w:t xml:space="preserve">苏北运河船闸检修门存放基地扩容及功能完善项目（二次）</w:t>
      </w:r>
      <w:r/>
    </w:p>
    <w:p>
      <w:pPr>
        <w:jc w:val="center"/>
        <w:shd w:val="clear" w:color="auto" w:fill="auto"/>
        <w:rPr>
          <w:rFonts w:hint="eastAsia" w:ascii="宋体" w:hAnsi="宋体" w:cs="宋体"/>
          <w:sz w:val="52"/>
          <w:szCs w:val="52"/>
          <w:highlight w:val="none"/>
        </w:rPr>
      </w:pPr>
      <w:r>
        <w:rPr>
          <w:rFonts w:hint="eastAsia" w:ascii="宋体" w:hAnsi="宋体" w:cs="宋体"/>
          <w:sz w:val="52"/>
          <w:szCs w:val="52"/>
          <w:highlight w:val="none"/>
        </w:rPr>
      </w:r>
      <w:r/>
    </w:p>
    <w:p>
      <w:pPr>
        <w:jc w:val="center"/>
        <w:shd w:val="clear" w:color="auto" w:fill="auto"/>
        <w:rPr>
          <w:rFonts w:hint="eastAsia" w:ascii="宋体" w:hAnsi="宋体" w:cs="宋体"/>
          <w:sz w:val="52"/>
          <w:szCs w:val="52"/>
          <w:highlight w:val="none"/>
        </w:rPr>
      </w:pPr>
      <w:r>
        <w:rPr>
          <w:rFonts w:hint="eastAsia" w:ascii="宋体" w:hAnsi="宋体" w:cs="宋体"/>
          <w:sz w:val="52"/>
          <w:szCs w:val="52"/>
          <w:highlight w:val="none"/>
        </w:rPr>
      </w:r>
      <w:r/>
    </w:p>
    <w:p>
      <w:pPr>
        <w:jc w:val="center"/>
        <w:shd w:val="clear" w:color="auto" w:fill="auto"/>
        <w:rPr>
          <w:rFonts w:hint="eastAsia" w:ascii="宋体" w:hAnsi="宋体" w:cs="宋体"/>
          <w:sz w:val="52"/>
          <w:szCs w:val="52"/>
          <w:highlight w:val="none"/>
        </w:rPr>
      </w:pPr>
      <w:r>
        <w:rPr>
          <w:rFonts w:hint="eastAsia" w:ascii="宋体" w:hAnsi="宋体" w:cs="宋体"/>
          <w:sz w:val="52"/>
          <w:szCs w:val="52"/>
          <w:highlight w:val="none"/>
        </w:rPr>
      </w:r>
      <w:r/>
    </w:p>
    <w:p>
      <w:pPr>
        <w:jc w:val="center"/>
        <w:shd w:val="clear" w:color="auto" w:fill="auto"/>
        <w:rPr>
          <w:rFonts w:hint="eastAsia" w:ascii="宋体" w:hAnsi="宋体" w:cs="宋体"/>
          <w:b/>
          <w:sz w:val="72"/>
          <w:szCs w:val="72"/>
          <w:highlight w:val="none"/>
        </w:rPr>
      </w:pPr>
      <w:r>
        <w:rPr>
          <w:rFonts w:hint="eastAsia" w:ascii="宋体" w:hAnsi="宋体" w:cs="宋体"/>
          <w:b/>
          <w:sz w:val="72"/>
          <w:szCs w:val="72"/>
          <w:highlight w:val="none"/>
        </w:rPr>
        <w:t xml:space="preserve">投标文件</w:t>
      </w:r>
      <w:r/>
    </w:p>
    <w:p>
      <w:pPr>
        <w:shd w:val="clear" w:color="auto" w:fill="auto"/>
        <w:rPr>
          <w:rFonts w:hint="eastAsia" w:ascii="宋体" w:hAnsi="宋体" w:cs="宋体"/>
          <w:sz w:val="28"/>
          <w:szCs w:val="28"/>
          <w:highlight w:val="none"/>
        </w:rPr>
      </w:pPr>
      <w:r>
        <w:rPr>
          <w:rFonts w:hint="eastAsia" w:ascii="宋体" w:hAnsi="宋体" w:cs="宋体"/>
          <w:sz w:val="28"/>
          <w:szCs w:val="28"/>
          <w:highlight w:val="none"/>
        </w:rPr>
      </w:r>
      <w:r/>
    </w:p>
    <w:p>
      <w:pPr>
        <w:shd w:val="clear" w:color="auto" w:fill="auto"/>
        <w:rPr>
          <w:rFonts w:hint="eastAsia" w:ascii="宋体" w:hAnsi="宋体" w:cs="宋体"/>
          <w:sz w:val="28"/>
          <w:szCs w:val="28"/>
          <w:highlight w:val="none"/>
        </w:rPr>
      </w:pPr>
      <w:r>
        <w:rPr>
          <w:rFonts w:hint="eastAsia" w:ascii="宋体" w:hAnsi="宋体" w:cs="宋体"/>
          <w:sz w:val="28"/>
          <w:szCs w:val="28"/>
          <w:highlight w:val="none"/>
        </w:rPr>
      </w:r>
      <w:r/>
    </w:p>
    <w:p>
      <w:pPr>
        <w:shd w:val="clear" w:color="auto" w:fill="auto"/>
        <w:rPr>
          <w:rFonts w:hint="eastAsia" w:ascii="宋体" w:hAnsi="宋体" w:cs="宋体"/>
          <w:sz w:val="28"/>
          <w:szCs w:val="28"/>
          <w:highlight w:val="none"/>
        </w:rPr>
      </w:pPr>
      <w:r>
        <w:rPr>
          <w:rFonts w:hint="eastAsia" w:ascii="宋体" w:hAnsi="宋体" w:cs="宋体"/>
          <w:sz w:val="28"/>
          <w:szCs w:val="28"/>
          <w:highlight w:val="none"/>
        </w:rPr>
      </w:r>
      <w:r/>
    </w:p>
    <w:p>
      <w:pPr>
        <w:shd w:val="clear" w:color="auto" w:fill="auto"/>
        <w:rPr>
          <w:rFonts w:hint="eastAsia" w:ascii="宋体" w:hAnsi="宋体" w:cs="宋体"/>
          <w:sz w:val="28"/>
          <w:szCs w:val="28"/>
          <w:highlight w:val="none"/>
        </w:rPr>
      </w:pPr>
      <w:r>
        <w:rPr>
          <w:rFonts w:hint="eastAsia" w:ascii="宋体" w:hAnsi="宋体" w:cs="宋体"/>
          <w:sz w:val="28"/>
          <w:szCs w:val="28"/>
          <w:highlight w:val="none"/>
        </w:rPr>
      </w:r>
      <w:r/>
    </w:p>
    <w:p>
      <w:pPr>
        <w:shd w:val="clear" w:color="auto" w:fill="auto"/>
        <w:rPr>
          <w:rFonts w:hint="eastAsia" w:ascii="宋体" w:hAnsi="宋体" w:cs="宋体"/>
          <w:sz w:val="28"/>
          <w:szCs w:val="28"/>
          <w:highlight w:val="none"/>
        </w:rPr>
      </w:pPr>
      <w:r>
        <w:rPr>
          <w:rFonts w:hint="eastAsia" w:ascii="宋体" w:hAnsi="宋体" w:cs="宋体"/>
          <w:sz w:val="28"/>
          <w:szCs w:val="28"/>
          <w:highlight w:val="none"/>
        </w:rPr>
      </w:r>
      <w:r/>
    </w:p>
    <w:p>
      <w:pPr>
        <w:shd w:val="clear" w:color="auto" w:fill="auto"/>
        <w:rPr>
          <w:rFonts w:hint="eastAsia" w:ascii="宋体" w:hAnsi="宋体" w:cs="宋体"/>
          <w:sz w:val="28"/>
          <w:szCs w:val="28"/>
          <w:highlight w:val="none"/>
        </w:rPr>
      </w:pPr>
      <w:r>
        <w:rPr>
          <w:rFonts w:hint="eastAsia" w:ascii="宋体" w:hAnsi="宋体" w:cs="宋体"/>
          <w:sz w:val="28"/>
          <w:szCs w:val="28"/>
          <w:highlight w:val="none"/>
        </w:rPr>
      </w:r>
      <w:r/>
    </w:p>
    <w:p>
      <w:pPr>
        <w:shd w:val="clear" w:color="auto" w:fill="auto"/>
        <w:rPr>
          <w:rFonts w:hint="eastAsia" w:ascii="宋体" w:hAnsi="宋体" w:cs="宋体"/>
          <w:sz w:val="28"/>
          <w:szCs w:val="28"/>
          <w:highlight w:val="none"/>
        </w:rPr>
      </w:pPr>
      <w:r>
        <w:rPr>
          <w:rFonts w:hint="eastAsia" w:ascii="宋体" w:hAnsi="宋体" w:cs="宋体"/>
          <w:sz w:val="28"/>
          <w:szCs w:val="28"/>
          <w:highlight w:val="none"/>
        </w:rPr>
      </w:r>
      <w:r/>
    </w:p>
    <w:p>
      <w:pPr>
        <w:ind w:firstLine="219"/>
        <w:jc w:val="center"/>
        <w:shd w:val="clear" w:color="auto" w:fill="auto"/>
        <w:rPr>
          <w:rFonts w:hint="eastAsia" w:ascii="宋体" w:hAnsi="宋体" w:cs="宋体"/>
          <w:sz w:val="32"/>
          <w:szCs w:val="32"/>
          <w:highlight w:val="none"/>
        </w:rPr>
      </w:pPr>
      <w:r>
        <w:rPr>
          <w:rFonts w:hint="eastAsia" w:ascii="宋体" w:hAnsi="宋体" w:cs="宋体"/>
          <w:sz w:val="32"/>
          <w:szCs w:val="32"/>
          <w:highlight w:val="none"/>
        </w:rPr>
        <w:t xml:space="preserve">投标人：（盖CA电子公章）</w:t>
      </w:r>
      <w:r/>
    </w:p>
    <w:p>
      <w:pPr>
        <w:jc w:val="center"/>
        <w:shd w:val="clear" w:color="auto" w:fill="auto"/>
        <w:rPr>
          <w:rFonts w:hint="eastAsia" w:ascii="宋体" w:hAnsi="宋体" w:cs="宋体"/>
          <w:sz w:val="32"/>
          <w:szCs w:val="32"/>
          <w:highlight w:val="none"/>
          <w:u w:val="single"/>
        </w:rPr>
      </w:pPr>
      <w:r>
        <w:rPr>
          <w:rFonts w:hint="eastAsia" w:ascii="宋体" w:hAnsi="宋体" w:cs="宋体"/>
          <w:sz w:val="32"/>
          <w:szCs w:val="32"/>
          <w:highlight w:val="none"/>
          <w:u w:val="single"/>
        </w:rPr>
      </w:r>
      <w:r/>
    </w:p>
    <w:p>
      <w:pPr>
        <w:jc w:val="center"/>
        <w:shd w:val="clear" w:color="auto" w:fill="auto"/>
        <w:rPr>
          <w:rFonts w:hint="eastAsia" w:ascii="宋体" w:hAnsi="宋体" w:cs="宋体"/>
          <w:sz w:val="32"/>
          <w:szCs w:val="32"/>
          <w:highlight w:val="none"/>
        </w:rPr>
      </w:pPr>
      <w:r>
        <w:rPr>
          <w:rFonts w:hint="eastAsia" w:ascii="宋体" w:hAnsi="宋体" w:cs="宋体"/>
          <w:sz w:val="32"/>
          <w:szCs w:val="32"/>
          <w:highlight w:val="none"/>
        </w:rPr>
        <w:t xml:space="preserve">年  月  日</w:t>
      </w:r>
      <w:r/>
    </w:p>
    <w:p>
      <w:pPr>
        <w:jc w:val="left"/>
        <w:shd w:val="clear" w:color="auto" w:fill="auto"/>
        <w:widowControl/>
        <w:rPr>
          <w:rFonts w:hint="eastAsia" w:ascii="宋体" w:hAnsi="宋体" w:cs="宋体"/>
          <w:sz w:val="32"/>
          <w:szCs w:val="32"/>
          <w:highlight w:val="none"/>
        </w:rPr>
        <w:sectPr>
          <w:headerReference w:type="default" r:id="rId9"/>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cs="宋体"/>
          <w:sz w:val="32"/>
          <w:szCs w:val="32"/>
          <w:highlight w:val="none"/>
        </w:rPr>
      </w:r>
      <w:r/>
    </w:p>
    <w:p>
      <w:pPr>
        <w:jc w:val="center"/>
        <w:spacing w:line="480" w:lineRule="auto"/>
        <w:shd w:val="clear" w:color="auto" w:fill="auto"/>
        <w:rPr>
          <w:rFonts w:hint="eastAsia" w:ascii="宋体" w:hAnsi="宋体" w:cs="宋体"/>
          <w:b/>
          <w:sz w:val="32"/>
          <w:szCs w:val="32"/>
          <w:highlight w:val="none"/>
        </w:rPr>
        <w:outlineLvl w:val="2"/>
      </w:pPr>
      <w:r/>
      <w:bookmarkStart w:id="175" w:name="_Toc432244526"/>
      <w:r/>
      <w:bookmarkStart w:id="176" w:name="_Toc211090870"/>
      <w:r/>
      <w:bookmarkStart w:id="177" w:name="_Toc503307474"/>
      <w:r/>
      <w:bookmarkStart w:id="178" w:name="_Toc503901977"/>
      <w:r>
        <w:rPr>
          <w:rFonts w:hint="eastAsia" w:ascii="宋体" w:hAnsi="宋体" w:cs="宋体"/>
          <w:b/>
          <w:sz w:val="32"/>
          <w:szCs w:val="32"/>
          <w:highlight w:val="none"/>
        </w:rPr>
        <w:t xml:space="preserve">目  录</w:t>
      </w:r>
      <w:bookmarkEnd w:id="175"/>
      <w:r/>
      <w:bookmarkEnd w:id="176"/>
      <w:r/>
      <w:bookmarkEnd w:id="177"/>
      <w:r/>
      <w:bookmarkEnd w:id="178"/>
      <w:r/>
      <w:r/>
    </w:p>
    <w:p>
      <w:pPr>
        <w:jc w:val="left"/>
        <w:shd w:val="clear" w:color="auto" w:fill="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jc w:val="left"/>
        <w:shd w:val="clear" w:color="auto" w:fill="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一、投标函</w:t>
      </w:r>
      <w:r/>
    </w:p>
    <w:p>
      <w:pPr>
        <w:jc w:val="left"/>
        <w:shd w:val="clear" w:color="auto" w:fill="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二、法定代表人身份证明及授权委托书</w:t>
      </w:r>
      <w:r/>
    </w:p>
    <w:p>
      <w:pPr>
        <w:jc w:val="left"/>
        <w:shd w:val="clear" w:color="auto" w:fill="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三、全费用工程量清单投标报价单</w:t>
      </w:r>
      <w:r/>
    </w:p>
    <w:p>
      <w:pPr>
        <w:jc w:val="left"/>
        <w:shd w:val="clear" w:color="auto" w:fill="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四、全费用工程量清单投标报价单分析表</w:t>
      </w:r>
      <w:r/>
    </w:p>
    <w:p>
      <w:pPr>
        <w:jc w:val="left"/>
        <w:shd w:val="clear" w:color="auto" w:fill="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五</w:t>
      </w:r>
      <w:r>
        <w:rPr>
          <w:rFonts w:hint="eastAsia" w:ascii="宋体" w:hAnsi="宋体" w:eastAsia="宋体" w:cs="宋体"/>
          <w:sz w:val="28"/>
          <w:szCs w:val="28"/>
          <w:highlight w:val="none"/>
        </w:rPr>
        <w:t xml:space="preserve">、施工组织设计</w:t>
      </w:r>
      <w:r/>
    </w:p>
    <w:p>
      <w:pPr>
        <w:jc w:val="left"/>
        <w:shd w:val="clear" w:color="auto" w:fill="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六</w:t>
      </w:r>
      <w:r>
        <w:rPr>
          <w:rFonts w:hint="eastAsia" w:ascii="宋体" w:hAnsi="宋体" w:eastAsia="宋体" w:cs="宋体"/>
          <w:sz w:val="28"/>
          <w:szCs w:val="28"/>
          <w:highlight w:val="none"/>
        </w:rPr>
        <w:t xml:space="preserve">、资格审查资料</w:t>
      </w:r>
      <w:r/>
    </w:p>
    <w:p>
      <w:pPr>
        <w:jc w:val="left"/>
        <w:shd w:val="clear" w:color="auto" w:fill="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七</w:t>
      </w:r>
      <w:r>
        <w:rPr>
          <w:rFonts w:hint="eastAsia" w:ascii="宋体" w:hAnsi="宋体" w:eastAsia="宋体" w:cs="宋体"/>
          <w:sz w:val="28"/>
          <w:szCs w:val="28"/>
          <w:highlight w:val="none"/>
        </w:rPr>
        <w:t xml:space="preserve">、附件</w:t>
      </w:r>
      <w:r/>
    </w:p>
    <w:p>
      <w:pPr>
        <w:jc w:val="left"/>
        <w:shd w:val="clear" w:color="auto" w:fill="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八</w:t>
      </w:r>
      <w:r>
        <w:rPr>
          <w:rFonts w:hint="eastAsia" w:ascii="宋体" w:hAnsi="宋体" w:eastAsia="宋体" w:cs="宋体"/>
          <w:sz w:val="28"/>
          <w:szCs w:val="28"/>
          <w:highlight w:val="none"/>
        </w:rPr>
        <w:t xml:space="preserve">、投标人认为需要提供的其他文件</w:t>
      </w:r>
      <w:r/>
    </w:p>
    <w:p>
      <w:pPr>
        <w:jc w:val="left"/>
        <w:shd w:val="clear" w:color="auto" w:fill="auto"/>
        <w:widowControl/>
        <w:rPr>
          <w:rFonts w:hint="eastAsia" w:ascii="宋体" w:hAnsi="宋体" w:cs="宋体"/>
          <w:sz w:val="24"/>
          <w:highlight w:val="none"/>
        </w:rPr>
        <w:sectPr>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cs="宋体"/>
          <w:sz w:val="24"/>
          <w:highlight w:val="none"/>
        </w:rPr>
      </w:r>
      <w:r/>
    </w:p>
    <w:p>
      <w:pPr>
        <w:jc w:val="center"/>
        <w:spacing w:line="400" w:lineRule="exact"/>
        <w:shd w:val="clear" w:color="auto" w:fill="auto"/>
        <w:rPr>
          <w:rFonts w:hint="eastAsia" w:ascii="宋体" w:hAnsi="宋体" w:cs="宋体"/>
          <w:b/>
          <w:sz w:val="32"/>
          <w:szCs w:val="32"/>
          <w:highlight w:val="none"/>
        </w:rPr>
        <w:outlineLvl w:val="2"/>
      </w:pPr>
      <w:r/>
      <w:bookmarkStart w:id="179" w:name="_Toc503901978"/>
      <w:r/>
      <w:bookmarkStart w:id="180" w:name="_Toc432244527"/>
      <w:r/>
      <w:bookmarkStart w:id="181" w:name="_Toc211090871"/>
      <w:r/>
      <w:bookmarkStart w:id="182" w:name="_Toc503307475"/>
      <w:r>
        <w:rPr>
          <w:rFonts w:hint="eastAsia" w:ascii="宋体" w:hAnsi="宋体" w:cs="宋体"/>
          <w:b/>
          <w:sz w:val="32"/>
          <w:szCs w:val="32"/>
          <w:highlight w:val="none"/>
        </w:rPr>
        <w:t xml:space="preserve">一、投标函</w:t>
      </w:r>
      <w:bookmarkEnd w:id="179"/>
      <w:r/>
      <w:bookmarkEnd w:id="180"/>
      <w:r/>
      <w:bookmarkEnd w:id="181"/>
      <w:r/>
      <w:bookmarkEnd w:id="182"/>
      <w:r/>
      <w:r/>
    </w:p>
    <w:p>
      <w:pPr>
        <w:shd w:val="clear" w:color="auto" w:fill="auto"/>
        <w:rPr>
          <w:rFonts w:hint="eastAsia" w:ascii="宋体" w:hAnsi="宋体" w:cs="宋体"/>
          <w:b/>
          <w:sz w:val="30"/>
          <w:szCs w:val="30"/>
          <w:highlight w:val="none"/>
        </w:rPr>
      </w:pPr>
      <w:r>
        <w:rPr>
          <w:rFonts w:hint="eastAsia" w:ascii="宋体" w:hAnsi="宋体" w:cs="宋体"/>
          <w:b/>
          <w:sz w:val="30"/>
          <w:szCs w:val="30"/>
          <w:highlight w:val="none"/>
        </w:rPr>
      </w:r>
      <w:r/>
    </w:p>
    <w:p>
      <w:pPr>
        <w:shd w:val="clear" w:color="auto" w:fill="auto"/>
        <w:rPr>
          <w:rFonts w:hint="eastAsia" w:ascii="宋体" w:hAnsi="宋体" w:cs="宋体"/>
          <w:sz w:val="24"/>
          <w:highlight w:val="none"/>
        </w:rPr>
      </w:pPr>
      <w:r>
        <w:rPr>
          <w:rFonts w:hint="eastAsia" w:ascii="宋体" w:hAnsi="宋体" w:cs="宋体"/>
          <w:sz w:val="24"/>
          <w:highlight w:val="none"/>
          <w:lang w:val="zh-CN"/>
        </w:rPr>
        <w:t xml:space="preserve">致京杭运河江苏省船闸应急保障中心：</w:t>
      </w:r>
      <w:r/>
    </w:p>
    <w:p>
      <w:pPr>
        <w:ind w:firstLine="480"/>
        <w:shd w:val="clear" w:color="auto" w:fill="auto"/>
        <w:rPr>
          <w:rFonts w:hint="eastAsia" w:ascii="宋体" w:hAnsi="宋体" w:cs="宋体"/>
          <w:sz w:val="24"/>
          <w:szCs w:val="32"/>
          <w:highlight w:val="none"/>
        </w:rPr>
      </w:pPr>
      <w:r>
        <w:rPr>
          <w:rFonts w:hint="eastAsia" w:ascii="宋体" w:hAnsi="宋体" w:cs="宋体"/>
          <w:sz w:val="24"/>
          <w:highlight w:val="none"/>
          <w:lang w:val="zh-CN"/>
        </w:rPr>
        <w:t xml:space="preserve">根据贵方</w:t>
      </w:r>
      <w:r>
        <w:rPr>
          <w:rFonts w:hint="eastAsia" w:ascii="宋体" w:hAnsi="宋体" w:cs="宋体"/>
          <w:sz w:val="24"/>
          <w:highlight w:val="none"/>
          <w:u w:val="single"/>
          <w:lang w:val="zh-CN"/>
        </w:rPr>
        <w:t xml:space="preserve">苏北运河船闸检修门存放基地扩容及功能完善项目（二次）</w:t>
      </w:r>
      <w:r>
        <w:rPr>
          <w:rFonts w:hint="eastAsia" w:ascii="宋体" w:hAnsi="宋体" w:cs="宋体"/>
          <w:sz w:val="24"/>
          <w:highlight w:val="none"/>
          <w:lang w:val="zh-CN"/>
        </w:rPr>
        <w:t xml:space="preserve">招标公告，我方在参加</w:t>
      </w:r>
      <w:r>
        <w:rPr>
          <w:rFonts w:hint="eastAsia" w:ascii="宋体" w:hAnsi="宋体" w:cs="宋体"/>
          <w:sz w:val="24"/>
          <w:highlight w:val="none"/>
        </w:rPr>
        <w:t xml:space="preserve">投标</w:t>
      </w:r>
      <w:r>
        <w:rPr>
          <w:rFonts w:hint="eastAsia" w:ascii="宋体" w:hAnsi="宋体" w:cs="宋体"/>
          <w:sz w:val="24"/>
          <w:highlight w:val="none"/>
          <w:lang w:val="zh-CN"/>
        </w:rPr>
        <w:t xml:space="preserve">活动中，特做出如下承诺：</w:t>
      </w:r>
      <w:r/>
    </w:p>
    <w:p>
      <w:pPr>
        <w:ind w:firstLine="480"/>
        <w:shd w:val="clear" w:color="auto" w:fill="auto"/>
        <w:rPr>
          <w:rFonts w:hint="eastAsia" w:ascii="宋体" w:hAnsi="宋体" w:cs="宋体"/>
          <w:sz w:val="24"/>
          <w:szCs w:val="32"/>
          <w:highlight w:val="none"/>
        </w:rPr>
      </w:pPr>
      <w:r>
        <w:rPr>
          <w:rFonts w:hint="eastAsia" w:ascii="宋体" w:hAnsi="宋体" w:cs="宋体"/>
          <w:sz w:val="24"/>
          <w:szCs w:val="32"/>
          <w:highlight w:val="none"/>
        </w:rPr>
        <w:t xml:space="preserve">1、</w:t>
      </w:r>
      <w:r>
        <w:rPr>
          <w:rFonts w:hint="eastAsia" w:ascii="宋体" w:hAnsi="宋体" w:cs="宋体"/>
          <w:b/>
          <w:sz w:val="24"/>
          <w:highlight w:val="none"/>
          <w:lang w:val="zh-CN"/>
        </w:rPr>
        <w:t xml:space="preserve">我们的资格条件完全符合政府采购法和本次采购要求</w:t>
      </w:r>
      <w:r>
        <w:rPr>
          <w:rFonts w:hint="eastAsia" w:ascii="宋体" w:hAnsi="宋体" w:cs="宋体"/>
          <w:sz w:val="24"/>
          <w:highlight w:val="none"/>
          <w:lang w:val="zh-CN"/>
        </w:rPr>
        <w:t xml:space="preserve">，</w:t>
      </w:r>
      <w:r>
        <w:rPr>
          <w:rFonts w:hint="eastAsia" w:ascii="宋体" w:hAnsi="宋体" w:cs="宋体"/>
          <w:sz w:val="24"/>
          <w:szCs w:val="32"/>
          <w:highlight w:val="none"/>
        </w:rPr>
        <w:t xml:space="preserve">我们</w:t>
      </w:r>
      <w:r>
        <w:rPr>
          <w:rFonts w:hint="eastAsia" w:ascii="宋体" w:hAnsi="宋体" w:cs="宋体"/>
          <w:sz w:val="24"/>
          <w:highlight w:val="none"/>
          <w:lang w:val="zh-CN"/>
        </w:rPr>
        <w:t xml:space="preserve">同意并向贵方提供了与本次采购活动有关的所有证据和资料</w:t>
      </w:r>
      <w:r>
        <w:rPr>
          <w:rFonts w:hint="eastAsia" w:ascii="宋体" w:hAnsi="宋体" w:cs="宋体"/>
          <w:sz w:val="24"/>
          <w:szCs w:val="32"/>
          <w:highlight w:val="none"/>
        </w:rPr>
        <w:t xml:space="preserve">。</w:t>
      </w:r>
      <w:r/>
    </w:p>
    <w:p>
      <w:pPr>
        <w:ind w:firstLine="480"/>
        <w:shd w:val="clear" w:color="auto" w:fill="auto"/>
        <w:rPr>
          <w:rFonts w:hint="eastAsia" w:ascii="宋体" w:hAnsi="宋体" w:cs="宋体"/>
          <w:sz w:val="24"/>
          <w:szCs w:val="32"/>
          <w:highlight w:val="none"/>
        </w:rPr>
      </w:pPr>
      <w:r>
        <w:rPr>
          <w:rFonts w:hint="eastAsia" w:ascii="宋体" w:hAnsi="宋体" w:cs="宋体"/>
          <w:sz w:val="24"/>
          <w:szCs w:val="32"/>
          <w:highlight w:val="none"/>
        </w:rPr>
        <w:t xml:space="preserve">2、</w:t>
      </w:r>
      <w:r>
        <w:rPr>
          <w:rFonts w:hint="eastAsia" w:ascii="宋体" w:hAnsi="宋体" w:cs="宋体"/>
          <w:sz w:val="24"/>
          <w:highlight w:val="none"/>
          <w:lang w:val="zh-CN"/>
        </w:rPr>
        <w:t xml:space="preserve">我们的</w:t>
      </w:r>
      <w:r>
        <w:rPr>
          <w:rFonts w:hint="eastAsia" w:ascii="宋体" w:hAnsi="宋体" w:cs="宋体"/>
          <w:sz w:val="24"/>
          <w:szCs w:val="32"/>
          <w:highlight w:val="none"/>
        </w:rPr>
        <w:t xml:space="preserve">总报价为（大写）</w:t>
      </w:r>
      <w:r>
        <w:rPr>
          <w:rFonts w:hint="eastAsia" w:ascii="宋体" w:hAnsi="宋体" w:cs="宋体"/>
          <w:b/>
          <w:bCs/>
          <w:sz w:val="24"/>
          <w:szCs w:val="32"/>
          <w:highlight w:val="none"/>
          <w:u w:val="single"/>
        </w:rPr>
        <w:t xml:space="preserve">             </w:t>
      </w:r>
      <w:r>
        <w:rPr>
          <w:rFonts w:hint="eastAsia" w:ascii="宋体" w:hAnsi="宋体" w:cs="宋体"/>
          <w:sz w:val="24"/>
          <w:szCs w:val="32"/>
          <w:highlight w:val="none"/>
        </w:rPr>
        <w:t xml:space="preserve">元人民币，</w:t>
      </w:r>
      <w:r>
        <w:rPr>
          <w:rFonts w:hint="eastAsia" w:ascii="宋体" w:hAnsi="宋体" w:cs="宋体"/>
          <w:bCs/>
          <w:sz w:val="24"/>
          <w:szCs w:val="32"/>
          <w:highlight w:val="none"/>
        </w:rPr>
        <w:t xml:space="preserve">总工期</w:t>
      </w:r>
      <w:r>
        <w:rPr>
          <w:rFonts w:hint="eastAsia" w:ascii="宋体" w:hAnsi="宋体" w:cs="宋体"/>
          <w:bCs/>
          <w:sz w:val="24"/>
          <w:szCs w:val="32"/>
          <w:highlight w:val="none"/>
          <w:u w:val="single"/>
        </w:rPr>
        <w:t xml:space="preserve">    </w:t>
      </w:r>
      <w:r>
        <w:rPr>
          <w:rFonts w:hint="eastAsia" w:ascii="宋体" w:hAnsi="宋体" w:cs="宋体"/>
          <w:bCs/>
          <w:sz w:val="24"/>
          <w:szCs w:val="32"/>
          <w:highlight w:val="none"/>
        </w:rPr>
        <w:t xml:space="preserve">日历天。</w:t>
      </w:r>
      <w:r/>
    </w:p>
    <w:p>
      <w:pPr>
        <w:ind w:firstLine="480"/>
        <w:shd w:val="clear" w:color="auto" w:fill="auto"/>
        <w:rPr>
          <w:rFonts w:hint="eastAsia" w:ascii="宋体" w:hAnsi="宋体" w:cs="宋体"/>
          <w:sz w:val="24"/>
          <w:szCs w:val="32"/>
          <w:highlight w:val="none"/>
        </w:rPr>
      </w:pPr>
      <w:r>
        <w:rPr>
          <w:rFonts w:hint="eastAsia" w:ascii="宋体" w:hAnsi="宋体" w:cs="宋体"/>
          <w:sz w:val="24"/>
          <w:szCs w:val="32"/>
          <w:highlight w:val="none"/>
        </w:rPr>
        <w:t xml:space="preserve">3、</w:t>
      </w:r>
      <w:r>
        <w:rPr>
          <w:rFonts w:hint="eastAsia" w:ascii="宋体" w:hAnsi="宋体" w:cs="宋体"/>
          <w:sz w:val="24"/>
          <w:highlight w:val="none"/>
          <w:lang w:val="zh-CN"/>
        </w:rPr>
        <w:t xml:space="preserve">我们已详细审核全部招标文件及其有效补充文件，我们放弃对招标文件任何误解的权利，提交投标文件后，不对招标文件本身提出质疑。否则，属于不诚信和故意扰乱政府采购活动行为，我们将无条件接受处罚。</w:t>
      </w:r>
      <w:r/>
    </w:p>
    <w:p>
      <w:pPr>
        <w:ind w:firstLine="480"/>
        <w:shd w:val="clear" w:color="auto" w:fill="auto"/>
        <w:rPr>
          <w:rFonts w:hint="eastAsia" w:ascii="宋体" w:hAnsi="宋体" w:cs="宋体"/>
          <w:sz w:val="24"/>
          <w:szCs w:val="32"/>
          <w:highlight w:val="none"/>
        </w:rPr>
      </w:pPr>
      <w:r>
        <w:rPr>
          <w:rFonts w:hint="eastAsia" w:ascii="宋体" w:hAnsi="宋体" w:cs="宋体"/>
          <w:sz w:val="24"/>
          <w:szCs w:val="32"/>
          <w:highlight w:val="none"/>
        </w:rPr>
        <w:t xml:space="preserve">4、一旦我方中标，我方将根据招标文件的规定，严格履行合同，保证于承诺的时间内完成本项目规定的货物、服务和工程内容。</w:t>
      </w:r>
      <w:r/>
    </w:p>
    <w:p>
      <w:pPr>
        <w:ind w:firstLine="480"/>
        <w:shd w:val="clear" w:color="auto" w:fill="auto"/>
        <w:rPr>
          <w:rFonts w:hint="eastAsia" w:ascii="宋体" w:hAnsi="宋体" w:cs="宋体"/>
          <w:sz w:val="24"/>
          <w:highlight w:val="none"/>
        </w:rPr>
      </w:pPr>
      <w:r>
        <w:rPr>
          <w:rFonts w:hint="eastAsia" w:ascii="宋体" w:hAnsi="宋体" w:cs="宋体"/>
          <w:sz w:val="24"/>
          <w:szCs w:val="32"/>
          <w:highlight w:val="none"/>
        </w:rPr>
        <w:t xml:space="preserve">5、我方决不</w:t>
      </w:r>
      <w:r>
        <w:rPr>
          <w:rFonts w:hint="eastAsia" w:ascii="宋体" w:hAnsi="宋体" w:cs="宋体"/>
          <w:sz w:val="24"/>
          <w:highlight w:val="none"/>
        </w:rPr>
        <w:t xml:space="preserve">提供虚假材料谋取中标、</w:t>
      </w:r>
      <w:r>
        <w:rPr>
          <w:rFonts w:hint="eastAsia" w:ascii="宋体" w:hAnsi="宋体" w:cs="宋体"/>
          <w:sz w:val="24"/>
          <w:szCs w:val="32"/>
          <w:highlight w:val="none"/>
        </w:rPr>
        <w:t xml:space="preserve">决不</w:t>
      </w:r>
      <w:r>
        <w:rPr>
          <w:rFonts w:hint="eastAsia" w:ascii="宋体" w:hAnsi="宋体" w:cs="宋体"/>
          <w:sz w:val="24"/>
          <w:highlight w:val="none"/>
        </w:rPr>
        <w:t xml:space="preserve">采取不正当手段诋毁、排挤其他投标人、</w:t>
      </w:r>
      <w:r>
        <w:rPr>
          <w:rFonts w:hint="eastAsia" w:ascii="宋体" w:hAnsi="宋体" w:cs="宋体"/>
          <w:sz w:val="24"/>
          <w:szCs w:val="32"/>
          <w:highlight w:val="none"/>
        </w:rPr>
        <w:t xml:space="preserve">决不</w:t>
      </w:r>
      <w:r>
        <w:rPr>
          <w:rFonts w:hint="eastAsia" w:ascii="宋体" w:hAnsi="宋体" w:cs="宋体"/>
          <w:sz w:val="24"/>
          <w:highlight w:val="none"/>
        </w:rPr>
        <w:t xml:space="preserve">与招标人、其它投标人恶意串通、</w:t>
      </w:r>
      <w:r>
        <w:rPr>
          <w:rFonts w:hint="eastAsia" w:ascii="宋体" w:hAnsi="宋体" w:cs="宋体"/>
          <w:sz w:val="24"/>
          <w:szCs w:val="32"/>
          <w:highlight w:val="none"/>
        </w:rPr>
        <w:t xml:space="preserve">决不</w:t>
      </w:r>
      <w:r>
        <w:rPr>
          <w:rFonts w:hint="eastAsia" w:ascii="宋体" w:hAnsi="宋体" w:cs="宋体"/>
          <w:sz w:val="24"/>
          <w:highlight w:val="none"/>
        </w:rPr>
        <w:t xml:space="preserve">向</w:t>
      </w:r>
      <w:r>
        <w:rPr>
          <w:rFonts w:hint="eastAsia" w:ascii="宋体" w:hAnsi="宋体" w:cs="宋体"/>
          <w:sz w:val="24"/>
          <w:szCs w:val="32"/>
          <w:highlight w:val="none"/>
        </w:rPr>
        <w:t xml:space="preserve">招标人、招标代理机构和评标委员会进行商业贿赂</w:t>
      </w:r>
      <w:r>
        <w:rPr>
          <w:rFonts w:hint="eastAsia" w:ascii="宋体" w:hAnsi="宋体" w:cs="宋体"/>
          <w:sz w:val="24"/>
          <w:highlight w:val="none"/>
        </w:rPr>
        <w:t xml:space="preserve">、决不拒绝有关部门监督检查或提供虚假情况，如有违反，</w:t>
      </w:r>
      <w:r>
        <w:rPr>
          <w:rFonts w:hint="eastAsia" w:ascii="宋体" w:hAnsi="宋体" w:cs="宋体"/>
          <w:sz w:val="24"/>
          <w:szCs w:val="32"/>
          <w:highlight w:val="none"/>
        </w:rPr>
        <w:t xml:space="preserve">无条件接受贵方及相关管理部门的处罚。</w:t>
      </w:r>
      <w:r/>
    </w:p>
    <w:p>
      <w:pPr>
        <w:ind w:firstLine="480"/>
        <w:shd w:val="clear" w:color="auto" w:fill="auto"/>
        <w:rPr>
          <w:rFonts w:hint="eastAsia" w:ascii="宋体" w:hAnsi="宋体" w:cs="宋体"/>
          <w:sz w:val="24"/>
          <w:szCs w:val="32"/>
          <w:highlight w:val="none"/>
        </w:rPr>
      </w:pPr>
      <w:r>
        <w:rPr>
          <w:rFonts w:hint="eastAsia" w:ascii="宋体" w:hAnsi="宋体" w:cs="宋体"/>
          <w:sz w:val="24"/>
          <w:szCs w:val="32"/>
          <w:highlight w:val="none"/>
        </w:rPr>
        <w:t xml:space="preserve">6、我方正式通讯方式为：</w:t>
      </w:r>
      <w:r/>
    </w:p>
    <w:p>
      <w:pPr>
        <w:ind w:firstLine="480"/>
        <w:shd w:val="clear" w:color="auto" w:fill="auto"/>
        <w:rPr>
          <w:rFonts w:hint="eastAsia" w:ascii="宋体" w:hAnsi="宋体" w:cs="宋体"/>
          <w:sz w:val="24"/>
          <w:szCs w:val="32"/>
          <w:highlight w:val="none"/>
          <w:u w:val="single"/>
        </w:rPr>
      </w:pPr>
      <w:r>
        <w:rPr>
          <w:rFonts w:hint="eastAsia" w:ascii="宋体" w:hAnsi="宋体" w:cs="宋体"/>
          <w:sz w:val="24"/>
          <w:szCs w:val="32"/>
          <w:highlight w:val="none"/>
        </w:rPr>
        <w:t xml:space="preserve">地   址：</w:t>
      </w:r>
      <w:r>
        <w:rPr>
          <w:rFonts w:hint="eastAsia" w:ascii="宋体" w:hAnsi="宋体" w:cs="宋体"/>
          <w:sz w:val="24"/>
          <w:szCs w:val="32"/>
          <w:highlight w:val="none"/>
          <w:u w:val="single"/>
        </w:rPr>
        <w:t xml:space="preserve">                       </w:t>
      </w:r>
      <w:r/>
    </w:p>
    <w:p>
      <w:pPr>
        <w:ind w:firstLine="480"/>
        <w:shd w:val="clear" w:color="auto" w:fill="auto"/>
        <w:rPr>
          <w:rFonts w:hint="eastAsia" w:ascii="宋体" w:hAnsi="宋体" w:cs="宋体"/>
          <w:sz w:val="24"/>
          <w:szCs w:val="32"/>
          <w:highlight w:val="none"/>
          <w:u w:val="single"/>
        </w:rPr>
      </w:pPr>
      <w:r>
        <w:rPr>
          <w:rFonts w:hint="eastAsia" w:ascii="宋体" w:hAnsi="宋体" w:cs="宋体"/>
          <w:sz w:val="24"/>
          <w:szCs w:val="32"/>
          <w:highlight w:val="none"/>
        </w:rPr>
        <w:t xml:space="preserve">电   话：</w:t>
      </w:r>
      <w:r>
        <w:rPr>
          <w:rFonts w:hint="eastAsia" w:ascii="宋体" w:hAnsi="宋体" w:cs="宋体"/>
          <w:sz w:val="24"/>
          <w:szCs w:val="32"/>
          <w:highlight w:val="none"/>
          <w:u w:val="single"/>
        </w:rPr>
        <w:t xml:space="preserve">                       </w:t>
      </w:r>
      <w:r/>
    </w:p>
    <w:p>
      <w:pPr>
        <w:ind w:firstLine="480"/>
        <w:shd w:val="clear" w:color="auto" w:fill="auto"/>
        <w:rPr>
          <w:rFonts w:hint="eastAsia" w:ascii="宋体" w:hAnsi="宋体" w:cs="宋体"/>
          <w:sz w:val="24"/>
          <w:szCs w:val="32"/>
          <w:highlight w:val="none"/>
          <w:u w:val="single"/>
        </w:rPr>
      </w:pPr>
      <w:r>
        <w:rPr>
          <w:rFonts w:hint="eastAsia" w:ascii="宋体" w:hAnsi="宋体" w:cs="宋体"/>
          <w:sz w:val="24"/>
          <w:szCs w:val="32"/>
          <w:highlight w:val="none"/>
        </w:rPr>
        <w:t xml:space="preserve">传   真：</w:t>
      </w:r>
      <w:r>
        <w:rPr>
          <w:rFonts w:hint="eastAsia" w:ascii="宋体" w:hAnsi="宋体" w:cs="宋体"/>
          <w:sz w:val="24"/>
          <w:szCs w:val="32"/>
          <w:highlight w:val="none"/>
          <w:u w:val="single"/>
        </w:rPr>
        <w:t xml:space="preserve">                       </w:t>
      </w:r>
      <w:r/>
    </w:p>
    <w:p>
      <w:pPr>
        <w:ind w:firstLine="480"/>
        <w:shd w:val="clear" w:color="auto" w:fill="auto"/>
        <w:rPr>
          <w:rFonts w:hint="eastAsia" w:ascii="宋体" w:hAnsi="宋体" w:cs="宋体"/>
          <w:sz w:val="24"/>
          <w:szCs w:val="32"/>
          <w:highlight w:val="none"/>
        </w:rPr>
      </w:pPr>
      <w:r>
        <w:rPr>
          <w:rFonts w:hint="eastAsia" w:ascii="宋体" w:hAnsi="宋体" w:cs="宋体"/>
          <w:sz w:val="24"/>
          <w:szCs w:val="32"/>
          <w:highlight w:val="none"/>
        </w:rPr>
        <w:t xml:space="preserve">7、我方正式开户银行和账号为：</w:t>
      </w:r>
      <w:r/>
    </w:p>
    <w:p>
      <w:pPr>
        <w:ind w:firstLine="480"/>
        <w:shd w:val="clear" w:color="auto" w:fill="auto"/>
        <w:rPr>
          <w:rFonts w:hint="eastAsia" w:ascii="宋体" w:hAnsi="宋体" w:cs="宋体"/>
          <w:sz w:val="24"/>
          <w:szCs w:val="32"/>
          <w:highlight w:val="none"/>
          <w:u w:val="single"/>
        </w:rPr>
      </w:pPr>
      <w:r>
        <w:rPr>
          <w:rFonts w:hint="eastAsia" w:ascii="宋体" w:hAnsi="宋体" w:cs="宋体"/>
          <w:sz w:val="24"/>
          <w:szCs w:val="32"/>
          <w:highlight w:val="none"/>
        </w:rPr>
        <w:t xml:space="preserve">开户银行：</w:t>
      </w:r>
      <w:r>
        <w:rPr>
          <w:rFonts w:hint="eastAsia" w:ascii="宋体" w:hAnsi="宋体" w:cs="宋体"/>
          <w:sz w:val="24"/>
          <w:szCs w:val="32"/>
          <w:highlight w:val="none"/>
          <w:u w:val="single"/>
        </w:rPr>
        <w:t xml:space="preserve">                       </w:t>
      </w:r>
      <w:r/>
    </w:p>
    <w:p>
      <w:pPr>
        <w:ind w:firstLine="480"/>
        <w:shd w:val="clear" w:color="auto" w:fill="auto"/>
        <w:rPr>
          <w:rFonts w:hint="eastAsia" w:ascii="宋体" w:hAnsi="宋体" w:cs="宋体"/>
          <w:sz w:val="24"/>
          <w:szCs w:val="32"/>
          <w:highlight w:val="none"/>
          <w:u w:val="single"/>
        </w:rPr>
      </w:pPr>
      <w:r>
        <w:rPr>
          <w:rFonts w:hint="eastAsia" w:ascii="宋体" w:hAnsi="宋体" w:cs="宋体"/>
          <w:sz w:val="24"/>
          <w:szCs w:val="32"/>
          <w:highlight w:val="none"/>
        </w:rPr>
        <w:t xml:space="preserve">帐    号：</w:t>
      </w:r>
      <w:r>
        <w:rPr>
          <w:rFonts w:hint="eastAsia" w:ascii="宋体" w:hAnsi="宋体" w:cs="宋体"/>
          <w:sz w:val="24"/>
          <w:szCs w:val="32"/>
          <w:highlight w:val="none"/>
          <w:u w:val="single"/>
        </w:rPr>
        <w:t xml:space="preserve">        </w:t>
      </w:r>
      <w:r/>
    </w:p>
    <w:p>
      <w:pPr>
        <w:ind w:firstLine="480"/>
        <w:shd w:val="clear" w:color="auto" w:fill="auto"/>
        <w:rPr>
          <w:rFonts w:hint="eastAsia" w:ascii="宋体" w:hAnsi="宋体" w:cs="宋体"/>
          <w:sz w:val="24"/>
          <w:szCs w:val="32"/>
          <w:highlight w:val="none"/>
        </w:rPr>
      </w:pPr>
      <w:r>
        <w:rPr>
          <w:rFonts w:hint="eastAsia" w:ascii="宋体" w:hAnsi="宋体" w:cs="宋体"/>
          <w:sz w:val="24"/>
          <w:szCs w:val="32"/>
          <w:highlight w:val="none"/>
        </w:rPr>
      </w:r>
      <w:r/>
    </w:p>
    <w:p>
      <w:pPr>
        <w:ind w:firstLine="3120"/>
        <w:shd w:val="clear" w:color="auto" w:fill="auto"/>
        <w:rPr>
          <w:rFonts w:hint="eastAsia" w:ascii="宋体" w:hAnsi="宋体" w:cs="宋体"/>
          <w:sz w:val="24"/>
          <w:szCs w:val="32"/>
          <w:highlight w:val="none"/>
        </w:rPr>
      </w:pPr>
      <w:r>
        <w:rPr>
          <w:rFonts w:hint="eastAsia" w:ascii="宋体" w:hAnsi="宋体" w:cs="宋体"/>
          <w:sz w:val="24"/>
          <w:szCs w:val="32"/>
          <w:highlight w:val="none"/>
        </w:rPr>
        <w:t xml:space="preserve">投标人名称：</w:t>
      </w:r>
      <w:r>
        <w:rPr>
          <w:rFonts w:hint="eastAsia" w:ascii="宋体" w:hAnsi="宋体" w:cs="宋体"/>
          <w:sz w:val="24"/>
          <w:szCs w:val="32"/>
          <w:highlight w:val="none"/>
          <w:u w:val="single"/>
        </w:rPr>
        <w:t xml:space="preserve">               </w:t>
      </w:r>
      <w:r>
        <w:rPr>
          <w:rFonts w:hint="eastAsia" w:ascii="宋体" w:hAnsi="宋体" w:cs="宋体"/>
          <w:sz w:val="24"/>
          <w:szCs w:val="32"/>
          <w:highlight w:val="none"/>
        </w:rPr>
        <w:t xml:space="preserve">（加盖CA电子公章）</w:t>
      </w:r>
      <w:r/>
    </w:p>
    <w:p>
      <w:pPr>
        <w:ind w:firstLine="3120"/>
        <w:shd w:val="clear" w:color="auto" w:fill="auto"/>
        <w:rPr>
          <w:rFonts w:hint="eastAsia" w:ascii="宋体" w:hAnsi="宋体" w:cs="宋体"/>
          <w:sz w:val="24"/>
          <w:szCs w:val="32"/>
          <w:highlight w:val="none"/>
        </w:rPr>
      </w:pPr>
      <w:r>
        <w:rPr>
          <w:rFonts w:hint="eastAsia" w:ascii="宋体" w:hAnsi="宋体" w:cs="宋体"/>
          <w:sz w:val="24"/>
          <w:szCs w:val="32"/>
          <w:highlight w:val="none"/>
        </w:rPr>
        <w:t xml:space="preserve">法定代表人：</w:t>
      </w:r>
      <w:r>
        <w:rPr>
          <w:rFonts w:hint="eastAsia" w:ascii="宋体" w:hAnsi="宋体" w:cs="宋体"/>
          <w:sz w:val="24"/>
          <w:szCs w:val="32"/>
          <w:highlight w:val="none"/>
          <w:u w:val="single"/>
        </w:rPr>
        <w:t xml:space="preserve">               </w:t>
      </w:r>
      <w:r>
        <w:rPr>
          <w:rFonts w:hint="eastAsia" w:ascii="宋体" w:hAnsi="宋体" w:cs="宋体"/>
          <w:sz w:val="24"/>
          <w:szCs w:val="32"/>
          <w:highlight w:val="none"/>
        </w:rPr>
        <w:t xml:space="preserve">（加盖CA电子签章）</w:t>
      </w:r>
      <w:r/>
    </w:p>
    <w:p>
      <w:pPr>
        <w:ind w:firstLine="3840"/>
        <w:jc w:val="left"/>
        <w:shd w:val="clear" w:color="auto" w:fill="auto"/>
        <w:rPr>
          <w:rFonts w:hint="eastAsia" w:ascii="宋体" w:hAnsi="宋体" w:cs="宋体"/>
          <w:sz w:val="24"/>
          <w:highlight w:val="none"/>
        </w:rPr>
      </w:pPr>
      <w:r>
        <w:rPr>
          <w:rFonts w:hint="eastAsia" w:ascii="宋体" w:hAnsi="宋体" w:cs="宋体"/>
          <w:sz w:val="24"/>
          <w:szCs w:val="32"/>
          <w:highlight w:val="none"/>
        </w:rPr>
        <w:t xml:space="preserve">日    期：</w:t>
      </w:r>
      <w:r>
        <w:rPr>
          <w:rFonts w:hint="eastAsia" w:ascii="宋体" w:hAnsi="宋体" w:cs="宋体"/>
          <w:sz w:val="24"/>
          <w:szCs w:val="32"/>
          <w:highlight w:val="none"/>
          <w:u w:val="single"/>
        </w:rPr>
        <w:t xml:space="preserve">       </w:t>
      </w:r>
      <w:r>
        <w:rPr>
          <w:rFonts w:hint="eastAsia" w:ascii="宋体" w:hAnsi="宋体" w:cs="宋体"/>
          <w:sz w:val="24"/>
          <w:szCs w:val="32"/>
          <w:highlight w:val="none"/>
        </w:rPr>
        <w:t xml:space="preserve">年</w:t>
      </w:r>
      <w:r>
        <w:rPr>
          <w:rFonts w:hint="eastAsia" w:ascii="宋体" w:hAnsi="宋体" w:cs="宋体"/>
          <w:sz w:val="24"/>
          <w:szCs w:val="32"/>
          <w:highlight w:val="none"/>
          <w:u w:val="single"/>
        </w:rPr>
        <w:t xml:space="preserve">    </w:t>
      </w:r>
      <w:r>
        <w:rPr>
          <w:rFonts w:hint="eastAsia" w:ascii="宋体" w:hAnsi="宋体" w:cs="宋体"/>
          <w:sz w:val="24"/>
          <w:szCs w:val="32"/>
          <w:highlight w:val="none"/>
        </w:rPr>
        <w:t xml:space="preserve">月</w:t>
      </w:r>
      <w:r>
        <w:rPr>
          <w:rFonts w:hint="eastAsia" w:ascii="宋体" w:hAnsi="宋体" w:cs="宋体"/>
          <w:sz w:val="24"/>
          <w:szCs w:val="32"/>
          <w:highlight w:val="none"/>
          <w:u w:val="single"/>
        </w:rPr>
        <w:t xml:space="preserve">    </w:t>
      </w:r>
      <w:r>
        <w:rPr>
          <w:rFonts w:hint="eastAsia" w:ascii="宋体" w:hAnsi="宋体" w:cs="宋体"/>
          <w:sz w:val="24"/>
          <w:szCs w:val="32"/>
          <w:highlight w:val="none"/>
        </w:rPr>
        <w:t xml:space="preserve">日</w:t>
      </w:r>
      <w:r/>
    </w:p>
    <w:p>
      <w:pPr>
        <w:jc w:val="left"/>
        <w:shd w:val="clear" w:color="auto" w:fill="auto"/>
        <w:rPr>
          <w:rFonts w:hint="eastAsia" w:ascii="宋体" w:hAnsi="宋体" w:cs="宋体"/>
          <w:sz w:val="18"/>
          <w:highlight w:val="none"/>
        </w:rPr>
      </w:pPr>
      <w:r>
        <w:rPr>
          <w:rFonts w:hint="eastAsia" w:ascii="宋体" w:hAnsi="宋体" w:cs="宋体"/>
          <w:sz w:val="18"/>
          <w:highlight w:val="none"/>
        </w:rPr>
        <w:br w:type="page" w:clear="all"/>
      </w:r>
      <w:r/>
    </w:p>
    <w:p>
      <w:pPr>
        <w:jc w:val="center"/>
        <w:spacing w:line="400" w:lineRule="exact"/>
        <w:shd w:val="clear" w:color="auto" w:fill="auto"/>
        <w:rPr>
          <w:rFonts w:hint="eastAsia" w:ascii="宋体" w:hAnsi="宋体" w:eastAsia="宋体" w:cs="宋体"/>
          <w:b/>
          <w:sz w:val="32"/>
          <w:szCs w:val="32"/>
          <w:highlight w:val="none"/>
        </w:rPr>
        <w:outlineLvl w:val="2"/>
      </w:pPr>
      <w:r/>
      <w:bookmarkStart w:id="183" w:name="_Toc211090872"/>
      <w:r/>
      <w:bookmarkStart w:id="184" w:name="_Toc432244528"/>
      <w:r/>
      <w:bookmarkStart w:id="185" w:name="_Toc503307476"/>
      <w:r/>
      <w:bookmarkStart w:id="186" w:name="_Toc503901979"/>
      <w:r/>
      <w:bookmarkStart w:id="187" w:name="_Toc144974831"/>
      <w:r>
        <w:rPr>
          <w:rFonts w:hint="eastAsia" w:ascii="宋体" w:hAnsi="宋体" w:eastAsia="宋体" w:cs="宋体"/>
          <w:b/>
          <w:sz w:val="32"/>
          <w:szCs w:val="32"/>
          <w:highlight w:val="none"/>
        </w:rPr>
        <w:t xml:space="preserve">二、法定代表人身份证明及授权委托书</w:t>
      </w:r>
      <w:r/>
    </w:p>
    <w:p>
      <w:pPr>
        <w:jc w:val="center"/>
        <w:spacing w:line="400" w:lineRule="exact"/>
        <w:shd w:val="clear" w:color="auto" w:fill="auto"/>
        <w:rPr>
          <w:rFonts w:hint="eastAsia" w:ascii="宋体" w:hAnsi="宋体" w:cs="宋体"/>
          <w:b/>
          <w:sz w:val="32"/>
          <w:szCs w:val="32"/>
          <w:highlight w:val="none"/>
        </w:rPr>
        <w:outlineLvl w:val="2"/>
      </w:pPr>
      <w:r>
        <w:rPr>
          <w:rFonts w:hint="eastAsia" w:ascii="宋体" w:hAnsi="宋体" w:cs="宋体"/>
          <w:b/>
          <w:sz w:val="32"/>
          <w:szCs w:val="32"/>
          <w:highlight w:val="none"/>
        </w:rPr>
        <w:t xml:space="preserve">㈠法定代表人身份证明</w:t>
      </w:r>
      <w:bookmarkEnd w:id="183"/>
      <w:r/>
      <w:bookmarkEnd w:id="184"/>
      <w:r/>
      <w:bookmarkEnd w:id="185"/>
      <w:r/>
      <w:bookmarkEnd w:id="186"/>
      <w:r/>
      <w:r/>
    </w:p>
    <w:p>
      <w:pPr>
        <w:shd w:val="clear" w:color="auto" w:fill="auto"/>
        <w:rPr>
          <w:rFonts w:hint="eastAsia" w:ascii="宋体" w:hAnsi="宋体" w:cs="宋体"/>
          <w:b/>
          <w:sz w:val="30"/>
          <w:szCs w:val="30"/>
          <w:highlight w:val="none"/>
        </w:rPr>
      </w:pPr>
      <w:r>
        <w:rPr>
          <w:rFonts w:hint="eastAsia" w:ascii="宋体" w:hAnsi="宋体" w:cs="宋体"/>
          <w:b/>
          <w:sz w:val="30"/>
          <w:szCs w:val="30"/>
          <w:highlight w:val="none"/>
        </w:rPr>
      </w:r>
      <w:r/>
    </w:p>
    <w:p>
      <w:pPr>
        <w:jc w:val="center"/>
        <w:spacing w:line="400" w:lineRule="atLeast"/>
        <w:shd w:val="clear" w:color="auto" w:fill="auto"/>
        <w:rPr>
          <w:rFonts w:hint="eastAsia" w:ascii="宋体" w:hAnsi="宋体" w:cs="宋体"/>
          <w:bCs/>
          <w:sz w:val="27"/>
          <w:szCs w:val="27"/>
          <w:highlight w:val="none"/>
        </w:rPr>
      </w:pPr>
      <w:r>
        <w:rPr>
          <w:rFonts w:hint="eastAsia" w:ascii="宋体" w:hAnsi="宋体" w:cs="宋体"/>
          <w:bCs/>
          <w:sz w:val="27"/>
          <w:szCs w:val="27"/>
          <w:highlight w:val="none"/>
        </w:rPr>
      </w:r>
      <w:r/>
    </w:p>
    <w:p>
      <w:pPr>
        <w:jc w:val="center"/>
        <w:spacing w:line="400" w:lineRule="atLeast"/>
        <w:shd w:val="clear" w:color="auto" w:fill="auto"/>
        <w:rPr>
          <w:rFonts w:hint="eastAsia" w:ascii="宋体" w:hAnsi="宋体" w:cs="宋体"/>
          <w:bCs/>
          <w:sz w:val="27"/>
          <w:szCs w:val="27"/>
          <w:highlight w:val="none"/>
        </w:rPr>
      </w:pPr>
      <w:r>
        <w:rPr>
          <w:rFonts w:hint="eastAsia" w:ascii="宋体" w:hAnsi="宋体" w:cs="宋体"/>
          <w:bCs/>
          <w:sz w:val="27"/>
          <w:szCs w:val="27"/>
          <w:highlight w:val="none"/>
        </w:rPr>
      </w:r>
      <w:r/>
    </w:p>
    <w:p>
      <w:pPr>
        <w:shd w:val="clear" w:color="auto" w:fill="auto"/>
        <w:rPr>
          <w:rFonts w:hint="eastAsia" w:ascii="宋体" w:hAnsi="宋体" w:cs="宋体"/>
          <w:bCs/>
          <w:sz w:val="24"/>
          <w:highlight w:val="none"/>
          <w:u w:val="single"/>
        </w:rPr>
      </w:pPr>
      <w:r>
        <w:rPr>
          <w:rFonts w:hint="eastAsia" w:ascii="宋体" w:hAnsi="宋体" w:cs="宋体"/>
          <w:bCs/>
          <w:sz w:val="24"/>
          <w:highlight w:val="none"/>
        </w:rPr>
        <w:t xml:space="preserve">投标人名称：</w:t>
      </w:r>
      <w:r>
        <w:rPr>
          <w:rFonts w:hint="eastAsia" w:ascii="宋体" w:hAnsi="宋体" w:cs="宋体"/>
          <w:highlight w:val="none"/>
          <w:u w:val="single"/>
        </w:rPr>
        <w:t xml:space="preserve">                </w:t>
      </w:r>
      <w:r/>
    </w:p>
    <w:p>
      <w:pPr>
        <w:shd w:val="clear" w:color="auto" w:fill="auto"/>
        <w:rPr>
          <w:rFonts w:hint="eastAsia" w:ascii="宋体" w:hAnsi="宋体" w:cs="宋体"/>
          <w:bCs/>
          <w:sz w:val="24"/>
          <w:highlight w:val="none"/>
          <w:u w:val="single"/>
        </w:rPr>
      </w:pPr>
      <w:r>
        <w:rPr>
          <w:rFonts w:hint="eastAsia" w:ascii="宋体" w:hAnsi="宋体" w:cs="宋体"/>
          <w:bCs/>
          <w:sz w:val="24"/>
          <w:highlight w:val="none"/>
        </w:rPr>
        <w:t xml:space="preserve">姓名：</w:t>
      </w:r>
      <w:r>
        <w:rPr>
          <w:rFonts w:hint="eastAsia" w:ascii="宋体" w:hAnsi="宋体" w:cs="宋体"/>
          <w:b/>
          <w:bCs/>
          <w:sz w:val="24"/>
          <w:highlight w:val="none"/>
          <w:u w:val="single"/>
        </w:rPr>
        <w:t xml:space="preserve">（法定代表人姓名）</w:t>
      </w:r>
      <w:r>
        <w:rPr>
          <w:rFonts w:hint="eastAsia" w:ascii="宋体" w:hAnsi="宋体" w:cs="宋体"/>
          <w:bCs/>
          <w:sz w:val="24"/>
          <w:highlight w:val="none"/>
        </w:rPr>
        <w:t xml:space="preserve">性别：</w:t>
      </w:r>
      <w:r>
        <w:rPr>
          <w:rFonts w:hint="eastAsia" w:ascii="宋体" w:hAnsi="宋体" w:cs="宋体"/>
          <w:highlight w:val="none"/>
          <w:u w:val="single"/>
        </w:rPr>
        <w:t xml:space="preserve">        </w:t>
      </w:r>
      <w:r>
        <w:rPr>
          <w:rFonts w:hint="eastAsia" w:ascii="宋体" w:hAnsi="宋体" w:cs="宋体"/>
          <w:bCs/>
          <w:sz w:val="24"/>
          <w:highlight w:val="none"/>
        </w:rPr>
        <w:t xml:space="preserve">年龄：</w:t>
      </w:r>
      <w:r>
        <w:rPr>
          <w:rFonts w:hint="eastAsia" w:ascii="宋体" w:hAnsi="宋体" w:cs="宋体"/>
          <w:highlight w:val="none"/>
          <w:u w:val="single"/>
        </w:rPr>
        <w:t xml:space="preserve">        </w:t>
      </w:r>
      <w:r>
        <w:rPr>
          <w:rFonts w:hint="eastAsia" w:ascii="宋体" w:hAnsi="宋体" w:cs="宋体"/>
          <w:bCs/>
          <w:sz w:val="24"/>
          <w:highlight w:val="none"/>
        </w:rPr>
        <w:t xml:space="preserve">职务：</w:t>
      </w:r>
      <w:r>
        <w:rPr>
          <w:rFonts w:hint="eastAsia" w:ascii="宋体" w:hAnsi="宋体" w:cs="宋体"/>
          <w:highlight w:val="none"/>
          <w:u w:val="single"/>
        </w:rPr>
        <w:t xml:space="preserve">        </w:t>
      </w:r>
      <w:r/>
    </w:p>
    <w:p>
      <w:pPr>
        <w:shd w:val="clear" w:color="auto" w:fill="auto"/>
        <w:rPr>
          <w:rFonts w:hint="eastAsia" w:ascii="宋体" w:hAnsi="宋体" w:cs="宋体"/>
          <w:bCs/>
          <w:sz w:val="24"/>
          <w:highlight w:val="none"/>
        </w:rPr>
      </w:pPr>
      <w:r>
        <w:rPr>
          <w:rFonts w:hint="eastAsia" w:ascii="宋体" w:hAnsi="宋体" w:cs="宋体"/>
          <w:bCs/>
          <w:sz w:val="24"/>
          <w:highlight w:val="none"/>
        </w:rPr>
        <w:t xml:space="preserve">系</w:t>
      </w:r>
      <w:r>
        <w:rPr>
          <w:rFonts w:hint="eastAsia" w:ascii="宋体" w:hAnsi="宋体" w:cs="宋体"/>
          <w:highlight w:val="none"/>
          <w:u w:val="single"/>
        </w:rPr>
        <w:t xml:space="preserve">        </w:t>
      </w:r>
      <w:r>
        <w:rPr>
          <w:rFonts w:hint="eastAsia" w:ascii="宋体" w:hAnsi="宋体" w:cs="宋体"/>
          <w:bCs/>
          <w:sz w:val="24"/>
          <w:highlight w:val="none"/>
          <w:u w:val="single"/>
        </w:rPr>
        <w:t xml:space="preserve"> </w:t>
      </w:r>
      <w:r>
        <w:rPr>
          <w:rFonts w:hint="eastAsia" w:ascii="宋体" w:hAnsi="宋体" w:cs="宋体"/>
          <w:highlight w:val="none"/>
          <w:u w:val="single"/>
        </w:rPr>
        <w:t xml:space="preserve">        </w:t>
      </w:r>
      <w:r>
        <w:rPr>
          <w:rFonts w:hint="eastAsia" w:ascii="宋体" w:hAnsi="宋体" w:cs="宋体"/>
          <w:bCs/>
          <w:sz w:val="24"/>
          <w:highlight w:val="none"/>
        </w:rPr>
        <w:t xml:space="preserve"> (投标人名称)的法定代表人。</w:t>
      </w:r>
      <w:r/>
    </w:p>
    <w:p>
      <w:pPr>
        <w:ind w:firstLine="480"/>
        <w:spacing w:line="400" w:lineRule="atLeast"/>
        <w:shd w:val="clear" w:color="auto" w:fill="auto"/>
        <w:rPr>
          <w:rFonts w:hint="eastAsia" w:ascii="宋体" w:hAnsi="宋体" w:cs="宋体"/>
          <w:bCs/>
          <w:sz w:val="24"/>
          <w:highlight w:val="none"/>
        </w:rPr>
      </w:pPr>
      <w:r>
        <w:rPr>
          <w:rFonts w:hint="eastAsia" w:ascii="宋体" w:hAnsi="宋体" w:cs="宋体"/>
          <w:bCs/>
          <w:sz w:val="24"/>
          <w:highlight w:val="none"/>
        </w:rPr>
      </w:r>
      <w:r/>
    </w:p>
    <w:p>
      <w:pPr>
        <w:ind w:firstLine="480"/>
        <w:spacing w:line="400" w:lineRule="atLeast"/>
        <w:shd w:val="clear" w:color="auto" w:fill="auto"/>
        <w:rPr>
          <w:rFonts w:hint="eastAsia" w:ascii="宋体" w:hAnsi="宋体" w:cs="宋体"/>
          <w:bCs/>
          <w:sz w:val="24"/>
          <w:highlight w:val="none"/>
        </w:rPr>
      </w:pPr>
      <w:r>
        <w:rPr>
          <w:rFonts w:hint="eastAsia" w:ascii="宋体" w:hAnsi="宋体" w:cs="宋体"/>
          <w:bCs/>
          <w:sz w:val="24"/>
          <w:highlight w:val="none"/>
        </w:rPr>
      </w:r>
      <w:r/>
    </w:p>
    <w:p>
      <w:pPr>
        <w:ind w:firstLine="480"/>
        <w:spacing w:line="400" w:lineRule="atLeast"/>
        <w:shd w:val="clear" w:color="auto" w:fill="auto"/>
        <w:rPr>
          <w:rFonts w:hint="eastAsia" w:ascii="宋体" w:hAnsi="宋体" w:cs="宋体"/>
          <w:bCs/>
          <w:sz w:val="24"/>
          <w:highlight w:val="none"/>
        </w:rPr>
      </w:pPr>
      <w:r>
        <w:rPr>
          <w:rFonts w:hint="eastAsia" w:ascii="宋体" w:hAnsi="宋体" w:cs="宋体"/>
          <w:bCs/>
          <w:sz w:val="24"/>
          <w:highlight w:val="none"/>
        </w:rPr>
        <w:t xml:space="preserve">特此证明。</w:t>
      </w:r>
      <w:r/>
    </w:p>
    <w:p>
      <w:pPr>
        <w:spacing w:line="400" w:lineRule="atLeast"/>
        <w:shd w:val="clear" w:color="auto" w:fill="auto"/>
        <w:rPr>
          <w:rFonts w:hint="eastAsia" w:ascii="宋体" w:hAnsi="宋体" w:cs="宋体"/>
          <w:bCs/>
          <w:sz w:val="24"/>
          <w:highlight w:val="none"/>
        </w:rPr>
      </w:pPr>
      <w:r>
        <w:rPr>
          <w:rFonts w:hint="eastAsia" w:ascii="宋体" w:hAnsi="宋体" w:cs="宋体"/>
          <w:bCs/>
          <w:sz w:val="24"/>
          <w:highlight w:val="none"/>
        </w:rPr>
      </w:r>
      <w:r/>
    </w:p>
    <w:p>
      <w:pPr>
        <w:shd w:val="clear" w:color="auto" w:fill="auto"/>
        <w:rPr>
          <w:rFonts w:hint="eastAsia" w:ascii="宋体" w:hAnsi="宋体" w:cs="宋体"/>
          <w:sz w:val="24"/>
          <w:highlight w:val="none"/>
        </w:rPr>
      </w:pPr>
      <w:r>
        <w:rPr>
          <w:rFonts w:hint="eastAsia" w:ascii="宋体" w:hAnsi="宋体" w:cs="宋体"/>
          <w:sz w:val="24"/>
          <w:highlight w:val="none"/>
        </w:rPr>
        <w:t xml:space="preserve">附：法定代表人身份证扫描件。</w:t>
      </w:r>
      <w:r/>
    </w:p>
    <w:p>
      <w:pPr>
        <w:spacing w:line="400" w:lineRule="atLeast"/>
        <w:shd w:val="clear" w:color="auto" w:fill="auto"/>
        <w:rPr>
          <w:rFonts w:hint="eastAsia" w:ascii="宋体" w:hAnsi="宋体" w:cs="宋体"/>
          <w:bCs/>
          <w:sz w:val="24"/>
          <w:highlight w:val="none"/>
        </w:rPr>
      </w:pPr>
      <w:r>
        <w:rPr>
          <w:rFonts w:hint="eastAsia" w:ascii="宋体" w:hAnsi="宋体" w:cs="宋体"/>
          <w:bCs/>
          <w:sz w:val="24"/>
          <w:highlight w:val="none"/>
        </w:rPr>
      </w:r>
      <w:r/>
    </w:p>
    <w:p>
      <w:pPr>
        <w:spacing w:line="400" w:lineRule="atLeast"/>
        <w:shd w:val="clear" w:color="auto" w:fill="auto"/>
        <w:rPr>
          <w:rFonts w:hint="eastAsia" w:ascii="宋体" w:hAnsi="宋体" w:cs="宋体"/>
          <w:bCs/>
          <w:sz w:val="24"/>
          <w:highlight w:val="none"/>
        </w:rPr>
      </w:pPr>
      <w:r>
        <w:rPr>
          <w:rFonts w:hint="eastAsia" w:ascii="宋体" w:hAnsi="宋体" w:cs="宋体"/>
          <w:bCs/>
          <w:sz w:val="24"/>
          <w:highlight w:val="none"/>
        </w:rPr>
      </w:r>
      <w:r/>
    </w:p>
    <w:p>
      <w:pPr>
        <w:spacing w:line="400" w:lineRule="atLeast"/>
        <w:shd w:val="clear" w:color="auto" w:fill="auto"/>
        <w:rPr>
          <w:rFonts w:hint="eastAsia" w:ascii="宋体" w:hAnsi="宋体" w:cs="宋体"/>
          <w:bCs/>
          <w:sz w:val="24"/>
          <w:highlight w:val="none"/>
        </w:rPr>
      </w:pPr>
      <w:r>
        <w:rPr>
          <w:rFonts w:hint="eastAsia" w:ascii="宋体" w:hAnsi="宋体" w:cs="宋体"/>
          <w:bCs/>
          <w:sz w:val="24"/>
          <w:highlight w:val="none"/>
        </w:rPr>
      </w:r>
      <w:r/>
    </w:p>
    <w:p>
      <w:pPr>
        <w:ind w:firstLine="480"/>
        <w:shd w:val="clear" w:color="auto" w:fill="auto"/>
        <w:rPr>
          <w:rFonts w:hint="eastAsia" w:ascii="宋体" w:hAnsi="宋体" w:cs="宋体"/>
          <w:sz w:val="24"/>
          <w:szCs w:val="32"/>
          <w:highlight w:val="none"/>
        </w:rPr>
      </w:pPr>
      <w:r>
        <w:rPr>
          <w:rFonts w:hint="eastAsia" w:ascii="宋体" w:hAnsi="宋体" w:cs="宋体"/>
          <w:bCs/>
          <w:sz w:val="24"/>
          <w:highlight w:val="none"/>
        </w:rPr>
        <w:t xml:space="preserve">                             </w:t>
      </w:r>
      <w:r/>
    </w:p>
    <w:p>
      <w:pPr>
        <w:shd w:val="clear" w:color="auto" w:fill="auto"/>
        <w:rPr>
          <w:rFonts w:hint="eastAsia" w:ascii="宋体" w:hAnsi="宋体" w:cs="宋体"/>
          <w:sz w:val="24"/>
          <w:szCs w:val="32"/>
          <w:highlight w:val="none"/>
        </w:rPr>
      </w:pPr>
      <w:r>
        <w:rPr>
          <w:rFonts w:hint="eastAsia" w:ascii="宋体" w:hAnsi="宋体" w:cs="宋体"/>
          <w:sz w:val="24"/>
          <w:szCs w:val="32"/>
          <w:highlight w:val="none"/>
        </w:rPr>
        <w:t xml:space="preserve">投标人名称：</w:t>
      </w:r>
      <w:r>
        <w:rPr>
          <w:rFonts w:hint="eastAsia" w:ascii="宋体" w:hAnsi="宋体" w:cs="宋体"/>
          <w:sz w:val="24"/>
          <w:szCs w:val="32"/>
          <w:highlight w:val="none"/>
          <w:u w:val="single"/>
        </w:rPr>
        <w:t xml:space="preserve">               </w:t>
      </w:r>
      <w:r>
        <w:rPr>
          <w:rFonts w:hint="eastAsia" w:ascii="宋体" w:hAnsi="宋体" w:cs="宋体"/>
          <w:sz w:val="24"/>
          <w:szCs w:val="32"/>
          <w:highlight w:val="none"/>
        </w:rPr>
        <w:t xml:space="preserve">（加盖CA电子公章）</w:t>
      </w:r>
      <w:r/>
    </w:p>
    <w:p>
      <w:pPr>
        <w:shd w:val="clear" w:color="auto" w:fill="auto"/>
        <w:rPr>
          <w:rFonts w:hint="eastAsia" w:ascii="宋体" w:hAnsi="宋体" w:cs="宋体"/>
          <w:sz w:val="24"/>
          <w:szCs w:val="32"/>
          <w:highlight w:val="none"/>
        </w:rPr>
      </w:pPr>
      <w:r>
        <w:rPr>
          <w:rFonts w:hint="eastAsia" w:ascii="宋体" w:hAnsi="宋体" w:cs="宋体"/>
          <w:sz w:val="24"/>
          <w:szCs w:val="32"/>
          <w:highlight w:val="none"/>
        </w:rPr>
      </w:r>
      <w:r/>
    </w:p>
    <w:p>
      <w:pPr>
        <w:shd w:val="clear" w:color="auto" w:fill="auto"/>
        <w:rPr>
          <w:rFonts w:hint="eastAsia" w:ascii="宋体" w:hAnsi="宋体" w:cs="宋体"/>
          <w:sz w:val="24"/>
          <w:szCs w:val="32"/>
          <w:highlight w:val="none"/>
        </w:rPr>
      </w:pPr>
      <w:r>
        <w:rPr>
          <w:rFonts w:hint="eastAsia" w:ascii="宋体" w:hAnsi="宋体" w:cs="宋体"/>
          <w:sz w:val="24"/>
          <w:szCs w:val="32"/>
          <w:highlight w:val="none"/>
        </w:rPr>
        <w:t xml:space="preserve">法定代表人：</w:t>
      </w:r>
      <w:r>
        <w:rPr>
          <w:rFonts w:hint="eastAsia" w:ascii="宋体" w:hAnsi="宋体" w:cs="宋体"/>
          <w:sz w:val="24"/>
          <w:szCs w:val="32"/>
          <w:highlight w:val="none"/>
          <w:u w:val="single"/>
        </w:rPr>
        <w:t xml:space="preserve">               </w:t>
      </w:r>
      <w:r>
        <w:rPr>
          <w:rFonts w:hint="eastAsia" w:ascii="宋体" w:hAnsi="宋体" w:cs="宋体"/>
          <w:sz w:val="24"/>
          <w:szCs w:val="32"/>
          <w:highlight w:val="none"/>
        </w:rPr>
        <w:t xml:space="preserve">（加盖CA电子签章）</w:t>
      </w:r>
      <w:r/>
    </w:p>
    <w:p>
      <w:pPr>
        <w:ind w:firstLine="3840"/>
        <w:jc w:val="left"/>
        <w:shd w:val="clear" w:color="auto" w:fill="auto"/>
        <w:rPr>
          <w:rFonts w:hint="eastAsia" w:ascii="宋体" w:hAnsi="宋体" w:cs="宋体"/>
          <w:sz w:val="24"/>
          <w:highlight w:val="none"/>
        </w:rPr>
      </w:pPr>
      <w:r>
        <w:rPr>
          <w:rFonts w:hint="eastAsia" w:ascii="宋体" w:hAnsi="宋体" w:cs="宋体"/>
          <w:sz w:val="24"/>
          <w:szCs w:val="32"/>
          <w:highlight w:val="none"/>
        </w:rPr>
        <w:t xml:space="preserve">日    期：</w:t>
      </w:r>
      <w:r>
        <w:rPr>
          <w:rFonts w:hint="eastAsia" w:ascii="宋体" w:hAnsi="宋体" w:cs="宋体"/>
          <w:sz w:val="24"/>
          <w:szCs w:val="32"/>
          <w:highlight w:val="none"/>
          <w:u w:val="single"/>
        </w:rPr>
        <w:t xml:space="preserve">       </w:t>
      </w:r>
      <w:r>
        <w:rPr>
          <w:rFonts w:hint="eastAsia" w:ascii="宋体" w:hAnsi="宋体" w:cs="宋体"/>
          <w:sz w:val="24"/>
          <w:szCs w:val="32"/>
          <w:highlight w:val="none"/>
        </w:rPr>
        <w:t xml:space="preserve">年</w:t>
      </w:r>
      <w:r>
        <w:rPr>
          <w:rFonts w:hint="eastAsia" w:ascii="宋体" w:hAnsi="宋体" w:cs="宋体"/>
          <w:sz w:val="24"/>
          <w:szCs w:val="32"/>
          <w:highlight w:val="none"/>
          <w:u w:val="single"/>
        </w:rPr>
        <w:t xml:space="preserve">    </w:t>
      </w:r>
      <w:r>
        <w:rPr>
          <w:rFonts w:hint="eastAsia" w:ascii="宋体" w:hAnsi="宋体" w:cs="宋体"/>
          <w:sz w:val="24"/>
          <w:szCs w:val="32"/>
          <w:highlight w:val="none"/>
        </w:rPr>
        <w:t xml:space="preserve">月</w:t>
      </w:r>
      <w:r>
        <w:rPr>
          <w:rFonts w:hint="eastAsia" w:ascii="宋体" w:hAnsi="宋体" w:cs="宋体"/>
          <w:sz w:val="24"/>
          <w:szCs w:val="32"/>
          <w:highlight w:val="none"/>
          <w:u w:val="single"/>
        </w:rPr>
        <w:t xml:space="preserve">    </w:t>
      </w:r>
      <w:r>
        <w:rPr>
          <w:rFonts w:hint="eastAsia" w:ascii="宋体" w:hAnsi="宋体" w:cs="宋体"/>
          <w:sz w:val="24"/>
          <w:szCs w:val="32"/>
          <w:highlight w:val="none"/>
        </w:rPr>
        <w:t xml:space="preserve">日</w:t>
      </w:r>
      <w:r/>
    </w:p>
    <w:p>
      <w:pPr>
        <w:jc w:val="center"/>
        <w:spacing w:line="400" w:lineRule="atLeast"/>
        <w:shd w:val="clear" w:color="auto" w:fill="auto"/>
        <w:rPr>
          <w:rFonts w:hint="eastAsia" w:ascii="宋体" w:hAnsi="宋体" w:cs="宋体"/>
          <w:bCs/>
          <w:sz w:val="24"/>
          <w:highlight w:val="none"/>
        </w:rPr>
      </w:pPr>
      <w:r>
        <w:rPr>
          <w:rFonts w:hint="eastAsia" w:ascii="宋体" w:hAnsi="宋体" w:cs="宋体"/>
          <w:bCs/>
          <w:sz w:val="24"/>
          <w:highlight w:val="none"/>
        </w:rPr>
      </w:r>
      <w:r/>
    </w:p>
    <w:p>
      <w:pPr>
        <w:jc w:val="center"/>
        <w:spacing w:line="400" w:lineRule="atLeast"/>
        <w:shd w:val="clear" w:color="auto" w:fill="auto"/>
        <w:rPr>
          <w:rFonts w:hint="eastAsia" w:ascii="宋体" w:hAnsi="宋体" w:cs="宋体"/>
          <w:bCs/>
          <w:sz w:val="24"/>
          <w:highlight w:val="none"/>
        </w:rPr>
      </w:pPr>
      <w:r>
        <w:rPr>
          <w:rFonts w:hint="eastAsia" w:ascii="宋体" w:hAnsi="宋体" w:cs="宋体"/>
          <w:bCs/>
          <w:sz w:val="24"/>
          <w:highlight w:val="none"/>
        </w:rPr>
      </w:r>
      <w:r/>
    </w:p>
    <w:p>
      <w:pPr>
        <w:jc w:val="center"/>
        <w:spacing w:line="400" w:lineRule="atLeast"/>
        <w:shd w:val="clear" w:color="auto" w:fill="auto"/>
        <w:rPr>
          <w:rFonts w:hint="eastAsia" w:ascii="宋体" w:hAnsi="宋体" w:cs="宋体"/>
          <w:bCs/>
          <w:sz w:val="27"/>
          <w:szCs w:val="27"/>
          <w:highlight w:val="none"/>
        </w:rPr>
      </w:pPr>
      <w:r>
        <w:rPr>
          <w:rFonts w:hint="eastAsia" w:ascii="宋体" w:hAnsi="宋体" w:cs="宋体"/>
          <w:bCs/>
          <w:sz w:val="27"/>
          <w:szCs w:val="27"/>
          <w:highlight w:val="none"/>
        </w:rPr>
      </w:r>
      <w:r/>
    </w:p>
    <w:p>
      <w:pPr>
        <w:jc w:val="center"/>
        <w:spacing w:line="400" w:lineRule="atLeast"/>
        <w:shd w:val="clear" w:color="auto" w:fill="auto"/>
        <w:rPr>
          <w:rFonts w:hint="eastAsia" w:ascii="宋体" w:hAnsi="宋体" w:cs="宋体"/>
          <w:bCs/>
          <w:sz w:val="27"/>
          <w:szCs w:val="27"/>
          <w:highlight w:val="none"/>
        </w:rPr>
      </w:pPr>
      <w:r>
        <w:rPr>
          <w:rFonts w:hint="eastAsia" w:ascii="宋体" w:hAnsi="宋体" w:cs="宋体"/>
          <w:bCs/>
          <w:sz w:val="27"/>
          <w:szCs w:val="27"/>
          <w:highlight w:val="none"/>
        </w:rPr>
      </w:r>
      <w:r/>
    </w:p>
    <w:p>
      <w:pPr>
        <w:jc w:val="center"/>
        <w:spacing w:line="400" w:lineRule="atLeast"/>
        <w:shd w:val="clear" w:color="auto" w:fill="auto"/>
        <w:rPr>
          <w:rFonts w:hint="eastAsia" w:ascii="宋体" w:hAnsi="宋体" w:cs="宋体"/>
          <w:bCs/>
          <w:sz w:val="27"/>
          <w:szCs w:val="27"/>
          <w:highlight w:val="none"/>
        </w:rPr>
      </w:pPr>
      <w:r>
        <w:rPr>
          <w:rFonts w:hint="eastAsia" w:ascii="宋体" w:hAnsi="宋体" w:cs="宋体"/>
          <w:bCs/>
          <w:sz w:val="27"/>
          <w:szCs w:val="27"/>
          <w:highlight w:val="none"/>
        </w:rPr>
      </w:r>
      <w:r/>
    </w:p>
    <w:p>
      <w:pPr>
        <w:jc w:val="center"/>
        <w:spacing w:line="400" w:lineRule="atLeast"/>
        <w:shd w:val="clear" w:color="auto" w:fill="auto"/>
        <w:rPr>
          <w:rFonts w:hint="eastAsia" w:ascii="宋体" w:hAnsi="宋体" w:cs="宋体"/>
          <w:bCs/>
          <w:sz w:val="27"/>
          <w:szCs w:val="27"/>
          <w:highlight w:val="none"/>
        </w:rPr>
      </w:pPr>
      <w:r>
        <w:rPr>
          <w:rFonts w:hint="eastAsia" w:ascii="宋体" w:hAnsi="宋体" w:cs="宋体"/>
          <w:bCs/>
          <w:sz w:val="27"/>
          <w:szCs w:val="27"/>
          <w:highlight w:val="none"/>
        </w:rPr>
      </w:r>
      <w:r/>
    </w:p>
    <w:p>
      <w:pPr>
        <w:jc w:val="center"/>
        <w:spacing w:line="400" w:lineRule="atLeast"/>
        <w:shd w:val="clear" w:color="auto" w:fill="auto"/>
        <w:rPr>
          <w:rFonts w:hint="eastAsia" w:ascii="宋体" w:hAnsi="宋体" w:cs="宋体"/>
          <w:bCs/>
          <w:sz w:val="27"/>
          <w:szCs w:val="27"/>
          <w:highlight w:val="none"/>
        </w:rPr>
      </w:pPr>
      <w:r>
        <w:rPr>
          <w:rFonts w:hint="eastAsia" w:ascii="宋体" w:hAnsi="宋体" w:cs="宋体"/>
          <w:bCs/>
          <w:sz w:val="27"/>
          <w:szCs w:val="27"/>
          <w:highlight w:val="none"/>
        </w:rPr>
      </w:r>
      <w:r/>
    </w:p>
    <w:p>
      <w:pPr>
        <w:jc w:val="center"/>
        <w:spacing w:line="400" w:lineRule="atLeast"/>
        <w:shd w:val="clear" w:color="auto" w:fill="auto"/>
        <w:rPr>
          <w:rFonts w:hint="eastAsia" w:ascii="宋体" w:hAnsi="宋体" w:cs="宋体"/>
          <w:bCs/>
          <w:sz w:val="27"/>
          <w:szCs w:val="27"/>
          <w:highlight w:val="none"/>
        </w:rPr>
      </w:pPr>
      <w:r>
        <w:rPr>
          <w:rFonts w:hint="eastAsia" w:ascii="宋体" w:hAnsi="宋体" w:cs="宋体"/>
          <w:bCs/>
          <w:sz w:val="27"/>
          <w:szCs w:val="27"/>
          <w:highlight w:val="none"/>
        </w:rPr>
      </w:r>
      <w:r/>
    </w:p>
    <w:p>
      <w:pPr>
        <w:pStyle w:val="1080"/>
        <w:ind w:left="0"/>
        <w:shd w:val="clear" w:color="auto" w:fill="auto"/>
        <w:rPr>
          <w:rFonts w:hint="eastAsia" w:ascii="宋体" w:hAnsi="宋体" w:cs="宋体"/>
          <w:b/>
          <w:bCs/>
          <w:sz w:val="21"/>
          <w:szCs w:val="21"/>
          <w:highlight w:val="none"/>
        </w:rPr>
      </w:pPr>
      <w:r>
        <w:rPr>
          <w:rFonts w:hint="eastAsia" w:ascii="宋体" w:hAnsi="宋体" w:cs="宋体"/>
          <w:b/>
          <w:bCs/>
          <w:sz w:val="21"/>
          <w:szCs w:val="21"/>
          <w:highlight w:val="none"/>
        </w:rPr>
      </w:r>
      <w:r/>
    </w:p>
    <w:p>
      <w:pPr>
        <w:pStyle w:val="1080"/>
        <w:ind w:left="0"/>
        <w:shd w:val="clear" w:color="auto" w:fill="auto"/>
        <w:rPr>
          <w:rFonts w:hint="eastAsia" w:ascii="宋体" w:hAnsi="宋体" w:cs="宋体"/>
          <w:b/>
          <w:bCs/>
          <w:sz w:val="21"/>
          <w:szCs w:val="21"/>
          <w:highlight w:val="none"/>
        </w:rPr>
      </w:pPr>
      <w:r>
        <w:rPr>
          <w:rFonts w:hint="eastAsia" w:ascii="宋体" w:hAnsi="宋体" w:cs="宋体"/>
          <w:b/>
          <w:bCs/>
          <w:sz w:val="21"/>
          <w:szCs w:val="21"/>
          <w:highlight w:val="none"/>
        </w:rPr>
      </w:r>
      <w:r/>
    </w:p>
    <w:p>
      <w:pPr>
        <w:shd w:val="clear" w:color="auto" w:fill="auto"/>
        <w:rPr>
          <w:rFonts w:hint="eastAsia" w:ascii="宋体" w:hAnsi="宋体" w:cs="宋体"/>
          <w:b/>
          <w:highlight w:val="none"/>
        </w:rPr>
      </w:pPr>
      <w:r>
        <w:rPr>
          <w:rFonts w:hint="eastAsia" w:ascii="宋体" w:hAnsi="宋体" w:cs="宋体"/>
          <w:b/>
          <w:highlight w:val="none"/>
        </w:rPr>
      </w:r>
      <w:r/>
    </w:p>
    <w:p>
      <w:pPr>
        <w:jc w:val="center"/>
        <w:spacing w:line="400" w:lineRule="exact"/>
        <w:shd w:val="clear" w:color="auto" w:fill="auto"/>
        <w:rPr>
          <w:rFonts w:hint="eastAsia" w:ascii="宋体" w:hAnsi="宋体" w:cs="宋体"/>
          <w:b/>
          <w:sz w:val="32"/>
          <w:szCs w:val="32"/>
          <w:highlight w:val="none"/>
        </w:rPr>
        <w:outlineLvl w:val="2"/>
      </w:pPr>
      <w:r>
        <w:rPr>
          <w:rFonts w:hint="eastAsia" w:ascii="宋体" w:hAnsi="宋体" w:cs="宋体"/>
          <w:b/>
          <w:sz w:val="32"/>
          <w:szCs w:val="32"/>
          <w:highlight w:val="none"/>
        </w:rPr>
        <w:t xml:space="preserve">㈡</w:t>
      </w:r>
      <w:r>
        <w:rPr>
          <w:rFonts w:hint="eastAsia" w:ascii="宋体" w:hAnsi="宋体" w:cs="宋体"/>
          <w:b/>
          <w:sz w:val="32"/>
          <w:szCs w:val="32"/>
          <w:highlight w:val="none"/>
          <w:lang w:val="en-US" w:eastAsia="zh-CN"/>
        </w:rPr>
        <w:t xml:space="preserve">委托授权书</w:t>
      </w:r>
      <w:r/>
    </w:p>
    <w:p>
      <w:pPr>
        <w:jc w:val="center"/>
        <w:spacing w:line="400" w:lineRule="exact"/>
        <w:shd w:val="clear" w:color="auto" w:fill="auto"/>
        <w:rPr>
          <w:rFonts w:hint="eastAsia" w:ascii="宋体" w:hAnsi="宋体" w:cs="宋体"/>
          <w:b/>
          <w:sz w:val="32"/>
          <w:szCs w:val="32"/>
          <w:highlight w:val="none"/>
        </w:rPr>
        <w:outlineLvl w:val="2"/>
      </w:pPr>
      <w:r>
        <w:rPr>
          <w:rFonts w:hint="eastAsia" w:ascii="宋体" w:hAnsi="宋体" w:cs="宋体"/>
          <w:b/>
          <w:sz w:val="32"/>
          <w:szCs w:val="32"/>
          <w:highlight w:val="none"/>
        </w:rPr>
      </w:r>
      <w:r/>
    </w:p>
    <w:p>
      <w:pPr>
        <w:ind w:firstLine="960"/>
        <w:shd w:val="clear" w:color="auto" w:fill="auto"/>
        <w:rPr>
          <w:rFonts w:hint="eastAsia" w:ascii="宋体" w:hAnsi="宋体" w:eastAsia="宋体" w:cs="宋体"/>
          <w:bCs/>
          <w:sz w:val="24"/>
          <w:highlight w:val="none"/>
        </w:rPr>
      </w:pPr>
      <w:r>
        <w:rPr>
          <w:rFonts w:hint="eastAsia" w:ascii="宋体" w:hAnsi="宋体" w:eastAsia="宋体" w:cs="宋体"/>
          <w:bCs/>
          <w:sz w:val="24"/>
          <w:highlight w:val="none"/>
        </w:rPr>
        <w:t xml:space="preserve">本人         （姓名）系          （投标人名称）的法定代表人，现委托        （姓名）</w:t>
      </w:r>
      <w:r>
        <w:rPr>
          <w:rFonts w:hint="eastAsia" w:ascii="宋体" w:hAnsi="宋体" w:eastAsia="宋体" w:cs="宋体"/>
          <w:bCs/>
          <w:sz w:val="24"/>
          <w:highlight w:val="none"/>
          <w:lang w:val="en-US" w:eastAsia="zh-CN"/>
        </w:rPr>
        <w:t xml:space="preserve">         </w:t>
      </w:r>
      <w:r>
        <w:rPr>
          <w:rFonts w:hint="eastAsia" w:ascii="宋体" w:hAnsi="宋体" w:eastAsia="宋体" w:cs="宋体"/>
          <w:bCs/>
          <w:sz w:val="24"/>
          <w:highlight w:val="none"/>
        </w:rPr>
        <w:t xml:space="preserve">为我方代理人。代理人根据授权，以我方名义签署、澄清、说明、补正、递交、撤回、修改           （项目名称）           </w:t>
      </w:r>
      <w:r>
        <w:rPr>
          <w:rFonts w:hint="eastAsia" w:ascii="宋体" w:hAnsi="宋体" w:eastAsia="宋体" w:cs="宋体"/>
          <w:bCs/>
          <w:sz w:val="24"/>
          <w:highlight w:val="none"/>
          <w:lang w:eastAsia="zh-CN"/>
        </w:rPr>
        <w:t xml:space="preserve">项目</w:t>
      </w:r>
      <w:r>
        <w:rPr>
          <w:rFonts w:hint="eastAsia" w:ascii="宋体" w:hAnsi="宋体" w:eastAsia="宋体" w:cs="宋体"/>
          <w:bCs/>
          <w:sz w:val="24"/>
          <w:highlight w:val="none"/>
        </w:rPr>
        <w:t xml:space="preserve">施工投标文件、签订合同和处理有关事宜，其法律后果由我方承担。</w:t>
      </w:r>
      <w:r/>
    </w:p>
    <w:p>
      <w:pPr>
        <w:shd w:val="clear" w:color="auto" w:fill="auto"/>
        <w:rPr>
          <w:rFonts w:hint="eastAsia" w:ascii="宋体" w:hAnsi="宋体" w:eastAsia="宋体" w:cs="宋体"/>
          <w:bCs/>
          <w:sz w:val="24"/>
          <w:highlight w:val="none"/>
        </w:rPr>
      </w:pPr>
      <w:r>
        <w:rPr>
          <w:rFonts w:hint="eastAsia" w:ascii="宋体" w:hAnsi="宋体" w:eastAsia="宋体" w:cs="宋体"/>
          <w:bCs/>
          <w:sz w:val="24"/>
          <w:highlight w:val="none"/>
        </w:rPr>
        <w:t xml:space="preserve">委托期限：                          。</w:t>
      </w:r>
      <w:r/>
    </w:p>
    <w:p>
      <w:pPr>
        <w:shd w:val="clear" w:color="auto" w:fill="auto"/>
        <w:rPr>
          <w:rFonts w:hint="eastAsia" w:ascii="宋体" w:hAnsi="宋体" w:eastAsia="宋体" w:cs="宋体"/>
          <w:bCs/>
          <w:sz w:val="24"/>
          <w:highlight w:val="none"/>
        </w:rPr>
      </w:pPr>
      <w:r>
        <w:rPr>
          <w:rFonts w:hint="eastAsia" w:ascii="宋体" w:hAnsi="宋体" w:eastAsia="宋体" w:cs="宋体"/>
          <w:bCs/>
          <w:sz w:val="24"/>
          <w:highlight w:val="none"/>
        </w:rPr>
      </w:r>
      <w:r/>
    </w:p>
    <w:p>
      <w:pPr>
        <w:shd w:val="clear" w:color="auto" w:fill="auto"/>
        <w:rPr>
          <w:rFonts w:hint="eastAsia" w:ascii="宋体" w:hAnsi="宋体" w:eastAsia="宋体" w:cs="宋体"/>
          <w:bCs/>
          <w:sz w:val="24"/>
          <w:highlight w:val="none"/>
        </w:rPr>
      </w:pPr>
      <w:r>
        <w:rPr>
          <w:rFonts w:hint="eastAsia" w:ascii="宋体" w:hAnsi="宋体" w:eastAsia="宋体" w:cs="宋体"/>
          <w:bCs/>
          <w:sz w:val="24"/>
          <w:highlight w:val="none"/>
        </w:rPr>
        <w:t xml:space="preserve">代理人无转委托权。</w:t>
      </w:r>
      <w:r/>
    </w:p>
    <w:p>
      <w:pPr>
        <w:shd w:val="clear" w:color="auto" w:fill="auto"/>
        <w:rPr>
          <w:rFonts w:hint="eastAsia" w:ascii="宋体" w:hAnsi="宋体" w:eastAsia="宋体" w:cs="宋体"/>
          <w:bCs/>
          <w:sz w:val="24"/>
          <w:highlight w:val="none"/>
        </w:rPr>
      </w:pPr>
      <w:r>
        <w:rPr>
          <w:rFonts w:hint="eastAsia" w:ascii="宋体" w:hAnsi="宋体" w:eastAsia="宋体" w:cs="宋体"/>
          <w:bCs/>
          <w:sz w:val="24"/>
          <w:highlight w:val="none"/>
        </w:rPr>
      </w:r>
      <w:r/>
    </w:p>
    <w:p>
      <w:pPr>
        <w:shd w:val="clear" w:color="auto" w:fill="auto"/>
        <w:rPr>
          <w:rFonts w:hint="eastAsia" w:ascii="宋体" w:hAnsi="宋体" w:cs="宋体"/>
          <w:sz w:val="24"/>
          <w:highlight w:val="none"/>
        </w:rPr>
      </w:pPr>
      <w:r>
        <w:rPr>
          <w:rFonts w:hint="eastAsia" w:ascii="宋体" w:hAnsi="宋体" w:cs="宋体"/>
          <w:sz w:val="24"/>
          <w:highlight w:val="none"/>
        </w:rPr>
        <w:t xml:space="preserve">附：</w:t>
      </w:r>
      <w:r>
        <w:rPr>
          <w:rFonts w:hint="eastAsia" w:ascii="宋体" w:hAnsi="宋体" w:eastAsia="宋体" w:cs="宋体"/>
          <w:bCs/>
          <w:sz w:val="24"/>
          <w:highlight w:val="none"/>
          <w:lang w:eastAsia="zh-CN"/>
        </w:rPr>
        <w:t xml:space="preserve">委托代理人</w:t>
      </w:r>
      <w:r>
        <w:rPr>
          <w:rFonts w:hint="eastAsia" w:ascii="宋体" w:hAnsi="宋体" w:eastAsia="宋体" w:cs="宋体"/>
          <w:bCs/>
          <w:sz w:val="24"/>
          <w:highlight w:val="none"/>
        </w:rPr>
        <w:t xml:space="preserve">身份证</w:t>
      </w:r>
      <w:r>
        <w:rPr>
          <w:rFonts w:hint="eastAsia" w:ascii="宋体" w:hAnsi="宋体" w:cs="宋体"/>
          <w:sz w:val="24"/>
          <w:highlight w:val="none"/>
        </w:rPr>
        <w:t xml:space="preserve">扫描件。</w:t>
      </w:r>
      <w:r/>
    </w:p>
    <w:p>
      <w:pPr>
        <w:shd w:val="clear" w:color="auto" w:fill="auto"/>
        <w:rPr>
          <w:rFonts w:hint="eastAsia" w:ascii="宋体" w:hAnsi="宋体" w:eastAsia="宋体" w:cs="宋体"/>
          <w:bCs/>
          <w:sz w:val="24"/>
          <w:highlight w:val="none"/>
        </w:rPr>
      </w:pPr>
      <w:r>
        <w:rPr>
          <w:rFonts w:hint="eastAsia" w:ascii="宋体" w:hAnsi="宋体" w:eastAsia="宋体" w:cs="宋体"/>
          <w:bCs/>
          <w:sz w:val="24"/>
          <w:highlight w:val="none"/>
        </w:rPr>
      </w:r>
      <w:r/>
    </w:p>
    <w:p>
      <w:pPr>
        <w:shd w:val="clear" w:color="auto" w:fill="auto"/>
        <w:rPr>
          <w:rFonts w:hint="eastAsia" w:ascii="宋体" w:hAnsi="宋体" w:eastAsia="宋体" w:cs="宋体"/>
          <w:bCs/>
          <w:sz w:val="24"/>
          <w:highlight w:val="none"/>
        </w:rPr>
      </w:pPr>
      <w:r>
        <w:rPr>
          <w:rFonts w:hint="eastAsia" w:ascii="宋体" w:hAnsi="宋体" w:eastAsia="宋体" w:cs="宋体"/>
          <w:bCs/>
          <w:sz w:val="24"/>
          <w:highlight w:val="none"/>
        </w:rPr>
      </w:r>
      <w:r/>
    </w:p>
    <w:p>
      <w:pPr>
        <w:shd w:val="clear" w:color="auto" w:fill="auto"/>
        <w:rPr>
          <w:rFonts w:hint="eastAsia" w:ascii="宋体" w:hAnsi="宋体" w:eastAsia="宋体" w:cs="宋体"/>
          <w:bCs/>
          <w:sz w:val="24"/>
          <w:highlight w:val="none"/>
        </w:rPr>
      </w:pPr>
      <w:r>
        <w:rPr>
          <w:rFonts w:hint="eastAsia" w:ascii="宋体" w:hAnsi="宋体" w:eastAsia="宋体" w:cs="宋体"/>
          <w:bCs/>
          <w:sz w:val="24"/>
          <w:highlight w:val="none"/>
        </w:rPr>
      </w:r>
      <w:r/>
    </w:p>
    <w:p>
      <w:pPr>
        <w:shd w:val="clear" w:color="auto" w:fill="auto"/>
        <w:rPr>
          <w:rFonts w:hint="eastAsia" w:ascii="宋体" w:hAnsi="宋体" w:eastAsia="宋体" w:cs="宋体"/>
          <w:bCs/>
          <w:sz w:val="24"/>
          <w:highlight w:val="none"/>
        </w:rPr>
      </w:pPr>
      <w:r>
        <w:rPr>
          <w:rFonts w:hint="eastAsia" w:ascii="宋体" w:hAnsi="宋体" w:eastAsia="宋体" w:cs="宋体"/>
          <w:bCs/>
          <w:sz w:val="24"/>
          <w:highlight w:val="none"/>
        </w:rPr>
        <w:t xml:space="preserve">投标人：                               （盖单位</w:t>
      </w:r>
      <w:r>
        <w:rPr>
          <w:rFonts w:hint="eastAsia" w:ascii="宋体" w:hAnsi="宋体" w:eastAsia="宋体" w:cs="宋体"/>
          <w:bCs/>
          <w:sz w:val="24"/>
          <w:highlight w:val="none"/>
          <w:lang w:eastAsia="zh-CN"/>
        </w:rPr>
        <w:t xml:space="preserve">公</w:t>
      </w:r>
      <w:r>
        <w:rPr>
          <w:rFonts w:hint="eastAsia" w:ascii="宋体" w:hAnsi="宋体" w:eastAsia="宋体" w:cs="宋体"/>
          <w:bCs/>
          <w:sz w:val="24"/>
          <w:highlight w:val="none"/>
        </w:rPr>
        <w:t xml:space="preserve">章）</w:t>
      </w:r>
      <w:r/>
    </w:p>
    <w:p>
      <w:pPr>
        <w:shd w:val="clear" w:color="auto" w:fill="auto"/>
        <w:rPr>
          <w:rFonts w:hint="eastAsia" w:ascii="宋体" w:hAnsi="宋体" w:eastAsia="宋体" w:cs="宋体"/>
          <w:bCs/>
          <w:sz w:val="24"/>
          <w:highlight w:val="none"/>
        </w:rPr>
      </w:pPr>
      <w:r>
        <w:rPr>
          <w:rFonts w:hint="eastAsia" w:ascii="宋体" w:hAnsi="宋体" w:eastAsia="宋体" w:cs="宋体"/>
          <w:bCs/>
          <w:sz w:val="24"/>
          <w:highlight w:val="none"/>
        </w:rPr>
      </w:r>
      <w:r/>
    </w:p>
    <w:p>
      <w:pPr>
        <w:shd w:val="clear" w:color="auto" w:fill="auto"/>
        <w:rPr>
          <w:rFonts w:hint="eastAsia" w:ascii="宋体" w:hAnsi="宋体" w:eastAsia="宋体" w:cs="宋体"/>
          <w:bCs/>
          <w:sz w:val="24"/>
          <w:highlight w:val="none"/>
        </w:rPr>
      </w:pPr>
      <w:r>
        <w:rPr>
          <w:rFonts w:hint="eastAsia" w:ascii="宋体" w:hAnsi="宋体" w:eastAsia="宋体" w:cs="宋体"/>
          <w:bCs/>
          <w:sz w:val="24"/>
          <w:highlight w:val="none"/>
        </w:rPr>
        <w:t xml:space="preserve">法定代表人：                               （签字或印章）</w:t>
      </w:r>
      <w:r/>
    </w:p>
    <w:p>
      <w:pPr>
        <w:shd w:val="clear" w:color="auto" w:fill="auto"/>
        <w:rPr>
          <w:rFonts w:hint="eastAsia" w:ascii="宋体" w:hAnsi="宋体" w:eastAsia="宋体" w:cs="宋体"/>
          <w:bCs/>
          <w:sz w:val="24"/>
          <w:highlight w:val="none"/>
        </w:rPr>
      </w:pPr>
      <w:r>
        <w:rPr>
          <w:rFonts w:hint="eastAsia" w:ascii="宋体" w:hAnsi="宋体" w:eastAsia="宋体" w:cs="宋体"/>
          <w:bCs/>
          <w:sz w:val="24"/>
          <w:highlight w:val="none"/>
        </w:rPr>
      </w:r>
      <w:r/>
    </w:p>
    <w:p>
      <w:pPr>
        <w:shd w:val="clear" w:color="auto" w:fill="auto"/>
        <w:rPr>
          <w:rFonts w:hint="eastAsia" w:ascii="宋体" w:hAnsi="宋体" w:eastAsia="宋体" w:cs="宋体"/>
          <w:bCs/>
          <w:sz w:val="24"/>
          <w:highlight w:val="none"/>
        </w:rPr>
      </w:pPr>
      <w:r>
        <w:rPr>
          <w:rFonts w:hint="eastAsia" w:ascii="宋体" w:hAnsi="宋体" w:eastAsia="宋体" w:cs="宋体"/>
          <w:bCs/>
          <w:sz w:val="24"/>
          <w:highlight w:val="none"/>
        </w:rPr>
        <w:t xml:space="preserve">身份证号码：                                     </w:t>
      </w:r>
      <w:r/>
    </w:p>
    <w:p>
      <w:pPr>
        <w:shd w:val="clear" w:color="auto" w:fill="auto"/>
        <w:rPr>
          <w:rFonts w:hint="eastAsia" w:ascii="宋体" w:hAnsi="宋体" w:eastAsia="宋体" w:cs="宋体"/>
          <w:bCs/>
          <w:sz w:val="24"/>
          <w:highlight w:val="none"/>
        </w:rPr>
      </w:pPr>
      <w:r>
        <w:rPr>
          <w:rFonts w:hint="eastAsia" w:ascii="宋体" w:hAnsi="宋体" w:eastAsia="宋体" w:cs="宋体"/>
          <w:bCs/>
          <w:sz w:val="24"/>
          <w:highlight w:val="none"/>
        </w:rPr>
      </w:r>
      <w:r/>
    </w:p>
    <w:p>
      <w:pPr>
        <w:shd w:val="clear" w:color="auto" w:fill="auto"/>
        <w:rPr>
          <w:rFonts w:hint="eastAsia" w:ascii="宋体" w:hAnsi="宋体" w:eastAsia="宋体" w:cs="宋体"/>
          <w:bCs/>
          <w:sz w:val="24"/>
          <w:highlight w:val="none"/>
        </w:rPr>
      </w:pPr>
      <w:r>
        <w:rPr>
          <w:rFonts w:hint="eastAsia" w:ascii="宋体" w:hAnsi="宋体" w:eastAsia="宋体" w:cs="宋体"/>
          <w:bCs/>
          <w:sz w:val="24"/>
          <w:highlight w:val="none"/>
        </w:rPr>
        <w:t xml:space="preserve">委托代理人：                                   </w:t>
      </w:r>
      <w:r/>
    </w:p>
    <w:p>
      <w:pPr>
        <w:shd w:val="clear" w:color="auto" w:fill="auto"/>
        <w:rPr>
          <w:rFonts w:hint="eastAsia" w:ascii="宋体" w:hAnsi="宋体" w:eastAsia="宋体" w:cs="宋体"/>
          <w:bCs/>
          <w:sz w:val="24"/>
          <w:highlight w:val="none"/>
        </w:rPr>
      </w:pPr>
      <w:r>
        <w:rPr>
          <w:rFonts w:hint="eastAsia" w:ascii="宋体" w:hAnsi="宋体" w:eastAsia="宋体" w:cs="宋体"/>
          <w:bCs/>
          <w:sz w:val="24"/>
          <w:highlight w:val="none"/>
        </w:rPr>
      </w:r>
      <w:r/>
    </w:p>
    <w:p>
      <w:pPr>
        <w:shd w:val="clear" w:color="auto" w:fill="auto"/>
        <w:rPr>
          <w:rFonts w:hint="eastAsia" w:ascii="宋体" w:hAnsi="宋体" w:eastAsia="宋体" w:cs="宋体"/>
          <w:bCs/>
          <w:sz w:val="24"/>
          <w:highlight w:val="none"/>
        </w:rPr>
      </w:pPr>
      <w:r>
        <w:rPr>
          <w:rFonts w:hint="eastAsia" w:ascii="宋体" w:hAnsi="宋体" w:eastAsia="宋体" w:cs="宋体"/>
          <w:bCs/>
          <w:sz w:val="24"/>
          <w:highlight w:val="none"/>
        </w:rPr>
        <w:t xml:space="preserve">委托代理人联系号码：                                   </w:t>
      </w:r>
      <w:r/>
    </w:p>
    <w:p>
      <w:pPr>
        <w:shd w:val="clear" w:color="auto" w:fill="auto"/>
        <w:rPr>
          <w:rFonts w:hint="eastAsia" w:ascii="宋体" w:hAnsi="宋体" w:eastAsia="宋体" w:cs="宋体"/>
          <w:bCs/>
          <w:sz w:val="24"/>
          <w:highlight w:val="none"/>
        </w:rPr>
      </w:pPr>
      <w:r>
        <w:rPr>
          <w:rFonts w:hint="eastAsia" w:ascii="宋体" w:hAnsi="宋体" w:eastAsia="宋体" w:cs="宋体"/>
          <w:bCs/>
          <w:sz w:val="24"/>
          <w:highlight w:val="none"/>
        </w:rPr>
      </w:r>
      <w:r/>
    </w:p>
    <w:p>
      <w:pPr>
        <w:shd w:val="clear" w:color="auto" w:fill="auto"/>
        <w:rPr>
          <w:rFonts w:hint="eastAsia" w:ascii="宋体" w:hAnsi="宋体" w:eastAsia="宋体" w:cs="宋体"/>
          <w:bCs/>
          <w:sz w:val="24"/>
          <w:highlight w:val="none"/>
        </w:rPr>
      </w:pPr>
      <w:r>
        <w:rPr>
          <w:rFonts w:hint="eastAsia" w:ascii="宋体" w:hAnsi="宋体" w:eastAsia="宋体" w:cs="宋体"/>
          <w:bCs/>
          <w:sz w:val="24"/>
          <w:highlight w:val="none"/>
        </w:rPr>
        <w:t xml:space="preserve">身份证号码：                                      </w:t>
      </w:r>
      <w:r/>
    </w:p>
    <w:p>
      <w:pPr>
        <w:shd w:val="clear" w:color="auto" w:fill="auto"/>
        <w:rPr>
          <w:rFonts w:hint="eastAsia" w:ascii="宋体" w:hAnsi="宋体" w:eastAsia="宋体" w:cs="宋体"/>
          <w:bCs/>
          <w:sz w:val="24"/>
          <w:highlight w:val="none"/>
        </w:rPr>
      </w:pPr>
      <w:r>
        <w:rPr>
          <w:rFonts w:hint="eastAsia" w:ascii="宋体" w:hAnsi="宋体" w:eastAsia="宋体" w:cs="宋体"/>
          <w:bCs/>
          <w:sz w:val="24"/>
          <w:highlight w:val="none"/>
        </w:rPr>
      </w:r>
      <w:r/>
    </w:p>
    <w:p>
      <w:pPr>
        <w:shd w:val="clear" w:color="auto" w:fill="auto"/>
        <w:rPr>
          <w:rFonts w:hint="eastAsia" w:ascii="宋体" w:hAnsi="宋体" w:eastAsia="宋体" w:cs="宋体"/>
          <w:bCs/>
          <w:sz w:val="24"/>
          <w:highlight w:val="none"/>
        </w:rPr>
      </w:pPr>
      <w:r>
        <w:rPr>
          <w:rFonts w:hint="eastAsia" w:ascii="宋体" w:hAnsi="宋体" w:eastAsia="宋体" w:cs="宋体"/>
          <w:bCs/>
          <w:sz w:val="24"/>
          <w:highlight w:val="none"/>
        </w:rPr>
        <w:t xml:space="preserve">       年       月       日</w:t>
      </w:r>
      <w:r/>
    </w:p>
    <w:p>
      <w:pPr>
        <w:pStyle w:val="1129"/>
        <w:spacing w:line="40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jc w:val="center"/>
        <w:spacing w:line="400" w:lineRule="exact"/>
        <w:shd w:val="clear" w:color="auto" w:fill="auto"/>
        <w:rPr>
          <w:rFonts w:hint="eastAsia" w:ascii="宋体" w:hAnsi="宋体" w:cs="宋体"/>
          <w:b/>
          <w:sz w:val="32"/>
          <w:szCs w:val="32"/>
          <w:highlight w:val="none"/>
        </w:rPr>
        <w:outlineLvl w:val="2"/>
      </w:pPr>
      <w:r>
        <w:rPr>
          <w:rFonts w:hint="eastAsia" w:ascii="宋体" w:hAnsi="宋体" w:cs="宋体"/>
          <w:b/>
          <w:sz w:val="32"/>
          <w:szCs w:val="32"/>
          <w:highlight w:val="none"/>
        </w:rPr>
      </w:r>
      <w:r/>
    </w:p>
    <w:p>
      <w:pPr>
        <w:shd w:val="clear" w:color="auto" w:fill="auto"/>
        <w:rPr>
          <w:rFonts w:hint="eastAsia" w:ascii="宋体" w:hAnsi="宋体" w:cs="宋体"/>
          <w:b/>
          <w:highlight w:val="none"/>
        </w:rPr>
      </w:pPr>
      <w:r>
        <w:rPr>
          <w:rFonts w:hint="eastAsia" w:ascii="宋体" w:hAnsi="宋体" w:cs="宋体"/>
          <w:b/>
          <w:highlight w:val="none"/>
        </w:rPr>
      </w:r>
      <w:r/>
    </w:p>
    <w:p>
      <w:pPr>
        <w:jc w:val="center"/>
        <w:keepLines w:val="0"/>
        <w:keepNext w:val="0"/>
        <w:pageBreakBefore w:val="0"/>
        <w:spacing w:line="360" w:lineRule="auto"/>
        <w:shd w:val="clear" w:color="auto" w:fill="auto"/>
        <w:widowControl w:val="off"/>
        <w:rPr>
          <w:rFonts w:hint="eastAsia" w:ascii="宋体" w:hAnsi="宋体" w:eastAsia="宋体" w:cs="宋体"/>
          <w:sz w:val="28"/>
          <w:szCs w:val="28"/>
          <w:highlight w:val="none"/>
        </w:rPr>
        <w:outlineLvl w:val="2"/>
      </w:pPr>
      <w:r>
        <w:rPr>
          <w:rFonts w:hint="eastAsia" w:ascii="宋体" w:hAnsi="宋体" w:cs="宋体"/>
          <w:sz w:val="24"/>
          <w:highlight w:val="none"/>
        </w:rPr>
        <w:br w:type="page" w:clear="all"/>
      </w:r>
      <w:bookmarkStart w:id="188" w:name="_Toc503307478"/>
      <w:r/>
      <w:bookmarkStart w:id="189" w:name="_Toc503901980"/>
      <w:r/>
      <w:bookmarkStart w:id="190" w:name="_Toc211090873"/>
      <w:r/>
      <w:bookmarkStart w:id="191" w:name="_Toc432244529"/>
      <w:r>
        <w:rPr>
          <w:rFonts w:hint="eastAsia" w:ascii="宋体" w:hAnsi="宋体" w:cs="宋体"/>
          <w:b/>
          <w:sz w:val="32"/>
          <w:szCs w:val="32"/>
          <w:highlight w:val="none"/>
        </w:rPr>
        <w:t xml:space="preserve">三、</w:t>
      </w:r>
      <w:bookmarkEnd w:id="187"/>
      <w:r/>
      <w:bookmarkEnd w:id="188"/>
      <w:r/>
      <w:bookmarkEnd w:id="189"/>
      <w:r/>
      <w:bookmarkEnd w:id="190"/>
      <w:r/>
      <w:bookmarkEnd w:id="191"/>
      <w:r/>
      <w:bookmarkStart w:id="192" w:name="_Toc211090874"/>
      <w:r/>
      <w:bookmarkStart w:id="193" w:name="_Toc432244532"/>
      <w:r/>
      <w:bookmarkStart w:id="194" w:name="_Toc503307480"/>
      <w:r/>
      <w:bookmarkStart w:id="195" w:name="_Toc503901982"/>
      <w:r>
        <w:rPr>
          <w:rFonts w:hint="eastAsia" w:ascii="宋体" w:hAnsi="宋体" w:eastAsia="宋体" w:cs="宋体"/>
          <w:b/>
          <w:sz w:val="30"/>
          <w:szCs w:val="30"/>
          <w:highlight w:val="none"/>
        </w:rPr>
        <w:t xml:space="preserve">全费用工程量清单投标报价单</w:t>
      </w:r>
      <w:r/>
    </w:p>
    <w:tbl>
      <w:tblPr>
        <w:tblStyle w:val="847"/>
        <w:tblW w:w="9211" w:type="dxa"/>
        <w:tblInd w:w="0" w:type="dxa"/>
        <w:tblLayout w:type="fixed"/>
        <w:tblCellMar>
          <w:left w:w="108" w:type="dxa"/>
          <w:top w:w="0" w:type="dxa"/>
          <w:right w:w="108" w:type="dxa"/>
          <w:bottom w:w="0" w:type="dxa"/>
        </w:tblCellMar>
        <w:tblLook w:val="04A0" w:firstRow="1" w:lastRow="0" w:firstColumn="1" w:lastColumn="0" w:noHBand="0" w:noVBand="1"/>
      </w:tblPr>
      <w:tblGrid>
        <w:gridCol w:w="557"/>
        <w:gridCol w:w="1556"/>
        <w:gridCol w:w="3613"/>
        <w:gridCol w:w="640"/>
        <w:gridCol w:w="974"/>
        <w:gridCol w:w="1000"/>
        <w:gridCol w:w="871"/>
      </w:tblGrid>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特征描述</w:t>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工程</w:t>
            </w:r>
            <w:r>
              <w:rPr>
                <w:rFonts w:hint="eastAsia" w:ascii="宋体" w:hAnsi="宋体" w:eastAsia="宋体" w:cs="宋体"/>
                <w:sz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综合单价</w:t>
            </w:r>
            <w:r/>
          </w:p>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（元）</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合价</w:t>
            </w:r>
            <w:r/>
          </w:p>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（元）</w:t>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left"/>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left"/>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0</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left"/>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default" w:ascii="宋体" w:hAnsi="宋体" w:eastAsia="宋体" w:cs="宋体"/>
                <w:sz w:val="24"/>
                <w:highlight w:val="none"/>
              </w:rPr>
            </w:pPr>
            <w:r>
              <w:rPr>
                <w:rFonts w:hint="eastAsia" w:ascii="宋体" w:hAnsi="宋体" w:eastAsia="宋体" w:cs="宋体"/>
                <w:sz w:val="24"/>
                <w:highlight w:val="none"/>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spacing w:line="240" w:lineRule="auto"/>
              <w:shd w:val="clear" w:color="auto" w:fill="auto"/>
              <w:rPr>
                <w:rFonts w:hint="eastAsia" w:ascii="宋体" w:hAnsi="宋体" w:eastAsia="宋体" w:cs="宋体"/>
                <w:sz w:val="24"/>
                <w:szCs w:val="24"/>
                <w:highlight w:val="none"/>
              </w:rPr>
            </w:pPr>
            <w:r>
              <w:rPr>
                <w:rFonts w:hint="eastAsia" w:ascii="宋体" w:hAnsi="宋体" w:eastAsia="宋体" w:cs="宋体"/>
                <w:sz w:val="24"/>
                <w:highlight w:val="none"/>
                <w:lang w:val="en-US" w:eastAsia="zh-CN"/>
              </w:rPr>
              <w:t xml:space="preserve">暂列金</w:t>
            </w:r>
            <w:r/>
          </w:p>
        </w:tc>
        <w:tc>
          <w:tcPr>
            <w:shd w:val="clear" w:color="auto" w:fill="auto"/>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keepLines w:val="0"/>
              <w:keepNext w:val="0"/>
              <w:pageBreakBefore w:val="0"/>
              <w:spacing w:line="288" w:lineRule="auto"/>
              <w:shd w:val="clear" w:color="auto" w:fill="auto"/>
              <w:widowControl w:val="off"/>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1.报价规定:</w:t>
            </w:r>
            <w:r>
              <w:rPr>
                <w:rFonts w:hint="eastAsia" w:ascii="宋体" w:hAnsi="宋体" w:eastAsia="宋体" w:cs="宋体"/>
                <w:b/>
                <w:bCs/>
                <w:i w:val="0"/>
                <w:iCs w:val="0"/>
                <w:color w:val="000000"/>
                <w:sz w:val="24"/>
                <w:szCs w:val="24"/>
                <w:highlight w:val="none"/>
                <w:u w:val="none"/>
                <w:lang w:val="en-US" w:eastAsia="zh-CN" w:bidi="ar"/>
              </w:rPr>
              <w:t xml:space="preserve">本暂列金30000元为不可竞争费用，</w:t>
            </w:r>
            <w:r>
              <w:rPr>
                <w:rFonts w:hint="eastAsia" w:ascii="宋体" w:hAnsi="宋体" w:cs="宋体"/>
                <w:b/>
                <w:bCs/>
                <w:i w:val="0"/>
                <w:iCs w:val="0"/>
                <w:color w:val="000000"/>
                <w:sz w:val="24"/>
                <w:szCs w:val="24"/>
                <w:highlight w:val="none"/>
                <w:u w:val="none"/>
                <w:lang w:val="en-US" w:eastAsia="zh-CN" w:bidi="ar"/>
              </w:rPr>
              <w:t xml:space="preserve">属于不可竞争项，</w:t>
            </w:r>
            <w:r>
              <w:rPr>
                <w:rFonts w:hint="eastAsia" w:ascii="宋体" w:hAnsi="宋体" w:eastAsia="宋体" w:cs="宋体"/>
                <w:b/>
                <w:bCs/>
                <w:i w:val="0"/>
                <w:iCs w:val="0"/>
                <w:color w:val="000000"/>
                <w:sz w:val="24"/>
                <w:szCs w:val="24"/>
                <w:highlight w:val="none"/>
                <w:u w:val="none"/>
                <w:lang w:val="en-US" w:eastAsia="zh-CN" w:bidi="ar"/>
              </w:rPr>
              <w:t xml:space="preserve">投标人投标报价中变动本暂列金的投标评审中视为无效标。</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管理规定:本暂列金用于本工程合同签订时尚未确定或不可预见的所需材料、工程设备、服务的采购，施工中可能发生的工程变更、合同约定调整因素出现时的合同价款调整以及发生的索赔、现场签证确认等的费用。</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spacing w:line="240" w:lineRule="auto"/>
              <w:shd w:val="clear" w:color="auto" w:fill="auto"/>
              <w:rPr>
                <w:rFonts w:hint="eastAsia" w:ascii="宋体" w:hAnsi="宋体" w:eastAsia="宋体" w:cs="宋体"/>
                <w:sz w:val="24"/>
                <w:szCs w:val="24"/>
                <w:highlight w:val="none"/>
              </w:rPr>
            </w:pPr>
            <w:r>
              <w:rPr>
                <w:rFonts w:hint="eastAsia" w:ascii="宋体" w:hAnsi="宋体" w:cs="宋体"/>
                <w:sz w:val="24"/>
                <w:highlight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spacing w:line="240" w:lineRule="auto"/>
              <w:shd w:val="clear" w:color="auto" w:fill="auto"/>
              <w:rPr>
                <w:rFonts w:hint="eastAsia" w:ascii="宋体" w:hAnsi="宋体" w:eastAsia="宋体" w:cs="宋体"/>
                <w:sz w:val="24"/>
                <w:szCs w:val="24"/>
                <w:highlight w:val="none"/>
              </w:rPr>
            </w:pPr>
            <w:r>
              <w:rPr>
                <w:rFonts w:hint="eastAsia" w:ascii="宋体" w:hAnsi="宋体" w:cs="宋体"/>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240" w:lineRule="auto"/>
              <w:shd w:val="clear" w:color="auto" w:fill="auto"/>
              <w:rPr>
                <w:rFonts w:hint="eastAsia" w:ascii="宋体" w:hAnsi="宋体" w:eastAsia="宋体" w:cs="宋体"/>
                <w:sz w:val="24"/>
                <w:szCs w:val="24"/>
                <w:highlight w:val="none"/>
              </w:rPr>
            </w:pPr>
            <w:r>
              <w:rPr>
                <w:rFonts w:hint="eastAsia" w:ascii="宋体" w:hAnsi="宋体" w:eastAsia="宋体" w:cs="宋体"/>
                <w:sz w:val="24"/>
                <w:highlight w:val="none"/>
                <w:lang w:val="en-US" w:eastAsia="zh-CN"/>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sz w:val="24"/>
                <w:szCs w:val="24"/>
                <w:highlight w:val="none"/>
              </w:rPr>
            </w:pPr>
            <w:r>
              <w:rPr>
                <w:rFonts w:hint="eastAsia" w:ascii="宋体" w:hAnsi="宋体" w:eastAsia="宋体" w:cs="宋体"/>
                <w:sz w:val="24"/>
                <w:highlight w:val="none"/>
                <w:lang w:val="en-US" w:eastAsia="zh-CN"/>
              </w:rPr>
              <w:t xml:space="preserve">30000</w:t>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both"/>
              <w:spacing w:line="240" w:lineRule="auto"/>
              <w:shd w:val="clear" w:color="auto" w:fill="auto"/>
              <w:rPr>
                <w:rFonts w:hint="default" w:ascii="宋体" w:hAnsi="宋体" w:eastAsia="宋体" w:cs="宋体"/>
                <w:sz w:val="24"/>
                <w:highlight w:val="none"/>
              </w:rPr>
            </w:pPr>
            <w:r>
              <w:rPr>
                <w:rFonts w:hint="eastAsia" w:ascii="宋体" w:hAnsi="宋体" w:eastAsia="宋体" w:cs="宋体"/>
                <w:sz w:val="24"/>
                <w:highlight w:val="none"/>
                <w:lang w:val="en-US" w:eastAsia="zh-CN"/>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spacing w:line="240" w:lineRule="auto"/>
              <w:shd w:val="clear" w:color="auto" w:fill="auto"/>
              <w:rPr>
                <w:rFonts w:hint="eastAsia" w:ascii="宋体" w:hAnsi="宋体" w:eastAsia="宋体" w:cs="宋体"/>
                <w:sz w:val="24"/>
                <w:szCs w:val="24"/>
                <w:highlight w:val="none"/>
              </w:rPr>
            </w:pPr>
            <w:r>
              <w:rPr>
                <w:rFonts w:hint="eastAsia" w:ascii="宋体" w:hAnsi="宋体" w:eastAsia="宋体" w:cs="宋体"/>
                <w:sz w:val="24"/>
                <w:highlight w:val="none"/>
              </w:rPr>
              <w:t xml:space="preserve">安全生产费</w:t>
            </w:r>
            <w:r/>
          </w:p>
        </w:tc>
        <w:tc>
          <w:tcPr>
            <w:shd w:val="clear" w:color="auto" w:fill="auto"/>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keepLines w:val="0"/>
              <w:keepNext w:val="0"/>
              <w:pageBreakBefore w:val="0"/>
              <w:spacing w:line="288" w:lineRule="auto"/>
              <w:shd w:val="clear" w:color="auto" w:fill="auto"/>
              <w:widowControl w:val="off"/>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1.报价金额：安全生产费用为24000元。</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2.报价规定：</w:t>
            </w:r>
            <w:r>
              <w:rPr>
                <w:rFonts w:hint="eastAsia" w:ascii="宋体" w:hAnsi="宋体" w:eastAsia="宋体" w:cs="宋体"/>
                <w:b/>
                <w:bCs/>
                <w:i w:val="0"/>
                <w:iCs w:val="0"/>
                <w:color w:val="000000"/>
                <w:sz w:val="24"/>
                <w:szCs w:val="24"/>
                <w:highlight w:val="none"/>
                <w:u w:val="none"/>
                <w:lang w:val="en-US" w:eastAsia="zh-CN" w:bidi="ar"/>
              </w:rPr>
              <w:t xml:space="preserve">本项为不可竞争费用，未报价或报价没有按照上述金额计算的投标文件均做无效标处理。</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spacing w:line="240" w:lineRule="auto"/>
              <w:shd w:val="clear" w:color="auto" w:fill="auto"/>
              <w:rPr>
                <w:rFonts w:hint="eastAsia" w:ascii="宋体" w:hAnsi="宋体" w:eastAsia="宋体" w:cs="宋体"/>
                <w:sz w:val="24"/>
                <w:szCs w:val="24"/>
                <w:highlight w:val="none"/>
              </w:rPr>
            </w:pPr>
            <w:r>
              <w:rPr>
                <w:rFonts w:hint="eastAsia" w:ascii="宋体" w:hAnsi="宋体" w:cs="宋体"/>
                <w:sz w:val="24"/>
                <w:highlight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spacing w:line="240" w:lineRule="auto"/>
              <w:shd w:val="clear" w:color="auto" w:fill="auto"/>
              <w:rPr>
                <w:rFonts w:hint="default" w:ascii="宋体" w:hAnsi="宋体" w:eastAsia="宋体" w:cs="宋体"/>
                <w:sz w:val="24"/>
                <w:szCs w:val="24"/>
                <w:highlight w:val="none"/>
              </w:rPr>
            </w:pPr>
            <w:r>
              <w:rPr>
                <w:rFonts w:hint="eastAsia" w:ascii="宋体" w:hAnsi="宋体" w:cs="宋体"/>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240" w:lineRule="auto"/>
              <w:shd w:val="clear" w:color="auto" w:fill="auto"/>
              <w:rPr>
                <w:rFonts w:hint="default" w:ascii="宋体" w:hAnsi="宋体" w:eastAsia="宋体" w:cs="宋体"/>
                <w:sz w:val="24"/>
                <w:szCs w:val="24"/>
                <w:highlight w:val="none"/>
              </w:rPr>
            </w:pPr>
            <w:r>
              <w:rPr>
                <w:rFonts w:hint="eastAsia" w:ascii="宋体" w:hAnsi="宋体" w:cs="宋体"/>
                <w:sz w:val="24"/>
                <w:szCs w:val="24"/>
                <w:highlight w:val="none"/>
                <w:lang w:val="en-US" w:eastAsia="zh-CN" w:bidi="ar-SA"/>
              </w:rPr>
              <w:t xml:space="preserve">24000</w:t>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default" w:ascii="宋体" w:hAnsi="宋体" w:eastAsia="宋体" w:cs="宋体"/>
                <w:sz w:val="24"/>
                <w:szCs w:val="24"/>
                <w:highlight w:val="none"/>
              </w:rPr>
            </w:pPr>
            <w:r>
              <w:rPr>
                <w:rFonts w:hint="eastAsia" w:ascii="宋体" w:hAnsi="宋体" w:cs="宋体"/>
                <w:sz w:val="24"/>
                <w:szCs w:val="24"/>
                <w:highlight w:val="none"/>
                <w:lang w:val="en-US" w:eastAsia="zh-CN" w:bidi="ar-SA"/>
              </w:rPr>
              <w:t xml:space="preserve">24000</w:t>
            </w:r>
            <w:r/>
          </w:p>
        </w:tc>
      </w:tr>
      <w:tr>
        <w:trPr>
          <w:cantSplit/>
          <w:trHeight w:val="487"/>
        </w:trPr>
        <w:tc>
          <w:tcPr>
            <w:gridSpan w:val="6"/>
            <w:tcBorders>
              <w:top w:val="single" w:color="000000" w:sz="4" w:space="0"/>
              <w:left w:val="single" w:color="000000" w:sz="4" w:space="0"/>
              <w:bottom w:val="single" w:color="000000" w:sz="4" w:space="0"/>
              <w:right w:val="single" w:color="000000" w:sz="4" w:space="0"/>
            </w:tcBorders>
            <w:tcW w:w="8340"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合计（元）：</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r>
    </w:tbl>
    <w:p>
      <w:pPr>
        <w:ind w:firstLine="482"/>
        <w:jc w:val="left"/>
        <w:spacing w:line="400" w:lineRule="exact"/>
        <w:shd w:val="clear" w:color="auto" w:fill="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投标人应按照上述全费用工程量清单投标报价单要求逐项填报工程量清单。投标人不得擅自修改工程量清单项目名称、计量单位、工程数量或运算定义等，否则一律按否决投标处理。</w:t>
      </w:r>
      <w:r/>
    </w:p>
    <w:p>
      <w:pPr>
        <w:pStyle w:val="1072"/>
        <w:ind w:firstLine="411"/>
        <w:jc w:val="center"/>
        <w:shd w:val="clear" w:color="auto" w:fill="auto"/>
        <w:rPr>
          <w:rFonts w:hint="eastAsia" w:hAnsi="宋体" w:cs="宋体"/>
          <w:b/>
          <w:bCs/>
          <w:sz w:val="32"/>
          <w:szCs w:val="32"/>
          <w:highlight w:val="none"/>
        </w:rPr>
      </w:pPr>
      <w:r>
        <w:rPr>
          <w:rFonts w:hint="eastAsia" w:hAnsi="宋体" w:cs="宋体"/>
          <w:b/>
          <w:bCs/>
          <w:sz w:val="32"/>
          <w:szCs w:val="32"/>
          <w:highlight w:val="none"/>
        </w:rPr>
        <w:t xml:space="preserve">四、全费用工程量清单投标报价单分析表</w:t>
      </w:r>
      <w:r/>
    </w:p>
    <w:p>
      <w:pPr>
        <w:ind w:firstLine="482"/>
        <w:jc w:val="left"/>
        <w:shd w:val="clear" w:color="auto" w:fill="auto"/>
        <w:rPr>
          <w:rFonts w:hint="eastAsia" w:ascii="宋体" w:hAnsi="宋体" w:cs="宋体"/>
          <w:b w:val="0"/>
          <w:bCs w:val="0"/>
          <w:sz w:val="24"/>
          <w:highlight w:val="none"/>
        </w:rPr>
      </w:pPr>
      <w:r>
        <w:rPr>
          <w:rFonts w:hint="eastAsia" w:ascii="宋体" w:hAnsi="宋体" w:cs="宋体"/>
          <w:b w:val="0"/>
          <w:bCs w:val="0"/>
          <w:sz w:val="24"/>
          <w:highlight w:val="none"/>
        </w:rPr>
        <w:t xml:space="preserve">（全费用工程量清单投标报价单分析表格式由投标人自拟，附表仅供参考，提供的全费用工程量清单投标报价单分析表综合单价、总价应与全费用工程量清单投标报价单综合单价、总价一致，</w:t>
      </w:r>
      <w:r>
        <w:rPr>
          <w:rFonts w:hint="eastAsia" w:ascii="宋体" w:hAnsi="宋体" w:cs="宋体"/>
          <w:b/>
          <w:bCs/>
          <w:sz w:val="24"/>
          <w:highlight w:val="none"/>
        </w:rPr>
        <w:t xml:space="preserve">未提供的做无效标处理</w:t>
      </w:r>
      <w:r>
        <w:rPr>
          <w:rFonts w:hint="eastAsia" w:ascii="宋体" w:hAnsi="宋体" w:cs="宋体"/>
          <w:b w:val="0"/>
          <w:bCs w:val="0"/>
          <w:sz w:val="24"/>
          <w:highlight w:val="none"/>
        </w:rPr>
        <w:t xml:space="preserve">）</w:t>
      </w:r>
      <w:r/>
    </w:p>
    <w:tbl>
      <w:tblPr>
        <w:tblStyle w:val="847"/>
        <w:tblW w:w="9136"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98"/>
        <w:gridCol w:w="1067"/>
        <w:gridCol w:w="875"/>
        <w:gridCol w:w="799"/>
        <w:gridCol w:w="404"/>
        <w:gridCol w:w="404"/>
        <w:gridCol w:w="404"/>
        <w:gridCol w:w="404"/>
        <w:gridCol w:w="404"/>
        <w:gridCol w:w="404"/>
        <w:gridCol w:w="404"/>
        <w:gridCol w:w="404"/>
        <w:gridCol w:w="404"/>
        <w:gridCol w:w="404"/>
        <w:gridCol w:w="618"/>
        <w:gridCol w:w="839"/>
      </w:tblGrid>
      <w:tr>
        <w:trPr>
          <w:trHeight w:val="300"/>
        </w:trPr>
        <w:tc>
          <w:tcPr>
            <w:gridSpan w:val="16"/>
            <w:tcBorders>
              <w:top w:val="none" w:color="000000" w:sz="4" w:space="0"/>
              <w:left w:val="none" w:color="000000" w:sz="4" w:space="0"/>
              <w:bottom w:val="none" w:color="000000" w:sz="4" w:space="0"/>
              <w:right w:val="none" w:color="000000" w:sz="4" w:space="0"/>
            </w:tcBorders>
            <w:tcW w:w="9136" w:type="dxa"/>
            <w:vAlign w:val="center"/>
            <w:textDirection w:val="lrTb"/>
            <w:noWrap/>
          </w:tcPr>
          <w:p>
            <w:pPr>
              <w:jc w:val="center"/>
              <w:keepLines w:val="0"/>
              <w:keepNext w:val="0"/>
              <w:shd w:val="clear" w:color="auto" w:fill="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全费用工程量清单投标报价单分析表</w:t>
            </w:r>
            <w:r/>
          </w:p>
        </w:tc>
      </w:tr>
      <w:tr>
        <w:trPr>
          <w:trHeight w:val="300"/>
        </w:trPr>
        <w:tc>
          <w:tcPr>
            <w:gridSpan w:val="13"/>
            <w:tcBorders>
              <w:top w:val="none" w:color="000000" w:sz="4" w:space="0"/>
              <w:left w:val="none" w:color="000000" w:sz="4" w:space="0"/>
              <w:bottom w:val="none" w:color="000000" w:sz="4" w:space="0"/>
              <w:right w:val="none" w:color="000000" w:sz="4" w:space="0"/>
            </w:tcBorders>
            <w:tcW w:w="7275" w:type="dxa"/>
            <w:vAlign w:val="center"/>
            <w:textDirection w:val="lrTb"/>
            <w:noWrap/>
          </w:tcPr>
          <w:p>
            <w:pPr>
              <w:jc w:val="left"/>
              <w:keepLines w:val="0"/>
              <w:keepNext w:val="0"/>
              <w:shd w:val="clear" w:color="auto" w:fill="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工程名称：</w:t>
            </w:r>
            <w:r/>
          </w:p>
        </w:tc>
        <w:tc>
          <w:tcPr>
            <w:tcBorders>
              <w:top w:val="none" w:color="000000" w:sz="4" w:space="0"/>
              <w:left w:val="none" w:color="000000" w:sz="4" w:space="0"/>
              <w:bottom w:val="none" w:color="000000" w:sz="4" w:space="0"/>
              <w:right w:val="none" w:color="000000" w:sz="4" w:space="0"/>
            </w:tcBorders>
            <w:tcW w:w="404" w:type="dxa"/>
            <w:vAlign w:val="center"/>
            <w:textDirection w:val="lrTb"/>
            <w:noWrap/>
          </w:tcPr>
          <w:p>
            <w:pPr>
              <w:jc w:val="center"/>
              <w:keepLines w:val="0"/>
              <w:keepNext w:val="0"/>
              <w:shd w:val="clear" w:color="auto" w:fill="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页</w:t>
            </w:r>
            <w:r/>
          </w:p>
        </w:tc>
        <w:tc>
          <w:tcPr>
            <w:tcBorders>
              <w:top w:val="none" w:color="000000" w:sz="4" w:space="0"/>
              <w:left w:val="none" w:color="000000" w:sz="4" w:space="0"/>
              <w:bottom w:val="none" w:color="000000" w:sz="4" w:space="0"/>
              <w:right w:val="none" w:color="000000" w:sz="4" w:space="0"/>
            </w:tcBorders>
            <w:tcW w:w="618" w:type="dxa"/>
            <w:vAlign w:val="center"/>
            <w:textDirection w:val="lrTb"/>
            <w:noWrap/>
          </w:tcPr>
          <w:p>
            <w:pPr>
              <w:jc w:val="center"/>
              <w:keepLines w:val="0"/>
              <w:keepNext w:val="0"/>
              <w:shd w:val="clear" w:color="auto" w:fill="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共</w:t>
            </w:r>
            <w:r/>
          </w:p>
        </w:tc>
        <w:tc>
          <w:tcPr>
            <w:tcBorders>
              <w:top w:val="none" w:color="000000" w:sz="4" w:space="0"/>
              <w:left w:val="none" w:color="000000" w:sz="4" w:space="0"/>
              <w:bottom w:val="none" w:color="000000" w:sz="4" w:space="0"/>
              <w:right w:val="none" w:color="000000" w:sz="4" w:space="0"/>
            </w:tcBorders>
            <w:tcW w:w="839" w:type="dxa"/>
            <w:vAlign w:val="center"/>
            <w:textDirection w:val="lrTb"/>
            <w:noWrap/>
          </w:tcPr>
          <w:p>
            <w:pPr>
              <w:jc w:val="right"/>
              <w:keepLines w:val="0"/>
              <w:keepNext w:val="0"/>
              <w:shd w:val="clear" w:color="auto" w:fill="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页</w:t>
            </w:r>
            <w:r/>
          </w:p>
        </w:tc>
      </w:tr>
      <w:tr>
        <w:trPr>
          <w:trHeight w:val="300"/>
        </w:trPr>
        <w:tc>
          <w:tcPr>
            <w:tcBorders>
              <w:top w:val="single" w:color="000000" w:sz="8" w:space="0"/>
              <w:left w:val="single" w:color="000000" w:sz="8" w:space="0"/>
              <w:bottom w:val="single" w:color="000000" w:sz="4" w:space="0"/>
              <w:right w:val="single" w:color="000000" w:sz="4" w:space="0"/>
            </w:tcBorders>
            <w:tcW w:w="898" w:type="dxa"/>
            <w:vAlign w:val="center"/>
            <w:vMerge w:val="restart"/>
            <w:textDirection w:val="lrTb"/>
            <w:noWrap/>
          </w:tcPr>
          <w:p>
            <w:pPr>
              <w:jc w:val="center"/>
              <w:keepLines w:val="0"/>
              <w:keepNext w:val="0"/>
              <w:spacing w:line="240" w:lineRule="auto"/>
              <w:shd w:val="clear" w:color="auto" w:fill="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编号</w:t>
            </w:r>
            <w:r/>
          </w:p>
        </w:tc>
        <w:tc>
          <w:tcPr>
            <w:tcBorders>
              <w:top w:val="single" w:color="000000" w:sz="8" w:space="0"/>
              <w:left w:val="single" w:color="000000" w:sz="4" w:space="0"/>
              <w:bottom w:val="single" w:color="000000" w:sz="4" w:space="0"/>
              <w:right w:val="single" w:color="000000" w:sz="4" w:space="0"/>
            </w:tcBorders>
            <w:tcW w:w="1067" w:type="dxa"/>
            <w:vAlign w:val="center"/>
            <w:vMerge w:val="restart"/>
            <w:textDirection w:val="lrTb"/>
            <w:noWrap w:val="false"/>
          </w:tcPr>
          <w:p>
            <w:pPr>
              <w:jc w:val="center"/>
              <w:keepLines w:val="0"/>
              <w:keepNext w:val="0"/>
              <w:spacing w:line="240" w:lineRule="auto"/>
              <w:shd w:val="clear" w:color="auto" w:fill="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清单项目/计价项目名称</w:t>
            </w:r>
            <w:r/>
          </w:p>
        </w:tc>
        <w:tc>
          <w:tcPr>
            <w:tcBorders>
              <w:top w:val="single" w:color="000000" w:sz="8" w:space="0"/>
              <w:left w:val="single" w:color="000000" w:sz="4" w:space="0"/>
              <w:bottom w:val="single" w:color="000000" w:sz="4" w:space="0"/>
              <w:right w:val="single" w:color="000000" w:sz="4" w:space="0"/>
            </w:tcBorders>
            <w:tcW w:w="875" w:type="dxa"/>
            <w:vAlign w:val="center"/>
            <w:vMerge w:val="restart"/>
            <w:textDirection w:val="lrTb"/>
            <w:noWrap w:val="false"/>
          </w:tcPr>
          <w:p>
            <w:pPr>
              <w:jc w:val="center"/>
              <w:keepLines w:val="0"/>
              <w:keepNext w:val="0"/>
              <w:spacing w:line="240" w:lineRule="auto"/>
              <w:shd w:val="clear" w:color="auto" w:fill="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计价定额编号</w:t>
            </w:r>
            <w:r/>
          </w:p>
        </w:tc>
        <w:tc>
          <w:tcPr>
            <w:tcBorders>
              <w:top w:val="single" w:color="000000" w:sz="8" w:space="0"/>
              <w:left w:val="single" w:color="000000" w:sz="4" w:space="0"/>
              <w:bottom w:val="single" w:color="000000" w:sz="4" w:space="0"/>
              <w:right w:val="single" w:color="000000" w:sz="4" w:space="0"/>
            </w:tcBorders>
            <w:tcW w:w="799" w:type="dxa"/>
            <w:vAlign w:val="center"/>
            <w:vMerge w:val="restart"/>
            <w:textDirection w:val="lrTb"/>
            <w:noWrap w:val="false"/>
          </w:tcPr>
          <w:p>
            <w:pPr>
              <w:jc w:val="center"/>
              <w:keepLines w:val="0"/>
              <w:keepNext w:val="0"/>
              <w:spacing w:line="240" w:lineRule="auto"/>
              <w:shd w:val="clear" w:color="auto" w:fill="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项目特征表述</w:t>
            </w:r>
            <w:r/>
          </w:p>
        </w:tc>
        <w:tc>
          <w:tcPr>
            <w:tcBorders>
              <w:top w:val="single" w:color="000000" w:sz="8" w:space="0"/>
              <w:left w:val="single" w:color="000000" w:sz="4" w:space="0"/>
              <w:bottom w:val="single" w:color="000000" w:sz="4" w:space="0"/>
              <w:right w:val="single" w:color="000000" w:sz="4" w:space="0"/>
            </w:tcBorders>
            <w:tcW w:w="404" w:type="dxa"/>
            <w:vAlign w:val="center"/>
            <w:vMerge w:val="restart"/>
            <w:textDirection w:val="lrTb"/>
            <w:noWrap/>
          </w:tcPr>
          <w:p>
            <w:pPr>
              <w:jc w:val="center"/>
              <w:keepLines w:val="0"/>
              <w:keepNext w:val="0"/>
              <w:spacing w:line="240" w:lineRule="auto"/>
              <w:shd w:val="clear" w:color="auto" w:fill="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404" w:type="dxa"/>
            <w:vAlign w:val="center"/>
            <w:vMerge w:val="restart"/>
            <w:textDirection w:val="lrTb"/>
            <w:noWrap/>
          </w:tcPr>
          <w:p>
            <w:pPr>
              <w:jc w:val="center"/>
              <w:keepLines w:val="0"/>
              <w:keepNext w:val="0"/>
              <w:spacing w:line="240" w:lineRule="auto"/>
              <w:shd w:val="clear" w:color="auto" w:fill="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工程量</w:t>
            </w:r>
            <w:r/>
          </w:p>
        </w:tc>
        <w:tc>
          <w:tcPr>
            <w:gridSpan w:val="9"/>
            <w:tcBorders>
              <w:top w:val="single" w:color="000000" w:sz="8" w:space="0"/>
              <w:left w:val="single" w:color="000000" w:sz="4" w:space="0"/>
              <w:bottom w:val="single" w:color="000000" w:sz="4" w:space="0"/>
              <w:right w:val="single" w:color="000000" w:sz="4" w:space="0"/>
            </w:tcBorders>
            <w:tcW w:w="3850" w:type="dxa"/>
            <w:vAlign w:val="center"/>
            <w:textDirection w:val="lrTb"/>
            <w:noWrap w:val="false"/>
          </w:tcPr>
          <w:p>
            <w:pPr>
              <w:jc w:val="center"/>
              <w:keepLines w:val="0"/>
              <w:keepNext w:val="0"/>
              <w:spacing w:line="240" w:lineRule="auto"/>
              <w:shd w:val="clear" w:color="auto" w:fill="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全费用综合单价（元）</w:t>
            </w:r>
            <w:r/>
          </w:p>
        </w:tc>
        <w:tc>
          <w:tcPr>
            <w:tcBorders>
              <w:top w:val="single" w:color="000000" w:sz="8" w:space="0"/>
              <w:left w:val="single" w:color="000000" w:sz="4" w:space="0"/>
              <w:bottom w:val="single" w:color="000000" w:sz="4" w:space="0"/>
              <w:right w:val="single" w:color="000000" w:sz="8" w:space="0"/>
            </w:tcBorders>
            <w:tcW w:w="839" w:type="dxa"/>
            <w:vAlign w:val="center"/>
            <w:vMerge w:val="restart"/>
            <w:textDirection w:val="lrTb"/>
            <w:noWrap w:val="false"/>
          </w:tcPr>
          <w:p>
            <w:pPr>
              <w:jc w:val="center"/>
              <w:keepLines w:val="0"/>
              <w:keepNext w:val="0"/>
              <w:spacing w:line="240" w:lineRule="auto"/>
              <w:shd w:val="clear" w:color="auto" w:fill="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全费用合价</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（元）</w:t>
            </w:r>
            <w:r/>
          </w:p>
        </w:tc>
      </w:tr>
      <w:tr>
        <w:trPr>
          <w:trHeight w:val="880"/>
        </w:trPr>
        <w:tc>
          <w:tcPr>
            <w:tcBorders>
              <w:top w:val="single" w:color="000000" w:sz="8" w:space="0"/>
              <w:left w:val="single" w:color="000000" w:sz="8" w:space="0"/>
              <w:bottom w:val="single" w:color="000000" w:sz="4" w:space="0"/>
              <w:right w:val="single" w:color="000000" w:sz="4" w:space="0"/>
            </w:tcBorders>
            <w:tcW w:w="898"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8"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8"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8" w:space="0"/>
              <w:left w:val="single" w:color="000000" w:sz="4" w:space="0"/>
              <w:bottom w:val="single" w:color="000000" w:sz="4" w:space="0"/>
              <w:right w:val="single" w:color="000000" w:sz="4" w:space="0"/>
            </w:tcBorders>
            <w:tcW w:w="799"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8" w:space="0"/>
              <w:left w:val="single" w:color="000000" w:sz="4" w:space="0"/>
              <w:bottom w:val="single" w:color="000000" w:sz="4" w:space="0"/>
              <w:right w:val="single" w:color="000000" w:sz="4" w:space="0"/>
            </w:tcBorders>
            <w:tcW w:w="404"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8" w:space="0"/>
              <w:left w:val="single" w:color="000000" w:sz="4" w:space="0"/>
              <w:bottom w:val="single" w:color="000000" w:sz="4" w:space="0"/>
              <w:right w:val="single" w:color="000000" w:sz="4" w:space="0"/>
            </w:tcBorders>
            <w:tcW w:w="404"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spacing w:line="240" w:lineRule="auto"/>
              <w:shd w:val="clear" w:color="auto" w:fill="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人工费</w:t>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spacing w:line="240" w:lineRule="auto"/>
              <w:shd w:val="clear" w:color="auto" w:fill="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机械费</w:t>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spacing w:line="240" w:lineRule="auto"/>
              <w:shd w:val="clear" w:color="auto" w:fill="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材料费</w:t>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spacing w:line="240" w:lineRule="auto"/>
              <w:shd w:val="clear" w:color="auto" w:fill="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管理费</w:t>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spacing w:line="240" w:lineRule="auto"/>
              <w:shd w:val="clear" w:color="auto" w:fill="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利润</w:t>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spacing w:line="240" w:lineRule="auto"/>
              <w:shd w:val="clear" w:color="auto" w:fill="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其他间接费</w:t>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spacing w:line="240" w:lineRule="auto"/>
              <w:shd w:val="clear" w:color="auto" w:fill="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规费</w:t>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spacing w:line="240" w:lineRule="auto"/>
              <w:shd w:val="clear" w:color="auto" w:fill="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税金</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spacing w:line="240" w:lineRule="auto"/>
              <w:shd w:val="clear" w:color="auto" w:fill="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小计</w:t>
            </w:r>
            <w:r/>
          </w:p>
        </w:tc>
        <w:tc>
          <w:tcPr>
            <w:tcBorders>
              <w:top w:val="single" w:color="000000" w:sz="8" w:space="0"/>
              <w:left w:val="single" w:color="000000" w:sz="4" w:space="0"/>
              <w:bottom w:val="single" w:color="000000" w:sz="4" w:space="0"/>
              <w:right w:val="single" w:color="000000" w:sz="8" w:space="0"/>
            </w:tcBorders>
            <w:tcW w:w="839"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80"/>
        </w:trPr>
        <w:tc>
          <w:tcPr>
            <w:tcBorders>
              <w:top w:val="single" w:color="000000" w:sz="4" w:space="0"/>
              <w:left w:val="single" w:color="000000" w:sz="8" w:space="0"/>
              <w:bottom w:val="single" w:color="000000" w:sz="4" w:space="0"/>
              <w:right w:val="single" w:color="000000" w:sz="4" w:space="0"/>
            </w:tcBorders>
            <w:tcW w:w="898" w:type="dxa"/>
            <w:vAlign w:val="center"/>
            <w:textDirection w:val="lrTb"/>
            <w:noWrap/>
          </w:tcPr>
          <w:p>
            <w:pPr>
              <w:jc w:val="center"/>
              <w:keepLines w:val="0"/>
              <w:keepNext w:val="0"/>
              <w:spacing w:line="240" w:lineRule="auto"/>
              <w:shd w:val="clear" w:color="auto" w:fill="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spacing w:line="240" w:lineRule="auto"/>
              <w:shd w:val="clear" w:color="auto" w:fill="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{清单项目名称}</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8" w:space="0"/>
            </w:tcBorders>
            <w:tcW w:w="839"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0"/>
        </w:trPr>
        <w:tc>
          <w:tcPr>
            <w:tcBorders>
              <w:top w:val="single" w:color="000000" w:sz="4" w:space="0"/>
              <w:left w:val="single" w:color="000000" w:sz="8" w:space="0"/>
              <w:bottom w:val="single" w:color="000000" w:sz="4" w:space="0"/>
              <w:right w:val="single" w:color="000000" w:sz="4" w:space="0"/>
            </w:tcBorders>
            <w:tcW w:w="898" w:type="dxa"/>
            <w:vAlign w:val="center"/>
            <w:textDirection w:val="lrTb"/>
            <w:noWrap/>
          </w:tcPr>
          <w:p>
            <w:pPr>
              <w:jc w:val="center"/>
              <w:keepLines w:val="0"/>
              <w:keepNext w:val="0"/>
              <w:spacing w:line="240" w:lineRule="auto"/>
              <w:shd w:val="clear" w:color="auto" w:fill="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spacing w:line="240" w:lineRule="auto"/>
              <w:shd w:val="clear" w:color="auto" w:fill="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{计价项目名称}</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8" w:space="0"/>
            </w:tcBorders>
            <w:tcW w:w="839"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Borders>
              <w:top w:val="single" w:color="000000" w:sz="4" w:space="0"/>
              <w:left w:val="single" w:color="000000" w:sz="8" w:space="0"/>
              <w:bottom w:val="single" w:color="000000" w:sz="4" w:space="0"/>
              <w:right w:val="single" w:color="000000" w:sz="4" w:space="0"/>
            </w:tcBorders>
            <w:tcW w:w="898" w:type="dxa"/>
            <w:vAlign w:val="center"/>
            <w:textDirection w:val="lrTb"/>
            <w:noWrap/>
          </w:tcPr>
          <w:p>
            <w:pPr>
              <w:jc w:val="center"/>
              <w:keepLines w:val="0"/>
              <w:keepNext w:val="0"/>
              <w:spacing w:line="240" w:lineRule="auto"/>
              <w:shd w:val="clear" w:color="auto" w:fill="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8" w:space="0"/>
            </w:tcBorders>
            <w:tcW w:w="839"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Borders>
              <w:top w:val="single" w:color="000000" w:sz="4" w:space="0"/>
              <w:left w:val="single" w:color="000000" w:sz="8" w:space="0"/>
              <w:bottom w:val="single" w:color="000000" w:sz="4" w:space="0"/>
              <w:right w:val="single" w:color="000000" w:sz="4" w:space="0"/>
            </w:tcBorders>
            <w:tcW w:w="898" w:type="dxa"/>
            <w:vAlign w:val="center"/>
            <w:textDirection w:val="lrTb"/>
            <w:noWrap/>
          </w:tcPr>
          <w:p>
            <w:pPr>
              <w:jc w:val="center"/>
              <w:keepLines w:val="0"/>
              <w:keepNext w:val="0"/>
              <w:spacing w:line="240" w:lineRule="auto"/>
              <w:shd w:val="clear" w:color="auto" w:fill="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8" w:space="0"/>
            </w:tcBorders>
            <w:tcW w:w="839"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Borders>
              <w:top w:val="single" w:color="000000" w:sz="4" w:space="0"/>
              <w:left w:val="single" w:color="000000" w:sz="8" w:space="0"/>
              <w:bottom w:val="single" w:color="000000" w:sz="4" w:space="0"/>
              <w:right w:val="single" w:color="000000" w:sz="4" w:space="0"/>
            </w:tcBorders>
            <w:tcW w:w="898" w:type="dxa"/>
            <w:vAlign w:val="center"/>
            <w:textDirection w:val="lrTb"/>
            <w:noWrap/>
          </w:tcPr>
          <w:p>
            <w:pPr>
              <w:jc w:val="center"/>
              <w:keepLines w:val="0"/>
              <w:keepNext w:val="0"/>
              <w:spacing w:line="240" w:lineRule="auto"/>
              <w:shd w:val="clear" w:color="auto" w:fill="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8" w:space="0"/>
            </w:tcBorders>
            <w:tcW w:w="839"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0"/>
        </w:trPr>
        <w:tc>
          <w:tcPr>
            <w:tcBorders>
              <w:top w:val="single" w:color="000000" w:sz="4" w:space="0"/>
              <w:left w:val="single" w:color="000000" w:sz="8" w:space="0"/>
              <w:bottom w:val="single" w:color="000000" w:sz="4" w:space="0"/>
              <w:right w:val="single" w:color="000000" w:sz="4" w:space="0"/>
            </w:tcBorders>
            <w:tcW w:w="898" w:type="dxa"/>
            <w:vAlign w:val="center"/>
            <w:textDirection w:val="lrTb"/>
            <w:noWrap/>
          </w:tcPr>
          <w:p>
            <w:pPr>
              <w:jc w:val="center"/>
              <w:keepLines w:val="0"/>
              <w:keepNext w:val="0"/>
              <w:spacing w:line="240" w:lineRule="auto"/>
              <w:shd w:val="clear" w:color="auto" w:fill="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spacing w:line="240" w:lineRule="auto"/>
              <w:shd w:val="clear" w:color="auto" w:fill="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{清单项目名称}</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8" w:space="0"/>
            </w:tcBorders>
            <w:tcW w:w="839"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0"/>
        </w:trPr>
        <w:tc>
          <w:tcPr>
            <w:tcBorders>
              <w:top w:val="single" w:color="000000" w:sz="4" w:space="0"/>
              <w:left w:val="single" w:color="000000" w:sz="8" w:space="0"/>
              <w:bottom w:val="single" w:color="000000" w:sz="4" w:space="0"/>
              <w:right w:val="single" w:color="000000" w:sz="4" w:space="0"/>
            </w:tcBorders>
            <w:tcW w:w="898" w:type="dxa"/>
            <w:vAlign w:val="center"/>
            <w:textDirection w:val="lrTb"/>
            <w:noWrap/>
          </w:tcPr>
          <w:p>
            <w:pPr>
              <w:jc w:val="center"/>
              <w:keepLines w:val="0"/>
              <w:keepNext w:val="0"/>
              <w:spacing w:line="240" w:lineRule="auto"/>
              <w:shd w:val="clear" w:color="auto" w:fill="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spacing w:line="240" w:lineRule="auto"/>
              <w:shd w:val="clear" w:color="auto" w:fill="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{计价项目名称}</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8" w:space="0"/>
            </w:tcBorders>
            <w:tcW w:w="839"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Borders>
              <w:top w:val="single" w:color="000000" w:sz="4" w:space="0"/>
              <w:left w:val="single" w:color="000000" w:sz="8" w:space="0"/>
              <w:bottom w:val="single" w:color="000000" w:sz="4" w:space="0"/>
              <w:right w:val="single" w:color="000000" w:sz="4" w:space="0"/>
            </w:tcBorders>
            <w:tcW w:w="898" w:type="dxa"/>
            <w:vAlign w:val="center"/>
            <w:textDirection w:val="lrTb"/>
            <w:noWrap/>
          </w:tcPr>
          <w:p>
            <w:pPr>
              <w:jc w:val="center"/>
              <w:keepLines w:val="0"/>
              <w:keepNext w:val="0"/>
              <w:spacing w:line="240" w:lineRule="auto"/>
              <w:shd w:val="clear" w:color="auto" w:fill="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8" w:space="0"/>
            </w:tcBorders>
            <w:tcW w:w="839"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Borders>
              <w:top w:val="single" w:color="000000" w:sz="4" w:space="0"/>
              <w:left w:val="single" w:color="000000" w:sz="8" w:space="0"/>
              <w:bottom w:val="single" w:color="000000" w:sz="4" w:space="0"/>
              <w:right w:val="single" w:color="000000" w:sz="4" w:space="0"/>
            </w:tcBorders>
            <w:tcW w:w="898" w:type="dxa"/>
            <w:vAlign w:val="center"/>
            <w:textDirection w:val="lrTb"/>
            <w:noWrap/>
          </w:tcPr>
          <w:p>
            <w:pPr>
              <w:jc w:val="center"/>
              <w:keepLines w:val="0"/>
              <w:keepNext w:val="0"/>
              <w:spacing w:line="240" w:lineRule="auto"/>
              <w:shd w:val="clear" w:color="auto" w:fill="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8" w:space="0"/>
            </w:tcBorders>
            <w:tcW w:w="839"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Borders>
              <w:top w:val="single" w:color="000000" w:sz="4" w:space="0"/>
              <w:left w:val="single" w:color="000000" w:sz="8" w:space="0"/>
              <w:bottom w:val="single" w:color="000000" w:sz="4" w:space="0"/>
              <w:right w:val="single" w:color="000000" w:sz="4" w:space="0"/>
            </w:tcBorders>
            <w:tcW w:w="898" w:type="dxa"/>
            <w:vAlign w:val="center"/>
            <w:textDirection w:val="lrTb"/>
            <w:noWrap/>
          </w:tcPr>
          <w:p>
            <w:pPr>
              <w:jc w:val="center"/>
              <w:keepLines w:val="0"/>
              <w:keepNext w:val="0"/>
              <w:spacing w:line="240" w:lineRule="auto"/>
              <w:shd w:val="clear" w:color="auto" w:fill="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8" w:space="0"/>
            </w:tcBorders>
            <w:tcW w:w="839"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Borders>
              <w:top w:val="single" w:color="000000" w:sz="4" w:space="0"/>
              <w:left w:val="single" w:color="000000" w:sz="8" w:space="0"/>
              <w:bottom w:val="single" w:color="000000" w:sz="4" w:space="0"/>
              <w:right w:val="single" w:color="000000" w:sz="4" w:space="0"/>
            </w:tcBorders>
            <w:tcW w:w="898" w:type="dxa"/>
            <w:vAlign w:val="center"/>
            <w:textDirection w:val="lrTb"/>
            <w:noWrap/>
          </w:tcPr>
          <w:p>
            <w:pPr>
              <w:jc w:val="cente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8" w:space="0"/>
            </w:tcBorders>
            <w:tcW w:w="839"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Borders>
              <w:top w:val="single" w:color="000000" w:sz="4" w:space="0"/>
              <w:left w:val="single" w:color="000000" w:sz="8" w:space="0"/>
              <w:bottom w:val="single" w:color="000000" w:sz="4" w:space="0"/>
              <w:right w:val="single" w:color="000000" w:sz="4" w:space="0"/>
            </w:tcBorders>
            <w:tcW w:w="898" w:type="dxa"/>
            <w:vAlign w:val="center"/>
            <w:textDirection w:val="lrTb"/>
            <w:noWrap/>
          </w:tcPr>
          <w:p>
            <w:pPr>
              <w:jc w:val="cente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8" w:space="0"/>
            </w:tcBorders>
            <w:tcW w:w="839"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Borders>
              <w:top w:val="single" w:color="000000" w:sz="4" w:space="0"/>
              <w:left w:val="single" w:color="000000" w:sz="8" w:space="0"/>
              <w:bottom w:val="single" w:color="000000" w:sz="4" w:space="0"/>
              <w:right w:val="single" w:color="000000" w:sz="4" w:space="0"/>
            </w:tcBorders>
            <w:tcW w:w="898" w:type="dxa"/>
            <w:vAlign w:val="center"/>
            <w:textDirection w:val="lrTb"/>
            <w:noWrap/>
          </w:tcPr>
          <w:p>
            <w:pPr>
              <w:jc w:val="cente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spacing w:line="240" w:lineRule="auto"/>
              <w:shd w:val="clear" w:color="auto" w:fill="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本页小计金额</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8" w:space="0"/>
            </w:tcBorders>
            <w:tcW w:w="839"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Borders>
              <w:top w:val="single" w:color="000000" w:sz="4" w:space="0"/>
              <w:left w:val="single" w:color="000000" w:sz="8" w:space="0"/>
              <w:bottom w:val="single" w:color="000000" w:sz="8" w:space="0"/>
              <w:right w:val="single" w:color="000000" w:sz="4" w:space="0"/>
            </w:tcBorders>
            <w:tcW w:w="898"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tcBorders>
              <w:top w:val="single" w:color="000000" w:sz="4" w:space="0"/>
              <w:left w:val="single" w:color="000000" w:sz="4" w:space="0"/>
              <w:bottom w:val="single" w:color="000000" w:sz="8" w:space="0"/>
              <w:right w:val="single" w:color="000000" w:sz="4" w:space="0"/>
            </w:tcBorders>
            <w:tcW w:w="1942" w:type="dxa"/>
            <w:vAlign w:val="center"/>
            <w:textDirection w:val="lrTb"/>
            <w:noWrap/>
          </w:tcPr>
          <w:p>
            <w:pPr>
              <w:jc w:val="center"/>
              <w:keepLines w:val="0"/>
              <w:keepNext w:val="0"/>
              <w:spacing w:line="240" w:lineRule="auto"/>
              <w:shd w:val="clear" w:color="auto" w:fill="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累计总价金额</w:t>
            </w:r>
            <w:r/>
          </w:p>
        </w:tc>
        <w:tc>
          <w:tcPr>
            <w:tcBorders>
              <w:top w:val="single" w:color="000000" w:sz="4" w:space="0"/>
              <w:left w:val="single" w:color="000000" w:sz="4" w:space="0"/>
              <w:bottom w:val="single" w:color="000000" w:sz="8" w:space="0"/>
              <w:right w:val="single" w:color="000000" w:sz="4" w:space="0"/>
            </w:tcBorders>
            <w:tcW w:w="799"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8"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8"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8"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8"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8"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8"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8"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8"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8"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8"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8" w:space="0"/>
              <w:right w:val="single" w:color="000000" w:sz="4" w:space="0"/>
            </w:tcBorders>
            <w:tcW w:w="618"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8" w:space="0"/>
              <w:right w:val="single" w:color="000000" w:sz="8" w:space="0"/>
            </w:tcBorders>
            <w:tcW w:w="839" w:type="dxa"/>
            <w:vAlign w:val="center"/>
            <w:textDirection w:val="lrTb"/>
            <w:noWrap/>
          </w:tcPr>
          <w:p>
            <w:pPr>
              <w:spacing w:line="240" w:lineRule="auto"/>
              <w:shd w:val="clear" w:color="auto" w:fil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jc w:val="center"/>
        <w:spacing w:line="400" w:lineRule="exact"/>
        <w:shd w:val="clear" w:color="auto" w:fill="auto"/>
        <w:rPr>
          <w:rFonts w:hint="eastAsia" w:ascii="宋体" w:hAnsi="宋体" w:cs="宋体"/>
          <w:b/>
          <w:sz w:val="32"/>
          <w:szCs w:val="32"/>
          <w:highlight w:val="none"/>
        </w:rPr>
        <w:outlineLvl w:val="2"/>
      </w:pPr>
      <w:r>
        <w:rPr>
          <w:rFonts w:hint="eastAsia" w:ascii="宋体" w:hAnsi="宋体" w:cs="宋体"/>
          <w:b/>
          <w:sz w:val="32"/>
          <w:szCs w:val="32"/>
          <w:highlight w:val="none"/>
        </w:rPr>
      </w:r>
      <w:r/>
    </w:p>
    <w:p>
      <w:pPr>
        <w:jc w:val="center"/>
        <w:spacing w:line="400" w:lineRule="exact"/>
        <w:shd w:val="clear" w:color="auto" w:fill="auto"/>
        <w:rPr>
          <w:rFonts w:hint="eastAsia" w:ascii="宋体" w:hAnsi="宋体" w:cs="宋体"/>
          <w:b/>
          <w:sz w:val="32"/>
          <w:szCs w:val="32"/>
          <w:highlight w:val="none"/>
        </w:rPr>
        <w:outlineLvl w:val="2"/>
      </w:pPr>
      <w:r>
        <w:rPr>
          <w:rFonts w:hint="eastAsia" w:ascii="宋体" w:hAnsi="宋体" w:cs="宋体"/>
          <w:b/>
          <w:sz w:val="32"/>
          <w:szCs w:val="32"/>
          <w:highlight w:val="none"/>
        </w:rPr>
      </w:r>
      <w:r/>
    </w:p>
    <w:p>
      <w:pPr>
        <w:jc w:val="center"/>
        <w:spacing w:line="400" w:lineRule="exact"/>
        <w:shd w:val="clear" w:color="auto" w:fill="auto"/>
        <w:rPr>
          <w:rFonts w:hint="eastAsia" w:ascii="宋体" w:hAnsi="宋体" w:cs="宋体"/>
          <w:b/>
          <w:sz w:val="32"/>
          <w:szCs w:val="32"/>
          <w:highlight w:val="none"/>
        </w:rPr>
        <w:outlineLvl w:val="2"/>
      </w:pPr>
      <w:r>
        <w:rPr>
          <w:rFonts w:hint="eastAsia" w:ascii="宋体" w:hAnsi="宋体" w:cs="宋体"/>
          <w:b/>
          <w:sz w:val="32"/>
          <w:szCs w:val="32"/>
          <w:highlight w:val="none"/>
        </w:rPr>
      </w:r>
      <w:r/>
    </w:p>
    <w:p>
      <w:pPr>
        <w:jc w:val="center"/>
        <w:spacing w:line="400" w:lineRule="exact"/>
        <w:shd w:val="clear" w:color="auto" w:fill="auto"/>
        <w:rPr>
          <w:rFonts w:hint="eastAsia" w:ascii="宋体" w:hAnsi="宋体" w:cs="宋体"/>
          <w:b/>
          <w:sz w:val="32"/>
          <w:szCs w:val="32"/>
          <w:highlight w:val="none"/>
        </w:rPr>
        <w:outlineLvl w:val="2"/>
      </w:pPr>
      <w:r>
        <w:rPr>
          <w:rFonts w:hint="eastAsia" w:ascii="宋体" w:hAnsi="宋体" w:cs="宋体"/>
          <w:b/>
          <w:sz w:val="32"/>
          <w:szCs w:val="32"/>
          <w:highlight w:val="none"/>
        </w:rPr>
      </w:r>
      <w:r/>
    </w:p>
    <w:p>
      <w:pPr>
        <w:jc w:val="center"/>
        <w:spacing w:line="400" w:lineRule="exact"/>
        <w:shd w:val="clear" w:color="auto" w:fill="auto"/>
        <w:rPr>
          <w:rFonts w:hint="eastAsia" w:ascii="宋体" w:hAnsi="宋体" w:cs="宋体"/>
          <w:b/>
          <w:sz w:val="32"/>
          <w:szCs w:val="32"/>
          <w:highlight w:val="none"/>
        </w:rPr>
        <w:outlineLvl w:val="2"/>
      </w:pPr>
      <w:r>
        <w:rPr>
          <w:rFonts w:hint="eastAsia" w:ascii="宋体" w:hAnsi="宋体" w:cs="宋体"/>
          <w:b/>
          <w:sz w:val="32"/>
          <w:szCs w:val="32"/>
          <w:highlight w:val="none"/>
        </w:rPr>
      </w:r>
      <w:r/>
    </w:p>
    <w:p>
      <w:pPr>
        <w:jc w:val="center"/>
        <w:spacing w:line="400" w:lineRule="exact"/>
        <w:shd w:val="clear" w:color="auto" w:fill="auto"/>
        <w:rPr>
          <w:rFonts w:hint="eastAsia" w:ascii="宋体" w:hAnsi="宋体" w:cs="宋体"/>
          <w:b/>
          <w:sz w:val="32"/>
          <w:szCs w:val="32"/>
          <w:highlight w:val="none"/>
        </w:rPr>
        <w:outlineLvl w:val="2"/>
      </w:pPr>
      <w:r>
        <w:rPr>
          <w:rFonts w:hint="eastAsia" w:ascii="宋体" w:hAnsi="宋体" w:cs="宋体"/>
          <w:b/>
          <w:sz w:val="32"/>
          <w:szCs w:val="32"/>
          <w:highlight w:val="none"/>
        </w:rPr>
      </w:r>
      <w:r/>
    </w:p>
    <w:p>
      <w:pPr>
        <w:jc w:val="center"/>
        <w:spacing w:line="400" w:lineRule="exact"/>
        <w:shd w:val="clear" w:color="auto" w:fill="auto"/>
        <w:rPr>
          <w:rFonts w:hint="eastAsia" w:ascii="宋体" w:hAnsi="宋体" w:cs="宋体"/>
          <w:b/>
          <w:sz w:val="32"/>
          <w:szCs w:val="32"/>
          <w:highlight w:val="none"/>
        </w:rPr>
        <w:outlineLvl w:val="2"/>
      </w:pPr>
      <w:r>
        <w:rPr>
          <w:rFonts w:hint="eastAsia" w:ascii="宋体" w:hAnsi="宋体" w:cs="宋体"/>
          <w:b/>
          <w:sz w:val="32"/>
          <w:szCs w:val="32"/>
          <w:highlight w:val="none"/>
        </w:rPr>
      </w:r>
      <w:r/>
    </w:p>
    <w:p>
      <w:pPr>
        <w:jc w:val="center"/>
        <w:spacing w:line="400" w:lineRule="exact"/>
        <w:shd w:val="clear" w:color="auto" w:fill="auto"/>
        <w:rPr>
          <w:rFonts w:hint="eastAsia" w:ascii="宋体" w:hAnsi="宋体" w:cs="宋体"/>
          <w:b/>
          <w:sz w:val="32"/>
          <w:szCs w:val="32"/>
          <w:highlight w:val="none"/>
        </w:rPr>
        <w:outlineLvl w:val="2"/>
      </w:pPr>
      <w:r>
        <w:rPr>
          <w:rFonts w:hint="eastAsia" w:ascii="宋体" w:hAnsi="宋体" w:cs="宋体"/>
          <w:b/>
          <w:sz w:val="32"/>
          <w:szCs w:val="32"/>
          <w:highlight w:val="none"/>
        </w:rPr>
      </w:r>
      <w:r/>
    </w:p>
    <w:p>
      <w:pPr>
        <w:jc w:val="center"/>
        <w:spacing w:line="400" w:lineRule="exact"/>
        <w:shd w:val="clear" w:color="auto" w:fill="auto"/>
        <w:rPr>
          <w:rFonts w:hint="eastAsia" w:ascii="宋体" w:hAnsi="宋体" w:cs="宋体"/>
          <w:b/>
          <w:sz w:val="32"/>
          <w:szCs w:val="32"/>
          <w:highlight w:val="none"/>
        </w:rPr>
        <w:outlineLvl w:val="2"/>
      </w:pPr>
      <w:r>
        <w:rPr>
          <w:rFonts w:hint="eastAsia" w:ascii="宋体" w:hAnsi="宋体" w:cs="宋体"/>
          <w:b/>
          <w:sz w:val="32"/>
          <w:szCs w:val="32"/>
          <w:highlight w:val="none"/>
        </w:rPr>
      </w:r>
      <w:r/>
    </w:p>
    <w:p>
      <w:pPr>
        <w:jc w:val="center"/>
        <w:spacing w:line="400" w:lineRule="exact"/>
        <w:shd w:val="clear" w:color="auto" w:fill="auto"/>
        <w:rPr>
          <w:rFonts w:hint="eastAsia" w:ascii="宋体" w:hAnsi="宋体" w:cs="宋体"/>
          <w:b/>
          <w:sz w:val="32"/>
          <w:szCs w:val="32"/>
          <w:highlight w:val="none"/>
        </w:rPr>
        <w:outlineLvl w:val="2"/>
      </w:pPr>
      <w:r>
        <w:rPr>
          <w:rFonts w:hint="eastAsia" w:ascii="宋体" w:hAnsi="宋体" w:cs="宋体"/>
          <w:b/>
          <w:sz w:val="32"/>
          <w:szCs w:val="32"/>
          <w:highlight w:val="none"/>
        </w:rPr>
        <w:t xml:space="preserve">五、施工组织设计</w:t>
      </w:r>
      <w:bookmarkEnd w:id="192"/>
      <w:r/>
      <w:bookmarkEnd w:id="193"/>
      <w:bookmarkEnd w:id="194"/>
      <w:bookmarkEnd w:id="195"/>
      <w:r/>
    </w:p>
    <w:p>
      <w:pPr>
        <w:shd w:val="clear" w:color="auto" w:fill="auto"/>
        <w:rPr>
          <w:rFonts w:hint="eastAsia" w:ascii="宋体" w:hAnsi="宋体" w:cs="宋体"/>
          <w:sz w:val="32"/>
          <w:szCs w:val="32"/>
          <w:highlight w:val="none"/>
        </w:rPr>
      </w:pPr>
      <w:r>
        <w:rPr>
          <w:rFonts w:hint="eastAsia" w:ascii="宋体" w:hAnsi="宋体" w:cs="宋体"/>
          <w:sz w:val="32"/>
          <w:szCs w:val="32"/>
          <w:highlight w:val="none"/>
        </w:rPr>
      </w:r>
      <w:r/>
    </w:p>
    <w:p>
      <w:pPr>
        <w:jc w:val="left"/>
        <w:shd w:val="clear" w:color="auto" w:fill="auto"/>
        <w:widowControl/>
        <w:rPr>
          <w:rFonts w:hint="eastAsia" w:ascii="宋体" w:hAnsi="宋体" w:cs="宋体"/>
          <w:sz w:val="24"/>
          <w:szCs w:val="21"/>
          <w:highlight w:val="none"/>
        </w:rPr>
      </w:pPr>
      <w:r/>
      <w:bookmarkStart w:id="196" w:name="_Toc503901984"/>
      <w:r/>
      <w:bookmarkStart w:id="197" w:name="_Toc432244534"/>
      <w:r/>
      <w:bookmarkStart w:id="198" w:name="_Toc503307482"/>
      <w:r>
        <w:rPr>
          <w:rFonts w:hint="eastAsia" w:ascii="宋体" w:hAnsi="宋体" w:cs="宋体"/>
          <w:sz w:val="24"/>
          <w:szCs w:val="21"/>
          <w:highlight w:val="none"/>
        </w:rPr>
        <w:t xml:space="preserve">㈠总体施工方案</w:t>
      </w:r>
      <w:r/>
    </w:p>
    <w:p>
      <w:pPr>
        <w:jc w:val="left"/>
        <w:shd w:val="clear" w:color="auto" w:fill="auto"/>
        <w:widowControl/>
        <w:rPr>
          <w:rFonts w:hint="eastAsia" w:ascii="宋体" w:hAnsi="宋体" w:cs="宋体"/>
          <w:sz w:val="24"/>
          <w:szCs w:val="21"/>
          <w:highlight w:val="none"/>
        </w:rPr>
      </w:pPr>
      <w:r>
        <w:rPr>
          <w:rFonts w:hint="eastAsia" w:ascii="宋体" w:hAnsi="宋体" w:cs="宋体"/>
          <w:sz w:val="24"/>
          <w:szCs w:val="21"/>
          <w:highlight w:val="none"/>
        </w:rPr>
        <w:t xml:space="preserve">㈡重、难点分析</w:t>
      </w:r>
      <w:r/>
    </w:p>
    <w:p>
      <w:pPr>
        <w:jc w:val="left"/>
        <w:shd w:val="clear" w:color="auto" w:fill="auto"/>
        <w:widowControl/>
        <w:rPr>
          <w:rFonts w:hint="eastAsia" w:ascii="宋体" w:hAnsi="宋体" w:cs="宋体"/>
          <w:sz w:val="24"/>
          <w:szCs w:val="21"/>
          <w:highlight w:val="none"/>
        </w:rPr>
      </w:pPr>
      <w:r>
        <w:rPr>
          <w:rFonts w:hint="eastAsia" w:ascii="宋体" w:hAnsi="宋体" w:cs="宋体"/>
          <w:sz w:val="24"/>
          <w:szCs w:val="21"/>
          <w:highlight w:val="none"/>
        </w:rPr>
        <w:t xml:space="preserve">㈢安全保证措施</w:t>
      </w:r>
      <w:r/>
    </w:p>
    <w:p>
      <w:pPr>
        <w:jc w:val="left"/>
        <w:shd w:val="clear" w:color="auto" w:fill="auto"/>
        <w:widowControl/>
        <w:rPr>
          <w:rFonts w:hint="eastAsia" w:ascii="宋体" w:hAnsi="宋体" w:cs="宋体"/>
          <w:sz w:val="24"/>
          <w:szCs w:val="21"/>
          <w:highlight w:val="none"/>
        </w:rPr>
      </w:pPr>
      <w:r>
        <w:rPr>
          <w:rFonts w:hint="eastAsia" w:ascii="宋体" w:hAnsi="宋体" w:cs="宋体"/>
          <w:sz w:val="24"/>
          <w:szCs w:val="21"/>
          <w:highlight w:val="none"/>
        </w:rPr>
        <w:t xml:space="preserve">㈣质量、进度、环保等措施及合理化建议</w:t>
      </w:r>
      <w:r/>
    </w:p>
    <w:p>
      <w:pPr>
        <w:jc w:val="left"/>
        <w:shd w:val="clear" w:color="auto" w:fill="auto"/>
        <w:widowControl/>
        <w:rPr>
          <w:rFonts w:hint="eastAsia" w:ascii="宋体" w:hAnsi="宋体" w:cs="宋体"/>
          <w:sz w:val="24"/>
          <w:szCs w:val="21"/>
          <w:highlight w:val="none"/>
        </w:rPr>
      </w:pPr>
      <w:r>
        <w:rPr>
          <w:rFonts w:hint="eastAsia" w:ascii="宋体" w:hAnsi="宋体" w:cs="宋体"/>
          <w:sz w:val="24"/>
          <w:szCs w:val="21"/>
          <w:highlight w:val="none"/>
        </w:rPr>
        <w:t xml:space="preserve">......</w:t>
      </w:r>
      <w:r/>
    </w:p>
    <w:p>
      <w:pPr>
        <w:jc w:val="center"/>
        <w:shd w:val="clear" w:color="auto" w:fill="auto"/>
        <w:widowControl/>
        <w:rPr>
          <w:rFonts w:hint="eastAsia" w:ascii="宋体" w:hAnsi="宋体" w:cs="宋体"/>
          <w:b/>
          <w:sz w:val="32"/>
          <w:szCs w:val="32"/>
          <w:highlight w:val="none"/>
        </w:rPr>
      </w:pPr>
      <w:r>
        <w:rPr>
          <w:rFonts w:hint="eastAsia" w:ascii="宋体" w:hAnsi="宋体" w:cs="宋体"/>
          <w:sz w:val="24"/>
          <w:szCs w:val="21"/>
          <w:highlight w:val="none"/>
        </w:rPr>
        <w:br w:type="page" w:clear="all"/>
      </w:r>
      <w:bookmarkStart w:id="199" w:name="_Toc211090875"/>
      <w:r>
        <w:rPr>
          <w:rFonts w:hint="eastAsia" w:ascii="宋体" w:hAnsi="宋体" w:cs="宋体"/>
          <w:b/>
          <w:sz w:val="32"/>
          <w:szCs w:val="32"/>
          <w:highlight w:val="none"/>
        </w:rPr>
        <w:t xml:space="preserve">六、</w:t>
      </w:r>
      <w:bookmarkEnd w:id="196"/>
      <w:r/>
      <w:bookmarkEnd w:id="197"/>
      <w:r/>
      <w:bookmarkEnd w:id="198"/>
      <w:r>
        <w:rPr>
          <w:rFonts w:hint="eastAsia" w:ascii="宋体" w:hAnsi="宋体" w:cs="宋体"/>
          <w:b/>
          <w:sz w:val="32"/>
          <w:szCs w:val="32"/>
          <w:highlight w:val="none"/>
        </w:rPr>
        <w:t xml:space="preserve">资格审查资料</w:t>
      </w:r>
      <w:bookmarkEnd w:id="199"/>
      <w:r/>
      <w:r/>
    </w:p>
    <w:p>
      <w:pPr>
        <w:shd w:val="clear" w:color="auto" w:fill="auto"/>
        <w:rPr>
          <w:rFonts w:hint="eastAsia" w:ascii="宋体" w:hAnsi="宋体" w:cs="宋体"/>
          <w:highlight w:val="none"/>
        </w:rPr>
      </w:pPr>
      <w:r>
        <w:rPr>
          <w:rFonts w:hint="eastAsia" w:ascii="宋体" w:hAnsi="宋体" w:cs="宋体"/>
          <w:highlight w:val="none"/>
        </w:rPr>
      </w:r>
      <w:r/>
    </w:p>
    <w:p>
      <w:pPr>
        <w:jc w:val="center"/>
        <w:spacing w:before="120"/>
        <w:shd w:val="clear" w:color="auto" w:fill="auto"/>
        <w:tabs>
          <w:tab w:val="left" w:pos="5580" w:leader="none"/>
        </w:tabs>
        <w:rPr>
          <w:rFonts w:hint="eastAsia" w:ascii="宋体" w:hAnsi="宋体" w:cs="宋体"/>
          <w:b/>
          <w:sz w:val="28"/>
          <w:szCs w:val="32"/>
          <w:highlight w:val="none"/>
        </w:rPr>
      </w:pPr>
      <w:r>
        <w:rPr>
          <w:rFonts w:hint="eastAsia" w:ascii="宋体" w:hAnsi="宋体" w:cs="宋体"/>
          <w:b/>
          <w:sz w:val="28"/>
          <w:szCs w:val="32"/>
          <w:highlight w:val="none"/>
        </w:rPr>
        <w:t xml:space="preserve">政府采购信用承诺书</w:t>
      </w:r>
      <w:r/>
    </w:p>
    <w:p>
      <w:pPr>
        <w:ind w:firstLine="480"/>
        <w:shd w:val="clear" w:color="auto" w:fill="auto"/>
        <w:tabs>
          <w:tab w:val="left" w:pos="5580" w:leader="none"/>
        </w:tabs>
        <w:rPr>
          <w:rFonts w:hint="eastAsia" w:ascii="宋体" w:hAnsi="宋体" w:cs="宋体"/>
          <w:sz w:val="24"/>
          <w:highlight w:val="none"/>
        </w:rPr>
      </w:pPr>
      <w:r>
        <w:rPr>
          <w:rFonts w:hint="eastAsia" w:ascii="宋体" w:hAnsi="宋体" w:cs="宋体"/>
          <w:sz w:val="24"/>
          <w:highlight w:val="none"/>
        </w:rPr>
        <w:t xml:space="preserve">我公司自愿参加贵中心（公司）组织的本次采购活动，严格遵守《中华人民共和国政府采购法》及相关法律法规，坚守公开、公平、公正和诚实信用的原则，依法诚信经营，无条件遵守本次政府采购活动的各项规定。</w:t>
      </w:r>
      <w:r/>
    </w:p>
    <w:p>
      <w:pPr>
        <w:ind w:firstLine="480"/>
        <w:shd w:val="clear" w:color="auto" w:fill="auto"/>
        <w:tabs>
          <w:tab w:val="left" w:pos="5580" w:leader="none"/>
        </w:tabs>
        <w:rPr>
          <w:rFonts w:hint="eastAsia" w:ascii="宋体" w:hAnsi="宋体" w:cs="宋体"/>
          <w:sz w:val="24"/>
          <w:highlight w:val="none"/>
        </w:rPr>
      </w:pPr>
      <w:r>
        <w:rPr>
          <w:rFonts w:hint="eastAsia" w:ascii="宋体" w:hAnsi="宋体" w:cs="宋体"/>
          <w:sz w:val="24"/>
          <w:highlight w:val="none"/>
        </w:rPr>
        <w:t xml:space="preserve">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w:t>
      </w:r>
      <w:r/>
    </w:p>
    <w:p>
      <w:pPr>
        <w:ind w:firstLine="480"/>
        <w:shd w:val="clear" w:color="auto" w:fill="auto"/>
        <w:tabs>
          <w:tab w:val="left" w:pos="5580" w:leader="none"/>
        </w:tabs>
        <w:rPr>
          <w:rFonts w:hint="eastAsia" w:ascii="宋体" w:hAnsi="宋体" w:cs="宋体"/>
          <w:sz w:val="24"/>
          <w:highlight w:val="none"/>
        </w:rPr>
      </w:pPr>
      <w:r>
        <w:rPr>
          <w:rFonts w:hint="eastAsia" w:ascii="宋体" w:hAnsi="宋体" w:cs="宋体"/>
          <w:sz w:val="24"/>
          <w:highlight w:val="none"/>
        </w:rPr>
        <w:t xml:space="preserve">如有弄虚作假或其他违法违规行为，愿承担一切法律责任，接受各级政府采购监管部门和有权机关的审查和处罚。</w:t>
      </w:r>
      <w:r/>
    </w:p>
    <w:p>
      <w:pPr>
        <w:spacing w:before="120"/>
        <w:shd w:val="clear" w:color="auto" w:fill="auto"/>
        <w:tabs>
          <w:tab w:val="left" w:pos="5580" w:leader="none"/>
        </w:tabs>
        <w:rPr>
          <w:rFonts w:hint="eastAsia" w:ascii="宋体" w:hAnsi="宋体" w:cs="宋体"/>
          <w:sz w:val="24"/>
          <w:highlight w:val="none"/>
        </w:rPr>
      </w:pPr>
      <w:r>
        <w:rPr>
          <w:rFonts w:hint="eastAsia" w:ascii="宋体" w:hAnsi="宋体" w:cs="宋体"/>
          <w:sz w:val="24"/>
          <w:highlight w:val="none"/>
        </w:rPr>
      </w:r>
      <w:r/>
    </w:p>
    <w:p>
      <w:pPr>
        <w:spacing w:before="120"/>
        <w:shd w:val="clear" w:color="auto" w:fill="auto"/>
        <w:tabs>
          <w:tab w:val="left" w:pos="5580" w:leader="none"/>
        </w:tabs>
        <w:rPr>
          <w:rFonts w:hint="eastAsia" w:ascii="宋体" w:hAnsi="宋体" w:cs="宋体"/>
          <w:sz w:val="24"/>
          <w:highlight w:val="none"/>
        </w:rPr>
      </w:pPr>
      <w:r>
        <w:rPr>
          <w:rFonts w:hint="eastAsia" w:ascii="宋体" w:hAnsi="宋体" w:cs="宋体"/>
          <w:sz w:val="24"/>
          <w:highlight w:val="none"/>
        </w:rPr>
      </w:r>
      <w:r/>
    </w:p>
    <w:p>
      <w:pPr>
        <w:ind w:firstLine="3120"/>
        <w:shd w:val="clear" w:color="auto" w:fill="auto"/>
        <w:rPr>
          <w:rFonts w:hint="eastAsia" w:ascii="宋体" w:hAnsi="宋体" w:cs="宋体"/>
          <w:sz w:val="24"/>
          <w:szCs w:val="32"/>
          <w:highlight w:val="none"/>
        </w:rPr>
      </w:pPr>
      <w:r>
        <w:rPr>
          <w:rFonts w:hint="eastAsia" w:ascii="宋体" w:hAnsi="宋体" w:cs="宋体"/>
          <w:sz w:val="24"/>
          <w:szCs w:val="32"/>
          <w:highlight w:val="none"/>
        </w:rPr>
        <w:t xml:space="preserve">投标人名称：</w:t>
      </w:r>
      <w:r>
        <w:rPr>
          <w:rFonts w:hint="eastAsia" w:ascii="宋体" w:hAnsi="宋体" w:cs="宋体"/>
          <w:sz w:val="24"/>
          <w:szCs w:val="32"/>
          <w:highlight w:val="none"/>
          <w:u w:val="single"/>
        </w:rPr>
        <w:t xml:space="preserve">               </w:t>
      </w:r>
      <w:r>
        <w:rPr>
          <w:rFonts w:hint="eastAsia" w:ascii="宋体" w:hAnsi="宋体" w:cs="宋体"/>
          <w:sz w:val="24"/>
          <w:szCs w:val="32"/>
          <w:highlight w:val="none"/>
        </w:rPr>
        <w:t xml:space="preserve">（加盖CA电子公章）</w:t>
      </w:r>
      <w:r/>
    </w:p>
    <w:p>
      <w:pPr>
        <w:ind w:firstLine="3120"/>
        <w:shd w:val="clear" w:color="auto" w:fill="auto"/>
        <w:rPr>
          <w:rFonts w:hint="eastAsia" w:ascii="宋体" w:hAnsi="宋体" w:cs="宋体"/>
          <w:sz w:val="24"/>
          <w:szCs w:val="32"/>
          <w:highlight w:val="none"/>
        </w:rPr>
      </w:pPr>
      <w:r>
        <w:rPr>
          <w:rFonts w:hint="eastAsia" w:ascii="宋体" w:hAnsi="宋体" w:cs="宋体"/>
          <w:sz w:val="24"/>
          <w:szCs w:val="32"/>
          <w:highlight w:val="none"/>
        </w:rPr>
        <w:t xml:space="preserve">法定代表人：</w:t>
      </w:r>
      <w:r>
        <w:rPr>
          <w:rFonts w:hint="eastAsia" w:ascii="宋体" w:hAnsi="宋体" w:cs="宋体"/>
          <w:sz w:val="24"/>
          <w:szCs w:val="32"/>
          <w:highlight w:val="none"/>
          <w:u w:val="single"/>
        </w:rPr>
        <w:t xml:space="preserve">               </w:t>
      </w:r>
      <w:r>
        <w:rPr>
          <w:rFonts w:hint="eastAsia" w:ascii="宋体" w:hAnsi="宋体" w:cs="宋体"/>
          <w:sz w:val="24"/>
          <w:szCs w:val="32"/>
          <w:highlight w:val="none"/>
        </w:rPr>
        <w:t xml:space="preserve">（加盖CA电子签章）</w:t>
      </w:r>
      <w:r/>
    </w:p>
    <w:p>
      <w:pPr>
        <w:ind w:firstLine="3840"/>
        <w:jc w:val="left"/>
        <w:shd w:val="clear" w:color="auto" w:fill="auto"/>
        <w:rPr>
          <w:rFonts w:hint="eastAsia" w:ascii="宋体" w:hAnsi="宋体" w:cs="宋体"/>
          <w:sz w:val="24"/>
          <w:highlight w:val="none"/>
        </w:rPr>
      </w:pPr>
      <w:r>
        <w:rPr>
          <w:rFonts w:hint="eastAsia" w:ascii="宋体" w:hAnsi="宋体" w:cs="宋体"/>
          <w:sz w:val="24"/>
          <w:szCs w:val="32"/>
          <w:highlight w:val="none"/>
        </w:rPr>
        <w:t xml:space="preserve">日    期：</w:t>
      </w:r>
      <w:r>
        <w:rPr>
          <w:rFonts w:hint="eastAsia" w:ascii="宋体" w:hAnsi="宋体" w:cs="宋体"/>
          <w:sz w:val="24"/>
          <w:szCs w:val="32"/>
          <w:highlight w:val="none"/>
          <w:u w:val="single"/>
        </w:rPr>
        <w:t xml:space="preserve">       </w:t>
      </w:r>
      <w:r>
        <w:rPr>
          <w:rFonts w:hint="eastAsia" w:ascii="宋体" w:hAnsi="宋体" w:cs="宋体"/>
          <w:sz w:val="24"/>
          <w:szCs w:val="32"/>
          <w:highlight w:val="none"/>
        </w:rPr>
        <w:t xml:space="preserve">年</w:t>
      </w:r>
      <w:r>
        <w:rPr>
          <w:rFonts w:hint="eastAsia" w:ascii="宋体" w:hAnsi="宋体" w:cs="宋体"/>
          <w:sz w:val="24"/>
          <w:szCs w:val="32"/>
          <w:highlight w:val="none"/>
          <w:u w:val="single"/>
        </w:rPr>
        <w:t xml:space="preserve">    </w:t>
      </w:r>
      <w:r>
        <w:rPr>
          <w:rFonts w:hint="eastAsia" w:ascii="宋体" w:hAnsi="宋体" w:cs="宋体"/>
          <w:sz w:val="24"/>
          <w:szCs w:val="32"/>
          <w:highlight w:val="none"/>
        </w:rPr>
        <w:t xml:space="preserve">月</w:t>
      </w:r>
      <w:r>
        <w:rPr>
          <w:rFonts w:hint="eastAsia" w:ascii="宋体" w:hAnsi="宋体" w:cs="宋体"/>
          <w:sz w:val="24"/>
          <w:szCs w:val="32"/>
          <w:highlight w:val="none"/>
          <w:u w:val="single"/>
        </w:rPr>
        <w:t xml:space="preserve">    </w:t>
      </w:r>
      <w:r>
        <w:rPr>
          <w:rFonts w:hint="eastAsia" w:ascii="宋体" w:hAnsi="宋体" w:cs="宋体"/>
          <w:sz w:val="24"/>
          <w:szCs w:val="32"/>
          <w:highlight w:val="none"/>
        </w:rPr>
        <w:t xml:space="preserve">日</w:t>
      </w:r>
      <w:r/>
    </w:p>
    <w:p>
      <w:pPr>
        <w:jc w:val="right"/>
        <w:shd w:val="clear" w:color="auto" w:fill="auto"/>
        <w:rPr>
          <w:rFonts w:hint="eastAsia" w:ascii="宋体" w:hAnsi="宋体" w:cs="宋体"/>
          <w:szCs w:val="21"/>
          <w:highlight w:val="none"/>
        </w:rPr>
      </w:pPr>
      <w:r>
        <w:rPr>
          <w:rFonts w:hint="eastAsia" w:ascii="宋体" w:hAnsi="宋体" w:cs="宋体"/>
          <w:szCs w:val="21"/>
          <w:highlight w:val="none"/>
        </w:rPr>
      </w:r>
      <w:r/>
    </w:p>
    <w:p>
      <w:pPr>
        <w:shd w:val="clear" w:color="auto" w:fill="auto"/>
        <w:rPr>
          <w:rFonts w:hint="eastAsia" w:ascii="宋体" w:hAnsi="宋体" w:cs="宋体"/>
          <w:b/>
          <w:bCs/>
          <w:sz w:val="24"/>
          <w:highlight w:val="none"/>
        </w:rPr>
      </w:pPr>
      <w:r>
        <w:rPr>
          <w:rFonts w:hint="eastAsia" w:ascii="宋体" w:hAnsi="宋体" w:cs="宋体"/>
          <w:b/>
          <w:szCs w:val="21"/>
          <w:highlight w:val="none"/>
        </w:rPr>
        <w:br w:type="page" w:clear="all"/>
      </w:r>
      <w:r>
        <w:rPr>
          <w:rFonts w:hint="eastAsia" w:ascii="宋体" w:hAnsi="宋体" w:cs="宋体"/>
          <w:b/>
          <w:bCs/>
          <w:sz w:val="24"/>
          <w:highlight w:val="none"/>
        </w:rPr>
        <w:t xml:space="preserve">招标人根据采购项目的特殊要求规定的特定条件需要填报的资料：</w:t>
      </w:r>
      <w:r/>
    </w:p>
    <w:p>
      <w:pPr>
        <w:shd w:val="clear" w:color="auto" w:fill="auto"/>
        <w:rPr>
          <w:rFonts w:hint="eastAsia" w:ascii="宋体" w:hAnsi="宋体" w:cs="宋体"/>
          <w:b/>
          <w:highlight w:val="none"/>
        </w:rPr>
      </w:pPr>
      <w:r>
        <w:rPr>
          <w:rFonts w:hint="eastAsia" w:ascii="宋体" w:hAnsi="宋体" w:cs="宋体"/>
          <w:b/>
          <w:highlight w:val="none"/>
        </w:rPr>
      </w:r>
      <w:r/>
    </w:p>
    <w:p>
      <w:pPr>
        <w:jc w:val="center"/>
        <w:shd w:val="clear" w:color="auto" w:fill="auto"/>
        <w:rPr>
          <w:rFonts w:hint="eastAsia" w:ascii="宋体" w:hAnsi="宋体" w:cs="宋体"/>
          <w:sz w:val="32"/>
          <w:szCs w:val="32"/>
          <w:highlight w:val="none"/>
        </w:rPr>
      </w:pPr>
      <w:r>
        <w:rPr>
          <w:rFonts w:hint="eastAsia" w:ascii="宋体" w:hAnsi="宋体" w:cs="宋体"/>
          <w:sz w:val="32"/>
          <w:szCs w:val="32"/>
          <w:highlight w:val="none"/>
        </w:rPr>
        <w:t xml:space="preserve">表1  企业基本情况表</w:t>
      </w:r>
      <w:r/>
    </w:p>
    <w:p>
      <w:pPr>
        <w:jc w:val="center"/>
        <w:shd w:val="clear" w:color="auto" w:fill="auto"/>
        <w:rPr>
          <w:rFonts w:hint="eastAsia" w:ascii="宋体" w:hAnsi="宋体" w:cs="宋体"/>
          <w:sz w:val="24"/>
          <w:highlight w:val="none"/>
        </w:rPr>
      </w:pPr>
      <w:r>
        <w:rPr>
          <w:rFonts w:hint="eastAsia" w:ascii="宋体" w:hAnsi="宋体" w:cs="宋体"/>
          <w:sz w:val="24"/>
          <w:highlight w:val="none"/>
        </w:rPr>
      </w:r>
      <w:r/>
    </w:p>
    <w:tbl>
      <w:tblPr>
        <w:tblStyle w:val="847"/>
        <w:tblW w:w="8840" w:type="dxa"/>
        <w:jc w:val="center"/>
        <w:tblLayout w:type="fixed"/>
        <w:tblCellMar>
          <w:left w:w="108" w:type="dxa"/>
          <w:top w:w="0" w:type="dxa"/>
          <w:right w:w="108" w:type="dxa"/>
          <w:bottom w:w="0" w:type="dxa"/>
        </w:tblCellMar>
        <w:tblLook w:val="04A0" w:firstRow="1" w:lastRow="0" w:firstColumn="1" w:lastColumn="0" w:noHBand="0" w:noVBand="1"/>
      </w:tblPr>
      <w:tblGrid>
        <w:gridCol w:w="1700"/>
        <w:gridCol w:w="1080"/>
        <w:gridCol w:w="1820"/>
        <w:gridCol w:w="1380"/>
        <w:gridCol w:w="2860"/>
      </w:tblGrid>
      <w:tr>
        <w:trPr>
          <w:jc w:val="center"/>
          <w:trHeight w:val="615"/>
        </w:trPr>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投标人名称</w:t>
            </w:r>
            <w:r/>
          </w:p>
        </w:tc>
        <w:tc>
          <w:tcPr>
            <w:gridSpan w:val="4"/>
            <w:tcBorders>
              <w:top w:val="single" w:color="000000" w:sz="4" w:space="0"/>
              <w:left w:val="none" w:color="000000" w:sz="4" w:space="0"/>
              <w:bottom w:val="single" w:color="000000" w:sz="4" w:space="0"/>
              <w:right w:val="single" w:color="000000" w:sz="4" w:space="0"/>
            </w:tcBorders>
            <w:tcW w:w="7140" w:type="dxa"/>
            <w:vAlign w:val="center"/>
            <w:textDirection w:val="lrTb"/>
            <w:noWrap w:val="false"/>
          </w:tcPr>
          <w:p>
            <w:pPr>
              <w:jc w:val="left"/>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615"/>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注册资金</w:t>
            </w:r>
            <w:r/>
          </w:p>
        </w:tc>
        <w:tc>
          <w:tcPr>
            <w:gridSpan w:val="2"/>
            <w:tcBorders>
              <w:top w:val="single" w:color="000000" w:sz="4" w:space="0"/>
              <w:left w:val="none" w:color="000000" w:sz="4" w:space="0"/>
              <w:bottom w:val="single" w:color="000000" w:sz="4" w:space="0"/>
              <w:right w:val="single" w:color="000000" w:sz="4" w:space="0"/>
            </w:tcBorders>
            <w:tcW w:w="2900" w:type="dxa"/>
            <w:vAlign w:val="center"/>
            <w:textDirection w:val="lrTb"/>
            <w:noWrap w:val="false"/>
          </w:tcPr>
          <w:p>
            <w:pPr>
              <w:jc w:val="left"/>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成立时间</w:t>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615"/>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注册地址</w:t>
            </w:r>
            <w:r/>
          </w:p>
        </w:tc>
        <w:tc>
          <w:tcPr>
            <w:gridSpan w:val="2"/>
            <w:tcBorders>
              <w:top w:val="single" w:color="000000" w:sz="4" w:space="0"/>
              <w:left w:val="none" w:color="000000" w:sz="4" w:space="0"/>
              <w:bottom w:val="single" w:color="000000" w:sz="4" w:space="0"/>
              <w:right w:val="single" w:color="000000" w:sz="4" w:space="0"/>
            </w:tcBorders>
            <w:tcW w:w="290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员工总数</w:t>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jc w:val="left"/>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615"/>
        </w:trPr>
        <w:tc>
          <w:tcPr>
            <w:tcBorders>
              <w:top w:val="none" w:color="000000" w:sz="4" w:space="0"/>
              <w:left w:val="single" w:color="000000" w:sz="4" w:space="0"/>
              <w:bottom w:val="single" w:color="000000" w:sz="4" w:space="0"/>
              <w:right w:val="single" w:color="000000" w:sz="4" w:space="0"/>
            </w:tcBorders>
            <w:tcW w:w="1700" w:type="dxa"/>
            <w:vAlign w:val="center"/>
            <w:vMerge w:val="restart"/>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联系方式</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联系人</w:t>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电话</w:t>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615"/>
        </w:trPr>
        <w:tc>
          <w:tcPr>
            <w:tcBorders>
              <w:top w:val="none" w:color="000000" w:sz="4" w:space="0"/>
              <w:left w:val="single" w:color="000000" w:sz="4" w:space="0"/>
              <w:bottom w:val="single" w:color="000000" w:sz="4" w:space="0"/>
              <w:right w:val="single" w:color="000000" w:sz="4" w:space="0"/>
            </w:tcBorders>
            <w:tcW w:w="1700"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传真</w:t>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邮箱</w:t>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615"/>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法定代表人</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姓名</w:t>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技术职称</w:t>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615"/>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技术负责人</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姓名</w:t>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技术职称</w:t>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830"/>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基本账户     开户银行</w:t>
            </w:r>
            <w:r/>
          </w:p>
        </w:tc>
        <w:tc>
          <w:tcPr>
            <w:gridSpan w:val="2"/>
            <w:tcBorders>
              <w:top w:val="single" w:color="000000" w:sz="4" w:space="0"/>
              <w:left w:val="none" w:color="000000" w:sz="4" w:space="0"/>
              <w:bottom w:val="single" w:color="000000" w:sz="4" w:space="0"/>
              <w:right w:val="single" w:color="000000" w:sz="4" w:space="0"/>
            </w:tcBorders>
            <w:tcW w:w="290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基本账户   银行账号</w:t>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jc w:val="left"/>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1834"/>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企业资质等级</w:t>
            </w:r>
            <w:r/>
          </w:p>
        </w:tc>
        <w:tc>
          <w:tcPr>
            <w:gridSpan w:val="4"/>
            <w:tcBorders>
              <w:top w:val="single" w:color="000000" w:sz="4" w:space="0"/>
              <w:left w:val="none" w:color="000000" w:sz="4" w:space="0"/>
              <w:bottom w:val="single" w:color="000000" w:sz="4" w:space="0"/>
              <w:right w:val="single" w:color="000000" w:sz="4" w:space="0"/>
            </w:tcBorders>
            <w:tcW w:w="714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034"/>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经营范围</w:t>
            </w:r>
            <w:r/>
          </w:p>
        </w:tc>
        <w:tc>
          <w:tcPr>
            <w:gridSpan w:val="4"/>
            <w:tcBorders>
              <w:top w:val="single" w:color="000000" w:sz="4" w:space="0"/>
              <w:left w:val="none" w:color="000000" w:sz="4" w:space="0"/>
              <w:bottom w:val="single" w:color="000000" w:sz="4" w:space="0"/>
              <w:right w:val="single" w:color="000000" w:sz="4" w:space="0"/>
            </w:tcBorders>
            <w:tcW w:w="714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522"/>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备注</w:t>
            </w:r>
            <w:r/>
          </w:p>
        </w:tc>
        <w:tc>
          <w:tcPr>
            <w:gridSpan w:val="4"/>
            <w:tcBorders>
              <w:top w:val="single" w:color="000000" w:sz="4" w:space="0"/>
              <w:left w:val="none" w:color="000000" w:sz="4" w:space="0"/>
              <w:bottom w:val="single" w:color="000000" w:sz="4" w:space="0"/>
              <w:right w:val="single" w:color="000000" w:sz="4" w:space="0"/>
            </w:tcBorders>
            <w:tcW w:w="714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　</w:t>
            </w:r>
            <w:r/>
          </w:p>
        </w:tc>
      </w:tr>
    </w:tbl>
    <w:p>
      <w:pPr>
        <w:shd w:val="clear" w:color="auto" w:fill="auto"/>
        <w:rPr>
          <w:rFonts w:hint="eastAsia" w:ascii="宋体" w:hAnsi="宋体" w:cs="宋体"/>
          <w:highlight w:val="none"/>
        </w:rPr>
      </w:pPr>
      <w:r>
        <w:rPr>
          <w:rFonts w:hint="eastAsia" w:ascii="宋体" w:hAnsi="宋体" w:cs="宋体"/>
          <w:highlight w:val="none"/>
        </w:rPr>
      </w:r>
      <w:r/>
    </w:p>
    <w:p>
      <w:pPr>
        <w:ind w:firstLine="422"/>
        <w:shd w:val="clear" w:color="auto" w:fill="auto"/>
        <w:rPr>
          <w:rFonts w:hint="eastAsia" w:ascii="宋体" w:hAnsi="宋体" w:cs="宋体"/>
          <w:b/>
          <w:highlight w:val="none"/>
        </w:rPr>
      </w:pPr>
      <w:r>
        <w:rPr>
          <w:rFonts w:hint="eastAsia" w:ascii="宋体" w:hAnsi="宋体" w:cs="宋体"/>
          <w:b/>
          <w:highlight w:val="none"/>
        </w:rPr>
        <w:t xml:space="preserve">注：本表后附加盖企业公章的营业执照、资质证书、安全生产许可证等复印件，原件备查。</w:t>
      </w:r>
      <w:r/>
    </w:p>
    <w:p>
      <w:pPr>
        <w:shd w:val="clear" w:color="auto" w:fill="auto"/>
        <w:rPr>
          <w:rFonts w:hint="eastAsia" w:ascii="宋体" w:hAnsi="宋体" w:cs="宋体"/>
          <w:highlight w:val="none"/>
        </w:rPr>
      </w:pPr>
      <w:r>
        <w:rPr>
          <w:rFonts w:hint="eastAsia" w:ascii="宋体" w:hAnsi="宋体" w:cs="宋体"/>
          <w:highlight w:val="none"/>
        </w:rPr>
      </w:r>
      <w:r/>
    </w:p>
    <w:p>
      <w:pPr>
        <w:shd w:val="clear" w:color="auto" w:fill="auto"/>
        <w:rPr>
          <w:rFonts w:hint="eastAsia" w:ascii="宋体" w:hAnsi="宋体" w:cs="宋体"/>
          <w:highlight w:val="none"/>
        </w:rPr>
      </w:pPr>
      <w:r>
        <w:rPr>
          <w:rFonts w:hint="eastAsia" w:ascii="宋体" w:hAnsi="宋体" w:cs="宋体"/>
          <w:highlight w:val="none"/>
        </w:rPr>
      </w:r>
      <w:r/>
    </w:p>
    <w:p>
      <w:pPr>
        <w:shd w:val="clear" w:color="auto" w:fill="auto"/>
        <w:rPr>
          <w:rFonts w:hint="eastAsia" w:ascii="宋体" w:hAnsi="宋体" w:cs="宋体"/>
          <w:highlight w:val="none"/>
        </w:rPr>
      </w:pPr>
      <w:r>
        <w:rPr>
          <w:rFonts w:hint="eastAsia" w:ascii="宋体" w:hAnsi="宋体" w:cs="宋体"/>
          <w:highlight w:val="none"/>
        </w:rPr>
      </w:r>
      <w:r/>
    </w:p>
    <w:p>
      <w:pPr>
        <w:shd w:val="clear" w:color="auto" w:fill="auto"/>
        <w:rPr>
          <w:rFonts w:hint="eastAsia" w:ascii="宋体" w:hAnsi="宋体" w:cs="宋体"/>
          <w:highlight w:val="none"/>
        </w:rPr>
      </w:pPr>
      <w:r>
        <w:rPr>
          <w:rFonts w:hint="eastAsia" w:ascii="宋体" w:hAnsi="宋体" w:cs="宋体"/>
          <w:highlight w:val="none"/>
        </w:rPr>
      </w:r>
      <w:r/>
    </w:p>
    <w:p>
      <w:pPr>
        <w:jc w:val="center"/>
        <w:shd w:val="clear" w:color="auto" w:fill="auto"/>
        <w:rPr>
          <w:rFonts w:hint="eastAsia" w:ascii="宋体" w:hAnsi="宋体" w:cs="宋体"/>
          <w:sz w:val="32"/>
          <w:szCs w:val="32"/>
          <w:highlight w:val="none"/>
        </w:rPr>
      </w:pPr>
      <w:r>
        <w:rPr>
          <w:rFonts w:hint="eastAsia" w:ascii="宋体" w:hAnsi="宋体" w:cs="宋体"/>
          <w:sz w:val="32"/>
          <w:szCs w:val="32"/>
          <w:highlight w:val="none"/>
        </w:rPr>
        <w:t xml:space="preserve">表2  拟参与本项目人员情况一览表</w:t>
      </w:r>
      <w:r/>
    </w:p>
    <w:tbl>
      <w:tblPr>
        <w:tblStyle w:val="847"/>
        <w:tblW w:w="98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1344"/>
        <w:gridCol w:w="1089"/>
        <w:gridCol w:w="1089"/>
        <w:gridCol w:w="1089"/>
        <w:gridCol w:w="1089"/>
        <w:gridCol w:w="1090"/>
        <w:gridCol w:w="1090"/>
        <w:gridCol w:w="1090"/>
      </w:tblGrid>
      <w:tr>
        <w:trPr>
          <w:jc w:val="center"/>
          <w:trHeight w:val="428"/>
        </w:trPr>
        <w:tc>
          <w:tcPr>
            <w:tcW w:w="834" w:type="dxa"/>
            <w:vAlign w:val="center"/>
            <w:vMerge w:val="restart"/>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序号</w:t>
            </w:r>
            <w:r/>
          </w:p>
        </w:tc>
        <w:tc>
          <w:tcPr>
            <w:tcW w:w="1344" w:type="dxa"/>
            <w:vAlign w:val="center"/>
            <w:vMerge w:val="restart"/>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本项目任职</w:t>
            </w:r>
            <w:r/>
          </w:p>
        </w:tc>
        <w:tc>
          <w:tcPr>
            <w:tcW w:w="1089" w:type="dxa"/>
            <w:vAlign w:val="center"/>
            <w:vMerge w:val="restart"/>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姓名</w:t>
            </w:r>
            <w:r/>
          </w:p>
        </w:tc>
        <w:tc>
          <w:tcPr>
            <w:tcW w:w="1089" w:type="dxa"/>
            <w:vAlign w:val="center"/>
            <w:vMerge w:val="restart"/>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职称</w:t>
            </w:r>
            <w:r/>
          </w:p>
        </w:tc>
        <w:tc>
          <w:tcPr>
            <w:tcW w:w="1089" w:type="dxa"/>
            <w:vAlign w:val="center"/>
            <w:vMerge w:val="restart"/>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t xml:space="preserve">专业</w:t>
            </w:r>
            <w:r/>
          </w:p>
        </w:tc>
        <w:tc>
          <w:tcPr>
            <w:gridSpan w:val="3"/>
            <w:tcW w:w="326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t xml:space="preserve">执业或职业资格证明</w:t>
            </w:r>
            <w:r/>
          </w:p>
        </w:tc>
        <w:tc>
          <w:tcPr>
            <w:tcW w:w="1090" w:type="dxa"/>
            <w:vAlign w:val="center"/>
            <w:vMerge w:val="restart"/>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t xml:space="preserve">备注</w:t>
            </w:r>
            <w:r/>
          </w:p>
        </w:tc>
      </w:tr>
      <w:tr>
        <w:trPr>
          <w:jc w:val="center"/>
          <w:trHeight w:val="427"/>
        </w:trPr>
        <w:tc>
          <w:tcPr>
            <w:tcW w:w="834"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344"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089"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089"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089"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t xml:space="preserve">证书名称</w:t>
            </w:r>
            <w:r/>
          </w:p>
        </w:tc>
        <w:tc>
          <w:tcPr>
            <w:tcW w:w="109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t xml:space="preserve">级别</w:t>
            </w:r>
            <w:r/>
          </w:p>
        </w:tc>
        <w:tc>
          <w:tcPr>
            <w:tcW w:w="109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t xml:space="preserve">证号</w:t>
            </w:r>
            <w:r/>
          </w:p>
        </w:tc>
        <w:tc>
          <w:tcPr>
            <w:tcW w:w="1090" w:type="dxa"/>
            <w:vAlign w:val="center"/>
            <w:vMerge w:val="continue"/>
            <w:textDirection w:val="lrTb"/>
            <w:noWrap w:val="false"/>
          </w:tcPr>
          <w:p>
            <w:pPr>
              <w:jc w:val="center"/>
              <w:widowControl/>
              <w:rPr>
                <w:rFonts w:hint="eastAsia" w:ascii="宋体" w:hAnsi="宋体" w:cs="宋体"/>
                <w:szCs w:val="21"/>
                <w:lang w:val="zh-CN"/>
              </w:rPr>
            </w:pPr>
            <w:r>
              <w:rPr>
                <w:rFonts w:hint="eastAsia" w:ascii="宋体" w:hAnsi="宋体" w:cs="宋体"/>
                <w:szCs w:val="21"/>
                <w:lang w:val="zh-CN"/>
              </w:rPr>
            </w:r>
            <w:r/>
          </w:p>
        </w:tc>
      </w:tr>
      <w:tr>
        <w:trPr>
          <w:jc w:val="center"/>
          <w:trHeight w:val="584"/>
        </w:trPr>
        <w:tc>
          <w:tcPr>
            <w:tcW w:w="834"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t xml:space="preserve">1</w:t>
            </w:r>
            <w:r/>
          </w:p>
        </w:tc>
        <w:tc>
          <w:tcPr>
            <w:tcW w:w="1344"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t xml:space="preserve">项目经理</w:t>
            </w: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09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09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09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584"/>
        </w:trPr>
        <w:tc>
          <w:tcPr>
            <w:tcW w:w="834"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t xml:space="preserve">2</w:t>
            </w:r>
            <w:r/>
          </w:p>
        </w:tc>
        <w:tc>
          <w:tcPr>
            <w:tcW w:w="1344"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t xml:space="preserve">专职安全员</w:t>
            </w: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09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09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09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584"/>
        </w:trPr>
        <w:tc>
          <w:tcPr>
            <w:tcW w:w="834"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t xml:space="preserve">3</w:t>
            </w:r>
            <w:r/>
          </w:p>
        </w:tc>
        <w:tc>
          <w:tcPr>
            <w:tcW w:w="1344"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t xml:space="preserve">···</w:t>
            </w: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09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09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09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584"/>
        </w:trPr>
        <w:tc>
          <w:tcPr>
            <w:tcW w:w="834"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t xml:space="preserve">···</w:t>
            </w:r>
            <w:r/>
          </w:p>
        </w:tc>
        <w:tc>
          <w:tcPr>
            <w:tcW w:w="1344"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t xml:space="preserve">···</w:t>
            </w: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09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09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09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584"/>
        </w:trPr>
        <w:tc>
          <w:tcPr>
            <w:tcW w:w="834"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t xml:space="preserve">···</w:t>
            </w:r>
            <w:r/>
          </w:p>
        </w:tc>
        <w:tc>
          <w:tcPr>
            <w:tcW w:w="1344"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lang w:val="zh-CN"/>
              </w:rPr>
              <w:t xml:space="preserve">···</w:t>
            </w: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09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09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09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584"/>
        </w:trPr>
        <w:tc>
          <w:tcPr>
            <w:tcW w:w="834"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344"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09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09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09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584"/>
        </w:trPr>
        <w:tc>
          <w:tcPr>
            <w:tcW w:w="834"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344"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09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09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09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584"/>
        </w:trPr>
        <w:tc>
          <w:tcPr>
            <w:tcW w:w="834"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344"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09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09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09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584"/>
        </w:trPr>
        <w:tc>
          <w:tcPr>
            <w:tcW w:w="834"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344"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09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09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09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584"/>
        </w:trPr>
        <w:tc>
          <w:tcPr>
            <w:tcW w:w="834"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344"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09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09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c>
          <w:tcPr>
            <w:tcW w:w="1090" w:type="dxa"/>
            <w:vAlign w:val="center"/>
            <w:textDirection w:val="lrTb"/>
            <w:noWrap w:val="false"/>
          </w:tcPr>
          <w:p>
            <w:pPr>
              <w:jc w:val="center"/>
              <w:shd w:val="clear" w:color="auto" w:fill="auto"/>
              <w:widowControl/>
              <w:rPr>
                <w:rFonts w:hint="eastAsia" w:ascii="宋体" w:hAnsi="宋体" w:cs="宋体"/>
                <w:szCs w:val="21"/>
                <w:highlight w:val="none"/>
              </w:rPr>
            </w:pPr>
            <w:r>
              <w:rPr>
                <w:rFonts w:hint="eastAsia" w:ascii="宋体" w:hAnsi="宋体" w:cs="宋体"/>
                <w:szCs w:val="21"/>
                <w:highlight w:val="none"/>
              </w:rPr>
            </w:r>
            <w:r/>
          </w:p>
        </w:tc>
      </w:tr>
    </w:tbl>
    <w:p>
      <w:pPr>
        <w:ind w:firstLine="420"/>
        <w:jc w:val="left"/>
        <w:shd w:val="clear" w:color="auto" w:fill="auto"/>
        <w:widowControl/>
        <w:rPr>
          <w:rFonts w:hint="eastAsia" w:ascii="宋体" w:hAnsi="宋体" w:cs="宋体"/>
          <w:szCs w:val="21"/>
          <w:highlight w:val="none"/>
        </w:rPr>
      </w:pPr>
      <w:r>
        <w:rPr>
          <w:rFonts w:hint="eastAsia" w:ascii="宋体" w:hAnsi="宋体" w:cs="宋体"/>
          <w:szCs w:val="21"/>
          <w:highlight w:val="none"/>
        </w:rPr>
      </w:r>
      <w:r/>
    </w:p>
    <w:p>
      <w:pPr>
        <w:ind w:firstLine="420"/>
        <w:jc w:val="left"/>
        <w:shd w:val="clear" w:color="auto" w:fill="auto"/>
        <w:widowControl/>
        <w:rPr>
          <w:rFonts w:hint="eastAsia" w:ascii="宋体" w:hAnsi="宋体" w:cs="宋体"/>
          <w:sz w:val="24"/>
          <w:highlight w:val="none"/>
        </w:rPr>
      </w:pPr>
      <w:r>
        <w:rPr>
          <w:rFonts w:hint="eastAsia" w:ascii="宋体" w:hAnsi="宋体" w:cs="宋体"/>
          <w:sz w:val="24"/>
          <w:highlight w:val="none"/>
          <w:lang w:val="zh-CN"/>
        </w:rPr>
        <w:t xml:space="preserve">说明：</w:t>
      </w:r>
      <w:r/>
    </w:p>
    <w:p>
      <w:pPr>
        <w:ind w:firstLine="420"/>
        <w:shd w:val="clear" w:color="auto" w:fill="auto"/>
        <w:rPr>
          <w:rFonts w:hint="eastAsia" w:ascii="宋体" w:hAnsi="宋体" w:cs="宋体"/>
          <w:b/>
          <w:sz w:val="24"/>
          <w:highlight w:val="none"/>
        </w:rPr>
      </w:pPr>
      <w:r>
        <w:rPr>
          <w:rFonts w:hint="eastAsia" w:ascii="宋体" w:hAnsi="宋体" w:cs="宋体"/>
          <w:sz w:val="24"/>
          <w:highlight w:val="none"/>
          <w:lang w:val="zh-CN"/>
        </w:rPr>
        <w:t xml:space="preserve">1、如果行、列数不够，请自行增加。</w:t>
      </w:r>
      <w:r/>
    </w:p>
    <w:p>
      <w:pPr>
        <w:ind w:firstLine="422"/>
        <w:shd w:val="clear" w:color="auto" w:fill="auto"/>
        <w:rPr>
          <w:rFonts w:hint="eastAsia" w:ascii="宋体" w:hAnsi="宋体" w:cs="宋体"/>
          <w:b/>
          <w:sz w:val="24"/>
          <w:highlight w:val="none"/>
        </w:rPr>
      </w:pPr>
      <w:r>
        <w:rPr>
          <w:rFonts w:hint="eastAsia" w:ascii="宋体" w:hAnsi="宋体" w:cs="宋体"/>
          <w:b/>
          <w:sz w:val="24"/>
          <w:highlight w:val="none"/>
          <w:lang w:val="zh-CN"/>
        </w:rPr>
        <w:t xml:space="preserve">2、请同时提供以上人员的相关专业、职称或执业资格、</w:t>
      </w:r>
      <w:r>
        <w:rPr>
          <w:rFonts w:hint="eastAsia" w:ascii="宋体" w:hAnsi="宋体" w:cs="宋体"/>
          <w:b/>
          <w:sz w:val="24"/>
          <w:highlight w:val="none"/>
        </w:rPr>
        <w:t xml:space="preserve">社保缴费证明</w:t>
      </w:r>
      <w:r>
        <w:rPr>
          <w:rFonts w:hint="eastAsia" w:ascii="宋体" w:hAnsi="宋体" w:cs="宋体"/>
          <w:b/>
          <w:sz w:val="24"/>
          <w:highlight w:val="none"/>
          <w:lang w:val="zh-CN"/>
        </w:rPr>
        <w:t xml:space="preserve">等证明材料。</w:t>
      </w:r>
      <w:r/>
    </w:p>
    <w:p>
      <w:pPr>
        <w:ind w:firstLine="422"/>
        <w:shd w:val="clear" w:color="auto" w:fill="auto"/>
        <w:rPr>
          <w:rFonts w:hint="eastAsia" w:ascii="宋体" w:hAnsi="宋体" w:cs="宋体"/>
          <w:b/>
          <w:szCs w:val="21"/>
          <w:highlight w:val="none"/>
        </w:rPr>
      </w:pPr>
      <w:r>
        <w:rPr>
          <w:rFonts w:hint="eastAsia" w:ascii="宋体" w:hAnsi="宋体" w:cs="宋体"/>
          <w:b/>
          <w:szCs w:val="21"/>
          <w:highlight w:val="none"/>
        </w:rPr>
      </w:r>
      <w:r/>
    </w:p>
    <w:p>
      <w:pPr>
        <w:ind w:firstLine="422"/>
        <w:jc w:val="center"/>
        <w:shd w:val="clear" w:color="auto" w:fill="auto"/>
        <w:rPr>
          <w:rFonts w:hint="eastAsia" w:ascii="宋体" w:hAnsi="宋体" w:cs="宋体"/>
          <w:sz w:val="32"/>
          <w:szCs w:val="32"/>
          <w:highlight w:val="none"/>
        </w:rPr>
      </w:pPr>
      <w:r>
        <w:rPr>
          <w:rFonts w:hint="eastAsia" w:ascii="宋体" w:hAnsi="宋体" w:cs="宋体"/>
          <w:b/>
          <w:szCs w:val="21"/>
          <w:highlight w:val="none"/>
          <w:lang w:val="zh-CN"/>
        </w:rPr>
        <w:br w:type="page" w:clear="all"/>
      </w:r>
      <w:r>
        <w:rPr>
          <w:rFonts w:hint="eastAsia" w:ascii="宋体" w:hAnsi="宋体" w:cs="宋体"/>
          <w:sz w:val="32"/>
          <w:szCs w:val="32"/>
          <w:highlight w:val="none"/>
        </w:rPr>
        <w:t xml:space="preserve">表3  主要人员经历表</w:t>
      </w:r>
      <w:r/>
    </w:p>
    <w:tbl>
      <w:tblPr>
        <w:tblStyle w:val="847"/>
        <w:tblW w:w="9750" w:type="dxa"/>
        <w:jc w:val="center"/>
        <w:tblLayout w:type="fixed"/>
        <w:tblCellMar>
          <w:left w:w="0" w:type="dxa"/>
          <w:top w:w="0" w:type="dxa"/>
          <w:right w:w="0" w:type="dxa"/>
          <w:bottom w:w="0" w:type="dxa"/>
        </w:tblCellMar>
        <w:tblLook w:val="04A0" w:firstRow="1" w:lastRow="0" w:firstColumn="1" w:lastColumn="0" w:noHBand="0" w:noVBand="1"/>
      </w:tblPr>
      <w:tblGrid>
        <w:gridCol w:w="1408"/>
        <w:gridCol w:w="1652"/>
        <w:gridCol w:w="1184"/>
        <w:gridCol w:w="1505"/>
        <w:gridCol w:w="35"/>
        <w:gridCol w:w="2102"/>
        <w:gridCol w:w="76"/>
        <w:gridCol w:w="1788"/>
      </w:tblGrid>
      <w:tr>
        <w:trPr>
          <w:jc w:val="center"/>
          <w:trHeight w:val="775"/>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107"/>
              <w:ind w:right="13"/>
              <w:jc w:val="center"/>
              <w:shd w:val="clear" w:color="auto" w:fill="auto"/>
              <w:tabs>
                <w:tab w:val="left" w:pos="631" w:leader="none"/>
              </w:tabs>
              <w:rPr>
                <w:rFonts w:hint="eastAsia"/>
                <w:sz w:val="21"/>
                <w:szCs w:val="21"/>
                <w:highlight w:val="none"/>
              </w:rPr>
            </w:pPr>
            <w:r>
              <w:rPr>
                <w:rFonts w:hint="eastAsia"/>
                <w:sz w:val="21"/>
                <w:szCs w:val="21"/>
                <w:highlight w:val="none"/>
              </w:rPr>
              <w:t xml:space="preserve">姓    名</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1107"/>
              <w:ind w:left="12"/>
              <w:jc w:val="center"/>
              <w:shd w:val="clear" w:color="auto" w:fill="auto"/>
              <w:tabs>
                <w:tab w:val="left" w:pos="643" w:leader="none"/>
              </w:tabs>
              <w:rPr>
                <w:rFonts w:hint="eastAsia"/>
                <w:sz w:val="21"/>
                <w:szCs w:val="21"/>
                <w:highlight w:val="none"/>
              </w:rPr>
            </w:pPr>
            <w:r>
              <w:rPr>
                <w:rFonts w:hint="eastAsia"/>
                <w:sz w:val="21"/>
                <w:szCs w:val="21"/>
                <w:highlight w:val="none"/>
              </w:rPr>
              <w:t xml:space="preserve">年    龄</w:t>
            </w:r>
            <w:r/>
          </w:p>
        </w:tc>
        <w:tc>
          <w:tcPr>
            <w:gridSpan w:val="2"/>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p>
        </w:tc>
        <w:tc>
          <w:tcPr>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pStyle w:val="1107"/>
              <w:jc w:val="center"/>
              <w:shd w:val="clear" w:color="auto" w:fill="auto"/>
              <w:rPr>
                <w:rFonts w:hint="eastAsia"/>
                <w:sz w:val="21"/>
                <w:szCs w:val="21"/>
                <w:highlight w:val="none"/>
              </w:rPr>
            </w:pPr>
            <w:r>
              <w:rPr>
                <w:rFonts w:hint="eastAsia"/>
                <w:sz w:val="21"/>
                <w:szCs w:val="21"/>
                <w:highlight w:val="none"/>
              </w:rPr>
              <w:t xml:space="preserve">拟在本项目任职</w:t>
            </w:r>
            <w:r/>
          </w:p>
        </w:tc>
        <w:tc>
          <w:tcPr>
            <w:gridSpan w:val="2"/>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p>
        </w:tc>
      </w:tr>
      <w:tr>
        <w:trPr>
          <w:jc w:val="center"/>
          <w:trHeight w:val="98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107"/>
              <w:ind w:right="15"/>
              <w:jc w:val="center"/>
              <w:spacing w:before="160"/>
              <w:shd w:val="clear" w:color="auto" w:fill="auto"/>
              <w:rPr>
                <w:rFonts w:hint="eastAsia"/>
                <w:sz w:val="21"/>
                <w:szCs w:val="21"/>
                <w:highlight w:val="none"/>
              </w:rPr>
            </w:pPr>
            <w:r>
              <w:rPr>
                <w:rFonts w:hint="eastAsia"/>
                <w:sz w:val="21"/>
                <w:szCs w:val="21"/>
                <w:highlight w:val="none"/>
              </w:rPr>
              <w:t xml:space="preserve">技术职称</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1107"/>
              <w:ind w:left="12"/>
              <w:jc w:val="center"/>
              <w:spacing w:before="160"/>
              <w:shd w:val="clear" w:color="auto" w:fill="auto"/>
              <w:tabs>
                <w:tab w:val="left" w:pos="643" w:leader="none"/>
              </w:tabs>
              <w:rPr>
                <w:rFonts w:hint="eastAsia"/>
                <w:sz w:val="21"/>
                <w:szCs w:val="21"/>
                <w:highlight w:val="none"/>
              </w:rPr>
            </w:pPr>
            <w:r>
              <w:rPr>
                <w:rFonts w:hint="eastAsia"/>
                <w:sz w:val="21"/>
                <w:szCs w:val="21"/>
                <w:highlight w:val="none"/>
              </w:rPr>
              <w:t xml:space="preserve">学    历</w:t>
            </w:r>
            <w:r/>
          </w:p>
        </w:tc>
        <w:tc>
          <w:tcPr>
            <w:gridSpan w:val="2"/>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p>
        </w:tc>
        <w:tc>
          <w:tcPr>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pStyle w:val="1107"/>
              <w:jc w:val="center"/>
              <w:shd w:val="clear" w:color="auto" w:fill="auto"/>
              <w:rPr>
                <w:rFonts w:hint="eastAsia"/>
                <w:sz w:val="21"/>
                <w:szCs w:val="21"/>
                <w:highlight w:val="none"/>
              </w:rPr>
            </w:pPr>
            <w:r>
              <w:rPr>
                <w:rFonts w:hint="eastAsia"/>
                <w:sz w:val="21"/>
                <w:szCs w:val="21"/>
                <w:highlight w:val="none"/>
              </w:rPr>
              <w:t xml:space="preserve">执业或职业资格</w:t>
            </w:r>
            <w:r/>
          </w:p>
          <w:p>
            <w:pPr>
              <w:pStyle w:val="1107"/>
              <w:ind w:left="12"/>
              <w:jc w:val="center"/>
              <w:spacing w:before="160"/>
              <w:shd w:val="clear" w:color="auto" w:fill="auto"/>
              <w:tabs>
                <w:tab w:val="left" w:pos="643" w:leader="none"/>
              </w:tabs>
              <w:rPr>
                <w:rFonts w:hint="eastAsia"/>
                <w:sz w:val="21"/>
                <w:szCs w:val="21"/>
                <w:highlight w:val="none"/>
              </w:rPr>
            </w:pPr>
            <w:r>
              <w:rPr>
                <w:rFonts w:hint="eastAsia"/>
                <w:sz w:val="21"/>
                <w:szCs w:val="21"/>
                <w:highlight w:val="none"/>
              </w:rPr>
              <w:t xml:space="preserve">证书名称</w:t>
            </w:r>
            <w:r/>
          </w:p>
        </w:tc>
        <w:tc>
          <w:tcPr>
            <w:gridSpan w:val="2"/>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p>
        </w:tc>
      </w:tr>
      <w:tr>
        <w:trPr>
          <w:jc w:val="center"/>
          <w:trHeight w:val="520"/>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107"/>
              <w:ind w:right="15"/>
              <w:jc w:val="center"/>
              <w:shd w:val="clear" w:color="auto" w:fill="auto"/>
              <w:rPr>
                <w:rFonts w:hint="eastAsia"/>
                <w:sz w:val="21"/>
                <w:szCs w:val="21"/>
                <w:highlight w:val="none"/>
              </w:rPr>
            </w:pPr>
            <w:r>
              <w:rPr>
                <w:rFonts w:hint="eastAsia"/>
                <w:sz w:val="21"/>
                <w:szCs w:val="21"/>
                <w:highlight w:val="none"/>
              </w:rPr>
              <w:t xml:space="preserve">工作年限</w:t>
            </w:r>
            <w:r/>
          </w:p>
        </w:tc>
        <w:tc>
          <w:tcPr>
            <w:gridSpan w:val="4"/>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p>
        </w:tc>
        <w:tc>
          <w:tcPr>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pStyle w:val="1107"/>
              <w:jc w:val="center"/>
              <w:shd w:val="clear" w:color="auto" w:fill="auto"/>
              <w:rPr>
                <w:rFonts w:hint="eastAsia"/>
                <w:sz w:val="21"/>
                <w:szCs w:val="21"/>
                <w:highlight w:val="none"/>
              </w:rPr>
            </w:pPr>
            <w:r>
              <w:rPr>
                <w:rFonts w:hint="eastAsia"/>
                <w:sz w:val="21"/>
                <w:szCs w:val="21"/>
                <w:highlight w:val="none"/>
              </w:rPr>
              <w:t xml:space="preserve">从事类似工作年限</w:t>
            </w:r>
            <w:r/>
          </w:p>
        </w:tc>
        <w:tc>
          <w:tcPr>
            <w:gridSpan w:val="2"/>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p>
        </w:tc>
      </w:tr>
      <w:tr>
        <w:trPr>
          <w:jc w:val="center"/>
          <w:trHeight w:val="520"/>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107"/>
              <w:ind w:right="13"/>
              <w:jc w:val="center"/>
              <w:shd w:val="clear" w:color="auto" w:fill="auto"/>
              <w:rPr>
                <w:rFonts w:hint="eastAsia"/>
                <w:sz w:val="21"/>
                <w:szCs w:val="21"/>
                <w:highlight w:val="none"/>
              </w:rPr>
            </w:pPr>
            <w:r>
              <w:rPr>
                <w:rFonts w:hint="eastAsia"/>
                <w:sz w:val="21"/>
                <w:szCs w:val="21"/>
                <w:highlight w:val="none"/>
              </w:rPr>
              <w:t xml:space="preserve">毕业学校</w:t>
            </w:r>
            <w:r/>
          </w:p>
        </w:tc>
        <w:tc>
          <w:tcPr>
            <w:gridSpan w:val="7"/>
            <w:tcBorders>
              <w:top w:val="single" w:color="000000" w:sz="4" w:space="0"/>
              <w:left w:val="single" w:color="000000" w:sz="4" w:space="0"/>
              <w:bottom w:val="single" w:color="000000" w:sz="4" w:space="0"/>
              <w:right w:val="single" w:color="000000" w:sz="4" w:space="0"/>
            </w:tcBorders>
            <w:tcW w:w="8342" w:type="dxa"/>
            <w:textDirection w:val="lrTb"/>
            <w:noWrap w:val="false"/>
          </w:tcPr>
          <w:p>
            <w:pPr>
              <w:pStyle w:val="1107"/>
              <w:ind w:left="5"/>
              <w:spacing w:before="186"/>
              <w:shd w:val="clear" w:color="auto" w:fill="auto"/>
              <w:tabs>
                <w:tab w:val="left" w:pos="1365" w:leader="none"/>
                <w:tab w:val="left" w:pos="3892" w:leader="none"/>
                <w:tab w:val="left" w:pos="5466" w:leader="none"/>
                <w:tab w:val="left" w:pos="7145" w:leader="none"/>
              </w:tabs>
              <w:rPr>
                <w:rFonts w:hint="eastAsia"/>
                <w:sz w:val="21"/>
                <w:szCs w:val="21"/>
                <w:highlight w:val="none"/>
              </w:rPr>
            </w:pPr>
            <w:r>
              <w:rPr>
                <w:rFonts w:hint="eastAsia"/>
                <w:sz w:val="21"/>
                <w:szCs w:val="21"/>
                <w:highlight w:val="none"/>
                <w:u w:val="single"/>
              </w:rPr>
              <w:t xml:space="preserve"> </w:t>
            </w:r>
            <w:r>
              <w:rPr>
                <w:rFonts w:hint="eastAsia"/>
                <w:sz w:val="21"/>
                <w:szCs w:val="21"/>
                <w:highlight w:val="none"/>
                <w:u w:val="single"/>
              </w:rPr>
              <w:tab/>
            </w:r>
            <w:r>
              <w:rPr>
                <w:rFonts w:hint="eastAsia"/>
                <w:sz w:val="21"/>
                <w:szCs w:val="21"/>
                <w:highlight w:val="none"/>
              </w:rPr>
              <w:t xml:space="preserve">年毕</w:t>
            </w:r>
            <w:r>
              <w:rPr>
                <w:rFonts w:hint="eastAsia"/>
                <w:spacing w:val="-3"/>
                <w:sz w:val="21"/>
                <w:szCs w:val="21"/>
                <w:highlight w:val="none"/>
              </w:rPr>
              <w:t xml:space="preserve">业</w:t>
            </w:r>
            <w:r>
              <w:rPr>
                <w:rFonts w:hint="eastAsia"/>
                <w:sz w:val="21"/>
                <w:szCs w:val="21"/>
                <w:highlight w:val="none"/>
              </w:rPr>
              <w:t xml:space="preserve">于</w:t>
            </w:r>
            <w:r>
              <w:rPr>
                <w:rFonts w:hint="eastAsia"/>
                <w:sz w:val="21"/>
                <w:szCs w:val="21"/>
                <w:highlight w:val="none"/>
                <w:u w:val="single"/>
              </w:rPr>
              <w:t xml:space="preserve"> </w:t>
            </w:r>
            <w:r>
              <w:rPr>
                <w:rFonts w:hint="eastAsia"/>
                <w:sz w:val="21"/>
                <w:szCs w:val="21"/>
                <w:highlight w:val="none"/>
                <w:u w:val="single"/>
              </w:rPr>
              <w:tab/>
            </w:r>
            <w:r>
              <w:rPr>
                <w:rFonts w:hint="eastAsia"/>
                <w:spacing w:val="-3"/>
                <w:sz w:val="21"/>
                <w:szCs w:val="21"/>
                <w:highlight w:val="none"/>
              </w:rPr>
              <w:t xml:space="preserve">学</w:t>
            </w:r>
            <w:r>
              <w:rPr>
                <w:rFonts w:hint="eastAsia"/>
                <w:sz w:val="21"/>
                <w:szCs w:val="21"/>
                <w:highlight w:val="none"/>
              </w:rPr>
              <w:t xml:space="preserve">校</w:t>
            </w:r>
            <w:r>
              <w:rPr>
                <w:rFonts w:hint="eastAsia"/>
                <w:sz w:val="21"/>
                <w:szCs w:val="21"/>
                <w:highlight w:val="none"/>
                <w:u w:val="single"/>
              </w:rPr>
              <w:t xml:space="preserve"> </w:t>
            </w:r>
            <w:r>
              <w:rPr>
                <w:rFonts w:hint="eastAsia"/>
                <w:sz w:val="21"/>
                <w:szCs w:val="21"/>
                <w:highlight w:val="none"/>
                <w:u w:val="single"/>
              </w:rPr>
              <w:tab/>
            </w:r>
            <w:r>
              <w:rPr>
                <w:rFonts w:hint="eastAsia"/>
                <w:spacing w:val="-3"/>
                <w:sz w:val="21"/>
                <w:szCs w:val="21"/>
                <w:highlight w:val="none"/>
              </w:rPr>
              <w:t xml:space="preserve">专</w:t>
            </w:r>
            <w:r>
              <w:rPr>
                <w:rFonts w:hint="eastAsia"/>
                <w:sz w:val="21"/>
                <w:szCs w:val="21"/>
                <w:highlight w:val="none"/>
              </w:rPr>
              <w:t xml:space="preserve">业</w:t>
            </w:r>
            <w:r/>
          </w:p>
        </w:tc>
      </w:tr>
      <w:tr>
        <w:trPr>
          <w:jc w:val="center"/>
          <w:trHeight w:val="517"/>
        </w:trPr>
        <w:tc>
          <w:tcPr>
            <w:gridSpan w:val="8"/>
            <w:tcBorders>
              <w:top w:val="single" w:color="000000" w:sz="4" w:space="0"/>
              <w:left w:val="single" w:color="000000" w:sz="4" w:space="0"/>
              <w:bottom w:val="single" w:color="000000" w:sz="4" w:space="0"/>
              <w:right w:val="single" w:color="000000" w:sz="4" w:space="0"/>
            </w:tcBorders>
            <w:tcW w:w="9750" w:type="dxa"/>
            <w:vAlign w:val="center"/>
            <w:textDirection w:val="lrTb"/>
            <w:noWrap w:val="false"/>
          </w:tcPr>
          <w:p>
            <w:pPr>
              <w:pStyle w:val="1107"/>
              <w:ind w:left="10"/>
              <w:jc w:val="center"/>
              <w:shd w:val="clear" w:color="auto" w:fill="auto"/>
              <w:tabs>
                <w:tab w:val="left" w:pos="1167" w:leader="none"/>
              </w:tabs>
              <w:rPr>
                <w:rFonts w:hint="eastAsia"/>
                <w:sz w:val="21"/>
                <w:szCs w:val="21"/>
                <w:highlight w:val="none"/>
              </w:rPr>
            </w:pPr>
            <w:r>
              <w:rPr>
                <w:rFonts w:hint="eastAsia"/>
                <w:sz w:val="21"/>
                <w:szCs w:val="21"/>
                <w:highlight w:val="none"/>
              </w:rPr>
              <w:t xml:space="preserve">主要工作经历</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107"/>
              <w:ind w:left="34"/>
              <w:jc w:val="center"/>
              <w:spacing w:before="131"/>
              <w:shd w:val="clear" w:color="auto" w:fill="auto"/>
              <w:tabs>
                <w:tab w:val="left" w:pos="457" w:leader="none"/>
              </w:tabs>
              <w:rPr>
                <w:rFonts w:hint="eastAsia"/>
                <w:sz w:val="21"/>
                <w:szCs w:val="21"/>
                <w:highlight w:val="none"/>
              </w:rPr>
            </w:pPr>
            <w:r>
              <w:rPr>
                <w:rFonts w:hint="eastAsia"/>
                <w:sz w:val="21"/>
                <w:szCs w:val="21"/>
                <w:highlight w:val="none"/>
              </w:rPr>
              <w:t xml:space="preserve">时    间</w:t>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107"/>
              <w:jc w:val="center"/>
              <w:spacing w:before="131"/>
              <w:shd w:val="clear" w:color="auto" w:fill="auto"/>
              <w:rPr>
                <w:rFonts w:hint="eastAsia"/>
                <w:sz w:val="21"/>
                <w:szCs w:val="21"/>
                <w:highlight w:val="none"/>
              </w:rPr>
            </w:pPr>
            <w:r>
              <w:rPr>
                <w:rFonts w:hint="eastAsia"/>
                <w:sz w:val="21"/>
                <w:szCs w:val="21"/>
                <w:highlight w:val="none"/>
              </w:rPr>
              <w:t xml:space="preserve">参加过的类似项目</w:t>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107"/>
              <w:jc w:val="center"/>
              <w:spacing w:before="131"/>
              <w:shd w:val="clear" w:color="auto" w:fill="auto"/>
              <w:rPr>
                <w:rFonts w:hint="eastAsia"/>
                <w:sz w:val="21"/>
                <w:szCs w:val="21"/>
                <w:highlight w:val="none"/>
              </w:rPr>
            </w:pPr>
            <w:r>
              <w:rPr>
                <w:rFonts w:hint="eastAsia"/>
                <w:sz w:val="21"/>
                <w:szCs w:val="21"/>
                <w:highlight w:val="none"/>
              </w:rPr>
              <w:t xml:space="preserve">担任职务</w:t>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107"/>
              <w:ind w:right="107"/>
              <w:jc w:val="center"/>
              <w:spacing w:before="57" w:line="400" w:lineRule="atLeast"/>
              <w:shd w:val="clear" w:color="auto" w:fill="auto"/>
              <w:rPr>
                <w:rFonts w:hint="eastAsia"/>
                <w:sz w:val="21"/>
                <w:szCs w:val="21"/>
                <w:highlight w:val="none"/>
              </w:rPr>
            </w:pPr>
            <w:r>
              <w:rPr>
                <w:rFonts w:hint="eastAsia"/>
                <w:sz w:val="21"/>
                <w:szCs w:val="21"/>
                <w:highlight w:val="none"/>
              </w:rPr>
              <w:t xml:space="preserve">发包人及联系</w:t>
            </w:r>
            <w:r/>
          </w:p>
          <w:p>
            <w:pPr>
              <w:pStyle w:val="1107"/>
              <w:ind w:right="107"/>
              <w:jc w:val="center"/>
              <w:spacing w:before="57" w:line="400" w:lineRule="atLeast"/>
              <w:shd w:val="clear" w:color="auto" w:fill="auto"/>
              <w:rPr>
                <w:rFonts w:hint="eastAsia"/>
                <w:sz w:val="21"/>
                <w:szCs w:val="21"/>
                <w:highlight w:val="none"/>
              </w:rPr>
            </w:pPr>
            <w:r>
              <w:rPr>
                <w:rFonts w:hint="eastAsia"/>
                <w:sz w:val="21"/>
                <w:szCs w:val="21"/>
                <w:highlight w:val="none"/>
              </w:rPr>
              <w:t xml:space="preserve">电话</w:t>
            </w:r>
            <w:r/>
          </w:p>
        </w:tc>
      </w:tr>
      <w:tr>
        <w:trPr>
          <w:jc w:val="cente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p>
        </w:tc>
      </w:tr>
      <w:tr>
        <w:trPr>
          <w:jc w:val="cente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p>
        </w:tc>
      </w:tr>
      <w:tr>
        <w:trPr>
          <w:jc w:val="cente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p>
        </w:tc>
      </w:tr>
      <w:tr>
        <w:trPr>
          <w:jc w:val="cente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p>
        </w:tc>
      </w:tr>
      <w:tr>
        <w:trPr>
          <w:jc w:val="cente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p>
        </w:tc>
      </w:tr>
      <w:tr>
        <w:trPr>
          <w:jc w:val="cente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p>
        </w:tc>
      </w:tr>
      <w:tr>
        <w:trPr>
          <w:jc w:val="cente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107"/>
              <w:jc w:val="center"/>
              <w:shd w:val="clear" w:color="auto" w:fill="auto"/>
              <w:rPr>
                <w:rFonts w:hint="eastAsia"/>
                <w:sz w:val="20"/>
                <w:szCs w:val="20"/>
                <w:highlight w:val="none"/>
              </w:rPr>
            </w:pPr>
            <w:r>
              <w:rPr>
                <w:rFonts w:hint="eastAsia"/>
                <w:sz w:val="20"/>
                <w:szCs w:val="20"/>
                <w:highlight w:val="none"/>
              </w:rPr>
            </w:r>
            <w:r/>
          </w:p>
        </w:tc>
      </w:tr>
    </w:tbl>
    <w:p>
      <w:pPr>
        <w:ind w:firstLine="420"/>
        <w:shd w:val="clear" w:color="auto" w:fill="auto"/>
        <w:rPr>
          <w:rFonts w:hint="eastAsia" w:ascii="宋体" w:hAnsi="宋体" w:cs="宋体"/>
          <w:szCs w:val="21"/>
          <w:highlight w:val="none"/>
        </w:rPr>
      </w:pPr>
      <w:r>
        <w:rPr>
          <w:rFonts w:hint="eastAsia" w:ascii="宋体" w:hAnsi="宋体" w:cs="宋体"/>
          <w:szCs w:val="21"/>
          <w:highlight w:val="none"/>
        </w:rPr>
      </w:r>
      <w:r/>
    </w:p>
    <w:p>
      <w:pPr>
        <w:ind w:firstLine="420"/>
        <w:jc w:val="left"/>
        <w:shd w:val="clear" w:color="auto" w:fill="auto"/>
        <w:widowControl/>
        <w:rPr>
          <w:rFonts w:hint="eastAsia" w:ascii="宋体" w:hAnsi="宋体" w:cs="宋体"/>
          <w:sz w:val="24"/>
          <w:highlight w:val="none"/>
        </w:rPr>
      </w:pPr>
      <w:r>
        <w:rPr>
          <w:rFonts w:hint="eastAsia" w:ascii="宋体" w:hAnsi="宋体" w:cs="宋体"/>
          <w:sz w:val="24"/>
          <w:highlight w:val="none"/>
          <w:lang w:val="zh-CN"/>
        </w:rPr>
        <w:t xml:space="preserve">说明：</w:t>
      </w:r>
      <w:r/>
    </w:p>
    <w:p>
      <w:pPr>
        <w:ind w:firstLine="420"/>
        <w:shd w:val="clear" w:color="auto" w:fill="auto"/>
        <w:rPr>
          <w:rFonts w:hint="eastAsia" w:ascii="宋体" w:hAnsi="宋体" w:cs="宋体"/>
          <w:b/>
          <w:sz w:val="24"/>
          <w:highlight w:val="none"/>
        </w:rPr>
      </w:pPr>
      <w:r>
        <w:rPr>
          <w:rFonts w:hint="eastAsia" w:ascii="宋体" w:hAnsi="宋体" w:cs="宋体"/>
          <w:sz w:val="24"/>
          <w:highlight w:val="none"/>
          <w:lang w:val="zh-CN"/>
        </w:rPr>
        <w:t xml:space="preserve">1、如果行、列数不够，请自行增加。</w:t>
      </w:r>
      <w:r/>
    </w:p>
    <w:p>
      <w:pPr>
        <w:ind w:firstLine="420"/>
        <w:shd w:val="clear" w:color="auto" w:fill="auto"/>
        <w:rPr>
          <w:rFonts w:hint="eastAsia" w:ascii="宋体" w:hAnsi="宋体" w:cs="宋体"/>
          <w:sz w:val="24"/>
          <w:highlight w:val="none"/>
        </w:rPr>
      </w:pPr>
      <w:r>
        <w:rPr>
          <w:rFonts w:hint="eastAsia" w:ascii="宋体" w:hAnsi="宋体" w:cs="宋体"/>
          <w:b/>
          <w:sz w:val="24"/>
          <w:highlight w:val="none"/>
          <w:lang w:val="zh-CN"/>
        </w:rPr>
        <w:t xml:space="preserve">2、提供以上人员的相关业绩证明材料复印件或扫描件加盖公章，证明材料若不能体现评审要求的职务，则不予认可。</w:t>
      </w:r>
      <w:r/>
    </w:p>
    <w:p>
      <w:pPr>
        <w:ind w:firstLine="420"/>
        <w:shd w:val="clear" w:color="auto" w:fill="auto"/>
        <w:rPr>
          <w:rFonts w:hint="eastAsia" w:ascii="宋体" w:hAnsi="宋体" w:cs="宋体"/>
          <w:szCs w:val="21"/>
          <w:highlight w:val="none"/>
        </w:rPr>
      </w:pPr>
      <w:r>
        <w:rPr>
          <w:rFonts w:hint="eastAsia" w:ascii="宋体" w:hAnsi="宋体" w:cs="宋体"/>
          <w:szCs w:val="21"/>
          <w:highlight w:val="none"/>
        </w:rPr>
      </w:r>
      <w:r/>
    </w:p>
    <w:p>
      <w:pPr>
        <w:jc w:val="center"/>
        <w:shd w:val="clear" w:color="auto" w:fill="auto"/>
        <w:rPr>
          <w:rFonts w:hint="eastAsia" w:ascii="宋体" w:hAnsi="宋体" w:cs="宋体"/>
          <w:sz w:val="32"/>
          <w:szCs w:val="32"/>
          <w:highlight w:val="none"/>
        </w:rPr>
      </w:pPr>
      <w:r>
        <w:rPr>
          <w:rFonts w:hint="eastAsia" w:ascii="宋体" w:hAnsi="宋体" w:cs="宋体"/>
          <w:sz w:val="24"/>
          <w:highlight w:val="none"/>
        </w:rPr>
        <w:br w:type="page" w:clear="all"/>
      </w:r>
      <w:r>
        <w:rPr>
          <w:rFonts w:hint="eastAsia" w:ascii="宋体" w:hAnsi="宋体" w:cs="宋体"/>
          <w:sz w:val="32"/>
          <w:szCs w:val="32"/>
          <w:highlight w:val="none"/>
        </w:rPr>
        <w:t xml:space="preserve">表4  企业代表工程表</w:t>
      </w:r>
      <w:r/>
    </w:p>
    <w:p>
      <w:pPr>
        <w:shd w:val="clear" w:color="auto" w:fill="auto"/>
        <w:rPr>
          <w:rFonts w:hint="eastAsia" w:ascii="宋体" w:hAnsi="宋体" w:cs="宋体"/>
          <w:highlight w:val="none"/>
        </w:rPr>
      </w:pPr>
      <w:r>
        <w:rPr>
          <w:rFonts w:hint="eastAsia" w:ascii="宋体" w:hAnsi="宋体" w:cs="宋体"/>
          <w:highlight w:val="none"/>
        </w:rPr>
      </w:r>
      <w:r/>
    </w:p>
    <w:tbl>
      <w:tblPr>
        <w:tblStyle w:val="847"/>
        <w:tblW w:w="915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1334"/>
        <w:gridCol w:w="1169"/>
        <w:gridCol w:w="1280"/>
        <w:gridCol w:w="1253"/>
        <w:gridCol w:w="974"/>
        <w:gridCol w:w="1186"/>
        <w:gridCol w:w="1280"/>
      </w:tblGrid>
      <w:tr>
        <w:trPr>
          <w:trHeight w:val="833"/>
        </w:trPr>
        <w:tc>
          <w:tcPr>
            <w:tcW w:w="678"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t xml:space="preserve">序号</w:t>
            </w:r>
            <w:r/>
          </w:p>
        </w:tc>
        <w:tc>
          <w:tcPr>
            <w:tcW w:w="1334"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t xml:space="preserve">项目名称</w:t>
            </w:r>
            <w:r/>
          </w:p>
        </w:tc>
        <w:tc>
          <w:tcPr>
            <w:tcW w:w="1169"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t xml:space="preserve">主要完成工作内容</w:t>
            </w:r>
            <w:r/>
          </w:p>
        </w:tc>
        <w:tc>
          <w:tcPr>
            <w:tcW w:w="1280"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t xml:space="preserve">业主单位</w:t>
            </w:r>
            <w:r/>
          </w:p>
        </w:tc>
        <w:tc>
          <w:tcPr>
            <w:tcW w:w="1253"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t xml:space="preserve">合同总额</w:t>
            </w:r>
            <w:r/>
          </w:p>
        </w:tc>
        <w:tc>
          <w:tcPr>
            <w:tcW w:w="974"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t xml:space="preserve">项目负责人</w:t>
            </w:r>
            <w:r/>
          </w:p>
        </w:tc>
        <w:tc>
          <w:tcPr>
            <w:tcW w:w="1186"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t xml:space="preserve">合同签订时间/工期</w:t>
            </w:r>
            <w:r/>
          </w:p>
        </w:tc>
        <w:tc>
          <w:tcPr>
            <w:tcW w:w="1280"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t xml:space="preserve">证明材料</w:t>
            </w:r>
            <w:r/>
          </w:p>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t xml:space="preserve">所在页码</w:t>
            </w:r>
            <w:r/>
          </w:p>
        </w:tc>
      </w:tr>
      <w:tr>
        <w:trPr>
          <w:trHeight w:val="688"/>
        </w:trPr>
        <w:tc>
          <w:tcPr>
            <w:tcW w:w="678"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t xml:space="preserve">1</w:t>
            </w:r>
            <w:r/>
          </w:p>
        </w:tc>
        <w:tc>
          <w:tcPr>
            <w:tcW w:w="1334"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r>
            <w:r/>
          </w:p>
        </w:tc>
        <w:tc>
          <w:tcPr>
            <w:tcW w:w="1169"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r>
            <w:r/>
          </w:p>
        </w:tc>
        <w:tc>
          <w:tcPr>
            <w:tcW w:w="1280"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r>
            <w:r/>
          </w:p>
        </w:tc>
        <w:tc>
          <w:tcPr>
            <w:tcW w:w="1253"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r>
            <w:r/>
          </w:p>
        </w:tc>
        <w:tc>
          <w:tcPr>
            <w:tcW w:w="974"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r>
            <w:r/>
          </w:p>
        </w:tc>
        <w:tc>
          <w:tcPr>
            <w:tcW w:w="1186"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r>
            <w:r/>
          </w:p>
        </w:tc>
        <w:tc>
          <w:tcPr>
            <w:tcW w:w="1280" w:type="dxa"/>
            <w:vAlign w:val="center"/>
            <w:textDirection w:val="lrTb"/>
            <w:noWrap w:val="false"/>
          </w:tcPr>
          <w:p>
            <w:pPr>
              <w:ind w:firstLine="88"/>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r>
            <w:r/>
          </w:p>
        </w:tc>
      </w:tr>
      <w:tr>
        <w:trPr>
          <w:trHeight w:val="688"/>
        </w:trPr>
        <w:tc>
          <w:tcPr>
            <w:tcW w:w="678"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t xml:space="preserve">2</w:t>
            </w:r>
            <w:r/>
          </w:p>
        </w:tc>
        <w:tc>
          <w:tcPr>
            <w:tcW w:w="1334"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r>
            <w:r/>
          </w:p>
        </w:tc>
        <w:tc>
          <w:tcPr>
            <w:tcW w:w="1169"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r>
            <w:r/>
          </w:p>
        </w:tc>
        <w:tc>
          <w:tcPr>
            <w:tcW w:w="1280"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r>
            <w:r/>
          </w:p>
        </w:tc>
        <w:tc>
          <w:tcPr>
            <w:tcW w:w="1253"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r>
            <w:r/>
          </w:p>
        </w:tc>
        <w:tc>
          <w:tcPr>
            <w:tcW w:w="974"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r>
            <w:r/>
          </w:p>
        </w:tc>
        <w:tc>
          <w:tcPr>
            <w:tcW w:w="1186"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r>
            <w:r/>
          </w:p>
        </w:tc>
        <w:tc>
          <w:tcPr>
            <w:tcW w:w="1280" w:type="dxa"/>
            <w:vAlign w:val="center"/>
            <w:textDirection w:val="lrTb"/>
            <w:noWrap w:val="false"/>
          </w:tcPr>
          <w:p>
            <w:pPr>
              <w:ind w:firstLine="88"/>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r>
            <w:r/>
          </w:p>
        </w:tc>
      </w:tr>
      <w:tr>
        <w:trPr>
          <w:trHeight w:val="688"/>
        </w:trPr>
        <w:tc>
          <w:tcPr>
            <w:tcW w:w="678"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t xml:space="preserve">3</w:t>
            </w:r>
            <w:r/>
          </w:p>
        </w:tc>
        <w:tc>
          <w:tcPr>
            <w:tcW w:w="1334"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r>
            <w:r/>
          </w:p>
        </w:tc>
        <w:tc>
          <w:tcPr>
            <w:tcW w:w="1169"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r>
            <w:r/>
          </w:p>
        </w:tc>
        <w:tc>
          <w:tcPr>
            <w:tcW w:w="1280"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r>
            <w:r/>
          </w:p>
        </w:tc>
        <w:tc>
          <w:tcPr>
            <w:tcW w:w="1253"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r>
            <w:r/>
          </w:p>
        </w:tc>
        <w:tc>
          <w:tcPr>
            <w:tcW w:w="974"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r>
            <w:r/>
          </w:p>
        </w:tc>
        <w:tc>
          <w:tcPr>
            <w:tcW w:w="1186"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r>
            <w:r/>
          </w:p>
        </w:tc>
        <w:tc>
          <w:tcPr>
            <w:tcW w:w="1280" w:type="dxa"/>
            <w:vAlign w:val="center"/>
            <w:textDirection w:val="lrTb"/>
            <w:noWrap w:val="false"/>
          </w:tcPr>
          <w:p>
            <w:pPr>
              <w:ind w:firstLine="88"/>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r>
            <w:r/>
          </w:p>
        </w:tc>
      </w:tr>
      <w:tr>
        <w:trPr>
          <w:trHeight w:val="688"/>
        </w:trPr>
        <w:tc>
          <w:tcPr>
            <w:tcW w:w="678"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t xml:space="preserve">……</w:t>
            </w:r>
            <w:r/>
          </w:p>
        </w:tc>
        <w:tc>
          <w:tcPr>
            <w:tcW w:w="1334"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t xml:space="preserve">……</w:t>
            </w:r>
            <w:r/>
          </w:p>
        </w:tc>
        <w:tc>
          <w:tcPr>
            <w:tcW w:w="1169"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r>
            <w:r/>
          </w:p>
        </w:tc>
        <w:tc>
          <w:tcPr>
            <w:tcW w:w="1280"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r>
            <w:r/>
          </w:p>
        </w:tc>
        <w:tc>
          <w:tcPr>
            <w:tcW w:w="1253"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r>
            <w:r/>
          </w:p>
        </w:tc>
        <w:tc>
          <w:tcPr>
            <w:tcW w:w="974"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r>
            <w:r/>
          </w:p>
        </w:tc>
        <w:tc>
          <w:tcPr>
            <w:tcW w:w="1186" w:type="dxa"/>
            <w:vAlign w:val="center"/>
            <w:textDirection w:val="lrTb"/>
            <w:noWrap w:val="false"/>
          </w:tcPr>
          <w:p>
            <w:pPr>
              <w:jc w:val="center"/>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r>
            <w:r/>
          </w:p>
        </w:tc>
        <w:tc>
          <w:tcPr>
            <w:tcW w:w="1280" w:type="dxa"/>
            <w:vAlign w:val="center"/>
            <w:textDirection w:val="lrTb"/>
            <w:noWrap w:val="false"/>
          </w:tcPr>
          <w:p>
            <w:pPr>
              <w:ind w:firstLine="88"/>
              <w:spacing w:line="240" w:lineRule="auto"/>
              <w:shd w:val="clear" w:color="auto" w:fill="auto"/>
              <w:rPr>
                <w:rFonts w:hint="eastAsia" w:ascii="宋体" w:hAnsi="宋体" w:cs="宋体"/>
                <w:szCs w:val="21"/>
                <w:highlight w:val="none"/>
              </w:rPr>
            </w:pPr>
            <w:r>
              <w:rPr>
                <w:rFonts w:hint="eastAsia" w:ascii="宋体" w:hAnsi="宋体" w:cs="宋体"/>
                <w:szCs w:val="21"/>
                <w:highlight w:val="none"/>
              </w:rPr>
            </w:r>
            <w:r/>
          </w:p>
        </w:tc>
      </w:tr>
    </w:tbl>
    <w:p>
      <w:pPr>
        <w:jc w:val="center"/>
        <w:shd w:val="clear" w:color="auto" w:fill="auto"/>
        <w:rPr>
          <w:rFonts w:hint="eastAsia" w:ascii="宋体" w:hAnsi="宋体" w:cs="宋体"/>
          <w:sz w:val="24"/>
          <w:highlight w:val="none"/>
        </w:rPr>
      </w:pPr>
      <w:r>
        <w:rPr>
          <w:rFonts w:hint="eastAsia" w:ascii="宋体" w:hAnsi="宋体" w:cs="宋体"/>
          <w:sz w:val="24"/>
          <w:highlight w:val="none"/>
        </w:rPr>
      </w:r>
      <w:r/>
    </w:p>
    <w:p>
      <w:pPr>
        <w:shd w:val="clear" w:color="auto" w:fill="auto"/>
        <w:rPr>
          <w:rFonts w:hint="eastAsia" w:ascii="宋体" w:hAnsi="宋体" w:cs="宋体"/>
          <w:b/>
          <w:szCs w:val="21"/>
          <w:highlight w:val="none"/>
        </w:rPr>
      </w:pPr>
      <w:r>
        <w:rPr>
          <w:rFonts w:hint="eastAsia" w:ascii="宋体" w:hAnsi="宋体" w:cs="宋体"/>
          <w:b/>
          <w:szCs w:val="21"/>
          <w:highlight w:val="none"/>
          <w:lang w:val="zh-CN"/>
        </w:rPr>
        <w:t xml:space="preserve">注：表中所列项目，须提供所签订的合同及竣工验收证明的复印件或扫描件（加盖公章）。</w:t>
      </w:r>
      <w:r/>
    </w:p>
    <w:p>
      <w:pPr>
        <w:jc w:val="center"/>
        <w:spacing w:line="500" w:lineRule="exact"/>
        <w:shd w:val="clear" w:color="auto" w:fill="auto"/>
        <w:rPr>
          <w:rFonts w:hint="eastAsia" w:ascii="宋体" w:hAnsi="宋体" w:cs="宋体"/>
          <w:sz w:val="32"/>
          <w:szCs w:val="32"/>
          <w:highlight w:val="none"/>
        </w:rPr>
        <w:outlineLvl w:val="2"/>
      </w:pPr>
      <w:r>
        <w:rPr>
          <w:rFonts w:hint="eastAsia" w:ascii="宋体" w:hAnsi="宋体" w:cs="宋体"/>
          <w:highlight w:val="none"/>
        </w:rPr>
        <w:br w:type="page" w:clear="all"/>
      </w:r>
      <w:bookmarkStart w:id="200" w:name="_Toc211090876"/>
      <w:r>
        <w:rPr>
          <w:rFonts w:hint="eastAsia" w:ascii="宋体" w:hAnsi="宋体" w:cs="宋体"/>
          <w:b/>
          <w:bCs/>
          <w:sz w:val="32"/>
          <w:szCs w:val="32"/>
          <w:highlight w:val="none"/>
        </w:rPr>
        <w:t xml:space="preserve">七、附件</w:t>
      </w:r>
      <w:bookmarkEnd w:id="200"/>
      <w:r/>
      <w:r/>
    </w:p>
    <w:p>
      <w:pPr>
        <w:ind w:firstLine="420"/>
        <w:shd w:val="clear" w:color="auto" w:fill="auto"/>
        <w:rPr>
          <w:rFonts w:hint="eastAsia" w:ascii="宋体" w:hAnsi="宋体" w:cs="宋体"/>
          <w:highlight w:val="none"/>
        </w:rPr>
      </w:pPr>
      <w:r>
        <w:rPr>
          <w:rFonts w:hint="eastAsia" w:ascii="宋体" w:hAnsi="宋体" w:cs="宋体"/>
          <w:highlight w:val="none"/>
        </w:rPr>
      </w:r>
      <w:r/>
    </w:p>
    <w:p>
      <w:pPr>
        <w:pStyle w:val="1121"/>
        <w:ind w:left="0"/>
        <w:spacing w:before="244"/>
        <w:shd w:val="clear" w:color="auto" w:fill="auto"/>
        <w:rPr>
          <w:rFonts w:hint="eastAsia" w:ascii="宋体" w:hAnsi="宋体" w:eastAsia="宋体" w:cs="宋体"/>
          <w:highlight w:val="none"/>
        </w:rPr>
      </w:pPr>
      <w:r>
        <w:rPr>
          <w:rFonts w:hint="eastAsia" w:ascii="宋体" w:hAnsi="宋体" w:eastAsia="宋体" w:cs="宋体"/>
          <w:highlight w:val="none"/>
        </w:rPr>
        <w:t xml:space="preserve">附件一、中小企业声明函格式（注：符合中小企业划型标准的企业请提供本函，不符合的不提供本函）</w:t>
      </w:r>
      <w:r/>
    </w:p>
    <w:p>
      <w:pPr>
        <w:pStyle w:val="1068"/>
        <w:ind w:left="2881" w:right="3180"/>
        <w:jc w:val="center"/>
        <w:spacing w:before="179"/>
        <w:shd w:val="clear" w:color="auto" w:fill="auto"/>
        <w:rPr>
          <w:rFonts w:hint="eastAsia" w:ascii="宋体" w:hAnsi="宋体" w:cs="宋体"/>
          <w:sz w:val="21"/>
          <w:highlight w:val="none"/>
        </w:rPr>
      </w:pPr>
      <w:r/>
      <w:bookmarkStart w:id="201" w:name="_Hlk46844983"/>
      <w:r/>
      <w:bookmarkEnd w:id="201"/>
      <w:r/>
      <w:r/>
    </w:p>
    <w:p>
      <w:pPr>
        <w:jc w:val="center"/>
        <w:shd w:val="clear" w:color="auto" w:fill="auto"/>
        <w:rPr>
          <w:rFonts w:hint="eastAsia" w:ascii="宋体" w:hAnsi="宋体" w:cs="宋体"/>
          <w:b/>
          <w:sz w:val="32"/>
          <w:szCs w:val="32"/>
          <w:highlight w:val="none"/>
        </w:rPr>
      </w:pPr>
      <w:r>
        <w:rPr>
          <w:rFonts w:hint="eastAsia" w:ascii="宋体" w:hAnsi="宋体" w:cs="宋体"/>
          <w:b/>
          <w:sz w:val="32"/>
          <w:szCs w:val="32"/>
          <w:highlight w:val="none"/>
        </w:rPr>
        <w:t xml:space="preserve">中小企业声明函（工程、服务）</w:t>
      </w:r>
      <w:r/>
    </w:p>
    <w:p>
      <w:pPr>
        <w:ind w:firstLine="480"/>
        <w:jc w:val="left"/>
        <w:shd w:val="clear" w:color="auto" w:fill="auto"/>
        <w:widowControl/>
        <w:rPr>
          <w:rFonts w:hint="eastAsia" w:ascii="宋体" w:hAnsi="宋体" w:cs="宋体"/>
          <w:sz w:val="24"/>
          <w:highlight w:val="none"/>
        </w:rPr>
      </w:pPr>
      <w:r>
        <w:rPr>
          <w:rFonts w:hint="eastAsia" w:ascii="宋体" w:hAnsi="宋体" w:cs="宋体"/>
          <w:sz w:val="24"/>
          <w:highlight w:val="none"/>
        </w:rPr>
      </w:r>
      <w:r/>
    </w:p>
    <w:p>
      <w:pPr>
        <w:ind w:firstLine="480"/>
        <w:jc w:val="left"/>
        <w:shd w:val="clear" w:color="auto" w:fill="auto"/>
        <w:widowControl/>
        <w:rPr>
          <w:rFonts w:hint="eastAsia" w:ascii="宋体" w:hAnsi="宋体" w:cs="宋体"/>
          <w:sz w:val="24"/>
          <w:highlight w:val="none"/>
        </w:rPr>
      </w:pPr>
      <w:r>
        <w:rPr>
          <w:rFonts w:hint="eastAsia" w:ascii="宋体" w:hAnsi="宋体" w:cs="宋体"/>
          <w:sz w:val="24"/>
          <w:highlight w:val="none"/>
        </w:rPr>
        <w:t xml:space="preserve">本公司（联合体）郑重声明，根据《政府采购促进中小企业发展管理办法》（财库﹝2020﹞46 号）的规定，本公司（联合体）参加</w:t>
      </w:r>
      <w:r>
        <w:rPr>
          <w:rFonts w:hint="eastAsia" w:ascii="宋体" w:hAnsi="宋体" w:cs="宋体"/>
          <w:sz w:val="24"/>
          <w:highlight w:val="none"/>
          <w:u w:val="single"/>
        </w:rPr>
        <w:t xml:space="preserve">（单位名称）</w:t>
      </w:r>
      <w:r>
        <w:rPr>
          <w:rFonts w:hint="eastAsia" w:ascii="宋体" w:hAnsi="宋体" w:cs="宋体"/>
          <w:sz w:val="24"/>
          <w:highlight w:val="none"/>
        </w:rPr>
        <w:t xml:space="preserve">的</w:t>
      </w:r>
      <w:r>
        <w:rPr>
          <w:rFonts w:hint="eastAsia" w:ascii="宋体" w:hAnsi="宋体" w:cs="宋体"/>
          <w:sz w:val="24"/>
          <w:highlight w:val="none"/>
          <w:u w:val="single"/>
        </w:rPr>
        <w:t xml:space="preserve">（项目名称）</w:t>
      </w:r>
      <w:r>
        <w:rPr>
          <w:rFonts w:hint="eastAsia" w:ascii="宋体" w:hAnsi="宋体" w:cs="宋体"/>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hd w:val="clear" w:color="auto" w:fill="auto"/>
        <w:widowControl/>
        <w:rPr>
          <w:rFonts w:hint="eastAsia" w:ascii="宋体" w:hAnsi="宋体" w:cs="宋体"/>
          <w:sz w:val="24"/>
          <w:highlight w:val="none"/>
        </w:rPr>
      </w:pPr>
      <w:r>
        <w:rPr>
          <w:rFonts w:hint="eastAsia" w:ascii="宋体" w:hAnsi="宋体" w:cs="宋体"/>
          <w:sz w:val="24"/>
          <w:highlight w:val="none"/>
        </w:rPr>
        <w:t xml:space="preserve">1. </w:t>
      </w:r>
      <w:r>
        <w:rPr>
          <w:rFonts w:hint="eastAsia" w:ascii="宋体" w:hAnsi="宋体" w:cs="宋体"/>
          <w:sz w:val="24"/>
          <w:highlight w:val="none"/>
          <w:u w:val="single"/>
        </w:rPr>
        <w:t xml:space="preserve">（标的名称）</w:t>
      </w:r>
      <w:r>
        <w:rPr>
          <w:rFonts w:hint="eastAsia" w:ascii="宋体" w:hAnsi="宋体" w:cs="宋体"/>
          <w:sz w:val="24"/>
          <w:highlight w:val="none"/>
        </w:rPr>
        <w:t xml:space="preserve"> ，属于</w:t>
      </w:r>
      <w:r>
        <w:rPr>
          <w:rFonts w:hint="eastAsia" w:ascii="宋体" w:hAnsi="宋体" w:cs="宋体"/>
          <w:sz w:val="24"/>
          <w:highlight w:val="none"/>
          <w:u w:val="single"/>
        </w:rPr>
        <w:t xml:space="preserve">（采购文件中明确的所属行业）</w:t>
      </w:r>
      <w:r>
        <w:rPr>
          <w:rFonts w:hint="eastAsia" w:ascii="宋体" w:hAnsi="宋体" w:cs="宋体"/>
          <w:sz w:val="24"/>
          <w:highlight w:val="none"/>
        </w:rPr>
        <w:t xml:space="preserve">；承建（承接）企业为</w:t>
      </w:r>
      <w:r>
        <w:rPr>
          <w:rFonts w:hint="eastAsia" w:ascii="宋体" w:hAnsi="宋体" w:cs="宋体"/>
          <w:sz w:val="24"/>
          <w:highlight w:val="none"/>
          <w:u w:val="single"/>
        </w:rPr>
        <w:t xml:space="preserve">（企业名称）</w:t>
      </w:r>
      <w:r>
        <w:rPr>
          <w:rFonts w:hint="eastAsia" w:ascii="宋体" w:hAnsi="宋体" w:cs="宋体"/>
          <w:sz w:val="24"/>
          <w:highlight w:val="none"/>
        </w:rPr>
        <w:t xml:space="preserve">，从业人员</w:t>
      </w:r>
      <w:r>
        <w:rPr>
          <w:rFonts w:hint="eastAsia" w:ascii="宋体" w:hAnsi="宋体" w:cs="宋体"/>
          <w:sz w:val="24"/>
          <w:highlight w:val="none"/>
          <w:u w:val="single"/>
        </w:rPr>
        <w:t xml:space="preserve">    </w:t>
      </w:r>
      <w:r>
        <w:rPr>
          <w:rFonts w:hint="eastAsia" w:ascii="宋体" w:hAnsi="宋体" w:cs="宋体"/>
          <w:sz w:val="24"/>
          <w:highlight w:val="none"/>
        </w:rPr>
        <w:t xml:space="preserve">人，营业收入为</w:t>
      </w:r>
      <w:r>
        <w:rPr>
          <w:rFonts w:hint="eastAsia" w:ascii="宋体" w:hAnsi="宋体" w:cs="宋体"/>
          <w:sz w:val="24"/>
          <w:highlight w:val="none"/>
          <w:u w:val="single"/>
        </w:rPr>
        <w:t xml:space="preserve">    </w:t>
      </w:r>
      <w:r>
        <w:rPr>
          <w:rFonts w:hint="eastAsia" w:ascii="宋体" w:hAnsi="宋体" w:cs="宋体"/>
          <w:sz w:val="24"/>
          <w:highlight w:val="none"/>
        </w:rPr>
        <w:t xml:space="preserve">万元，资产总额为</w:t>
      </w:r>
      <w:r>
        <w:rPr>
          <w:rFonts w:hint="eastAsia" w:ascii="宋体" w:hAnsi="宋体" w:cs="宋体"/>
          <w:sz w:val="24"/>
          <w:highlight w:val="none"/>
          <w:u w:val="single"/>
        </w:rPr>
        <w:t xml:space="preserve">    </w:t>
      </w:r>
      <w:r>
        <w:rPr>
          <w:rFonts w:hint="eastAsia" w:ascii="宋体" w:hAnsi="宋体" w:cs="宋体"/>
          <w:sz w:val="24"/>
          <w:highlight w:val="none"/>
        </w:rPr>
        <w:t xml:space="preserve">万元</w:t>
      </w:r>
      <w:r>
        <w:rPr>
          <w:rFonts w:hint="eastAsia" w:ascii="宋体" w:hAnsi="宋体" w:cs="宋体"/>
          <w:sz w:val="24"/>
          <w:highlight w:val="none"/>
          <w:vertAlign w:val="superscript"/>
        </w:rPr>
        <w:t xml:space="preserve">1</w:t>
      </w:r>
      <w:r>
        <w:rPr>
          <w:rFonts w:hint="eastAsia" w:ascii="宋体" w:hAnsi="宋体" w:cs="宋体"/>
          <w:sz w:val="24"/>
          <w:highlight w:val="none"/>
        </w:rPr>
        <w:t xml:space="preserve">，属于</w:t>
      </w:r>
      <w:r>
        <w:rPr>
          <w:rFonts w:hint="eastAsia" w:ascii="宋体" w:hAnsi="宋体" w:cs="宋体"/>
          <w:sz w:val="24"/>
          <w:highlight w:val="none"/>
          <w:u w:val="single"/>
        </w:rPr>
        <w:t xml:space="preserve">（中型企业、小型企业、微型企业）</w:t>
      </w:r>
      <w:r>
        <w:rPr>
          <w:rFonts w:hint="eastAsia" w:ascii="宋体" w:hAnsi="宋体" w:cs="宋体"/>
          <w:sz w:val="24"/>
          <w:highlight w:val="none"/>
        </w:rPr>
        <w:t xml:space="preserve">；</w:t>
      </w:r>
      <w:r/>
    </w:p>
    <w:p>
      <w:pPr>
        <w:ind w:firstLine="480"/>
        <w:jc w:val="left"/>
        <w:shd w:val="clear" w:color="auto" w:fill="auto"/>
        <w:widowControl/>
        <w:rPr>
          <w:rFonts w:hint="eastAsia" w:ascii="宋体" w:hAnsi="宋体" w:cs="宋体"/>
          <w:sz w:val="24"/>
          <w:highlight w:val="none"/>
        </w:rPr>
      </w:pPr>
      <w:r>
        <w:rPr>
          <w:rFonts w:hint="eastAsia" w:ascii="宋体" w:hAnsi="宋体" w:cs="宋体"/>
          <w:sz w:val="24"/>
          <w:highlight w:val="none"/>
        </w:rPr>
        <w:t xml:space="preserve">2. </w:t>
      </w:r>
      <w:r>
        <w:rPr>
          <w:rFonts w:hint="eastAsia" w:ascii="宋体" w:hAnsi="宋体" w:cs="宋体"/>
          <w:sz w:val="24"/>
          <w:highlight w:val="none"/>
          <w:u w:val="single"/>
        </w:rPr>
        <w:t xml:space="preserve">（标的名称）</w:t>
      </w:r>
      <w:r>
        <w:rPr>
          <w:rFonts w:hint="eastAsia" w:ascii="宋体" w:hAnsi="宋体" w:cs="宋体"/>
          <w:sz w:val="24"/>
          <w:highlight w:val="none"/>
        </w:rPr>
        <w:t xml:space="preserve"> ，属于</w:t>
      </w:r>
      <w:r>
        <w:rPr>
          <w:rFonts w:hint="eastAsia" w:ascii="宋体" w:hAnsi="宋体" w:cs="宋体"/>
          <w:sz w:val="24"/>
          <w:highlight w:val="none"/>
          <w:u w:val="single"/>
        </w:rPr>
        <w:t xml:space="preserve">（采购文件中明确的所属行业）</w:t>
      </w:r>
      <w:r>
        <w:rPr>
          <w:rFonts w:hint="eastAsia" w:ascii="宋体" w:hAnsi="宋体" w:cs="宋体"/>
          <w:sz w:val="24"/>
          <w:highlight w:val="none"/>
        </w:rPr>
        <w:t xml:space="preserve">；承建（承接）企业为</w:t>
      </w:r>
      <w:r>
        <w:rPr>
          <w:rFonts w:hint="eastAsia" w:ascii="宋体" w:hAnsi="宋体" w:cs="宋体"/>
          <w:sz w:val="24"/>
          <w:highlight w:val="none"/>
          <w:u w:val="single"/>
        </w:rPr>
        <w:t xml:space="preserve">（企业名称）</w:t>
      </w:r>
      <w:r>
        <w:rPr>
          <w:rFonts w:hint="eastAsia" w:ascii="宋体" w:hAnsi="宋体" w:cs="宋体"/>
          <w:sz w:val="24"/>
          <w:highlight w:val="none"/>
        </w:rPr>
        <w:t xml:space="preserve">，从业人员</w:t>
      </w:r>
      <w:r>
        <w:rPr>
          <w:rFonts w:hint="eastAsia" w:ascii="宋体" w:hAnsi="宋体" w:cs="宋体"/>
          <w:sz w:val="24"/>
          <w:highlight w:val="none"/>
          <w:u w:val="single"/>
        </w:rPr>
        <w:t xml:space="preserve">    </w:t>
      </w:r>
      <w:r>
        <w:rPr>
          <w:rFonts w:hint="eastAsia" w:ascii="宋体" w:hAnsi="宋体" w:cs="宋体"/>
          <w:sz w:val="24"/>
          <w:highlight w:val="none"/>
        </w:rPr>
        <w:t xml:space="preserve">人，营业收入为</w:t>
      </w:r>
      <w:r>
        <w:rPr>
          <w:rFonts w:hint="eastAsia" w:ascii="宋体" w:hAnsi="宋体" w:cs="宋体"/>
          <w:sz w:val="24"/>
          <w:highlight w:val="none"/>
          <w:u w:val="single"/>
        </w:rPr>
        <w:t xml:space="preserve">    </w:t>
      </w:r>
      <w:r>
        <w:rPr>
          <w:rFonts w:hint="eastAsia" w:ascii="宋体" w:hAnsi="宋体" w:cs="宋体"/>
          <w:sz w:val="24"/>
          <w:highlight w:val="none"/>
        </w:rPr>
        <w:t xml:space="preserve">万元，资产总额为</w:t>
      </w:r>
      <w:r>
        <w:rPr>
          <w:rFonts w:hint="eastAsia" w:ascii="宋体" w:hAnsi="宋体" w:cs="宋体"/>
          <w:sz w:val="24"/>
          <w:highlight w:val="none"/>
          <w:u w:val="single"/>
        </w:rPr>
        <w:t xml:space="preserve">    </w:t>
      </w:r>
      <w:r>
        <w:rPr>
          <w:rFonts w:hint="eastAsia" w:ascii="宋体" w:hAnsi="宋体" w:cs="宋体"/>
          <w:sz w:val="24"/>
          <w:highlight w:val="none"/>
        </w:rPr>
        <w:t xml:space="preserve">万元，属于</w:t>
      </w:r>
      <w:r>
        <w:rPr>
          <w:rFonts w:hint="eastAsia" w:ascii="宋体" w:hAnsi="宋体" w:cs="宋体"/>
          <w:sz w:val="24"/>
          <w:highlight w:val="none"/>
          <w:u w:val="single"/>
        </w:rPr>
        <w:t xml:space="preserve">（中型企业、小型企业、微型企业）</w:t>
      </w:r>
      <w:r>
        <w:rPr>
          <w:rFonts w:hint="eastAsia" w:ascii="宋体" w:hAnsi="宋体" w:cs="宋体"/>
          <w:sz w:val="24"/>
          <w:highlight w:val="none"/>
        </w:rPr>
        <w:t xml:space="preserve">；</w:t>
      </w:r>
      <w:r/>
    </w:p>
    <w:p>
      <w:pPr>
        <w:ind w:firstLine="480"/>
        <w:jc w:val="left"/>
        <w:shd w:val="clear" w:color="auto" w:fill="auto"/>
        <w:widowControl/>
        <w:rPr>
          <w:rFonts w:hint="eastAsia" w:ascii="宋体" w:hAnsi="宋体" w:cs="宋体"/>
          <w:sz w:val="24"/>
          <w:highlight w:val="none"/>
        </w:rPr>
      </w:pPr>
      <w:r>
        <w:rPr>
          <w:rFonts w:hint="eastAsia" w:ascii="宋体" w:hAnsi="宋体" w:cs="宋体"/>
          <w:sz w:val="24"/>
          <w:highlight w:val="none"/>
        </w:rPr>
        <w:t xml:space="preserve">……</w:t>
      </w:r>
      <w:r/>
    </w:p>
    <w:p>
      <w:pPr>
        <w:ind w:firstLine="480"/>
        <w:jc w:val="left"/>
        <w:shd w:val="clear" w:color="auto" w:fill="auto"/>
        <w:widowControl/>
        <w:rPr>
          <w:rFonts w:hint="eastAsia" w:ascii="宋体" w:hAnsi="宋体" w:cs="宋体"/>
          <w:sz w:val="24"/>
          <w:highlight w:val="none"/>
        </w:rPr>
      </w:pPr>
      <w:r>
        <w:rPr>
          <w:rFonts w:hint="eastAsia" w:ascii="宋体" w:hAnsi="宋体" w:cs="宋体"/>
          <w:sz w:val="24"/>
          <w:highlight w:val="none"/>
        </w:rPr>
        <w:t xml:space="preserve">以上企业，不属于大企业的分支机构，不存在控股股东为大企业的情形，也不存在与大企业的负责人为同一人的情形。</w:t>
      </w:r>
      <w:r/>
    </w:p>
    <w:p>
      <w:pPr>
        <w:ind w:firstLine="480"/>
        <w:jc w:val="left"/>
        <w:shd w:val="clear" w:color="auto" w:fill="auto"/>
        <w:widowControl/>
        <w:rPr>
          <w:rFonts w:hint="eastAsia" w:ascii="宋体" w:hAnsi="宋体" w:cs="宋体"/>
          <w:sz w:val="24"/>
          <w:highlight w:val="none"/>
        </w:rPr>
      </w:pPr>
      <w:r>
        <w:rPr>
          <w:rFonts w:hint="eastAsia" w:ascii="宋体" w:hAnsi="宋体" w:cs="宋体"/>
          <w:sz w:val="24"/>
          <w:highlight w:val="none"/>
        </w:rPr>
        <w:t xml:space="preserve">本企业对上述声明内容的真实性负责。如有虚假，将依法承担相应责任。</w:t>
      </w:r>
      <w:r/>
    </w:p>
    <w:p>
      <w:pPr>
        <w:ind w:firstLine="480"/>
        <w:jc w:val="left"/>
        <w:shd w:val="clear" w:color="auto" w:fill="auto"/>
        <w:widowControl/>
        <w:rPr>
          <w:rFonts w:hint="eastAsia" w:ascii="宋体" w:hAnsi="宋体" w:cs="宋体"/>
          <w:sz w:val="24"/>
          <w:highlight w:val="none"/>
        </w:rPr>
      </w:pPr>
      <w:r>
        <w:rPr>
          <w:rFonts w:hint="eastAsia" w:ascii="宋体" w:hAnsi="宋体" w:cs="宋体"/>
          <w:sz w:val="24"/>
          <w:highlight w:val="none"/>
        </w:rPr>
      </w:r>
      <w:r/>
    </w:p>
    <w:p>
      <w:pPr>
        <w:ind w:firstLine="480"/>
        <w:jc w:val="right"/>
        <w:shd w:val="clear" w:color="auto" w:fill="auto"/>
        <w:widowControl/>
        <w:rPr>
          <w:rFonts w:hint="eastAsia" w:ascii="宋体" w:hAnsi="宋体" w:cs="宋体"/>
          <w:sz w:val="24"/>
          <w:highlight w:val="none"/>
        </w:rPr>
      </w:pPr>
      <w:r>
        <w:rPr>
          <w:rFonts w:hint="eastAsia" w:ascii="宋体" w:hAnsi="宋体" w:cs="宋体"/>
          <w:sz w:val="24"/>
          <w:highlight w:val="none"/>
        </w:rPr>
        <w:t xml:space="preserve">企业名称（加盖CA电子公章）：    </w:t>
      </w:r>
      <w:r/>
    </w:p>
    <w:p>
      <w:pPr>
        <w:ind w:firstLine="480"/>
        <w:jc w:val="right"/>
        <w:shd w:val="clear" w:color="auto" w:fill="auto"/>
        <w:widowControl/>
        <w:rPr>
          <w:rFonts w:hint="eastAsia" w:ascii="宋体" w:hAnsi="宋体" w:cs="宋体"/>
          <w:sz w:val="24"/>
          <w:highlight w:val="none"/>
        </w:rPr>
      </w:pPr>
      <w:r>
        <w:rPr>
          <w:rFonts w:hint="eastAsia" w:ascii="宋体" w:hAnsi="宋体" w:cs="宋体"/>
          <w:sz w:val="24"/>
          <w:highlight w:val="none"/>
        </w:rPr>
        <w:t xml:space="preserve">日期：               </w:t>
      </w:r>
      <w:r/>
    </w:p>
    <w:p>
      <w:pPr>
        <w:shd w:val="clear" w:color="auto" w:fill="auto"/>
        <w:rPr>
          <w:rFonts w:hint="eastAsia" w:ascii="宋体" w:hAnsi="宋体" w:cs="宋体"/>
          <w:sz w:val="12"/>
          <w:highlight w:val="none"/>
        </w:rPr>
      </w:pPr>
      <w:r>
        <w:rPr>
          <w:rFonts w:hint="eastAsia" w:ascii="宋体" w:hAnsi="宋体" w:cs="宋体"/>
          <w:sz w:val="12"/>
          <w:highlight w:val="none"/>
        </w:rPr>
      </w:r>
      <w:r/>
    </w:p>
    <w:p>
      <w:pPr>
        <w:shd w:val="clear" w:color="auto" w:fill="auto"/>
        <w:rPr>
          <w:rFonts w:hint="eastAsia" w:ascii="宋体" w:hAnsi="宋体" w:cs="宋体"/>
          <w:sz w:val="12"/>
          <w:highlight w:val="none"/>
        </w:rPr>
      </w:pPr>
      <w:r>
        <w:rPr>
          <w:rFonts w:hint="eastAsia" w:ascii="宋体" w:hAnsi="宋体" w:cs="宋体"/>
          <w:sz w:val="12"/>
          <w:highlight w:val="none"/>
        </w:rPr>
      </w:r>
      <w:r/>
    </w:p>
    <w:p>
      <w:pPr>
        <w:shd w:val="clear" w:color="auto" w:fill="auto"/>
        <w:rPr>
          <w:rFonts w:hint="eastAsia" w:ascii="宋体" w:hAnsi="宋体" w:cs="宋体"/>
          <w:sz w:val="12"/>
          <w:highlight w:val="none"/>
        </w:rPr>
      </w:pPr>
      <w:r>
        <w:rPr>
          <w:rFonts w:hint="eastAsia" w:ascii="宋体" w:hAnsi="宋体" w:cs="宋体"/>
          <w:sz w:val="12"/>
          <w:highlight w:val="none"/>
        </w:rPr>
      </w:r>
      <w:r/>
    </w:p>
    <w:p>
      <w:pPr>
        <w:pStyle w:val="1068"/>
        <w:ind w:right="840" w:firstLine="482"/>
        <w:spacing w:before="124"/>
        <w:shd w:val="clear" w:color="auto" w:fill="auto"/>
        <w:rPr>
          <w:rFonts w:hint="eastAsia" w:ascii="宋体" w:hAnsi="宋体" w:cs="宋体"/>
          <w:sz w:val="24"/>
          <w:highlight w:val="none"/>
        </w:rPr>
      </w:pPr>
      <w:r>
        <w:rPr>
          <w:rFonts w:hint="eastAsia" w:ascii="宋体" w:hAnsi="宋体" w:cs="宋体"/>
          <w:b/>
          <w:sz w:val="24"/>
          <w:highlight w:val="none"/>
        </w:rPr>
        <w:t xml:space="preserve">注：从业人员、营业收入、资产总额填报上一年度数据，无上一年度数据的新成立企业可不填报。</w:t>
      </w:r>
      <w:r/>
    </w:p>
    <w:p>
      <w:pPr>
        <w:pStyle w:val="1068"/>
        <w:ind w:left="753"/>
        <w:jc w:val="right"/>
        <w:spacing w:before="124"/>
        <w:shd w:val="clear" w:color="auto" w:fill="auto"/>
        <w:rPr>
          <w:rFonts w:hint="eastAsia" w:ascii="宋体" w:hAnsi="宋体" w:cs="宋体"/>
          <w:sz w:val="21"/>
          <w:szCs w:val="21"/>
          <w:highlight w:val="none"/>
        </w:rPr>
        <w:sectPr>
          <w:footnotePr/>
          <w:endnotePr/>
          <w:type w:val="nextPage"/>
          <w:pgSz w:w="11900" w:h="16840" w:orient="portrait"/>
          <w:pgMar w:top="1417" w:right="1417" w:bottom="1417" w:left="1417" w:header="720" w:footer="720" w:gutter="0"/>
          <w:cols w:num="1" w:sep="0" w:space="1701" w:equalWidth="1"/>
          <w:docGrid w:linePitch="360"/>
        </w:sectPr>
      </w:pPr>
      <w:r>
        <w:rPr>
          <w:rFonts w:hint="eastAsia" w:ascii="宋体" w:hAnsi="宋体" w:cs="宋体"/>
          <w:sz w:val="21"/>
          <w:szCs w:val="21"/>
          <w:highlight w:val="none"/>
        </w:rPr>
      </w:r>
      <w:r/>
    </w:p>
    <w:p>
      <w:pPr>
        <w:pStyle w:val="1121"/>
        <w:ind w:left="0"/>
        <w:spacing w:before="244"/>
        <w:shd w:val="clear" w:color="auto" w:fill="auto"/>
        <w:rPr>
          <w:rFonts w:hint="eastAsia" w:ascii="宋体" w:hAnsi="宋体" w:eastAsia="宋体" w:cs="宋体"/>
          <w:highlight w:val="none"/>
        </w:rPr>
      </w:pPr>
      <w:r>
        <w:rPr>
          <w:rFonts w:hint="eastAsia" w:ascii="宋体" w:hAnsi="宋体" w:eastAsia="宋体" w:cs="宋体"/>
          <w:highlight w:val="none"/>
        </w:rPr>
        <w:t xml:space="preserve">附件二、残疾人福利性单位声明函格式</w:t>
      </w:r>
      <w:r/>
    </w:p>
    <w:p>
      <w:pPr>
        <w:pStyle w:val="1068"/>
        <w:spacing w:before="2"/>
        <w:shd w:val="clear" w:color="auto" w:fill="auto"/>
        <w:rPr>
          <w:rFonts w:hint="eastAsia" w:ascii="宋体" w:hAnsi="宋体" w:cs="宋体"/>
          <w:b/>
          <w:sz w:val="28"/>
          <w:szCs w:val="28"/>
          <w:highlight w:val="none"/>
        </w:rPr>
      </w:pPr>
      <w:r>
        <w:rPr>
          <w:rFonts w:hint="eastAsia" w:ascii="宋体" w:hAnsi="宋体" w:cs="宋体"/>
          <w:b/>
          <w:sz w:val="28"/>
          <w:szCs w:val="28"/>
          <w:highlight w:val="none"/>
        </w:rPr>
      </w:r>
      <w:r/>
    </w:p>
    <w:p>
      <w:pPr>
        <w:ind w:right="3076"/>
        <w:jc w:val="center"/>
        <w:shd w:val="clear" w:color="auto" w:fill="auto"/>
        <w:rPr>
          <w:rFonts w:hint="eastAsia" w:ascii="宋体" w:hAnsi="宋体" w:cs="宋体"/>
          <w:b/>
          <w:sz w:val="32"/>
          <w:szCs w:val="32"/>
          <w:highlight w:val="none"/>
        </w:rPr>
      </w:pPr>
      <w:r>
        <w:rPr>
          <w:rFonts w:hint="eastAsia" w:ascii="宋体" w:hAnsi="宋体" w:cs="宋体"/>
          <w:b/>
          <w:sz w:val="32"/>
          <w:szCs w:val="32"/>
          <w:highlight w:val="none"/>
        </w:rPr>
        <w:t xml:space="preserve">残疾人福利性单位声明函</w:t>
      </w:r>
      <w:r/>
    </w:p>
    <w:p>
      <w:pPr>
        <w:jc w:val="center"/>
        <w:shd w:val="clear" w:color="auto" w:fill="auto"/>
        <w:rPr>
          <w:rFonts w:hint="eastAsia" w:ascii="宋体" w:hAnsi="宋体" w:cs="宋体"/>
          <w:sz w:val="24"/>
          <w:highlight w:val="none"/>
        </w:rPr>
      </w:pPr>
      <w:r>
        <w:rPr>
          <w:rFonts w:hint="eastAsia" w:ascii="宋体" w:hAnsi="宋体" w:cs="宋体"/>
          <w:sz w:val="24"/>
          <w:highlight w:val="none"/>
        </w:rPr>
        <w:t xml:space="preserve">（注：符合条件的残疾人福利性单位请提供本函，不符合的不提供本函）</w:t>
      </w:r>
      <w:r/>
    </w:p>
    <w:p>
      <w:pPr>
        <w:jc w:val="center"/>
        <w:shd w:val="clear" w:color="auto" w:fill="auto"/>
        <w:rPr>
          <w:rFonts w:hint="eastAsia" w:ascii="宋体" w:hAnsi="宋体" w:cs="宋体"/>
          <w:sz w:val="24"/>
          <w:highlight w:val="none"/>
        </w:rPr>
      </w:pPr>
      <w:r>
        <w:rPr>
          <w:rFonts w:hint="eastAsia" w:ascii="宋体" w:hAnsi="宋体" w:cs="宋体"/>
          <w:sz w:val="24"/>
          <w:highlight w:val="none"/>
        </w:rPr>
      </w:r>
      <w:r/>
    </w:p>
    <w:p>
      <w:pPr>
        <w:ind w:firstLine="480"/>
        <w:shd w:val="clear" w:color="auto" w:fill="auto"/>
        <w:rPr>
          <w:rFonts w:hint="eastAsia" w:ascii="宋体" w:hAnsi="宋体" w:cs="宋体"/>
          <w:sz w:val="24"/>
          <w:highlight w:val="none"/>
        </w:rPr>
      </w:pPr>
      <w:r>
        <w:rPr>
          <w:rFonts w:hint="eastAsia" w:ascii="宋体" w:hAnsi="宋体" w:cs="宋体"/>
          <w:sz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hd w:val="clear" w:color="auto" w:fill="auto"/>
        <w:rPr>
          <w:rFonts w:hint="eastAsia" w:ascii="宋体" w:hAnsi="宋体" w:cs="宋体"/>
          <w:sz w:val="24"/>
          <w:highlight w:val="none"/>
        </w:rPr>
      </w:pPr>
      <w:r>
        <w:rPr>
          <w:rFonts w:hint="eastAsia" w:ascii="宋体" w:hAnsi="宋体" w:cs="宋体"/>
          <w:sz w:val="24"/>
          <w:highlight w:val="none"/>
        </w:rPr>
        <w:t xml:space="preserve">本单位对上述声明的真实性负责。如有虚假，将依法承担相应责任。</w:t>
      </w:r>
      <w:r/>
    </w:p>
    <w:p>
      <w:pPr>
        <w:shd w:val="clear" w:color="auto" w:fill="auto"/>
        <w:rPr>
          <w:rFonts w:hint="eastAsia" w:ascii="宋体" w:hAnsi="宋体" w:cs="宋体"/>
          <w:sz w:val="24"/>
          <w:highlight w:val="none"/>
        </w:rPr>
      </w:pPr>
      <w:r>
        <w:rPr>
          <w:rFonts w:hint="eastAsia" w:ascii="宋体" w:hAnsi="宋体" w:cs="宋体"/>
          <w:sz w:val="24"/>
          <w:highlight w:val="none"/>
        </w:rPr>
      </w:r>
      <w:r/>
    </w:p>
    <w:p>
      <w:pPr>
        <w:shd w:val="clear" w:color="auto" w:fill="auto"/>
        <w:rPr>
          <w:rFonts w:hint="eastAsia" w:ascii="宋体" w:hAnsi="宋体" w:cs="宋体"/>
          <w:sz w:val="24"/>
          <w:highlight w:val="none"/>
        </w:rPr>
      </w:pPr>
      <w:r>
        <w:rPr>
          <w:rFonts w:hint="eastAsia" w:ascii="宋体" w:hAnsi="宋体" w:cs="宋体"/>
          <w:sz w:val="24"/>
          <w:highlight w:val="none"/>
        </w:rPr>
        <w:t xml:space="preserve">单位名称（加盖CA电子公章）：</w:t>
      </w:r>
      <w:r/>
    </w:p>
    <w:p>
      <w:pPr>
        <w:pStyle w:val="1068"/>
        <w:ind w:right="840"/>
        <w:spacing w:before="124"/>
        <w:shd w:val="clear" w:color="auto" w:fill="auto"/>
        <w:rPr>
          <w:rFonts w:hint="eastAsia" w:ascii="宋体" w:hAnsi="宋体" w:cs="宋体"/>
          <w:sz w:val="24"/>
          <w:highlight w:val="none"/>
        </w:rPr>
      </w:pPr>
      <w:r>
        <w:rPr>
          <w:rFonts w:hint="eastAsia" w:ascii="宋体" w:hAnsi="宋体" w:cs="宋体"/>
          <w:bCs/>
          <w:sz w:val="24"/>
          <w:highlight w:val="none"/>
        </w:rPr>
        <w:t xml:space="preserve">日  期：</w:t>
      </w:r>
      <w:r/>
    </w:p>
    <w:p>
      <w:pPr>
        <w:pStyle w:val="1068"/>
        <w:shd w:val="clear" w:color="auto" w:fill="auto"/>
        <w:rPr>
          <w:rFonts w:hint="eastAsia" w:ascii="宋体" w:hAnsi="宋体" w:cs="宋体"/>
          <w:highlight w:val="none"/>
        </w:rPr>
      </w:pPr>
      <w:r>
        <w:rPr>
          <w:rFonts w:hint="eastAsia" w:ascii="宋体" w:hAnsi="宋体" w:cs="宋体"/>
          <w:highlight w:val="none"/>
        </w:rPr>
      </w:r>
      <w:r/>
    </w:p>
    <w:p>
      <w:pPr>
        <w:pStyle w:val="1121"/>
        <w:ind w:left="0"/>
        <w:spacing w:before="244"/>
        <w:shd w:val="clear" w:color="auto" w:fill="auto"/>
        <w:rPr>
          <w:rFonts w:hint="eastAsia" w:ascii="宋体" w:hAnsi="宋体" w:eastAsia="宋体" w:cs="宋体"/>
          <w:highlight w:val="none"/>
        </w:rPr>
      </w:pPr>
      <w:r>
        <w:rPr>
          <w:rFonts w:hint="eastAsia" w:ascii="宋体" w:hAnsi="宋体" w:eastAsia="宋体" w:cs="宋体"/>
          <w:highlight w:val="none"/>
        </w:rPr>
        <w:br w:type="page" w:clear="all"/>
      </w:r>
      <w:r>
        <w:rPr>
          <w:rFonts w:hint="eastAsia" w:ascii="宋体" w:hAnsi="宋体" w:eastAsia="宋体" w:cs="宋体"/>
          <w:highlight w:val="none"/>
        </w:rPr>
        <w:t xml:space="preserve">附件三、属于监狱企业的证明文件</w:t>
      </w:r>
      <w:r/>
    </w:p>
    <w:p>
      <w:pPr>
        <w:pStyle w:val="1068"/>
        <w:shd w:val="clear" w:color="auto" w:fill="auto"/>
        <w:rPr>
          <w:rFonts w:hint="eastAsia" w:ascii="宋体" w:hAnsi="宋体" w:cs="宋体"/>
          <w:b/>
          <w:highlight w:val="none"/>
        </w:rPr>
      </w:pPr>
      <w:r>
        <w:rPr>
          <w:rFonts w:hint="eastAsia" w:ascii="宋体" w:hAnsi="宋体" w:cs="宋体"/>
          <w:b/>
          <w:highlight w:val="none"/>
        </w:rPr>
      </w:r>
      <w:r/>
    </w:p>
    <w:p>
      <w:pPr>
        <w:jc w:val="left"/>
        <w:shd w:val="clear" w:color="auto" w:fill="auto"/>
        <w:tabs>
          <w:tab w:val="center" w:pos="4564" w:leader="none"/>
          <w:tab w:val="left" w:pos="5796" w:leader="none"/>
        </w:tabs>
        <w:rPr>
          <w:rFonts w:hint="eastAsia" w:ascii="宋体" w:hAnsi="宋体" w:cs="宋体"/>
          <w:b/>
          <w:sz w:val="32"/>
          <w:szCs w:val="32"/>
          <w:highlight w:val="none"/>
        </w:rPr>
      </w:pPr>
      <w:r>
        <w:rPr>
          <w:rFonts w:hint="eastAsia" w:ascii="宋体" w:hAnsi="宋体" w:cs="宋体"/>
          <w:b/>
          <w:sz w:val="24"/>
          <w:highlight w:val="none"/>
        </w:rPr>
        <w:tab/>
      </w:r>
      <w:r>
        <w:rPr>
          <w:rFonts w:hint="eastAsia" w:ascii="宋体" w:hAnsi="宋体" w:cs="宋体"/>
          <w:b/>
          <w:sz w:val="32"/>
          <w:szCs w:val="32"/>
          <w:highlight w:val="none"/>
        </w:rPr>
        <w:t xml:space="preserve">监狱企业证明</w:t>
      </w:r>
      <w:r>
        <w:rPr>
          <w:rFonts w:hint="eastAsia" w:ascii="宋体" w:hAnsi="宋体" w:cs="宋体"/>
          <w:b/>
          <w:sz w:val="32"/>
          <w:szCs w:val="32"/>
          <w:highlight w:val="none"/>
        </w:rPr>
        <w:tab/>
      </w:r>
      <w:r/>
    </w:p>
    <w:p>
      <w:pPr>
        <w:jc w:val="center"/>
        <w:shd w:val="clear" w:color="auto" w:fill="auto"/>
        <w:rPr>
          <w:rFonts w:hint="eastAsia" w:ascii="宋体" w:hAnsi="宋体" w:cs="宋体"/>
          <w:sz w:val="24"/>
          <w:highlight w:val="none"/>
        </w:rPr>
      </w:pPr>
      <w:r>
        <w:rPr>
          <w:rFonts w:hint="eastAsia" w:ascii="宋体" w:hAnsi="宋体" w:cs="宋体"/>
          <w:sz w:val="24"/>
          <w:highlight w:val="none"/>
        </w:rPr>
        <w:t xml:space="preserve">（注：符合条件的监狱企业请提供本函，不符合的不提供本函）</w:t>
      </w:r>
      <w:r/>
    </w:p>
    <w:p>
      <w:pPr>
        <w:pStyle w:val="1072"/>
        <w:shd w:val="clear" w:color="auto" w:fill="auto"/>
        <w:rPr>
          <w:rFonts w:hint="eastAsia" w:hAnsi="宋体" w:cs="宋体"/>
          <w:sz w:val="24"/>
          <w:szCs w:val="24"/>
          <w:highlight w:val="none"/>
        </w:rPr>
      </w:pPr>
      <w:r>
        <w:rPr>
          <w:rFonts w:hint="eastAsia" w:hAnsi="宋体" w:cs="宋体"/>
          <w:sz w:val="24"/>
          <w:szCs w:val="24"/>
          <w:highlight w:val="none"/>
        </w:rPr>
      </w:r>
      <w:r/>
    </w:p>
    <w:p>
      <w:pPr>
        <w:shd w:val="clear" w:color="auto" w:fill="auto"/>
        <w:rPr>
          <w:rFonts w:hint="eastAsia" w:ascii="宋体" w:hAnsi="宋体" w:cs="宋体"/>
          <w:sz w:val="24"/>
          <w:highlight w:val="none"/>
        </w:rPr>
      </w:pPr>
      <w:r>
        <w:rPr>
          <w:rFonts w:hint="eastAsia" w:ascii="宋体" w:hAnsi="宋体" w:cs="宋体"/>
          <w:sz w:val="24"/>
          <w:highlight w:val="none"/>
        </w:rPr>
        <w:t xml:space="preserve">省级以上监狱管理局、戒毒管理局（含新疆生产建设兵团）出具的属于监狱企业的证明文件。</w:t>
      </w:r>
      <w:r/>
    </w:p>
    <w:p>
      <w:pPr>
        <w:jc w:val="center"/>
        <w:shd w:val="clear" w:color="auto" w:fill="auto"/>
        <w:rPr>
          <w:rFonts w:hint="eastAsia" w:ascii="宋体" w:hAnsi="宋体" w:cs="宋体"/>
          <w:sz w:val="32"/>
          <w:szCs w:val="32"/>
          <w:highlight w:val="none"/>
        </w:rPr>
        <w:outlineLvl w:val="2"/>
      </w:pPr>
      <w:r>
        <w:rPr>
          <w:rFonts w:hint="eastAsia" w:ascii="宋体" w:hAnsi="宋体" w:cs="宋体"/>
          <w:sz w:val="36"/>
          <w:szCs w:val="36"/>
          <w:highlight w:val="none"/>
          <w:lang w:val="zh-CN"/>
        </w:rPr>
        <w:br w:type="page" w:clear="all"/>
      </w:r>
      <w:bookmarkStart w:id="202" w:name="_Toc211090877"/>
      <w:r>
        <w:rPr>
          <w:rFonts w:hint="eastAsia" w:ascii="宋体" w:hAnsi="宋体" w:cs="宋体"/>
          <w:b/>
          <w:bCs/>
          <w:sz w:val="32"/>
          <w:szCs w:val="32"/>
          <w:highlight w:val="none"/>
        </w:rPr>
        <w:t xml:space="preserve">八、投标人认为需要提供的其他文件</w:t>
      </w:r>
      <w:bookmarkEnd w:id="202"/>
      <w:r/>
      <w:r/>
    </w:p>
    <w:p>
      <w:pPr>
        <w:pStyle w:val="1070"/>
        <w:shd w:val="clear" w:color="auto" w:fill="auto"/>
        <w:rPr>
          <w:rFonts w:hint="eastAsia" w:ascii="宋体" w:hAnsi="宋体" w:cs="宋体"/>
          <w:sz w:val="32"/>
          <w:szCs w:val="32"/>
          <w:highlight w:val="none"/>
        </w:rPr>
      </w:pPr>
      <w:r>
        <w:rPr>
          <w:rFonts w:hint="eastAsia" w:ascii="宋体" w:hAnsi="宋体" w:cs="宋体"/>
          <w:sz w:val="32"/>
          <w:szCs w:val="32"/>
          <w:highlight w:val="none"/>
        </w:rPr>
      </w:r>
      <w:r/>
    </w:p>
    <w:p>
      <w:pPr>
        <w:pStyle w:val="1068"/>
        <w:ind w:firstLine="482"/>
        <w:jc w:val="left"/>
        <w:spacing w:before="129"/>
        <w:shd w:val="clear" w:color="auto" w:fill="auto"/>
        <w:rPr>
          <w:rFonts w:hint="eastAsia" w:ascii="宋体" w:hAnsi="宋体" w:cs="宋体"/>
          <w:b/>
          <w:bCs/>
          <w:sz w:val="24"/>
          <w:highlight w:val="none"/>
        </w:rPr>
      </w:pPr>
      <w:r>
        <w:rPr>
          <w:rFonts w:hint="eastAsia" w:ascii="宋体" w:hAnsi="宋体" w:cs="宋体"/>
          <w:b/>
          <w:bCs/>
          <w:sz w:val="24"/>
          <w:highlight w:val="none"/>
        </w:rPr>
        <w:t xml:space="preserve">投标人应按照招标文件要求必须提供的相关承诺函，格式自拟并盖章。</w:t>
      </w:r>
      <w:r/>
    </w:p>
    <w:sectPr>
      <w:footerReference w:type="default" r:id="rId15"/>
      <w:footnotePr/>
      <w:endnotePr/>
      <w:type w:val="nextPage"/>
      <w:pgSz w:w="11906" w:h="16838" w:orient="portrait"/>
      <w:pgMar w:top="1417" w:right="1417" w:bottom="1417" w:left="1417" w:header="567" w:footer="56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EU-F1">
    <w:panose1 w:val="020B0503020202020204"/>
  </w:font>
  <w:font w:name="Cambria">
    <w:panose1 w:val="02040503050406030204"/>
  </w:font>
  <w:font w:name="Courier New">
    <w:panose1 w:val="02070309020205020404"/>
  </w:font>
  <w:font w:name="黑体">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jc w:val="center"/>
    </w:pPr>
    <w:r/>
    <w:r/>
  </w:p>
  <w:p>
    <w:pPr>
      <w:pStyle w:val="107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jc w:val="center"/>
    </w:pPr>
    <w:r/>
    <w:r/>
  </w:p>
  <w:p>
    <w:pPr>
      <w:pStyle w:val="107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6"/>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25</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6"/>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25</w:t>
                    </w:r>
                    <w:r>
                      <w:fldChar w:fldCharType="end"/>
                    </w:r>
                    <w:r/>
                  </w:p>
                  <w:p>
                    <w:r/>
                    <w:r/>
                  </w:p>
                </w:txbxContent>
              </v:textbox>
            </v:shape>
          </w:pict>
        </mc:Fallback>
      </mc:AlternateContent>
    </w:r>
    <w:r/>
  </w:p>
  <w:p>
    <w:pPr>
      <w:pStyle w:val="107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07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07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6"/>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6"/>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6"/>
                            <w:tabs>
                              <w:tab w:val="clear" w:pos="4153" w:leader="none"/>
                              <w:tab w:val="clear" w:pos="8306" w:leader="none"/>
                            </w:tabs>
                          </w:pPr>
                          <w:r>
                            <w:fldChar w:fldCharType="begin"/>
                          </w:r>
                          <w:r>
                            <w:instrText xml:space="preserve"> PAGE  \* MERGEFORMAT </w:instrText>
                          </w:r>
                          <w:r>
                            <w:fldChar w:fldCharType="separate"/>
                          </w:r>
                          <w:r>
                            <w:t xml:space="preserve">76</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6"/>
                      <w:tabs>
                        <w:tab w:val="clear" w:pos="4153" w:leader="none"/>
                        <w:tab w:val="clear" w:pos="8306" w:leader="none"/>
                      </w:tabs>
                    </w:pPr>
                    <w:r>
                      <w:fldChar w:fldCharType="begin"/>
                    </w:r>
                    <w:r>
                      <w:instrText xml:space="preserve"> PAGE  \* MERGEFORMAT </w:instrText>
                    </w:r>
                    <w:r>
                      <w:fldChar w:fldCharType="separate"/>
                    </w:r>
                    <w:r>
                      <w:t xml:space="preserve">76</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116"/>
      <w:isLgl w:val="false"/>
      <w:suff w:val="tab"/>
      <w:lvlText w:val=""/>
      <w:lvlJc w:val="left"/>
      <w:pPr>
        <w:ind w:left="1200" w:hanging="360"/>
        <w:tabs>
          <w:tab w:val="left"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360" w:hanging="360"/>
      </w:pPr>
      <w:rPr>
        <w:rFonts w:cs="Times New Roman"/>
      </w:rPr>
    </w:lvl>
    <w:lvl w:ilvl="1">
      <w:start w:val="1"/>
      <w:numFmt w:val="lowerLetter"/>
      <w:isLgl w:val="false"/>
      <w:suff w:val="tab"/>
      <w:lvlText w:val="%2)"/>
      <w:lvlJc w:val="left"/>
      <w:pPr>
        <w:ind w:left="840" w:hanging="420"/>
      </w:pPr>
      <w:rPr>
        <w:rFonts w:cs="Times New Roman"/>
      </w:rPr>
    </w:lvl>
    <w:lvl w:ilvl="2">
      <w:start w:val="1"/>
      <w:numFmt w:val="lowerRoman"/>
      <w:pStyle w:val="1091"/>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3">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6" w:default="1">
    <w:name w:val="Normal"/>
    <w:uiPriority w:val="0"/>
    <w:qFormat/>
    <w:pPr>
      <w:jc w:val="both"/>
      <w:spacing w:line="360" w:lineRule="auto"/>
      <w:widowControl w:val="off"/>
    </w:pPr>
    <w:rPr>
      <w:rFonts w:hint="default" w:ascii="Times New Roman" w:hAnsi="Times New Roman" w:eastAsia="宋体" w:cs="Times New Roman"/>
      <w:sz w:val="21"/>
      <w:szCs w:val="24"/>
      <w:lang w:val="en-US" w:eastAsia="zh-CN" w:bidi="ar-SA"/>
    </w:rPr>
  </w:style>
  <w:style w:type="paragraph" w:styleId="837">
    <w:name w:val="Heading 1"/>
    <w:basedOn w:val="836"/>
    <w:next w:val="836"/>
    <w:link w:val="910"/>
    <w:uiPriority w:val="9"/>
    <w:qFormat/>
    <w:pPr>
      <w:keepLines/>
      <w:keepNext/>
      <w:spacing w:before="480" w:after="200"/>
      <w:outlineLvl w:val="0"/>
    </w:pPr>
    <w:rPr>
      <w:rFonts w:ascii="Arial" w:hAnsi="Arial" w:eastAsia="Arial" w:cs="Arial"/>
      <w:sz w:val="40"/>
      <w:szCs w:val="40"/>
    </w:rPr>
  </w:style>
  <w:style w:type="paragraph" w:styleId="838">
    <w:name w:val="Heading 2"/>
    <w:basedOn w:val="836"/>
    <w:next w:val="836"/>
    <w:link w:val="911"/>
    <w:uiPriority w:val="9"/>
    <w:unhideWhenUsed/>
    <w:qFormat/>
    <w:pPr>
      <w:keepLines/>
      <w:keepNext/>
      <w:spacing w:before="360" w:after="200"/>
      <w:outlineLvl w:val="1"/>
    </w:pPr>
    <w:rPr>
      <w:rFonts w:ascii="Arial" w:hAnsi="Arial" w:eastAsia="Arial" w:cs="Arial"/>
      <w:sz w:val="34"/>
    </w:rPr>
  </w:style>
  <w:style w:type="paragraph" w:styleId="839">
    <w:name w:val="Heading 3"/>
    <w:basedOn w:val="836"/>
    <w:next w:val="836"/>
    <w:link w:val="912"/>
    <w:uiPriority w:val="9"/>
    <w:unhideWhenUsed/>
    <w:qFormat/>
    <w:pPr>
      <w:keepLines/>
      <w:keepNext/>
      <w:spacing w:before="320" w:after="200"/>
      <w:outlineLvl w:val="2"/>
    </w:pPr>
    <w:rPr>
      <w:rFonts w:ascii="Arial" w:hAnsi="Arial" w:eastAsia="Arial" w:cs="Arial"/>
      <w:sz w:val="30"/>
      <w:szCs w:val="30"/>
    </w:rPr>
  </w:style>
  <w:style w:type="paragraph" w:styleId="840">
    <w:name w:val="Heading 4"/>
    <w:next w:val="848"/>
    <w:uiPriority w:val="0"/>
    <w:qFormat/>
    <w:pPr>
      <w:jc w:val="both"/>
      <w:keepLines/>
      <w:keepNext/>
      <w:spacing w:before="280" w:after="290" w:line="372" w:lineRule="auto"/>
      <w:widowControl w:val="off"/>
      <w:outlineLvl w:val="3"/>
    </w:pPr>
    <w:rPr>
      <w:rFonts w:hint="default" w:ascii="Arial" w:hAnsi="Arial" w:eastAsia="黑体" w:cs="Calibri"/>
      <w:b/>
      <w:sz w:val="28"/>
      <w:lang w:val="en-US" w:eastAsia="zh-CN" w:bidi="ar-SA"/>
    </w:rPr>
  </w:style>
  <w:style w:type="paragraph" w:styleId="841">
    <w:name w:val="Heading 5"/>
    <w:basedOn w:val="836"/>
    <w:next w:val="836"/>
    <w:link w:val="914"/>
    <w:uiPriority w:val="9"/>
    <w:unhideWhenUsed/>
    <w:qFormat/>
    <w:pPr>
      <w:keepLines/>
      <w:keepNext/>
      <w:spacing w:before="320" w:after="200"/>
      <w:outlineLvl w:val="4"/>
    </w:pPr>
    <w:rPr>
      <w:rFonts w:ascii="Arial" w:hAnsi="Arial" w:eastAsia="Arial" w:cs="Arial"/>
      <w:b/>
      <w:bCs/>
      <w:sz w:val="24"/>
    </w:rPr>
  </w:style>
  <w:style w:type="paragraph" w:styleId="842">
    <w:name w:val="Heading 6"/>
    <w:basedOn w:val="836"/>
    <w:next w:val="836"/>
    <w:link w:val="915"/>
    <w:uiPriority w:val="9"/>
    <w:unhideWhenUsed/>
    <w:qFormat/>
    <w:pPr>
      <w:keepLines/>
      <w:keepNext/>
      <w:spacing w:before="320" w:after="200"/>
      <w:outlineLvl w:val="5"/>
    </w:pPr>
    <w:rPr>
      <w:rFonts w:ascii="Arial" w:hAnsi="Arial" w:eastAsia="Arial" w:cs="Arial"/>
      <w:b/>
      <w:bCs/>
      <w:sz w:val="22"/>
      <w:szCs w:val="22"/>
    </w:rPr>
  </w:style>
  <w:style w:type="paragraph" w:styleId="843">
    <w:name w:val="Heading 7"/>
    <w:basedOn w:val="836"/>
    <w:next w:val="836"/>
    <w:link w:val="916"/>
    <w:uiPriority w:val="9"/>
    <w:unhideWhenUsed/>
    <w:qFormat/>
    <w:pPr>
      <w:keepLines/>
      <w:keepNext/>
      <w:spacing w:before="320" w:after="200"/>
      <w:outlineLvl w:val="6"/>
    </w:pPr>
    <w:rPr>
      <w:rFonts w:ascii="Arial" w:hAnsi="Arial" w:eastAsia="Arial" w:cs="Arial"/>
      <w:b/>
      <w:bCs/>
      <w:i/>
      <w:iCs/>
      <w:sz w:val="22"/>
      <w:szCs w:val="22"/>
    </w:rPr>
  </w:style>
  <w:style w:type="paragraph" w:styleId="844">
    <w:name w:val="Heading 8"/>
    <w:basedOn w:val="836"/>
    <w:next w:val="836"/>
    <w:link w:val="917"/>
    <w:uiPriority w:val="9"/>
    <w:unhideWhenUsed/>
    <w:qFormat/>
    <w:pPr>
      <w:keepLines/>
      <w:keepNext/>
      <w:spacing w:before="320" w:after="200"/>
      <w:outlineLvl w:val="7"/>
    </w:pPr>
    <w:rPr>
      <w:rFonts w:ascii="Arial" w:hAnsi="Arial" w:eastAsia="Arial" w:cs="Arial"/>
      <w:i/>
      <w:iCs/>
      <w:sz w:val="22"/>
      <w:szCs w:val="22"/>
    </w:rPr>
  </w:style>
  <w:style w:type="paragraph" w:styleId="845">
    <w:name w:val="Heading 9"/>
    <w:basedOn w:val="836"/>
    <w:next w:val="836"/>
    <w:link w:val="918"/>
    <w:uiPriority w:val="9"/>
    <w:unhideWhenUsed/>
    <w:qFormat/>
    <w:pPr>
      <w:keepLines/>
      <w:keepNext/>
      <w:spacing w:before="320" w:after="200"/>
      <w:outlineLvl w:val="8"/>
    </w:pPr>
    <w:rPr>
      <w:rFonts w:ascii="Arial" w:hAnsi="Arial" w:eastAsia="Arial" w:cs="Arial"/>
      <w:i/>
      <w:iCs/>
      <w:szCs w:val="21"/>
    </w:rPr>
  </w:style>
  <w:style w:type="character" w:styleId="846" w:default="1">
    <w:name w:val="Default Paragraph Font"/>
    <w:uiPriority w:val="1"/>
    <w:semiHidden/>
    <w:unhideWhenUsed/>
    <w:qFormat/>
  </w:style>
  <w:style w:type="table" w:styleId="847" w:default="1">
    <w:name w:val="Normal Table"/>
    <w:uiPriority w:val="99"/>
    <w:semiHidden/>
    <w:unhideWhenUsed/>
    <w:qFormat/>
    <w:tblPr>
      <w:tblCellMar>
        <w:left w:w="108" w:type="dxa"/>
        <w:top w:w="0" w:type="dxa"/>
        <w:right w:w="108" w:type="dxa"/>
        <w:bottom w:w="0" w:type="dxa"/>
      </w:tblCellMar>
    </w:tblPr>
  </w:style>
  <w:style w:type="paragraph" w:styleId="848" w:customStyle="1">
    <w:name w:val="正文1"/>
    <w:uiPriority w:val="0"/>
    <w:qFormat/>
    <w:pPr>
      <w:jc w:val="both"/>
    </w:pPr>
    <w:rPr>
      <w:rFonts w:hint="default" w:ascii="Times New Roman" w:hAnsi="Times New Roman" w:eastAsia="宋体" w:cs="Calibri"/>
      <w:sz w:val="21"/>
      <w:szCs w:val="21"/>
      <w:lang w:val="en-US" w:eastAsia="zh-CN" w:bidi="ar-SA"/>
    </w:rPr>
  </w:style>
  <w:style w:type="paragraph" w:styleId="849">
    <w:name w:val="toc 7"/>
    <w:basedOn w:val="836"/>
    <w:next w:val="836"/>
    <w:uiPriority w:val="39"/>
    <w:unhideWhenUsed/>
    <w:qFormat/>
    <w:pPr>
      <w:ind w:left="1701"/>
      <w:spacing w:after="57"/>
    </w:pPr>
  </w:style>
  <w:style w:type="paragraph" w:styleId="850">
    <w:name w:val="Caption"/>
    <w:basedOn w:val="836"/>
    <w:next w:val="8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1">
    <w:name w:val="annotation text"/>
    <w:basedOn w:val="836"/>
    <w:uiPriority w:val="99"/>
    <w:semiHidden/>
    <w:unhideWhenUsed/>
    <w:qFormat/>
    <w:pPr>
      <w:jc w:val="left"/>
    </w:pPr>
  </w:style>
  <w:style w:type="paragraph" w:styleId="852">
    <w:name w:val="toc 5"/>
    <w:basedOn w:val="836"/>
    <w:next w:val="836"/>
    <w:uiPriority w:val="39"/>
    <w:unhideWhenUsed/>
    <w:qFormat/>
    <w:pPr>
      <w:ind w:left="1134"/>
      <w:spacing w:after="57"/>
    </w:pPr>
  </w:style>
  <w:style w:type="paragraph" w:styleId="853">
    <w:name w:val="toc 3"/>
    <w:basedOn w:val="836"/>
    <w:next w:val="836"/>
    <w:uiPriority w:val="39"/>
    <w:unhideWhenUsed/>
    <w:qFormat/>
    <w:pPr>
      <w:ind w:left="567"/>
      <w:spacing w:after="57"/>
    </w:pPr>
  </w:style>
  <w:style w:type="paragraph" w:styleId="854">
    <w:name w:val="Plain Text"/>
    <w:basedOn w:val="836"/>
    <w:uiPriority w:val="0"/>
    <w:qFormat/>
    <w:rPr>
      <w:rFonts w:ascii="宋体" w:hAnsi="Courier New" w:cs="Courier New"/>
      <w:szCs w:val="21"/>
    </w:rPr>
  </w:style>
  <w:style w:type="paragraph" w:styleId="855">
    <w:name w:val="toc 8"/>
    <w:basedOn w:val="836"/>
    <w:next w:val="836"/>
    <w:uiPriority w:val="39"/>
    <w:unhideWhenUsed/>
    <w:qFormat/>
    <w:pPr>
      <w:ind w:left="1984"/>
      <w:spacing w:after="57"/>
    </w:pPr>
  </w:style>
  <w:style w:type="paragraph" w:styleId="856">
    <w:name w:val="endnote text"/>
    <w:basedOn w:val="836"/>
    <w:link w:val="1056"/>
    <w:uiPriority w:val="99"/>
    <w:semiHidden/>
    <w:unhideWhenUsed/>
    <w:qFormat/>
    <w:pPr>
      <w:spacing w:line="240" w:lineRule="auto"/>
    </w:pPr>
    <w:rPr>
      <w:sz w:val="20"/>
    </w:rPr>
  </w:style>
  <w:style w:type="paragraph" w:styleId="857">
    <w:name w:val="Footer"/>
    <w:basedOn w:val="836"/>
    <w:link w:val="929"/>
    <w:uiPriority w:val="99"/>
    <w:unhideWhenUsed/>
    <w:qFormat/>
    <w:pPr>
      <w:spacing w:line="240" w:lineRule="auto"/>
      <w:tabs>
        <w:tab w:val="center" w:pos="7143" w:leader="none"/>
        <w:tab w:val="right" w:pos="14287" w:leader="none"/>
      </w:tabs>
    </w:pPr>
  </w:style>
  <w:style w:type="paragraph" w:styleId="858">
    <w:name w:val="Header"/>
    <w:basedOn w:val="836"/>
    <w:link w:val="927"/>
    <w:uiPriority w:val="99"/>
    <w:unhideWhenUsed/>
    <w:qFormat/>
    <w:pPr>
      <w:spacing w:line="240" w:lineRule="auto"/>
      <w:tabs>
        <w:tab w:val="center" w:pos="7143" w:leader="none"/>
        <w:tab w:val="right" w:pos="14287" w:leader="none"/>
      </w:tabs>
    </w:pPr>
  </w:style>
  <w:style w:type="paragraph" w:styleId="859">
    <w:name w:val="toc 1"/>
    <w:basedOn w:val="836"/>
    <w:next w:val="836"/>
    <w:uiPriority w:val="39"/>
    <w:unhideWhenUsed/>
    <w:qFormat/>
    <w:pPr>
      <w:spacing w:after="57"/>
    </w:pPr>
  </w:style>
  <w:style w:type="paragraph" w:styleId="860">
    <w:name w:val="toc 4"/>
    <w:basedOn w:val="836"/>
    <w:next w:val="836"/>
    <w:uiPriority w:val="39"/>
    <w:unhideWhenUsed/>
    <w:qFormat/>
    <w:pPr>
      <w:ind w:left="850"/>
      <w:spacing w:after="57"/>
    </w:pPr>
  </w:style>
  <w:style w:type="paragraph" w:styleId="861">
    <w:name w:val="Subtitle"/>
    <w:basedOn w:val="836"/>
    <w:next w:val="836"/>
    <w:link w:val="922"/>
    <w:uiPriority w:val="11"/>
    <w:qFormat/>
    <w:pPr>
      <w:spacing w:before="200" w:after="200"/>
    </w:pPr>
    <w:rPr>
      <w:sz w:val="24"/>
    </w:rPr>
  </w:style>
  <w:style w:type="paragraph" w:styleId="862">
    <w:name w:val="footnote text"/>
    <w:basedOn w:val="836"/>
    <w:link w:val="1055"/>
    <w:uiPriority w:val="99"/>
    <w:semiHidden/>
    <w:unhideWhenUsed/>
    <w:qFormat/>
    <w:pPr>
      <w:spacing w:after="40" w:line="240" w:lineRule="auto"/>
    </w:pPr>
    <w:rPr>
      <w:sz w:val="18"/>
    </w:rPr>
  </w:style>
  <w:style w:type="paragraph" w:styleId="863">
    <w:name w:val="toc 6"/>
    <w:basedOn w:val="836"/>
    <w:next w:val="836"/>
    <w:uiPriority w:val="39"/>
    <w:unhideWhenUsed/>
    <w:qFormat/>
    <w:pPr>
      <w:ind w:left="1417"/>
      <w:spacing w:after="57"/>
    </w:pPr>
  </w:style>
  <w:style w:type="paragraph" w:styleId="864">
    <w:name w:val="table of figures"/>
    <w:basedOn w:val="836"/>
    <w:next w:val="836"/>
    <w:uiPriority w:val="99"/>
    <w:unhideWhenUsed/>
    <w:qFormat/>
  </w:style>
  <w:style w:type="paragraph" w:styleId="865">
    <w:name w:val="toc 2"/>
    <w:basedOn w:val="836"/>
    <w:next w:val="836"/>
    <w:uiPriority w:val="39"/>
    <w:unhideWhenUsed/>
    <w:qFormat/>
    <w:pPr>
      <w:ind w:left="283"/>
      <w:spacing w:after="57"/>
    </w:pPr>
  </w:style>
  <w:style w:type="paragraph" w:styleId="866">
    <w:name w:val="toc 9"/>
    <w:basedOn w:val="836"/>
    <w:next w:val="836"/>
    <w:uiPriority w:val="39"/>
    <w:unhideWhenUsed/>
    <w:qFormat/>
    <w:pPr>
      <w:ind w:left="2268"/>
      <w:spacing w:after="57"/>
    </w:pPr>
  </w:style>
  <w:style w:type="paragraph" w:styleId="867">
    <w:name w:val="Normal (Web)"/>
    <w:basedOn w:val="836"/>
    <w:uiPriority w:val="99"/>
    <w:semiHidden/>
    <w:unhideWhenUsed/>
    <w:qFormat/>
    <w:pPr>
      <w:ind w:left="0" w:right="0"/>
      <w:jc w:val="left"/>
      <w:spacing w:before="0" w:beforeAutospacing="1" w:after="0" w:afterAutospacing="1"/>
    </w:pPr>
    <w:rPr>
      <w:sz w:val="24"/>
      <w:lang w:val="en-US" w:eastAsia="zh-CN" w:bidi="ar"/>
    </w:rPr>
  </w:style>
  <w:style w:type="paragraph" w:styleId="868">
    <w:name w:val="Title"/>
    <w:basedOn w:val="836"/>
    <w:next w:val="836"/>
    <w:link w:val="921"/>
    <w:uiPriority w:val="10"/>
    <w:qFormat/>
    <w:pPr>
      <w:contextualSpacing/>
      <w:spacing w:before="300" w:after="200"/>
    </w:pPr>
    <w:rPr>
      <w:sz w:val="48"/>
      <w:szCs w:val="48"/>
    </w:rPr>
  </w:style>
  <w:style w:type="table" w:styleId="86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0">
    <w:name w:val="Strong"/>
    <w:basedOn w:val="846"/>
    <w:uiPriority w:val="22"/>
    <w:qFormat/>
    <w:rPr>
      <w:b/>
    </w:rPr>
  </w:style>
  <w:style w:type="character" w:styleId="871">
    <w:name w:val="endnote reference"/>
    <w:uiPriority w:val="99"/>
    <w:semiHidden/>
    <w:unhideWhenUsed/>
    <w:qFormat/>
    <w:rPr>
      <w:vertAlign w:val="superscript"/>
    </w:rPr>
  </w:style>
  <w:style w:type="character" w:styleId="872">
    <w:name w:val="Hyperlink"/>
    <w:uiPriority w:val="99"/>
    <w:unhideWhenUsed/>
    <w:qFormat/>
    <w:rPr>
      <w:color w:val="0000ff" w:themeColor="hyperlink"/>
      <w:u w:val="single"/>
      <w14:textFill>
        <w14:solidFill>
          <w14:schemeClr w14:val="hlink"/>
        </w14:solidFill>
      </w14:textFill>
    </w:rPr>
  </w:style>
  <w:style w:type="character" w:styleId="873">
    <w:name w:val="footnote reference"/>
    <w:uiPriority w:val="99"/>
    <w:unhideWhenUsed/>
    <w:qFormat/>
    <w:rPr>
      <w:vertAlign w:val="superscript"/>
    </w:rPr>
  </w:style>
  <w:style w:type="character" w:styleId="874" w:customStyle="1">
    <w:name w:val="Heading 1 Char"/>
    <w:basedOn w:val="846"/>
    <w:uiPriority w:val="9"/>
    <w:qFormat/>
    <w:rPr>
      <w:rFonts w:ascii="Arial" w:hAnsi="Arial" w:eastAsia="Arial" w:cs="Arial"/>
      <w:sz w:val="40"/>
      <w:szCs w:val="40"/>
    </w:rPr>
  </w:style>
  <w:style w:type="character" w:styleId="875" w:customStyle="1">
    <w:name w:val="Heading 2 Char"/>
    <w:basedOn w:val="846"/>
    <w:uiPriority w:val="9"/>
    <w:rPr>
      <w:rFonts w:ascii="Arial" w:hAnsi="Arial" w:eastAsia="Arial" w:cs="Arial"/>
      <w:sz w:val="34"/>
    </w:rPr>
  </w:style>
  <w:style w:type="character" w:styleId="876" w:customStyle="1">
    <w:name w:val="Heading 3 Char"/>
    <w:basedOn w:val="846"/>
    <w:uiPriority w:val="9"/>
    <w:rPr>
      <w:rFonts w:ascii="Arial" w:hAnsi="Arial" w:eastAsia="Arial" w:cs="Arial"/>
      <w:sz w:val="30"/>
      <w:szCs w:val="30"/>
    </w:rPr>
  </w:style>
  <w:style w:type="character" w:styleId="877" w:customStyle="1">
    <w:name w:val="Heading 5 Char"/>
    <w:basedOn w:val="846"/>
    <w:uiPriority w:val="9"/>
    <w:rPr>
      <w:rFonts w:ascii="Arial" w:hAnsi="Arial" w:eastAsia="Arial" w:cs="Arial"/>
      <w:b/>
      <w:bCs/>
      <w:sz w:val="24"/>
      <w:szCs w:val="24"/>
    </w:rPr>
  </w:style>
  <w:style w:type="character" w:styleId="878" w:customStyle="1">
    <w:name w:val="Heading 6 Char"/>
    <w:basedOn w:val="846"/>
    <w:uiPriority w:val="9"/>
    <w:rPr>
      <w:rFonts w:ascii="Arial" w:hAnsi="Arial" w:eastAsia="Arial" w:cs="Arial"/>
      <w:b/>
      <w:bCs/>
      <w:sz w:val="22"/>
      <w:szCs w:val="22"/>
    </w:rPr>
  </w:style>
  <w:style w:type="character" w:styleId="879" w:customStyle="1">
    <w:name w:val="Heading 7 Char"/>
    <w:basedOn w:val="846"/>
    <w:uiPriority w:val="9"/>
    <w:qFormat/>
    <w:rPr>
      <w:rFonts w:ascii="Arial" w:hAnsi="Arial" w:eastAsia="Arial" w:cs="Arial"/>
      <w:b/>
      <w:bCs/>
      <w:i/>
      <w:iCs/>
      <w:sz w:val="22"/>
      <w:szCs w:val="22"/>
    </w:rPr>
  </w:style>
  <w:style w:type="character" w:styleId="880" w:customStyle="1">
    <w:name w:val="Heading 8 Char"/>
    <w:basedOn w:val="846"/>
    <w:uiPriority w:val="9"/>
    <w:qFormat/>
    <w:rPr>
      <w:rFonts w:ascii="Arial" w:hAnsi="Arial" w:eastAsia="Arial" w:cs="Arial"/>
      <w:i/>
      <w:iCs/>
      <w:sz w:val="22"/>
      <w:szCs w:val="22"/>
    </w:rPr>
  </w:style>
  <w:style w:type="character" w:styleId="881" w:customStyle="1">
    <w:name w:val="Heading 9 Char"/>
    <w:basedOn w:val="846"/>
    <w:uiPriority w:val="9"/>
    <w:qFormat/>
    <w:rPr>
      <w:rFonts w:ascii="Arial" w:hAnsi="Arial" w:eastAsia="Arial" w:cs="Arial"/>
      <w:i/>
      <w:iCs/>
      <w:sz w:val="21"/>
      <w:szCs w:val="21"/>
    </w:rPr>
  </w:style>
  <w:style w:type="character" w:styleId="882" w:customStyle="1">
    <w:name w:val="Title Char"/>
    <w:basedOn w:val="846"/>
    <w:uiPriority w:val="10"/>
    <w:qFormat/>
    <w:rPr>
      <w:sz w:val="48"/>
      <w:szCs w:val="48"/>
    </w:rPr>
  </w:style>
  <w:style w:type="character" w:styleId="883" w:customStyle="1">
    <w:name w:val="Subtitle Char"/>
    <w:basedOn w:val="846"/>
    <w:uiPriority w:val="11"/>
    <w:qFormat/>
    <w:rPr>
      <w:sz w:val="24"/>
      <w:szCs w:val="24"/>
    </w:rPr>
  </w:style>
  <w:style w:type="character" w:styleId="884" w:customStyle="1">
    <w:name w:val="Quote Char"/>
    <w:uiPriority w:val="29"/>
    <w:rPr>
      <w:i/>
    </w:rPr>
  </w:style>
  <w:style w:type="character" w:styleId="885" w:customStyle="1">
    <w:name w:val="Intense Quote Char"/>
    <w:uiPriority w:val="30"/>
    <w:qFormat/>
    <w:rPr>
      <w:i/>
    </w:rPr>
  </w:style>
  <w:style w:type="character" w:styleId="886" w:customStyle="1">
    <w:name w:val="Header Char"/>
    <w:basedOn w:val="846"/>
    <w:uiPriority w:val="99"/>
    <w:qFormat/>
  </w:style>
  <w:style w:type="character" w:styleId="887" w:customStyle="1">
    <w:name w:val="Caption Char"/>
    <w:uiPriority w:val="99"/>
  </w:style>
  <w:style w:type="table" w:styleId="888" w:customStyle="1">
    <w:name w:val="Plain Table 1"/>
    <w:basedOn w:val="84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9" w:customStyle="1">
    <w:name w:val="Plain Table 2"/>
    <w:basedOn w:val="84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Plain Table 3"/>
    <w:basedOn w:val="8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1" w:customStyle="1">
    <w:name w:val="Plain Table 4"/>
    <w:basedOn w:val="847"/>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2" w:customStyle="1">
    <w:name w:val="Plain Table 5"/>
    <w:basedOn w:val="8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3" w:customStyle="1">
    <w:name w:val="Grid Table 1 Light"/>
    <w:basedOn w:val="847"/>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4" w:customStyle="1">
    <w:name w:val="Grid Table 2"/>
    <w:basedOn w:val="8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5" w:customStyle="1">
    <w:name w:val="Grid Table 3"/>
    <w:basedOn w:val="8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4"/>
    <w:basedOn w:val="84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7" w:customStyle="1">
    <w:name w:val="Grid Table 5 Dark"/>
    <w:basedOn w:val="8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8" w:customStyle="1">
    <w:name w:val="Grid Table 6 Colorful"/>
    <w:basedOn w:val="84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9" w:customStyle="1">
    <w:name w:val="Grid Table 7 Colorful"/>
    <w:basedOn w:val="84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0" w:customStyle="1">
    <w:name w:val="List Table 1 Light"/>
    <w:basedOn w:val="84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customStyle="1">
    <w:name w:val="List Table 2"/>
    <w:basedOn w:val="84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2" w:customStyle="1">
    <w:name w:val="List Table 3"/>
    <w:basedOn w:val="8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4"/>
    <w:basedOn w:val="8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5 Dark"/>
    <w:basedOn w:val="84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6 Colorful"/>
    <w:basedOn w:val="84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6" w:customStyle="1">
    <w:name w:val="List Table 7 Colorful"/>
    <w:basedOn w:val="84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07" w:customStyle="1">
    <w:name w:val="Footnote Text Char"/>
    <w:uiPriority w:val="99"/>
    <w:qFormat/>
    <w:rPr>
      <w:sz w:val="18"/>
    </w:rPr>
  </w:style>
  <w:style w:type="character" w:styleId="908" w:customStyle="1">
    <w:name w:val="Endnote Text Char"/>
    <w:uiPriority w:val="99"/>
    <w:qFormat/>
    <w:rPr>
      <w:sz w:val="20"/>
    </w:rPr>
  </w:style>
  <w:style w:type="paragraph" w:styleId="909" w:customStyle="1">
    <w:name w:val="TOC Heading"/>
    <w:uiPriority w:val="39"/>
    <w:unhideWhenUsed/>
    <w:qFormat/>
    <w:rPr>
      <w:rFonts w:hint="default" w:ascii="Times New Roman" w:hAnsi="Times New Roman" w:eastAsia="宋体" w:cs="Times New Roman"/>
    </w:rPr>
  </w:style>
  <w:style w:type="character" w:styleId="910" w:customStyle="1">
    <w:name w:val="标题 1 字符"/>
    <w:link w:val="837"/>
    <w:uiPriority w:val="9"/>
    <w:qFormat/>
    <w:rPr>
      <w:rFonts w:ascii="Arial" w:hAnsi="Arial" w:eastAsia="Arial" w:cs="Arial"/>
      <w:sz w:val="40"/>
      <w:szCs w:val="40"/>
    </w:rPr>
  </w:style>
  <w:style w:type="character" w:styleId="911" w:customStyle="1">
    <w:name w:val="标题 2 字符"/>
    <w:link w:val="838"/>
    <w:uiPriority w:val="9"/>
    <w:qFormat/>
    <w:rPr>
      <w:rFonts w:ascii="Arial" w:hAnsi="Arial" w:eastAsia="Arial" w:cs="Arial"/>
      <w:sz w:val="34"/>
    </w:rPr>
  </w:style>
  <w:style w:type="character" w:styleId="912" w:customStyle="1">
    <w:name w:val="标题 3 字符"/>
    <w:link w:val="839"/>
    <w:uiPriority w:val="9"/>
    <w:qFormat/>
    <w:rPr>
      <w:rFonts w:ascii="Arial" w:hAnsi="Arial" w:eastAsia="Arial" w:cs="Arial"/>
      <w:sz w:val="30"/>
      <w:szCs w:val="30"/>
    </w:rPr>
  </w:style>
  <w:style w:type="character" w:styleId="913" w:customStyle="1">
    <w:name w:val="Heading 4 Char"/>
    <w:uiPriority w:val="9"/>
    <w:qFormat/>
    <w:rPr>
      <w:rFonts w:ascii="Arial" w:hAnsi="Arial" w:eastAsia="Arial" w:cs="Arial"/>
      <w:b/>
      <w:bCs/>
      <w:sz w:val="26"/>
      <w:szCs w:val="26"/>
    </w:rPr>
  </w:style>
  <w:style w:type="character" w:styleId="914" w:customStyle="1">
    <w:name w:val="标题 5 字符"/>
    <w:link w:val="841"/>
    <w:uiPriority w:val="9"/>
    <w:qFormat/>
    <w:rPr>
      <w:rFonts w:ascii="Arial" w:hAnsi="Arial" w:eastAsia="Arial" w:cs="Arial"/>
      <w:b/>
      <w:bCs/>
      <w:sz w:val="24"/>
      <w:szCs w:val="24"/>
    </w:rPr>
  </w:style>
  <w:style w:type="character" w:styleId="915" w:customStyle="1">
    <w:name w:val="标题 6 字符"/>
    <w:link w:val="842"/>
    <w:uiPriority w:val="9"/>
    <w:qFormat/>
    <w:rPr>
      <w:rFonts w:ascii="Arial" w:hAnsi="Arial" w:eastAsia="Arial" w:cs="Arial"/>
      <w:b/>
      <w:bCs/>
      <w:sz w:val="22"/>
      <w:szCs w:val="22"/>
    </w:rPr>
  </w:style>
  <w:style w:type="character" w:styleId="916" w:customStyle="1">
    <w:name w:val="标题 7 字符"/>
    <w:link w:val="843"/>
    <w:uiPriority w:val="9"/>
    <w:qFormat/>
    <w:rPr>
      <w:rFonts w:ascii="Arial" w:hAnsi="Arial" w:eastAsia="Arial" w:cs="Arial"/>
      <w:b/>
      <w:bCs/>
      <w:i/>
      <w:iCs/>
      <w:sz w:val="22"/>
      <w:szCs w:val="22"/>
    </w:rPr>
  </w:style>
  <w:style w:type="character" w:styleId="917" w:customStyle="1">
    <w:name w:val="标题 8 字符"/>
    <w:link w:val="844"/>
    <w:uiPriority w:val="9"/>
    <w:qFormat/>
    <w:rPr>
      <w:rFonts w:ascii="Arial" w:hAnsi="Arial" w:eastAsia="Arial" w:cs="Arial"/>
      <w:i/>
      <w:iCs/>
      <w:sz w:val="22"/>
      <w:szCs w:val="22"/>
    </w:rPr>
  </w:style>
  <w:style w:type="character" w:styleId="918" w:customStyle="1">
    <w:name w:val="标题 9 字符"/>
    <w:link w:val="845"/>
    <w:uiPriority w:val="9"/>
    <w:qFormat/>
    <w:rPr>
      <w:rFonts w:ascii="Arial" w:hAnsi="Arial" w:eastAsia="Arial" w:cs="Arial"/>
      <w:i/>
      <w:iCs/>
      <w:sz w:val="21"/>
      <w:szCs w:val="21"/>
    </w:rPr>
  </w:style>
  <w:style w:type="paragraph" w:styleId="919">
    <w:name w:val="List Paragraph"/>
    <w:basedOn w:val="836"/>
    <w:uiPriority w:val="34"/>
    <w:qFormat/>
    <w:pPr>
      <w:contextualSpacing/>
      <w:ind w:left="720"/>
    </w:pPr>
  </w:style>
  <w:style w:type="paragraph" w:styleId="920">
    <w:name w:val="No Spacing"/>
    <w:uiPriority w:val="1"/>
    <w:qFormat/>
    <w:rPr>
      <w:rFonts w:hint="default" w:ascii="Times New Roman" w:hAnsi="Times New Roman" w:eastAsia="宋体" w:cs="Times New Roman"/>
      <w:lang w:val="en-US" w:eastAsia="zh-CN" w:bidi="ar-SA"/>
    </w:rPr>
  </w:style>
  <w:style w:type="character" w:styleId="921" w:customStyle="1">
    <w:name w:val="标题 字符"/>
    <w:link w:val="868"/>
    <w:uiPriority w:val="10"/>
    <w:qFormat/>
    <w:rPr>
      <w:sz w:val="48"/>
      <w:szCs w:val="48"/>
    </w:rPr>
  </w:style>
  <w:style w:type="character" w:styleId="922" w:customStyle="1">
    <w:name w:val="副标题 字符"/>
    <w:link w:val="861"/>
    <w:uiPriority w:val="11"/>
    <w:qFormat/>
    <w:rPr>
      <w:sz w:val="24"/>
      <w:szCs w:val="24"/>
    </w:rPr>
  </w:style>
  <w:style w:type="paragraph" w:styleId="923">
    <w:name w:val="Quote"/>
    <w:basedOn w:val="836"/>
    <w:next w:val="836"/>
    <w:link w:val="924"/>
    <w:uiPriority w:val="29"/>
    <w:qFormat/>
    <w:pPr>
      <w:ind w:left="720" w:right="720"/>
    </w:pPr>
    <w:rPr>
      <w:i/>
    </w:rPr>
  </w:style>
  <w:style w:type="character" w:styleId="924" w:customStyle="1">
    <w:name w:val="引用 字符"/>
    <w:link w:val="923"/>
    <w:uiPriority w:val="29"/>
    <w:qFormat/>
    <w:rPr>
      <w:i/>
    </w:rPr>
  </w:style>
  <w:style w:type="paragraph" w:styleId="925">
    <w:name w:val="Intense Quote"/>
    <w:basedOn w:val="836"/>
    <w:next w:val="836"/>
    <w:link w:val="9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6" w:customStyle="1">
    <w:name w:val="明显引用 字符"/>
    <w:link w:val="925"/>
    <w:uiPriority w:val="30"/>
    <w:qFormat/>
    <w:rPr>
      <w:i/>
    </w:rPr>
  </w:style>
  <w:style w:type="character" w:styleId="927" w:customStyle="1">
    <w:name w:val="页眉 字符"/>
    <w:link w:val="858"/>
    <w:uiPriority w:val="99"/>
    <w:qFormat/>
  </w:style>
  <w:style w:type="character" w:styleId="928" w:customStyle="1">
    <w:name w:val="Footer Char"/>
    <w:uiPriority w:val="99"/>
    <w:qFormat/>
  </w:style>
  <w:style w:type="character" w:styleId="929" w:customStyle="1">
    <w:name w:val="页脚 字符"/>
    <w:link w:val="857"/>
    <w:uiPriority w:val="99"/>
    <w:qFormat/>
  </w:style>
  <w:style w:type="table" w:styleId="93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7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5" w:customStyle="1">
    <w:name w:val="脚注文本 字符"/>
    <w:link w:val="862"/>
    <w:uiPriority w:val="99"/>
    <w:qFormat/>
    <w:rPr>
      <w:sz w:val="18"/>
    </w:rPr>
  </w:style>
  <w:style w:type="character" w:styleId="1056" w:customStyle="1">
    <w:name w:val="尾注文本 字符"/>
    <w:link w:val="856"/>
    <w:uiPriority w:val="99"/>
    <w:qFormat/>
    <w:rPr>
      <w:sz w:val="20"/>
    </w:rPr>
  </w:style>
  <w:style w:type="paragraph" w:styleId="1057" w:customStyle="1">
    <w:name w:val="TOC 标题1"/>
    <w:uiPriority w:val="39"/>
    <w:unhideWhenUsed/>
    <w:qFormat/>
    <w:rPr>
      <w:rFonts w:hint="default" w:ascii="Times New Roman" w:hAnsi="Times New Roman" w:eastAsia="宋体" w:cs="Times New Roman"/>
      <w:lang w:val="en-US" w:eastAsia="zh-CN" w:bidi="ar-SA"/>
    </w:rPr>
  </w:style>
  <w:style w:type="paragraph" w:styleId="1058" w:customStyle="1">
    <w:name w:val="标题 11"/>
    <w:basedOn w:val="836"/>
    <w:next w:val="836"/>
    <w:uiPriority w:val="0"/>
    <w:qFormat/>
    <w:pPr>
      <w:keepLines/>
      <w:keepNext/>
      <w:spacing w:before="340" w:after="330" w:line="576" w:lineRule="auto"/>
      <w:outlineLvl w:val="0"/>
    </w:pPr>
    <w:rPr>
      <w:b/>
      <w:bCs/>
      <w:sz w:val="44"/>
      <w:szCs w:val="44"/>
    </w:rPr>
  </w:style>
  <w:style w:type="paragraph" w:styleId="1059" w:customStyle="1">
    <w:name w:val="标题 21"/>
    <w:basedOn w:val="836"/>
    <w:next w:val="836"/>
    <w:uiPriority w:val="0"/>
    <w:qFormat/>
    <w:pPr>
      <w:keepLines/>
      <w:keepNext/>
      <w:spacing w:before="260" w:after="260" w:line="415" w:lineRule="auto"/>
      <w:outlineLvl w:val="1"/>
    </w:pPr>
    <w:rPr>
      <w:rFonts w:ascii="Arial" w:hAnsi="Arial" w:eastAsia="黑体"/>
      <w:b/>
      <w:bCs/>
      <w:sz w:val="32"/>
      <w:szCs w:val="32"/>
    </w:rPr>
  </w:style>
  <w:style w:type="paragraph" w:styleId="1060" w:customStyle="1">
    <w:name w:val="标题 31"/>
    <w:basedOn w:val="836"/>
    <w:next w:val="836"/>
    <w:uiPriority w:val="0"/>
    <w:qFormat/>
    <w:pPr>
      <w:keepLines/>
      <w:keepNext/>
      <w:spacing w:before="260" w:after="260" w:line="415" w:lineRule="auto"/>
      <w:outlineLvl w:val="2"/>
    </w:pPr>
    <w:rPr>
      <w:b/>
      <w:bCs/>
      <w:sz w:val="32"/>
      <w:szCs w:val="32"/>
    </w:rPr>
  </w:style>
  <w:style w:type="paragraph" w:styleId="1061" w:customStyle="1">
    <w:name w:val="标题 41"/>
    <w:basedOn w:val="836"/>
    <w:next w:val="836"/>
    <w:uiPriority w:val="0"/>
    <w:qFormat/>
    <w:pPr>
      <w:keepLines/>
      <w:keepNext/>
      <w:spacing w:before="280" w:after="290" w:line="374" w:lineRule="auto"/>
      <w:outlineLvl w:val="3"/>
    </w:pPr>
    <w:rPr>
      <w:rFonts w:ascii="Cambria" w:hAnsi="Cambria"/>
      <w:b/>
      <w:bCs/>
      <w:sz w:val="28"/>
      <w:szCs w:val="28"/>
    </w:rPr>
  </w:style>
  <w:style w:type="character" w:styleId="1062" w:customStyle="1">
    <w:name w:val="默认段落字体1"/>
    <w:uiPriority w:val="0"/>
    <w:semiHidden/>
    <w:qFormat/>
  </w:style>
  <w:style w:type="table" w:styleId="1063" w:customStyle="1">
    <w:name w:val="普通表格1"/>
    <w:uiPriority w:val="0"/>
    <w:semiHidden/>
    <w:qFormat/>
    <w:tblPr>
      <w:tblCellMar>
        <w:left w:w="0" w:type="dxa"/>
        <w:top w:w="0" w:type="dxa"/>
        <w:right w:w="0" w:type="dxa"/>
        <w:bottom w:w="0" w:type="dxa"/>
      </w:tblCellMar>
    </w:tblPr>
  </w:style>
  <w:style w:type="paragraph" w:styleId="1064" w:customStyle="1">
    <w:name w:val="索引 81"/>
    <w:basedOn w:val="836"/>
    <w:next w:val="836"/>
    <w:uiPriority w:val="0"/>
    <w:semiHidden/>
    <w:qFormat/>
    <w:pPr>
      <w:ind w:left="1680" w:hanging="210"/>
      <w:jc w:val="left"/>
    </w:pPr>
    <w:rPr>
      <w:sz w:val="20"/>
      <w:szCs w:val="20"/>
    </w:rPr>
  </w:style>
  <w:style w:type="paragraph" w:styleId="1065" w:customStyle="1">
    <w:name w:val="正文缩进1"/>
    <w:basedOn w:val="836"/>
    <w:uiPriority w:val="0"/>
    <w:qFormat/>
    <w:pPr>
      <w:ind w:firstLine="420"/>
    </w:pPr>
  </w:style>
  <w:style w:type="paragraph" w:styleId="1066" w:customStyle="1">
    <w:name w:val="批注文字1"/>
    <w:basedOn w:val="836"/>
    <w:link w:val="1067"/>
    <w:uiPriority w:val="0"/>
    <w:qFormat/>
    <w:pPr>
      <w:jc w:val="left"/>
    </w:pPr>
  </w:style>
  <w:style w:type="character" w:styleId="1067" w:customStyle="1">
    <w:name w:val="批注文字 Char"/>
    <w:link w:val="1066"/>
    <w:uiPriority w:val="0"/>
    <w:qFormat/>
    <w:rPr>
      <w:sz w:val="21"/>
      <w:szCs w:val="24"/>
    </w:rPr>
  </w:style>
  <w:style w:type="paragraph" w:styleId="1068" w:customStyle="1">
    <w:name w:val="正文文本1"/>
    <w:basedOn w:val="836"/>
    <w:next w:val="1069"/>
    <w:uiPriority w:val="0"/>
    <w:unhideWhenUsed/>
    <w:qFormat/>
    <w:pPr>
      <w:spacing w:after="120"/>
    </w:pPr>
    <w:rPr>
      <w:sz w:val="20"/>
    </w:rPr>
  </w:style>
  <w:style w:type="paragraph" w:styleId="1069" w:customStyle="1">
    <w:name w:val="列表1"/>
    <w:basedOn w:val="836"/>
    <w:uiPriority w:val="0"/>
    <w:qFormat/>
    <w:pPr>
      <w:ind w:left="200" w:hanging="200"/>
    </w:pPr>
    <w:rPr>
      <w:szCs w:val="20"/>
    </w:rPr>
  </w:style>
  <w:style w:type="paragraph" w:styleId="1070" w:customStyle="1">
    <w:name w:val="正文文本缩进1"/>
    <w:basedOn w:val="836"/>
    <w:uiPriority w:val="0"/>
    <w:unhideWhenUsed/>
    <w:qFormat/>
    <w:pPr>
      <w:ind w:left="420"/>
      <w:spacing w:after="120"/>
    </w:pPr>
    <w:rPr>
      <w:sz w:val="24"/>
    </w:rPr>
  </w:style>
  <w:style w:type="paragraph" w:styleId="1071" w:customStyle="1">
    <w:name w:val="目录 31"/>
    <w:basedOn w:val="836"/>
    <w:next w:val="836"/>
    <w:uiPriority w:val="39"/>
    <w:unhideWhenUsed/>
    <w:qFormat/>
    <w:pPr>
      <w:ind w:left="840"/>
    </w:pPr>
  </w:style>
  <w:style w:type="paragraph" w:styleId="1072" w:customStyle="1">
    <w:name w:val="纯文本1"/>
    <w:basedOn w:val="836"/>
    <w:link w:val="1073"/>
    <w:uiPriority w:val="0"/>
    <w:unhideWhenUsed/>
    <w:qFormat/>
    <w:rPr>
      <w:rFonts w:ascii="宋体" w:hAnsi="Courier New"/>
      <w:sz w:val="20"/>
      <w:szCs w:val="21"/>
    </w:rPr>
  </w:style>
  <w:style w:type="character" w:styleId="1073" w:customStyle="1">
    <w:name w:val="纯文本 Char"/>
    <w:link w:val="1072"/>
    <w:uiPriority w:val="0"/>
    <w:qFormat/>
    <w:rPr>
      <w:rFonts w:ascii="宋体" w:hAnsi="Courier New"/>
      <w:szCs w:val="21"/>
    </w:rPr>
  </w:style>
  <w:style w:type="paragraph" w:styleId="1074" w:customStyle="1">
    <w:name w:val="正文文本缩进 21"/>
    <w:basedOn w:val="836"/>
    <w:uiPriority w:val="0"/>
    <w:qFormat/>
    <w:pPr>
      <w:ind w:firstLine="600"/>
      <w:spacing w:line="324" w:lineRule="auto"/>
    </w:pPr>
    <w:rPr>
      <w:rFonts w:ascii="Courier New" w:hAnsi="Courier New"/>
      <w:szCs w:val="20"/>
    </w:rPr>
  </w:style>
  <w:style w:type="paragraph" w:styleId="1075" w:customStyle="1">
    <w:name w:val="批注框文本1"/>
    <w:basedOn w:val="836"/>
    <w:uiPriority w:val="0"/>
    <w:unhideWhenUsed/>
    <w:qFormat/>
    <w:rPr>
      <w:sz w:val="18"/>
      <w:szCs w:val="18"/>
    </w:rPr>
  </w:style>
  <w:style w:type="paragraph" w:styleId="1076" w:customStyle="1">
    <w:name w:val="页脚1"/>
    <w:basedOn w:val="836"/>
    <w:link w:val="1077"/>
    <w:uiPriority w:val="99"/>
    <w:unhideWhenUsed/>
    <w:qFormat/>
    <w:pPr>
      <w:jc w:val="left"/>
      <w:tabs>
        <w:tab w:val="center" w:pos="4153" w:leader="none"/>
        <w:tab w:val="right" w:pos="8306" w:leader="none"/>
      </w:tabs>
    </w:pPr>
    <w:rPr>
      <w:sz w:val="18"/>
      <w:szCs w:val="18"/>
    </w:rPr>
  </w:style>
  <w:style w:type="character" w:styleId="1077" w:customStyle="1">
    <w:name w:val="页脚 Char"/>
    <w:link w:val="1076"/>
    <w:uiPriority w:val="99"/>
    <w:qFormat/>
    <w:rPr>
      <w:sz w:val="18"/>
      <w:szCs w:val="18"/>
    </w:rPr>
  </w:style>
  <w:style w:type="paragraph" w:styleId="1078" w:customStyle="1">
    <w:name w:val="页眉1"/>
    <w:basedOn w:val="836"/>
    <w:uiPriority w:val="0"/>
    <w:qFormat/>
    <w:pPr>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1079" w:customStyle="1">
    <w:name w:val="目录 11"/>
    <w:basedOn w:val="836"/>
    <w:next w:val="836"/>
    <w:uiPriority w:val="39"/>
    <w:unhideWhenUsed/>
    <w:qFormat/>
    <w:pPr>
      <w:tabs>
        <w:tab w:val="right" w:pos="9118" w:leader="dot"/>
      </w:tabs>
    </w:pPr>
  </w:style>
  <w:style w:type="paragraph" w:styleId="1080" w:customStyle="1">
    <w:name w:val="正文文本缩进 31"/>
    <w:basedOn w:val="836"/>
    <w:uiPriority w:val="0"/>
    <w:unhideWhenUsed/>
    <w:qFormat/>
    <w:pPr>
      <w:ind w:left="420"/>
      <w:spacing w:after="120"/>
    </w:pPr>
    <w:rPr>
      <w:sz w:val="16"/>
      <w:szCs w:val="16"/>
    </w:rPr>
  </w:style>
  <w:style w:type="paragraph" w:styleId="1081" w:customStyle="1">
    <w:name w:val="目录 21"/>
    <w:basedOn w:val="836"/>
    <w:next w:val="836"/>
    <w:uiPriority w:val="39"/>
    <w:qFormat/>
    <w:pPr>
      <w:ind w:left="420"/>
    </w:pPr>
  </w:style>
  <w:style w:type="paragraph" w:styleId="1082" w:customStyle="1">
    <w:name w:val="普通(网站)1"/>
    <w:basedOn w:val="836"/>
    <w:uiPriority w:val="0"/>
    <w:qFormat/>
    <w:pPr>
      <w:jc w:val="left"/>
      <w:spacing w:before="100" w:beforeAutospacing="1" w:after="100" w:afterAutospacing="1"/>
    </w:pPr>
    <w:rPr>
      <w:sz w:val="24"/>
    </w:rPr>
  </w:style>
  <w:style w:type="paragraph" w:styleId="1083" w:customStyle="1">
    <w:name w:val="批注主题1"/>
    <w:basedOn w:val="1066"/>
    <w:next w:val="1066"/>
    <w:link w:val="1084"/>
    <w:uiPriority w:val="0"/>
    <w:qFormat/>
    <w:rPr>
      <w:b/>
      <w:bCs/>
    </w:rPr>
  </w:style>
  <w:style w:type="character" w:styleId="1084" w:customStyle="1">
    <w:name w:val="批注主题 Char"/>
    <w:link w:val="1083"/>
    <w:uiPriority w:val="0"/>
    <w:qFormat/>
    <w:rPr>
      <w:b/>
      <w:bCs/>
      <w:sz w:val="21"/>
      <w:szCs w:val="24"/>
    </w:rPr>
  </w:style>
  <w:style w:type="paragraph" w:styleId="1085" w:customStyle="1">
    <w:name w:val="正文首行缩进 21"/>
    <w:basedOn w:val="1070"/>
    <w:next w:val="1068"/>
    <w:uiPriority w:val="0"/>
    <w:qFormat/>
    <w:pPr>
      <w:ind w:firstLine="200"/>
      <w:jc w:val="left"/>
    </w:pPr>
    <w:rPr>
      <w:rFonts w:ascii="宋体" w:hAnsi="宋体"/>
      <w:sz w:val="21"/>
    </w:rPr>
  </w:style>
  <w:style w:type="table" w:styleId="1086" w:customStyle="1">
    <w:name w:val="网格型1"/>
    <w:basedOn w:val="1063"/>
    <w:uiPriority w:val="99"/>
    <w:qFormat/>
    <w:tblPr>
      <w:tblCellMar>
        <w:left w:w="0" w:type="dxa"/>
        <w:top w:w="0" w:type="dxa"/>
        <w:right w:w="0" w:type="dxa"/>
        <w:bottom w:w="0" w:type="dxa"/>
      </w:tblCellMar>
    </w:tblPr>
  </w:style>
  <w:style w:type="character" w:styleId="1087" w:customStyle="1">
    <w:name w:val="页码1"/>
    <w:uiPriority w:val="0"/>
    <w:unhideWhenUsed/>
    <w:qFormat/>
    <w:rPr>
      <w:rFonts w:ascii="Times New Roman" w:hAnsi="Times New Roman" w:cs="Times New Roman"/>
    </w:rPr>
  </w:style>
  <w:style w:type="character" w:styleId="1088" w:customStyle="1">
    <w:name w:val="超链接1"/>
    <w:uiPriority w:val="99"/>
    <w:unhideWhenUsed/>
    <w:qFormat/>
    <w:rPr>
      <w:color w:val="0563c1"/>
      <w:u w:val="single"/>
    </w:rPr>
  </w:style>
  <w:style w:type="character" w:styleId="1089" w:customStyle="1">
    <w:name w:val="批注引用1"/>
    <w:uiPriority w:val="0"/>
    <w:qFormat/>
    <w:rPr>
      <w:sz w:val="21"/>
      <w:szCs w:val="21"/>
    </w:rPr>
  </w:style>
  <w:style w:type="character" w:styleId="1090" w:customStyle="1">
    <w:name w:val="16"/>
    <w:uiPriority w:val="0"/>
    <w:qFormat/>
    <w:rPr>
      <w:rFonts w:ascii="Times New Roman" w:hAnsi="Times New Roman" w:cs="Times New Roman"/>
      <w:sz w:val="21"/>
      <w:szCs w:val="21"/>
    </w:rPr>
  </w:style>
  <w:style w:type="paragraph" w:styleId="1091" w:customStyle="1">
    <w:name w:val="二级无"/>
    <w:basedOn w:val="1092"/>
    <w:uiPriority w:val="0"/>
    <w:qFormat/>
    <w:pPr>
      <w:numPr>
        <w:ilvl w:val="2"/>
        <w:numId w:val="1"/>
      </w:numPr>
    </w:pPr>
    <w:rPr>
      <w:rFonts w:ascii="宋体" w:eastAsia="宋体"/>
    </w:rPr>
  </w:style>
  <w:style w:type="paragraph" w:styleId="1092" w:customStyle="1">
    <w:name w:val="二级条标题"/>
    <w:basedOn w:val="1093"/>
    <w:next w:val="1094"/>
    <w:uiPriority w:val="0"/>
    <w:qFormat/>
    <w:pPr>
      <w:outlineLvl w:val="3"/>
    </w:pPr>
  </w:style>
  <w:style w:type="paragraph" w:styleId="1093" w:customStyle="1">
    <w:name w:val="一级条标题"/>
    <w:next w:val="1094"/>
    <w:uiPriority w:val="0"/>
    <w:qFormat/>
    <w:pPr>
      <w:outlineLvl w:val="2"/>
    </w:pPr>
    <w:rPr>
      <w:rFonts w:hint="default" w:ascii="Times New Roman" w:hAnsi="Times New Roman" w:eastAsia="黑体" w:cs="Times New Roman"/>
      <w:sz w:val="21"/>
      <w:lang w:val="en-US" w:eastAsia="zh-CN" w:bidi="ar-SA"/>
    </w:rPr>
  </w:style>
  <w:style w:type="paragraph" w:styleId="1094"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095" w:customStyle="1">
    <w:name w:val="三级无"/>
    <w:basedOn w:val="1096"/>
    <w:uiPriority w:val="0"/>
    <w:qFormat/>
    <w:pPr>
      <w:ind w:left="0"/>
    </w:pPr>
    <w:rPr>
      <w:rFonts w:ascii="宋体" w:eastAsia="宋体"/>
    </w:rPr>
  </w:style>
  <w:style w:type="paragraph" w:styleId="1096" w:customStyle="1">
    <w:name w:val="三级条标题"/>
    <w:basedOn w:val="1092"/>
    <w:next w:val="1094"/>
    <w:uiPriority w:val="0"/>
    <w:qFormat/>
    <w:pPr>
      <w:ind w:left="1620"/>
      <w:outlineLvl w:val="4"/>
    </w:pPr>
  </w:style>
  <w:style w:type="paragraph" w:styleId="1097" w:customStyle="1">
    <w:name w:val="章标题"/>
    <w:next w:val="1094"/>
    <w:uiPriority w:val="0"/>
    <w:qFormat/>
    <w:pPr>
      <w:jc w:val="both"/>
      <w:outlineLvl w:val="1"/>
    </w:pPr>
    <w:rPr>
      <w:rFonts w:hint="default" w:ascii="黑体" w:hAnsi="Times New Roman" w:eastAsia="黑体" w:cs="Times New Roman"/>
      <w:sz w:val="21"/>
      <w:lang w:val="en-US" w:eastAsia="zh-CN" w:bidi="ar-SA"/>
    </w:rPr>
  </w:style>
  <w:style w:type="paragraph" w:styleId="1098" w:customStyle="1">
    <w:name w:val="图说"/>
    <w:basedOn w:val="836"/>
    <w:uiPriority w:val="0"/>
    <w:qFormat/>
    <w:pPr>
      <w:jc w:val="center"/>
      <w:spacing w:before="60" w:after="160" w:line="312" w:lineRule="exact"/>
    </w:pPr>
    <w:rPr>
      <w:rFonts w:ascii="EU-F1" w:eastAsia="黑体"/>
      <w:sz w:val="20"/>
      <w:szCs w:val="21"/>
    </w:rPr>
  </w:style>
  <w:style w:type="paragraph" w:styleId="1099" w:customStyle="1">
    <w:name w:val="图片"/>
    <w:basedOn w:val="836"/>
    <w:uiPriority w:val="0"/>
    <w:qFormat/>
    <w:pPr>
      <w:jc w:val="center"/>
      <w:spacing w:before="160" w:after="60" w:line="240" w:lineRule="auto"/>
    </w:pPr>
    <w:rPr>
      <w:sz w:val="20"/>
      <w:szCs w:val="21"/>
    </w:rPr>
  </w:style>
  <w:style w:type="paragraph" w:styleId="1100" w:customStyle="1">
    <w:name w:val="样式2"/>
    <w:basedOn w:val="836"/>
    <w:uiPriority w:val="0"/>
    <w:qFormat/>
    <w:pPr>
      <w:jc w:val="center"/>
      <w:spacing w:before="120" w:after="120" w:line="312" w:lineRule="atLeast"/>
    </w:pPr>
    <w:rPr>
      <w:sz w:val="24"/>
      <w:szCs w:val="20"/>
    </w:rPr>
  </w:style>
  <w:style w:type="paragraph" w:styleId="1101" w:customStyle="1">
    <w:name w:val="1a"/>
    <w:basedOn w:val="836"/>
    <w:uiPriority w:val="0"/>
    <w:qFormat/>
    <w:pPr>
      <w:jc w:val="left"/>
      <w:spacing w:line="480" w:lineRule="auto"/>
      <w:widowControl/>
    </w:pPr>
    <w:rPr>
      <w:rFonts w:ascii="EU-F1" w:eastAsia="黑体"/>
      <w:color w:val="000000"/>
      <w:szCs w:val="21"/>
    </w:rPr>
  </w:style>
  <w:style w:type="paragraph" w:styleId="1102" w:customStyle="1">
    <w:name w:val="表头"/>
    <w:basedOn w:val="836"/>
    <w:uiPriority w:val="0"/>
    <w:qFormat/>
    <w:pPr>
      <w:spacing w:before="120" w:after="60" w:line="420" w:lineRule="atLeast"/>
    </w:pPr>
    <w:rPr>
      <w:rFonts w:ascii="黑体" w:eastAsia="黑体"/>
      <w:b/>
      <w:szCs w:val="20"/>
    </w:rPr>
  </w:style>
  <w:style w:type="paragraph" w:styleId="1103" w:customStyle="1">
    <w:name w:val="样式1"/>
    <w:uiPriority w:val="0"/>
    <w:qFormat/>
    <w:pPr>
      <w:jc w:val="center"/>
      <w:spacing w:line="480" w:lineRule="auto"/>
      <w:outlineLvl w:val="1"/>
    </w:pPr>
    <w:rPr>
      <w:rFonts w:hint="default" w:ascii="黑体" w:hAnsi="Times New Roman" w:eastAsia="黑体" w:cs="Times New Roman"/>
      <w:b/>
      <w:bCs/>
      <w:spacing w:val="16"/>
      <w:sz w:val="30"/>
      <w:szCs w:val="30"/>
      <w:lang w:val="en-US" w:eastAsia="zh-CN" w:bidi="ar-SA"/>
    </w:rPr>
  </w:style>
  <w:style w:type="paragraph" w:styleId="1104" w:customStyle="1">
    <w:name w:val="前言、引言标题"/>
    <w:next w:val="836"/>
    <w:uiPriority w:val="0"/>
    <w:qFormat/>
    <w:pPr>
      <w:jc w:val="center"/>
      <w:spacing w:before="640" w:after="560"/>
      <w:shd w:val="clear" w:color="auto" w:fill="ffffff"/>
      <w:outlineLvl w:val="0"/>
    </w:pPr>
    <w:rPr>
      <w:rFonts w:hint="default" w:ascii="黑体" w:hAnsi="Times New Roman" w:eastAsia="黑体" w:cs="Times New Roman"/>
      <w:sz w:val="32"/>
      <w:lang w:val="en-US" w:eastAsia="zh-CN" w:bidi="ar-SA"/>
    </w:rPr>
  </w:style>
  <w:style w:type="paragraph" w:styleId="1105" w:customStyle="1">
    <w:name w:val="_Style 135"/>
    <w:basedOn w:val="836"/>
    <w:next w:val="1106"/>
    <w:uiPriority w:val="1"/>
    <w:qFormat/>
    <w:pPr>
      <w:ind w:firstLine="420"/>
    </w:pPr>
  </w:style>
  <w:style w:type="paragraph" w:styleId="1106" w:customStyle="1">
    <w:name w:val="列出段落"/>
    <w:basedOn w:val="836"/>
    <w:uiPriority w:val="34"/>
    <w:qFormat/>
    <w:pPr>
      <w:ind w:firstLine="420"/>
    </w:pPr>
    <w:rPr>
      <w:rFonts w:ascii="Calibri" w:hAnsi="Calibri"/>
      <w:szCs w:val="22"/>
    </w:rPr>
  </w:style>
  <w:style w:type="paragraph" w:styleId="1107" w:customStyle="1">
    <w:name w:val="Table Paragraph"/>
    <w:basedOn w:val="836"/>
    <w:uiPriority w:val="1"/>
    <w:qFormat/>
    <w:pPr>
      <w:jc w:val="left"/>
    </w:pPr>
    <w:rPr>
      <w:rFonts w:ascii="宋体" w:hAnsi="宋体" w:cs="宋体"/>
      <w:sz w:val="22"/>
      <w:szCs w:val="22"/>
      <w:lang w:val="zh-CN" w:bidi="zh-CN"/>
    </w:rPr>
  </w:style>
  <w:style w:type="paragraph" w:styleId="1108" w:customStyle="1">
    <w:name w:val="格式３"/>
    <w:basedOn w:val="836"/>
    <w:uiPriority w:val="99"/>
    <w:qFormat/>
    <w:pPr>
      <w:ind w:left="600" w:hanging="600"/>
      <w:spacing w:line="420" w:lineRule="exact"/>
    </w:pPr>
    <w:rPr>
      <w:rFonts w:ascii="宋体" w:hAnsi="宋体"/>
      <w:color w:val="000000"/>
      <w:sz w:val="24"/>
      <w:szCs w:val="20"/>
    </w:rPr>
  </w:style>
  <w:style w:type="paragraph" w:styleId="1109" w:customStyle="1">
    <w:name w:val="目次、标准名称标题"/>
    <w:basedOn w:val="1104"/>
    <w:next w:val="836"/>
    <w:uiPriority w:val="0"/>
    <w:qFormat/>
    <w:pPr>
      <w:spacing w:line="460" w:lineRule="exact"/>
      <w:outlineLvl w:val="9"/>
    </w:pPr>
  </w:style>
  <w:style w:type="paragraph" w:styleId="1110" w:customStyle="1">
    <w:name w:val="Blockquote"/>
    <w:basedOn w:val="836"/>
    <w:uiPriority w:val="0"/>
    <w:qFormat/>
    <w:pPr>
      <w:ind w:left="360" w:right="360"/>
      <w:jc w:val="left"/>
      <w:spacing w:before="100" w:after="100"/>
    </w:pPr>
    <w:rPr>
      <w:sz w:val="24"/>
      <w:szCs w:val="20"/>
    </w:rPr>
  </w:style>
  <w:style w:type="paragraph" w:styleId="1111"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2" w:customStyle="1">
    <w:name w:val="普通正文"/>
    <w:basedOn w:val="836"/>
    <w:uiPriority w:val="0"/>
    <w:qFormat/>
    <w:pPr>
      <w:ind w:firstLine="480"/>
      <w:jc w:val="left"/>
      <w:spacing w:before="120" w:after="120"/>
    </w:pPr>
    <w:rPr>
      <w:rFonts w:ascii="Arial" w:hAnsi="Arial"/>
      <w:sz w:val="24"/>
    </w:rPr>
  </w:style>
  <w:style w:type="paragraph" w:styleId="1113" w:customStyle="1">
    <w:name w:val="首行缩进"/>
    <w:basedOn w:val="836"/>
    <w:uiPriority w:val="0"/>
    <w:qFormat/>
    <w:pPr>
      <w:ind w:firstLine="480"/>
      <w:jc w:val="left"/>
    </w:pPr>
    <w:rPr>
      <w:rFonts w:ascii="宋体" w:hAnsi="宋体"/>
      <w:sz w:val="24"/>
    </w:rPr>
  </w:style>
  <w:style w:type="paragraph" w:styleId="1114" w:customStyle="1">
    <w:name w:val="列出段落11"/>
    <w:basedOn w:val="836"/>
    <w:uiPriority w:val="99"/>
    <w:semiHidden/>
    <w:qFormat/>
    <w:pPr>
      <w:ind w:firstLine="420"/>
      <w:spacing w:before="40" w:after="160"/>
      <w:widowControl/>
    </w:pPr>
    <w:rPr>
      <w:rFonts w:ascii="Cambria" w:hAnsi="Cambria" w:eastAsia="微软雅黑" w:cs="Cambria"/>
      <w:color w:val="565656"/>
      <w:szCs w:val="21"/>
      <w:lang w:val="zh-CN"/>
    </w:rPr>
  </w:style>
  <w:style w:type="paragraph" w:styleId="1115" w:customStyle="1">
    <w:name w:val="无间隔1"/>
    <w:uiPriority w:val="1"/>
    <w:qFormat/>
    <w:pPr>
      <w:ind w:firstLine="200"/>
      <w:widowControl w:val="off"/>
    </w:pPr>
    <w:rPr>
      <w:rFonts w:hint="default" w:ascii="Times New Roman" w:hAnsi="Times New Roman" w:eastAsia="宋体" w:cs="Times New Roman"/>
      <w:color w:val="7030a0"/>
      <w:sz w:val="24"/>
      <w:szCs w:val="24"/>
      <w:lang w:val="en-US" w:eastAsia="zh-CN" w:bidi="ar-SA"/>
    </w:rPr>
  </w:style>
  <w:style w:type="paragraph" w:styleId="1116" w:customStyle="1">
    <w:name w:val="正文表标题"/>
    <w:next w:val="1094"/>
    <w:uiPriority w:val="0"/>
    <w:qFormat/>
    <w:pPr>
      <w:numPr>
        <w:ilvl w:val="0"/>
        <w:numId w:val="2"/>
      </w:numPr>
      <w:jc w:val="center"/>
    </w:pPr>
    <w:rPr>
      <w:rFonts w:hint="default" w:ascii="黑体" w:hAnsi="Times New Roman" w:eastAsia="黑体" w:cs="Times New Roman"/>
      <w:sz w:val="21"/>
      <w:lang w:val="en-US" w:eastAsia="zh-CN" w:bidi="ar-SA"/>
    </w:rPr>
  </w:style>
  <w:style w:type="paragraph" w:styleId="111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18" w:customStyle="1">
    <w:name w:val="正文_5"/>
    <w:next w:val="1119"/>
    <w:uiPriority w:val="0"/>
    <w:qFormat/>
    <w:pPr>
      <w:jc w:val="both"/>
      <w:widowControl w:val="off"/>
    </w:pPr>
    <w:rPr>
      <w:rFonts w:hint="default" w:ascii="Calibri" w:hAnsi="Calibri" w:eastAsia="宋体" w:cs="Times New Roman"/>
      <w:sz w:val="21"/>
      <w:szCs w:val="22"/>
      <w:lang w:val="en-US" w:eastAsia="zh-CN" w:bidi="ar-SA"/>
    </w:rPr>
  </w:style>
  <w:style w:type="paragraph" w:styleId="1119" w:customStyle="1">
    <w:name w:val="标题 3_1"/>
    <w:basedOn w:val="1118"/>
    <w:next w:val="1118"/>
    <w:uiPriority w:val="0"/>
    <w:qFormat/>
    <w:pPr>
      <w:keepLines/>
      <w:keepNext/>
      <w:spacing w:before="260" w:after="260" w:line="416" w:lineRule="auto"/>
      <w:outlineLvl w:val="2"/>
    </w:pPr>
    <w:rPr>
      <w:rFonts w:ascii="Times New Roman" w:hAnsi="Times New Roman"/>
      <w:b/>
      <w:bCs/>
      <w:sz w:val="32"/>
      <w:szCs w:val="32"/>
    </w:rPr>
  </w:style>
  <w:style w:type="paragraph" w:styleId="1120" w:customStyle="1">
    <w:name w:val="标题3"/>
    <w:basedOn w:val="836"/>
    <w:uiPriority w:val="0"/>
    <w:qFormat/>
    <w:pPr>
      <w:jc w:val="center"/>
      <w:pageBreakBefore/>
      <w:outlineLvl w:val="2"/>
    </w:pPr>
    <w:rPr>
      <w:rFonts w:ascii="黑体" w:hAnsi="黑体" w:eastAsia="黑体"/>
      <w:b/>
      <w:sz w:val="32"/>
      <w:szCs w:val="32"/>
    </w:rPr>
  </w:style>
  <w:style w:type="paragraph" w:styleId="1121" w:customStyle="1">
    <w:name w:val="标题 51"/>
    <w:basedOn w:val="836"/>
    <w:uiPriority w:val="1"/>
    <w:qFormat/>
    <w:pPr>
      <w:ind w:left="332"/>
      <w:jc w:val="left"/>
      <w:outlineLvl w:val="5"/>
    </w:pPr>
    <w:rPr>
      <w:rFonts w:ascii="微软雅黑" w:hAnsi="微软雅黑" w:eastAsia="微软雅黑" w:cs="微软雅黑"/>
      <w:b/>
      <w:bCs/>
      <w:sz w:val="24"/>
      <w:lang w:val="zh-CN" w:bidi="zh-CN"/>
    </w:rPr>
  </w:style>
  <w:style w:type="paragraph" w:styleId="1122"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123" w:customStyle="1">
    <w:name w:val="Table Text"/>
    <w:basedOn w:val="836"/>
    <w:uiPriority w:val="0"/>
    <w:semiHidden/>
    <w:qFormat/>
    <w:rPr>
      <w:rFonts w:ascii="宋体" w:hAnsi="宋体" w:cs="宋体"/>
      <w:sz w:val="28"/>
      <w:szCs w:val="28"/>
      <w:lang w:eastAsia="en-US"/>
    </w:rPr>
  </w:style>
  <w:style w:type="character" w:styleId="1124" w:customStyle="1">
    <w:name w:val="font41"/>
    <w:basedOn w:val="1062"/>
    <w:uiPriority w:val="0"/>
    <w:qFormat/>
    <w:rPr>
      <w:rFonts w:hint="eastAsia" w:ascii="宋体" w:hAnsi="宋体" w:eastAsia="宋体" w:cs="宋体"/>
      <w:color w:val="000000"/>
      <w:sz w:val="18"/>
      <w:szCs w:val="18"/>
      <w:u w:val="none"/>
    </w:rPr>
  </w:style>
  <w:style w:type="character" w:styleId="1125" w:customStyle="1">
    <w:name w:val="font51"/>
    <w:basedOn w:val="1062"/>
    <w:uiPriority w:val="0"/>
    <w:qFormat/>
    <w:rPr>
      <w:rFonts w:hint="eastAsia" w:ascii="宋体" w:hAnsi="宋体" w:eastAsia="宋体" w:cs="宋体"/>
      <w:b/>
      <w:bCs/>
      <w:color w:val="000000"/>
      <w:sz w:val="18"/>
      <w:szCs w:val="18"/>
      <w:u w:val="none"/>
    </w:rPr>
  </w:style>
  <w:style w:type="character" w:styleId="1126" w:customStyle="1">
    <w:name w:val="font21"/>
    <w:basedOn w:val="1062"/>
    <w:uiPriority w:val="0"/>
    <w:qFormat/>
    <w:rPr>
      <w:rFonts w:hint="eastAsia" w:ascii="宋体" w:hAnsi="宋体" w:eastAsia="宋体" w:cs="宋体"/>
      <w:color w:val="000000"/>
      <w:sz w:val="18"/>
      <w:szCs w:val="18"/>
      <w:u w:val="none"/>
    </w:rPr>
  </w:style>
  <w:style w:type="character" w:styleId="1127" w:customStyle="1">
    <w:name w:val="font31"/>
    <w:basedOn w:val="846"/>
    <w:uiPriority w:val="0"/>
    <w:qFormat/>
    <w:rPr>
      <w:rFonts w:hint="eastAsia" w:ascii="宋体" w:hAnsi="宋体" w:eastAsia="宋体" w:cs="宋体"/>
      <w:color w:val="000000"/>
      <w:sz w:val="20"/>
      <w:szCs w:val="20"/>
      <w:u w:val="none"/>
    </w:rPr>
  </w:style>
  <w:style w:type="character" w:styleId="1128" w:customStyle="1">
    <w:name w:val="font61"/>
    <w:basedOn w:val="846"/>
    <w:uiPriority w:val="0"/>
    <w:qFormat/>
    <w:rPr>
      <w:rFonts w:hint="eastAsia" w:ascii="宋体" w:hAnsi="宋体" w:eastAsia="宋体" w:cs="宋体"/>
      <w:b/>
      <w:bCs/>
      <w:color w:val="000000"/>
      <w:sz w:val="20"/>
      <w:szCs w:val="20"/>
      <w:u w:val="none"/>
    </w:rPr>
  </w:style>
  <w:style w:type="paragraph" w:styleId="1129"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numbering" w:styleId="189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Vig</dc:creator>
  <cp:lastModifiedBy>姚晨</cp:lastModifiedBy>
  <cp:revision>7</cp:revision>
  <dcterms:created xsi:type="dcterms:W3CDTF">2026-07-10T00:38:00Z</dcterms:created>
  <dcterms:modified xsi:type="dcterms:W3CDTF">2026-08-28T01:18:21Z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DDB9B1A2C0F44BE59C8CE0F7D2852854_13</vt:lpwstr>
  </property>
  <property fmtid="{D5CDD505-2E9C-101B-9397-08002B2CF9AE}" pid="4" name="KSOTemplateDocerSaveRecord">
    <vt:lpwstr>eyJoZGlkIjoiZWYyNzdlNmM5Y2I4YWZmYjVkYzRlODRhMDk1NmQ0OTIiLCJ1c2VySWQiOiIzNjE3NzY3MzUifQ==</vt:lpwstr>
  </property>
</Properties>
</file>