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项目名称：金陵科技学院软件工程学院智能科学与技术专业实践教学平台建设</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rPr>
          <w:rFonts w:ascii="Times New Roman" w:hAnsi="Times New Roman" w:eastAsia="Times New Roman" w:cs="Times New Roman"/>
          <w:b/>
          <w:color w:val="000000"/>
          <w:sz w:val="32"/>
        </w:rPr>
        <w:t xml:space="preserve">JSZC-320100-JZCG-G2026-0236</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8"/>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南京市公共资源交易中心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8</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6"/>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3</w:t>
      </w:r>
      <w:r/>
    </w:p>
    <w:p>
      <w:pPr>
        <w:numPr>
          <w:ilvl w:val="0"/>
          <w:numId w:val="6"/>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5</w:t>
      </w:r>
      <w:r/>
    </w:p>
    <w:p>
      <w:pPr>
        <w:numPr>
          <w:ilvl w:val="0"/>
          <w:numId w:val="6"/>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合同文本……………………………………15</w:t>
      </w:r>
      <w:r/>
    </w:p>
    <w:p>
      <w:pPr>
        <w:numPr>
          <w:ilvl w:val="0"/>
          <w:numId w:val="6"/>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采购需求……………………………………19</w:t>
      </w:r>
      <w:r/>
    </w:p>
    <w:p>
      <w:pPr>
        <w:numPr>
          <w:ilvl w:val="0"/>
          <w:numId w:val="6"/>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评标方法与评标标准………………………31</w:t>
      </w:r>
      <w:r/>
    </w:p>
    <w:p>
      <w:pPr>
        <w:numPr>
          <w:ilvl w:val="0"/>
          <w:numId w:val="6"/>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投标文件格式………………………………34</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p>
    <w:p>
      <w:pPr>
        <w:ind w:left="0" w:right="84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rPr>
          <w:rFonts w:ascii="Arial" w:hAnsi="Arial" w:eastAsia="Arial" w:cs="Arial"/>
          <w:color w:val="000000"/>
          <w:sz w:val="36"/>
        </w:rPr>
        <w:t xml:space="preserve">第一章投标邀请</w:t>
      </w:r>
      <w:r>
        <w:rPr>
          <w:rFonts w:ascii="Times New Roman" w:hAnsi="Times New Roman" w:eastAsia="Times New Roman" w:cs="Times New Roman"/>
          <w:sz w:val="21"/>
        </w:rPr>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03"/>
        <w:ind w:left="0" w:right="0" w:firstLine="465"/>
        <w:jc w:val="both"/>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一、项目基本情况</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1.项目编号：</w:t>
      </w:r>
      <w:r>
        <w:rPr>
          <w:rFonts w:ascii="SimSun" w:hAnsi="SimSun" w:eastAsia="SimSun" w:cs="SimSun"/>
          <w:color w:val="000000"/>
          <w:sz w:val="24"/>
        </w:rPr>
        <w:t xml:space="preserve">JSZC-320100-JZCG-G2026-0236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2.项目名称：金陵科技学院软件工程学院智能科学与技术专业实践教学平台建设</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3.预算金额：180万元；</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4.最高限价：180万元；</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5.采购需求（简介）：该项目含网络搭建组网设备、人工智能教学实验箱、机械臂、台式计算机、交互智能一体机等设备。（详细内容见本招标文件第四章）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6.合同履行期限：合同签订后20天内交付并完成安装调试及验收等相关工作。</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8.本项目不接受进口产品投标。</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9.本项目不允许分包。</w:t>
      </w:r>
      <w:r/>
    </w:p>
    <w:p>
      <w:pPr>
        <w:pStyle w:val="703"/>
        <w:ind w:left="0" w:right="0" w:firstLine="465"/>
        <w:jc w:val="both"/>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二、申请人的资格要求</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1.满足《中华人民共和国政府采购法》第二十二条规定，提供《信用承诺函》（格式见第六章）。</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2.未被“信用中国”网站列入失信被执行人、重大税收违法失信主体名单、政府采购严重违法失信行为记录名单。（资格审查环节查询，投标文件中无需提供证明材料）</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（二）落实政府采购政策需满足的资格要求：无。</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（三）本项目特定资格要求：无。</w:t>
      </w:r>
      <w:r/>
    </w:p>
    <w:p>
      <w:pPr>
        <w:pStyle w:val="703"/>
        <w:ind w:left="0" w:right="0" w:firstLine="465"/>
        <w:jc w:val="both"/>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2.方式：在“江苏政府采购网”免费下载。</w:t>
      </w:r>
      <w:r/>
    </w:p>
    <w:p>
      <w:pPr>
        <w:pStyle w:val="703"/>
        <w:ind w:left="0" w:right="0" w:firstLine="465"/>
        <w:jc w:val="both"/>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1.提交投标文件截止时间、开标时间</w:t>
      </w:r>
      <w:r>
        <w:rPr>
          <w:rFonts w:ascii="SimSun" w:hAnsi="SimSun" w:eastAsia="SimSun" w:cs="SimSun"/>
          <w:color w:val="000000"/>
          <w:sz w:val="24"/>
        </w:rPr>
        <w:t xml:space="preserve">：</w:t>
      </w:r>
      <w:r>
        <w:rPr>
          <w:rFonts w:ascii="SimSun" w:hAnsi="SimSun" w:eastAsia="SimSun" w:cs="SimSun"/>
          <w:color w:val="000000" w:themeColor="text1"/>
          <w:sz w:val="24"/>
        </w:rPr>
        <w:t xml:space="preserve">2026年8月28日9时30分</w:t>
      </w:r>
      <w:r>
        <w:rPr>
          <w:rFonts w:ascii="SimSun" w:hAnsi="SimSun" w:eastAsia="SimSun" w:cs="SimSun"/>
          <w:color w:val="000000"/>
          <w:sz w:val="24"/>
        </w:rPr>
        <w:t xml:space="preserve">（北京时间）。</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pStyle w:val="703"/>
        <w:ind w:left="0" w:right="0" w:firstLine="465"/>
        <w:jc w:val="both"/>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五、公告期限</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公告期限为自本公告发布之日起5个工作日。</w:t>
      </w:r>
      <w:r/>
    </w:p>
    <w:p>
      <w:pPr>
        <w:pStyle w:val="703"/>
        <w:ind w:left="0" w:right="0" w:firstLine="498"/>
        <w:jc w:val="both"/>
        <w:spacing w:before="145" w:after="145" w:line="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六、其他事宜</w:t>
      </w:r>
      <w:r/>
    </w:p>
    <w:p>
      <w:pPr>
        <w:ind w:left="0" w:right="0" w:firstLine="480"/>
        <w:jc w:val="both"/>
        <w:spacing w:before="0" w:after="0" w:line="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本次招标不收取投标保证金。</w:t>
      </w:r>
      <w:r/>
    </w:p>
    <w:p>
      <w:pPr>
        <w:ind w:left="0" w:right="0" w:firstLine="480"/>
        <w:jc w:val="both"/>
        <w:spacing w:before="0" w:after="0" w:line="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2.本项目不组织勘察及答疑，供应商如对采购需求有疑问，请咨询采购单位联系人。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4.有关本次招标的事项若存在变动或修改，请及时关注“江苏政府采购网”（www.ccgp-jiangsu.gov.cn）更正公告。</w:t>
      </w:r>
      <w:r/>
    </w:p>
    <w:p>
      <w:pPr>
        <w:ind w:left="0" w:right="0" w:firstLine="482"/>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对采购方式、采购需求、投标人资格要求、评标方法和评标标准、合同文本、招标项目资格审查结果的询问或质疑向采购人提出，由采购人负责答复。对上述事项以外的询问或质疑向交易中心提出，由交易中心负责答复。</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采购人《质疑函》收件人：胡老师，收件地址：南京市江宁区弘景大道99号，联系电话：18168092293。</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交易中心《质疑函》收件人：南京市公共资源交易中心政府集中采购处，收件地址：南京市建邺区江东中路265号南京市公共资源交易中心北门，联系电话：025-68505926。</w:t>
      </w:r>
      <w:r/>
    </w:p>
    <w:p>
      <w:pPr>
        <w:pStyle w:val="703"/>
        <w:ind w:left="0" w:right="0" w:firstLine="465"/>
        <w:jc w:val="both"/>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称：金陵科技学院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址：南京市江宁区弘景大道99号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联系人：胡老师</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联系电话：18168092293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2.交易中心</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地址：南京市建邺区江东中路265号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联系人：马女士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联系电话：025-68505961 </w:t>
      </w:r>
      <w:r/>
    </w:p>
    <w:p>
      <w:pPr>
        <w:ind w:left="0" w:right="0" w:firstLine="0"/>
        <w:jc w:val="center"/>
        <w:spacing w:before="240" w:after="240"/>
        <w:tabs>
          <w:tab w:val="left" w:pos="46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u w:val="none"/>
        </w:rPr>
        <w:t xml:space="preserve">第二章 投标人须知</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一、总则</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1.招标方式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本次招标采取公开招标方式，本文件仅适用于招标公告中所述项目。</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2.合格的投标人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满足招标公告对投标人资格要求。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满足招标文件规定的实质性要求。</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4.投标费用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投标人应自行承担所有与参加投标有关的费用，交易中心在任何情况下均无义务和责任承担这些费用。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本次招标交易中心和采购人不收取标书工本费与中标服务费。</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投标人一旦参加本项目采购活动，即被认为接受了本文件的规定和约束。</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二、招标文件</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6.招标文件构成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7.招标文件的澄清或修改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在投标截止时间前，交易中心可以对已发出的招标文件进行必要的澄清或者修改，并在原公告发布媒体发布更正公告，澄清或者修改的内容将作为招标文件的组成部分，并对投标人具有约束力。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投标人应在投标截止时间前，关注原公告发布媒体有关本项目的更正公告，根据更正公告内容自行决定是否需要重新制作和提交投标文件，并承担由此产生的相应责任。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交易中心有权按照法定要求推迟投标截止日期和开标日期，并在原公告发布媒体发布更正公告。</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8.投标文件的语言及度量衡单位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投标人提交的投标文件以及投标人与交易中心就有关投标的所有来往通知、函件和文件均应使用简体中文。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9.投标文件构成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投标文件应包括资格证明文件、符合性证明文件、开标一览表、投标分项报价表（如有）、响应及偏离表、投标函、法定代表人授权委托书。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w:t>
      </w:r>
      <w:r>
        <w:rPr>
          <w:rFonts w:ascii="SimSun" w:hAnsi="SimSun" w:eastAsia="SimSun" w:cs="SimSun"/>
          <w:b/>
          <w:color w:val="000000"/>
          <w:sz w:val="24"/>
        </w:rPr>
        <w:t xml:space="preserve">如标书制作工具与“江苏政府采购网”发布的招标文件内容不一致，以“江苏政府采购网”发布的招标文件内容为准。</w:t>
      </w:r>
      <w:r/>
    </w:p>
    <w:p>
      <w:pPr>
        <w:ind w:left="0" w:right="0" w:firstLine="49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10.投标报价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投标文件中的单价和总价无特殊规定的采用人民币报价，以元为单位标注。招标文件另有规定的按规定执行。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w:t>
      </w:r>
      <w:r>
        <w:rPr>
          <w:rFonts w:ascii="SimSun" w:hAnsi="SimSun" w:eastAsia="SimSun" w:cs="SimSun"/>
          <w:b/>
          <w:color w:val="000000"/>
          <w:sz w:val="24"/>
        </w:rPr>
        <w:t xml:space="preserve">投标人应按照招标文件规定完整、准确填报开标一览表和投标分项报价表（如有），否则作为无效投标。</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11.响应及偏离表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投标人需对招标文件中的技术要求与商务要求逐项作出响应或偏离说明。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投标人可以在投标文件中提供认为需要的其他技术文件或说明。</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12.投标函和授权委托书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w:t>
      </w:r>
      <w:r>
        <w:rPr>
          <w:rFonts w:ascii="SimSun" w:hAnsi="SimSun" w:eastAsia="SimSun" w:cs="SimSun"/>
          <w:b/>
          <w:color w:val="000000"/>
          <w:sz w:val="24"/>
        </w:rPr>
        <w:t xml:space="preserve">投标人应按照招标文件规定完整、正确填报投标函和法定代表人授权委托书，否则作为无效投标。</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13.投标有效期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投标有效期为招标公告规定的开标之日起六十天。投标有效期比规定短的将被视为未实质性响应招标文件，其投标将被拒绝。</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14.投标有效期的延长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四、投标文件的递交、撤回和修改</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投标人应在招标公告规定的投标截止时间前制作并上传电子投标文件。投标截止时间后上传的投标文件将被拒绝。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投标人应充分考虑网络环境、网络带宽等因素可能对投标产生的影响，如因投标人自身原因造成的电子投标文件上传不成功的，按照本招标文件第二章第22.1条规定作无效投标处理。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交易中心可以按照规定，通过修改招标文件酌情延长投标截止时间，在此情况下，投标人的所有权利和义务均以延长后新的截止时间为准。</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16.投标文件的撤回和修改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 投标人可在投标截止时间前撤回其电子投标文件。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投标人撤回电子投标文件，则认为其不再参与本项目投标活动。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在投标截止时间至招标文件中规定的投标有效期满之间的这段时间内，投标人不得撤回其投标。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投标文件的修改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投标人可在投标截止时间前对其电子投标文件进行修改。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 投标截止时间之后，投标人不得对其电子投标文件作任何修改。</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17.开标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交易中心在招标公告中规定的时间和地点组织公开开标。投标人参加开标活动，并在苏采云系统规定的时间内对投标文件进行解密。苏采云系统公布各投标人名称和投标价格。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投标人在开标过程中通过苏采云系统进行投标文件解密、开标结果确认等工作。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投标人如果对开标过程和开标结果有疑义，应在苏采云系统提出，苏采云系统中《开标记录表》公布后5分钟内未提出的，视同认可开标结果。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如出现投标截止时间递交投标文件的投标人不足三家的情况，按政府采购相关规定执行。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评标由依法组建的评标委员会（以下简称“评委会”）进行。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评委会由采购人代表和有关方面专家组成，人员构成符合政府采购有关规定。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评委会独立工作，负责评审所有投标文件并推荐中标候选人，或根据采购人授权直接确定中标人。</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19.评标过程的保密与公正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凡是与审查、澄清、评价和比较投标的有关资料以及授标建议等，采购人、评委、交易中心均不得向投标人或与评标无关的其他人员透露。</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投标人不得以任何方式影响评标。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交易中心和评委会不向未中标的投标人解释未中标原因，也不公布评标过程中的相关细节。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 采用综合评分法的项目，未中标的投标人可于中标结果公告期限届满之日起通过苏采云系统查看本单位的评审得分及排名情况。</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20.投标文件的澄清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接到评委会澄清、说明和补正要求的，投标人如未按规定作出澄清、说明和补正，其风险由投标人自行承担。</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21.投标文件的审查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投标文件审查分为资格审查和符合性审查。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资格审查。依据法律法规和招标文件规定，由采购人对投标文件中的资格证明文件进行审查，并向评委会反馈审查结论。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采购人进行资格审查时，将在“信用中国”网站查询投标人的信用记录，以确定投标人是否具备投标资格，查询结果留存并归档。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符合性审查。评委会对通过资格审查的投标人的投标文件进行符合性审查，以确定其是否满足招标文件的实质性要求。</w:t>
      </w:r>
      <w:r>
        <w:rPr>
          <w:rFonts w:ascii="SimSun" w:hAnsi="SimSun" w:eastAsia="SimSun" w:cs="SimSun"/>
          <w:b/>
          <w:color w:val="000000"/>
          <w:sz w:val="24"/>
        </w:rPr>
        <w:t xml:space="preserve">本文件中打“★”内容为实质性要求。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21.1.3 未通过资格审查或符合性审查的投标人，评委会将通过苏采云系统告知其具体原因，评标结束后不再接受有关询问。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评委会将对确定为实质性响应的投标进行进一步审核，确定其是否有计算上或累加上的算术错误。投标文件报价出现前后不一致的，按照下列规定修正：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评委会按上述规定修正投标文件报价的，应通过苏采云系统要求投标人确认，修正后的报价按照本章第20条规定经投标人确认后产生约束力，投标人不确认的，其投标无效。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投标人在开、评标全过程中应保持通讯畅通，及时登录苏采云系统查阅、答复相关信息。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 异常低价审查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21.6.1评标过程中出现下列情形之一的，评委会应当启动异常低价审查程序：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（1）投标报价低于全部通过符合性审查投标人投标报价平均值55%的，即投标报价&lt;全部通过符合性审查投标人投标报价平均值×55%；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（2）投标报价低于通过符合性审查的次低报价投标人投标报价55%的，即投标报价&lt;通过符合性审查的次低报价投标人投标报价×55%；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（3）投标报价低于采购项目最高限价60%的，即投标报价&lt;采购项目最高限价×60%；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（4）评委会基于专业判断，认为投标报价过低，有可能影响产品质量或者不能诚信履约的其他情形。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21.6.2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22.无效投标和废标</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22.1 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 未在招标文件规定时间内上传电子投标文件。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 未在苏采云系统规定时间内成功解密电子投标文件。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 同一投标人提交两个（含两个）以上不同的投标报价（招标文件另有约定的除外）。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22.1.4 投标人不具备招标文件中规定的资格要求。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22.1.5 投标人的报价超过了采购预算或最高限价或单价上限。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22.1.6 未通过符合性审查。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22.1.7 投标文件含有采购人不能接受的附加条件。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22.1.8 评委会按照本招标文件规定对投标人进行异常低价审查后，认为投标人不能证明其报价合理性的。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22.1.9 投标文件未按照招标文件要求加盖电子公章。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22.1.10 投标人串通投标。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22.1.11 法律法规及本招标文件规定的其他无效投标情形。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w:t>
      </w:r>
      <w:r>
        <w:rPr>
          <w:rFonts w:ascii="SimSun" w:hAnsi="SimSun" w:eastAsia="SimSun" w:cs="SimSun"/>
          <w:b/>
          <w:color w:val="000000"/>
          <w:sz w:val="24"/>
        </w:rPr>
        <w:t xml:space="preserve">有下列情形之一的视为投标人串通投标：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 不同投标人的投标文件由同一单位或者个人编制。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22.2.2 不同投标人委托同一单位或者个人办理投标事宜。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22.2.3 不同投标人的投标文件载明的项目管理成员或者联系人员为同一人。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22.2.4 不同投标人的投标文件异常一致或者投标报价呈规律性差异。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22.2.5 不同投标人的投标文件相互混装。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22.2.6 不同投标人的MAC地址或标书制作工具客户端标识码一致。</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22.3 废标情形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22.3.1 符合专业条件的投标人或者对招标文件作实质响应的投标人不足三家。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22.3.2 出现影响采购公正的违法、违规行为。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22.3.3 投标人的报价均超过了采购预算或最高限价。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22.3.4 因重大变故，采购任务取消。</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23.确定中标单位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中标候选人的确定原则和数量见招标文件第五章。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按以下第（2）种方式确定中标人：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按第二种方式确定中标人的，交易中心自评审结束之日起两个工作日内将评审报告送达采购人，采购人自收到评审报告之日起五个工作日内，在评审报告推荐的中标候选人中按顺序确定中标人。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交易中心将在“江苏政府采购网”发布中标公告，公告期限为1个工作日。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23.4.1 提供虚假材料谋取中标。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23.4.2 向评审专家、采购人或交易中心工作人员行贿或者提供其他不正当利益。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23.4.3 与其他投标人、评审专家、采购人或交易中心工作人员恶意串通。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23.4.4 属于本文件规定的无效投标情形，但在评标过程中未被评委会发现。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23.4.5 采取不正当手段诋毁、排挤其他投标人。</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24.中标通知书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中标结果确定后，交易中心将向中标人发出《中标通知书》。中标人可在中标结果公告届满之日起三十日内，登录苏采云系统下载。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《中标通知书》是合同的一个组成部分，对采购人和中标人均具有法律效力。《中标通知书》发出后，采购人改变中标结果或者中标人放弃中标项目的，应当依法承担法律责任。</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七、授予合同</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中标人应当在《中标通知书》发出之日起三十日内，按照招标文件确定的事项与采购人签订政府采购合同。采购人于合同签订后2个工作日内通过苏采云系统进行公示。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招标文件、中标人的投标文件及招标过程中有关澄清、承诺文件均作为合同附件。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25.4中标人不得将合同标的进行转包，否则采购人有权取消其中标资格或终止合同。转包造成采购人损失的，中标人应承担相应赔偿责任。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中标人因自身原因拒绝与采购人签订合同的，不得参加采购人重新组织的采购活动，且将可能被拒绝参加该采购人一年内的其他政府采购活动。</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26.标的物的追加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中标人可通过南京市公共资源交易平台网站“小企业融资平台”，选择相应的金融机构办理融资贷款。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依据《关于在全省政府采购领域推行电子履约保函（保险）的通知》（苏财购〔2023〕150号），需要缴纳履约保证金的，中标人可通过江苏政府采购网“政府采购电子履约保函（保险）综合服务平台”线上办理履约保函（保险）。</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28.提出质疑的投标人应当是参与所质疑项目采购活动的投标人，潜在投标人依法获取其可质疑的招标文件的，可以对招标文件提出质疑。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29.投标人认为招标文件、采购过程和采购结果使自己的权益受到损害的，可以在知道或应知其权益受到损害之日起七个工作日内，按照第31条、第32条之规定以书面形式向采购人或交易中心提出质疑。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对招标文件提出质疑的，为收到招标文件之日或者招标文件公告期限届满之日。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对采购过程提出质疑的，为各采购程序环节结束之日。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对中标或者成交结果提出质疑的，为中标或者成交结果公告期限届满之日。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30.投标人应当在法定质疑期内一次性提出针对同一采购程序环节的质疑。投标人如在法定期限内对同一采购程序环节提出多次质疑的，交易中心或采购人将只对投标人第一次质疑作出答复。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31.投标人提出质疑应提交《质疑函》原件，且尽可能通过邮寄方式送达，交易中心和采购人不接受无运单的快件。《质疑函》应按照本招标文件中《质疑函范本》的格式和内容填写。</w:t>
      </w:r>
      <w:r>
        <w:rPr>
          <w:rFonts w:ascii="SimSun" w:hAnsi="SimSun" w:eastAsia="SimSun" w:cs="SimSun"/>
          <w:b/>
          <w:color w:val="000000"/>
          <w:sz w:val="24"/>
        </w:rPr>
        <w:t xml:space="preserve">由授权代表负责质疑事宜的，《质疑函》附件中应提交由质疑投标人法定代表人或主要负责人签署的《授权委托书》。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投标人如组成联合体参加采购活动，《质疑函范本》中要求加盖公章之处，联合体各方均须按要求加盖公章。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rPr>
        <w:t xml:space="preserve">投标人根据质疑事项向相应的质疑答复主体提出质疑，具体详见招标文件第一章。由采购人负责答复的质疑，采购人将《质疑函》《质疑答复函》抄送交易中心。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投标人对采购人、交易中心的质疑答复不满意，或者采购人、交易中心未在规定时间内作出质疑答复的，可以在答复期满后15个工作日内向南京市财政局提起投诉。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属于第30条规定的对同一采购程序环节提出的多次质疑。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法律法规规定的其他不予受理情形。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703"/>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35.促进中小企业发展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中小企业参加政府采购活动，应当出具《中小企业声明函》，否则不享受相关中小企业支持政策。</w:t>
      </w:r>
      <w:r>
        <w:rPr>
          <w:rFonts w:ascii="SimSun" w:hAnsi="SimSun" w:eastAsia="SimSun" w:cs="SimSun"/>
          <w:b/>
          <w:color w:val="000000"/>
          <w:sz w:val="24"/>
        </w:rPr>
        <w:t xml:space="preserve">中标人享受中小企业扶持政策的，其《中小企业声明函》将随中标结果公开。</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 </w:t>
      </w:r>
      <w:r>
        <w:rPr>
          <w:rFonts w:ascii="SimSun" w:hAnsi="SimSun" w:eastAsia="SimSun" w:cs="SimSun"/>
          <w:b/>
          <w:color w:val="000000"/>
          <w:sz w:val="24"/>
        </w:rPr>
        <w:t xml:space="preserve">在货物采购项目中，投标人提供的货物全部由符合政策要求的中小企业制造（不对项目涉及的服务的承接商、工程的承建商作出要求），即货物由中小企业生产且使用该中小企业商号或者注册商标，享受相应的中小企业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w:t>
      </w:r>
      <w:r>
        <w:rPr>
          <w:rFonts w:ascii="SimSun" w:hAnsi="SimSun" w:eastAsia="SimSun" w:cs="SimSun"/>
          <w:b/>
          <w:color w:val="000000"/>
          <w:sz w:val="24"/>
        </w:rPr>
        <w:t xml:space="preserve"> 评委会评审中发现投标人提供的《中小企业声明函》内容含义不明确、同类事项表述不一致或者有明显文字错误等情况的，应当以书面形式要求投标人作出必要的澄清、说明或者补正。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 以联合体形式参加政府采购活动，联合体各方均为中小企业的，联合体视同中小企业。其中，联合体各方均为小微企业的，联合体视同小微企业。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35.7 残疾人福利性单位视同小型、微型企业。按照《关于促进残疾人就业政府采购政策的通知》（财库〔2017〕141号）规定，残疾人福利性单位需提供《残疾人福利性单位声明函》。</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36.节能产品和环境标志产品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采购产品属于政府强制采购节能产品的，投标人应当选择依据国家能效标准中二级能效（水效）指标认证的节能产品投标，签订合同时提供国家确定的认证机构出具的、处于有效期之内的节能产品认证证书。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采购产品属于政府优先采购节能产品和环境标志产品的，对投标人提供的国家确定的认证机构出具的、处于有效期之内的节能产品或环境标志产品认证证书，评审时给予加分（详见第五章）。</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37.绿色采购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 采购产品中涉及数据中心相关设备、运维服务的，应按照《关于印发&lt;绿色数据中心政府采购需求标准（试行）&gt;的通知》（财办库〔2023〕7号）、《江苏省财政厅关于加强政府绿色采购有关事项的通知》（苏财购〔2023〕65号）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38.创新产品采购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优先采购各级政府部门公开发布的有效期内的创新产品、首台套等《目录》内的创新产品。创新产品自进入《目录》起2年内视同具备相应销售业绩。</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39.网络产品、市场准入类产品采购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w:t>
      </w:r>
      <w:r>
        <w:rPr>
          <w:rFonts w:ascii="SimSun" w:hAnsi="SimSun" w:eastAsia="SimSun" w:cs="SimSun"/>
          <w:color w:val="000000"/>
          <w:sz w:val="24"/>
        </w:rPr>
        <w:t xml:space="preserve">的条款。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705"/>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40.2本国产品应当符合以下条件：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（2）在中国境内生产的组件成本占比达到规定比例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（3）特定产品的关键组件、关键工序符合相关要求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40.3本国产品标准的适用范围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40.4对本国产品的支持政策</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本项目如既有本国产品又有非本国产品参与竞争，依法对本国产品给予价格评审优惠，具体详见第五章。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40.5政策执行要求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（1）产品在中国境内生产的组件成本核算规则。产品在中国境内生产的组件成本，按照《中国境内生产的组件成本核算基本规则》计算，详见</w:t>
      </w:r>
      <w:r>
        <w:rPr>
          <w:rFonts w:ascii="SimSun" w:hAnsi="SimSun" w:eastAsia="SimSun" w:cs="SimSun"/>
          <w:color w:val="333333"/>
          <w:sz w:val="24"/>
          <w:highlight w:val="white"/>
        </w:rPr>
        <w:t xml:space="preserve">《国务院办公厅关于在政府采购中实施本国产品标准及相关政策的通知》（国办发〔2025〕34号）规定。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（2）有关证明文件。</w:t>
      </w:r>
      <w:r>
        <w:rPr>
          <w:rFonts w:ascii="SimSun" w:hAnsi="SimSun" w:eastAsia="SimSun" w:cs="SimSun"/>
          <w:b/>
          <w:color w:val="000000"/>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w:t>
      </w:r>
      <w:r>
        <w:rPr>
          <w:rFonts w:ascii="SimSun" w:hAnsi="SimSun" w:eastAsia="SimSun" w:cs="SimSun"/>
          <w:color w:val="000000"/>
          <w:sz w:val="24"/>
        </w:rPr>
        <w:t xml:space="preserve">为本项目的合同条款，合同双方不得对招标、投标文件内容作实质性修改。</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政府采购合同（货物）</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jc w:val="both"/>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甲、乙双方根据南京市公共资源交易中心组织的</w:t>
      </w:r>
      <w:r>
        <w:rPr>
          <w:rFonts w:ascii="Times New Roman" w:hAnsi="Times New Roman" w:eastAsia="Times New Roman" w:cs="Times New Roman"/>
          <w:color w:val="000000"/>
          <w:sz w:val="24"/>
        </w:rPr>
        <w:t xml:space="preserve">_</w:t>
      </w:r>
      <w:r>
        <w:rPr>
          <w:rFonts w:ascii="SimSun" w:hAnsi="SimSun" w:eastAsia="SimSun" w:cs="SimSun"/>
          <w:color w:val="000000"/>
          <w:sz w:val="24"/>
          <w:u w:val="single"/>
        </w:rPr>
        <w:t xml:space="preserve">金陵科技学院软件工程学院智能科学与技术专业实践教学平台建设</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项目公开招标结果，签署本合同。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一、合同内容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履行地点：甲方指定地点。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履行方式：按招标文件及投标文件执行。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包装方式：按招标文件及投标文件执行。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二、合同金额</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本合同金额为：人民币____________________元，（大写：_____________________）</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三、技术资料</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乙方应按招标文件规定的时间向甲方提供货物(包含与货物相关的服务)的有关技术资料。</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四、知识产权</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五、产权担保</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六、履约保证金</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本项目乙方无需缴纳履约保证金。</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七、合同转包或分包</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乙方不得将合同标的转包给他人履行。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除招标文件接受分包并经甲方同意，乙方可按分包意向协议分包情况外，乙方不得将合同标的分包给他人履行。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八、合同款项支付</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合同款项的支付方式及时间</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w:t>
      </w:r>
      <w:r>
        <w:rPr>
          <w:rFonts w:ascii="SimSun" w:hAnsi="SimSun" w:eastAsia="SimSun" w:cs="SimSun"/>
          <w:color w:val="0000ff"/>
          <w:sz w:val="24"/>
        </w:rPr>
        <w:t xml:space="preserve"> </w:t>
      </w:r>
      <w:r>
        <w:rPr>
          <w:rFonts w:ascii="SimSun" w:hAnsi="SimSun" w:eastAsia="SimSun" w:cs="SimSun"/>
          <w:color w:val="000000"/>
          <w:sz w:val="24"/>
        </w:rPr>
        <w:t xml:space="preserve">合同签订后，甲方支付合同总价款的30%作为预付款。</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供货结束并验收合格后，甲方支付合同总价款的70%。</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 满足合同约定支付条件的，甲方收到乙方发票后10个工作日内，将资金支付到合同约定的乙方账户。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根据《保障中小企业款项支付条例》规定，甲方未按合同约定支付款项的，乙方可以向有关部门投诉。</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当采购数量与实际使用数量不一致时，乙方应根据实际使用量供货，合同的最终结算金额按实际使用量乘以成交单价进行计算。</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九、税费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本合同执行中的相关税费均由乙方负担。</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十、质量保修范围和保修期及售后服务</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乙方提供的货物在质保期内因货物本身的质量问题发生故障，乙方应负责免费更换。对达不到技术要求者，根据实际情况，经双方协商可按以下方式处理：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 更换：由乙方承担所发生的全部费用。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10.2.2 贬值处理：由甲乙双方合议定价。</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10.2.3 退货处理：乙方应退还甲方支付的合同款，同时应承担该货物的直接费用（运输、保险、检验、货款利息及银行手续费等）。</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如在使用过程中发生质量问题，乙方应在接到甲方通知后</w:t>
      </w:r>
      <w:r>
        <w:rPr>
          <w:rFonts w:ascii="SimSun" w:hAnsi="SimSun" w:eastAsia="SimSun" w:cs="SimSun"/>
          <w:color w:val="000000"/>
          <w:sz w:val="24"/>
          <w:u w:val="single"/>
        </w:rPr>
        <w:t xml:space="preserve">  12  </w:t>
      </w:r>
      <w:r>
        <w:rPr>
          <w:rFonts w:ascii="SimSun" w:hAnsi="SimSun" w:eastAsia="SimSun" w:cs="SimSun"/>
          <w:color w:val="000000"/>
          <w:sz w:val="24"/>
        </w:rPr>
        <w:t xml:space="preserve">小时内到达甲方现场。</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质保期内，乙方应对货物出现的质量及安全问题负责处理解决并承担一切费用。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质保期为自交货验收合格之日起</w:t>
      </w:r>
      <w:r>
        <w:rPr>
          <w:rFonts w:ascii="SimSun" w:hAnsi="SimSun" w:eastAsia="SimSun" w:cs="SimSun"/>
          <w:color w:val="000000"/>
          <w:sz w:val="24"/>
          <w:u w:val="single"/>
        </w:rPr>
        <w:t xml:space="preserve">  3  </w:t>
      </w:r>
      <w:r>
        <w:rPr>
          <w:rFonts w:ascii="SimSun" w:hAnsi="SimSun" w:eastAsia="SimSun" w:cs="SimSun"/>
          <w:color w:val="000000"/>
          <w:sz w:val="24"/>
        </w:rPr>
        <w:t xml:space="preserve">年，因人为因素出现的故障不在质保范围内。超过质保期的乙方负责终生维修，维修时只收取部件成本费。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十一、项目验收</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如有必要，甲方可邀请参加本项目投标的其他供应商或第三方专业机构及专家参与验收，相关意见将作为验收结论的参考。</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十二、货物的包装、发运及运输</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十三、违约责任</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甲方无正当理由拒收货物的，应向乙方偿付拒收货物总价款</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甲方无故逾期验收和办理货款支付手续的，应按逾期付款总额每日</w:t>
      </w:r>
      <w:r>
        <w:rPr>
          <w:rFonts w:ascii="SimSun" w:hAnsi="SimSun" w:eastAsia="SimSun" w:cs="SimSun"/>
          <w:color w:val="000000"/>
          <w:sz w:val="24"/>
          <w:u w:val="single"/>
        </w:rPr>
        <w:t xml:space="preserve">  </w:t>
      </w:r>
      <w:r>
        <w:rPr>
          <w:rFonts w:ascii="SimSun" w:hAnsi="SimSun" w:eastAsia="SimSun" w:cs="SimSun"/>
          <w:color w:val="000000"/>
          <w:sz w:val="21"/>
          <w:u w:val="single"/>
        </w:rPr>
        <w:t xml:space="preserve">5‰</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向乙方支付违约金，但违约金最高不得超过合同总价的</w:t>
      </w:r>
      <w:r>
        <w:rPr>
          <w:rFonts w:ascii="SimSun" w:hAnsi="SimSun" w:eastAsia="SimSun" w:cs="SimSun"/>
          <w:color w:val="000000"/>
          <w:sz w:val="24"/>
          <w:u w:val="single"/>
        </w:rPr>
        <w:t xml:space="preserve">  5%  </w:t>
      </w:r>
      <w:r>
        <w:rPr>
          <w:rFonts w:ascii="SimSun" w:hAnsi="SimSun" w:eastAsia="SimSun" w:cs="SimSun"/>
          <w:color w:val="000000"/>
          <w:sz w:val="24"/>
        </w:rPr>
        <w:t xml:space="preserve">。</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乙方逾期交付货物的，应按逾期交货总额每日</w:t>
      </w:r>
      <w:r>
        <w:rPr>
          <w:rFonts w:ascii="SimSun" w:hAnsi="SimSun" w:eastAsia="SimSun" w:cs="SimSun"/>
          <w:color w:val="000000"/>
          <w:sz w:val="24"/>
          <w:u w:val="single"/>
        </w:rPr>
        <w:t xml:space="preserve">  </w:t>
      </w:r>
      <w:r>
        <w:rPr>
          <w:rFonts w:ascii="SimSun" w:hAnsi="SimSun" w:eastAsia="SimSun" w:cs="SimSun"/>
          <w:color w:val="000000"/>
          <w:sz w:val="21"/>
          <w:u w:val="single"/>
        </w:rPr>
        <w:t xml:space="preserve">5‰</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十四、不可抗力事件处理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在合同有效期内，任何一方因不可抗力事件导致不能履行合同，则合同履行期可延长，其延长期与不可抗力影响期相同。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不可抗力事件发生后，应立即通知对方并寄送有关权威机构出具的证明。</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不可抗力事件延续120天以上，双方应通过友好协商确定是否继续履行合同。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十五、解决争议的方法</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甲乙双方因合同签订、履行而发生的一切争议，应通过友好协商解决。协商不成的由甲方住所地人民法院管辖。</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十六、合同生效及其它</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本合同经双方加盖单位公章后生效。</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本合同未尽事宜，遵照《中华人民共和国民法典》《中华人民共和国政府采购法》有关条文执行。</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本合同正本一式两份，具有同等法律效力，甲方、乙方各执一份。</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  方：（公章）                       乙  方：（公章） </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       地  址： </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《*******合同》补充协议（合同附件）</w:t>
      </w:r>
      <w:r/>
    </w:p>
    <w:p>
      <w:pPr>
        <w:ind w:left="0" w:right="0" w:firstLine="48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招标文件及合同未约定事项，双方可友好协商签订补充协议。</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第四章  采购需求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一、</w:t>
      </w:r>
      <w:r>
        <w:rPr>
          <w:rFonts w:ascii="SimHei" w:hAnsi="SimHei" w:eastAsia="SimHei" w:cs="SimHei"/>
          <w:color w:val="000000"/>
          <w:sz w:val="24"/>
        </w:rPr>
        <w:t xml:space="preserve">项目属性：</w:t>
      </w:r>
      <w:r>
        <w:rPr>
          <w:rFonts w:ascii="SimSun" w:hAnsi="SimSun" w:eastAsia="SimSun" w:cs="SimSun"/>
          <w:color w:val="000000"/>
          <w:sz w:val="24"/>
        </w:rPr>
        <w:t xml:space="preserve">货物类项目。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二、项目概况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科学与技术专业具备交叉性、实践性极强的办学特点，当前专业教学依赖纯软件仿真，无法复刻真实硬件运行的物理特性，存在理论与实操脱节、学生工程落地能力薄弱等问题，难以适配产业对AI工程化实操人才的需求。为完善实践教学体系，支撑专业核心课程实验、课程设计与科创研究工作，夯实智能科学与技术专业建设根基，助力控制科学与工程、计算机科学与技术相关科研方向发展，学院拟建设智能科学与技术实践教学平台，补齐硬件实训短板，实现教学、科研与产业人才培养精准衔接。</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（二）项目建设遵循标准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遵循国家、行业及地方现行的规范和标准。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三、项目清单</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
        <w:gridCol w:w="1864"/>
        <w:gridCol w:w="694"/>
        <w:gridCol w:w="664"/>
        <w:gridCol w:w="1011"/>
        <w:gridCol w:w="1144"/>
        <w:gridCol w:w="987"/>
        <w:gridCol w:w="1148"/>
        <w:gridCol w:w="1221"/>
      </w:tblGrid>
      <w:tr>
        <w:trPr>
          <w:trHeight w:val="4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单价上限</w:t>
            </w:r>
            <w:r/>
          </w:p>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所属行业</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政府强制采购节能产品</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1940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实验椅1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190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实验椅2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48口接入交换机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5500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扩音设备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音频功率放大器设备（功放设备）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话筒设备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行业应用软件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280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专业设备柜</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系统集成</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110寸交互智能一体机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台式计算机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7830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人工智能教学实验箱</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34700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29800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智能小车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4"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bl>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四、拟采购标的需要满足的技术、商务要求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1.产品技术指标</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9"/>
        <w:gridCol w:w="1290"/>
        <w:gridCol w:w="743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43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功能、性能、配置要求不低于以下要求</w:t>
            </w:r>
            <w:r/>
          </w:p>
        </w:tc>
      </w:tr>
      <w:tr>
        <w:trPr>
          <w:trHeight w:val="8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不低于2200L/1500L*600W*760H（mm）,根据箱体定制，含五孔插座等；钢木结构。2mm封边皮封边，桌面颜色可以选，桌面预留两个过线孔，并配置孔盖，自带4位PDU。桌下方有一空腔设计。可用于放置电脑主机和线材等设备，带1个电脑主机吊架，每个吊架可安装2台主机，空间尺寸定制，底部预留穿线孔。可根据现场需要进行桌面开孔；含木器的搬运、组合及安装。</w:t>
            </w:r>
            <w:r/>
          </w:p>
        </w:tc>
      </w:tr>
      <w:tr>
        <w:trPr>
          <w:trHeight w:val="53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实验椅1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智能桌椅符合人体工程学设计，满足教师讲授、分组活动、个人学习三种模式，且能增强学生的舒适感、加深其相互间联系、提高其课堂参与度。</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不低于1400L*600W*760H（mm）；款型：L型。钢木结构，桌子由两部分组成，2mm封边皮封边，桌面颜色可以选。桌面预留两个过线孔，并配置孔盖。桌子侧方有抽屉柜、主机柜组成，可用于放置电脑主机和线材等设备，底部预留穿线孔；可根据现场需要进行桌面开孔。含木器的搬运、组合及安装。</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实验椅2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面料:选用真皮面料,耐磨性强,阻燃,经防污处理,清洁方便；辅料:采用高回弹聚氨酯海绵，具备阻燃性能，回弹性好，结构稳定；脚架：五星脚盘；气杆：采用85#电镀气杆，厚度2.0mm；轮子：采用尼龙万向轮，不易损坏。</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48口接入交换机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1、单台配置：≥48个千兆电口，≥4个万兆SFP+口；整机交换容量 ≥672Gbps；转发性能 ≥166Mpps（以官网最小值为准）；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sFlow功能，可以对网络上的数据包进行采样，用于对网络流量进行统计分析和控制；支持IPv4/IPv6静态路由、支持RIP/RIPng，OSPFV2/V3；支持G.8032以太网环保护协议ERPS；支持基于端口的认证和基于MAC的认证；支持10KV业务端口防雷能力，参数配置完成后，需连接到学院网络中心。</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扩音设备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1、频率响应不低于50Hz-20kHz(-10dB);70Hz-20kHz(+/-3dB)；灵敏度不低于88dB/1watt/1meter；最大声压级不低于111dB；指向性不低于110×90；Q值：3.10；</w:t>
            </w:r>
            <w:r>
              <w:rPr>
                <w:rFonts w:ascii="Times New Roman" w:hAnsi="Times New Roman" w:eastAsia="Times New Roman" w:cs="Times New Roman"/>
                <w:sz w:val="21"/>
              </w:rPr>
            </w:r>
            <w:r/>
          </w:p>
          <w:p>
            <w:pPr>
              <w:ind w:left="0" w:right="0" w:firstLine="0"/>
              <w:spacing w:before="0" w:after="0" w:line="62"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2、功率不低于50W；峰值功率不低于200W；</w:t>
            </w:r>
            <w:r>
              <w:rPr>
                <w:rFonts w:ascii="Times New Roman" w:hAnsi="Times New Roman" w:eastAsia="Times New Roman" w:cs="Times New Roman"/>
                <w:sz w:val="21"/>
                <w:szCs w:val="21"/>
              </w:rPr>
            </w:r>
            <w:r/>
          </w:p>
          <w:p>
            <w:pPr>
              <w:ind w:left="0" w:right="0" w:firstLine="0"/>
              <w:spacing w:before="0" w:after="0" w:line="62"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3、低音单元不低于6"两段式、双阻抗线圈锥形驱动器；高音单元不低于1"软球顶驱动器；分频器件：16欧姆无源分音网络；分频点：2.5kHz。</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音频功率放大器设备（功放设备）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立体声输出不低于8Ω/250W×2、4Ω/400W×2；频响不低于20Hz-20kHz±0.5dB，失真≤0.01%，信噪比&gt;102dB。输入灵敏度/阻抗：音乐0.3V/22kΩ，话筒0.017V/3.3kΩ。功能：MP3、蓝牙、录音、升降调、音量限制；功耗840W。</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话筒设备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接收机参数：</w:t>
            </w:r>
            <w:r/>
          </w:p>
          <w:p>
            <w:pPr>
              <w:ind w:left="0" w:right="0" w:firstLine="0"/>
              <w:spacing w:before="0" w:after="0" w:line="62"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1、振荡方式: 锁相环频率合成；频率范围不低于UHF490MHz-950MHz；频率稳定性不低于±0.001%；调制方式：FM</w:t>
            </w:r>
            <w:r>
              <w:rPr>
                <w:rFonts w:ascii="SimSun" w:hAnsi="SimSun" w:eastAsia="SimSun" w:cs="SimSun"/>
                <w:color w:val="000000"/>
                <w:sz w:val="24"/>
              </w:rPr>
              <w:t xml:space="preserve">；</w:t>
            </w:r>
            <w:r>
              <w:rPr>
                <w:rFonts w:ascii="SimSun" w:hAnsi="SimSun" w:eastAsia="SimSun" w:cs="SimSun"/>
                <w:color w:val="000000"/>
                <w:sz w:val="24"/>
              </w:rPr>
              <w:t xml:space="preserve">信噪比：＞100dBA；相邻信道抑制：＞60dB  失真度:&lt;0.5%@1KHz；接收灵敏度：1.2/UV</w:t>
            </w:r>
            <w:r>
              <w:rPr>
                <w:rFonts w:ascii="Times New Roman" w:hAnsi="Times New Roman" w:eastAsia="Times New Roman" w:cs="Times New Roman"/>
                <w:sz w:val="21"/>
              </w:rPr>
            </w:r>
            <w:r/>
          </w:p>
          <w:p>
            <w:pPr>
              <w:ind w:left="0" w:right="0" w:firstLine="0"/>
              <w:spacing w:before="0" w:after="0" w:line="62"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@S/N=12dB 电源供应：DC 12V-15V；音频输出：6.3MM接口非平行输出：+12DBU；XLR接口平行输出：+18DBU；</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发射器参数：</w:t>
            </w:r>
            <w:r/>
          </w:p>
          <w:p>
            <w:pPr>
              <w:ind w:left="0" w:right="0" w:firstLine="0"/>
              <w:spacing w:before="0" w:after="0" w:line="62"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2、类型：电容式； 极性模式：单一指向性； 频率响应：40Hz-</w:t>
            </w:r>
            <w:r>
              <w:rPr>
                <w:rFonts w:ascii="SimSun" w:hAnsi="SimSun" w:eastAsia="SimSun" w:cs="SimSun"/>
                <w:color w:val="000000"/>
                <w:sz w:val="24"/>
              </w:rPr>
              <w:t xml:space="preserve">20KHz</w:t>
            </w:r>
            <w:r>
              <w:rPr>
                <w:rFonts w:ascii="Times New Roman" w:hAnsi="Times New Roman" w:eastAsia="Times New Roman" w:cs="Times New Roman"/>
                <w:sz w:val="21"/>
              </w:rPr>
            </w:r>
            <w:r/>
          </w:p>
          <w:p>
            <w:pPr>
              <w:ind w:left="0" w:right="0" w:firstLine="0"/>
              <w:spacing w:before="0" w:after="0" w:line="62"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；话筒灵敏度：-43±3dB@1KHz；载波频率不低于UHF490MHz-950MHz；频率稳定度：±0.001%；信噪比：&gt;60dB；邻频干扰比：&gt;80dB ；动态范围：≥100dB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3、含一个无线领夹话筒，一个有线鹅颈话筒。</w:t>
            </w:r>
            <w:r/>
          </w:p>
        </w:tc>
      </w:tr>
      <w:tr>
        <w:trPr>
          <w:trHeight w:val="5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85英寸4K显示器，不低于2个HDMI接口，不低于2个USB接口，分辨率不低于3840*2160，含1根25米HDMI高清线，含安装及5年维保服务。</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行业应用软件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▲1、支持B /S管理架构，可通过移动设备通过网页方式对机房进行远程管理，包括远程开关机、时间同步、系统切换、消息广播等操作，可对电脑本地硬盘操作系统（xp\win7\win8\win10\linux）的立即还原和还原点瞬间创建（签订合同时提供第三方检测报告或功能界面截图、白皮书等证明材料）；</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▲2、支持SSD硬盘和机械硬盘双硬盘保护模式和同传（签订合同时提供第三方检测报告或功能界面截图、白皮书等证明材料）；</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3、支持MBR分区系统和GPT分区系统混合安装,可支持60个以上的不同操作系统；</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4、支持从WINDOWS界面对1000台以上的电脑进行数据差异拷贝，非增量拷贝、变量拷贝、进度同步等上一代部署方式。根据网络状况可选择广播、组播、单播等方式；</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▲5、支持操作系统分权管理，可分配不同的管理员管理不同的操作系统（签订合同时提供第三方检测报告或功能界面截图、白皮书等证明材料）；</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6、支持批量修改Windows用户登录名、计算机名和IP地址以及对3DMAX、CAD等图形设计、工程设计类软件的统一注册，无需手动逐台激活。</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专业设备柜</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1、柜体组合式模块化设计，可按现场尺寸调整（参考设备尺寸：a、机械臂尺寸：高0.7m，底座直径0.16m；b、智能小车尺寸：342*256*172mm(未包含天线长度)；）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2、结构：上半部分玻璃门展示区，下半部分封闭储物区（抽屉/柜门）；外观：哑光灰色柜体+黑色金属边框。 柜体板材：材质：E1级环保颗粒板/多层实木板（可指定），甲醛释放量≤0.124mg/m³，厚度：侧板≥18mm，层板≥25mm（承重≥50kg/层，不变形），背板≥5mm；工艺：四面封边，防水防潮，边缘光滑无毛刺，无甲醛异味。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金属框架与五金件：框架：冷轧钢/铝合金型材，厚度≥1.2mm，表面静电喷塑处理，防腐防锈，无掉漆、划痕；玻璃门：钢化超白玻璃，厚度≥5mm，防爆防刮，边缘磨边处理；五金：液压铰链（开合≥10万次）、静音滑轨、不锈钢拉手，带防倾倒装置，安装稳固；可选：玻璃门配磁吸缓冲，关闭静音无碰撞。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4、LED照明系统：光源：嵌入式LED灯带，色温3000-4000K（暖白光），显色指数Ra≥80；控制：触摸/感应开关，可独立控制，亮度可调（可选）； 电源：220V/50Hz，低电压安全供电，无频闪、无眩光，节能省电；布线：隐藏式走线，无外露电线，不影响外观。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5、环保与安全：所有材料均符合国家环保标准，无甲醛、苯等有害物质超标；板材阻燃等级达到B1级（可选）；玻璃采用钢化工艺，破碎后呈钝性小颗粒，无尖锐棱角；金属件无毛刺、无锐边，避免划伤。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6、工艺与细节：柜体拼接缝隙≤1mm，水平、垂直误差≤2mm；表面平整光滑，无气泡、鼓包、开裂；柜门开合顺畅，无异响，关闭后与柜体齐平；背板与柜体连接牢固，无松动、变形。 </w:t>
            </w:r>
            <w:r/>
          </w:p>
        </w:tc>
      </w:tr>
      <w:tr>
        <w:trPr>
          <w:trHeight w:val="1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系统集成</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六类非屏蔽4对双绞线；安装双口面板；多媒体地插；六类非屏蔽面板模块、水晶头、1.5m网络跳线、24口RJ45配线架、理线架；JDG管等材料，含JDG管路开槽铺设及线缆穿管，81工位，满足学生工位网络点≥1个，教师工位网络点≥2个，教学多媒体设备有专用网络信息点等使用要求；包含原线路拆除。</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110寸交互智能一体机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★1、整机屏幕采用不低于110英寸液晶屏。（签订合同时提供符合国家及行业相关管理规范要求的第三方检测机构出具的检测报告）</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2、整机采用超高清LED液晶显示屏，显示比例16:9,分辨率3840×2160。整机输入接口具备不低于3路HDMI IN，不低于5路USB口(至少包含2路USB3.0)，不低于1路TYPE-C接口，不低于1路RJ45 IN，不低于1路RS232;输出接口具备不低于1路AUDIO OUT，1路RJ45 OUT。</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▲3、嵌入式系统版本不低于Android 14，内存≥8GB，存储空间≥128GB，整机嵌入式系统采用8核CPU，主频≥2.1GHz。（签订合同时提供符合国家及行业相关管理规范要求的第三方检测机构出具的检测报告）</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▲4、整机具备两路RJ45双网口，支持网络交换的功能，实现交换机功能，能为教室内其他有线网络设备提供便利。（签订合同时提供符合国家及行业相关管理规范要求的第三方检测机构出具的检测报告）</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5、整机内置2.1声道扬声器，前朝向功率≥15W中高音扬声器2个，后朝向功率≥20W低音扬声器1个，额定总功率50W。整机上边框内置8阵列麦克风，支持回声消除、背景噪音抑制和增益补偿。</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整机上边框内置非独立摄像头，采用一体化集成设计，可拍摄≥4800万像素数的照片，可拍摄输出4K分辨率的视频，具备摄像头工作指示灯，摄像头运行时，有指示灯提示。（签订合同时提供符合国家及行业相关管理规范要求的第三方检测机构出具的检测报告）</w:t>
            </w:r>
            <w:r/>
          </w:p>
          <w:p>
            <w:pPr>
              <w:numPr>
                <w:ilvl w:val="0"/>
                <w:numId w:val="7"/>
              </w:numP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合一电源按键，同一电源物理按键完成Android系统和Windows系统的开机、节能熄屏、关机操作；关机状态下按按键开机；开机状态下按按键实现节能熄屏/唤醒，长按按键实现关机，支持将自定义图片、动画设置为开机画面。</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8、整机支持蓝牙Bluetooth 5.2标准，固件版本号≥LMP 11。</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▲9、整机内置双WiFi6无线网卡(不接受外接),在Android和Windows系统下，可实现Wi-Fi无线上网连接、AP无线热点发射。（签订合同时提供符合国家及行业相关管理规范要求的第三方检测机构出具的检测报告）</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智能板擦功能，系统可根据触控物体的形状自动识别出实物板擦，可擦除电子白板中的内容，无需依赖外部电子设备。整机能感应并自动调节屏幕亮度来达到在不同光照环境下的不同亮度显示效果，此功能可自行开启或关闭。</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11、支持通道自动跳转功能，如整机处于正常使用状态，HDMI信号接入时，能自动识别并切换到对应的HDMI信号源通道，且断开后能回到上一通道。</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12、支持通过Type-C接口U盘进行文件传输，兼容Type-C接口手机充电，支持65W快充。（签订合同时提供符合国家及行业相关管理规范要求的第三方检测机构出具的检测报告）</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13、支持智能书写功能，书写文字自动识别为标准印刷体。（签订合同时提供符合国家及行业相关管理规范要求的第三方检测机构出具的检测报告）</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14.整机具备供电保护模块，能够检测内置电脑是否插好在位，在内置电脑未在位的情况下，内置电脑无法上电工作，部署单根网线可实现Android、Windows系统双系统有线网络连通。</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15.OPS模块：CPU：≥6核12线程，主频≥2.5GHz，最大频率≥4.4GHz，三级缓存≥18MB，支持DDR5，内存≥8G，存储≥256G；具有独立非外拓展的电脑USB接口，至少具有3个USB3.0接口，至少具有1个Type-C 接口；至少具有1个HDMI out 接口；至少具有1个DP接口。</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16、110寸定制绿板整体结构：由两块安装于一体机侧面的固定黑板组成。整体尺寸：7500*1490mm，黑板部分2500*1490mm(可根据多媒体设备调整尺寸)</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110寸定制绿板黑板材质要求：采用金属烤漆面板，板面滚涂抗酸碱、耐溶济的特制专用烤漆，呈墨绿色，板面可兼容所有的粉笔，无尘粉笔，水溶性粉笔，无尘水笔板书，实现板书无尘。笔迹均匀，字迹清晰，易写易擦，不反光、不变形，整板无拼接，厚度为≥0.3mm，表面漆膜硬度：≥8H，经耗磨仪一万次摩擦后不露底，表面粗糙度仍可达到1.8 um。光泽度＜12%，没有明显眩光；表面附有保护膜。边框采用高档银白色铝材，色泽柔和，不反光。包角材料采用抗疲劳ABS工程塑料，模具成型，无锐角，边框与书写面板的固定。全部实行隐形安装</w:t>
            </w:r>
            <w:r>
              <w:rPr>
                <w:rFonts w:ascii="SimSun" w:hAnsi="SimSun" w:eastAsia="SimSun" w:cs="SimSun"/>
                <w:color w:val="000000"/>
                <w:sz w:val="24"/>
              </w:rPr>
              <w:t xml:space="preserve">，没有裸露金属紧固件。</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台式计算机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★1、操作系统:预装正版操作系统</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★2、CPU:物理核心数≥16、主频≥2.1GHz、末级缓存容量≥30MB、线程数≥24、热设计功耗≤65W及内存的最高速率≥4800MT/S、通道数≥2和位宽≥128bit</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★3、主板(芯片组):主板系列芯片组DMI 通道最大数≥8, PCI Express 通道数的最大值≥24，支持pcie 4.0；支持DDR5系列内存扩展，I/O规格USB端口数≥14，其中支持USB3.2个数≥10；</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★4、内存:内存类型≥DDR5;内存条数量≥1;内存条容量≥16GB;</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★5、硬盘:硬盘类型≥M.2 SSD;硬盘数量≥1;硬盘容量≥1TB</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★6、显示器:尺寸≥23.8寸;分辨率≥1920×1080;屏幕比例≥16：9刷新率≥100HZ，接口≥VGA+HDMI，静态对比度≥3000：1；</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▲7、外部接口:机箱前面板≥4*USB3.0 接口(其中≥3个USB 3.2 Gen2 Type-A端口，≥1个USB 3.2 Gen2 Type-C端口)，后置：≥3个USB 3.2 G1 Type-A端口；≥2个USB2.0端口，≥1*HDMI+ DP 接口；主板插槽≥1个PCIe4x16插槽；≥1个PCIe3x1插槽；≥2个M.2接口；</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★8、机箱: ≤8L</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9、电源≥240W 90%能效电源；</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10、保修服务：原厂商（主机，键盘，鼠标）三年全保修+4年供应商上门质保，费用包含在投标总价中。</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人工智能教学实验箱</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一、硬件参数</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验箱结构：实验箱分为两层结构，上层显示屏，下层实验和储物层，键盘、鼠标、摄像头、实验物块可存放在储物层的专用存放区，实验时可放到实验层的专用放置区进行实验（包括机械臂底座放置区、8个货物仓位）；箱体带卡扣，方便实验箱的设备安全管理；针对实验功能，实验箱具有整体化、一体化设计，不接受散件拼装；铝合金包边，承重抗压不易变形。</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2.嵌入式AI运算单元：至少采用六核架构，运算能力至少达到67TOPS、支持INT4/INT8/INT16/FP16混合运算，最高运算能力不低于67TOPS；支持TensorFlow/MXNet/PyTorch/Caffe等一系列的框架网络模型、4GB内存；32GB 外存。</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★3.配备不低于10英寸、分辨率不低于1920*1080的显示终端。</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嵌入式AI运算单元主板：提供有TF卡接口、USB_HOST2.0输出、1000兆自适应以太网卡、串口、MIPI-CSI接口、MIPI-DSI接口、音频接口、JTAG接口、HDMI接口、485接口、CAN接口、m.2的SSD接口、m.2的4G/5G接口。板载USB3.0接口。板载Wi-Fi/BT。板载至少包含蜂鸣器、红外接收头、地磁传感器、温度传感器、加速度传感器传感器。</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5.嵌入式AI控制单元：搭载32位微处理器核心板；需标配摄像头接口、SWD下载接口、TTLUART接口、双排50pin插针、独立复位按键。提供一键启动复位功能，控制传感器、机械臂等进行启动和复位。</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AI通用底板：主板设计方式：采用整块PCB板设计方式；嵌入式AI运算模块主板、显示终端、嵌入式AI控制模块、语音识别模块、AIoT无线传感模块、AIoT无线通信模块、RFID射频模块固定在嵌入式AI控制模块主板上，保证系统整体性、一体化。配备可编程指示灯。同时需具有2路开关，包含电源开关、嵌入式核心开关，同时也需具有机械臂复位开关和机械臂紧急停止功能。RFID模块接口，支持多种不同频段的RFID模块；3组无线传感网络接口，每组均具有仿真接口，可自动识别多种传感网络。具有板载蜂鸣器、按键等常用资源，同时板</w:t>
            </w:r>
            <w:r>
              <w:rPr>
                <w:rFonts w:ascii="SimSun" w:hAnsi="SimSun" w:eastAsia="SimSun" w:cs="SimSun"/>
                <w:color w:val="000000"/>
                <w:sz w:val="24"/>
              </w:rPr>
              <w:t xml:space="preserve">载USB接口、HDMI等常用资源。</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双目摄像头：高清无畸变，USB免驱，支持手动调物距，可实现双目同步/识别/标定测距/深度检测，移动式摄像头，方便实现标定、跟踪等学习，需要提供双目摄像头测距算法，与机械臂手眼标定后的基坐标系的空间位置坐标算法。</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★8.六关节机械臂：机械臂为全自主开发架构，源代码完全开放，可在机械臂的主控上直接进行开发及支持使用边缘计算平台进行开发。</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两套六关节机械臂夹爪：配备硬质夹爪与柔性夹爪两套，适配不同抓取场景。硬质夹爪适用于高精度、刚性物体抓取；柔性夹爪具备仿生柔顺结构，可自适应贴合不规则或易损物体表面，提升抓取稳定性与安全性。两套夹爪可快速更换，与六关节机械臂协同实现灵活、精准的操作。</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10.六关节机械臂主控制器：提供电路原理图和源码，搭载32位微处理器核心板，配备一个六轴姿态传感器用于检测机械臂倾倒预警。</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11.提供机械臂强化学习仿真场景：Mujoco与PyBullet，实现在Mujoco场景中与真实机械臂完全1:1的机械臂模型的关节控制与强化学习，典型算法案例，实现机械臂的定点抓取等任务场景。</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12.AIoT无线传感单元（支持鸿蒙通信、鸿蒙星闪、ZigBee通信）：配备3个无线通信核心板，要求任何一个通信核心板可以插接到任何一个无线传感网节点底板上，具体包含：1个ZigBee通信核心板；1个高度集成2.4GHz WiFi通信核心板；一个集成2.4GHz Wi-Fi6、星闪、BLE多模IoT通信核心板。配置3个无线传感网节点底板，可以支持接口兼容的ZigBee、蓝牙、IPv6、Wi-Fi、LoRa、NB-IoT通信核心板；可以支持接口兼容的多种传感器模块；可以单独调试。可以移动工作；支持还原功能，支</w:t>
            </w:r>
            <w:r>
              <w:rPr>
                <w:rFonts w:ascii="SimSun" w:hAnsi="SimSun" w:eastAsia="SimSun" w:cs="SimSun"/>
                <w:color w:val="000000"/>
                <w:sz w:val="24"/>
              </w:rPr>
              <w:t xml:space="preserve">持低功耗显示终端，用于显示传感器数据及通信信息。</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为方便教学管理，设备需支持一键还原功能。无论无线传感网节点底板插入哪种通信模块和传感模块都可以自动识别。即使模块原有程序完全损坏，也可以实现一键还原功能（签订合同时提供完整程序还原截图证明材料）。</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14.AIoT无线通信单元：配备3个无线通信核心板，包含：1个ZigBee通信核心板；1个高度集成2.4GHz WiFi通信核心板；一个集成2.4GHz Wi-Fi6、星闪、BLE多模IoT通信核心板。</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15.传感器单元：传感器单元可实现传感器的开发，至少配备温湿度传感器、直流风扇、光强传感器、继电器、人体红外传感器。</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16.RFID模块：配备13.56M RFID模块（可扩展相同封装的125K、NFC、915M、2.4G、指纹模块、语音识别、条码识别等），板载低功耗MCU，Cortex-M0核，独立USB转串口，1.44英寸TFT LCD 显示终端，10路IO扩展，SWD下载口，独立复位，提供USB、UART、I2C等3种访问方式。支持IOS IEC14443A协议（签订合同时提供图片证明）。</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17.离/在线语音识别单元：两路麦克风，两路喇叭，状态灯；在线识别通信到AI运算单元，离线模块采用 RISC 并集合 DSP 指令集。实现离线的语音唤醒，并结合大模型实现语音识别、大模型理解、语音合成等实现对话能力。</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18.嵌入式操作系统：搭载64位Ubuntu20.04，Python，TensorFlow、PyTorch、ROS。</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提供一套人工智能虚拟仿真系统软件，该软件可不依托网络进行本地化部署，软件需为2D与3D结合的辅助教学平台，支持图形化拖拽编程、代码自动生成及大模型工作流编排，零代码实现大模型应用开发与原理理解。系统涵盖3D视觉、语音及项目场景，支持视觉与语音基础应用学习及产业化部署。平台内置人工智能环境，无需额外配置，提供丰富的实验组件、命令行接口及实验手册，支持机器视觉、机器学习、深度学习、CV-卷积神经网络、经典神经网络、NLP-循环神经网络、CV-NLP-Transformer等算法实验，具备动态代码生成、智能</w:t>
            </w:r>
            <w:r>
              <w:rPr>
                <w:rFonts w:ascii="SimSun" w:hAnsi="SimSun" w:eastAsia="SimSun" w:cs="SimSun"/>
                <w:color w:val="000000"/>
                <w:sz w:val="24"/>
              </w:rPr>
              <w:t xml:space="preserve">验证、错误提示及实验结果动态展示功能。支持智能分拣、垃圾分类、智能驾驶、智能对话等3D综合项目开发，适用于人工智能理论教学、工程项目开发及实验成果展示。</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二、《人工智能教学实验系统》课程资源：</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1.实验部分：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配套神经网络、深度学习、强化学习、自然语言处理、机械臂运动开发、分布式智能终端应用开发、计算机视觉等不少于16套完整课程教学资源，可一站式提供全部课程所需配套软件运行环境与硬件实训支撑，满足多方向人工智能综合实训教学需求。</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2．多网络识别货物分拣、整理项目：AI语音机械臂控制、货物分拣：AR仓库货物分拣。</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3.基于YOLO的综合项目包括：基于YOLOV8的目标检测项目；智能传感器与RFID传感项目；基于YOLO的手势机械臂跟踪，基于实例分割的分割界面案例；基于人体骨骼检测的界面案例。</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基于机械臂的综合项目：机械臂轨迹可视化具身智能应用；基于NPU的目标检测应用；基于NPU的车牌识别应用；基于NPU的mobilenet网络部署应用；基于NPU的resnet网络部署应用；基于NPU的RetinaFace人脸关键点检测应用；基于NPU的deeplabv3分割应用。</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5．基于NPU的Whisper语音识别应用。</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6.DeepSeek大模型应用：多模态大模型应用，多模态大模型智能助手应用</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三、其他资源</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辅助老师课程建设，制造商需有丰富的线上线下培训经验，有能力提供至少3个月与设备配套的人工智能课程线下正规培训名额；能够提供在线人工智能课程账号至少2个，账号应不少于300小时；提供在线课程网址（签订合同时提供截图证明）。</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造商可配套提供人工智能/嵌入式方向常态化实训支撑服务，包含实训项目案例、教学实验指导文档、课程实施方案，能够派遣专业技术讲师入校开展学生实操实训、教师师资研修、实训项目调试指导。根据实训服务方案完整性、同类院校实训服务业绩进行评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助力学生科创能力提升与学科竞赛发展，投标人需额外提供“全国大学生嵌入式芯片与系统设计竞赛”专属配套资源与全程技术支撑服务。投标人须免费提供全套竞赛备赛资源包，包含赛事章程解读、历年赛题解析、通用嵌入式开发源码库、软硬件调试手册、赛前实训课件等专属教学资源；同时具备专业竞赛指导服务能力，可入校开展赛事通识培训、备赛技巧指导、参赛项目代码调试、系统优化打磨等专项技术服务，全方位支撑师生参与人工智能/嵌入式类学科竞赛，提升学生科创实践水平与赛事参赛成果。</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1.机器人轴数：6轴；最大负载：不低于750g；工作半径：不低于450 mm</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2.重复定位精度：不低于±0.1 mm；最大工作速度：不低于0.5m/s</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机械臂末端需具备不少于2个功能按键，功能需包含但不限于：拖动示教按键，通过不同动作，进入拖动模式、轨迹录制模式及停止轨迹录制。末端控制按键，机器人未使能、使能且空闲或处于拖动模式时，通过不同动作，切换指定末端工作的状态，用于控制末端工具。可通过软件的末端IO插件配置要控制的末端DO。（签订合同时提供产品彩页或者实物照片证明，并注明按键位置）</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▲4.采用一体化设计，控制器置于底座中，底座需具备电源开关、运行/停止按键、使能按键等至少3个机械按键。（签订合同时提供产品彩页或者实物照片证明，并注明按键位置）</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tab/>
              <w:t xml:space="preserve">安全要求：机械臂需具备碰撞检测功能、机械臂底座需为椭圆形设计，防止因学生不小心碰撞尖锐边角造成严重伤害；用户手册需具备安全说明板块，内容需包含但不限于：安全警告标志、通用安全、人身安全、紧急情况等注意事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tab/>
              <w:t xml:space="preserve">支持windows、Android、iOS等平板或PC操作终端，通过网线或WiFi模块与机器人连接；</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tab/>
              <w:t xml:space="preserve">支持 ROS, Matlab、Labview、C++等控制方式,配置有开发接口，支持二次开发；可适配吸盘、夹爪、滑轨等工业级生态组件，应用场景灵活扩展。</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tab/>
              <w:t xml:space="preserve">可基于ROS、Matlab、Python、C++等进行控制算法、模拟仿真、控制逻辑开发等领域的科研项目。</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tab/>
              <w:t xml:space="preserve">配套软件：支持一平台多控制，解决传统一个产品对应一个软件的弊端，增强用户的体验感；</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10支持多平台运行，适应 Windows 7/10（32/64bit 操作系统），兼容性高、软件集成了图形化编程、脚本编程两种编程方式。</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智能小车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1、核心处理器：8颗高性能芯片，内建6TOPs算力NPU；</w:t>
            </w:r>
            <w:r/>
          </w:p>
          <w:p>
            <w:pPr>
              <w:ind w:left="0" w:right="0" w:firstLine="0"/>
              <w:spacing w:before="0" w:after="0" w:line="62"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2、内存存储：8GB RAM+64GB ROM；操作系统 ：Linux操作系统；</w:t>
              <w:br/>
              <w:t xml:space="preserve">3、AI传感器1：环形六MIC阵列10米拾音，信噪比65dB；</w:t>
              <w:br/>
              <w:t xml:space="preserve">4、AI传感器2：IMU姿态检测模块 俯仰/横滚（静态）：0.05°；俯仰/横滚（动态）：0.1°；绝对航向（磁辅助）：0.5°RMS；速度精度：±0.05m/s</w:t>
            </w:r>
            <w:r>
              <w:rPr>
                <w:rFonts w:ascii="SimSun" w:hAnsi="SimSun" w:eastAsia="SimSun" w:cs="SimSun"/>
                <w:color w:val="000000"/>
                <w:sz w:val="24"/>
              </w:rPr>
              <w:t xml:space="preserve">；</w:t>
            </w:r>
            <w:r>
              <w:rPr>
                <w:rFonts w:ascii="Times New Roman" w:hAnsi="Times New Roman" w:eastAsia="Times New Roman" w:cs="Times New Roman"/>
                <w:sz w:val="21"/>
              </w:rPr>
            </w:r>
            <w:r/>
          </w:p>
          <w:p>
            <w:pPr>
              <w:ind w:left="0" w:right="0" w:firstLine="0"/>
              <w:spacing w:before="0" w:after="0" w:line="62"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5、AI传感器3：RGB单目超广角相机 像素1920*1080@30FPS；视场角：水平FOV124.8°、垂直FOV67°、对角FOV160° F/NO(Infinite)：2.6±5%</w:t>
            </w:r>
            <w:r>
              <w:rPr>
                <w:rFonts w:ascii="SimSun" w:hAnsi="SimSun" w:eastAsia="SimSun" w:cs="SimSun"/>
                <w:color w:val="000000"/>
                <w:sz w:val="24"/>
              </w:rPr>
              <w:t xml:space="preserve">；</w:t>
            </w:r>
            <w:r>
              <w:rPr>
                <w:rFonts w:ascii="SimSun" w:hAnsi="SimSun" w:eastAsia="SimSun" w:cs="SimSun"/>
                <w:color w:val="000000"/>
                <w:sz w:val="24"/>
              </w:rPr>
              <w:br/>
              <w:t xml:space="preserve">6、AI传</w:t>
            </w:r>
            <w:r>
              <w:rPr>
                <w:rFonts w:ascii="SimSun" w:hAnsi="SimSun" w:eastAsia="SimSun" w:cs="SimSun"/>
                <w:color w:val="000000"/>
                <w:sz w:val="24"/>
              </w:rPr>
              <w:t xml:space="preserve">感器4：激光雷达 三角测距，频率：4000-9000Hz；  </w:t>
              <w:br/>
              <w:t xml:space="preserve">7、扫描距离：0.12m-16m（扫描频率4000Hz），0.28m-16m（扫描频率9000Hz），相对误差为2%；扫描角度：0°-360°，角度分辨率为0.28°</w:t>
            </w:r>
            <w:r>
              <w:rPr>
                <w:rFonts w:ascii="SimSun" w:hAnsi="SimSun" w:eastAsia="SimSun" w:cs="SimSun"/>
                <w:color w:val="000000"/>
                <w:sz w:val="24"/>
              </w:rPr>
              <w:t xml:space="preserve">；</w:t>
            </w:r>
            <w:r>
              <w:rPr>
                <w:rFonts w:ascii="SimSun" w:hAnsi="SimSun" w:eastAsia="SimSun" w:cs="SimSun"/>
                <w:color w:val="000000"/>
                <w:sz w:val="24"/>
              </w:rPr>
              <w:br/>
              <w:t xml:space="preserve">8、执行机构：驱动电机 无刷电机，供电电压：12V；空载转速：320±10% rpm ；堵转矩：&gt;10kg·cm 、轮组配置 麦克纳姆轮，运动方向：全向移动；直径*宽度：94mm*44mm。  </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435" w:type="dxa"/>
            <w:vAlign w:val="top"/>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正版操作系统：64 位图形化系统，兼容主流教学应用软件、各类外设驱动；支持域管理、安全策略配置。系统需与本次采购终端硬件充分适配，安装调试完成后整机稳定运行。</w:t>
            </w:r>
            <w:r/>
          </w:p>
        </w:tc>
      </w:tr>
    </w:tbl>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★2.其他技术要求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标记为政府强制采购节能产品的，签订合同时提供国家确定的认证机构出具的、处于有效期之内的节能产品认证证书。</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（2）供应商的任何错漏、优惠、竞争性报价不得作为减轻责任、减少服务、增加收费、降低服务质量的理由。</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（3）供应商报价除包含招标文件中列明的项目外，还应包括保障产品正常使用应当具有的物资和服务，对产品正常使用应当具有的物资和服务理解不一致的以采购单位理解为准。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所有采购设备须适配智能科学与技术专业教学与科研需求，兼容ROS系统及Python、C++主流开发语言，可支撑嵌入式感知、机械臂操控、移动机器人SLAM导航等递进式实验教学场景。中标后供应商须提供完整成套的标准化设备方案，保证各设备间软硬件兼容互通，杜绝技术孤岛。供应商须完成设备送货、安装、调试、部署一站式服务，同步配套完整教学资源，确保设备进场后可快速投入课程实验、科研项目及学科竞赛使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所有设备需为全新原装正品、未拆封未使用的全新产品，符合国家行业标准及高校教学设备技术规范，性能稳定、安全可靠，适配长期高频次教学实训使用。设备核心硬件、配套模块质量需达标，传感器、控制器、执行器等关键部件无质量缺陷，可真实模拟物理实验环境。供应商须提供正规质保服务，质保期内提供维修、更换、系统升级及技术答疑服务，保障教学科研工作不间断开展，费用包含在投标总价中。</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所投产品安装调试完成正常运行7天后，由供应商提出验收申请，项目单位同意后，按照采购方验收的权限，相关部门及人员形成验收小组，验收小组根据采购文件、投标文件、合同等项目文件约定内容对项目进行综合运行验收。包含并不限于如下：①原厂原包装；②包装完好；③设备清单与响应文件一致；④其他要求：可正常开展课程实验、算法部署与实物验证工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如验收达不到规定要求，采购人有权要求更换货物或拒绝付款，成交供应商若违约，采购人将依法追究相应法律责任。</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（4）质保（维保）及售后要求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①本项目质保期三年，招标文件中另有约定的，从其约定（自验收合格之日起，进入质保期）；质保期内，每年维护保养1次，维护保养及更换损坏件的费用包含在投标总价中。</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③质保期内维修（人为因素除外）费用包含在投标总价中，质保期外提供不高于市场价格的终身维护。中标后提供质保期外配件价格明细表。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（5）培训要求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对采购人相关使用人员（包括但不限于使用科室、项目主管科室等至少10人）进行集中培训，包括但不限于硬件设备使用、软件功能讲解等，集中培训次数以采购人实际需要为准；供应商须根据采购人实际工作需要，对产品硬件及软件使用人员进行点对点单独培训等，相关费用包含在本次报价中。</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3.付款条件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以第三章合同文本内容为准。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4.交付时间及地点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（1）交付时间：合同签订后20天内交付并完成安装调试及验收等相关工作。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（2）交付地点：采购人指定地点。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5.履约保证金</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以第三章合同文本内容为准。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（三）演示要求</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15分钟。</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2.演示内容详见“第五章  评标方法与评标标准”。</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第五章评标方法与评标标准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一、评标方法</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评标结果按评审后得分由高到低顺序排列。得分相同的，按投标报价由低到高顺序排列。得分且投标报价相同的，按“评标标准-2.技术”得分由高到低顺序排列。在投标文件满足招标文件全部实质性要求的供应商中，按照评审得分由高到低推荐3名中标候选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二、本国产品价格扣除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1.本项目如既有本国产品又有非本国产品参与竞争，依法对本国产品给予价格评审优惠，对本国产品的报价给予20%的价格扣除，用扣除后的价格参与评审。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ascii="SimSun" w:hAnsi="SimSun" w:eastAsia="SimSun" w:cs="SimSun"/>
          <w:b/>
          <w:color w:val="000000"/>
          <w:sz w:val="24"/>
        </w:rPr>
        <w:t xml:space="preserve">且投标人在投标文件中对此作出承诺的（按照招标文件要求在《投标分项报价表》中作出承诺），</w:t>
      </w:r>
      <w:r>
        <w:rPr>
          <w:rFonts w:ascii="SimSun" w:hAnsi="SimSun" w:eastAsia="SimSun" w:cs="SimSun"/>
          <w:color w:val="000000"/>
          <w:sz w:val="24"/>
        </w:rPr>
        <w:t xml:space="preserve">则依法对该投标人提供的全部产品给予价格评审优惠，即对该投标人提供的全部产品的总报价给予20%的价格扣除，用扣除后的价格参与评审。</w:t>
      </w:r>
      <w:r>
        <w:rPr>
          <w:rFonts w:ascii="SimSun" w:hAnsi="SimSun" w:eastAsia="SimSun" w:cs="SimSun"/>
          <w:b/>
          <w:color w:val="000000"/>
          <w:sz w:val="24"/>
        </w:rPr>
        <w:t xml:space="preserve">全部产品是指货物或服务采购项目或采购包中包含的全部货物、服务产品。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4.对本国产品的支持政策与政府采购支持中小企业、节能环保等优惠政策叠加适用，对应执行价格扣除政策的项目，统一在原报价的基础上给予价格扣除。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三、小微企业价格扣除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1.本项目全部货物制造商为小微企业的，对报价给予10%的扣除，用扣除后的价格参与评审。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性单位、监狱企业属于小型、微型企业的，不重复享受价格扣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四、评标标准</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1142"/>
        <w:gridCol w:w="6126"/>
        <w:gridCol w:w="628"/>
        <w:gridCol w:w="873"/>
      </w:tblGrid>
      <w:tr>
        <w:trPr>
          <w:trHeight w:val="50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6" w:type="dxa"/>
            <w:vAlign w:val="top"/>
            <w:textDirection w:val="lrTb"/>
            <w:noWrap w:val="false"/>
          </w:tcPr>
          <w:p>
            <w:pPr>
              <w:ind w:left="114" w:right="0" w:firstLine="0"/>
              <w:jc w:val="both"/>
              <w:spacing w:before="122"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1.价</w:t>
            </w:r>
            <w:r>
              <w:rPr>
                <w:rFonts w:ascii="SimSun" w:hAnsi="SimSun" w:eastAsia="SimSun" w:cs="SimSun"/>
                <w:b/>
                <w:color w:val="000000"/>
                <w:spacing w:val="-2"/>
                <w:sz w:val="21"/>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采用低价优先</w:t>
            </w:r>
            <w:r>
              <w:rPr>
                <w:rFonts w:ascii="SimSun" w:hAnsi="SimSun" w:eastAsia="SimSun" w:cs="SimSun"/>
                <w:color w:val="000000"/>
                <w:sz w:val="21"/>
              </w:rPr>
              <w:t xml:space="preserve">法计算，即满足招标文件要求且投标价格最低的投标</w:t>
            </w:r>
            <w:r>
              <w:rPr>
                <w:rFonts w:ascii="SimSun" w:hAnsi="SimSun" w:eastAsia="SimSun" w:cs="SimSun"/>
                <w:color w:val="000000"/>
                <w:spacing w:val="1"/>
                <w:sz w:val="21"/>
              </w:rPr>
              <w:t xml:space="preserve">报价为评标基准</w:t>
            </w:r>
            <w:r>
              <w:rPr>
                <w:rFonts w:ascii="SimSun" w:hAnsi="SimSun" w:eastAsia="SimSun" w:cs="SimSun"/>
                <w:color w:val="000000"/>
                <w:sz w:val="21"/>
              </w:rPr>
              <w:t xml:space="preserve">价，其价格分为满分。其他投标人的价格分统一按</w:t>
            </w:r>
            <w:r>
              <w:rPr>
                <w:rFonts w:ascii="SimSun" w:hAnsi="SimSun" w:eastAsia="SimSun" w:cs="SimSun"/>
                <w:color w:val="000000"/>
                <w:spacing w:val="-1"/>
                <w:sz w:val="21"/>
              </w:rPr>
              <w:t xml:space="preserve">照下列公</w:t>
            </w:r>
            <w:r>
              <w:rPr>
                <w:rFonts w:ascii="SimSun" w:hAnsi="SimSun" w:eastAsia="SimSun" w:cs="SimSun"/>
                <w:color w:val="000000"/>
                <w:sz w:val="21"/>
              </w:rPr>
              <w:t xml:space="preserve">式计算：投标报价得分=(评标基准价/投标报价)×价格分值（小数点保留两位）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6" w:type="dxa"/>
            <w:vAlign w:val="top"/>
            <w:textDirection w:val="lrTb"/>
            <w:noWrap w:val="false"/>
          </w:tcPr>
          <w:p>
            <w:pPr>
              <w:ind w:left="114"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2.技术</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产品技术参数全部满足招标要求的得满分，打★指标为必须满足项，如有负偏离将作为无效投标，打▲指标（共10项）为重要指标，有1项负偏离扣1分，其余指标有1项负偏离扣0.2分。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视频演示1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评委根据投标人提供的110寸交互智能一体机（产品清单13）视频演示情况综合评分（每位投标人演示时间不超过7分钟）：</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投110寸交互智能一体机支持在无任何外部设备的情况下，实时录制用户朗读内容，识别用户声纹并进行统一身份登录，登录后自动获取个人云端教学课件列表，打开教学白板软件时可跳过软件自带登录步骤。</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2、所投110寸交互智能一体机支持智能书写功能，书写文字自动识别为标准印刷体。</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以上成功演示每小项全部内容得2分，最多4分，缺项或未提供不得分。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投标人未提供视频文件或因投标人自身原因视频文件无法打开或视频画面不清晰无法辨认的不得分。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视频演示2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评委根据投标人提供的行业应用软件（产品清单10）视频演示情况综合评分（每位投标人演示时间不超过8分钟）：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投行业应用软件支持模板的共享和转让，管理用户可将所属权限下的模板共享给其他管理员，便于其他管理员编辑使用，也可直接转让模板，让被转让的管理员拥有模板所有操作权限，从而实现模板的分权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、所投行业应用软件支持模板分享链接，管理员可以将编辑模板的链接分享给需要编辑模板的用户，在浏览器中直接输入链接地址即可对模板进行编辑，支持分享日期、分享链接的失效期设置。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、所投行业应用软件教师机可以连续监看所选学生机屏幕，每屏可监视多个学生</w:t>
            </w:r>
            <w:r>
              <w:rPr>
                <w:rFonts w:ascii="Arial" w:hAnsi="Arial" w:eastAsia="Arial" w:cs="Arial"/>
                <w:color w:val="000000"/>
                <w:sz w:val="21"/>
              </w:rPr>
              <w:t xml:space="preserve">,</w:t>
            </w:r>
            <w:r>
              <w:rPr>
                <w:rFonts w:ascii="SimSun" w:hAnsi="SimSun" w:eastAsia="SimSun" w:cs="SimSun"/>
                <w:color w:val="000000"/>
                <w:sz w:val="21"/>
              </w:rPr>
              <w:t xml:space="preserve">可设置每屏学生机的数量以及学生机屏幕轮循的时间间隔。</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以上成功演示每小项全部内容得2分，最多6分，缺项或未提供不得分。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投标人未提供视频文件或因投标人自身原因视频文件无法打开或视频画面不清晰无法辨认的不得分。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6" w:type="dxa"/>
            <w:vAlign w:val="center"/>
            <w:textDirection w:val="lrTb"/>
            <w:noWrap w:val="false"/>
          </w:tcPr>
          <w:p>
            <w:pPr>
              <w:ind w:left="0" w:right="0" w:firstLine="0"/>
              <w:jc w:val="both"/>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3.服务</w:t>
            </w:r>
            <w:r/>
          </w:p>
        </w:tc>
      </w:tr>
      <w:tr>
        <w:trPr>
          <w:trHeight w:val="10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根据本项目采购需求及相关要求编制方案，内容包含：1.供货进度保证措施；2.质量保证措施；3.协调配合措施；4.安装调试方案。以上每项内容逐条阐述。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合理、具有操作性，且专门针对本项目，契合采购需求视为符合；方案内容属于通用类，非专门针对本项目，部分契合采购需求视为部分符合；方案内容非专门针对本项目，脱离采购需求视为不符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上述每项内容符合得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分；部分符合得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分；不符合或不提供不得分。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根据本项目采购需求及相关要求编制方案，内容包括：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售后服务内容；</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故障解决方案；</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售后服务体系；</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应急处理方案。以上每项内容逐条阐述。</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合理、具有操作性，且专门针对本项目，契合采购需求视为符合；方案内容属于通用类，非专门针对本项目，部分契合采购需求视为部分符合；方案内容非专门针对本项目，脱离采购需求视为不符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上述每项内容符合得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分；部分符合得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分；不符合或不提供不得分。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3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根据本项目采购需求中“培训要求及相关要求”编制方案，内容包括：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培训内容；</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培训日程安排；</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培训时长；</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培训质量保障措施。以上每项内容逐条阐述。</w:t>
            </w:r>
            <w:r>
              <w:rPr>
                <w:rFonts w:ascii="Times New Roman" w:hAnsi="Times New Roman" w:eastAsia="Times New Roman" w:cs="Times New Roman"/>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合理、具有操作性，且专门针对本项目，契合采购需求视为符合；方案内容属于通用类，非专门针对本项目，部分契合采购需求视为部分符合；方案内容非专门针对本项目，脱离采购需求视为不符合。</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上述每项内容符合得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分；部分符合得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分；不符合或不提供不得分。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6" w:type="dxa"/>
            <w:vAlign w:val="top"/>
            <w:textDirection w:val="lrTb"/>
            <w:noWrap w:val="false"/>
          </w:tcPr>
          <w:p>
            <w:pPr>
              <w:ind w:left="0"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4.履约能力</w:t>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平均无故障运行时间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投标人所投台式计算机（产品清单</w:t>
            </w:r>
            <w:r>
              <w:rPr>
                <w:rFonts w:ascii="Times New Roman" w:hAnsi="Times New Roman" w:eastAsia="Times New Roman" w:cs="Times New Roman"/>
                <w:color w:val="000000"/>
                <w:sz w:val="21"/>
                <w:u w:val="none"/>
              </w:rPr>
              <w:t xml:space="preserve">14</w:t>
            </w:r>
            <w:r>
              <w:rPr>
                <w:rFonts w:ascii="SimSun" w:hAnsi="SimSun" w:eastAsia="SimSun" w:cs="SimSun"/>
                <w:color w:val="000000"/>
                <w:sz w:val="21"/>
                <w:u w:val="none"/>
              </w:rPr>
              <w:t xml:space="preserve">）</w:t>
            </w:r>
            <w:r>
              <w:rPr>
                <w:rFonts w:ascii="Times New Roman" w:hAnsi="Times New Roman" w:eastAsia="Times New Roman" w:cs="Times New Roman"/>
                <w:color w:val="000000"/>
                <w:sz w:val="21"/>
                <w:u w:val="none"/>
              </w:rPr>
              <w:t xml:space="preserve">MTBF</w:t>
            </w:r>
            <w:r>
              <w:rPr>
                <w:rFonts w:ascii="SimSun" w:hAnsi="SimSun" w:eastAsia="SimSun" w:cs="SimSun"/>
                <w:color w:val="000000"/>
                <w:sz w:val="21"/>
                <w:u w:val="none"/>
              </w:rPr>
              <w:t xml:space="preserve">平均无故障运行时间≥</w:t>
            </w:r>
            <w:r>
              <w:rPr>
                <w:rFonts w:ascii="Times New Roman" w:hAnsi="Times New Roman" w:eastAsia="Times New Roman" w:cs="Times New Roman"/>
                <w:color w:val="000000"/>
                <w:sz w:val="21"/>
                <w:u w:val="none"/>
              </w:rPr>
              <w:t xml:space="preserve">120</w:t>
            </w:r>
            <w:r>
              <w:rPr>
                <w:rFonts w:ascii="SimSun" w:hAnsi="SimSun" w:eastAsia="SimSun" w:cs="SimSun"/>
                <w:color w:val="000000"/>
                <w:sz w:val="21"/>
                <w:u w:val="none"/>
              </w:rPr>
              <w:t xml:space="preserve">万小时（不含），得</w:t>
            </w:r>
            <w:r>
              <w:rPr>
                <w:rFonts w:ascii="Times New Roman" w:hAnsi="Times New Roman" w:eastAsia="Times New Roman" w:cs="Times New Roman"/>
                <w:color w:val="000000"/>
                <w:sz w:val="21"/>
                <w:u w:val="none"/>
              </w:rPr>
              <w:t xml:space="preserve">4</w:t>
            </w:r>
            <w:r>
              <w:rPr>
                <w:rFonts w:ascii="SimSun" w:hAnsi="SimSun" w:eastAsia="SimSun" w:cs="SimSun"/>
                <w:color w:val="000000"/>
                <w:sz w:val="21"/>
                <w:u w:val="none"/>
              </w:rPr>
              <w:t xml:space="preserve">分</w:t>
            </w:r>
            <w:r>
              <w:rPr>
                <w:rFonts w:ascii="SimSun" w:hAnsi="SimSun" w:eastAsia="SimSun" w:cs="SimSun"/>
                <w:color w:val="000000"/>
                <w:sz w:val="21"/>
              </w:rPr>
              <w:t xml:space="preserve">，未提供不得分。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备注：提供提供符合国家及行业相关管理规范要求的第三方检测机构出具的检测报告或认证证书或官网截图和链接。</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431"/>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6" w:type="dxa"/>
            <w:vAlign w:val="center"/>
            <w:textDirection w:val="lrTb"/>
            <w:noWrap w:val="false"/>
          </w:tcPr>
          <w:p>
            <w:pPr>
              <w:ind w:left="0" w:right="0" w:firstLine="0"/>
              <w:jc w:val="both"/>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5.绿色采购</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5.1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both"/>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属于财政部、国家发展和改革委员会公布的《节能产品政府采购品目清单》（财库〔2019〕19号）范围内（政府强制采购产品除外）的，投标人提供国家确定的认证机构出具的、处于有效期之内的该节能产品认证证书的，有1个得0.5分，最多得1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5..2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2" w:type="dxa"/>
            <w:vAlign w:val="center"/>
            <w:textDirection w:val="lrTb"/>
            <w:noWrap w:val="false"/>
          </w:tcPr>
          <w:p>
            <w:pPr>
              <w:ind w:left="0" w:right="0" w:firstLine="0"/>
              <w:jc w:val="both"/>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属于财政部、生态环境部公布的《环境标志产品品目清单》（财库〔2019〕18号）范围内的，投标人提供国家确定的认证机构出具的、处于有效期内的该环境标志产品认证证书的，有1个得0.5分，最多得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8" w:type="dxa"/>
            <w:vAlign w:val="center"/>
            <w:textDirection w:val="lrTb"/>
            <w:noWrap w:val="false"/>
          </w:tcPr>
          <w:p>
            <w:pPr>
              <w:ind w:left="172" w:right="0" w:firstLine="0"/>
              <w:jc w:val="center"/>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Sun" w:hAnsi="SimSun" w:eastAsia="SimSun" w:cs="SimSun"/>
          <w:color w:val="000000"/>
          <w:sz w:val="28"/>
        </w:rPr>
        <w:t xml:space="preserve">一、信用承诺函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二、法定代表人授权委托书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五、核心产品品牌一览表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十二、关于符合本国产品标准的声明函（如有）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十三、分包情况说明及分包意向协议（如有）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rPr>
          <w:rFonts w:ascii="Times New Roman" w:hAnsi="Times New Roman" w:eastAsia="Times New Roman" w:cs="Times New Roman"/>
          <w:sz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rPr>
          <w:rFonts w:ascii="Times New Roman" w:hAnsi="Times New Roman" w:eastAsia="Times New Roman" w:cs="Times New Roman"/>
          <w:sz w:val="21"/>
        </w:rPr>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信用承诺函</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（投标人名称）郑重承诺，我公司（单位）符合下列要求：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（六）我公司（单位）已知晓：单位负责人为同一人或者存在直接控股、管理关系的不同投标人，不得参加同一合同项下的政府采购活动；</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（七）未参加此项目的整体设计、规范编制或者项目管理、监理、检测等服务。</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如果我公司（单位）中标，将在中标结果公示后七个工作日内向采购人提供下列材料核验：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我公司（单位）对上述承诺内容的真实性、合法性、有效性负责，如有虚假，将依法承担相应责任。</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二、法定代表人授权委托书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法定代表人授权委托书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（投标人名称）的法定代表人（单位负责人），现代表我单位授权委托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（姓名，职务）为我方合法代理人参加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（项目名称）的政府采购活动，由其代表我方办理上述项目在投标、开标、澄清确认过程中的相关事宜，其法律后果由我方承担。</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委托期限：自本授权委托书签署之日起至投标有效期届满之日止。</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________________</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法定代表人（单位负责人）（签字或签章）：</w:t>
      </w:r>
      <w:r>
        <w:rPr>
          <w:rFonts w:ascii="Times New Roman" w:hAnsi="Times New Roman" w:eastAsia="Times New Roman" w:cs="Times New Roman"/>
          <w:color w:val="000000"/>
          <w:sz w:val="24"/>
        </w:rPr>
        <w:t xml:space="preserve">________________</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代理人（签字或签章）：</w:t>
      </w:r>
      <w:r>
        <w:rPr>
          <w:rFonts w:ascii="Times New Roman" w:hAnsi="Times New Roman" w:eastAsia="Times New Roman" w:cs="Times New Roman"/>
          <w:color w:val="000000"/>
          <w:sz w:val="24"/>
        </w:rPr>
        <w:t xml:space="preserve">________________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附：法定代表人（单位负责人）及代理人有效身份证明文件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若投标人为事业单位或其他组织或分支机构（仅限招标文件注明允许分支机构投标情形），则法定代表人（单位负责人）处的签署人可为单位负责人。</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当代理人为法定代表人（或上述情况的单位负责人）时，代理人相关内容填报为法定代表人（或上述情况的单位负责人）信息，“代理人（签字或盖章）”处可不用再重复签字或盖章。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投标人为自然人的，可不提供本《法定代表人授权委托书》。</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投标人应同时提供法定代表人（单位负责人）及代理人的身份证或护照等有效身份证明文件（彩色复印件或者彩色扫描件）。</w:t>
      </w:r>
      <w:r>
        <w:rPr>
          <w:rFonts w:ascii="SimSun" w:hAnsi="SimSun" w:eastAsia="SimSun" w:cs="SimSun"/>
          <w:b/>
          <w:color w:val="000000"/>
          <w:sz w:val="24"/>
        </w:rPr>
        <w:t xml:space="preserve">提供身份证的，应同时提供身份证双面</w:t>
      </w:r>
      <w:r>
        <w:rPr>
          <w:rFonts w:ascii="SimSun" w:hAnsi="SimSun" w:eastAsia="SimSun" w:cs="SimSun"/>
          <w:color w:val="000000"/>
          <w:sz w:val="24"/>
        </w:rPr>
        <w:t xml:space="preserve">。</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未按招标文件要求和格式提供《法定代表人授权委托书》的，将作为无效投标处理。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（项目名称）的招标文件，我方正式提交投标函，并宣布同意如下内容：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1.按招标文件规定的各项要求，向贵方提供所需货物（包含与货物相关的服务）。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6.一旦我方中标，我方将根据招标文件的规定，严格履行合同的责任和义务，并保证在招标文件规定的时间完成项目，交付贵方验收、使用。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大型企业 </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中型企业 </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小型企业 </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微型企业（在对应</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内打“√”）</w:t>
      </w:r>
      <w:r/>
    </w:p>
    <w:p>
      <w:pPr>
        <w:ind w:left="0" w:right="0" w:firstLine="0"/>
        <w:jc w:val="both"/>
        <w:spacing w:before="210" w:after="0" w:line="31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8.我方为：</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民营企业</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非民营企业</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事业单位或其他组织（在对应</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内打</w:t>
      </w:r>
      <w:r>
        <w:rPr>
          <w:rFonts w:ascii="SimSun" w:hAnsi="SimSun" w:eastAsia="SimSun" w:cs="SimSun"/>
          <w:color w:val="000000"/>
          <w:sz w:val="24"/>
        </w:rPr>
        <w:t xml:space="preserve">“√”）</w:t>
      </w:r>
      <w:r>
        <w:rPr>
          <w:rFonts w:ascii="SimSun" w:hAnsi="SimSun" w:eastAsia="SimSun" w:cs="SimSun"/>
          <w:sz w:val="21"/>
        </w:rPr>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9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rPr>
          <w:rFonts w:ascii="Times New Roman" w:hAnsi="Times New Roman" w:eastAsia="Times New Roman" w:cs="Times New Roman"/>
          <w:sz w:val="21"/>
        </w:rPr>
      </w:r>
      <w:r/>
    </w:p>
    <w:p>
      <w:pPr>
        <w:ind w:left="0" w:right="0" w:firstLine="48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核心产品品牌一览表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1"/>
        <w:gridCol w:w="3349"/>
        <w:gridCol w:w="1938"/>
        <w:gridCol w:w="2144"/>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备注：投标人须按照表格要求明确填写所投“核心产品”的品牌，不得填报“/”“无”等内容，否则视为无效投标。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投标分项报价表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7"/>
        <w:gridCol w:w="847"/>
        <w:gridCol w:w="791"/>
        <w:gridCol w:w="962"/>
        <w:gridCol w:w="895"/>
        <w:gridCol w:w="762"/>
        <w:gridCol w:w="760"/>
        <w:gridCol w:w="761"/>
        <w:gridCol w:w="88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vMerge w:val="restart"/>
            <w:textDirection w:val="lrTb"/>
            <w:noWrap w:val="false"/>
          </w:tcPr>
          <w:p>
            <w:pPr>
              <w:ind w:left="0" w:right="1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r>
      <w:tr>
        <w:trPr>
          <w:trHeight w:val="65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本采购包中本公司（单位）提供的符合本国产品标准的产品成本之和 </w:t>
            </w:r>
            <w:r>
              <w:rPr>
                <w:rFonts w:hint="default" w:ascii="Cambria Math" w:hAnsi="Cambria Math" w:eastAsia="Cambria Math" w:cs="Cambria Math"/>
                <w:color w:val="000000"/>
                <w:sz w:val="24"/>
              </w:rPr>
              <w:t xml:space="preserve">□</w:t>
            </w:r>
            <w:r>
              <w:rPr>
                <w:rFonts w:ascii="SimSun" w:hAnsi="SimSun" w:eastAsia="SimSun" w:cs="SimSun"/>
                <w:b/>
                <w:color w:val="000000"/>
                <w:sz w:val="24"/>
                <w:u w:val="single"/>
              </w:rPr>
              <w:t xml:space="preserve">是 </w:t>
            </w:r>
            <w:r>
              <w:rPr>
                <w:rFonts w:hint="default" w:ascii="Cambria Math" w:hAnsi="Cambria Math" w:eastAsia="Cambria Math" w:cs="Cambria Math"/>
                <w:color w:val="000000"/>
                <w:sz w:val="24"/>
              </w:rPr>
              <w:t xml:space="preserve">□</w:t>
            </w:r>
            <w:r>
              <w:rPr>
                <w:rFonts w:ascii="SimSun" w:hAnsi="SimSun" w:eastAsia="SimSun" w:cs="SimSun"/>
                <w:b/>
                <w:color w:val="000000"/>
                <w:sz w:val="24"/>
                <w:u w:val="single"/>
              </w:rPr>
              <w:t xml:space="preserve">否 </w:t>
            </w:r>
            <w:r>
              <w:rPr>
                <w:rFonts w:ascii="SimSun" w:hAnsi="SimSun" w:eastAsia="SimSun" w:cs="SimSun"/>
                <w:b/>
                <w:color w:val="000000"/>
                <w:sz w:val="24"/>
              </w:rPr>
              <w:t xml:space="preserve">达到提供的全部产品成本之和的80%以上。</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《投标分项报价表》中的分项名称须与“第四章采购需求-项目清单”中的分项名称一一对应，如有缺项、漏项，视为无效投标。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当采购项目或者采购包中含有多种产品，投标人未对提供的符合本国产品标准的产品成本之和占全部产品成本之和的比例达到80%以上作出承诺的，将不享受本国产品价格评审优惠。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技术要求响应及偏离表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2701"/>
        <w:gridCol w:w="2688"/>
        <w:gridCol w:w="31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1.投标人须对招标文件技术要求中的实质性要求（打“★”内容）作出明确响应，否则视为无效投标。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3.行数不够，可自行添加。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商务要求响应及偏离表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2731"/>
        <w:gridCol w:w="2688"/>
        <w:gridCol w:w="318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投标人须对招标文件商务要求中的实质性要求（打“★”内容）做出明确响应，否则视为无效投标。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中小企业声明函（货物）</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w:t>
      </w:r>
      <w:r>
        <w:rPr>
          <w:rFonts w:ascii="SimSun" w:hAnsi="SimSun" w:eastAsia="SimSun" w:cs="SimSun"/>
          <w:b/>
          <w:color w:val="000000"/>
          <w:sz w:val="24"/>
        </w:rPr>
        <w:t xml:space="preserve">提供的货物全部由符合政策要求的中小企业制造</w:t>
      </w:r>
      <w:r>
        <w:rPr>
          <w:rFonts w:ascii="SimSun" w:hAnsi="SimSun" w:eastAsia="SimSun" w:cs="SimSun"/>
          <w:color w:val="000000"/>
          <w:sz w:val="24"/>
        </w:rPr>
        <w:t xml:space="preserve">。根据《工业和信息化部、国家统计局、国家发展和改革委员会、财政部关于印发中小企业划型标准规定的通知》（工信部联企业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中型企业 </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小型企业 </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中型企业</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小型企业 </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货物采购项目中，货物全部由符合政策的中小企业制造，享受相应的中小企业扶持政策，不对其中涉及的服务的承接商、工程的承建商作出要求。招标文件第四章采购需求“项目清单”中的“货物”产品需在此声明函中的“标的名称”中全部列明，并填写制造商的具体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（联合体中各投标人全称）在此达成以下协议：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（投标人1），（投标人2）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（投标人名称）为牵头单位。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（投标人名称）实施项目中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（投标人名称）实施项目中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（工作内容）部分工作，并承担相应的责任；……。（注：需明确联合体中各投标人所承担的工作和相应的责任）。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（企业全称）为</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小型、微型企业</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残疾人福利性单位 </w:t>
      </w:r>
      <w:r>
        <w:rPr>
          <w:rFonts w:hint="default" w:ascii="Cambria Math" w:hAnsi="Cambria Math" w:eastAsia="Cambria Math" w:cs="Cambria Math"/>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联合体中各投标人全称：（加盖电子公章）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十二、关于符合本国产品标准的声明函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关于符合本国产品标准的声明函（采购包号：**）</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生产厂为（厂名）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十三、分包情况说明及分包意向协议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分包情况说明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b/>
          <w:color w:val="000000"/>
          <w:sz w:val="24"/>
        </w:rPr>
        <w:t xml:space="preserve">（采购人名称）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我单位参加项目编号为</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的</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项目（项目名称）中</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1"/>
        <w:gridCol w:w="1324"/>
        <w:gridCol w:w="1324"/>
        <w:gridCol w:w="1369"/>
        <w:gridCol w:w="1553"/>
        <w:gridCol w:w="1360"/>
        <w:gridCol w:w="11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分包承担主体名称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分包承担主体类型（大型、中型、小型、微型）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分包承担主体资质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分包标的内容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分包合同金额（元）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占合同总额的比例（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tc>
      </w:tr>
      <w:tr>
        <w:trPr>
          <w:trHeight w:val="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7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如本项目（包）允许分包，且投标人拟在中标后进行分包的，必须在投标文件中提供分包情况说明。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如本招标文件载明本项目分包承担主体应具备的相应资质条件，则投标人须在本表中列明分包承担主体的资质等级，并提供资质证书。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分包意向协议</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甲方（投标人）：</w:t>
      </w:r>
      <w:r>
        <w:rPr>
          <w:rFonts w:ascii="Times New Roman" w:hAnsi="Times New Roman" w:eastAsia="Times New Roman" w:cs="Times New Roman"/>
          <w:color w:val="000000"/>
          <w:sz w:val="24"/>
        </w:rPr>
        <w:t xml:space="preserve">________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乙方（分包承担主体）：</w:t>
      </w:r>
      <w:r>
        <w:rPr>
          <w:rFonts w:ascii="Times New Roman" w:hAnsi="Times New Roman" w:eastAsia="Times New Roman" w:cs="Times New Roman"/>
          <w:color w:val="000000"/>
          <w:sz w:val="24"/>
        </w:rPr>
        <w:t xml:space="preserve">________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甲方承诺，一旦在项目编号为</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的</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项目（项目名称）</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（采购包号）中获得采购合同，将按照下述约定将合同项下部分内容分包给乙方：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分包内容：</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分包金额：</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，该金额占该采购包合同金额的比例为</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乙方承诺将在上述情况下与甲方签订分包合同。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本协议自各方盖章之日起生效，如甲方未在该项目（采购包）中标，本协议自动终止。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rPr>
          <w:rFonts w:ascii="Times New Roman" w:hAnsi="Times New Roman" w:eastAsia="Times New Roman" w:cs="Times New Roman"/>
          <w:color w:val="000000"/>
          <w:sz w:val="24"/>
        </w:rPr>
        <w:t xml:space="preserve">_________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rPr>
          <w:rFonts w:ascii="Times New Roman" w:hAnsi="Times New Roman" w:eastAsia="Times New Roman" w:cs="Times New Roman"/>
          <w:color w:val="000000"/>
          <w:sz w:val="24"/>
        </w:rPr>
        <w:t xml:space="preserve">_________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如本项目（采购包）允许分包，且投标人拟在中标后进行分包的，必须在投标文件中提供本协议。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投标人满足《政府采购促进中小企业发展管理办法》（财库〔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号）第九条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有关规定，拟享受中小企业政策优惠措施的，仍需提供本协议，否则不予认可； </w:t>
      </w:r>
      <w:r/>
    </w:p>
    <w:p>
      <w:pPr>
        <w:numPr>
          <w:ilvl w:val="0"/>
          <w:numId w:val="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投标人须按分包情况说明与所有拟分包承担主体分别签订《分包意向协议》，并在投标文件中提交。</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四、质疑事项相关请求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  字（签章）：              公  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相关说明：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1.供应商提出质疑，应提交《质疑函》和必要的证明材料。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由授权代表负责质疑事宜的，《质疑函》附件中应提交由质疑供应商法定代表人或主要负责人签署的《授权委托书》。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3.质疑供应商针对项目的某一采购包进行质疑的，《质疑函》中应明确采购包号。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7.质疑供应商为联合体的，则《质疑函》中要求加盖公章之处，联合体各方均须按要求加盖公章。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877"/>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Math">
    <w:panose1 w:val="02040503050406030204"/>
  </w:font>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0"/>
        <w:rFonts w:ascii="宋体" w:hAnsi="宋体"/>
      </w:rPr>
      <w:framePr w:wrap="around" w:vAnchor="text" w:hAnchor="margin" w:xAlign="center" w:y="1"/>
    </w:pPr>
    <w:r>
      <w:rPr>
        <w:rFonts w:ascii="宋体" w:hAnsi="宋体"/>
      </w:rPr>
      <w:fldChar w:fldCharType="begin"/>
    </w:r>
    <w:r>
      <w:rPr>
        <w:rStyle w:val="950"/>
        <w:rFonts w:ascii="宋体" w:hAnsi="宋体"/>
      </w:rPr>
      <w:instrText xml:space="preserve">PAGE  </w:instrText>
    </w:r>
    <w:r>
      <w:rPr>
        <w:rFonts w:ascii="宋体" w:hAnsi="宋体"/>
      </w:rPr>
      <w:fldChar w:fldCharType="separate"/>
    </w:r>
    <w:r>
      <w:rPr>
        <w:rStyle w:val="950"/>
        <w:rFonts w:ascii="宋体" w:hAnsi="宋体"/>
      </w:rPr>
      <w:t xml:space="preserve">４２</w:t>
    </w:r>
    <w:r>
      <w:rPr>
        <w:rFonts w:ascii="宋体" w:hAnsi="宋体"/>
      </w:rPr>
      <w:fldChar w:fldCharType="end"/>
    </w:r>
    <w:r>
      <w:rPr>
        <w:rStyle w:val="950"/>
        <w:rFonts w:ascii="宋体" w:hAnsi="宋体"/>
      </w:rPr>
    </w:r>
    <w:r/>
  </w:p>
  <w:p>
    <w:pPr>
      <w:pStyle w:val="92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rPr>
        <w:rStyle w:val="950"/>
      </w:rPr>
    </w:r>
    <w:r/>
  </w:p>
  <w:p>
    <w:pPr>
      <w:pStyle w:val="9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1">
    <w:multiLevelType w:val="hybridMultilevel"/>
    <w:lvl w:ilvl="0">
      <w:start w:val="7"/>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9"/>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6"/>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abstractNum w:abstractNumId="5">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0"/>
  </w:num>
  <w:num w:numId="5">
    <w:abstractNumId w:val="1"/>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89"/>
    <w:link w:val="877"/>
    <w:qFormat/>
    <w:pPr>
      <w:jc w:val="both"/>
      <w:widowControl w:val="off"/>
    </w:pPr>
    <w:rPr>
      <w:sz w:val="21"/>
      <w:szCs w:val="22"/>
      <w:lang w:val="en-US" w:eastAsia="zh-CN" w:bidi="ar-SA"/>
    </w:rPr>
  </w:style>
  <w:style w:type="paragraph" w:styleId="878">
    <w:name w:val="标题 1"/>
    <w:basedOn w:val="877"/>
    <w:next w:val="877"/>
    <w:link w:val="894"/>
    <w:qFormat/>
    <w:pPr>
      <w:jc w:val="center"/>
      <w:keepNext/>
      <w:outlineLvl w:val="0"/>
    </w:pPr>
    <w:rPr>
      <w:rFonts w:ascii="楷体_GB2312" w:hAnsi="Times New Roman" w:eastAsia="楷体_GB2312" w:cs="Times New Roman"/>
      <w:sz w:val="28"/>
      <w:szCs w:val="28"/>
    </w:rPr>
  </w:style>
  <w:style w:type="paragraph" w:styleId="879">
    <w:name w:val="标题 2"/>
    <w:basedOn w:val="877"/>
    <w:next w:val="877"/>
    <w:link w:val="895"/>
    <w:qFormat/>
    <w:pPr>
      <w:jc w:val="center"/>
      <w:keepLines/>
      <w:keepNext/>
      <w:spacing w:before="260" w:after="260" w:line="416" w:lineRule="auto"/>
      <w:outlineLvl w:val="1"/>
    </w:pPr>
    <w:rPr>
      <w:rFonts w:ascii="Arial" w:hAnsi="Arial" w:eastAsia="幼圆" w:cs="Arial"/>
      <w:b/>
      <w:bCs/>
      <w:sz w:val="44"/>
      <w:szCs w:val="44"/>
    </w:rPr>
  </w:style>
  <w:style w:type="paragraph" w:styleId="880">
    <w:name w:val="标题 3"/>
    <w:basedOn w:val="877"/>
    <w:next w:val="897"/>
    <w:link w:val="89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1">
    <w:name w:val="标题 4"/>
    <w:basedOn w:val="877"/>
    <w:next w:val="897"/>
    <w:link w:val="899"/>
    <w:qFormat/>
    <w:pPr>
      <w:keepLines/>
      <w:keepNext/>
      <w:spacing w:before="280" w:after="290" w:line="376" w:lineRule="auto"/>
      <w:outlineLvl w:val="3"/>
    </w:pPr>
    <w:rPr>
      <w:rFonts w:ascii="Arial" w:hAnsi="Arial" w:eastAsia="黑体" w:cs="Arial"/>
      <w:b/>
      <w:bCs/>
      <w:sz w:val="28"/>
      <w:szCs w:val="28"/>
    </w:rPr>
  </w:style>
  <w:style w:type="paragraph" w:styleId="882">
    <w:name w:val="标题 5"/>
    <w:basedOn w:val="877"/>
    <w:next w:val="897"/>
    <w:link w:val="900"/>
    <w:qFormat/>
    <w:pPr>
      <w:keepNext/>
      <w:outlineLvl w:val="4"/>
    </w:pPr>
    <w:rPr>
      <w:rFonts w:ascii="宋体" w:hAnsi="Times New Roman" w:eastAsia="宋体" w:cs="Times New Roman"/>
      <w:color w:val="000000"/>
      <w:sz w:val="28"/>
      <w:szCs w:val="28"/>
    </w:rPr>
  </w:style>
  <w:style w:type="paragraph" w:styleId="883">
    <w:name w:val="标题 6"/>
    <w:basedOn w:val="877"/>
    <w:next w:val="877"/>
    <w:link w:val="90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4">
    <w:name w:val="标题 7"/>
    <w:basedOn w:val="877"/>
    <w:next w:val="877"/>
    <w:link w:val="90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5">
    <w:name w:val="标题 8"/>
    <w:basedOn w:val="877"/>
    <w:next w:val="877"/>
    <w:link w:val="90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6">
    <w:name w:val="标题 9"/>
    <w:basedOn w:val="877"/>
    <w:next w:val="877"/>
    <w:link w:val="904"/>
    <w:qFormat/>
    <w:pPr>
      <w:numPr>
        <w:ilvl w:val="8"/>
        <w:numId w:val="1"/>
      </w:numPr>
      <w:keepLines/>
      <w:keepNext/>
      <w:spacing w:before="240" w:after="64" w:line="320" w:lineRule="auto"/>
      <w:outlineLvl w:val="8"/>
    </w:pPr>
    <w:rPr>
      <w:rFonts w:ascii="Arial" w:hAnsi="Arial" w:eastAsia="黑体" w:cs="Times New Roman"/>
      <w:szCs w:val="21"/>
    </w:rPr>
  </w:style>
  <w:style w:type="character" w:styleId="887">
    <w:name w:val="默认段落字体"/>
    <w:next w:val="887"/>
    <w:link w:val="877"/>
    <w:uiPriority w:val="1"/>
    <w:unhideWhenUsed/>
  </w:style>
  <w:style w:type="table" w:styleId="888">
    <w:name w:val="普通表格"/>
    <w:next w:val="888"/>
    <w:link w:val="877"/>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9">
    <w:name w:val="正文首行缩进 2"/>
    <w:basedOn w:val="890"/>
    <w:next w:val="877"/>
    <w:link w:val="893"/>
    <w:pPr>
      <w:ind w:left="0" w:firstLine="420"/>
      <w:spacing w:after="0" w:line="360" w:lineRule="auto"/>
    </w:pPr>
    <w:rPr>
      <w:rFonts w:ascii="宋体" w:hAnsi="宋体" w:eastAsia="宋体" w:cs="Times New Roman"/>
      <w:szCs w:val="20"/>
    </w:rPr>
  </w:style>
  <w:style w:type="paragraph" w:styleId="890">
    <w:name w:val="正文文本缩进"/>
    <w:basedOn w:val="877"/>
    <w:next w:val="892"/>
    <w:link w:val="891"/>
    <w:unhideWhenUsed/>
    <w:pPr>
      <w:ind w:left="420"/>
      <w:spacing w:after="120"/>
    </w:pPr>
  </w:style>
  <w:style w:type="character" w:styleId="891">
    <w:name w:val="正文文本缩进 Char"/>
    <w:basedOn w:val="887"/>
    <w:next w:val="891"/>
    <w:link w:val="890"/>
    <w:uiPriority w:val="99"/>
    <w:semiHidden/>
  </w:style>
  <w:style w:type="paragraph" w:styleId="892">
    <w:name w:val="寄信人地址"/>
    <w:basedOn w:val="877"/>
    <w:next w:val="892"/>
    <w:link w:val="877"/>
    <w:qFormat/>
    <w:rPr>
      <w:rFonts w:ascii="Arial" w:hAnsi="Arial" w:eastAsia="宋体" w:cs="宋体"/>
    </w:rPr>
  </w:style>
  <w:style w:type="character" w:styleId="893">
    <w:name w:val="正文首行缩进 2 Char"/>
    <w:next w:val="893"/>
    <w:link w:val="889"/>
    <w:rPr>
      <w:rFonts w:ascii="宋体" w:hAnsi="宋体" w:eastAsia="宋体" w:cs="Times New Roman"/>
      <w:szCs w:val="20"/>
    </w:rPr>
  </w:style>
  <w:style w:type="character" w:styleId="894">
    <w:name w:val="标题 1 Char"/>
    <w:next w:val="894"/>
    <w:link w:val="878"/>
    <w:rPr>
      <w:rFonts w:ascii="楷体_GB2312" w:hAnsi="Times New Roman" w:eastAsia="楷体_GB2312" w:cs="Times New Roman"/>
      <w:sz w:val="28"/>
      <w:szCs w:val="28"/>
    </w:rPr>
  </w:style>
  <w:style w:type="character" w:styleId="895">
    <w:name w:val="标题 2 Char"/>
    <w:next w:val="895"/>
    <w:link w:val="879"/>
    <w:rPr>
      <w:rFonts w:ascii="Arial" w:hAnsi="Arial" w:eastAsia="幼圆" w:cs="Arial"/>
      <w:b/>
      <w:bCs/>
      <w:sz w:val="44"/>
      <w:szCs w:val="44"/>
    </w:rPr>
  </w:style>
  <w:style w:type="character" w:styleId="896">
    <w:name w:val="标题 3 Char"/>
    <w:next w:val="896"/>
    <w:link w:val="880"/>
    <w:rPr>
      <w:rFonts w:ascii="Times New Roman" w:hAnsi="Times New Roman" w:eastAsia="宋体" w:cs="Times New Roman"/>
      <w:b/>
      <w:bCs/>
      <w:sz w:val="32"/>
      <w:szCs w:val="32"/>
    </w:rPr>
  </w:style>
  <w:style w:type="paragraph" w:styleId="897">
    <w:name w:val="正文缩进"/>
    <w:basedOn w:val="877"/>
    <w:next w:val="897"/>
    <w:link w:val="898"/>
    <w:pPr>
      <w:ind w:firstLine="420"/>
    </w:pPr>
    <w:rPr>
      <w:szCs w:val="21"/>
    </w:rPr>
  </w:style>
  <w:style w:type="character" w:styleId="898">
    <w:name w:val="正文缩进 Char"/>
    <w:next w:val="898"/>
    <w:link w:val="897"/>
    <w:rPr>
      <w:szCs w:val="21"/>
    </w:rPr>
  </w:style>
  <w:style w:type="character" w:styleId="899">
    <w:name w:val="标题 4 Char"/>
    <w:next w:val="899"/>
    <w:link w:val="881"/>
    <w:rPr>
      <w:rFonts w:ascii="Arial" w:hAnsi="Arial" w:eastAsia="黑体" w:cs="Arial"/>
      <w:b/>
      <w:bCs/>
      <w:sz w:val="28"/>
      <w:szCs w:val="28"/>
    </w:rPr>
  </w:style>
  <w:style w:type="character" w:styleId="900">
    <w:name w:val="标题 5 Char"/>
    <w:next w:val="900"/>
    <w:link w:val="882"/>
    <w:rPr>
      <w:rFonts w:ascii="宋体" w:hAnsi="Times New Roman" w:eastAsia="宋体" w:cs="Times New Roman"/>
      <w:color w:val="000000"/>
      <w:sz w:val="28"/>
      <w:szCs w:val="28"/>
    </w:rPr>
  </w:style>
  <w:style w:type="character" w:styleId="901">
    <w:name w:val="标题 6 Char"/>
    <w:next w:val="901"/>
    <w:link w:val="883"/>
    <w:rPr>
      <w:rFonts w:ascii="Arial" w:hAnsi="Arial" w:eastAsia="黑体" w:cs="Times New Roman"/>
      <w:b/>
      <w:bCs/>
      <w:sz w:val="24"/>
      <w:szCs w:val="24"/>
    </w:rPr>
  </w:style>
  <w:style w:type="character" w:styleId="902">
    <w:name w:val="标题 7 Char"/>
    <w:next w:val="902"/>
    <w:link w:val="884"/>
    <w:rPr>
      <w:rFonts w:ascii="Times New Roman" w:hAnsi="Times New Roman" w:eastAsia="宋体" w:cs="Times New Roman"/>
      <w:b/>
      <w:bCs/>
      <w:sz w:val="24"/>
      <w:szCs w:val="24"/>
    </w:rPr>
  </w:style>
  <w:style w:type="character" w:styleId="903">
    <w:name w:val="标题 8 Char"/>
    <w:next w:val="903"/>
    <w:link w:val="885"/>
    <w:rPr>
      <w:rFonts w:ascii="Arial" w:hAnsi="Arial" w:eastAsia="黑体" w:cs="Times New Roman"/>
      <w:sz w:val="24"/>
      <w:szCs w:val="24"/>
    </w:rPr>
  </w:style>
  <w:style w:type="character" w:styleId="904">
    <w:name w:val="标题 9 Char"/>
    <w:next w:val="904"/>
    <w:link w:val="886"/>
    <w:rPr>
      <w:rFonts w:ascii="Arial" w:hAnsi="Arial" w:eastAsia="黑体" w:cs="Times New Roman"/>
      <w:szCs w:val="21"/>
    </w:rPr>
  </w:style>
  <w:style w:type="paragraph" w:styleId="905">
    <w:name w:val="列表 3"/>
    <w:basedOn w:val="877"/>
    <w:next w:val="905"/>
    <w:link w:val="877"/>
    <w:pPr>
      <w:ind w:left="100" w:hanging="200"/>
    </w:pPr>
    <w:rPr>
      <w:rFonts w:ascii="Times New Roman" w:hAnsi="Times New Roman" w:eastAsia="宋体" w:cs="Times New Roman"/>
      <w:szCs w:val="21"/>
    </w:rPr>
  </w:style>
  <w:style w:type="paragraph" w:styleId="906">
    <w:name w:val="目录 7"/>
    <w:basedOn w:val="877"/>
    <w:next w:val="877"/>
    <w:link w:val="877"/>
    <w:semiHidden/>
    <w:pPr>
      <w:ind w:left="1260"/>
      <w:jc w:val="left"/>
    </w:pPr>
    <w:rPr>
      <w:rFonts w:ascii="Times New Roman" w:hAnsi="Times New Roman" w:eastAsia="宋体" w:cs="Times New Roman"/>
      <w:szCs w:val="21"/>
    </w:rPr>
  </w:style>
  <w:style w:type="paragraph" w:styleId="907">
    <w:name w:val="文档结构图"/>
    <w:basedOn w:val="877"/>
    <w:next w:val="907"/>
    <w:link w:val="908"/>
    <w:semiHidden/>
    <w:pPr>
      <w:shd w:val="clear" w:color="auto" w:fill="000080"/>
    </w:pPr>
    <w:rPr>
      <w:rFonts w:ascii="Times New Roman" w:hAnsi="Times New Roman" w:eastAsia="宋体" w:cs="Times New Roman"/>
      <w:szCs w:val="21"/>
    </w:rPr>
  </w:style>
  <w:style w:type="character" w:styleId="908">
    <w:name w:val="文档结构图 Char"/>
    <w:next w:val="908"/>
    <w:link w:val="907"/>
    <w:semiHidden/>
    <w:rPr>
      <w:rFonts w:ascii="Times New Roman" w:hAnsi="Times New Roman" w:eastAsia="宋体" w:cs="Times New Roman"/>
      <w:szCs w:val="21"/>
      <w:shd w:val="clear" w:color="auto" w:fill="000080"/>
    </w:rPr>
  </w:style>
  <w:style w:type="paragraph" w:styleId="909">
    <w:name w:val="批注文字"/>
    <w:basedOn w:val="877"/>
    <w:next w:val="909"/>
    <w:link w:val="910"/>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10">
    <w:name w:val="批注文字 Char"/>
    <w:basedOn w:val="887"/>
    <w:next w:val="910"/>
    <w:link w:val="909"/>
    <w:uiPriority w:val="99"/>
    <w:semiHidden/>
  </w:style>
  <w:style w:type="paragraph" w:styleId="911">
    <w:name w:val="正文文本 3"/>
    <w:basedOn w:val="877"/>
    <w:next w:val="911"/>
    <w:link w:val="912"/>
    <w:rPr>
      <w:rFonts w:ascii="仿宋_GB2312" w:hAnsi="Arial" w:eastAsia="仿宋_GB2312" w:cs="Times New Roman"/>
      <w:sz w:val="32"/>
      <w:szCs w:val="32"/>
    </w:rPr>
  </w:style>
  <w:style w:type="character" w:styleId="912">
    <w:name w:val="正文文本 3 Char"/>
    <w:next w:val="912"/>
    <w:link w:val="911"/>
    <w:rPr>
      <w:rFonts w:ascii="仿宋_GB2312" w:hAnsi="Arial" w:eastAsia="仿宋_GB2312" w:cs="Times New Roman"/>
      <w:sz w:val="32"/>
      <w:szCs w:val="32"/>
    </w:rPr>
  </w:style>
  <w:style w:type="paragraph" w:styleId="913">
    <w:name w:val="正文文本"/>
    <w:basedOn w:val="877"/>
    <w:next w:val="913"/>
    <w:link w:val="914"/>
    <w:rPr>
      <w:rFonts w:ascii="楷体_GB2312" w:hAnsi="Arial" w:eastAsia="楷体_GB2312" w:cs="Times New Roman"/>
      <w:sz w:val="28"/>
      <w:szCs w:val="28"/>
    </w:rPr>
  </w:style>
  <w:style w:type="character" w:styleId="914">
    <w:name w:val="正文文本 Char"/>
    <w:next w:val="914"/>
    <w:link w:val="913"/>
    <w:rPr>
      <w:rFonts w:ascii="楷体_GB2312" w:hAnsi="Arial" w:eastAsia="楷体_GB2312" w:cs="Times New Roman"/>
      <w:sz w:val="28"/>
      <w:szCs w:val="28"/>
    </w:rPr>
  </w:style>
  <w:style w:type="paragraph" w:styleId="915">
    <w:name w:val="列表 2"/>
    <w:basedOn w:val="877"/>
    <w:next w:val="915"/>
    <w:link w:val="877"/>
    <w:pPr>
      <w:ind w:left="100" w:hanging="200"/>
    </w:pPr>
    <w:rPr>
      <w:rFonts w:ascii="Times New Roman" w:hAnsi="Times New Roman" w:eastAsia="宋体" w:cs="Times New Roman"/>
      <w:szCs w:val="21"/>
    </w:rPr>
  </w:style>
  <w:style w:type="paragraph" w:styleId="916">
    <w:name w:val="目录 5"/>
    <w:basedOn w:val="877"/>
    <w:next w:val="877"/>
    <w:link w:val="877"/>
    <w:semiHidden/>
    <w:pPr>
      <w:ind w:left="840"/>
      <w:jc w:val="left"/>
    </w:pPr>
    <w:rPr>
      <w:rFonts w:ascii="Times New Roman" w:hAnsi="Times New Roman" w:eastAsia="宋体" w:cs="Times New Roman"/>
      <w:szCs w:val="21"/>
    </w:rPr>
  </w:style>
  <w:style w:type="paragraph" w:styleId="917">
    <w:name w:val="目录 3"/>
    <w:basedOn w:val="877"/>
    <w:next w:val="877"/>
    <w:link w:val="877"/>
    <w:semiHidden/>
    <w:pPr>
      <w:ind w:left="420"/>
      <w:jc w:val="left"/>
    </w:pPr>
    <w:rPr>
      <w:rFonts w:ascii="Times New Roman" w:hAnsi="Times New Roman" w:eastAsia="宋体" w:cs="Times New Roman"/>
      <w:i/>
      <w:iCs/>
      <w:szCs w:val="24"/>
    </w:rPr>
  </w:style>
  <w:style w:type="paragraph" w:styleId="918">
    <w:name w:val="纯文本"/>
    <w:basedOn w:val="877"/>
    <w:next w:val="918"/>
    <w:link w:val="919"/>
    <w:rPr>
      <w:rFonts w:ascii="宋体" w:hAnsi="Courier New" w:eastAsia="宋体" w:cs="Courier New"/>
      <w:szCs w:val="21"/>
    </w:rPr>
  </w:style>
  <w:style w:type="character" w:styleId="919">
    <w:name w:val="纯文本 Char"/>
    <w:next w:val="919"/>
    <w:link w:val="918"/>
    <w:rPr>
      <w:rFonts w:ascii="宋体" w:hAnsi="Courier New" w:eastAsia="宋体" w:cs="Courier New"/>
      <w:szCs w:val="21"/>
    </w:rPr>
  </w:style>
  <w:style w:type="paragraph" w:styleId="920">
    <w:name w:val="目录 8"/>
    <w:basedOn w:val="877"/>
    <w:next w:val="877"/>
    <w:link w:val="877"/>
    <w:semiHidden/>
    <w:pPr>
      <w:ind w:left="1470"/>
      <w:jc w:val="left"/>
    </w:pPr>
    <w:rPr>
      <w:rFonts w:ascii="Times New Roman" w:hAnsi="Times New Roman" w:eastAsia="宋体" w:cs="Times New Roman"/>
      <w:szCs w:val="21"/>
    </w:rPr>
  </w:style>
  <w:style w:type="paragraph" w:styleId="921">
    <w:name w:val="日期"/>
    <w:basedOn w:val="877"/>
    <w:next w:val="877"/>
    <w:link w:val="922"/>
    <w:rPr>
      <w:rFonts w:ascii="Times New Roman" w:hAnsi="Times New Roman" w:eastAsia="宋体" w:cs="Times New Roman"/>
      <w:sz w:val="24"/>
      <w:szCs w:val="24"/>
    </w:rPr>
  </w:style>
  <w:style w:type="character" w:styleId="922">
    <w:name w:val="日期 Char"/>
    <w:next w:val="922"/>
    <w:link w:val="921"/>
    <w:rPr>
      <w:rFonts w:ascii="Times New Roman" w:hAnsi="Times New Roman" w:eastAsia="宋体" w:cs="Times New Roman"/>
      <w:sz w:val="24"/>
      <w:szCs w:val="24"/>
    </w:rPr>
  </w:style>
  <w:style w:type="paragraph" w:styleId="923">
    <w:name w:val="正文文本缩进 2"/>
    <w:basedOn w:val="877"/>
    <w:next w:val="923"/>
    <w:link w:val="924"/>
    <w:pPr>
      <w:ind w:left="630" w:firstLine="645"/>
    </w:pPr>
    <w:rPr>
      <w:rFonts w:ascii="Arial" w:hAnsi="Arial" w:eastAsia="仿宋_GB2312" w:cs="Arial"/>
      <w:sz w:val="32"/>
      <w:szCs w:val="32"/>
    </w:rPr>
  </w:style>
  <w:style w:type="character" w:styleId="924">
    <w:name w:val="正文文本缩进 2 Char"/>
    <w:next w:val="924"/>
    <w:link w:val="923"/>
    <w:rPr>
      <w:rFonts w:ascii="Arial" w:hAnsi="Arial" w:eastAsia="仿宋_GB2312" w:cs="Arial"/>
      <w:sz w:val="32"/>
      <w:szCs w:val="32"/>
    </w:rPr>
  </w:style>
  <w:style w:type="paragraph" w:styleId="925">
    <w:name w:val="批注框文本"/>
    <w:basedOn w:val="877"/>
    <w:next w:val="925"/>
    <w:link w:val="926"/>
    <w:semiHidden/>
    <w:rPr>
      <w:rFonts w:ascii="Times New Roman" w:hAnsi="Times New Roman" w:eastAsia="宋体" w:cs="Times New Roman"/>
      <w:sz w:val="18"/>
      <w:szCs w:val="18"/>
    </w:rPr>
  </w:style>
  <w:style w:type="character" w:styleId="926">
    <w:name w:val="批注框文本 Char"/>
    <w:next w:val="926"/>
    <w:link w:val="925"/>
    <w:semiHidden/>
    <w:rPr>
      <w:rFonts w:ascii="Times New Roman" w:hAnsi="Times New Roman" w:eastAsia="宋体" w:cs="Times New Roman"/>
      <w:sz w:val="18"/>
      <w:szCs w:val="18"/>
    </w:rPr>
  </w:style>
  <w:style w:type="paragraph" w:styleId="927">
    <w:name w:val="页脚"/>
    <w:basedOn w:val="877"/>
    <w:next w:val="927"/>
    <w:link w:val="928"/>
    <w:pPr>
      <w:jc w:val="left"/>
      <w:tabs>
        <w:tab w:val="center" w:pos="4153" w:leader="none"/>
        <w:tab w:val="right" w:pos="8306" w:leader="none"/>
      </w:tabs>
    </w:pPr>
    <w:rPr>
      <w:rFonts w:ascii="Times New Roman" w:hAnsi="Times New Roman" w:eastAsia="宋体" w:cs="Times New Roman"/>
      <w:sz w:val="18"/>
      <w:szCs w:val="18"/>
    </w:rPr>
  </w:style>
  <w:style w:type="character" w:styleId="928">
    <w:name w:val="页脚 Char"/>
    <w:next w:val="928"/>
    <w:link w:val="927"/>
    <w:rPr>
      <w:rFonts w:ascii="Times New Roman" w:hAnsi="Times New Roman" w:eastAsia="宋体" w:cs="Times New Roman"/>
      <w:sz w:val="18"/>
      <w:szCs w:val="18"/>
    </w:rPr>
  </w:style>
  <w:style w:type="paragraph" w:styleId="929">
    <w:name w:val="页眉"/>
    <w:basedOn w:val="877"/>
    <w:next w:val="929"/>
    <w:link w:val="93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0">
    <w:name w:val="页眉 Char"/>
    <w:next w:val="930"/>
    <w:link w:val="929"/>
    <w:rPr>
      <w:rFonts w:ascii="Times New Roman" w:hAnsi="Times New Roman" w:eastAsia="宋体" w:cs="Times New Roman"/>
      <w:sz w:val="18"/>
      <w:szCs w:val="18"/>
    </w:rPr>
  </w:style>
  <w:style w:type="paragraph" w:styleId="931">
    <w:name w:val="目录 1"/>
    <w:basedOn w:val="877"/>
    <w:next w:val="877"/>
    <w:link w:val="87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2">
    <w:name w:val="目录 4"/>
    <w:basedOn w:val="877"/>
    <w:next w:val="877"/>
    <w:link w:val="877"/>
    <w:semiHidden/>
    <w:pPr>
      <w:ind w:left="630"/>
      <w:jc w:val="left"/>
    </w:pPr>
    <w:rPr>
      <w:rFonts w:ascii="Times New Roman" w:hAnsi="Times New Roman" w:eastAsia="宋体" w:cs="Times New Roman"/>
      <w:szCs w:val="21"/>
    </w:rPr>
  </w:style>
  <w:style w:type="paragraph" w:styleId="933">
    <w:name w:val="列表"/>
    <w:basedOn w:val="877"/>
    <w:next w:val="933"/>
    <w:link w:val="877"/>
    <w:pPr>
      <w:ind w:left="200" w:hanging="200"/>
    </w:pPr>
    <w:rPr>
      <w:rFonts w:ascii="Times New Roman" w:hAnsi="Times New Roman" w:eastAsia="宋体" w:cs="Times New Roman"/>
      <w:szCs w:val="21"/>
    </w:rPr>
  </w:style>
  <w:style w:type="paragraph" w:styleId="934">
    <w:name w:val="目录 6"/>
    <w:basedOn w:val="877"/>
    <w:next w:val="877"/>
    <w:link w:val="877"/>
    <w:semiHidden/>
    <w:pPr>
      <w:ind w:left="1050"/>
      <w:jc w:val="left"/>
    </w:pPr>
    <w:rPr>
      <w:rFonts w:ascii="Times New Roman" w:hAnsi="Times New Roman" w:eastAsia="宋体" w:cs="Times New Roman"/>
      <w:szCs w:val="21"/>
    </w:rPr>
  </w:style>
  <w:style w:type="paragraph" w:styleId="935">
    <w:name w:val="正文文本缩进 3"/>
    <w:basedOn w:val="877"/>
    <w:next w:val="935"/>
    <w:link w:val="936"/>
    <w:pPr>
      <w:ind w:left="645" w:firstLine="645"/>
    </w:pPr>
    <w:rPr>
      <w:rFonts w:ascii="Arial" w:hAnsi="Arial" w:eastAsia="仿宋_GB2312" w:cs="Arial"/>
      <w:color w:val="ffff00"/>
      <w:sz w:val="32"/>
      <w:szCs w:val="32"/>
    </w:rPr>
  </w:style>
  <w:style w:type="character" w:styleId="936">
    <w:name w:val="正文文本缩进 3 Char"/>
    <w:next w:val="936"/>
    <w:link w:val="935"/>
    <w:rPr>
      <w:rFonts w:ascii="Arial" w:hAnsi="Arial" w:eastAsia="仿宋_GB2312" w:cs="Arial"/>
      <w:color w:val="ffff00"/>
      <w:sz w:val="32"/>
      <w:szCs w:val="32"/>
    </w:rPr>
  </w:style>
  <w:style w:type="paragraph" w:styleId="937">
    <w:name w:val="图表目录"/>
    <w:basedOn w:val="877"/>
    <w:next w:val="877"/>
    <w:link w:val="877"/>
    <w:semiHidden/>
    <w:pPr>
      <w:ind w:left="840" w:hanging="420"/>
    </w:pPr>
    <w:rPr>
      <w:rFonts w:ascii="Times New Roman" w:hAnsi="Times New Roman" w:eastAsia="宋体" w:cs="Times New Roman"/>
      <w:szCs w:val="21"/>
    </w:rPr>
  </w:style>
  <w:style w:type="paragraph" w:styleId="938">
    <w:name w:val="目录 2"/>
    <w:basedOn w:val="877"/>
    <w:next w:val="877"/>
    <w:link w:val="877"/>
    <w:semiHidden/>
    <w:pPr>
      <w:ind w:left="210"/>
      <w:jc w:val="left"/>
    </w:pPr>
    <w:rPr>
      <w:rFonts w:ascii="Times New Roman" w:hAnsi="Times New Roman" w:eastAsia="宋体" w:cs="Times New Roman"/>
      <w:smallCaps/>
      <w:szCs w:val="24"/>
    </w:rPr>
  </w:style>
  <w:style w:type="paragraph" w:styleId="939">
    <w:name w:val="目录 9"/>
    <w:basedOn w:val="877"/>
    <w:next w:val="877"/>
    <w:link w:val="877"/>
    <w:semiHidden/>
    <w:pPr>
      <w:ind w:left="1680"/>
      <w:jc w:val="left"/>
    </w:pPr>
    <w:rPr>
      <w:rFonts w:ascii="Times New Roman" w:hAnsi="Times New Roman" w:eastAsia="宋体" w:cs="Times New Roman"/>
      <w:szCs w:val="21"/>
    </w:rPr>
  </w:style>
  <w:style w:type="paragraph" w:styleId="940">
    <w:name w:val="正文文本 2"/>
    <w:basedOn w:val="877"/>
    <w:next w:val="940"/>
    <w:link w:val="941"/>
    <w:pPr>
      <w:jc w:val="center"/>
      <w:widowControl/>
    </w:pPr>
    <w:rPr>
      <w:rFonts w:ascii="楷体_GB2312" w:hAnsi="Times New Roman" w:eastAsia="楷体_GB2312" w:cs="Times New Roman"/>
      <w:sz w:val="28"/>
      <w:szCs w:val="28"/>
    </w:rPr>
  </w:style>
  <w:style w:type="character" w:styleId="941">
    <w:name w:val="正文文本 2 Char"/>
    <w:next w:val="941"/>
    <w:link w:val="940"/>
    <w:rPr>
      <w:rFonts w:ascii="楷体_GB2312" w:hAnsi="Times New Roman" w:eastAsia="楷体_GB2312" w:cs="Times New Roman"/>
      <w:sz w:val="28"/>
      <w:szCs w:val="28"/>
    </w:rPr>
  </w:style>
  <w:style w:type="paragraph" w:styleId="942">
    <w:name w:val="普通(网站)"/>
    <w:basedOn w:val="877"/>
    <w:next w:val="942"/>
    <w:link w:val="877"/>
    <w:uiPriority w:val="99"/>
    <w:pPr>
      <w:jc w:val="left"/>
      <w:spacing w:before="100" w:beforeAutospacing="1" w:after="100" w:afterAutospacing="1"/>
      <w:widowControl/>
    </w:pPr>
    <w:rPr>
      <w:rFonts w:ascii="宋体" w:hAnsi="宋体" w:eastAsia="宋体" w:cs="宋体"/>
      <w:sz w:val="24"/>
      <w:szCs w:val="24"/>
    </w:rPr>
  </w:style>
  <w:style w:type="paragraph" w:styleId="943">
    <w:name w:val="索引 1"/>
    <w:basedOn w:val="877"/>
    <w:next w:val="877"/>
    <w:link w:val="877"/>
    <w:semiHidden/>
    <w:pPr>
      <w:spacing w:line="240" w:lineRule="atLeast"/>
    </w:pPr>
    <w:rPr>
      <w:rFonts w:ascii="Times New Roman" w:hAnsi="Times New Roman" w:eastAsia="宋体" w:cs="Times New Roman"/>
      <w:b/>
      <w:bCs/>
      <w:szCs w:val="21"/>
    </w:rPr>
  </w:style>
  <w:style w:type="paragraph" w:styleId="944">
    <w:name w:val="批注主题"/>
    <w:basedOn w:val="909"/>
    <w:next w:val="909"/>
    <w:link w:val="945"/>
    <w:semiHidden/>
    <w:rPr>
      <w:rFonts w:ascii="Times New Roman" w:hAnsi="Times New Roman" w:eastAsia="宋体" w:cs="Times New Roman"/>
      <w:b/>
      <w:bCs/>
      <w:szCs w:val="21"/>
    </w:rPr>
  </w:style>
  <w:style w:type="character" w:styleId="945">
    <w:name w:val="批注主题 Char"/>
    <w:next w:val="945"/>
    <w:link w:val="944"/>
    <w:semiHidden/>
    <w:rPr>
      <w:rFonts w:ascii="Times New Roman" w:hAnsi="Times New Roman" w:eastAsia="宋体" w:cs="Times New Roman"/>
      <w:b/>
      <w:bCs/>
      <w:szCs w:val="21"/>
    </w:rPr>
  </w:style>
  <w:style w:type="paragraph" w:styleId="946">
    <w:name w:val="正文首行缩进"/>
    <w:basedOn w:val="877"/>
    <w:next w:val="946"/>
    <w:link w:val="947"/>
    <w:pPr>
      <w:ind w:firstLine="200"/>
      <w:spacing w:line="360" w:lineRule="auto"/>
    </w:pPr>
    <w:rPr>
      <w:rFonts w:ascii="仿宋_GB2312" w:hAnsi="Times New Roman" w:eastAsia="仿宋_GB2312" w:cs="Times New Roman"/>
      <w:sz w:val="30"/>
      <w:szCs w:val="30"/>
    </w:rPr>
  </w:style>
  <w:style w:type="character" w:styleId="947">
    <w:name w:val="正文首行缩进 Char"/>
    <w:next w:val="947"/>
    <w:link w:val="946"/>
    <w:rPr>
      <w:rFonts w:ascii="仿宋_GB2312" w:hAnsi="Times New Roman" w:eastAsia="仿宋_GB2312" w:cs="Times New Roman"/>
      <w:sz w:val="30"/>
      <w:szCs w:val="30"/>
    </w:rPr>
  </w:style>
  <w:style w:type="table" w:styleId="948">
    <w:name w:val="网格型"/>
    <w:basedOn w:val="888"/>
    <w:next w:val="948"/>
    <w:link w:val="877"/>
    <w:pPr>
      <w:jc w:val="both"/>
      <w:widowControl w:val="off"/>
    </w:pPr>
    <w:rPr>
      <w:rFonts w:ascii="Times New Roman" w:hAnsi="Times New Roman" w:eastAsia="宋体" w:cs="Times New Roman"/>
      <w:sz w:val="20"/>
      <w:szCs w:val="20"/>
    </w:rPr>
    <w:tblPr/>
  </w:style>
  <w:style w:type="character" w:styleId="949">
    <w:name w:val="要点"/>
    <w:next w:val="949"/>
    <w:link w:val="877"/>
    <w:qFormat/>
    <w:rPr>
      <w:b/>
      <w:bCs/>
    </w:rPr>
  </w:style>
  <w:style w:type="character" w:styleId="950">
    <w:name w:val="页码"/>
    <w:next w:val="950"/>
    <w:link w:val="877"/>
  </w:style>
  <w:style w:type="character" w:styleId="951">
    <w:name w:val="已访问的超链接"/>
    <w:next w:val="951"/>
    <w:link w:val="877"/>
    <w:rPr>
      <w:color w:val="800080"/>
      <w:u w:val="single"/>
    </w:rPr>
  </w:style>
  <w:style w:type="character" w:styleId="952">
    <w:name w:val="强调"/>
    <w:next w:val="952"/>
    <w:link w:val="877"/>
    <w:qFormat/>
    <w:rPr>
      <w:i/>
    </w:rPr>
  </w:style>
  <w:style w:type="character" w:styleId="953">
    <w:name w:val="超链接"/>
    <w:next w:val="953"/>
    <w:link w:val="877"/>
    <w:rPr>
      <w:color w:val="0000ff"/>
      <w:u w:val="single"/>
    </w:rPr>
  </w:style>
  <w:style w:type="character" w:styleId="954">
    <w:name w:val="批注引用"/>
    <w:next w:val="954"/>
    <w:link w:val="877"/>
    <w:semiHidden/>
    <w:rPr>
      <w:sz w:val="21"/>
      <w:szCs w:val="21"/>
    </w:rPr>
  </w:style>
  <w:style w:type="character" w:styleId="955">
    <w:name w:val="批注文字 字符"/>
    <w:basedOn w:val="887"/>
    <w:next w:val="955"/>
    <w:link w:val="909"/>
    <w:rPr>
      <w:rFonts w:ascii="Calibri" w:hAnsi="Calibri" w:eastAsia="宋体" w:cs="Times New Roman"/>
      <w:sz w:val="21"/>
      <w:szCs w:val="24"/>
    </w:rPr>
  </w:style>
  <w:style w:type="paragraph" w:styleId="956">
    <w:name w:val="索引 41"/>
    <w:basedOn w:val="877"/>
    <w:next w:val="877"/>
    <w:link w:val="877"/>
    <w:semiHidden/>
    <w:qFormat/>
    <w:pPr>
      <w:ind w:left="1260"/>
    </w:pPr>
    <w:rPr>
      <w:rFonts w:ascii="Calibri" w:hAnsi="Calibri" w:eastAsia="Calibri" w:cs="宋体"/>
      <w:sz w:val="20"/>
      <w:lang w:val="zh-CN"/>
    </w:rPr>
  </w:style>
  <w:style w:type="character" w:styleId="957">
    <w:name w:val="font5 Char"/>
    <w:next w:val="957"/>
    <w:link w:val="877"/>
    <w:rPr>
      <w:rFonts w:ascii="宋体" w:hAnsi="宋体" w:eastAsia="宋体"/>
      <w:sz w:val="28"/>
      <w:szCs w:val="28"/>
      <w:lang w:val="en-US" w:eastAsia="zh-CN" w:bidi="ar-SA"/>
    </w:rPr>
  </w:style>
  <w:style w:type="character" w:styleId="958">
    <w:name w:val="二级目录 Char"/>
    <w:next w:val="958"/>
    <w:link w:val="959"/>
    <w:rPr>
      <w:b/>
      <w:sz w:val="30"/>
      <w:szCs w:val="28"/>
    </w:rPr>
  </w:style>
  <w:style w:type="paragraph" w:styleId="959">
    <w:name w:val="二级目录"/>
    <w:next w:val="877"/>
    <w:link w:val="958"/>
    <w:pPr>
      <w:numPr>
        <w:ilvl w:val="0"/>
        <w:numId w:val="2"/>
      </w:numPr>
      <w:tabs>
        <w:tab w:val="left" w:pos="907" w:leader="none"/>
        <w:tab w:val="left" w:pos="1145" w:leader="none"/>
      </w:tabs>
      <w:outlineLvl w:val="1"/>
    </w:pPr>
    <w:rPr>
      <w:b/>
      <w:sz w:val="30"/>
      <w:szCs w:val="28"/>
      <w:lang w:val="en-US" w:eastAsia="zh-CN" w:bidi="ar-SA"/>
    </w:rPr>
  </w:style>
  <w:style w:type="character" w:styleId="960">
    <w:name w:val="列出段落 Char,Bullet List Char,numbered Char,FooterText Char,List Paragraph1 Char,Paragraphe de liste1 Char"/>
    <w:next w:val="960"/>
    <w:link w:val="961"/>
    <w:rPr>
      <w:rFonts w:ascii="Calibri" w:hAnsi="Calibri"/>
      <w:sz w:val="24"/>
      <w:szCs w:val="24"/>
      <w:lang w:eastAsia="en-US" w:bidi="en-US"/>
    </w:rPr>
  </w:style>
  <w:style w:type="paragraph" w:styleId="961">
    <w:name w:val="列出段落1"/>
    <w:basedOn w:val="877"/>
    <w:next w:val="961"/>
    <w:link w:val="960"/>
    <w:qFormat/>
    <w:pPr>
      <w:contextualSpacing/>
      <w:ind w:left="720"/>
      <w:jc w:val="left"/>
      <w:widowControl/>
    </w:pPr>
    <w:rPr>
      <w:rFonts w:ascii="Calibri" w:hAnsi="Calibri"/>
      <w:sz w:val="24"/>
      <w:szCs w:val="24"/>
      <w:lang w:eastAsia="en-US" w:bidi="en-US"/>
    </w:rPr>
  </w:style>
  <w:style w:type="paragraph" w:styleId="962">
    <w:name w:val="Body Text(ch)"/>
    <w:basedOn w:val="877"/>
    <w:next w:val="913"/>
    <w:link w:val="877"/>
    <w:pPr>
      <w:spacing w:after="120"/>
    </w:pPr>
    <w:rPr>
      <w:rFonts w:ascii="宋体" w:hAnsi="Arial" w:eastAsia="宋体" w:cs="Times New Roman"/>
      <w:bCs/>
      <w:iCs/>
      <w:szCs w:val="24"/>
    </w:rPr>
  </w:style>
  <w:style w:type="paragraph" w:styleId="963">
    <w:name w:val="xl27"/>
    <w:basedOn w:val="877"/>
    <w:next w:val="963"/>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name w:val="xl26"/>
    <w:basedOn w:val="877"/>
    <w:next w:val="964"/>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5">
    <w:name w:val="Char"/>
    <w:basedOn w:val="877"/>
    <w:next w:val="965"/>
    <w:link w:val="877"/>
    <w:pPr>
      <w:ind w:firstLine="200"/>
      <w:tabs>
        <w:tab w:val="left" w:pos="360" w:leader="none"/>
      </w:tabs>
    </w:pPr>
    <w:rPr>
      <w:rFonts w:ascii="Times New Roman" w:hAnsi="Times New Roman" w:eastAsia="宋体" w:cs="Times New Roman"/>
      <w:sz w:val="28"/>
      <w:szCs w:val="30"/>
    </w:rPr>
  </w:style>
  <w:style w:type="paragraph" w:styleId="966">
    <w:name w:val=" Char"/>
    <w:basedOn w:val="907"/>
    <w:next w:val="966"/>
    <w:link w:val="877"/>
    <w:rPr>
      <w:rFonts w:ascii="Tahoma" w:hAnsi="Tahoma"/>
      <w:sz w:val="24"/>
      <w:szCs w:val="24"/>
    </w:rPr>
  </w:style>
  <w:style w:type="paragraph" w:styleId="967">
    <w:name w:val="普通正文"/>
    <w:basedOn w:val="877"/>
    <w:next w:val="967"/>
    <w:link w:val="877"/>
    <w:pPr>
      <w:ind w:firstLine="480"/>
      <w:jc w:val="left"/>
      <w:spacing w:before="120" w:after="120" w:line="360" w:lineRule="auto"/>
    </w:pPr>
    <w:rPr>
      <w:rFonts w:ascii="Arial" w:hAnsi="Arial" w:eastAsia="宋体" w:cs="Times New Roman"/>
      <w:sz w:val="24"/>
      <w:szCs w:val="24"/>
    </w:rPr>
  </w:style>
  <w:style w:type="paragraph" w:styleId="968">
    <w:name w:val="table_lines"/>
    <w:basedOn w:val="877"/>
    <w:next w:val="968"/>
    <w:link w:val="877"/>
    <w:pPr>
      <w:jc w:val="left"/>
      <w:widowControl/>
    </w:pPr>
    <w:rPr>
      <w:rFonts w:ascii="Times New Roman" w:hAnsi="Times New Roman" w:eastAsia="宋体" w:cs="Times New Roman"/>
      <w:sz w:val="20"/>
      <w:szCs w:val="20"/>
      <w:lang w:val="de-DE" w:eastAsia="de-DE"/>
    </w:rPr>
  </w:style>
  <w:style w:type="paragraph" w:styleId="969">
    <w:name w:val="附录1"/>
    <w:next w:val="969"/>
    <w:link w:val="8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0">
    <w:name w:val="font7"/>
    <w:basedOn w:val="877"/>
    <w:next w:val="970"/>
    <w:link w:val="877"/>
    <w:pPr>
      <w:jc w:val="left"/>
      <w:spacing w:before="100" w:beforeAutospacing="1" w:after="100" w:afterAutospacing="1"/>
      <w:widowControl/>
    </w:pPr>
    <w:rPr>
      <w:rFonts w:hint="eastAsia" w:ascii="宋体" w:hAnsi="宋体" w:eastAsia="宋体" w:cs="Times New Roman"/>
      <w:sz w:val="18"/>
      <w:szCs w:val="18"/>
    </w:rPr>
  </w:style>
  <w:style w:type="paragraph" w:styleId="971">
    <w:name w:val=" Char Char Char Char"/>
    <w:basedOn w:val="907"/>
    <w:next w:val="971"/>
    <w:link w:val="877"/>
    <w:pPr>
      <w:spacing w:line="360" w:lineRule="auto"/>
    </w:pPr>
    <w:rPr>
      <w:rFonts w:ascii="Tahoma" w:hAnsi="Tahoma"/>
      <w:sz w:val="24"/>
      <w:szCs w:val="24"/>
    </w:rPr>
  </w:style>
  <w:style w:type="paragraph" w:styleId="972">
    <w:name w:val="列出段落"/>
    <w:basedOn w:val="877"/>
    <w:next w:val="972"/>
    <w:link w:val="877"/>
    <w:qFormat/>
    <w:pPr>
      <w:contextualSpacing/>
      <w:ind w:left="720"/>
      <w:jc w:val="left"/>
      <w:widowControl/>
    </w:pPr>
    <w:rPr>
      <w:rFonts w:ascii="Calibri" w:hAnsi="Calibri" w:eastAsia="宋体" w:cs="Times New Roman"/>
      <w:sz w:val="24"/>
      <w:szCs w:val="24"/>
      <w:lang w:eastAsia="en-US" w:bidi="en-US"/>
    </w:rPr>
  </w:style>
  <w:style w:type="paragraph" w:styleId="973">
    <w:name w:val="4"/>
    <w:basedOn w:val="877"/>
    <w:next w:val="935"/>
    <w:link w:val="877"/>
    <w:pPr>
      <w:ind w:firstLine="420"/>
      <w:spacing w:line="360" w:lineRule="auto"/>
    </w:pPr>
    <w:rPr>
      <w:rFonts w:ascii="Times New Roman" w:hAnsi="Times New Roman" w:eastAsia="宋体" w:cs="Times New Roman"/>
      <w:color w:val="ff0000"/>
      <w:sz w:val="24"/>
      <w:szCs w:val="24"/>
    </w:rPr>
  </w:style>
  <w:style w:type="paragraph" w:styleId="974">
    <w:name w:val="普通 (Web)"/>
    <w:basedOn w:val="877"/>
    <w:next w:val="974"/>
    <w:link w:val="877"/>
    <w:pPr>
      <w:jc w:val="left"/>
      <w:spacing w:before="100" w:beforeAutospacing="1" w:after="100" w:afterAutospacing="1"/>
      <w:widowControl/>
    </w:pPr>
    <w:rPr>
      <w:rFonts w:ascii="宋体" w:hAnsi="宋体" w:eastAsia="宋体" w:cs="Times New Roman"/>
      <w:sz w:val="24"/>
      <w:szCs w:val="24"/>
    </w:rPr>
  </w:style>
  <w:style w:type="paragraph" w:styleId="975">
    <w:name w:val=" Char Char Char Char Char Char Char Char Char Char"/>
    <w:basedOn w:val="877"/>
    <w:next w:val="975"/>
    <w:link w:val="877"/>
    <w:pPr>
      <w:spacing w:line="360" w:lineRule="auto"/>
    </w:pPr>
    <w:rPr>
      <w:rFonts w:ascii="Times New Roman" w:hAnsi="Times New Roman" w:eastAsia="宋体" w:cs="Times New Roman"/>
      <w:sz w:val="24"/>
      <w:szCs w:val="20"/>
    </w:rPr>
  </w:style>
  <w:style w:type="paragraph" w:styleId="976">
    <w:name w:val="样式1"/>
    <w:basedOn w:val="877"/>
    <w:next w:val="976"/>
    <w:link w:val="877"/>
    <w:pPr>
      <w:numPr>
        <w:ilvl w:val="0"/>
        <w:numId w:val="3"/>
      </w:numPr>
      <w:tabs>
        <w:tab w:val="left" w:pos="709" w:leader="none"/>
      </w:tabs>
    </w:pPr>
    <w:rPr>
      <w:rFonts w:ascii="宋体" w:hAnsi="宋体" w:eastAsia="宋体" w:cs="Times New Roman"/>
      <w:szCs w:val="21"/>
    </w:rPr>
  </w:style>
  <w:style w:type="paragraph" w:styleId="977">
    <w:name w:val="font6"/>
    <w:basedOn w:val="877"/>
    <w:next w:val="977"/>
    <w:link w:val="877"/>
    <w:pPr>
      <w:jc w:val="left"/>
      <w:spacing w:before="100" w:beforeAutospacing="1" w:after="100" w:afterAutospacing="1"/>
      <w:widowControl/>
    </w:pPr>
    <w:rPr>
      <w:rFonts w:hint="eastAsia" w:ascii="宋体" w:hAnsi="宋体" w:eastAsia="宋体" w:cs="Times New Roman"/>
      <w:sz w:val="28"/>
      <w:szCs w:val="28"/>
      <w:u w:val="single"/>
    </w:rPr>
  </w:style>
  <w:style w:type="paragraph" w:styleId="978">
    <w:name w:val="xl25"/>
    <w:basedOn w:val="877"/>
    <w:next w:val="978"/>
    <w:link w:val="8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name w:val="图标"/>
    <w:basedOn w:val="877"/>
    <w:next w:val="877"/>
    <w:link w:val="87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0">
    <w:name w:val="标题3"/>
    <w:basedOn w:val="877"/>
    <w:next w:val="877"/>
    <w:link w:val="877"/>
    <w:pPr>
      <w:ind w:firstLine="624"/>
      <w:spacing w:line="590" w:lineRule="atLeast"/>
    </w:pPr>
    <w:rPr>
      <w:rFonts w:ascii="方正黑体_GBK" w:hAnsi="Times New Roman" w:eastAsia="方正黑体_GBK" w:cs="Times New Roman"/>
      <w:sz w:val="32"/>
      <w:szCs w:val="32"/>
    </w:rPr>
  </w:style>
  <w:style w:type="paragraph" w:styleId="981">
    <w:name w:val="xl24"/>
    <w:basedOn w:val="877"/>
    <w:next w:val="981"/>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xl29"/>
    <w:basedOn w:val="877"/>
    <w:next w:val="982"/>
    <w:link w:val="87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3">
    <w:name w:val="Char Char Char Char Char Char Char Char"/>
    <w:basedOn w:val="877"/>
    <w:next w:val="983"/>
    <w:link w:val="877"/>
    <w:pPr>
      <w:jc w:val="left"/>
      <w:spacing w:after="160" w:line="240" w:lineRule="exact"/>
      <w:widowControl/>
    </w:pPr>
    <w:rPr>
      <w:rFonts w:ascii="Verdana" w:hAnsi="Verdana" w:eastAsia="宋体" w:cs="Times New Roman"/>
      <w:sz w:val="20"/>
      <w:szCs w:val="20"/>
      <w:lang w:eastAsia="en-US"/>
    </w:rPr>
  </w:style>
  <w:style w:type="paragraph" w:styleId="984">
    <w:name w:val="xl28"/>
    <w:basedOn w:val="877"/>
    <w:next w:val="984"/>
    <w:link w:val="8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5">
    <w:name w:val=" Char Char Char Char Char Char Char Char"/>
    <w:basedOn w:val="877"/>
    <w:next w:val="985"/>
    <w:link w:val="877"/>
    <w:pPr>
      <w:jc w:val="left"/>
      <w:spacing w:after="160" w:line="240" w:lineRule="exact"/>
      <w:widowControl/>
    </w:pPr>
    <w:rPr>
      <w:rFonts w:ascii="Verdana" w:hAnsi="Verdana" w:eastAsia="宋体" w:cs="Times New Roman"/>
      <w:sz w:val="20"/>
      <w:szCs w:val="20"/>
      <w:lang w:eastAsia="en-US"/>
    </w:rPr>
  </w:style>
  <w:style w:type="paragraph" w:styleId="986">
    <w:name w:val="xl30"/>
    <w:basedOn w:val="877"/>
    <w:next w:val="986"/>
    <w:link w:val="877"/>
    <w:pPr>
      <w:jc w:val="center"/>
      <w:spacing w:before="100" w:beforeAutospacing="1" w:after="100" w:afterAutospacing="1"/>
      <w:widowControl/>
    </w:pPr>
    <w:rPr>
      <w:rFonts w:ascii="宋体" w:hAnsi="宋体" w:eastAsia="宋体" w:cs="Times New Roman"/>
      <w:b/>
      <w:bCs/>
      <w:sz w:val="36"/>
      <w:szCs w:val="36"/>
    </w:rPr>
  </w:style>
  <w:style w:type="paragraph" w:styleId="987">
    <w:name w:val="Char Char Char Char"/>
    <w:basedOn w:val="907"/>
    <w:next w:val="987"/>
    <w:link w:val="877"/>
    <w:pPr>
      <w:spacing w:line="360" w:lineRule="auto"/>
    </w:pPr>
    <w:rPr>
      <w:rFonts w:ascii="Tahoma" w:hAnsi="Tahoma"/>
      <w:sz w:val="24"/>
      <w:szCs w:val="24"/>
    </w:rPr>
  </w:style>
  <w:style w:type="paragraph" w:styleId="988">
    <w:name w:val="table_1stline"/>
    <w:basedOn w:val="877"/>
    <w:next w:val="988"/>
    <w:link w:val="877"/>
    <w:pPr>
      <w:jc w:val="left"/>
      <w:spacing w:before="120"/>
      <w:widowControl/>
    </w:pPr>
    <w:rPr>
      <w:rFonts w:ascii="Times New Roman" w:hAnsi="Times New Roman" w:eastAsia="宋体" w:cs="Times New Roman"/>
      <w:bCs/>
      <w:sz w:val="20"/>
      <w:szCs w:val="20"/>
      <w:lang w:val="de-DE" w:eastAsia="de-DE"/>
    </w:rPr>
  </w:style>
  <w:style w:type="paragraph" w:styleId="989">
    <w:name w:val="font5"/>
    <w:basedOn w:val="877"/>
    <w:next w:val="989"/>
    <w:link w:val="877"/>
    <w:pPr>
      <w:jc w:val="left"/>
      <w:spacing w:before="100" w:beforeAutospacing="1" w:after="100" w:afterAutospacing="1"/>
      <w:widowControl/>
    </w:pPr>
    <w:rPr>
      <w:rFonts w:hint="eastAsia" w:ascii="宋体" w:hAnsi="宋体" w:eastAsia="宋体" w:cs="Times New Roman"/>
      <w:sz w:val="28"/>
      <w:szCs w:val="28"/>
    </w:rPr>
  </w:style>
  <w:style w:type="paragraph" w:styleId="990">
    <w:name w:val="标题1"/>
    <w:basedOn w:val="877"/>
    <w:next w:val="877"/>
    <w:link w:val="87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1">
    <w:name w:val="修订"/>
    <w:next w:val="991"/>
    <w:link w:val="877"/>
    <w:uiPriority w:val="99"/>
    <w:semiHidden/>
    <w:rPr>
      <w:rFonts w:ascii="Times New Roman" w:hAnsi="Times New Roman"/>
      <w:sz w:val="21"/>
      <w:szCs w:val="21"/>
      <w:lang w:val="en-US" w:eastAsia="zh-CN" w:bidi="ar-SA"/>
    </w:rPr>
  </w:style>
  <w:style w:type="paragraph" w:styleId="992">
    <w:name w:val="无间隔"/>
    <w:next w:val="992"/>
    <w:link w:val="877"/>
    <w:uiPriority w:val="99"/>
    <w:qFormat/>
    <w:pPr>
      <w:jc w:val="both"/>
      <w:widowControl w:val="off"/>
    </w:pPr>
    <w:rPr>
      <w:rFonts w:ascii="Times New Roman" w:hAnsi="Times New Roman"/>
      <w:sz w:val="21"/>
      <w:szCs w:val="21"/>
      <w:lang w:val="en-US" w:eastAsia="zh-CN" w:bidi="ar-SA"/>
    </w:rPr>
  </w:style>
  <w:style w:type="table" w:styleId="993">
    <w:name w:val="Table Normal"/>
    <w:next w:val="993"/>
    <w:link w:val="877"/>
    <w:qFormat/>
    <w:tblPr/>
  </w:style>
  <w:style w:type="paragraph" w:styleId="994">
    <w:name w:val="正文文本12"/>
    <w:basedOn w:val="877"/>
    <w:next w:val="994"/>
    <w:link w:val="877"/>
    <w:uiPriority w:val="1"/>
    <w:qFormat/>
    <w:pPr>
      <w:ind w:left="120"/>
    </w:pPr>
    <w:rPr>
      <w:rFonts w:ascii="宋体" w:hAnsi="宋体" w:eastAsia="宋体" w:cs="宋体"/>
      <w:sz w:val="21"/>
      <w:szCs w:val="21"/>
      <w:lang w:val="zh-CN" w:eastAsia="zh-CN" w:bidi="zh-CN"/>
    </w:rPr>
  </w:style>
  <w:style w:type="paragraph" w:styleId="995">
    <w:name w:val="正文文本 211"/>
    <w:basedOn w:val="877"/>
    <w:next w:val="995"/>
    <w:link w:val="877"/>
    <w:uiPriority w:val="99"/>
    <w:qFormat/>
    <w:pPr>
      <w:jc w:val="center"/>
    </w:pPr>
    <w:rPr>
      <w:b/>
      <w:bCs/>
      <w:sz w:val="20"/>
      <w:szCs w:val="20"/>
    </w:rPr>
  </w:style>
  <w:style w:type="paragraph" w:styleId="996">
    <w:name w:val="正文文本1"/>
    <w:basedOn w:val="877"/>
    <w:next w:val="877"/>
    <w:link w:val="877"/>
    <w:semiHidden/>
    <w:qFormat/>
    <w:rPr>
      <w:rFonts w:ascii="Arial" w:hAnsi="Arial" w:eastAsia="Arial" w:cs="Arial"/>
      <w:sz w:val="21"/>
      <w:szCs w:val="21"/>
      <w:lang w:val="en-US" w:eastAsia="en-US" w:bidi="ar-SA"/>
    </w:rPr>
  </w:style>
  <w:style w:type="paragraph" w:styleId="997">
    <w:name w:val="Table Paragraph"/>
    <w:basedOn w:val="877"/>
    <w:next w:val="997"/>
    <w:link w:val="877"/>
    <w:uiPriority w:val="1"/>
    <w:qFormat/>
    <w:pPr>
      <w:jc w:val="left"/>
    </w:pPr>
    <w:rPr>
      <w:rFonts w:ascii="宋体" w:hAnsi="宋体" w:eastAsia="宋体" w:cs="宋体"/>
      <w:sz w:val="22"/>
      <w:szCs w:val="22"/>
      <w:lang w:val="zh-CN" w:bidi="zh-CN"/>
    </w:rPr>
  </w:style>
  <w:style w:type="table" w:styleId="998">
    <w:name w:val="网格型1"/>
    <w:basedOn w:val="999"/>
    <w:next w:val="998"/>
    <w:link w:val="877"/>
    <w:qFormat/>
    <w:pPr>
      <w:jc w:val="both"/>
      <w:widowControl w:val="off"/>
    </w:pPr>
    <w:tblPr/>
  </w:style>
  <w:style w:type="table" w:styleId="999">
    <w:name w:val="普通表格1"/>
    <w:next w:val="999"/>
    <w:link w:val="877"/>
    <w:uiPriority w:val="99"/>
    <w:unhideWhenUsed/>
    <w:qFormat/>
    <w:tblPr/>
  </w:style>
  <w:style w:type="paragraph" w:styleId="1000">
    <w:name w:val="正文文本缩进1"/>
    <w:basedOn w:val="877"/>
    <w:next w:val="1001"/>
    <w:link w:val="877"/>
    <w:unhideWhenUsed/>
    <w:qFormat/>
    <w:pPr>
      <w:ind w:left="420"/>
      <w:spacing w:after="120"/>
    </w:pPr>
  </w:style>
  <w:style w:type="paragraph" w:styleId="1001">
    <w:name w:val="正文文本首行缩进 2"/>
    <w:basedOn w:val="1000"/>
    <w:next w:val="1001"/>
    <w:link w:val="877"/>
    <w:qFormat/>
    <w:pPr>
      <w:ind w:left="0" w:firstLine="420"/>
      <w:spacing w:after="0" w:line="360" w:lineRule="auto"/>
    </w:pPr>
    <w:rPr>
      <w:rFonts w:ascii="宋体" w:hAnsi="宋体"/>
      <w:sz w:val="20"/>
      <w:szCs w:val="20"/>
      <w:lang w:val="en-US" w:eastAsia="en-US"/>
    </w:rPr>
  </w:style>
  <w:style w:type="table" w:styleId="1002">
    <w:name w:val="Table Normal_0"/>
    <w:next w:val="1002"/>
    <w:link w:val="877"/>
    <w:qFormat/>
    <w:tblPr/>
  </w:style>
  <w:style w:type="paragraph" w:styleId="1003">
    <w:name w:val="正文首行缩进 211"/>
    <w:basedOn w:val="1004"/>
    <w:next w:val="877"/>
    <w:link w:val="877"/>
    <w:qFormat/>
    <w:pPr>
      <w:ind w:left="0" w:firstLine="420"/>
      <w:spacing w:after="0" w:line="360" w:lineRule="auto"/>
    </w:pPr>
    <w:rPr>
      <w:rFonts w:ascii="宋体" w:hAnsi="宋体" w:eastAsia="宋体" w:cs="Times New Roman"/>
      <w:szCs w:val="20"/>
    </w:rPr>
  </w:style>
  <w:style w:type="paragraph" w:styleId="1004">
    <w:name w:val="正文文本缩进11"/>
    <w:basedOn w:val="877"/>
    <w:next w:val="1005"/>
    <w:link w:val="877"/>
    <w:unhideWhenUsed/>
    <w:qFormat/>
    <w:pPr>
      <w:ind w:left="420"/>
      <w:spacing w:after="120"/>
    </w:pPr>
  </w:style>
  <w:style w:type="paragraph" w:styleId="1005">
    <w:name w:val="寄信人地址1"/>
    <w:basedOn w:val="877"/>
    <w:next w:val="1005"/>
    <w:link w:val="877"/>
    <w:qFormat/>
    <w:rPr>
      <w:rFonts w:ascii="Arial" w:hAnsi="Arial" w:eastAsia="宋体" w:cs="宋体"/>
    </w:rPr>
  </w:style>
  <w:style w:type="paragraph" w:styleId="1006">
    <w:name w:val="首行缩进"/>
    <w:basedOn w:val="877"/>
    <w:next w:val="1006"/>
    <w:link w:val="877"/>
    <w:qFormat/>
    <w:pPr>
      <w:ind w:firstLine="480"/>
    </w:pPr>
    <w:rPr>
      <w:szCs w:val="20"/>
      <w:lang w:val="zh-CN"/>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6</cp:revision>
  <dcterms:created xsi:type="dcterms:W3CDTF">2023-03-16T02:13:00Z</dcterms:created>
  <dcterms:modified xsi:type="dcterms:W3CDTF">2026-08-07T07:48:39Z</dcterms:modified>
</cp:coreProperties>
</file>