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r>
      <w:r/>
    </w:p>
    <w:p>
      <w:pPr>
        <w:jc w:val="center"/>
        <w:rPr>
          <w:rFonts w:hint="eastAsia" w:ascii="宋体" w:hAnsi="宋体" w:eastAsia="宋体" w:cs="宋体"/>
          <w:color w:val="auto"/>
          <w:spacing w:val="76"/>
          <w:sz w:val="112"/>
          <w:szCs w:val="112"/>
          <w:highlight w:val="none"/>
          <w:lang w:eastAsia="zh-CN"/>
        </w:rPr>
      </w:pPr>
      <w:r>
        <w:rPr>
          <w:rFonts w:hint="eastAsia" w:ascii="宋体" w:hAnsi="宋体" w:eastAsia="宋体" w:cs="宋体"/>
          <w:color w:val="auto"/>
          <w:spacing w:val="76"/>
          <w:sz w:val="112"/>
          <w:szCs w:val="112"/>
          <w:highlight w:val="none"/>
          <w:lang w:eastAsia="zh-CN"/>
        </w:rPr>
      </w:r>
      <w:r/>
    </w:p>
    <w:p>
      <w:pPr>
        <w:jc w:val="center"/>
        <w:spacing w:after="0" w:line="240" w:lineRule="auto"/>
        <w:rPr>
          <w:rFonts w:hint="eastAsia" w:ascii="仿宋" w:hAnsi="仿宋" w:eastAsia="仿宋" w:cs="Times New Roman"/>
          <w:b/>
          <w:color w:val="auto"/>
          <w:spacing w:val="76"/>
          <w:sz w:val="96"/>
          <w:szCs w:val="96"/>
          <w:highlight w:val="none"/>
          <w:lang w:eastAsia="zh-CN"/>
        </w:rPr>
      </w:pPr>
      <w:r>
        <w:rPr>
          <w:rFonts w:hint="eastAsia" w:ascii="仿宋" w:hAnsi="仿宋" w:eastAsia="仿宋" w:cs="Times New Roman"/>
          <w:b/>
          <w:color w:val="auto"/>
          <w:spacing w:val="76"/>
          <w:sz w:val="96"/>
          <w:szCs w:val="96"/>
          <w:highlight w:val="none"/>
          <w:lang w:eastAsia="zh-CN"/>
        </w:rPr>
        <w:t xml:space="preserve">招标文件</w:t>
      </w:r>
      <w:r/>
    </w:p>
    <w:p>
      <w:pPr>
        <w:spacing w:line="520" w:lineRule="exact"/>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9"/>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pStyle w:val="896"/>
        <w:ind w:left="299"/>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  项目名称：徐州市殡葬管理服务中心汉王公墓管理所2026年度石材采购项目</w:t>
      </w:r>
      <w:r/>
    </w:p>
    <w:p>
      <w:pPr>
        <w:pStyle w:val="896"/>
        <w:ind w:left="299" w:firstLine="643"/>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项目编号：JSZC-320300-ZHZC-G2026-0013</w:t>
      </w:r>
      <w:r/>
    </w:p>
    <w:p>
      <w:pPr>
        <w:pStyle w:val="896"/>
        <w:ind w:left="299" w:firstLine="643"/>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采 购 人：徐州市殡葬管理服务中心</w:t>
      </w:r>
      <w:r/>
    </w:p>
    <w:p>
      <w:pPr>
        <w:rPr>
          <w:rFonts w:eastAsiaTheme="minorEastAsia"/>
          <w:color w:val="auto"/>
          <w:highlight w:val="none"/>
          <w:lang w:eastAsia="zh-CN"/>
        </w:rPr>
      </w:pPr>
      <w:r>
        <w:rPr>
          <w:rFonts w:eastAsiaTheme="minorEastAsia"/>
          <w:color w:val="auto"/>
          <w:highlight w:val="none"/>
          <w:lang w:eastAsia="zh-CN"/>
        </w:rPr>
      </w:r>
      <w:r/>
    </w:p>
    <w:p>
      <w:pPr>
        <w:pStyle w:val="841"/>
        <w:tabs>
          <w:tab w:val="left" w:pos="2571" w:leader="none"/>
        </w:tabs>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tab/>
      </w:r>
      <w:r/>
    </w:p>
    <w:p>
      <w:pPr>
        <w:pStyle w:val="819"/>
        <w:rPr>
          <w:rFonts w:hint="eastAsia" w:ascii="仿宋" w:hAnsi="仿宋" w:eastAsia="仿宋" w:cs="宋体"/>
          <w:color w:val="auto"/>
          <w:sz w:val="30"/>
          <w:szCs w:val="30"/>
          <w:highlight w:val="none"/>
          <w:lang w:eastAsia="zh-CN"/>
        </w:rPr>
      </w:pPr>
      <w:r>
        <w:rPr>
          <w:rFonts w:ascii="仿宋" w:hAnsi="仿宋" w:eastAsia="仿宋" w:cs="宋体"/>
          <w:color w:val="auto"/>
          <w:sz w:val="30"/>
          <w:szCs w:val="3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1656080</wp:posOffset>
                </wp:positionH>
                <wp:positionV relativeFrom="paragraph">
                  <wp:posOffset>-3175</wp:posOffset>
                </wp:positionV>
                <wp:extent cx="2077720" cy="2078990"/>
                <wp:effectExtent l="0" t="0" r="0" b="0"/>
                <wp:wrapNone/>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r/>
                      </pic:nvPicPr>
                      <pic:blipFill>
                        <a:blip r:embed="rId23"/>
                        <a:stretch/>
                      </pic:blipFill>
                      <pic:spPr bwMode="auto">
                        <a:xfrm>
                          <a:off x="0" y="0"/>
                          <a:ext cx="2077720" cy="207899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4pt;mso-position-horizontal:absolute;mso-position-vertical-relative:text;margin-top:-0.2pt;mso-position-vertical:absolute;width:163.6pt;height:163.7pt;mso-wrap-distance-left:9.0pt;mso-wrap-distance-top:0.0pt;mso-wrap-distance-right:9.0pt;mso-wrap-distance-bottom:0.0pt;" stroked="f">
                <v:path textboxrect="0,0,0,0"/>
                <v:imagedata r:id="rId23" o:title=""/>
              </v:shape>
            </w:pict>
          </mc:Fallback>
        </mc:AlternateContent>
      </w:r>
      <w:r/>
    </w:p>
    <w:p>
      <w:pPr>
        <w:pStyle w:val="81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06"/>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ind w:firstLine="900"/>
        <w:jc w:val="both"/>
        <w:spacing w:line="520" w:lineRule="exact"/>
        <w:rPr>
          <w:rFonts w:hint="eastAsia" w:ascii="仿宋" w:hAnsi="仿宋" w:eastAsia="仿宋" w:cs="宋体"/>
          <w:color w:val="auto"/>
          <w:sz w:val="32"/>
          <w:szCs w:val="32"/>
          <w:highlight w:val="none"/>
          <w:lang w:eastAsia="zh-CN"/>
        </w:rPr>
      </w:pPr>
      <w:r>
        <w:rPr>
          <w:rFonts w:hint="eastAsia" w:ascii="仿宋" w:hAnsi="仿宋" w:eastAsia="仿宋" w:cs="宋体"/>
          <w:color w:val="auto"/>
          <w:sz w:val="32"/>
          <w:szCs w:val="32"/>
          <w:highlight w:val="none"/>
          <w:lang w:eastAsia="zh-CN"/>
        </w:rPr>
      </w:r>
      <w:r/>
    </w:p>
    <w:p>
      <w:pPr>
        <w:ind w:firstLine="320"/>
        <w:jc w:val="both"/>
        <w:spacing w:line="520" w:lineRule="exact"/>
        <w:rPr>
          <w:rFonts w:hint="eastAsia" w:ascii="仿宋" w:hAnsi="仿宋" w:eastAsia="仿宋" w:cs="宋体"/>
          <w:b/>
          <w:bCs/>
          <w:color w:val="auto"/>
          <w:sz w:val="32"/>
          <w:szCs w:val="32"/>
          <w:highlight w:val="none"/>
          <w:lang w:eastAsia="zh-CN"/>
        </w:rPr>
      </w:pPr>
      <w:r>
        <w:rPr>
          <w:rFonts w:hint="eastAsia" w:ascii="仿宋" w:hAnsi="仿宋" w:eastAsia="仿宋" w:cs="宋体"/>
          <w:b/>
          <w:bCs/>
          <w:color w:val="auto"/>
          <w:sz w:val="32"/>
          <w:szCs w:val="32"/>
          <w:highlight w:val="none"/>
          <w:lang w:eastAsia="zh-CN"/>
        </w:rPr>
        <w:t xml:space="preserve">采购代理机构：江苏中瀚工程项目管理咨询有限公司</w:t>
      </w:r>
      <w:r/>
    </w:p>
    <w:p>
      <w:pPr>
        <w:pStyle w:val="904"/>
        <w:ind w:firstLine="3360"/>
        <w:jc w:val="left"/>
        <w:spacing w:line="360" w:lineRule="auto"/>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t xml:space="preserve">二〇二</w:t>
      </w:r>
      <w:r>
        <w:rPr>
          <w:rFonts w:hint="eastAsia" w:ascii="仿宋" w:hAnsi="仿宋" w:eastAsia="仿宋"/>
          <w:b/>
          <w:bCs/>
          <w:color w:val="auto"/>
          <w:sz w:val="32"/>
          <w:szCs w:val="32"/>
          <w:highlight w:val="none"/>
        </w:rPr>
        <w:t xml:space="preserve">六</w:t>
      </w:r>
      <w:r>
        <w:rPr>
          <w:rFonts w:ascii="仿宋" w:hAnsi="仿宋" w:eastAsia="仿宋"/>
          <w:b/>
          <w:bCs/>
          <w:color w:val="auto"/>
          <w:sz w:val="32"/>
          <w:szCs w:val="32"/>
          <w:highlight w:val="none"/>
        </w:rPr>
        <w:t xml:space="preserve">年</w:t>
      </w:r>
      <w:r>
        <w:rPr>
          <w:rFonts w:hint="eastAsia" w:ascii="仿宋" w:hAnsi="仿宋" w:eastAsia="仿宋"/>
          <w:b/>
          <w:bCs/>
          <w:color w:val="auto"/>
          <w:sz w:val="32"/>
          <w:szCs w:val="32"/>
          <w:highlight w:val="none"/>
        </w:rPr>
        <w:t xml:space="preserve">七</w:t>
      </w:r>
      <w:r>
        <w:rPr>
          <w:rFonts w:ascii="仿宋" w:hAnsi="仿宋" w:eastAsia="仿宋"/>
          <w:b/>
          <w:bCs/>
          <w:color w:val="auto"/>
          <w:sz w:val="32"/>
          <w:szCs w:val="32"/>
          <w:highlight w:val="none"/>
        </w:rPr>
        <w:t xml:space="preserve">月</w:t>
      </w:r>
      <w:r/>
    </w:p>
    <w:p>
      <w:pPr>
        <w:tabs>
          <w:tab w:val="center" w:pos="4111" w:leader="none"/>
        </w:tabs>
        <w:rPr>
          <w:color w:val="auto"/>
          <w:highlight w:val="none"/>
          <w:lang w:eastAsia="zh-CN"/>
        </w:rPr>
        <w:sectPr>
          <w:footerReference w:type="default" r:id="rId10"/>
          <w:footnotePr/>
          <w:endnotePr/>
          <w:type w:val="nextPage"/>
          <w:pgSz w:w="11906" w:h="16838" w:orient="portrait"/>
          <w:pgMar w:top="1134" w:right="1983" w:bottom="1134" w:left="1701" w:header="709" w:footer="709" w:gutter="0"/>
          <w:pgNumType w:start="1"/>
          <w:cols w:num="1" w:sep="0" w:space="708" w:equalWidth="1"/>
          <w:docGrid w:linePitch="360"/>
        </w:sectPr>
      </w:pPr>
      <w:r>
        <w:rPr>
          <w:color w:val="auto"/>
          <w:highlight w:val="none"/>
          <w:lang w:eastAsia="zh-CN"/>
        </w:rPr>
        <w:tab/>
      </w:r>
      <w:r/>
    </w:p>
    <w:p>
      <w:pPr>
        <w:pStyle w:val="812"/>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r>
      <w:r/>
    </w:p>
    <w:p>
      <w:pPr>
        <w:pStyle w:val="812"/>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t xml:space="preserve">总 目 录</w:t>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jc w:val="center"/>
        <w:spacing w:line="520" w:lineRule="exac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pStyle w:val="830"/>
        <w:spacing w:line="480" w:lineRule="exact"/>
        <w:tabs>
          <w:tab w:val="right" w:pos="8948" w:leader="dot"/>
        </w:tabs>
        <w:rPr>
          <w:rFonts w:hint="eastAsia" w:ascii="仿宋" w:hAnsi="仿宋" w:eastAsia="仿宋" w:cs="宋体"/>
          <w:color w:val="auto"/>
          <w:sz w:val="30"/>
          <w:szCs w:val="30"/>
          <w:highlight w:val="none"/>
        </w:rPr>
      </w:pPr>
      <w:r>
        <w:rPr>
          <w:rFonts w:hint="eastAsia" w:ascii="仿宋" w:hAnsi="仿宋" w:eastAsia="仿宋" w:cs="宋体"/>
          <w:b/>
          <w:color w:val="auto"/>
          <w:sz w:val="30"/>
          <w:szCs w:val="30"/>
          <w:highlight w:val="none"/>
        </w:rPr>
        <w:fldChar w:fldCharType="begin"/>
      </w:r>
      <w:r>
        <w:rPr>
          <w:rFonts w:hint="eastAsia" w:ascii="仿宋" w:hAnsi="仿宋" w:eastAsia="仿宋" w:cs="宋体"/>
          <w:b/>
          <w:color w:val="auto"/>
          <w:sz w:val="30"/>
          <w:szCs w:val="30"/>
          <w:highlight w:val="none"/>
        </w:rPr>
        <w:instrText xml:space="preserve"> TOC \o "1-3" \h \z \u </w:instrText>
      </w:r>
      <w:r>
        <w:rPr>
          <w:rFonts w:hint="eastAsia" w:ascii="仿宋" w:hAnsi="仿宋" w:eastAsia="仿宋"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第一章  投标邀请</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第二章  投标人须知</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第三章  投标资料表</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第四章  评标标准</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第五章  拟签订的合同文本</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第六章  采购需求</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第七章  投标文件相关格</w:t>
      </w:r>
      <w:bookmarkStart w:id="0" w:name="_Hlt532911772"/>
      <w:r/>
      <w:bookmarkStart w:id="1" w:name="_Hlt532911771"/>
      <w:r>
        <w:rPr>
          <w:rStyle w:val="846"/>
          <w:rFonts w:hint="eastAsia" w:ascii="仿宋" w:hAnsi="仿宋" w:eastAsia="仿宋" w:cs="宋体"/>
          <w:color w:val="auto"/>
          <w:sz w:val="30"/>
          <w:szCs w:val="30"/>
          <w:highlight w:val="none"/>
        </w:rPr>
        <w:t xml:space="preserve">式</w:t>
      </w:r>
      <w:bookmarkEnd w:id="0"/>
      <w:r/>
      <w:bookmarkEnd w:id="1"/>
      <w:r>
        <w:rPr>
          <w:rStyle w:val="846"/>
          <w:rFonts w:hint="eastAsia" w:ascii="仿宋" w:hAnsi="仿宋" w:eastAsia="仿宋" w:cs="宋体"/>
          <w:color w:val="auto"/>
          <w:sz w:val="30"/>
          <w:szCs w:val="30"/>
          <w:highlight w:val="none"/>
        </w:rPr>
        <w:fldChar w:fldCharType="end"/>
      </w:r>
      <w:r/>
    </w:p>
    <w:p>
      <w:pPr>
        <w:jc w:val="center"/>
        <w:spacing w:line="480" w:lineRule="exact"/>
        <w:rPr>
          <w:rFonts w:hint="eastAsia" w:ascii="宋体" w:hAnsi="宋体" w:eastAsia="宋体" w:cs="宋体"/>
          <w:b/>
          <w:color w:val="auto"/>
          <w:sz w:val="44"/>
          <w:szCs w:val="44"/>
          <w:highlight w:val="none"/>
        </w:rPr>
      </w:pPr>
      <w:r>
        <w:rPr>
          <w:rFonts w:hint="eastAsia" w:ascii="仿宋" w:hAnsi="仿宋" w:eastAsia="仿宋" w:cs="宋体"/>
          <w:b/>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after="0" w:line="519" w:lineRule="atLeast"/>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134" w:right="1625" w:bottom="1134" w:left="1701" w:header="709" w:footer="709" w:gutter="0"/>
          <w:cols w:num="1" w:sep="0" w:space="708" w:equalWidth="1"/>
          <w:docGrid w:linePitch="360"/>
        </w:sectPr>
      </w:pPr>
      <w:r>
        <w:rPr>
          <w:rFonts w:hint="eastAsia" w:ascii="宋体" w:hAnsi="宋体" w:eastAsia="宋体" w:cs="宋体"/>
          <w:b/>
          <w:color w:val="auto"/>
          <w:sz w:val="30"/>
          <w:szCs w:val="30"/>
          <w:highlight w:val="none"/>
        </w:rPr>
      </w:r>
      <w:r/>
    </w:p>
    <w:p>
      <w:pPr>
        <w:jc w:val="center"/>
        <w:spacing w:after="0" w:line="519" w:lineRule="atLeast"/>
        <w:rPr>
          <w:rFonts w:hint="eastAsia" w:ascii="仿宋" w:hAnsi="仿宋" w:eastAsia="仿宋"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徐州市殡葬管理服务中心</w:t>
      </w:r>
      <w:r/>
    </w:p>
    <w:p>
      <w:pPr>
        <w:jc w:val="center"/>
        <w:spacing w:after="0" w:line="519" w:lineRule="atLeast"/>
        <w:rPr>
          <w:rFonts w:hint="eastAsia" w:ascii="仿宋" w:hAnsi="仿宋" w:eastAsia="仿宋"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w:t>
      </w:r>
      <w:r>
        <w:rPr>
          <w:rFonts w:hint="eastAsia" w:ascii="仿宋" w:hAnsi="仿宋" w:eastAsia="仿宋"/>
          <w:b/>
          <w:bCs/>
          <w:color w:val="auto"/>
          <w:sz w:val="32"/>
          <w:szCs w:val="32"/>
          <w:highlight w:val="none"/>
        </w:rPr>
        <w:t xml:space="preserve">徐州市殡葬管理服务中心汉王公墓管理所2026年度石材采购项目</w:t>
      </w:r>
      <w:r>
        <w:rPr>
          <w:rFonts w:hint="eastAsia" w:ascii="仿宋" w:hAnsi="仿宋" w:eastAsia="仿宋" w:cs="宋体"/>
          <w:b/>
          <w:color w:val="auto"/>
          <w:sz w:val="30"/>
          <w:szCs w:val="30"/>
          <w:highlight w:val="none"/>
          <w:lang w:eastAsia="zh-CN"/>
        </w:rPr>
        <w:t xml:space="preserve">》</w:t>
      </w:r>
      <w:r/>
    </w:p>
    <w:p>
      <w:pPr>
        <w:jc w:val="center"/>
        <w:spacing w:after="0" w:line="519" w:lineRule="atLeast"/>
        <w:rPr>
          <w:rFonts w:hint="eastAsia"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after="0" w:line="519" w:lineRule="atLeast"/>
        <w:rPr>
          <w:rFonts w:hint="eastAsia" w:ascii="仿宋" w:hAnsi="仿宋" w:eastAsia="仿宋" w:cs="宋体"/>
          <w:b/>
          <w:color w:val="auto"/>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30"/>
          <w:highlight w:val="none"/>
          <w:lang w:eastAsia="zh-CN"/>
        </w:rPr>
        <w:t xml:space="preserve">第一章 投标邀请</w:t>
      </w:r>
      <w:r/>
    </w:p>
    <w:p>
      <w:pPr>
        <w:jc w:val="both"/>
        <w:spacing w:after="0" w:line="519" w:lineRule="atLeast"/>
        <w:rPr>
          <w:rFonts w:hint="eastAsia" w:ascii="仿宋" w:hAnsi="仿宋" w:eastAsia="仿宋"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lang w:eastAsia="zh-CN"/>
        </w:rPr>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u w:val="single"/>
          <w:lang w:eastAsia="zh-CN"/>
        </w:rPr>
        <w:t xml:space="preserve">江苏中瀚工程项目管理咨询有限公司</w:t>
      </w:r>
      <w:r>
        <w:rPr>
          <w:rFonts w:hint="eastAsia" w:ascii="仿宋" w:hAnsi="仿宋" w:eastAsia="仿宋" w:cs="宋体"/>
          <w:color w:val="auto"/>
          <w:sz w:val="24"/>
          <w:szCs w:val="24"/>
          <w:highlight w:val="none"/>
          <w:lang w:eastAsia="zh-CN"/>
        </w:rPr>
        <w:t xml:space="preserve">对</w:t>
      </w:r>
      <w:r>
        <w:rPr>
          <w:rFonts w:hint="eastAsia" w:ascii="仿宋" w:hAnsi="仿宋" w:eastAsia="仿宋" w:cs="宋体"/>
          <w:color w:val="auto"/>
          <w:sz w:val="24"/>
          <w:szCs w:val="24"/>
          <w:highlight w:val="none"/>
          <w:u w:val="single"/>
          <w:lang w:eastAsia="zh-CN"/>
        </w:rPr>
        <w:t xml:space="preserve">徐州市殡葬管理服务中心</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lang w:eastAsia="zh-CN"/>
        </w:rPr>
        <w:t xml:space="preserve">徐州市殡葬管理服务中心汉王公墓管理所2026年度石材采购项目</w:t>
      </w:r>
      <w:r>
        <w:rPr>
          <w:rFonts w:hint="eastAsia" w:ascii="仿宋" w:hAnsi="仿宋" w:eastAsia="仿宋" w:cs="宋体"/>
          <w:color w:val="auto"/>
          <w:sz w:val="24"/>
          <w:szCs w:val="24"/>
          <w:highlight w:val="none"/>
          <w:lang w:eastAsia="zh-CN"/>
        </w:rPr>
        <w:t xml:space="preserve">”进行公开招标采购，现邀请符合相关条件的供应商投标。</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一、项目名称和项目编号</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(一)项目名称：徐州市殡葬管理服务中心汉王公墓管理所2026年度石材采购项目</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(二)项目编号：JSZC-320300-ZHZC-G2026-0013</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二、对投标人的资格要求</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详见本项目公开招标公告。</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三、获取招标文件</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（一）潜在投标人访问电子招标投标交易平台的网络地址和方法：</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（3）“CA数字证书”的获取：</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（二）采购代理机构将数据电文形式的招标文件加载至电子招标投标交易平台，供潜在投标人下载或者查阅。</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（三）售价：免费。</w:t>
      </w:r>
      <w:r/>
    </w:p>
    <w:p>
      <w:pPr>
        <w:ind w:firstLine="600"/>
        <w:jc w:val="both"/>
        <w:spacing w:after="0" w:line="360" w:lineRule="auto"/>
        <w:tabs>
          <w:tab w:val="center" w:pos="4323" w:leader="none"/>
        </w:tabs>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四、投标有关信息</w:t>
      </w:r>
      <w:r>
        <w:rPr>
          <w:color w:val="auto"/>
          <w:highlight w:val="none"/>
          <w:lang w:eastAsia="zh-CN"/>
        </w:rPr>
        <w:tab/>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（一）投标截止时间：</w:t>
      </w:r>
      <w:r>
        <w:rPr>
          <w:rFonts w:hint="eastAsia" w:ascii="仿宋" w:hAnsi="仿宋" w:eastAsia="仿宋" w:cs="宋体"/>
          <w:color w:val="auto"/>
          <w:sz w:val="24"/>
          <w:szCs w:val="24"/>
          <w:highlight w:val="none"/>
          <w:lang w:eastAsia="zh-CN"/>
        </w:rPr>
        <w:t xml:space="preserve">2026年8月10日</w:t>
      </w:r>
      <w:r>
        <w:rPr>
          <w:rFonts w:hint="eastAsia" w:ascii="仿宋" w:hAnsi="仿宋" w:eastAsia="仿宋" w:cs="宋体"/>
          <w:color w:val="auto"/>
          <w:sz w:val="24"/>
          <w:szCs w:val="24"/>
          <w:highlight w:val="none"/>
          <w:lang w:eastAsia="zh-CN"/>
        </w:rPr>
        <w:t xml:space="preserve">北京时间09时30分，（电子招标投标交易平台（即“苏采云”系统）的国家授时中心标准时间，下同），在截止时间后提交的首次响应文件为无效文件，将被拒收。</w:t>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（二）开标时间：</w:t>
      </w:r>
      <w:r>
        <w:rPr>
          <w:rFonts w:hint="eastAsia" w:ascii="仿宋" w:hAnsi="仿宋" w:eastAsia="仿宋" w:cs="宋体"/>
          <w:color w:val="auto"/>
          <w:sz w:val="24"/>
          <w:szCs w:val="24"/>
          <w:highlight w:val="none"/>
          <w:lang w:eastAsia="zh-CN"/>
        </w:rPr>
        <w:t xml:space="preserve">2026年8月10日</w:t>
      </w:r>
      <w:r>
        <w:rPr>
          <w:rFonts w:hint="eastAsia" w:ascii="仿宋" w:hAnsi="仿宋" w:eastAsia="仿宋" w:cs="宋体"/>
          <w:color w:val="auto"/>
          <w:sz w:val="24"/>
          <w:szCs w:val="24"/>
          <w:highlight w:val="none"/>
          <w:lang w:eastAsia="zh-CN"/>
        </w:rPr>
        <w:t xml:space="preserve">北京时间09时30分。</w:t>
      </w:r>
      <w:r/>
    </w:p>
    <w:p>
      <w:pPr>
        <w:ind w:firstLine="601"/>
        <w:jc w:val="both"/>
        <w:spacing w:after="0" w:line="360" w:lineRule="auto"/>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（三）线上开标地点：“苏采云”系统（网址：http://jszfcg.jsczt.cn/）“开标大厅”或进入徐州政府采购网（网址：http://czj.xz.gov.cn/Home/HomeIndex）-业务工作-用户登录，点击“苏采云”进入系统“开标大厅”。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五、采购人</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（一）名称：徐州市殡葬管理服务中心</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（二）地址：徐州市云龙区复兴南路48号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（三）联系人：黄北晨</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（四）联系方法：0516-81910058</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六、采购代理机构</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（一）名称：江苏中瀚工程项目管理咨询有限公司</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（二）地址：江苏省徐州市泉山区矿大科技园</w:t>
      </w:r>
      <w:r>
        <w:rPr>
          <w:rFonts w:ascii="仿宋" w:hAnsi="仿宋" w:eastAsia="仿宋" w:cs="宋体"/>
          <w:color w:val="auto"/>
          <w:sz w:val="24"/>
          <w:szCs w:val="24"/>
          <w:highlight w:val="none"/>
          <w:lang w:eastAsia="zh-CN"/>
        </w:rPr>
        <w:t xml:space="preserve">A2</w:t>
      </w:r>
      <w:r>
        <w:rPr>
          <w:rFonts w:hint="eastAsia" w:ascii="仿宋" w:hAnsi="仿宋" w:eastAsia="仿宋" w:cs="宋体"/>
          <w:color w:val="auto"/>
          <w:sz w:val="24"/>
          <w:szCs w:val="24"/>
          <w:highlight w:val="none"/>
          <w:lang w:eastAsia="zh-CN"/>
        </w:rPr>
        <w:t xml:space="preserve">楼南四楼</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（三）联系方法：</w:t>
      </w:r>
      <w:r>
        <w:rPr>
          <w:rFonts w:ascii="仿宋" w:hAnsi="仿宋" w:eastAsia="仿宋" w:cs="宋体"/>
          <w:color w:val="auto"/>
          <w:sz w:val="24"/>
          <w:szCs w:val="24"/>
          <w:highlight w:val="none"/>
          <w:lang w:eastAsia="zh-CN"/>
        </w:rPr>
        <w:t xml:space="preserve">0516-83990657</w:t>
      </w:r>
      <w:r/>
    </w:p>
    <w:p>
      <w:pPr>
        <w:ind w:firstLine="600"/>
        <w:jc w:val="both"/>
        <w:spacing w:after="0" w:line="360" w:lineRule="auto"/>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（四）项目联系人：刘朋； 联系电话：</w:t>
      </w:r>
      <w:r>
        <w:rPr>
          <w:rFonts w:ascii="仿宋" w:hAnsi="仿宋" w:eastAsia="仿宋" w:cs="宋体"/>
          <w:color w:val="auto"/>
          <w:sz w:val="24"/>
          <w:szCs w:val="24"/>
          <w:highlight w:val="none"/>
          <w:lang w:eastAsia="zh-CN"/>
        </w:rPr>
        <w:t xml:space="preserve">0516-83990657</w:t>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pStyle w:val="819"/>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pStyle w:val="819"/>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第二章 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一、总则</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（一）采购人。采购人即指依法进行政府采购的国家机关、事业单位和团体组织。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（二）政府招标采购方式。政府采购货物或服务（以下简称“货物服务”）的招标方式，分为公开招标和邀请招标。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（五）采购人委托采购代理机构代理招标的，采购代理机构必须在采购人委托的范围内依法开展采购活动。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（六）投标人的资格条件：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投标人是指响应招标、参加投标竞争的法人、其他组织或者自然人。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2.投标人授权代表系指法定代表人或受法人委托的受托人。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（八）招标文件应包括以下内容：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第一章，投标邀请；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第二章，投标人须知；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第三章，投标资料表；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第四章，评标标准；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第五章，拟签订的合同文本；</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第六章，采购需求；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第七章，投标文件相关格式。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（九）招标文件澄清或者修改：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2.现场考察以本文件第三章《投标资料表》中的要求为准。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3.开标前答疑会以本文件第三章《投标资料表》中的要求为准。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三、投标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（十二）投标文件的构成：</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1.投标文件的构成以本文件第三章《投标资料表》中的要求为准。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（十三）投标函和价格表、商务条件、交货和提供服务的时间：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2.商务条件以本文件第三章《投标资料表》中的要求为准。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3.交货和提供服务的时间，以本文件第三章《投标资料表》中所提要求为准。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（十四）投标报价要求：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1.投标人应按照招标文件的要求报出分项价格和总价。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2.投标人应按照招标文件的要求进行报价，如投标人作出偏离，应在《偏离表》中列出。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3.采购人不支付报价以外的任何费用。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（十五）投标货币。以本文件第三章《投标资料表》中所提要求为准。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（十六）投标有效期：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（十七）投标文件的编制要求和签署要求</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（1）电子招标投标交易平台（即“苏采云”系统）相关要求是本招标文件的组成部分。</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（2）投标人应由其法定代表人或法定代表人授权代表在规定的网上投标时间，凭 CA 证书登陆“苏采云”系统在线编制投标文件（电子数据），并在投标截止时间之前上传投标文件。</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（3）投标人应对 CA 证书妥善保管，如被他人盗用投标，因此带来的结果均由投标人自行承担。</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（4）投标人应当对招标文件提出的要求和条件作出实质性响应，并在电子投标系统逐条应答。</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（5）投标人应对要求提供的资格证明文件（如资质证书、资格证书）、技术资料（如白皮书、彩页、手册、检测报告等）扫描上传至投标系统。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（十八）投标文件的盖章要求：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投标文件的盖章要求，以本文件第三章《投标资料表》中所提要求为准。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（二十二）本项目不允许分包。</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在评标过程中发现投标人有上述情形的，评标委员会应当认定其投标无效，并书面报告本级财政部门。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（二十四）有下列情形之一的，其投标无效。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1.不同投标人的投标文件，由同一单位或者个人编制；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2.不同投标人委托同一单位或者个人办理投标事宜；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3.不同投标人的投标文件中，所载明的项目管理成员或联系人为同一人；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4.不同投标人的投标文件，异常一致或者投标报价呈规律性差异；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6.电子投标文件未按规定期限投标的；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7.电子投标文件未按招标文件要求签章的；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8.投标人未在规定时间内解密电子投标文件的；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9.投标文件未按招标文件规定的内容和要求填写的；没有在投标系统指定位置上传对应文件、材料的；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10.不具备招标文件中规定的资格要求的；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11.报价超过招标文件中规定的预算金额或者最高限价的；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12.投标文件含有采购人不能接受的附加条件的；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13.法律、法规和招标文件规定的其他无效情形。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（二十五）开标：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2.由电子招标投标交易平台主持，邀请投标人参加。</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3.所有投标单位使用 CA 证书在开标时间时，解密各自投标文件，由工作人员操作系统进行开标，投标人不足3家的，不得评标。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5.投标人未参加开标的，视同认可开标结果。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1.评标工作由采购代理机构负责组织，并履行下列职责：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（2）宣布评标纪律；</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（3）公布投标人名单，告知评审专家应当回避的情形；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（4）组织评标委员会推选评标组长（采购人代表不得担任组长）；</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（5）在评标期间采取必要的通讯管理措施，保证评标活动不受外界干扰；</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（6）根据评标委员会的要求介绍政府采购相关政策法规、招标文件；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政府采购</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（10）处理与评标有关的其他事项。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2.评标委员会负责具体评标事务，并独立履行下列职责：</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（1）审查、评价投标文件是否符合招标文件的商务、技术等实质性要求；</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（2）要求投标人对投标文件有关事项作出澄清或者说明；</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（3）对投标文件进行比较和评价；</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（4）确定中标候选人名单，以及根据采购人委托直接确定中标人；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（5）向采购人、采购代理机构或有关部门报告评标中发现的违法行为。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（二十七）评标方法分为最低评标价法和综合评分法。</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（二十八）评标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1.评标工作程序：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（1）投标文件初审。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①资格性审查。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②符合性审查。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（2）澄清有关问题。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（3）比较与评价。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（4）推荐中标候选供应商名单。</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（5）编写评审报告（评标报告）。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846"/>
          <w:rFonts w:hint="eastAsia" w:ascii="仿宋" w:hAnsi="仿宋" w:eastAsia="仿宋" w:cs="宋体"/>
          <w:color w:val="auto"/>
          <w:sz w:val="24"/>
          <w:szCs w:val="24"/>
          <w:highlight w:val="none"/>
          <w:u w:val="none"/>
          <w:lang w:eastAsia="zh-CN"/>
        </w:rPr>
        <w:t xml:space="preserve">最低评标价法</w:t>
      </w:r>
      <w:r>
        <w:rPr>
          <w:rStyle w:val="846"/>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846"/>
          <w:rFonts w:hint="eastAsia" w:ascii="仿宋" w:hAnsi="仿宋" w:eastAsia="仿宋" w:cs="宋体"/>
          <w:color w:val="auto"/>
          <w:sz w:val="24"/>
          <w:szCs w:val="24"/>
          <w:highlight w:val="none"/>
          <w:u w:val="none"/>
          <w:lang w:eastAsia="zh-CN"/>
        </w:rPr>
        <w:t xml:space="preserve">综合评分法</w:t>
      </w:r>
      <w:r>
        <w:rPr>
          <w:rStyle w:val="846"/>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非单一产品采购项目，多家投标人提供的核心产品品牌相同的，按前两款规定处理。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（二十九）投标文件报价出现前后不一致的，按照下列规定修正：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1.投标文件中开标一览表（报价表）内容与投标文件中相应内容不一致的，以开标一览表（报价表）为准；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2.大写金额和小写金额不一致的，以大写金额为准；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3.单价金额小数点或者百分比有明显错位的，以开标一览表的总价为准，并修改单价；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4.总价金额与按单价合计金额不一致的，以单价金额计算结果为准。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宋体"/>
          <w:b/>
          <w:bCs/>
          <w:color w:val="auto"/>
          <w:sz w:val="24"/>
          <w:szCs w:val="24"/>
          <w:highlight w:val="none"/>
          <w:lang w:eastAsia="zh-CN"/>
        </w:rPr>
        <w:t xml:space="preserve">评标委员会启动异常低价投标（响应）审查的情形和具体要求，包括:</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（1）评审过程中出现下列情形之一的，评标委员会应当启动异常低价投标（响应）审查程序：</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①投标（响应）报价低于全部通过符合性审查供应商投标（响应）报价平均值50%的，即投标（响应）报价&lt;全部通过符合性审查供应商投标（响应）报价平均值×50%；</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②投标（响应）报价低于通过符合性审查的次低报价供应商投标（响应）报价50%的，即投标（响应）报价&lt;通过符合性审查的次低报价供应商投标（响应）报价×50%；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③投标（响应）报价低于采购项目最高限价45%的，即投标（响应）报价&lt;采购项目最高限价×45%；</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④评标委员会认定的供应商报价过低、有可能影响产品质量或者不能诚信履约的其他情形。</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特别说明：“苏采云”系统通过“江苏省政府采购一体化不见面开标大厅”提醒供应商。供应商自行查看，供应商因自身原因不及时查看导致没收到信息，“苏采云”系统不承担任何责任。</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（三十二）废标条款：</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出现下列情形之一的，应予废标。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1.符合专业条件的供应商或者对招标文件作实质响应的供应商不足三家的；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2.出现影响采购公正的违法、违规行为的；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3.投标人的报价均超过了采购预算，采购人不能支付的；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4.因重大变故，采购任务取消的。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六、定标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（三十三）采购代理机构应当在评标结束后2个工作日内将评标报告送采购人。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五）签订合同前，中标人必须向采购人提交其投标文件中所有扫描件的原件及相关检测报告，采购人核查无误后，签订合同。如中标人不能在采购人规定的时间内向采购人提供原件及相关检测报告，将被采购人视为放弃中标资格。</w:t>
      </w:r>
      <w:r>
        <w:rPr>
          <w:rFonts w:hint="eastAsia" w:ascii="仿宋" w:hAnsi="仿宋" w:eastAsia="仿宋" w:cs="宋体"/>
          <w:color w:val="auto"/>
          <w:sz w:val="24"/>
          <w:szCs w:val="24"/>
          <w:highlight w:val="none"/>
          <w:lang w:eastAsia="zh-CN"/>
        </w:rPr>
        <w:t xml:space="preserve">石材送达后，采购人将视情况邀请第三方检测机构对石材进行检测，如不合格，不予验收，做退货处理，所有损失由中标方承担。</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七、政府采购合同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（三十六）签订政府采购合同（合同签订方式）：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采购人不得向中标人提出任何不合理的要求作为签订合同的条件。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（三十八）履约保证金：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1.中标人应在签订采购合同前，向采购人提交本文件第三章《投标资料表》中规定金额的履约保证金。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3.履约保证金退还：质保期满后，结算违约赔偿（如有）后7个工作日内无息退还给卖方；卖方需出具买方提供的《验收书》，如未提供，履约保证金不予退还。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（三十九）腐败和欺诈行为：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（1）腐败和欺诈行为的含义：</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（2）如果被推荐的中标人有腐败和欺诈行为，将取消其中标资格。</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八、询问和质疑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（四十）询问和质疑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九、电子招标投标交易平台</w:t>
      </w:r>
      <w:r/>
    </w:p>
    <w:p>
      <w:pPr>
        <w:ind w:firstLine="600"/>
        <w:jc w:val="both"/>
        <w:spacing w:after="0" w:line="519" w:lineRule="atLeast"/>
        <w:rPr>
          <w:rFonts w:hint="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http://jszfcg.jsczt.cn/</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）相关要求是本招标文件的组成部分。</w:t>
      </w:r>
      <w:r/>
    </w:p>
    <w:p>
      <w:pPr>
        <w:jc w:val="center"/>
        <w:spacing w:after="0" w:line="720" w:lineRule="atLeast"/>
        <w:rPr>
          <w:rFonts w:hint="eastAsia" w:ascii="仿宋" w:hAnsi="仿宋" w:eastAsia="仿宋" w:cs="宋体"/>
          <w:b/>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2030" w:header="851" w:footer="992" w:gutter="0"/>
          <w:cols w:num="1" w:sep="0" w:space="720" w:equalWidth="1"/>
          <w:docGrid w:linePitch="360"/>
        </w:sectPr>
        <w:outlineLvl w:val="0"/>
      </w:pPr>
      <w:r>
        <w:rPr>
          <w:rFonts w:hint="eastAsia" w:ascii="仿宋" w:hAnsi="仿宋" w:eastAsia="仿宋" w:cs="宋体"/>
          <w:b/>
          <w:color w:val="auto"/>
          <w:sz w:val="28"/>
          <w:szCs w:val="28"/>
          <w:highlight w:val="none"/>
          <w:lang w:eastAsia="zh-CN"/>
        </w:rPr>
      </w:r>
      <w:r/>
    </w:p>
    <w:p>
      <w:pPr>
        <w:jc w:val="center"/>
        <w:spacing w:after="0" w:line="720" w:lineRule="atLeast"/>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第三章   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tbl>
      <w:tblPr>
        <w:tblStyle w:val="842"/>
        <w:tblW w:w="512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70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内</w:t>
            </w:r>
            <w:r>
              <w:rPr>
                <w:rFonts w:hint="eastAsia" w:ascii="仿宋" w:hAnsi="仿宋" w:eastAsia="仿宋" w:cs="宋体"/>
                <w:b/>
                <w:color w:val="auto"/>
                <w:sz w:val="24"/>
                <w:szCs w:val="24"/>
                <w:highlight w:val="none"/>
                <w:lang w:eastAsia="zh-CN"/>
              </w:rPr>
              <w:t xml:space="preserve">      </w:t>
            </w:r>
            <w:r>
              <w:rPr>
                <w:rFonts w:hint="eastAsia" w:ascii="仿宋" w:hAnsi="仿宋" w:eastAsia="仿宋" w:cs="宋体"/>
                <w:b/>
                <w:color w:val="auto"/>
                <w:sz w:val="24"/>
                <w:szCs w:val="24"/>
                <w:highlight w:val="none"/>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本项目采购人：徐州市殡葬管理服务中心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本项目采购代理机构：江苏中瀚工程项目管理咨询有限公司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投标人的资格条件：</w:t>
            </w:r>
            <w:r/>
          </w:p>
          <w:p>
            <w:pPr>
              <w:numPr>
                <w:ilvl w:val="0"/>
                <w:numId w:val="2"/>
              </w:num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符合《中华人民共和国政府采购法》第二十二条的规定；</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落实政府采购政策需满足的资格要求：</w:t>
            </w:r>
            <w:r>
              <w:rPr>
                <w:rFonts w:hint="eastAsia" w:ascii="仿宋" w:hAnsi="仿宋" w:eastAsia="仿宋" w:cs="宋体"/>
                <w:color w:val="auto"/>
                <w:sz w:val="24"/>
                <w:highlight w:val="none"/>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highlight w:val="none"/>
                <w:lang w:eastAsia="zh-CN"/>
              </w:rPr>
              <w:t xml:space="preserve">本项目的特定资格要求：无。</w:t>
            </w:r>
            <w:r/>
          </w:p>
          <w:p>
            <w:pPr>
              <w:jc w:val="both"/>
              <w:spacing w:after="0" w:line="400" w:lineRule="atLeas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同时明确相关事项如下：</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1、本项目不接受联合体参与采购活动。</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2、单位负责人为同一人或者存在直接控股、管理关系的不同供应商，不得参加同一合同项下的政府采购活动。</w:t>
            </w:r>
            <w:r/>
          </w:p>
          <w:p>
            <w:pPr>
              <w:ind w:right="-132"/>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3、为本采购项目提供监理、检测等服务的供应商，不得再参加本采购项目的采购活动。</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4、查询及使用供应商信用记录：</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(一)由采购人查询信用信息。</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(二)查询渠道包括：</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846"/>
                <w:rFonts w:hint="eastAsia" w:ascii="仿宋" w:hAnsi="仿宋" w:eastAsia="仿宋" w:cs="宋体"/>
                <w:color w:val="auto"/>
                <w:sz w:val="24"/>
                <w:szCs w:val="24"/>
                <w:highlight w:val="none"/>
                <w:u w:val="none"/>
              </w:rPr>
              <w:t xml:space="preserve">www.creditchina.gov.cn</w:t>
            </w:r>
            <w:r>
              <w:rPr>
                <w:rStyle w:val="846"/>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2. “中国政府采购”网（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46"/>
                <w:rFonts w:hint="eastAsia" w:ascii="仿宋" w:hAnsi="仿宋" w:eastAsia="仿宋" w:cs="宋体"/>
                <w:color w:val="auto"/>
                <w:sz w:val="24"/>
                <w:szCs w:val="24"/>
                <w:highlight w:val="none"/>
                <w:u w:val="none"/>
              </w:rPr>
              <w:t xml:space="preserve">www.ccgp.gov.cn</w:t>
            </w:r>
            <w:r>
              <w:rPr>
                <w:rStyle w:val="846"/>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3.“信用江苏”网（http://credit.jiangsu.gov.cn/）；</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w:t>
            </w:r>
            <w:r>
              <w:rPr>
                <w:rFonts w:ascii="仿宋" w:hAnsi="仿宋" w:eastAsia="仿宋"/>
                <w:color w:val="auto"/>
                <w:sz w:val="24"/>
                <w:szCs w:val="24"/>
                <w:highlight w:val="none"/>
              </w:rPr>
              <w:t xml:space="preserve">信用中国（江苏徐州）</w:t>
            </w:r>
            <w:r>
              <w:rPr>
                <w:rFonts w:hint="eastAsia" w:ascii="仿宋" w:hAnsi="仿宋" w:eastAsia="仿宋" w:cs="宋体"/>
                <w:color w:val="auto"/>
                <w:sz w:val="24"/>
                <w:szCs w:val="24"/>
                <w:highlight w:val="none"/>
                <w:lang w:eastAsia="zh-CN"/>
              </w:rPr>
              <w:t xml:space="preserve">”网（https://www.xuzhoucredit.gov.cn/）；</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(三)截止时点（查询环节）：资格审查结束前。</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(四)信用信息查询记录和证据留存的具体方式：网页截屏打印，与其他采购文件一并保存。</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(五)信用信息的使用规则：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招标代理服务费由中标人在领取中标通知书前支付，标准按照《附件</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：徐州市政府采购业务代理服务费行业指导价格标准》（见附件）。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14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投标文件编制要求：</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请按照以下要求（包括但不限于以下要求）制作：</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一、资格条件（1-6必须提供，否则投标无效）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宋体" w:hAnsi="宋体" w:eastAsia="宋体" w:cs="宋体"/>
                <w:color w:val="auto"/>
                <w:highlight w:val="none"/>
                <w:lang w:eastAsia="zh-CN"/>
              </w:rPr>
              <w:t xml:space="preserve"> </w:t>
            </w:r>
            <w:r>
              <w:rPr>
                <w:rFonts w:hint="eastAsia" w:ascii="仿宋" w:hAnsi="仿宋" w:eastAsia="仿宋" w:cs="宋体"/>
                <w:color w:val="auto"/>
                <w:sz w:val="24"/>
                <w:szCs w:val="24"/>
                <w:highlight w:val="none"/>
                <w:lang w:eastAsia="zh-CN"/>
              </w:rPr>
              <w:t xml:space="preserve">投标人合法有效的法人或者其他组织的营业执照等证明文件，自然人的身份证明。以上证明文件提供原件的扫描件。</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w:t>
            </w:r>
            <w:r>
              <w:rPr>
                <w:rFonts w:hint="eastAsia"/>
                <w:color w:val="auto"/>
                <w:highlight w:val="none"/>
                <w:lang w:eastAsia="zh-CN"/>
              </w:rPr>
              <w:t xml:space="preserve"> </w:t>
            </w:r>
            <w:r>
              <w:rPr>
                <w:rFonts w:hint="eastAsia" w:ascii="仿宋" w:hAnsi="仿宋" w:eastAsia="仿宋" w:cs="宋体"/>
                <w:color w:val="auto"/>
                <w:sz w:val="24"/>
                <w:szCs w:val="24"/>
                <w:highlight w:val="none"/>
                <w:lang w:eastAsia="zh-CN"/>
              </w:rPr>
              <w:t xml:space="preserve">财务状况报告（即提供投标人的本项目开标时间（不含开标当月）前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月的资产负债表、利润表各扫描件一份；或提供投标人或2025年度经审计的财务报告扫描件一份；或投标人的本项目开标时间（不含开标当月）前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个月内银行出具的资信证明扫描件一份）；</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3.投标人的本项目开标时间（不含开标当月）前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月的依法缴纳税收和社会保障资金的相关材料的扫描件（依法免税或不需要缴纳社会保障资金的供应商</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应提供相应文件证明其依法免税或不需要缴纳社会保障资金</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仿宋" w:hAnsi="仿宋" w:eastAsia="仿宋" w:cstheme="minorEastAsia"/>
                <w:b/>
                <w:bCs/>
                <w:color w:val="auto"/>
                <w:sz w:val="24"/>
                <w:szCs w:val="24"/>
                <w:highlight w:val="none"/>
                <w:lang w:eastAsia="zh-CN"/>
              </w:rPr>
              <w:t xml:space="preserve">；</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5.投标人参加政府采购活动前3年内在经营活动中没有重大违法记录的书面声明（加盖电子签章，格式见招标文件第七章《投标文件相关格式》）；</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6、</w:t>
            </w:r>
            <w:r>
              <w:rPr>
                <w:rFonts w:hint="eastAsia" w:ascii="仿宋" w:hAnsi="仿宋" w:eastAsia="仿宋" w:cstheme="minorEastAsia"/>
                <w:b/>
                <w:bCs/>
                <w:color w:val="auto"/>
                <w:sz w:val="24"/>
                <w:szCs w:val="24"/>
                <w:highlight w:val="none"/>
                <w:lang w:eastAsia="zh-CN"/>
              </w:rPr>
              <w:t xml:space="preserve">提供的货物全部由符合政策要求的中小企业制造，提供《中小企业声明函》（必须提供，填写完整，加盖电子签章，格式见招标文件第七章《投标文件相关格式》如不填写完整，视为无效）。</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注：具体以《政府采购促进中小企业发展管理办法》（财库</w:t>
            </w:r>
            <w:r>
              <w:rPr>
                <w:rFonts w:ascii="仿宋" w:hAnsi="仿宋" w:eastAsia="仿宋" w:cstheme="minorEastAsia"/>
                <w:color w:val="auto"/>
                <w:sz w:val="24"/>
                <w:szCs w:val="24"/>
                <w:highlight w:val="none"/>
                <w:lang w:eastAsia="zh-CN"/>
              </w:rPr>
              <w:t xml:space="preserve">[2020]46</w:t>
            </w:r>
            <w:r>
              <w:rPr>
                <w:rFonts w:hint="eastAsia" w:ascii="仿宋" w:hAnsi="仿宋" w:eastAsia="仿宋" w:cstheme="minorEastAsia"/>
                <w:color w:val="auto"/>
                <w:sz w:val="24"/>
                <w:szCs w:val="24"/>
                <w:highlight w:val="none"/>
                <w:lang w:eastAsia="zh-CN"/>
              </w:rPr>
              <w:t xml:space="preserve">号）和《关于印发中小企业划型标准规定的通知》（工信部联企业</w:t>
            </w:r>
            <w:r>
              <w:rPr>
                <w:rFonts w:ascii="仿宋" w:hAnsi="仿宋" w:eastAsia="仿宋" w:cstheme="minorEastAsia"/>
                <w:color w:val="auto"/>
                <w:sz w:val="24"/>
                <w:szCs w:val="24"/>
                <w:highlight w:val="none"/>
                <w:lang w:eastAsia="zh-CN"/>
              </w:rPr>
              <w:t xml:space="preserve">[2011]300</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注：监狱企业和残疾人福利性单位等同于小微企业。</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投标人为监狱企业的，提供省级以上监狱管理局、戒毒管理局（含新疆生产建设兵团）出具的属于监狱企业的证明文件原件的扫描件。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具体以《财政部司法部关于政府采购支持监狱企业发展有关问题的通知》（财库〔</w:t>
            </w:r>
            <w:r>
              <w:rPr>
                <w:rFonts w:ascii="仿宋" w:hAnsi="仿宋" w:eastAsia="仿宋" w:cstheme="minorEastAsia"/>
                <w:color w:val="auto"/>
                <w:sz w:val="24"/>
                <w:szCs w:val="24"/>
                <w:highlight w:val="none"/>
                <w:lang w:eastAsia="zh-CN"/>
              </w:rPr>
              <w:t xml:space="preserve">2014</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68</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享受政府采购支持政策的残疾人福利性单位的，提供《残疾人福利性单位声明函》（加盖电子签章，格式见招标文件第七章《投标文件相关格式》）。享受政府采购支持政策的残疾人福利性单位应当同时满足以下条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①安置的残疾人占本单位在职职工人数的比例不低于</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（含</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），并且安置的残疾人人数不少于</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人（含</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②依法与安置的每位残疾人签订了一年以上（含一年）的劳动合同或服务协议；</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③为安置的每位残疾人按月足额缴纳了基本养老保险、基本医疗保险、失业保险、工伤保险和生育保险等社会保险费；</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前款所称残疾人是指法定劳动年龄内，持有《中华人民共和国残疾人证》或者《中华人民共和国残疾军人证（</w:t>
            </w:r>
            <w:r>
              <w:rPr>
                <w:rFonts w:ascii="仿宋" w:hAnsi="仿宋" w:eastAsia="仿宋" w:cstheme="minorEastAsia"/>
                <w:color w:val="auto"/>
                <w:sz w:val="24"/>
                <w:szCs w:val="24"/>
                <w:highlight w:val="none"/>
                <w:lang w:eastAsia="zh-CN"/>
              </w:rPr>
              <w:t xml:space="preserve">1</w:t>
            </w:r>
            <w:r>
              <w:rPr>
                <w:rFonts w:hint="eastAsia" w:ascii="仿宋" w:hAnsi="仿宋" w:eastAsia="仿宋" w:cstheme="minorEastAsia"/>
                <w:color w:val="auto"/>
                <w:sz w:val="24"/>
                <w:szCs w:val="24"/>
                <w:highlight w:val="none"/>
                <w:lang w:eastAsia="zh-CN"/>
              </w:rPr>
              <w:t xml:space="preserve">至</w:t>
            </w:r>
            <w:r>
              <w:rPr>
                <w:rFonts w:ascii="仿宋" w:hAnsi="仿宋" w:eastAsia="仿宋" w:cstheme="minorEastAsia"/>
                <w:color w:val="auto"/>
                <w:sz w:val="24"/>
                <w:szCs w:val="24"/>
                <w:highlight w:val="none"/>
                <w:lang w:eastAsia="zh-CN"/>
              </w:rPr>
              <w:t xml:space="preserve">8</w:t>
            </w:r>
            <w:r>
              <w:rPr>
                <w:rFonts w:hint="eastAsia" w:ascii="仿宋" w:hAnsi="仿宋" w:eastAsia="仿宋" w:cstheme="minorEastAsia"/>
                <w:color w:val="auto"/>
                <w:sz w:val="24"/>
                <w:szCs w:val="24"/>
                <w:highlight w:val="none"/>
                <w:lang w:eastAsia="zh-CN"/>
              </w:rPr>
              <w:t xml:space="preserve">级）》的自然人，包括具有劳动条件和劳动意愿的精神残疾人。在职职工人数是指与残疾人福利性单位建立劳动关系并依法签订劳动合同或者服务协议的雇员人数。</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具体以《三部门联合发布关于促进残疾人就业政府采购政策的通知》（财库〔</w:t>
            </w:r>
            <w:r>
              <w:rPr>
                <w:rFonts w:ascii="仿宋" w:hAnsi="仿宋" w:eastAsia="仿宋" w:cstheme="minorEastAsia"/>
                <w:color w:val="auto"/>
                <w:sz w:val="24"/>
                <w:szCs w:val="24"/>
                <w:highlight w:val="none"/>
                <w:lang w:eastAsia="zh-CN"/>
              </w:rPr>
              <w:t xml:space="preserve">2017</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141</w:t>
            </w:r>
            <w:r>
              <w:rPr>
                <w:rFonts w:hint="eastAsia" w:ascii="仿宋" w:hAnsi="仿宋" w:eastAsia="仿宋" w:cstheme="minorEastAsia"/>
                <w:color w:val="auto"/>
                <w:sz w:val="24"/>
                <w:szCs w:val="24"/>
                <w:highlight w:val="none"/>
                <w:lang w:eastAsia="zh-CN"/>
              </w:rPr>
              <w:t xml:space="preserve">号）规定为准。</w:t>
            </w:r>
            <w:r/>
          </w:p>
          <w:p>
            <w:pPr>
              <w:pStyle w:val="896"/>
              <w:ind w:left="299" w:firstLine="0"/>
              <w:spacing w:line="400" w:lineRule="exact"/>
              <w:rPr>
                <w:rFonts w:hint="eastAsia" w:ascii="仿宋" w:hAnsi="仿宋" w:eastAsia="仿宋" w:cs="宋体"/>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rPr>
              <w:t xml:space="preserve">7、投标人信用信息（要求见“六、投标人的资格条件”中“4、查询及使用供应商信用记录”内容）。</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二、符合条件（（一）-（三）必须提供，否则投标无效）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（一）报价</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auto"/>
                <w:sz w:val="24"/>
                <w:szCs w:val="24"/>
                <w:highlight w:val="none"/>
                <w:lang w:eastAsia="zh-CN"/>
              </w:rPr>
              <w:t xml:space="preserve">1、《开标一览表》（加盖电子签章，</w:t>
            </w:r>
            <w:r>
              <w:rPr>
                <w:rFonts w:hint="eastAsia" w:ascii="仿宋" w:hAnsi="仿宋" w:eastAsia="仿宋" w:cs="宋体"/>
                <w:color w:val="auto"/>
                <w:sz w:val="24"/>
                <w:szCs w:val="24"/>
                <w:highlight w:val="none"/>
                <w:lang w:eastAsia="zh-CN"/>
              </w:rPr>
              <w:t xml:space="preserve">政府采购客户端工具输入报价自动生成）；</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2、《分项价格表》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（二）商务资信</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1、《投标函》</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2、《授权委托书》（提供原件的扫描件；法定代表人参加的应提供 《法定代表人资格证书》原件的扫描件；授权委托人参加的应同时提供《法定代表人资格证书》和《法定代表人授权书》原件的扫描件。格式见招标文件第七章《投标文件相关格式》）</w:t>
            </w:r>
            <w:r>
              <w:rPr>
                <w:rFonts w:hint="eastAsia" w:ascii="仿宋" w:hAnsi="仿宋" w:eastAsia="仿宋" w:cstheme="minorEastAsia"/>
                <w:color w:val="auto"/>
                <w:sz w:val="24"/>
                <w:szCs w:val="24"/>
                <w:highlight w:val="none"/>
                <w:lang w:eastAsia="zh-CN"/>
              </w:rPr>
              <w:t xml:space="preserve">。</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（三）技术响应</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1、《偏离表》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pStyle w:val="807"/>
              <w:ind w:left="0"/>
              <w:rPr>
                <w:rFonts w:hint="eastAsia" w:ascii="仿宋" w:hAnsi="仿宋" w:eastAsia="仿宋"/>
                <w:color w:val="auto"/>
                <w:highlight w:val="none"/>
                <w:lang w:eastAsia="zh-CN"/>
              </w:rPr>
            </w:pPr>
            <w:r>
              <w:rPr>
                <w:rFonts w:hint="eastAsia" w:ascii="仿宋" w:hAnsi="仿宋" w:eastAsia="仿宋" w:cs="宋体"/>
                <w:color w:val="auto"/>
                <w:sz w:val="24"/>
                <w:szCs w:val="24"/>
                <w:highlight w:val="none"/>
                <w:lang w:eastAsia="zh-CN"/>
              </w:rPr>
              <w:t xml:space="preserve">（四）投标人认为需提供的编制文件所需的其他材料。</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所投产品的环境标志产品认证证书原件的扫描件（如有）。</w:t>
            </w:r>
            <w:r>
              <w:rPr>
                <w:rFonts w:hint="eastAsia" w:ascii="仿宋" w:hAnsi="仿宋" w:eastAsia="仿宋"/>
                <w:b/>
                <w:bCs/>
                <w:color w:val="auto"/>
                <w:spacing w:val="6"/>
                <w:sz w:val="24"/>
                <w:szCs w:val="24"/>
                <w:highlight w:val="none"/>
                <w:lang w:eastAsia="zh-CN"/>
              </w:rPr>
              <w:t xml:space="preserve">投标人如需上传本项资料，请上传至“电子投标文件格式-符合条件-</w:t>
            </w:r>
            <w:r>
              <w:rPr>
                <w:rFonts w:ascii="仿宋" w:hAnsi="仿宋" w:eastAsia="仿宋"/>
                <w:b/>
                <w:bCs/>
                <w:color w:val="auto"/>
                <w:spacing w:val="6"/>
                <w:sz w:val="24"/>
                <w:szCs w:val="24"/>
                <w:highlight w:val="none"/>
                <w:lang w:eastAsia="zh-CN"/>
              </w:rPr>
              <w:t xml:space="preserve">投标人认为需提供的编制文件所需的其他材料</w:t>
            </w:r>
            <w:r>
              <w:rPr>
                <w:rFonts w:hint="eastAsia" w:ascii="仿宋" w:hAnsi="仿宋" w:eastAsia="仿宋"/>
                <w:b/>
                <w:bCs/>
                <w:color w:val="auto"/>
                <w:spacing w:val="6"/>
                <w:sz w:val="24"/>
                <w:szCs w:val="24"/>
                <w:highlight w:val="none"/>
                <w:lang w:eastAsia="zh-CN"/>
              </w:rPr>
              <w:t xml:space="preserve">”版块中。</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注：</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after="0" w:line="440" w:lineRule="exac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所投产品的节能产品认证证书原件的扫描件（如有）。</w:t>
            </w:r>
            <w:r>
              <w:rPr>
                <w:rFonts w:hint="eastAsia" w:ascii="仿宋" w:hAnsi="仿宋" w:eastAsia="仿宋"/>
                <w:b/>
                <w:bCs/>
                <w:color w:val="auto"/>
                <w:spacing w:val="6"/>
                <w:sz w:val="24"/>
                <w:szCs w:val="24"/>
                <w:highlight w:val="none"/>
                <w:lang w:eastAsia="zh-CN"/>
              </w:rPr>
              <w:t xml:space="preserve">投标人如需上传本项资料，请上传至“电子投标文件格式-符合条件-</w:t>
            </w:r>
            <w:r>
              <w:rPr>
                <w:rFonts w:ascii="仿宋" w:hAnsi="仿宋" w:eastAsia="仿宋"/>
                <w:b/>
                <w:bCs/>
                <w:color w:val="auto"/>
                <w:spacing w:val="6"/>
                <w:sz w:val="24"/>
                <w:szCs w:val="24"/>
                <w:highlight w:val="none"/>
                <w:lang w:eastAsia="zh-CN"/>
              </w:rPr>
              <w:t xml:space="preserve">投标人认为需提供的编制文件所需的其他材料</w:t>
            </w:r>
            <w:r>
              <w:rPr>
                <w:rFonts w:hint="eastAsia" w:ascii="仿宋" w:hAnsi="仿宋" w:eastAsia="仿宋"/>
                <w:b/>
                <w:bCs/>
                <w:color w:val="auto"/>
                <w:spacing w:val="6"/>
                <w:sz w:val="24"/>
                <w:szCs w:val="24"/>
                <w:highlight w:val="none"/>
                <w:lang w:eastAsia="zh-CN"/>
              </w:rPr>
              <w:t xml:space="preserve">”版块中。</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注：</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440" w:lineRule="exact"/>
              <w:rPr>
                <w:rFonts w:hint="eastAsia"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440" w:lineRule="exact"/>
              <w:rPr>
                <w:rFonts w:hint="eastAsia" w:ascii="仿宋" w:hAnsi="仿宋" w:eastAsia="仿宋"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三、综合评审评分项</w:t>
            </w:r>
            <w:r/>
          </w:p>
          <w:p>
            <w:pPr>
              <w:ind w:firstLine="480"/>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具体详见招标文件第四章《评标标准》中《评分细则》和第六章《采购需求》。</w:t>
            </w:r>
            <w:r/>
          </w:p>
          <w:p>
            <w:pPr>
              <w:spacing w:line="4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四、其他部分</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（一）投标人《关于符合本国产品标准的声明函》（填写完整，加盖公章，格式见招标文件第七章《投标文件相关格式》）（请填写完整，如不填写完整或未按要求填写的，视为非本国产品）。</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1、本国产品应当符合以下条件：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（一）在中国境内生产</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产品应当在中国境内生产，即在中华人民共和国关境内实现从原材料、组件到产品的属性改变。</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1.为确保产品在运输或者储存期间保持某种状态而进行的操作；</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2.为产品运输或者销售进行的包装或者展示；</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3.在产品或者其包装上粘贴或者印刷品牌、标志、标识以及其他用于区别的标记；</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4.简单的上漆、磨光和分装；</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5.其他不属于属性改变的情形。</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（二）在中国境内生产的组件成本占比达到规定比例</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产品在中国境内生产的组件成本占比应当达到规定比例，计算公式为：</w:t>
            </w:r>
            <w:r/>
          </w:p>
          <w:p>
            <w:pPr>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0" b="9525"/>
                      <wp:docPr id="2"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图片1"/>
                              <pic:cNvPicPr>
                                <a:picLocks noChangeAspect="1"/>
                              </pic:cNvPicPr>
                              <pic:nvPr/>
                            </pic:nvPicPr>
                            <pic:blipFill>
                              <a:blip r:embed="rId24"/>
                              <a:stretch/>
                            </pic:blipFill>
                            <pic:spPr bwMode="auto">
                              <a:xfrm>
                                <a:off x="0" y="0"/>
                                <a:ext cx="3467100" cy="52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3.0pt;height:41.2pt;mso-wrap-distance-left:0.0pt;mso-wrap-distance-top:0.0pt;mso-wrap-distance-right:0.0pt;mso-wrap-distance-bottom:0.0pt;" stroked="false">
                      <v:path textboxrect="0,0,0,0"/>
                      <v:imagedata r:id="rId24" o:title=""/>
                    </v:shape>
                  </w:pict>
                </mc:Fallback>
              </mc:AlternateConten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（三）特定产品的关键组件、关键工序符合相关要求</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2、本国产品标准的适用范围</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3、对本国产品的支持政策</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具体以《国务院办公厅关于在政府采购中实施本国产品标准及相关政策的通知》（国办发〔2025〕34号）规定为准。</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注：中国境内生产的组件成本核算基本规则</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三、产品总成本和组件成本以相关会计核算数据、采购合同、进货记录等为基础进行计算。</w:t>
            </w:r>
            <w:r/>
          </w:p>
          <w:p>
            <w:pPr>
              <w:spacing w:line="400" w:lineRule="exact"/>
              <w:rPr>
                <w:color w:val="auto"/>
                <w:highlight w:val="none"/>
                <w:lang w:eastAsia="zh-CN"/>
              </w:rPr>
            </w:pPr>
            <w:r>
              <w:rPr>
                <w:rFonts w:hint="eastAsia" w:ascii="仿宋" w:hAnsi="仿宋" w:eastAsia="仿宋" w:cs="宋体"/>
                <w:color w:val="auto"/>
                <w:sz w:val="24"/>
                <w:szCs w:val="24"/>
                <w:highlight w:val="none"/>
                <w:lang w:eastAsia="zh-CN"/>
              </w:rPr>
              <w:t xml:space="preserve">四、需要对成本核算规则予以进一步明确的其他有关事项，由财政部会同有关部门另行规定。</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注：</w:t>
            </w:r>
            <w:r/>
          </w:p>
          <w:p>
            <w:pPr>
              <w:jc w:val="both"/>
              <w:spacing w:after="0" w:line="440" w:lineRule="exac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1.投标人应对以上文件的合法性、真实性负责。</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商务条件见：</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一、本文件第四章《评标标准》中《评分细则》。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ind w:firstLine="482"/>
              <w:jc w:val="both"/>
              <w:spacing w:line="400" w:lineRule="exact"/>
              <w:widowControl w:val="off"/>
              <w:rPr>
                <w:rFonts w:hint="eastAsia" w:ascii="仿宋" w:hAnsi="仿宋" w:eastAsia="仿宋"/>
                <w:color w:val="auto"/>
                <w:highlight w:val="none"/>
                <w:lang w:eastAsia="zh-CN"/>
              </w:rPr>
            </w:pPr>
            <w:r>
              <w:rPr>
                <w:rFonts w:hint="eastAsia" w:ascii="仿宋" w:hAnsi="仿宋" w:eastAsia="仿宋" w:cs="仿宋"/>
                <w:b/>
                <w:color w:val="auto"/>
                <w:sz w:val="24"/>
                <w:szCs w:val="24"/>
                <w:highlight w:val="none"/>
                <w:lang w:eastAsia="zh-CN"/>
              </w:rPr>
              <w:t xml:space="preserve">本项目预算为</w:t>
            </w:r>
            <w:r>
              <w:rPr>
                <w:rFonts w:hint="eastAsia" w:ascii="仿宋" w:hAnsi="仿宋" w:eastAsia="仿宋" w:cs="仿宋"/>
                <w:b/>
                <w:color w:val="auto"/>
                <w:sz w:val="24"/>
                <w:szCs w:val="24"/>
                <w:highlight w:val="none"/>
                <w:lang w:val="en-US" w:eastAsia="zh-CN"/>
              </w:rPr>
              <w:t xml:space="preserve">400万元，</w:t>
            </w:r>
            <w:r>
              <w:rPr>
                <w:rFonts w:hint="eastAsia" w:ascii="仿宋" w:hAnsi="仿宋" w:eastAsia="仿宋" w:cs="宋体"/>
                <w:b/>
                <w:bCs/>
                <w:color w:val="auto"/>
                <w:sz w:val="24"/>
                <w:szCs w:val="24"/>
                <w:highlight w:val="none"/>
                <w:lang w:eastAsia="zh-CN"/>
              </w:rPr>
              <w:t xml:space="preserve">不接受超过</w:t>
            </w:r>
            <w:r>
              <w:rPr>
                <w:rFonts w:hint="eastAsia" w:ascii="仿宋" w:hAnsi="仿宋" w:eastAsia="仿宋" w:cs="宋体"/>
                <w:b/>
                <w:bCs/>
                <w:color w:val="auto"/>
                <w:sz w:val="24"/>
                <w:szCs w:val="24"/>
                <w:highlight w:val="none"/>
                <w:u w:val="single"/>
                <w:lang w:eastAsia="zh-CN"/>
              </w:rPr>
              <w:t xml:space="preserve">336.04万元</w:t>
            </w:r>
            <w:r>
              <w:rPr>
                <w:rFonts w:hint="eastAsia" w:ascii="仿宋" w:hAnsi="仿宋" w:eastAsia="仿宋" w:cs="宋体"/>
                <w:b/>
                <w:bCs/>
                <w:color w:val="auto"/>
                <w:sz w:val="24"/>
                <w:szCs w:val="24"/>
                <w:highlight w:val="none"/>
                <w:lang w:eastAsia="zh-CN"/>
              </w:rPr>
              <w:t xml:space="preserve">人民币（最高限价）的投标报价</w:t>
            </w:r>
            <w:r>
              <w:rPr>
                <w:rFonts w:hint="eastAsia" w:ascii="仿宋" w:hAnsi="仿宋" w:eastAsia="仿宋" w:cs="宋体"/>
                <w:b/>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投标报价包括但不限于设备主材费、辅助材料费、包装费、运费、保险费、装卸费、</w:t>
            </w:r>
            <w:r>
              <w:rPr>
                <w:rFonts w:hint="eastAsia" w:ascii="仿宋" w:hAnsi="仿宋" w:eastAsia="仿宋" w:cs="仿宋"/>
                <w:color w:val="auto"/>
                <w:sz w:val="24"/>
                <w:szCs w:val="24"/>
                <w:highlight w:val="none"/>
                <w:lang w:eastAsia="zh-CN"/>
              </w:rPr>
              <w:t xml:space="preserve">指导安装费</w:t>
            </w:r>
            <w:r>
              <w:rPr>
                <w:rFonts w:hint="eastAsia" w:ascii="仿宋" w:hAnsi="仿宋" w:eastAsia="仿宋" w:cs="仿宋"/>
                <w:color w:val="auto"/>
                <w:sz w:val="24"/>
                <w:szCs w:val="24"/>
                <w:highlight w:val="none"/>
                <w:lang w:eastAsia="zh-CN"/>
              </w:rPr>
              <w:t xml:space="preserve">、安装用所有辅材费、检测、培训、利润、税金等验收合格交付使用之前及保修期内保修服务与备用物件等以及配套器材等所有其他有关各项的含税费用</w:t>
            </w:r>
            <w:r>
              <w:rPr>
                <w:rStyle w:val="847"/>
                <w:rFonts w:hint="eastAsia" w:eastAsia="宋体"/>
                <w:color w:val="auto"/>
                <w:highlight w:val="none"/>
                <w:lang w:eastAsia="zh-CN"/>
              </w:rPr>
              <w:t xml:space="preserve">，</w:t>
            </w:r>
            <w:r>
              <w:rPr>
                <w:rFonts w:hint="eastAsia" w:ascii="仿宋" w:hAnsi="仿宋" w:eastAsia="仿宋" w:cs="仿宋"/>
                <w:color w:val="auto"/>
                <w:sz w:val="24"/>
                <w:szCs w:val="24"/>
                <w:highlight w:val="none"/>
                <w:lang w:eastAsia="zh-CN"/>
              </w:rPr>
              <w:t xml:space="preserve">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w:t>
            </w:r>
            <w:r>
              <w:rPr>
                <w:rFonts w:hint="eastAsia" w:ascii="仿宋" w:hAnsi="仿宋" w:eastAsia="仿宋" w:cs="宋体"/>
                <w:color w:val="auto"/>
                <w:sz w:val="24"/>
                <w:szCs w:val="24"/>
                <w:highlight w:val="none"/>
                <w:lang w:eastAsia="zh-CN"/>
              </w:rPr>
              <w:t xml:space="preserve">五</w:t>
            </w:r>
            <w:r>
              <w:rPr>
                <w:rFonts w:hint="eastAsia" w:ascii="仿宋" w:hAnsi="仿宋" w:eastAsia="仿宋"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投标人应当通过“苏采云”系统提交数据电文形式的投标文件（即电子投标）。</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特别说明：通过“苏采云”系统提交政府采购客户端工具导出加密的投标文件（后缀名为zip）。</w:t>
            </w:r>
            <w:r>
              <w:rPr>
                <w:rFonts w:hint="eastAsia" w:ascii="仿宋" w:hAnsi="仿宋" w:eastAsia="仿宋" w:cs="宋体"/>
                <w:b/>
                <w:bCs/>
                <w:color w:val="auto"/>
                <w:sz w:val="24"/>
                <w:szCs w:val="24"/>
                <w:highlight w:val="none"/>
                <w:lang w:eastAsia="zh-CN"/>
              </w:rPr>
              <w:t xml:space="preserve">投标文件不得超过150M！</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线上投标文件的密封、签署、盖章要求：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一、投标文件的密封（加密）要求：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二、投标文件的签署要求：见招标文件第七章《投标文件相关格式》。</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说明：投标人应用CA数字证书以及自备的能够正常运行及登录“苏采云”系统的电脑，在达到开标时间后，使用CA数字证书解密各自投标文件。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投标文件的提交与接收：</w:t>
            </w:r>
            <w:r>
              <w:rPr>
                <w:rFonts w:hint="eastAsia" w:ascii="宋体" w:hAnsi="宋体" w:eastAsia="宋体" w:cs="宋体"/>
                <w:color w:val="auto"/>
                <w:sz w:val="24"/>
                <w:szCs w:val="24"/>
                <w:highlight w:val="none"/>
                <w:lang w:eastAsia="zh-CN"/>
              </w:rPr>
              <w:t xml:space="preserve"> </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1.投标截止时间：</w:t>
            </w:r>
            <w:r>
              <w:rPr>
                <w:rFonts w:hint="eastAsia" w:ascii="仿宋" w:hAnsi="仿宋" w:eastAsia="仿宋" w:cs="宋体"/>
                <w:color w:val="auto"/>
                <w:sz w:val="24"/>
                <w:szCs w:val="24"/>
                <w:highlight w:val="none"/>
                <w:lang w:eastAsia="zh-CN"/>
              </w:rPr>
              <w:t xml:space="preserve">2026年8月10日</w:t>
            </w:r>
            <w:r>
              <w:rPr>
                <w:rFonts w:hint="eastAsia" w:ascii="仿宋" w:hAnsi="仿宋" w:eastAsia="仿宋" w:cs="宋体"/>
                <w:color w:val="auto"/>
                <w:sz w:val="24"/>
                <w:szCs w:val="24"/>
                <w:highlight w:val="none"/>
                <w:lang w:eastAsia="zh-CN"/>
              </w:rPr>
              <w:t xml:space="preserve">北京时间09时30分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开标时间及地点：</w:t>
            </w:r>
            <w:r/>
          </w:p>
          <w:p>
            <w:p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仿宋" w:hAnsi="仿宋" w:eastAsia="仿宋" w:cs="宋体"/>
                <w:b/>
                <w:color w:val="auto"/>
                <w:sz w:val="24"/>
                <w:szCs w:val="24"/>
                <w:highlight w:val="none"/>
                <w:lang w:eastAsia="zh-CN"/>
              </w:rPr>
              <w:t xml:space="preserve">开标时间</w:t>
            </w:r>
            <w:r>
              <w:rPr>
                <w:rFonts w:hint="eastAsia" w:ascii="仿宋" w:hAnsi="仿宋" w:eastAsia="仿宋" w:cs="宋体"/>
                <w:b/>
                <w:bCs/>
                <w:color w:val="auto"/>
                <w:sz w:val="24"/>
                <w:szCs w:val="24"/>
                <w:highlight w:val="none"/>
                <w:lang w:eastAsia="zh-CN"/>
              </w:rPr>
              <w:t xml:space="preserve">：</w:t>
            </w:r>
            <w:r>
              <w:rPr>
                <w:rFonts w:hint="eastAsia" w:ascii="仿宋" w:hAnsi="仿宋" w:eastAsia="仿宋" w:cs="宋体"/>
                <w:b/>
                <w:bCs/>
                <w:color w:val="auto"/>
                <w:sz w:val="24"/>
                <w:szCs w:val="24"/>
                <w:highlight w:val="none"/>
                <w:lang w:eastAsia="zh-CN"/>
              </w:rPr>
              <w:t xml:space="preserve">2026年8月10日</w:t>
            </w:r>
            <w:r>
              <w:rPr>
                <w:rFonts w:hint="eastAsia" w:ascii="仿宋" w:hAnsi="仿宋" w:eastAsia="仿宋" w:cs="宋体"/>
                <w:b/>
                <w:bCs/>
                <w:color w:val="auto"/>
                <w:sz w:val="24"/>
                <w:szCs w:val="24"/>
                <w:highlight w:val="none"/>
                <w:lang w:eastAsia="zh-CN"/>
              </w:rPr>
              <w:t xml:space="preserve">北京</w:t>
            </w:r>
            <w:r>
              <w:rPr>
                <w:rFonts w:hint="eastAsia" w:ascii="仿宋" w:hAnsi="仿宋" w:eastAsia="仿宋" w:cs="宋体"/>
                <w:b/>
                <w:bCs/>
                <w:color w:val="auto"/>
                <w:sz w:val="24"/>
                <w:szCs w:val="24"/>
                <w:highlight w:val="none"/>
                <w:lang w:eastAsia="zh-CN"/>
              </w:rPr>
              <w:t xml:space="preserve">时间09时30分。  </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2.线上地点：“苏采云”系统（网址：http://jszfcg.jsczt.cn/）“开标大厅”或进入徐州政府采购网（网址：http://czj.xz.gov.cn/Home/HomeIndex）--业务工作--用户登录，点击“苏采云”进入系统“开标大厅”。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评标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一、推荐中标候选供应商名单。中标候选供应商数量应当根据采购需要确定，但必须按顺序排列中标候选供应商。</w:t>
            </w:r>
            <w:r/>
          </w:p>
          <w:p>
            <w:pPr>
              <w:pStyle w:val="1067"/>
              <w:spacing w:line="440" w:lineRule="exact"/>
              <w:rPr>
                <w:rFonts w:hint="eastAsia"/>
                <w:color w:val="auto"/>
                <w:highlight w:val="none"/>
              </w:rPr>
            </w:pPr>
            <w:r>
              <w:rPr>
                <w:rFonts w:hint="eastAsia" w:cs="宋体"/>
                <w:color w:val="auto"/>
                <w:sz w:val="24"/>
                <w:szCs w:val="24"/>
                <w:highlight w:val="none"/>
              </w:rPr>
              <w:t xml:space="preserve">二、采用综合评分法的，按评审后得分由高到低顺序排列。得分相同的，按投标报价由低到高顺序排列。得分且投标报价相同的，按项目实施方案得分顺序排列。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ind w:right="-229"/>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（二十九）</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采购人与中标、成交供应商应当在中标、成交通知书发出之日起30日内，按照采购文件确定的事项签订政府采购合同。</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pct"/>
            <w:textDirection w:val="lrTb"/>
            <w:noWrap/>
          </w:tcPr>
          <w:p>
            <w:pPr>
              <w:ind w:right="-229"/>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7" w:type="pct"/>
            <w:vAlign w:val="center"/>
            <w:textDirection w:val="lrTb"/>
            <w:noWrap/>
          </w:tcPr>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履约保证金：具体详见合同条款。</w:t>
            </w:r>
            <w:r/>
          </w:p>
        </w:tc>
      </w:tr>
      <w:tr>
        <w:trPr>
          <w:trHeight w:val="47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5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(四十)</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供应商在法定质疑期内一次性提出针对同一采购程序环节的质疑。</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质疑接收人：刘朋   联系电话：0516-83990657</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地址：</w:t>
            </w:r>
            <w:r>
              <w:rPr>
                <w:rFonts w:hint="eastAsia" w:ascii="仿宋" w:hAnsi="仿宋" w:eastAsia="仿宋" w:cs="宋体"/>
                <w:color w:val="auto"/>
                <w:sz w:val="24"/>
                <w:highlight w:val="none"/>
                <w:lang w:eastAsia="zh-CN"/>
              </w:rPr>
              <w:t xml:space="preserve">江苏省徐州市泉山区矿大科技园A2楼南四楼</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2" w:type="pct"/>
            <w:vMerge w:val="restar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中标人在收到中标通知书时，须向代理机构提供纸质版响应文件一正二副及电子响应文件《开标一览表》和《分项价格表》的数据文件（WORD格式）。</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52" w:type="pct"/>
            <w:vMerge w:val="continue"/>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14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bCs/>
                <w:color w:val="auto"/>
                <w:sz w:val="24"/>
                <w:szCs w:val="24"/>
                <w:highlight w:val="none"/>
                <w:lang w:eastAsia="zh-CN"/>
              </w:rPr>
              <w:t xml:space="preserve">特别提醒：文件中如需“</w:t>
            </w:r>
            <w:r>
              <w:rPr>
                <w:rFonts w:hint="eastAsia" w:ascii="仿宋" w:hAnsi="仿宋" w:eastAsia="仿宋" w:cs="宋体"/>
                <w:b/>
                <w:bCs/>
                <w:color w:val="auto"/>
                <w:sz w:val="24"/>
                <w:szCs w:val="24"/>
                <w:highlight w:val="none"/>
                <w:lang w:eastAsia="zh-CN"/>
              </w:rPr>
              <w:t xml:space="preserve">法定代表人或授权委托人</w:t>
            </w:r>
            <w:r>
              <w:rPr>
                <w:rFonts w:ascii="仿宋" w:hAnsi="仿宋" w:eastAsia="仿宋" w:cs="宋体"/>
                <w:b/>
                <w:bCs/>
                <w:color w:val="auto"/>
                <w:sz w:val="24"/>
                <w:szCs w:val="24"/>
                <w:highlight w:val="none"/>
                <w:lang w:eastAsia="zh-CN"/>
              </w:rPr>
              <w:t xml:space="preserve">签字或盖章”，</w:t>
            </w:r>
            <w:r>
              <w:rPr>
                <w:rFonts w:hint="eastAsia" w:ascii="仿宋" w:hAnsi="仿宋" w:eastAsia="仿宋" w:cs="宋体"/>
                <w:b/>
                <w:bCs/>
                <w:color w:val="auto"/>
                <w:sz w:val="24"/>
                <w:szCs w:val="24"/>
                <w:highlight w:val="none"/>
                <w:lang w:eastAsia="zh-CN"/>
              </w:rPr>
              <w:t xml:space="preserve">投标人</w:t>
            </w:r>
            <w:r>
              <w:rPr>
                <w:rFonts w:ascii="仿宋" w:hAnsi="仿宋" w:eastAsia="仿宋" w:cs="宋体"/>
                <w:b/>
                <w:bCs/>
                <w:color w:val="auto"/>
                <w:sz w:val="24"/>
                <w:szCs w:val="24"/>
                <w:highlight w:val="none"/>
                <w:lang w:eastAsia="zh-CN"/>
              </w:rPr>
              <w:t xml:space="preserve">可打印成文档，签字或盖章后再扫描上传，最后再电子签章。</w:t>
            </w:r>
            <w:r/>
          </w:p>
        </w:tc>
      </w:tr>
    </w:tbl>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outlineLvl w:val="0"/>
      </w:pPr>
      <w:r>
        <w:rPr>
          <w:rFonts w:hint="eastAsia"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t xml:space="preserve">附件1：徐州市政府采购业务代理服务费行业指导价格标准</w:t>
      </w:r>
      <w:r/>
    </w:p>
    <w:tbl>
      <w:tblPr>
        <w:tblStyle w:val="805"/>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45"/>
        <w:gridCol w:w="2453"/>
      </w:tblGrid>
      <w:tr>
        <w:trPr>
          <w:tblCellSpacing w:w="0" w:type="dxa"/>
          <w:trHeight w:val="717"/>
        </w:trPr>
        <w:tc>
          <w:tcPr>
            <w:tcW w:w="627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中标或者成交金额</w:t>
            </w:r>
            <w:r/>
          </w:p>
        </w:tc>
        <w:tc>
          <w:tcPr>
            <w:tcW w:w="258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费率</w:t>
            </w:r>
            <w:r/>
          </w:p>
        </w:tc>
      </w:tr>
      <w:tr>
        <w:trPr>
          <w:tblCellSpacing w:w="0" w:type="dxa"/>
          <w:trHeight w:val="240"/>
        </w:trPr>
        <w:tc>
          <w:tcPr>
            <w:tcW w:w="6270" w:type="dxa"/>
            <w:vAlign w:val="center"/>
            <w:textDirection w:val="lrTb"/>
            <w:noWrap w:val="false"/>
          </w:tcPr>
          <w:p>
            <w:pPr>
              <w:spacing w:before="15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最低收费金额(每个委托项目)</w:t>
            </w:r>
            <w:r/>
          </w:p>
        </w:tc>
        <w:tc>
          <w:tcPr>
            <w:tcW w:w="2580" w:type="dxa"/>
            <w:vAlign w:val="center"/>
            <w:textDirection w:val="lrTb"/>
            <w:noWrap w:val="false"/>
          </w:tcPr>
          <w:p>
            <w:pPr>
              <w:jc w:val="cente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5000元</w:t>
            </w:r>
            <w:r/>
          </w:p>
        </w:tc>
      </w:tr>
      <w:tr>
        <w:trPr>
          <w:tblCellSpacing w:w="0" w:type="dxa"/>
          <w:trHeight w:val="240"/>
        </w:trPr>
        <w:tc>
          <w:tcPr>
            <w:tcW w:w="6270" w:type="dxa"/>
            <w:vAlign w:val="center"/>
            <w:textDirection w:val="lrTb"/>
            <w:noWrap w:val="false"/>
          </w:tcPr>
          <w:p>
            <w:pP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50万元以下(含50万元)</w:t>
            </w:r>
            <w:r/>
          </w:p>
        </w:tc>
        <w:tc>
          <w:tcPr>
            <w:tcW w:w="2580" w:type="dxa"/>
            <w:vAlign w:val="center"/>
            <w:textDirection w:val="lrTb"/>
            <w:noWrap w:val="false"/>
          </w:tcPr>
          <w:p>
            <w:pPr>
              <w:jc w:val="center"/>
              <w:spacing w:before="236"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1.6%</w:t>
            </w:r>
            <w:r/>
          </w:p>
        </w:tc>
      </w:tr>
      <w:tr>
        <w:trPr>
          <w:tblCellSpacing w:w="0" w:type="dxa"/>
          <w:trHeight w:val="240"/>
        </w:trPr>
        <w:tc>
          <w:tcPr>
            <w:tcW w:w="6270" w:type="dxa"/>
            <w:vAlign w:val="center"/>
            <w:textDirection w:val="lrTb"/>
            <w:noWrap w:val="false"/>
          </w:tcPr>
          <w:p>
            <w:pPr>
              <w:spacing w:before="156"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50-400万元(含400万元)</w:t>
            </w:r>
            <w:r/>
          </w:p>
        </w:tc>
        <w:tc>
          <w:tcPr>
            <w:tcW w:w="2580" w:type="dxa"/>
            <w:vAlign w:val="center"/>
            <w:textDirection w:val="lrTb"/>
            <w:noWrap w:val="false"/>
          </w:tcPr>
          <w:p>
            <w:pPr>
              <w:jc w:val="center"/>
              <w:spacing w:before="237"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1.5%</w:t>
            </w:r>
            <w:r/>
          </w:p>
        </w:tc>
      </w:tr>
      <w:tr>
        <w:trPr>
          <w:tblCellSpacing w:w="0" w:type="dxa"/>
          <w:trHeight w:val="480"/>
        </w:trPr>
        <w:tc>
          <w:tcPr>
            <w:tcW w:w="6270" w:type="dxa"/>
            <w:vAlign w:val="center"/>
            <w:textDirection w:val="lrTb"/>
            <w:noWrap w:val="false"/>
          </w:tcPr>
          <w:p>
            <w:pPr>
              <w:spacing w:before="167"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400-1000万元(含1000万元)</w:t>
            </w:r>
            <w:r/>
          </w:p>
        </w:tc>
        <w:tc>
          <w:tcPr>
            <w:tcW w:w="2580" w:type="dxa"/>
            <w:vAlign w:val="center"/>
            <w:textDirection w:val="lrTb"/>
            <w:noWrap w:val="false"/>
          </w:tcPr>
          <w:p>
            <w:pPr>
              <w:jc w:val="center"/>
              <w:spacing w:before="248"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w:t>
            </w:r>
            <w:r/>
          </w:p>
        </w:tc>
      </w:tr>
      <w:tr>
        <w:trPr>
          <w:tblCellSpacing w:w="0" w:type="dxa"/>
          <w:trHeight w:val="480"/>
        </w:trPr>
        <w:tc>
          <w:tcPr>
            <w:tcW w:w="6270" w:type="dxa"/>
            <w:vAlign w:val="center"/>
            <w:textDirection w:val="lrTb"/>
            <w:noWrap w:val="false"/>
          </w:tcPr>
          <w:p>
            <w:pPr>
              <w:spacing w:before="158"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1000-5000万元(含5000万元)</w:t>
            </w:r>
            <w:r/>
          </w:p>
        </w:tc>
        <w:tc>
          <w:tcPr>
            <w:tcW w:w="2580" w:type="dxa"/>
            <w:vAlign w:val="center"/>
            <w:textDirection w:val="lrTb"/>
            <w:noWrap w:val="false"/>
          </w:tcPr>
          <w:p>
            <w:pPr>
              <w:jc w:val="center"/>
              <w:spacing w:before="240"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0.8%</w:t>
            </w:r>
            <w:r/>
          </w:p>
        </w:tc>
      </w:tr>
      <w:tr>
        <w:trPr>
          <w:tblCellSpacing w:w="0" w:type="dxa"/>
          <w:trHeight w:val="480"/>
        </w:trPr>
        <w:tc>
          <w:tcPr>
            <w:tcW w:w="6270" w:type="dxa"/>
            <w:vAlign w:val="center"/>
            <w:textDirection w:val="lrTb"/>
            <w:noWrap w:val="false"/>
          </w:tcPr>
          <w:p>
            <w:pPr>
              <w:spacing w:before="159"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5000-1亿元(含1亿元)</w:t>
            </w:r>
            <w:r/>
          </w:p>
        </w:tc>
        <w:tc>
          <w:tcPr>
            <w:tcW w:w="2580" w:type="dxa"/>
            <w:vAlign w:val="center"/>
            <w:textDirection w:val="lrTb"/>
            <w:noWrap w:val="false"/>
          </w:tcPr>
          <w:p>
            <w:pPr>
              <w:jc w:val="center"/>
              <w:spacing w:before="241"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0.25%</w:t>
            </w:r>
            <w:r/>
          </w:p>
        </w:tc>
      </w:tr>
      <w:tr>
        <w:trPr>
          <w:tblCellSpacing w:w="0" w:type="dxa"/>
          <w:trHeight w:val="480"/>
        </w:trPr>
        <w:tc>
          <w:tcPr>
            <w:tcW w:w="6270" w:type="dxa"/>
            <w:vAlign w:val="center"/>
            <w:textDirection w:val="lrTb"/>
            <w:noWrap w:val="false"/>
          </w:tcPr>
          <w:p>
            <w:pPr>
              <w:spacing w:before="170"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1-10亿元(含10亿元)</w:t>
            </w:r>
            <w:r/>
          </w:p>
        </w:tc>
        <w:tc>
          <w:tcPr>
            <w:tcW w:w="2580" w:type="dxa"/>
            <w:vAlign w:val="center"/>
            <w:textDirection w:val="lrTb"/>
            <w:noWrap w:val="false"/>
          </w:tcPr>
          <w:p>
            <w:pPr>
              <w:jc w:val="center"/>
              <w:spacing w:before="252"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0.05%</w:t>
            </w:r>
            <w:r/>
          </w:p>
        </w:tc>
      </w:tr>
      <w:tr>
        <w:trPr>
          <w:tblCellSpacing w:w="0" w:type="dxa"/>
          <w:trHeight w:val="480"/>
        </w:trPr>
        <w:tc>
          <w:tcPr>
            <w:tcW w:w="6270" w:type="dxa"/>
            <w:vAlign w:val="center"/>
            <w:textDirection w:val="lrTb"/>
            <w:noWrap w:val="false"/>
          </w:tcPr>
          <w:p>
            <w:pPr>
              <w:spacing w:before="162"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10-50亿元(含50亿元)</w:t>
            </w:r>
            <w:r/>
          </w:p>
        </w:tc>
        <w:tc>
          <w:tcPr>
            <w:tcW w:w="2580" w:type="dxa"/>
            <w:vAlign w:val="center"/>
            <w:textDirection w:val="lrTb"/>
            <w:noWrap w:val="false"/>
          </w:tcPr>
          <w:p>
            <w:pPr>
              <w:jc w:val="center"/>
              <w:spacing w:before="243"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0.01%</w:t>
            </w:r>
            <w:r/>
          </w:p>
        </w:tc>
      </w:tr>
      <w:tr>
        <w:trPr>
          <w:tblCellSpacing w:w="0" w:type="dxa"/>
          <w:trHeight w:val="480"/>
        </w:trPr>
        <w:tc>
          <w:tcPr>
            <w:tcW w:w="6270" w:type="dxa"/>
            <w:vAlign w:val="center"/>
            <w:textDirection w:val="lrTb"/>
            <w:noWrap w:val="false"/>
          </w:tcPr>
          <w:p>
            <w:pPr>
              <w:spacing w:before="16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50亿元以上</w:t>
            </w:r>
            <w:r/>
          </w:p>
        </w:tc>
        <w:tc>
          <w:tcPr>
            <w:tcW w:w="2580" w:type="dxa"/>
            <w:vAlign w:val="center"/>
            <w:textDirection w:val="lrTb"/>
            <w:noWrap w:val="false"/>
          </w:tcPr>
          <w:p>
            <w:pPr>
              <w:jc w:val="center"/>
              <w:spacing w:before="245"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0.005%</w:t>
            </w:r>
            <w:r/>
          </w:p>
        </w:tc>
      </w:tr>
    </w:tbl>
    <w:p>
      <w:pPr>
        <w:spacing w:after="0" w:line="0" w:lineRule="atLeast"/>
        <w:rPr>
          <w:rFonts w:hint="eastAsia" w:ascii="仿宋" w:hAnsi="仿宋" w:eastAsia="仿宋" w:cs="仿宋"/>
          <w:color w:val="auto"/>
          <w:sz w:val="24"/>
          <w:szCs w:val="24"/>
          <w:highlight w:val="none"/>
          <w:lang w:eastAsia="zh-CN"/>
        </w:rPr>
      </w:pPr>
      <w:r>
        <w:rPr>
          <w:rFonts w:ascii="Calibri" w:hAnsi="Calibri" w:eastAsia="仿宋" w:cs="Calibri"/>
          <w:color w:val="auto"/>
          <w:sz w:val="24"/>
          <w:szCs w:val="24"/>
          <w:highlight w:val="none"/>
          <w:lang w:eastAsia="zh-CN"/>
        </w:rPr>
        <w:t xml:space="preserve">  </w:t>
      </w:r>
      <w:r/>
    </w:p>
    <w:p>
      <w:pPr>
        <w:spacing w:after="0"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说明：</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1.按上表计算的收费为代理服务全过程的收费金额。各社会代理机构不再收取采购文件制作售卖费用。</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2.代理服务费按差额定率累进法计算。</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3.代理服务费基准金额（按差额定率累进法计算的）=中标金额（按差额定率累进法计算的） * 费率（%）。</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4.代理服务费应收取金额=代理服务费基准金额（按差额定率累进法计算的）的合计数。</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5.定点类等无金额或事先不能计算出价格总额的项目，按中标（成交）金额100万元计算。</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6.有分包（分标段）的按一个项目计算。</w:t>
      </w:r>
      <w:r/>
    </w:p>
    <w:p>
      <w:pPr>
        <w:ind w:firstLine="630"/>
        <w:spacing w:after="0" w:line="44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889"/>
        <w:rPr>
          <w:rFonts w:eastAsiaTheme="minorEastAsia"/>
          <w:color w:val="auto"/>
          <w:highlight w:val="none"/>
          <w:lang w:eastAsia="zh-CN"/>
        </w:rPr>
      </w:pPr>
      <w:r>
        <w:rPr>
          <w:rFonts w:eastAsiaTheme="minorEastAsia"/>
          <w:color w:val="auto"/>
          <w:highlight w:val="none"/>
          <w:lang w:eastAsia="zh-CN"/>
        </w:rPr>
      </w:r>
      <w:r/>
    </w:p>
    <w:p>
      <w:pPr>
        <w:pStyle w:val="889"/>
        <w:rPr>
          <w:rFonts w:eastAsiaTheme="minorEastAsia"/>
          <w:color w:val="auto"/>
          <w:highlight w:val="none"/>
          <w:lang w:eastAsia="zh-CN"/>
        </w:rPr>
      </w:pPr>
      <w:r>
        <w:rPr>
          <w:rFonts w:eastAsiaTheme="minorEastAsia"/>
          <w:color w:val="auto"/>
          <w:highlight w:val="none"/>
          <w:lang w:eastAsia="zh-CN"/>
        </w:rPr>
      </w:r>
      <w:r/>
    </w:p>
    <w:p>
      <w:pPr>
        <w:numPr>
          <w:ilvl w:val="0"/>
          <w:numId w:val="3"/>
        </w:numPr>
        <w:ind w:firstLine="420"/>
        <w:jc w:val="center"/>
        <w:spacing w:after="0" w:line="519" w:lineRule="atLeast"/>
        <w:rPr>
          <w:rFonts w:hint="eastAsia" w:ascii="仿宋" w:hAnsi="仿宋" w:eastAsia="仿宋" w:cs="宋体"/>
          <w:color w:val="auto"/>
          <w:sz w:val="28"/>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4"/>
          <w:highlight w:val="none"/>
          <w:lang w:eastAsia="zh-CN"/>
        </w:rPr>
        <w:t xml:space="preserve">评分标准</w:t>
      </w:r>
      <w:r/>
    </w:p>
    <w:tbl>
      <w:tblPr>
        <w:tblStyle w:val="805"/>
        <w:tblW w:w="8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7575"/>
      </w:tblGrid>
      <w:tr>
        <w:trPr>
          <w:jc w:val="center"/>
          <w:trHeight w:val="364"/>
        </w:trPr>
        <w:tc>
          <w:tcPr>
            <w:tcW w:w="1208" w:type="dxa"/>
            <w:vAlign w:val="center"/>
            <w:textDirection w:val="lrTb"/>
            <w:noWrap w:val="false"/>
          </w:tcPr>
          <w:p>
            <w:pPr>
              <w:jc w:val="center"/>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7575" w:type="dxa"/>
            <w:vAlign w:val="center"/>
            <w:textDirection w:val="lrTb"/>
            <w:noWrap w:val="false"/>
          </w:tcPr>
          <w:p>
            <w:pPr>
              <w:jc w:val="center"/>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rPr>
              <w:t xml:space="preserve">细则</w:t>
            </w:r>
            <w:r/>
          </w:p>
        </w:tc>
      </w:tr>
      <w:tr>
        <w:trPr>
          <w:jc w:val="center"/>
          <w:trHeight w:val="1906"/>
        </w:trPr>
        <w:tc>
          <w:tcPr>
            <w:tcW w:w="1208" w:type="dxa"/>
            <w:vAlign w:val="center"/>
            <w:textDirection w:val="lrTb"/>
            <w:noWrap w:val="false"/>
          </w:tcPr>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30</w:t>
            </w:r>
            <w:r>
              <w:rPr>
                <w:rFonts w:hint="eastAsia" w:ascii="仿宋" w:hAnsi="仿宋" w:eastAsia="仿宋" w:cs="仿宋"/>
                <w:color w:val="auto"/>
                <w:sz w:val="24"/>
                <w:szCs w:val="24"/>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采用低价优先法计算，即满足招标文件要求且投标人评审价格最低的投标报价为评标基准价，其价格得分为满分；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各投标人价格得分=评标基准价（投标人的最低评审价格）÷各投标人评审价格×30。得分四舍五入保留小数点后2位。</w:t>
            </w:r>
            <w:r/>
          </w:p>
          <w:p>
            <w:pPr>
              <w:jc w:val="both"/>
              <w:spacing w:after="0" w:line="240" w:lineRule="auto"/>
              <w:widowControl w:val="off"/>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jc w:val="both"/>
              <w:spacing w:after="0" w:line="240" w:lineRule="auto"/>
              <w:widowControl w:val="off"/>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after="0" w:line="240" w:lineRule="auto"/>
              <w:widowControl w:val="off"/>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该投标人的评审价格=《开标一览表》中的“总价”*（100%-20%）</w:t>
            </w:r>
            <w:r/>
          </w:p>
          <w:p>
            <w:pPr>
              <w:pStyle w:val="830"/>
              <w:rPr>
                <w:rFonts w:ascii="仿宋" w:hAnsi="仿宋" w:eastAsia="仿宋"/>
                <w:color w:val="auto"/>
                <w:sz w:val="24"/>
                <w:szCs w:val="24"/>
                <w:highlight w:val="none"/>
                <w:lang w:eastAsia="zh-CN"/>
              </w:rPr>
            </w:pPr>
            <w:r>
              <w:rPr>
                <w:rFonts w:hint="eastAsia" w:ascii="仿宋" w:hAnsi="仿宋" w:eastAsia="仿宋"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172"/>
        </w:trPr>
        <w:tc>
          <w:tcPr>
            <w:tcW w:w="1208" w:type="dxa"/>
            <w:vAlign w:val="center"/>
            <w:textDirection w:val="lrTb"/>
            <w:noWrap w:val="false"/>
          </w:tcPr>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p>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业绩</w:t>
            </w:r>
            <w:r/>
          </w:p>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投标文件中提供投标人为卖方（乙方），合同签订日期在2023年1月1日（含）以后，合同内容为与本项目相同或类似的业绩合同扫描件，每提供一份得2分；本项最高得4分。</w:t>
            </w:r>
            <w:r/>
          </w:p>
        </w:tc>
      </w:tr>
      <w:tr>
        <w:trPr>
          <w:jc w:val="center"/>
          <w:trHeight w:val="540"/>
        </w:trPr>
        <w:tc>
          <w:tcPr>
            <w:tcW w:w="1208" w:type="dxa"/>
            <w:vAlign w:val="center"/>
            <w:textDirection w:val="lrTb"/>
            <w:noWrap w:val="false"/>
          </w:tcPr>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样品</w:t>
            </w:r>
            <w:r/>
          </w:p>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（45分）</w:t>
            </w:r>
            <w:r/>
          </w:p>
        </w:tc>
        <w:tc>
          <w:tcPr>
            <w:tcW w:w="7575" w:type="dxa"/>
            <w:vAlign w:val="center"/>
            <w:textDirection w:val="lrTb"/>
            <w:noWrap w:val="false"/>
          </w:tcPr>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根据投标人提供的样品，从石材品质（用料材质、色彩、石材色差、石材表面光洁度、有无裂痕、色斑等）及做工精细程度和做工尺寸等进行综合评分。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1.石材材质，最好的得5分，较好的得3分，较差得1分，本项最高得5分；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2.石材色彩，最好的得5分，较好的得3分，较差得1分，本项最高得5分；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3.石材色差，最好的得5分，较好的得3分，较差得1分，本项最高得5分；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4.石材表面光洁度，最好的得5分，较好的得3分，较差得1分，本项最高得5分；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5.石材表面有无裂痕，最好的得5分，较好的得3分，较差得1分，本项最高得5分；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6.石材色斑，最好的得5分，较好的得3分，较差得1分，本项最高得5分；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7.根据石材做工精细程度进行综合评分：做工精细程度好的得8分，做工精细程度较好的得6分，做工精细程度一般的得4分，做工精细程度较差的得2分，本项最高得8分；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8.根据石材做工尺寸进行综合评分，完全符合招标文件要求的得7分，较符合的得5分，一般的得3分，较差得1分，本项最高得7分。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未提供样品或样品提供不全的不得</w:t>
            </w:r>
            <w:r>
              <w:rPr>
                <w:rFonts w:hint="eastAsia" w:ascii="仿宋" w:hAnsi="仿宋" w:eastAsia="仿宋" w:cs="仿宋"/>
                <w:b/>
                <w:bCs/>
                <w:color w:val="auto"/>
                <w:sz w:val="24"/>
                <w:szCs w:val="24"/>
                <w:highlight w:val="none"/>
                <w:lang w:eastAsia="zh-CN"/>
              </w:rPr>
              <w:t xml:space="preserve">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w:t>
            </w:r>
            <w:r>
              <w:rPr>
                <w:rFonts w:hint="eastAsia" w:ascii="仿宋" w:hAnsi="仿宋" w:eastAsia="仿宋" w:cs="仿宋"/>
                <w:color w:val="auto"/>
                <w:sz w:val="24"/>
                <w:szCs w:val="24"/>
                <w:highlight w:val="none"/>
                <w:lang w:eastAsia="zh-CN"/>
              </w:rPr>
              <w:t xml:space="preserve">13</w:t>
            </w:r>
            <w:r>
              <w:rPr>
                <w:rFonts w:hint="eastAsia" w:ascii="仿宋" w:hAnsi="仿宋" w:eastAsia="仿宋" w:cs="仿宋"/>
                <w:color w:val="auto"/>
                <w:sz w:val="24"/>
                <w:szCs w:val="24"/>
                <w:highlight w:val="none"/>
              </w:rPr>
              <w:t xml:space="preserve">分）</w:t>
            </w:r>
            <w:r/>
          </w:p>
        </w:tc>
        <w:tc>
          <w:tcPr>
            <w:tcW w:w="7575" w:type="dxa"/>
            <w:textDirection w:val="lrTb"/>
            <w:noWrap w:val="false"/>
          </w:tcPr>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根据投标文件项目实施方案中的产品加工方案、产品运送方案、产品安装方案、产品质量保证措施及工期保证方案的可行性、全面性、针对性等方面进行评分：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可行性(5分)：</w:t>
            </w:r>
            <w:r>
              <w:rPr>
                <w:rFonts w:hint="eastAsia" w:ascii="仿宋" w:hAnsi="仿宋" w:eastAsia="仿宋" w:cs="仿宋"/>
                <w:color w:val="auto"/>
                <w:sz w:val="24"/>
                <w:szCs w:val="24"/>
                <w:highlight w:val="none"/>
                <w:lang w:eastAsia="zh-CN"/>
              </w:rPr>
              <w:t xml:space="preserve">符合实际切实可行得5分；较切实可行得3分；可行性欠缺得1分；未供不得分；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全面性(4分)：</w:t>
            </w:r>
            <w:r>
              <w:rPr>
                <w:rFonts w:hint="eastAsia" w:ascii="仿宋" w:hAnsi="仿宋" w:eastAsia="仿宋" w:cs="仿宋"/>
                <w:color w:val="auto"/>
                <w:sz w:val="24"/>
                <w:szCs w:val="24"/>
                <w:highlight w:val="none"/>
                <w:lang w:eastAsia="zh-CN"/>
              </w:rPr>
              <w:t xml:space="preserve">全面具体详实得4分；较全面得2分；不全面得1分；未供不得分；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针对性(4分)：</w:t>
            </w:r>
            <w:r>
              <w:rPr>
                <w:rFonts w:hint="eastAsia" w:ascii="仿宋" w:hAnsi="仿宋" w:eastAsia="仿宋" w:cs="仿宋"/>
                <w:color w:val="auto"/>
                <w:sz w:val="24"/>
                <w:szCs w:val="24"/>
                <w:highlight w:val="none"/>
                <w:lang w:eastAsia="zh-CN"/>
              </w:rPr>
              <w:t xml:space="preserve">针对性强得4分；针对性较强得2分；针对性不强得1分；未供不得分。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p>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对招标文件中的售后服务方案进行评分，包括但不限于对招标文件要求的保修期的响应、保修期内对产品备料的配置承诺及保修期满后维保措施等：</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内容详细具体、科学合理、针对性强、内容完整的得6分；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内容较详细具体、科学合理、针对性较强、内容较完整的得4分；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内容基本完整、针对性一般、基本符合要求的得2分；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无具体内容的，得1分。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未供不得分。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olor w:val="auto"/>
                <w:sz w:val="24"/>
                <w:szCs w:val="24"/>
                <w:highlight w:val="none"/>
              </w:rPr>
              <w:t xml:space="preserve">免费质保期</w:t>
            </w:r>
            <w:r>
              <w:rPr>
                <w:rFonts w:hint="eastAsia" w:ascii="仿宋" w:hAnsi="仿宋" w:eastAsia="仿宋" w:cs="仿宋"/>
                <w:color w:val="auto"/>
                <w:sz w:val="24"/>
                <w:szCs w:val="24"/>
                <w:highlight w:val="none"/>
                <w:lang w:eastAsia="zh-CN"/>
              </w:rPr>
              <w:t xml:space="preserve">（2分）</w:t>
            </w:r>
            <w:r/>
          </w:p>
        </w:tc>
        <w:tc>
          <w:tcPr>
            <w:tcW w:w="7575" w:type="dxa"/>
            <w:vAlign w:val="center"/>
            <w:textDirection w:val="lrTb"/>
            <w:noWrap w:val="false"/>
          </w:tcPr>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质保期不满足采购需求要求的作无效投标处理。</w:t>
            </w:r>
            <w:r/>
          </w:p>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每增加一年，加1分（不足一年不得分）。</w:t>
            </w:r>
            <w:r/>
          </w:p>
          <w:p>
            <w:pPr>
              <w:pStyle w:val="1097"/>
              <w:spacing w:before="125" w:line="219"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本项最高得2分，最低得0分。</w:t>
            </w:r>
            <w:r/>
          </w:p>
          <w:p>
            <w:pPr>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注：需提供质保期限承诺书（自拟），未提供或描述不清楚难以理解的或字迹模糊不清的不得分。</w:t>
            </w:r>
            <w:r/>
          </w:p>
        </w:tc>
      </w:tr>
    </w:tbl>
    <w:p>
      <w:pPr>
        <w:spacing w:line="240" w:lineRule="auto"/>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jc w:val="center"/>
        <w:spacing w:after="0" w:line="72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第五章 拟签订的合同文本</w:t>
      </w:r>
      <w:r/>
    </w:p>
    <w:p>
      <w:pPr>
        <w:pStyle w:val="817"/>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8"/>
          <w:szCs w:val="28"/>
          <w:highlight w:val="none"/>
          <w:lang w:eastAsia="zh-CN"/>
        </w:rPr>
        <w:t xml:space="preserve">项目编号：JSZC-320300-ZHZC-G2026-0013      </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项目名称：徐州市殡葬管理服务中心汉王公墓管理所2026年度石材采购项目         </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采购单位：徐州市殡葬管理服务中心</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中标供应商：</w:t>
      </w:r>
      <w:r/>
    </w:p>
    <w:p>
      <w:pPr>
        <w:spacing w:line="72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28"/>
          <w:szCs w:val="28"/>
          <w:highlight w:val="none"/>
          <w:lang w:eastAsia="zh-CN"/>
        </w:rPr>
        <w:t xml:space="preserve">签订日期：    年  月  日</w:t>
      </w:r>
      <w:r/>
    </w:p>
    <w:p>
      <w:pPr>
        <w:jc w:val="cente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819"/>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819"/>
        <w:ind w:left="0"/>
        <w:rPr>
          <w:rFonts w:hint="eastAsia" w:ascii="仿宋" w:hAnsi="仿宋" w:eastAsia="仿宋" w:cs="仿宋"/>
          <w:color w:val="auto"/>
          <w:szCs w:val="28"/>
          <w:highlight w:val="none"/>
          <w:lang w:eastAsia="zh-CN"/>
        </w:rPr>
      </w:pPr>
      <w:r>
        <w:rPr>
          <w:rFonts w:hint="eastAsia" w:ascii="仿宋" w:hAnsi="仿宋" w:eastAsia="仿宋" w:cs="仿宋"/>
          <w:color w:val="auto"/>
          <w:highlight w:val="none"/>
          <w:lang w:eastAsia="zh-CN"/>
        </w:rPr>
        <w:t xml:space="preserve">    </w:t>
      </w:r>
      <w:r>
        <w:rPr>
          <w:rFonts w:hint="eastAsia" w:ascii="仿宋" w:hAnsi="仿宋" w:eastAsia="仿宋" w:cs="仿宋"/>
          <w:color w:val="auto"/>
          <w:szCs w:val="28"/>
          <w:highlight w:val="none"/>
          <w:lang w:eastAsia="zh-CN"/>
        </w:rPr>
        <w:t xml:space="preserve">友情提醒：采购人与中标、成交供应商应当在中标、成交通知书发出之日起三十日内，按照采购文件确定的事项签订政府采购合同。</w:t>
      </w:r>
      <w:r/>
    </w:p>
    <w:p>
      <w:pPr>
        <w:pStyle w:val="819"/>
        <w:ind w:left="0"/>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 xml:space="preserve">    采购人应当自政府采购合同签订之日起2个工作日内，将政府采购合同在省级以上人民政府财政部门指定的媒体上公告，但政府采购合同中涉及国家秘密、商业秘密的内容除外。</w:t>
      </w:r>
      <w:r/>
    </w:p>
    <w:p>
      <w:pPr>
        <w:pStyle w:val="819"/>
        <w:rPr>
          <w:color w:val="auto"/>
          <w:highlight w:val="none"/>
          <w:lang w:eastAsia="zh-CN"/>
        </w:rPr>
      </w:pPr>
      <w:r>
        <w:rPr>
          <w:color w:val="auto"/>
          <w:highlight w:val="none"/>
          <w:lang w:eastAsia="zh-CN"/>
        </w:rPr>
      </w:r>
      <w:r/>
    </w:p>
    <w:p>
      <w:pPr>
        <w:pStyle w:val="819"/>
        <w:rPr>
          <w:color w:val="auto"/>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color w:val="auto"/>
          <w:highlight w:val="none"/>
          <w:lang w:eastAsia="zh-CN"/>
        </w:rPr>
      </w:r>
      <w:r/>
    </w:p>
    <w:p>
      <w:pPr>
        <w:jc w:val="center"/>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8"/>
          <w:szCs w:val="28"/>
          <w:highlight w:val="none"/>
          <w:lang w:eastAsia="zh-CN"/>
        </w:rPr>
        <w:t xml:space="preserve">合同通用条款</w:t>
      </w:r>
      <w:r/>
    </w:p>
    <w:p>
      <w:pPr>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目  录</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第六条    包装和标记</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第七条    技术资料</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第十条    售后服务和技术培训</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第十五条  适用法律</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第十六条  权利保证</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第十七条  保密</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jc w:val="center"/>
        <w:rPr>
          <w:rFonts w:hint="eastAsia" w:ascii="仿宋" w:hAnsi="仿宋" w:eastAsia="仿宋" w:cs="仿宋"/>
          <w:b/>
          <w:bCs/>
          <w:color w:val="auto"/>
          <w:sz w:val="32"/>
          <w:szCs w:val="32"/>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2"/>
          <w:szCs w:val="32"/>
          <w:highlight w:val="none"/>
          <w:lang w:eastAsia="zh-CN"/>
        </w:rPr>
      </w:r>
      <w:r/>
    </w:p>
    <w:p>
      <w:pPr>
        <w:jc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32"/>
          <w:szCs w:val="32"/>
          <w:highlight w:val="none"/>
          <w:lang w:eastAsia="zh-CN"/>
        </w:rPr>
        <w:t xml:space="preserve">合同通用条款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除本合同上下文中另有规定外，下列各词语定义如下：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1.1“买方”见《合同专用条款》。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1.2“卖方”见《合同专用条款》。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1.3“工作现场”见《合同专用条款》。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1.4“合同标的”见合同附件4。</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1.5“技术资料”是指与合同标的的安装、试运行、验收、操作以及维修有关的技术指标、规格、图纸和文件。</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1.6“技术培训”是指在合同标的的安装、试运行、验收、操作、维修以及其他方面卖方给予买方的培训。</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1.7“安装”是指有关合同标的、备件和材料的安装工作。</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1.8“试运行”是指为验明合同标的的技术性能，在安装完毕后对合同标的进行的测试。</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1.10“合同货币”见《合同专用条款》。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1.11“合同价格”见合同附件4。</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1.12“合同生效日”见《合同协议书》（合同附件1）第5条。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1.13“日”是指日历天数。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1.14“月”是指日历月数。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2.1买方同意从卖方购买、卖方同意向买方出售和提供的合同标的以及相关售后服务、技术培训和技术资料。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3.1 合同总价见《合同专用条款》。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3.2 合同总价是固定价格。</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4.3买方逾期支付货款的，应当向乙方支付逾期付款利息，逾期利率按本合同订立时全国银行间同业拆借中心公布的一年期贷款市场报价利率(LPR)固定计算，逾期期间利率不作动态调整。</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5.1交货期限、批次和交货条件见《合同专用条款》。</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5.2交货地点见《合同专用条款》。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5.4卖方应按下列规定交付合同标的：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5.4.1卖方负责将合同标的送至《合同专用条款》规定的交货地点。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5.4.2买方出具的收据日期是合同标的的实际交货日期。</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5.5如果卖方未能按照合同规定的交货期限交货，卖方应按《合同专用条款》的规定支付违约金或提供其他救济。</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第六条 包装与标记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6.1除非合同中另有规定，合同标的应保持产品制造企业原包装完好。</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6.2在合同标的的每件包装中都应附有下列单据：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A. 装箱明细单；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B. 质量合格证；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C. 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第七条 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7.1 技术资料交付的期限和方式见《合同专用条款》。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8.1 合同标的的安装期限见《合同专用条款》。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9.1合同标的的试运行、验收见《合同专用条款》。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9.2如果合同附件2所规定的所有技术性能在验收中都已经达到，双方应在验收合格后5日内签署验收书。</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9.3买方派出1-3名技术人员参加项目实施，卖方应积极配合买方派出的1-3名技术人员监督管理。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第十条 售后服务和技术培训</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10.1售后服务和技术培训见合同附件3。</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11.1如果合同标的在安装、试运行、验收或质保期内，经买方认定存在质量缺陷、规格不符、材质不达标、性能不满足采购需求等违约情形，且卖方未在限期内整改的，卖方自愿按下列三级方式处理: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(1)一般性质量瑕疵:降价幅度为该批次货物单价的5%一10%;</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(2)非一般性质量瑕疵，但买方同意使用的:降价幅度为该批次货物单价的10%-20%;</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(3)无法使用、存在安全隐患、与样品严重不符:买方有权拒付货款，并同时要求卖方承担退货、返工、补货、赔偿损失等全部责任。</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11.2降价金额买方有权直接从应付款、履约保证金中一次性扣除。</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11.3降价处理不免除卖方的更换、补货、返工、维修、赔偿损失及支付违约金的义务。</w:t>
      </w:r>
      <w:r/>
    </w:p>
    <w:p>
      <w:pPr>
        <w:pStyle w:val="806"/>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11.4</w:t>
      </w:r>
      <w:r>
        <w:rPr>
          <w:rFonts w:hint="eastAsia" w:ascii="仿宋" w:hAnsi="仿宋" w:eastAsia="仿宋" w:cs="仿宋"/>
          <w:color w:val="auto"/>
          <w:sz w:val="24"/>
          <w:highlight w:val="none"/>
          <w:lang w:eastAsia="zh-CN"/>
        </w:rPr>
        <w:t xml:space="preserve">瑕疵分级对应规则</w:t>
      </w:r>
      <w:r/>
    </w:p>
    <w:p>
      <w:pPr>
        <w:pStyle w:val="806"/>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①依据招标文件技术要求 1.10，仅抛光面轻微、单块少量、远距离不明显的水波纹，属于一般性质量瑕疵，按合同 11.1 第（1）条执行降价 5%-10%；</w:t>
      </w:r>
      <w:r/>
    </w:p>
    <w:p>
      <w:pPr>
        <w:pStyle w:val="806"/>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②抛光面大面积、连片、多块密集水波纹，修复后仍肉眼可见，属于非一般性质量瑕疵，按合同 11.1 第（2）条执行降价 10%-20%；</w:t>
      </w:r>
      <w:r/>
    </w:p>
    <w:p>
      <w:pPr>
        <w:pStyle w:val="806"/>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③凡出现招标文件 1.3~1.9 明令禁止缺陷（色斑、色线、锈斑、色差、棱角缺损、烧痕、划痕磨痕）、尺寸 / 抛光度 / 理化指标不达标、榫接钢筋规格长度不符合要求的，不属于可降价处置的瑕疵范畴，甲方有权全部拒收，乙方须限期无偿更换合格石材，并承担工期延误、拆除返工全部损失。</w:t>
      </w:r>
      <w:r/>
    </w:p>
    <w:p>
      <w:pPr>
        <w:ind w:firstLine="24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 卖方在合同规定的交货期限后未能按《合同专用条款》中规定的最终期限交付合同标的和/或技术资料；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 合同标的未能达到合同附件2 规定的技术性能；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C. 卖方未能履行合同项下任何其它义务，并且在收到买方违约通知后未能按《合同专用条款》中规定的期限对其违约行为作出补救。</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13.3如果买方认定卖方在投标或执行合同中有腐败或欺诈行为,买方有权在任何时候发出书面通知终止合同。</w:t>
      </w:r>
      <w:r/>
    </w:p>
    <w:p>
      <w:pPr>
        <w:ind w:left="1" w:firstLine="537"/>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A.“腐败行为”系指在招标、采购和合同执行等过程中，为谋求利益、影响相关人员而提供、给予、接受或索取任何有价物的行为。</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13.4 在买方全部或部分终止合同的情况下，卖方应按《合同专用条款》的规定对买方给予补偿。</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第十五条 适用法律</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15.1 本合同的执行和争议的解决适用中华人民共和国的法律并按中华人民共和国的法律进行解释。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第十六条  权利保证</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第十七条  保密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17.2上述秘密，卖方只能用于本合同，而且只能由卖方相应的人员使用；没有必要接触的卖方人员，不得接触。</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17.3卖方应当采取适当有效的方式保护所获取的上述秘密。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17.4卖方违反本合同所规定的在保密方面的义务，应按合同总价的20%承担违约金，若违约金不足以弥补买方损失的，卖方应另行据实承担赔偿金。。</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 本合同在合同协议书（合同附件1）规定的条件全部满足后生效。</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18.3 合同双方各自承担与本合同有关的应负税费。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18.4合同双方除非《合同专用条款》另有规定，所有合同文件及相关的修订和合同双方之间的书面联络，应使用中文书就并按中文解释。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18.5对本合同的任何补充、增添或修改以书面方式进行。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18.6没有另一方的事先书面同意，合同任何一方不得将合同项下的任何权利和义务转让给第三方。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18.8合同条款中的标题和边注仅供参考使用，不应视为合同的一部分，也不影响本文的解释。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br w:type="page" w:clear="all"/>
      </w:r>
      <w:r>
        <w:rPr>
          <w:rFonts w:hint="eastAsia" w:ascii="仿宋" w:hAnsi="仿宋" w:eastAsia="仿宋" w:cs="仿宋"/>
          <w:b/>
          <w:bCs/>
          <w:color w:val="auto"/>
          <w:sz w:val="32"/>
          <w:szCs w:val="32"/>
          <w:highlight w:val="none"/>
          <w:lang w:eastAsia="zh-CN"/>
        </w:rPr>
        <w:t xml:space="preserve">合同专用条款</w:t>
      </w:r>
      <w:r/>
    </w:p>
    <w:p>
      <w:pPr>
        <w:ind w:firstLine="480"/>
        <w:jc w:val="both"/>
        <w:spacing w:after="0" w:line="400" w:lineRule="atLeast"/>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仿宋" w:hAnsi="仿宋" w:eastAsia="仿宋" w:cs="仿宋"/>
          <w:color w:val="auto"/>
          <w:sz w:val="24"/>
          <w:szCs w:val="24"/>
          <w:highlight w:val="none"/>
          <w:lang w:eastAsia="zh-CN"/>
        </w:rPr>
        <w:t xml:space="preserve">的权利、义务，确保合同双方共同执行。</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 “买方”为</w:t>
      </w:r>
      <w:r>
        <w:rPr>
          <w:rFonts w:hint="eastAsia" w:ascii="仿宋" w:hAnsi="仿宋" w:eastAsia="仿宋" w:cs="仿宋"/>
          <w:color w:val="auto"/>
          <w:sz w:val="24"/>
          <w:highlight w:val="none"/>
          <w:u w:val="single"/>
          <w:lang w:eastAsia="zh-CN"/>
        </w:rPr>
        <w:t xml:space="preserve">徐州市殡葬管理服务中心  </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 “卖方”为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 “工作现场”为</w:t>
      </w:r>
      <w:r>
        <w:rPr>
          <w:rFonts w:hint="eastAsia" w:ascii="仿宋" w:hAnsi="仿宋" w:eastAsia="仿宋" w:cs="仿宋"/>
          <w:color w:val="auto"/>
          <w:sz w:val="24"/>
          <w:highlight w:val="none"/>
          <w:u w:val="single"/>
          <w:lang w:eastAsia="zh-CN"/>
        </w:rPr>
        <w:t xml:space="preserve">买方指定地点</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1.10 “合同货币”即</w:t>
      </w:r>
      <w:r>
        <w:rPr>
          <w:rFonts w:hint="eastAsia" w:ascii="仿宋" w:hAnsi="仿宋" w:eastAsia="仿宋" w:cs="仿宋"/>
          <w:color w:val="auto"/>
          <w:sz w:val="24"/>
          <w:highlight w:val="none"/>
          <w:u w:val="single"/>
          <w:lang w:eastAsia="zh-CN"/>
        </w:rPr>
        <w:t xml:space="preserve">人民币</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2.1买方同意从卖方购买、卖方同意向买方出售的合同标的详见合同附件。</w:t>
      </w:r>
      <w:r/>
    </w:p>
    <w:p>
      <w:pPr>
        <w:ind w:firstLine="540"/>
        <w:jc w:val="both"/>
        <w:spacing w:line="400" w:lineRule="exact"/>
        <w:widowControl w:val="off"/>
        <w:rPr>
          <w:rStyle w:val="1102"/>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2.2合同标的：</w:t>
      </w:r>
      <w:r>
        <w:rPr>
          <w:rStyle w:val="1102"/>
          <w:rFonts w:hint="eastAsia" w:ascii="仿宋" w:hAnsi="仿宋" w:eastAsia="仿宋" w:cs="仿宋"/>
          <w:color w:val="auto"/>
          <w:sz w:val="24"/>
          <w:szCs w:val="24"/>
          <w:highlight w:val="none"/>
        </w:rPr>
        <w:t xml:space="preserve">产品名称、型号、规格、数量及价款</w:t>
      </w:r>
      <w:r/>
    </w:p>
    <w:p>
      <w:pPr>
        <w:ind w:firstLine="540"/>
        <w:jc w:val="both"/>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tbl>
      <w:tblPr>
        <w:tblStyle w:val="805"/>
        <w:tblW w:w="8756"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3480"/>
        <w:gridCol w:w="1373"/>
        <w:gridCol w:w="1329"/>
        <w:gridCol w:w="753"/>
        <w:gridCol w:w="1083"/>
      </w:tblGrid>
      <w:tr>
        <w:trPr>
          <w:cantSplit/>
          <w:jc w:val="center"/>
          <w:trHeight w:val="804" w:hRule="exact"/>
        </w:trPr>
        <w:tc>
          <w:tcPr>
            <w:tcW w:w="738"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 xml:space="preserve">序号</w:t>
            </w:r>
            <w:r/>
          </w:p>
        </w:tc>
        <w:tc>
          <w:tcPr>
            <w:tcW w:w="3480"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墓区及墓型</w:t>
            </w:r>
            <w:r/>
          </w:p>
        </w:tc>
        <w:tc>
          <w:tcPr>
            <w:tcW w:w="1373"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数量（套）</w:t>
            </w:r>
            <w:r/>
          </w:p>
        </w:tc>
        <w:tc>
          <w:tcPr>
            <w:tcW w:w="1329"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单价（元）</w:t>
            </w:r>
            <w:r/>
          </w:p>
        </w:tc>
        <w:tc>
          <w:tcPr>
            <w:tcW w:w="753"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金额</w:t>
            </w:r>
            <w:r/>
          </w:p>
        </w:tc>
        <w:tc>
          <w:tcPr>
            <w:tcW w:w="1083"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shd w:val="clear" w:color="auto" w:fill="auto"/>
            <w:tcW w:w="3480" w:type="dxa"/>
            <w:vAlign w:val="center"/>
            <w:textDirection w:val="lrTb"/>
            <w:noWrap w:val="false"/>
          </w:tcPr>
          <w:p>
            <w:pPr>
              <w:jc w:val="center"/>
              <w:spacing w:after="0" w:line="85" w:lineRule="atLeast"/>
              <w:rPr>
                <w:rFonts w:hint="eastAsia" w:ascii="仿宋" w:hAnsi="仿宋" w:eastAsia="仿宋" w:cs="仿宋"/>
                <w:b/>
                <w:bCs/>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皓志园A1立碑（中国黑）</w:t>
            </w:r>
            <w:r/>
          </w:p>
        </w:tc>
        <w:tc>
          <w:tcPr>
            <w:tcW w:w="137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2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5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shd w:val="clear" w:color="auto" w:fill="auto"/>
            <w:tcW w:w="3480" w:type="dxa"/>
            <w:vAlign w:val="center"/>
            <w:textDirection w:val="lrTb"/>
            <w:noWrap w:val="false"/>
          </w:tcPr>
          <w:p>
            <w:pPr>
              <w:jc w:val="center"/>
              <w:spacing w:after="0" w:line="85" w:lineRule="atLeast"/>
              <w:rPr>
                <w:rFonts w:hint="eastAsia" w:ascii="仿宋" w:hAnsi="仿宋" w:eastAsia="仿宋" w:cs="仿宋"/>
                <w:b/>
                <w:bCs/>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皓志园W2卧碑（印度黑）</w:t>
            </w:r>
            <w:r/>
          </w:p>
        </w:tc>
        <w:tc>
          <w:tcPr>
            <w:tcW w:w="137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2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5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shd w:val="clear" w:color="auto" w:fill="auto"/>
            <w:tcW w:w="3480" w:type="dxa"/>
            <w:vAlign w:val="center"/>
            <w:textDirection w:val="lrTb"/>
            <w:noWrap w:val="false"/>
          </w:tcPr>
          <w:p>
            <w:pPr>
              <w:jc w:val="center"/>
              <w:spacing w:after="0" w:line="85" w:lineRule="atLeast"/>
              <w:rPr>
                <w:rFonts w:hint="eastAsia" w:ascii="仿宋" w:hAnsi="仿宋" w:eastAsia="仿宋" w:cs="仿宋"/>
                <w:b/>
                <w:bCs/>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皓志园壁葬（英国棕+芝麻白）</w:t>
            </w:r>
            <w:r/>
          </w:p>
        </w:tc>
        <w:tc>
          <w:tcPr>
            <w:tcW w:w="137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2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5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shd w:val="clear" w:color="auto" w:fill="auto"/>
            <w:tcW w:w="3480" w:type="dxa"/>
            <w:vAlign w:val="center"/>
            <w:textDirection w:val="lrTb"/>
            <w:noWrap w:val="false"/>
          </w:tcPr>
          <w:p>
            <w:pPr>
              <w:jc w:val="center"/>
              <w:spacing w:after="0" w:line="85" w:lineRule="atLeast"/>
              <w:rPr>
                <w:rFonts w:hint="eastAsia" w:ascii="仿宋" w:hAnsi="仿宋" w:eastAsia="仿宋" w:cs="仿宋"/>
                <w:b/>
                <w:bCs/>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云鹤园C1立碑（中国黑）</w:t>
            </w:r>
            <w:r/>
          </w:p>
        </w:tc>
        <w:tc>
          <w:tcPr>
            <w:tcW w:w="1373"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329"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753"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shd w:val="clear" w:color="auto" w:fill="auto"/>
            <w:tcW w:w="3480" w:type="dxa"/>
            <w:vAlign w:val="center"/>
            <w:textDirection w:val="lrTb"/>
            <w:noWrap w:val="false"/>
          </w:tcPr>
          <w:p>
            <w:pPr>
              <w:jc w:val="center"/>
              <w:spacing w:after="0" w:line="85" w:lineRule="atLeast"/>
              <w:rPr>
                <w:rFonts w:hint="eastAsia" w:ascii="仿宋" w:hAnsi="仿宋" w:eastAsia="仿宋" w:cs="仿宋"/>
                <w:b/>
                <w:bCs/>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云鹤园C2立碑（南非浅黑）</w:t>
            </w:r>
            <w:r/>
          </w:p>
        </w:tc>
        <w:tc>
          <w:tcPr>
            <w:tcW w:w="137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2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5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w:t>
            </w:r>
            <w:r/>
          </w:p>
        </w:tc>
        <w:tc>
          <w:tcPr>
            <w:shd w:val="clear" w:color="auto" w:fill="auto"/>
            <w:tcW w:w="3480" w:type="dxa"/>
            <w:vAlign w:val="center"/>
            <w:textDirection w:val="lrTb"/>
            <w:noWrap w:val="false"/>
          </w:tcPr>
          <w:p>
            <w:pPr>
              <w:jc w:val="center"/>
              <w:spacing w:after="0" w:line="85" w:lineRule="atLeast"/>
              <w:rPr>
                <w:rFonts w:hint="eastAsia" w:ascii="仿宋" w:hAnsi="仿宋" w:eastAsia="仿宋" w:cs="仿宋"/>
                <w:b/>
                <w:bCs/>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云鹤园C3立碑（英国棕）</w:t>
            </w:r>
            <w:r/>
          </w:p>
        </w:tc>
        <w:tc>
          <w:tcPr>
            <w:tcW w:w="137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2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5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w:t>
            </w:r>
            <w:r/>
          </w:p>
        </w:tc>
        <w:tc>
          <w:tcPr>
            <w:shd w:val="clear" w:color="auto" w:fill="auto"/>
            <w:tcW w:w="3480" w:type="dxa"/>
            <w:vAlign w:val="center"/>
            <w:textDirection w:val="lrTb"/>
            <w:noWrap w:val="false"/>
          </w:tcPr>
          <w:p>
            <w:pPr>
              <w:jc w:val="center"/>
              <w:spacing w:after="0" w:line="85" w:lineRule="atLeast"/>
              <w:rPr>
                <w:rFonts w:hint="eastAsia" w:ascii="仿宋" w:hAnsi="仿宋" w:eastAsia="仿宋" w:cs="仿宋"/>
                <w:b/>
                <w:bCs/>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云鹤园花葬1套</w:t>
            </w:r>
            <w:r/>
          </w:p>
        </w:tc>
        <w:tc>
          <w:tcPr>
            <w:tcW w:w="137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2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5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30"/>
        <w:rPr>
          <w:color w:val="auto"/>
          <w:highlight w:val="none"/>
          <w:lang w:eastAsia="zh-CN"/>
        </w:rPr>
      </w:pPr>
      <w:r>
        <w:rPr>
          <w:color w:val="auto"/>
          <w:highlight w:val="none"/>
          <w:lang w:eastAsia="zh-CN"/>
        </w:rPr>
      </w:r>
      <w:r/>
    </w:p>
    <w:p>
      <w:pPr>
        <w:ind w:firstLine="540"/>
        <w:jc w:val="both"/>
        <w:spacing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本合同采用固定总价合同，包含：</w:t>
      </w:r>
      <w:r>
        <w:rPr>
          <w:rFonts w:hint="eastAsia" w:ascii="仿宋" w:hAnsi="仿宋" w:eastAsia="仿宋" w:cs="仿宋"/>
          <w:color w:val="auto"/>
          <w:sz w:val="24"/>
          <w:szCs w:val="24"/>
          <w:highlight w:val="none"/>
          <w:lang w:eastAsia="zh-CN"/>
        </w:rPr>
        <w:t xml:space="preserve">设备主材费、辅助材料费、包装费、运费、保险费、装卸费、</w:t>
      </w:r>
      <w:r>
        <w:rPr>
          <w:rFonts w:hint="eastAsia" w:ascii="仿宋" w:hAnsi="仿宋" w:eastAsia="仿宋" w:cs="仿宋"/>
          <w:color w:val="auto"/>
          <w:sz w:val="24"/>
          <w:szCs w:val="24"/>
          <w:highlight w:val="none"/>
          <w:lang w:val="en-US" w:eastAsia="zh-CN"/>
        </w:rPr>
        <w:t xml:space="preserve">指导安装费</w:t>
      </w:r>
      <w:r>
        <w:rPr>
          <w:rFonts w:hint="eastAsia" w:ascii="仿宋" w:hAnsi="仿宋" w:eastAsia="仿宋" w:cs="仿宋"/>
          <w:color w:val="auto"/>
          <w:sz w:val="24"/>
          <w:szCs w:val="24"/>
          <w:highlight w:val="none"/>
          <w:lang w:eastAsia="zh-CN"/>
        </w:rPr>
        <w:t xml:space="preserve">、安装用所有辅材费、检测、培训、利润、税金等验收合格交付使用之前及保修期内保修服务与备用物件等以及配套器材等所有其他有关各项的含税费用</w:t>
      </w:r>
      <w:r>
        <w:rPr>
          <w:rFonts w:hint="eastAsia" w:ascii="仿宋" w:hAnsi="仿宋" w:eastAsia="仿宋" w:cs="仿宋"/>
          <w:color w:val="auto"/>
          <w:sz w:val="24"/>
          <w:szCs w:val="24"/>
          <w:highlight w:val="none"/>
          <w:lang w:eastAsia="zh-CN"/>
        </w:rPr>
        <w:t xml:space="preserve">，及合同实施过程中应预见和不可预见费等完成本采购内容所需的一切费用。该总价为验收合格交货价，且不做调整。产品详细配置清单等见附件，附件与本合同有同等法律效力。</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3.1合同总价为￥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大写：人民币</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4.1付款方式</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本合同总金额为人民币大写金额</w:t>
      </w:r>
      <w:r>
        <w:rPr>
          <w:rFonts w:hint="eastAsia" w:ascii="仿宋" w:hAnsi="仿宋" w:eastAsia="仿宋" w:cs="仿宋"/>
          <w:color w:val="auto"/>
          <w:sz w:val="24"/>
          <w:szCs w:val="24"/>
          <w:highlight w:val="none"/>
          <w:u w:val="single"/>
          <w:lang w:eastAsia="zh-CN"/>
        </w:rPr>
        <w:t xml:space="preserve">        元（小写金额：         元）</w:t>
      </w:r>
      <w:r>
        <w:rPr>
          <w:rFonts w:hint="eastAsia" w:ascii="仿宋" w:hAnsi="仿宋" w:eastAsia="仿宋" w:cs="仿宋"/>
          <w:color w:val="auto"/>
          <w:sz w:val="24"/>
          <w:szCs w:val="24"/>
          <w:highlight w:val="none"/>
          <w:lang w:eastAsia="zh-CN"/>
        </w:rPr>
        <w:t xml:space="preserve">，经双方协商一致，选择以下第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种付款方式：</w:t>
      </w:r>
      <w:r/>
    </w:p>
    <w:p>
      <w:pPr>
        <w:pStyle w:val="823"/>
        <w:ind w:firstLine="487"/>
        <w:jc w:val="both"/>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（一）付款方式一：提交预付款保函的</w:t>
      </w:r>
      <w:r/>
    </w:p>
    <w:p>
      <w:pPr>
        <w:pStyle w:val="823"/>
        <w:ind w:firstLine="484"/>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合同价款的</w:t>
      </w:r>
      <w:r>
        <w:rPr>
          <w:rFonts w:hint="eastAsia" w:ascii="仿宋" w:hAnsi="仿宋" w:eastAsia="仿宋" w:cs="仿宋"/>
          <w:bCs/>
          <w:color w:val="auto"/>
          <w:sz w:val="24"/>
          <w:szCs w:val="24"/>
          <w:highlight w:val="none"/>
          <w:u w:val="single"/>
          <w:lang w:eastAsia="zh-CN"/>
        </w:rPr>
        <w:t xml:space="preserve">百分之五十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50%</w:t>
      </w:r>
      <w:r>
        <w:rPr>
          <w:rFonts w:hint="eastAsia" w:ascii="仿宋" w:hAnsi="仿宋" w:eastAsia="仿宋" w:cs="仿宋"/>
          <w:bCs/>
          <w:color w:val="auto"/>
          <w:sz w:val="24"/>
          <w:szCs w:val="24"/>
          <w:highlight w:val="none"/>
          <w:lang w:eastAsia="zh-CN"/>
        </w:rPr>
        <w:t xml:space="preserve">)即￥</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，大写：人民币</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元整，在双方签订合同后10个工作日内</w:t>
      </w:r>
      <w:r>
        <w:rPr>
          <w:rFonts w:hint="eastAsia" w:ascii="仿宋" w:hAnsi="仿宋" w:eastAsia="仿宋" w:cs="仿宋"/>
          <w:color w:val="auto"/>
          <w:sz w:val="24"/>
          <w:szCs w:val="24"/>
          <w:highlight w:val="none"/>
          <w:lang w:eastAsia="zh-CN"/>
        </w:rPr>
        <w:t xml:space="preserve">，卖方向买方出具等额预付款保函后，由买方办理政府采购资金结算手续</w:t>
      </w:r>
      <w:r>
        <w:rPr>
          <w:rFonts w:hint="eastAsia" w:ascii="仿宋" w:hAnsi="仿宋" w:eastAsia="仿宋" w:cs="仿宋"/>
          <w:bCs/>
          <w:color w:val="auto"/>
          <w:sz w:val="24"/>
          <w:szCs w:val="24"/>
          <w:highlight w:val="none"/>
          <w:lang w:eastAsia="zh-CN"/>
        </w:rPr>
        <w:t xml:space="preserve">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w:t>
      </w:r>
      <w:r>
        <w:rPr>
          <w:rFonts w:hint="eastAsia" w:ascii="仿宋" w:hAnsi="仿宋" w:eastAsia="仿宋" w:cs="仿宋"/>
          <w:color w:val="auto"/>
          <w:sz w:val="24"/>
          <w:szCs w:val="24"/>
          <w:highlight w:val="none"/>
          <w:u w:val="single"/>
          <w:lang w:eastAsia="zh-CN"/>
        </w:rPr>
        <w:t xml:space="preserve">百分之五十</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u w:val="single"/>
          <w:lang w:eastAsia="zh-CN"/>
        </w:rPr>
        <w:t xml:space="preserve">50</w:t>
      </w:r>
      <w:r>
        <w:rPr>
          <w:rFonts w:hint="eastAsia" w:ascii="仿宋" w:hAnsi="仿宋" w:eastAsia="仿宋" w:cs="仿宋"/>
          <w:color w:val="auto"/>
          <w:sz w:val="24"/>
          <w:szCs w:val="24"/>
          <w:highlight w:val="none"/>
          <w:lang w:eastAsia="zh-CN"/>
        </w:rPr>
        <w:t xml:space="preserve">%)即￥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元整，合同标的全部交付并安装完毕验收后</w:t>
      </w:r>
      <w:r>
        <w:rPr>
          <w:rFonts w:hint="eastAsia" w:ascii="仿宋" w:hAnsi="仿宋" w:eastAsia="仿宋" w:cs="仿宋"/>
          <w:bCs/>
          <w:color w:val="auto"/>
          <w:sz w:val="24"/>
          <w:szCs w:val="24"/>
          <w:highlight w:val="none"/>
          <w:lang w:eastAsia="zh-CN"/>
        </w:rPr>
        <w:t xml:space="preserve">10个工作日内</w:t>
      </w:r>
      <w:r>
        <w:rPr>
          <w:rFonts w:hint="eastAsia" w:ascii="仿宋" w:hAnsi="仿宋" w:eastAsia="仿宋" w:cs="仿宋"/>
          <w:color w:val="auto"/>
          <w:sz w:val="24"/>
          <w:szCs w:val="24"/>
          <w:highlight w:val="none"/>
          <w:lang w:eastAsia="zh-CN"/>
        </w:rPr>
        <w:t xml:space="preserve">，由买方办理政府采购资金结算手续，经审核后支付给卖方。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卖方出具的全额正式发票；</w:t>
      </w:r>
      <w:r/>
    </w:p>
    <w:p>
      <w:pPr>
        <w:ind w:firstLine="484"/>
        <w:jc w:val="both"/>
        <w:spacing w:line="360"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（二）</w:t>
      </w:r>
      <w:r>
        <w:rPr>
          <w:rFonts w:hint="eastAsia" w:ascii="仿宋" w:hAnsi="仿宋" w:eastAsia="仿宋" w:cs="仿宋"/>
          <w:b/>
          <w:color w:val="auto"/>
          <w:sz w:val="24"/>
          <w:szCs w:val="24"/>
          <w:highlight w:val="none"/>
          <w:lang w:eastAsia="zh-CN"/>
        </w:rPr>
        <w:t xml:space="preserve">付款方式二：不提交预付款保函的</w:t>
      </w:r>
      <w:r/>
    </w:p>
    <w:p>
      <w:pPr>
        <w:pStyle w:val="823"/>
        <w:ind w:firstLine="484"/>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合同价款的</w:t>
      </w:r>
      <w:r>
        <w:rPr>
          <w:rFonts w:hint="eastAsia" w:ascii="仿宋" w:hAnsi="仿宋" w:eastAsia="仿宋" w:cs="仿宋"/>
          <w:bCs/>
          <w:color w:val="auto"/>
          <w:sz w:val="24"/>
          <w:szCs w:val="24"/>
          <w:highlight w:val="none"/>
          <w:u w:val="single"/>
          <w:lang w:eastAsia="zh-CN"/>
        </w:rPr>
        <w:t xml:space="preserve">百分之三十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30%</w:t>
      </w:r>
      <w:r>
        <w:rPr>
          <w:rFonts w:hint="eastAsia" w:ascii="仿宋" w:hAnsi="仿宋" w:eastAsia="仿宋" w:cs="仿宋"/>
          <w:bCs/>
          <w:color w:val="auto"/>
          <w:sz w:val="24"/>
          <w:szCs w:val="24"/>
          <w:highlight w:val="none"/>
          <w:lang w:eastAsia="zh-CN"/>
        </w:rPr>
        <w:t xml:space="preserve">)即￥</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，大写：人民币</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元整，在双方签订合同后10个工作日内</w:t>
      </w:r>
      <w:r>
        <w:rPr>
          <w:rFonts w:hint="eastAsia" w:ascii="仿宋" w:hAnsi="仿宋" w:eastAsia="仿宋" w:cs="仿宋"/>
          <w:color w:val="auto"/>
          <w:sz w:val="24"/>
          <w:szCs w:val="24"/>
          <w:highlight w:val="none"/>
          <w:lang w:eastAsia="zh-CN"/>
        </w:rPr>
        <w:t xml:space="preserve">，办理政府采购资金结算手续支付给卖方。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合同价款的百分之七十(70%)即￥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，大写：</w:t>
      </w:r>
      <w:r>
        <w:rPr>
          <w:rFonts w:hint="eastAsia" w:ascii="仿宋" w:hAnsi="仿宋" w:eastAsia="仿宋" w:cs="仿宋"/>
          <w:color w:val="auto"/>
          <w:sz w:val="24"/>
          <w:szCs w:val="24"/>
          <w:highlight w:val="none"/>
          <w:u w:val="single"/>
          <w:lang w:eastAsia="zh-CN"/>
        </w:rPr>
        <w:t xml:space="preserve">   人民币</w:t>
      </w:r>
      <w:r>
        <w:rPr>
          <w:rFonts w:hint="eastAsia" w:ascii="仿宋" w:hAnsi="仿宋" w:eastAsia="仿宋" w:cs="仿宋"/>
          <w:color w:val="auto"/>
          <w:sz w:val="24"/>
          <w:szCs w:val="24"/>
          <w:highlight w:val="none"/>
          <w:lang w:eastAsia="zh-CN"/>
        </w:rPr>
        <w:t xml:space="preserve">              元，合同标的全部交付并安装完毕通过验收后，卖方应按要求向买方报送竣工验收资料和竣工结算资料，由买方主管或财审部门办理结算审计，卖方自愿按审计结果执行，且为终局审计。待出具审计结论之日起10个工作日内一次性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卖方出具的全额正式发票。</w:t>
      </w:r>
      <w:r/>
    </w:p>
    <w:p>
      <w:pPr>
        <w:pStyle w:val="81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4.2履约保证金</w:t>
      </w:r>
      <w:r/>
    </w:p>
    <w:p>
      <w:pPr>
        <w:pStyle w:val="817"/>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签订合同前，卖方应向买方支付履约保证金，履约保证金金额为中标金额的百分之</w:t>
      </w:r>
      <w:r>
        <w:rPr>
          <w:rFonts w:hint="eastAsia" w:ascii="仿宋" w:hAnsi="仿宋" w:eastAsia="仿宋" w:cs="仿宋"/>
          <w:color w:val="auto"/>
          <w:sz w:val="24"/>
          <w:highlight w:val="none"/>
          <w:u w:val="single"/>
          <w:lang w:eastAsia="zh-CN"/>
        </w:rPr>
        <w:t xml:space="preserve">十</w:t>
      </w:r>
      <w:r>
        <w:rPr>
          <w:rFonts w:hint="eastAsia" w:ascii="仿宋" w:hAnsi="仿宋" w:eastAsia="仿宋" w:cs="仿宋"/>
          <w:color w:val="auto"/>
          <w:sz w:val="24"/>
          <w:highlight w:val="none"/>
          <w:lang w:eastAsia="zh-CN"/>
        </w:rPr>
        <w:t xml:space="preserve">（10%）大写：人民币</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元（小写：¥</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元），履约保证金存放期间不计利息。</w:t>
      </w:r>
      <w:r/>
    </w:p>
    <w:p>
      <w:pPr>
        <w:pStyle w:val="81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履约保证金形式：卖方应在收到成交通知书后签订合同前，需向买方交纳履约保证金，履约保证金可选择以支票、本票、汇票或金融机构、担保机构出具的保函等非现金形式。</w:t>
      </w:r>
      <w:r/>
    </w:p>
    <w:p>
      <w:pPr>
        <w:pStyle w:val="81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履约保证金退还：质保期满后，结算违约赔偿（如有）后7个工作日内无息退还给卖方；卖方需出具买方提供的《验收书》，如未提供，履约保证金不予退还。</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5.1卖方应于合同生效日后，</w:t>
      </w:r>
      <w:r>
        <w:rPr>
          <w:rFonts w:hint="eastAsia" w:ascii="仿宋" w:hAnsi="仿宋" w:eastAsia="仿宋" w:cs="仿宋"/>
          <w:color w:val="auto"/>
          <w:sz w:val="24"/>
          <w:highlight w:val="none"/>
          <w:lang w:eastAsia="zh-CN"/>
        </w:rPr>
        <w:t xml:space="preserve">皓志园30日内供货完成，云鹤园60日内供货完成。</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5.2交货地点为</w:t>
      </w:r>
      <w:r>
        <w:rPr>
          <w:rFonts w:hint="eastAsia" w:ascii="仿宋" w:hAnsi="仿宋" w:eastAsia="仿宋" w:cs="仿宋"/>
          <w:color w:val="auto"/>
          <w:sz w:val="24"/>
          <w:highlight w:val="none"/>
          <w:u w:val="single"/>
          <w:lang w:eastAsia="zh-CN"/>
        </w:rPr>
        <w:t xml:space="preserve">买方指定地点</w:t>
      </w:r>
      <w:r>
        <w:rPr>
          <w:rFonts w:hint="eastAsia" w:ascii="仿宋" w:hAnsi="仿宋" w:eastAsia="仿宋" w:cs="仿宋"/>
          <w:color w:val="auto"/>
          <w:sz w:val="24"/>
          <w:highlight w:val="none"/>
          <w:lang w:eastAsia="zh-CN"/>
        </w:rPr>
        <w:t xml:space="preserve">。</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5.3卖方应在不迟于合同标的备妥待运前</w:t>
      </w:r>
      <w:r>
        <w:rPr>
          <w:rFonts w:hint="eastAsia" w:ascii="仿宋" w:hAnsi="仿宋" w:eastAsia="仿宋" w:cs="仿宋"/>
          <w:color w:val="auto"/>
          <w:sz w:val="24"/>
          <w:highlight w:val="none"/>
          <w:u w:val="single"/>
          <w:lang w:eastAsia="zh-CN"/>
        </w:rPr>
        <w:t xml:space="preserve"> 5 </w:t>
      </w:r>
      <w:r>
        <w:rPr>
          <w:rFonts w:hint="eastAsia" w:ascii="仿宋" w:hAnsi="仿宋" w:eastAsia="仿宋" w:cs="仿宋"/>
          <w:color w:val="auto"/>
          <w:sz w:val="24"/>
          <w:highlight w:val="none"/>
          <w:lang w:eastAsia="zh-CN"/>
        </w:rPr>
        <w:t xml:space="preserve">日通知买方。</w:t>
      </w:r>
      <w:r/>
    </w:p>
    <w:p>
      <w:pPr>
        <w:ind w:firstLine="54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5.5</w:t>
      </w:r>
      <w:r>
        <w:rPr>
          <w:rFonts w:hint="eastAsia" w:ascii="仿宋" w:hAnsi="仿宋" w:eastAsia="仿宋" w:cs="仿宋"/>
          <w:color w:val="auto"/>
          <w:sz w:val="24"/>
          <w:highlight w:val="none"/>
          <w:lang w:eastAsia="zh-CN"/>
        </w:rPr>
        <w:t xml:space="preserve">如果卖方未能按照合同规定的交货期限交货，卖方应按每天迟交合同标的金额的百分之</w:t>
      </w:r>
      <w:r>
        <w:rPr>
          <w:rFonts w:hint="eastAsia" w:ascii="仿宋" w:hAnsi="仿宋" w:eastAsia="仿宋" w:cs="仿宋"/>
          <w:color w:val="auto"/>
          <w:sz w:val="24"/>
          <w:highlight w:val="none"/>
          <w:u w:val="single"/>
          <w:lang w:eastAsia="zh-CN"/>
        </w:rPr>
        <w:t xml:space="preserve">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5</w:t>
      </w:r>
      <w:r>
        <w:rPr>
          <w:rFonts w:hint="eastAsia" w:ascii="仿宋" w:hAnsi="仿宋" w:eastAsia="仿宋" w:cs="仿宋"/>
          <w:color w:val="auto"/>
          <w:sz w:val="24"/>
          <w:highlight w:val="none"/>
          <w:lang w:eastAsia="zh-CN"/>
        </w:rPr>
        <w:t xml:space="preserve">%)的比率支付违约金。违约金的总金额不超过合同总价的百分之</w:t>
      </w:r>
      <w:r>
        <w:rPr>
          <w:rFonts w:hint="eastAsia" w:ascii="仿宋" w:hAnsi="仿宋" w:eastAsia="仿宋" w:cs="仿宋"/>
          <w:color w:val="auto"/>
          <w:sz w:val="24"/>
          <w:highlight w:val="none"/>
          <w:u w:val="single"/>
          <w:lang w:eastAsia="zh-CN"/>
        </w:rPr>
        <w:t xml:space="preserve">二十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20</w:t>
      </w:r>
      <w:r>
        <w:rPr>
          <w:rFonts w:hint="eastAsia" w:ascii="仿宋" w:hAnsi="仿宋" w:eastAsia="仿宋" w:cs="仿宋"/>
          <w:color w:val="auto"/>
          <w:sz w:val="24"/>
          <w:highlight w:val="none"/>
          <w:lang w:eastAsia="zh-CN"/>
        </w:rPr>
        <w:t xml:space="preserve">%) ，违约金的支付不能免除卖方继续交付相关合同标的的义务。</w:t>
      </w:r>
      <w:r/>
    </w:p>
    <w:p>
      <w:pPr>
        <w:pStyle w:val="897"/>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卖方未能按照封存样品及技术要求、项目实施要求供货，视为产品全部不合格，卖方承担违约责任，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pStyle w:val="897"/>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如果卖方未按照承诺提供售后服务、维保等相关服务的，买方有权委托第三方服务单位进行维修保养，费用由卖方承担。</w:t>
      </w:r>
      <w:r/>
    </w:p>
    <w:p>
      <w:pPr>
        <w:pStyle w:val="817"/>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第七条 技术资料随合同标的同时交付给买方。</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ind w:left="502" w:firstLine="6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自双方签订合同之日起卖方进行备料制作，必须确保皓志园30日内供货完成，云鹤园60日内供货完成。</w:t>
      </w:r>
      <w:r/>
    </w:p>
    <w:p>
      <w:pPr>
        <w:ind w:left="502" w:firstLine="6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9.1 签订合同后，所有标的出厂需经买方验收后方可发货。</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9.2 合同标的的验收应在卖方的协助下进行。合同标的全部交付并安装完毕后，卖方可向买方书面提出验收要求，买方在接到书面要求后 3 日进行验收。如果验收因卖方原因发生迟延或在其它情况下发生额外费用，买方有权就因迟延发生的损害和损失或任何额外费用请求赔偿。</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11.1买方有权选择本条款规定的任意或全部救济方式。</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诉讼保全担保费等。</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12.3 如果不可抗力事件的影响持续超过20日，合同任何一方均有权发出书面通知终止合同。</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13.1如果卖方有下述违约行为，买方可以全部或部分地终止合同：</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卖方在合同规定的交货期限后</w:t>
      </w:r>
      <w:r>
        <w:rPr>
          <w:rFonts w:hint="eastAsia" w:ascii="仿宋" w:hAnsi="仿宋" w:eastAsia="仿宋" w:cs="仿宋"/>
          <w:color w:val="auto"/>
          <w:sz w:val="24"/>
          <w:highlight w:val="none"/>
          <w:u w:val="single"/>
          <w:lang w:eastAsia="zh-CN"/>
        </w:rPr>
        <w:t xml:space="preserve">10</w:t>
      </w:r>
      <w:r>
        <w:rPr>
          <w:rFonts w:hint="eastAsia" w:ascii="仿宋" w:hAnsi="仿宋" w:eastAsia="仿宋" w:cs="仿宋"/>
          <w:color w:val="auto"/>
          <w:sz w:val="24"/>
          <w:highlight w:val="none"/>
          <w:lang w:eastAsia="zh-CN"/>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highlight w:val="none"/>
          <w:u w:val="single"/>
          <w:lang w:eastAsia="zh-CN"/>
        </w:rPr>
        <w:t xml:space="preserve">5</w:t>
      </w:r>
      <w:r>
        <w:rPr>
          <w:rFonts w:hint="eastAsia" w:ascii="仿宋" w:hAnsi="仿宋" w:eastAsia="仿宋" w:cs="仿宋"/>
          <w:color w:val="auto"/>
          <w:sz w:val="24"/>
          <w:highlight w:val="none"/>
          <w:lang w:eastAsia="zh-CN"/>
        </w:rPr>
        <w:t xml:space="preserve">日内仍未能对其违约行为作出补救。</w:t>
      </w:r>
      <w:r/>
    </w:p>
    <w:p>
      <w:pPr>
        <w:ind w:firstLine="480"/>
        <w:spacing w:line="560" w:lineRule="exact"/>
        <w:shd w:val="solid" w:color="ffffff" w:fil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bookmarkStart w:id="2" w:name="_Hlk209627217"/>
      <w:r>
        <w:rPr>
          <w:rFonts w:hint="eastAsia" w:ascii="仿宋" w:hAnsi="仿宋" w:eastAsia="仿宋" w:cs="宋体"/>
          <w:color w:val="auto"/>
          <w:sz w:val="30"/>
          <w:szCs w:val="30"/>
          <w:highlight w:val="none"/>
          <w:lang w:eastAsia="zh-CN"/>
        </w:rPr>
        <w:t xml:space="preserve">，</w:t>
      </w:r>
      <w:r>
        <w:rPr>
          <w:rFonts w:hint="eastAsia" w:ascii="仿宋" w:hAnsi="仿宋" w:eastAsia="仿宋" w:cs="仿宋"/>
          <w:color w:val="auto"/>
          <w:sz w:val="24"/>
          <w:highlight w:val="none"/>
          <w:lang w:eastAsia="zh-CN"/>
        </w:rPr>
        <w:t xml:space="preserve">卖方均自愿</w:t>
      </w:r>
      <w:bookmarkEnd w:id="2"/>
      <w:r>
        <w:rPr>
          <w:rFonts w:hint="eastAsia" w:ascii="仿宋" w:hAnsi="仿宋" w:eastAsia="仿宋" w:cs="仿宋"/>
          <w:color w:val="auto"/>
          <w:sz w:val="24"/>
          <w:highlight w:val="none"/>
          <w:lang w:eastAsia="zh-CN"/>
        </w:rPr>
        <w:t xml:space="preserve">按有关违约责任条款的约定向买方支付违约金，若给买方造成相应损失的，卖方自愿另行据实赔偿。</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ind w:firstLine="54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如不能协商一致，合同任何一方有权向买方所在地人民法院提起诉讼。因维权所支出的律师费、鉴定费、公证费、交通费等由违约方承担。 </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18.10 按照《财政部关于做好政府采购信息公开工作的通知》（财库〔2015〕135号），买方依据《保守国家秘密法》等法律制度规定确定本合同</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部分涉及国家秘密，该涉及国家秘密部分不公告；买方依据《反不正当竞争法》等法律制度的规定与卖方约定本合同</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部分涉及商业秘密，该涉及商业秘密部分不公告。</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18.11 双方送达地址及联系方式</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一方的送达方式和送达地址在发生变更后应当及时书面通知另一方，否则依法邮寄到约定地址均视为已经送达；任何一方拒收均视为已经送达。</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合同双方的法定送达地址： </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买方（签章）： </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法定代表人或授权代表(签名)：</w:t>
      </w:r>
      <w:r/>
    </w:p>
    <w:p>
      <w:pPr>
        <w:pStyle w:val="81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联系人：</w:t>
      </w:r>
      <w:r/>
    </w:p>
    <w:p>
      <w:pPr>
        <w:pStyle w:val="81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联系方式：</w:t>
      </w:r>
      <w:r/>
    </w:p>
    <w:p>
      <w:pPr>
        <w:ind w:firstLine="480"/>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 xml:space="preserve">签订日期：</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卖方（签章）：</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法定代表人或授权代表(签名)：</w:t>
      </w:r>
      <w:r/>
    </w:p>
    <w:p>
      <w:pPr>
        <w:pStyle w:val="81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联系人：</w:t>
      </w:r>
      <w:r/>
    </w:p>
    <w:p>
      <w:pPr>
        <w:pStyle w:val="819"/>
        <w:ind w:left="0" w:firstLine="480"/>
        <w:spacing w:line="36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eastAsia="zh-CN"/>
        </w:rPr>
        <w:t xml:space="preserve">联系方式：</w:t>
      </w:r>
      <w:r/>
    </w:p>
    <w:p>
      <w:pPr>
        <w:ind w:firstLine="480"/>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color w:val="auto"/>
          <w:sz w:val="24"/>
          <w:highlight w:val="none"/>
          <w:lang w:eastAsia="zh-CN"/>
        </w:rPr>
        <w:t xml:space="preserve">签订日期：</w:t>
      </w:r>
      <w:r/>
    </w:p>
    <w:p>
      <w:pPr>
        <w:jc w:val="center"/>
        <w:rPr>
          <w:rFonts w:hint="eastAsia" w:ascii="仿宋" w:hAnsi="仿宋" w:eastAsia="仿宋" w:cs="仿宋"/>
          <w:b/>
          <w:bCs/>
          <w:color w:val="auto"/>
          <w:sz w:val="36"/>
          <w:szCs w:val="36"/>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6"/>
          <w:szCs w:val="36"/>
          <w:highlight w:val="none"/>
          <w:lang w:eastAsia="zh-CN"/>
        </w:rPr>
      </w:r>
      <w:r/>
    </w:p>
    <w:p>
      <w:pPr>
        <w:jc w:val="center"/>
        <w:rPr>
          <w:rFonts w:ascii="宋体" w:hAnsi="宋体" w:cs="宋体"/>
          <w:color w:val="auto"/>
          <w:sz w:val="40"/>
          <w:szCs w:val="40"/>
          <w:highlight w:val="none"/>
          <w:lang w:eastAsia="zh-CN"/>
        </w:rPr>
      </w:pPr>
      <w:r>
        <w:rPr>
          <w:rFonts w:hint="eastAsia" w:ascii="宋体" w:hAnsi="宋体" w:cs="宋体"/>
          <w:b/>
          <w:bCs/>
          <w:color w:val="auto"/>
          <w:sz w:val="36"/>
          <w:szCs w:val="36"/>
          <w:highlight w:val="none"/>
          <w:lang w:eastAsia="zh-CN"/>
        </w:rPr>
        <w:t xml:space="preserve">合同附件</w:t>
      </w:r>
      <w:r/>
    </w:p>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目  录</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合同附件1：合同协议书</w:t>
      </w:r>
      <w:r/>
    </w:p>
    <w:p>
      <w:pPr>
        <w:rPr>
          <w:rFonts w:ascii="宋体" w:hAnsi="宋体" w:cs="宋体"/>
          <w:color w:val="auto"/>
          <w:sz w:val="24"/>
          <w:highlight w:val="none"/>
          <w:lang w:eastAsia="zh-CN"/>
        </w:rPr>
      </w:pPr>
      <w:r>
        <w:rPr>
          <w:rFonts w:ascii="宋体" w:hAnsi="宋体" w:cs="宋体"/>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合同附件2：技术规格和技术性能</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要求见招标文件第五章《采购需求》；合同见卖方投标文件。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合同附件3：售后服务和技术培训</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要求见招标文件第五章《采购需求》；合同见卖方投标文件。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合同附件4：供货范围和价格清单</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要求见招标文件第七章《投标文件相关格式》中《开标一览表》和《分项价格表》；合同见卖方投标文件。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ascii="宋体" w:hAnsi="宋体" w:cs="宋体"/>
          <w:color w:val="auto"/>
          <w:sz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合同附件1：</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合同协议书</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合同编号:____________ </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签字日期:____________ </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签字地点:____________ </w:t>
      </w:r>
      <w:r/>
    </w:p>
    <w:p>
      <w:pPr>
        <w:ind w:firstLine="41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 xml:space="preserve">徐州市殡葬管理服务中心</w:t>
      </w:r>
      <w:r>
        <w:rPr>
          <w:rFonts w:hint="eastAsia" w:ascii="仿宋" w:hAnsi="仿宋" w:eastAsia="仿宋" w:cs="仿宋"/>
          <w:color w:val="auto"/>
          <w:sz w:val="24"/>
          <w:highlight w:val="none"/>
          <w:lang w:eastAsia="zh-CN"/>
        </w:rPr>
        <w:t xml:space="preserve">（买方名称）（以下简称“买方”）已接受</w:t>
      </w:r>
      <w:r>
        <w:rPr>
          <w:rFonts w:hint="eastAsia" w:ascii="仿宋" w:hAnsi="仿宋" w:eastAsia="仿宋" w:cs="仿宋"/>
          <w:color w:val="auto"/>
          <w:sz w:val="24"/>
          <w:highlight w:val="none"/>
          <w:u w:val="single"/>
          <w:lang w:eastAsia="zh-CN"/>
        </w:rPr>
        <w:t xml:space="preserve">           （卖方名称）</w:t>
      </w:r>
      <w:r>
        <w:rPr>
          <w:rFonts w:hint="eastAsia" w:ascii="仿宋" w:hAnsi="仿宋" w:eastAsia="仿宋" w:cs="仿宋"/>
          <w:color w:val="auto"/>
          <w:sz w:val="24"/>
          <w:highlight w:val="none"/>
          <w:lang w:eastAsia="zh-CN"/>
        </w:rPr>
        <w:t xml:space="preserve">（以下简称“卖方”）对</w:t>
      </w:r>
      <w:r>
        <w:rPr>
          <w:rFonts w:hint="eastAsia" w:ascii="仿宋" w:hAnsi="仿宋" w:eastAsia="仿宋" w:cs="仿宋"/>
          <w:color w:val="auto"/>
          <w:sz w:val="24"/>
          <w:highlight w:val="none"/>
          <w:u w:val="single"/>
          <w:lang w:eastAsia="zh-CN"/>
        </w:rPr>
        <w:t xml:space="preserve">徐州市殡葬管理服务中心汉王公墓管理所2026年度石材采购项目</w:t>
      </w:r>
      <w:r>
        <w:rPr>
          <w:rFonts w:hint="eastAsia" w:ascii="仿宋" w:hAnsi="仿宋" w:eastAsia="仿宋" w:cs="仿宋"/>
          <w:color w:val="auto"/>
          <w:sz w:val="24"/>
          <w:highlight w:val="none"/>
          <w:lang w:eastAsia="zh-CN"/>
        </w:rPr>
        <w:t xml:space="preserve">（项目名称）[项目编号JSZC-320300-ZHZC-G2026-0013]的投标。买方和卖方共同达成如下协议。</w:t>
      </w:r>
      <w:r/>
    </w:p>
    <w:p>
      <w:pPr>
        <w:ind w:left="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1.本合同协议书中的词语和术语的含义与合同条款中定义的相同。</w:t>
      </w:r>
      <w:r/>
    </w:p>
    <w:p>
      <w:pPr>
        <w:ind w:firstLine="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2.以下文件应构成买方和卖方之间达成的合同，若各文件之间存在含糊不清或互相冲突之处，优先顺序应按下列文件顺序解释。</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 合同协议书</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 中标通知书</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 合同专用条款</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 合同通用条款</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 除合同附件1外的合同附件</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 其他文件</w:t>
      </w:r>
      <w:r/>
    </w:p>
    <w:p>
      <w:pPr>
        <w:pStyle w:val="830"/>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上述文件与招标人的招标文件和中标人的投标文件实质性内容相背离的，应执行招标人的招标文件和中标人的投标文件规定。</w:t>
      </w:r>
      <w:r/>
    </w:p>
    <w:p>
      <w:pPr>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5.本合同在下列条件全部满足后生效，生效日期以下列条件全部满足的最晚日期为准： </w:t>
      </w:r>
      <w:r/>
    </w:p>
    <w:p>
      <w:pPr>
        <w:ind w:left="440" w:firstLine="12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双方加盖公章或合同专用章；</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6.合同一式</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份，具有同等法律效力，买方</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份，卖方</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7.本合同其他未尽事宜及与采购文件有矛盾之处，以采购文件[项目编号：JSZC-320300-ZHZC-G2026-0013]为准。</w:t>
      </w:r>
      <w:r/>
    </w:p>
    <w:p>
      <w:pPr>
        <w:ind w:firstLine="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买方和卖方由其正式授权代表于上述所写日期和地点签订本合同。</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买方（签章）：___________________________________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法定代表人或授权代表(签名)： 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开户银行：_______________________________________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银行帐号： ______________________________________</w:t>
      </w:r>
      <w:r/>
    </w:p>
    <w:p>
      <w:pPr>
        <w:ind w:firstLine="3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卖方（签章）： 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法定代表人或授权代表(签名)： 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开户银行：_______________________________________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银行帐号：_______________________________________</w:t>
      </w:r>
      <w:r/>
    </w:p>
    <w:p>
      <w:pPr>
        <w:jc w:val="both"/>
        <w:rPr>
          <w:color w:val="auto"/>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6"/>
          <w:szCs w:val="36"/>
          <w:highlight w:val="none"/>
          <w:lang w:eastAsia="zh-CN"/>
        </w:rPr>
        <w:t xml:space="preserve">  </w:t>
      </w:r>
      <w:r>
        <w:rPr>
          <w:rFonts w:hint="eastAsia" w:ascii="仿宋" w:hAnsi="仿宋" w:eastAsia="仿宋" w:cs="仿宋"/>
          <w:color w:val="auto"/>
          <w:sz w:val="24"/>
          <w:highlight w:val="none"/>
          <w:lang w:eastAsia="zh-CN"/>
        </w:rPr>
        <w:t xml:space="preserve">签订时间：      年   月   日</w:t>
      </w:r>
      <w:r/>
    </w:p>
    <w:p>
      <w:pPr>
        <w:jc w:val="center"/>
        <w:spacing w:after="0" w:line="720" w:lineRule="atLeast"/>
        <w:rPr>
          <w:rFonts w:hint="eastAsia" w:ascii="仿宋" w:hAnsi="仿宋" w:eastAsia="仿宋" w:cs="仿宋"/>
          <w:b/>
          <w:color w:val="auto"/>
          <w:sz w:val="30"/>
          <w:highlight w:val="none"/>
          <w:lang w:eastAsia="zh-CN"/>
        </w:rPr>
        <w:pBdr>
          <w:top w:val="none" w:color="000000" w:sz="0" w:space="28"/>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lang w:eastAsia="zh-CN"/>
        </w:rPr>
        <w:t xml:space="preserve">第六章  采购需求</w:t>
      </w:r>
      <w:r/>
    </w:p>
    <w:p>
      <w:pPr>
        <w:jc w:val="both"/>
        <w:spacing w:line="400" w:lineRule="exact"/>
        <w:widowControl w:val="off"/>
        <w:rPr>
          <w:rFonts w:hint="eastAsia" w:ascii="仿宋" w:hAnsi="仿宋" w:eastAsia="仿宋" w:cs="仿宋"/>
          <w:b/>
          <w:color w:val="auto"/>
          <w:sz w:val="24"/>
          <w:szCs w:val="24"/>
          <w:highlight w:val="none"/>
          <w:lang w:eastAsia="zh-CN"/>
        </w:rPr>
      </w:pPr>
      <w:r/>
      <w:bookmarkStart w:id="3" w:name="OLE_LINK16"/>
      <w:r/>
      <w:bookmarkStart w:id="4" w:name="OLE_LINK12"/>
      <w:r>
        <w:rPr>
          <w:rFonts w:hint="eastAsia" w:ascii="仿宋" w:hAnsi="仿宋" w:eastAsia="仿宋" w:cs="仿宋"/>
          <w:b/>
          <w:color w:val="auto"/>
          <w:szCs w:val="21"/>
          <w:highlight w:val="none"/>
          <w:lang w:eastAsia="zh-CN"/>
        </w:rPr>
        <w:t xml:space="preserve">  </w:t>
      </w:r>
      <w:r>
        <w:rPr>
          <w:rFonts w:hint="eastAsia" w:ascii="仿宋" w:hAnsi="仿宋" w:eastAsia="仿宋" w:cs="仿宋"/>
          <w:b/>
          <w:color w:val="auto"/>
          <w:sz w:val="24"/>
          <w:szCs w:val="24"/>
          <w:highlight w:val="none"/>
          <w:lang w:eastAsia="zh-CN"/>
        </w:rPr>
        <w:t xml:space="preserve">一、采购标的：</w:t>
      </w:r>
      <w:r/>
    </w:p>
    <w:p>
      <w:pPr>
        <w:ind w:firstLine="723"/>
        <w:jc w:val="both"/>
        <w:spacing w:line="400" w:lineRule="exact"/>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1.项目名称：徐州市殡葬管理服务中心汉王公墓管理所2026年度石材采购项目</w:t>
      </w:r>
      <w:r/>
    </w:p>
    <w:p>
      <w:pPr>
        <w:ind w:firstLine="723"/>
        <w:jc w:val="both"/>
        <w:spacing w:line="40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2.采购内容：汉王公墓管理所墓穴石材采购</w:t>
      </w:r>
      <w:r>
        <w:rPr>
          <w:rFonts w:hint="eastAsia" w:ascii="仿宋" w:hAnsi="仿宋" w:eastAsia="仿宋" w:cs="宋体"/>
          <w:b/>
          <w:bCs/>
          <w:color w:val="auto"/>
          <w:sz w:val="24"/>
          <w:szCs w:val="24"/>
          <w:highlight w:val="none"/>
          <w:lang w:eastAsia="zh-CN"/>
        </w:rPr>
        <w:t xml:space="preserve">。</w:t>
      </w:r>
      <w:r/>
    </w:p>
    <w:p>
      <w:pPr>
        <w:ind w:firstLine="720"/>
        <w:jc w:val="both"/>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b/>
          <w:color w:val="auto"/>
          <w:sz w:val="24"/>
          <w:szCs w:val="24"/>
          <w:highlight w:val="none"/>
          <w:lang w:eastAsia="zh-CN"/>
        </w:rPr>
        <w:t xml:space="preserve">本项目预算为</w:t>
      </w:r>
      <w:r>
        <w:rPr>
          <w:rFonts w:hint="eastAsia" w:ascii="仿宋" w:hAnsi="仿宋" w:eastAsia="仿宋" w:cs="仿宋"/>
          <w:b/>
          <w:color w:val="auto"/>
          <w:sz w:val="24"/>
          <w:szCs w:val="24"/>
          <w:highlight w:val="none"/>
          <w:lang w:val="en-US" w:eastAsia="zh-CN"/>
        </w:rPr>
        <w:t xml:space="preserve">400万元，最高限价为</w:t>
      </w:r>
      <w:r>
        <w:rPr>
          <w:rFonts w:hint="eastAsia" w:ascii="仿宋" w:hAnsi="仿宋" w:eastAsia="仿宋" w:cs="仿宋"/>
          <w:b/>
          <w:color w:val="auto"/>
          <w:sz w:val="24"/>
          <w:szCs w:val="24"/>
          <w:highlight w:val="none"/>
          <w:u w:val="single"/>
          <w:lang w:eastAsia="zh-CN"/>
        </w:rPr>
        <w:t xml:space="preserve">336.04万</w:t>
      </w:r>
      <w:r>
        <w:rPr>
          <w:rFonts w:hint="eastAsia" w:ascii="仿宋" w:hAnsi="仿宋" w:eastAsia="仿宋" w:cs="仿宋"/>
          <w:b/>
          <w:color w:val="auto"/>
          <w:sz w:val="24"/>
          <w:szCs w:val="24"/>
          <w:highlight w:val="none"/>
          <w:lang w:eastAsia="zh-CN"/>
        </w:rPr>
        <w:t xml:space="preserve">元人民币，</w:t>
      </w:r>
      <w:bookmarkEnd w:id="3"/>
      <w:r/>
      <w:bookmarkEnd w:id="4"/>
      <w:r>
        <w:rPr>
          <w:rFonts w:hint="eastAsia" w:ascii="仿宋" w:hAnsi="仿宋" w:eastAsia="仿宋" w:cs="仿宋"/>
          <w:color w:val="auto"/>
          <w:sz w:val="24"/>
          <w:szCs w:val="24"/>
          <w:highlight w:val="none"/>
          <w:lang w:eastAsia="zh-CN"/>
        </w:rPr>
        <w:t xml:space="preserve">投标报价包括但不限于设备主材费、辅助材料费、包装费、运费、保险费、装卸费、</w:t>
      </w:r>
      <w:r>
        <w:rPr>
          <w:rFonts w:hint="eastAsia" w:ascii="仿宋" w:hAnsi="仿宋" w:eastAsia="仿宋" w:cs="仿宋"/>
          <w:color w:val="auto"/>
          <w:sz w:val="24"/>
          <w:szCs w:val="24"/>
          <w:highlight w:val="none"/>
          <w:lang w:val="en-US" w:eastAsia="zh-CN"/>
        </w:rPr>
        <w:t xml:space="preserve">指导安装费</w:t>
      </w:r>
      <w:r>
        <w:rPr>
          <w:rFonts w:hint="eastAsia" w:ascii="仿宋" w:hAnsi="仿宋" w:eastAsia="仿宋" w:cs="仿宋"/>
          <w:color w:val="auto"/>
          <w:sz w:val="24"/>
          <w:szCs w:val="24"/>
          <w:highlight w:val="none"/>
          <w:lang w:eastAsia="zh-CN"/>
        </w:rPr>
        <w:t xml:space="preserve">、安装用所有辅材费、、检测、培训、利润、税金等验收合格交付使用之前及保修期内保修服务与备用物件等以及配套器材等所有其他有关各项的含税费用</w:t>
      </w:r>
      <w:r>
        <w:rPr>
          <w:rStyle w:val="847"/>
          <w:rFonts w:hint="eastAsia" w:eastAsia="宋体"/>
          <w:color w:val="auto"/>
          <w:highlight w:val="none"/>
          <w:lang w:eastAsia="zh-CN"/>
        </w:rPr>
        <w:t xml:space="preserve">，</w:t>
      </w:r>
      <w:r>
        <w:rPr>
          <w:rFonts w:hint="eastAsia" w:ascii="仿宋" w:hAnsi="仿宋" w:eastAsia="仿宋" w:cs="仿宋"/>
          <w:color w:val="auto"/>
          <w:sz w:val="24"/>
          <w:szCs w:val="24"/>
          <w:highlight w:val="none"/>
          <w:lang w:eastAsia="zh-CN"/>
        </w:rPr>
        <w:t xml:space="preserve">采购人不再支付报价以外的任何费用。</w:t>
      </w:r>
      <w:r/>
    </w:p>
    <w:p>
      <w:pPr>
        <w:numPr>
          <w:ilvl w:val="0"/>
          <w:numId w:val="4"/>
        </w:numPr>
        <w:spacing w:after="0" w:line="360" w:lineRule="auto"/>
        <w:rPr>
          <w:color w:val="auto"/>
          <w:highlight w:val="none"/>
          <w:lang w:eastAsia="zh-CN"/>
        </w:rPr>
      </w:pPr>
      <w:r>
        <w:rPr>
          <w:rFonts w:hint="eastAsia" w:ascii="仿宋" w:hAnsi="仿宋" w:eastAsia="仿宋" w:cs="仿宋"/>
          <w:b/>
          <w:bCs/>
          <w:color w:val="auto"/>
          <w:sz w:val="24"/>
          <w:szCs w:val="24"/>
          <w:highlight w:val="none"/>
          <w:lang w:eastAsia="zh-CN"/>
        </w:rPr>
        <w:t xml:space="preserve">采购清单及技术规格要求：</w:t>
      </w:r>
      <w:r/>
    </w:p>
    <w:tbl>
      <w:tblPr>
        <w:tblStyle w:val="842"/>
        <w:tblW w:w="7846" w:type="dxa"/>
        <w:tblInd w:w="3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4223"/>
        <w:gridCol w:w="2400"/>
      </w:tblGrid>
      <w:tr>
        <w:trPr>
          <w:trHeight w:val="7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墓区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数量</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皓志园A1立碑（中国黑）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162套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皓志园W2卧碑（印度黑）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58套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皓志园壁葬（英国棕+芝麻白）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180套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云鹤园C1立碑（中国黑）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349套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云鹤园C2立碑（南非浅黑）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348套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云鹤园C3立碑（英国棕）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348套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云鹤园花葬1套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（15穴）</w:t>
            </w:r>
            <w:r/>
          </w:p>
        </w:tc>
      </w:tr>
    </w:tbl>
    <w:p>
      <w:pPr>
        <w:pStyle w:val="880"/>
        <w:rPr>
          <w:color w:val="auto"/>
          <w:highlight w:val="none"/>
          <w:lang w:eastAsia="zh-CN"/>
        </w:rPr>
      </w:pPr>
      <w:r>
        <w:rPr>
          <w:color w:val="auto"/>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rPr>
          <w:rFonts w:hint="eastAsia" w:ascii="宋体" w:hAnsi="宋体" w:eastAsia="宋体" w:cs="宋体"/>
          <w:b/>
          <w:bCs/>
          <w:color w:val="auto"/>
          <w:highlight w:val="none"/>
          <w:lang w:eastAsia="zh-CN"/>
        </w:rPr>
        <w:sectPr>
          <w:footerReference w:type="default" r:id="rId12"/>
          <w:footnotePr/>
          <w:endnotePr/>
          <w:type w:val="nextPage"/>
          <w:pgSz w:w="11906" w:h="16838" w:orient="portrait"/>
          <w:pgMar w:top="1440" w:right="1700" w:bottom="1440" w:left="1560" w:header="0" w:footer="0" w:gutter="0"/>
          <w:cols w:num="1" w:sep="0" w:space="720" w:equalWidth="1"/>
          <w:docGrid w:linePitch="360"/>
        </w:sectPr>
      </w:pPr>
      <w:r>
        <w:rPr>
          <w:rFonts w:hint="eastAsia" w:ascii="宋体" w:hAnsi="宋体" w:eastAsia="宋体" w:cs="宋体"/>
          <w:b/>
          <w:bCs/>
          <w:color w:val="auto"/>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1.皓志园墓穴图纸及样式图：</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233920" cy="5129530"/>
                <wp:effectExtent l="0" t="0" r="5080" b="13970"/>
                <wp:docPr id="3" name="图片 10" descr="皓志园墓穴图纸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皓志园墓穴图纸_01"/>
                        <pic:cNvPicPr>
                          <a:picLocks noChangeAspect="1"/>
                        </pic:cNvPicPr>
                        <pic:nvPr/>
                      </pic:nvPicPr>
                      <pic:blipFill>
                        <a:blip r:embed="rId25"/>
                        <a:stretch/>
                      </pic:blipFill>
                      <pic:spPr bwMode="auto">
                        <a:xfrm>
                          <a:off x="0" y="0"/>
                          <a:ext cx="7233920" cy="51295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69.6pt;height:403.9pt;mso-wrap-distance-left:0.0pt;mso-wrap-distance-top:0.0pt;mso-wrap-distance-right:0.0pt;mso-wrap-distance-bottom:0.0pt;" stroked="false">
                <v:path textboxrect="0,0,0,0"/>
                <v:imagedata r:id="rId25"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124700" cy="5052060"/>
                <wp:effectExtent l="0" t="0" r="0" b="15240"/>
                <wp:docPr id="4" name="图片 11" descr="皓志园墓穴图纸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皓志园墓穴图纸_02"/>
                        <pic:cNvPicPr>
                          <a:picLocks noChangeAspect="1"/>
                        </pic:cNvPicPr>
                        <pic:nvPr/>
                      </pic:nvPicPr>
                      <pic:blipFill>
                        <a:blip r:embed="rId26"/>
                        <a:stretch/>
                      </pic:blipFill>
                      <pic:spPr bwMode="auto">
                        <a:xfrm>
                          <a:off x="0" y="0"/>
                          <a:ext cx="7124700" cy="50520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61.0pt;height:397.8pt;mso-wrap-distance-left:0.0pt;mso-wrap-distance-top:0.0pt;mso-wrap-distance-right:0.0pt;mso-wrap-distance-bottom:0.0pt;" stroked="false">
                <v:path textboxrect="0,0,0,0"/>
                <v:imagedata r:id="rId26"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159625" cy="5076825"/>
                <wp:effectExtent l="0" t="0" r="3175" b="9525"/>
                <wp:docPr id="5" name="图片 12" descr="皓志园墓穴图纸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皓志园墓穴图纸_03"/>
                        <pic:cNvPicPr>
                          <a:picLocks noChangeAspect="1"/>
                        </pic:cNvPicPr>
                        <pic:nvPr/>
                      </pic:nvPicPr>
                      <pic:blipFill>
                        <a:blip r:embed="rId27"/>
                        <a:stretch/>
                      </pic:blipFill>
                      <pic:spPr bwMode="auto">
                        <a:xfrm>
                          <a:off x="0" y="0"/>
                          <a:ext cx="7159625" cy="5076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63.8pt;height:399.8pt;mso-wrap-distance-left:0.0pt;mso-wrap-distance-top:0.0pt;mso-wrap-distance-right:0.0pt;mso-wrap-distance-bottom:0.0pt;" stroked="false">
                <v:path textboxrect="0,0,0,0"/>
                <v:imagedata r:id="rId27"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1236" w:right="1440" w:bottom="1236"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348855" cy="5211445"/>
                <wp:effectExtent l="0" t="0" r="4445" b="8255"/>
                <wp:docPr id="6" name="图片 13" descr="皓志园墓穴图纸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皓志园墓穴图纸_04"/>
                        <pic:cNvPicPr>
                          <a:picLocks noChangeAspect="1"/>
                        </pic:cNvPicPr>
                        <pic:nvPr/>
                      </pic:nvPicPr>
                      <pic:blipFill>
                        <a:blip r:embed="rId28"/>
                        <a:stretch/>
                      </pic:blipFill>
                      <pic:spPr bwMode="auto">
                        <a:xfrm>
                          <a:off x="0" y="0"/>
                          <a:ext cx="7348855" cy="52114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8.6pt;height:410.3pt;mso-wrap-distance-left:0.0pt;mso-wrap-distance-top:0.0pt;mso-wrap-distance-right:0.0pt;mso-wrap-distance-bottom:0.0pt;" stroked="false">
                <v:path textboxrect="0,0,0,0"/>
                <v:imagedata r:id="rId28" o:title=""/>
              </v:shape>
            </w:pict>
          </mc:Fallback>
        </mc:AlternateContent>
      </w:r>
      <w:r/>
    </w:p>
    <w:p>
      <w:pPr>
        <w:jc w:val="both"/>
        <w:spacing w:after="0"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皓志园A1样式图：</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highlight w:val="none"/>
          <w:lang w:eastAsia="zh-CN"/>
        </w:rPr>
        <w:sectPr>
          <w:footnotePr/>
          <w:endnotePr/>
          <w:type w:val="nextPage"/>
          <w:pgSz w:w="11906" w:h="16838" w:orient="portrait"/>
          <w:pgMar w:top="1440" w:right="1236" w:bottom="1440" w:left="1236" w:header="851" w:footer="992" w:gutter="0"/>
          <w:cols w:num="1" w:sep="0" w:space="720" w:equalWidth="1"/>
          <w:docGrid w:linePitch="360"/>
        </w:sectPr>
      </w:pPr>
      <w:r>
        <w:rPr>
          <w:rFonts w:ascii="仿宋" w:hAnsi="仿宋" w:eastAsia="仿宋" w:cs="仿宋"/>
          <w:b/>
          <w:bCs/>
          <w:color w:val="auto"/>
          <w:highlight w:val="none"/>
          <w:lang w:eastAsia="zh-CN"/>
        </w:rPr>
        <mc:AlternateContent>
          <mc:Choice Requires="wpg">
            <w:drawing>
              <wp:inline xmlns:wp="http://schemas.openxmlformats.org/drawingml/2006/wordprocessingDrawing" distT="0" distB="0" distL="0" distR="0">
                <wp:extent cx="5118100" cy="5835650"/>
                <wp:effectExtent l="0" t="0" r="6350" b="12700"/>
                <wp:docPr id="7" name="图片 5" descr="皓志园A1样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皓志园A1样式图"/>
                        <pic:cNvPicPr>
                          <a:picLocks noChangeAspect="1"/>
                        </pic:cNvPicPr>
                        <pic:nvPr/>
                      </pic:nvPicPr>
                      <pic:blipFill>
                        <a:blip r:embed="rId29"/>
                        <a:stretch/>
                      </pic:blipFill>
                      <pic:spPr bwMode="auto">
                        <a:xfrm>
                          <a:off x="0" y="0"/>
                          <a:ext cx="5118100" cy="5835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03.0pt;height:459.5pt;mso-wrap-distance-left:0.0pt;mso-wrap-distance-top:0.0pt;mso-wrap-distance-right:0.0pt;mso-wrap-distance-bottom:0.0pt;" stroked="false">
                <v:path textboxrect="0,0,0,0"/>
                <v:imagedata r:id="rId29" o:title=""/>
              </v:shape>
            </w:pict>
          </mc:Fallback>
        </mc:AlternateContent>
      </w:r>
      <w:r/>
    </w:p>
    <w:p>
      <w:pPr>
        <w:jc w:val="both"/>
        <w:spacing w:after="0"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皓志园W2样式图：</w:t>
      </w:r>
      <w:r/>
    </w:p>
    <w:p>
      <w:pPr>
        <w:pStyle w:val="819"/>
        <w:ind w:left="0"/>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r>
      <w:r/>
    </w:p>
    <w:p>
      <w:pPr>
        <w:pStyle w:val="819"/>
        <w:ind w:left="0"/>
        <w:rPr>
          <w:rFonts w:hint="eastAsia" w:ascii="仿宋" w:hAnsi="仿宋" w:eastAsia="仿宋" w:cs="仿宋"/>
          <w:b/>
          <w:bCs/>
          <w:color w:val="auto"/>
          <w:highlight w:val="none"/>
          <w:lang w:eastAsia="zh-CN"/>
        </w:rPr>
        <w:sectPr>
          <w:footnotePr/>
          <w:endnotePr/>
          <w:type w:val="nextPage"/>
          <w:pgSz w:w="16838" w:h="11906" w:orient="landscape"/>
          <w:pgMar w:top="1236" w:right="1440" w:bottom="1236" w:left="1440" w:header="851" w:footer="992" w:gutter="0"/>
          <w:cols w:num="1" w:sep="0" w:space="720" w:equalWidth="1"/>
          <w:docGrid w:linePitch="360"/>
        </w:sectPr>
      </w:pPr>
      <w:r>
        <w:rPr>
          <w:rFonts w:hint="eastAsia"/>
          <w:color w:val="auto"/>
          <w:highlight w:val="none"/>
          <w:lang w:eastAsia="zh-CN"/>
        </w:rPr>
        <mc:AlternateContent>
          <mc:Choice Requires="wpg">
            <w:drawing>
              <wp:inline xmlns:wp="http://schemas.openxmlformats.org/drawingml/2006/wordprocessingDrawing" distT="0" distB="0" distL="0" distR="0">
                <wp:extent cx="7435215" cy="4715510"/>
                <wp:effectExtent l="0" t="0" r="13335" b="8890"/>
                <wp:docPr id="8" name="图片 16" descr="皓志园W2样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皓志园W2样式图"/>
                        <pic:cNvPicPr>
                          <a:picLocks noChangeAspect="1"/>
                        </pic:cNvPicPr>
                        <pic:nvPr/>
                      </pic:nvPicPr>
                      <pic:blipFill>
                        <a:blip r:embed="rId30"/>
                        <a:stretch/>
                      </pic:blipFill>
                      <pic:spPr bwMode="auto">
                        <a:xfrm>
                          <a:off x="0" y="0"/>
                          <a:ext cx="7435215" cy="47155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5.4pt;height:371.3pt;mso-wrap-distance-left:0.0pt;mso-wrap-distance-top:0.0pt;mso-wrap-distance-right:0.0pt;mso-wrap-distance-bottom:0.0pt;" stroked="false">
                <v:path textboxrect="0,0,0,0"/>
                <v:imagedata r:id="rId30"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2.皓志园壁葬图纸及样式图：</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125970" cy="5053330"/>
                <wp:effectExtent l="0" t="0" r="17780" b="13970"/>
                <wp:docPr id="9" name="图片 15" descr="皓志园壁葬图纸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皓志园壁葬图纸_01"/>
                        <pic:cNvPicPr>
                          <a:picLocks noChangeAspect="1"/>
                        </pic:cNvPicPr>
                        <pic:nvPr/>
                      </pic:nvPicPr>
                      <pic:blipFill>
                        <a:blip r:embed="rId31"/>
                        <a:stretch/>
                      </pic:blipFill>
                      <pic:spPr bwMode="auto">
                        <a:xfrm>
                          <a:off x="0" y="0"/>
                          <a:ext cx="7125970" cy="5053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61.1pt;height:397.9pt;mso-wrap-distance-left:0.0pt;mso-wrap-distance-top:0.0pt;mso-wrap-distance-right:0.0pt;mso-wrap-distance-bottom:0.0pt;" stroked="false">
                <v:path textboxrect="0,0,0,0"/>
                <v:imagedata r:id="rId31"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393305" cy="5242560"/>
                <wp:effectExtent l="0" t="0" r="17145" b="15240"/>
                <wp:docPr id="10" name="图片 17" descr="皓志园壁葬图纸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皓志园壁葬图纸_02"/>
                        <pic:cNvPicPr>
                          <a:picLocks noChangeAspect="1"/>
                        </pic:cNvPicPr>
                        <pic:nvPr/>
                      </pic:nvPicPr>
                      <pic:blipFill>
                        <a:blip r:embed="rId32"/>
                        <a:stretch/>
                      </pic:blipFill>
                      <pic:spPr bwMode="auto">
                        <a:xfrm>
                          <a:off x="0" y="0"/>
                          <a:ext cx="7393305" cy="52425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82.1pt;height:412.8pt;mso-wrap-distance-left:0.0pt;mso-wrap-distance-top:0.0pt;mso-wrap-distance-right:0.0pt;mso-wrap-distance-bottom:0.0pt;" stroked="false">
                <v:path textboxrect="0,0,0,0"/>
                <v:imagedata r:id="rId32"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1236" w:right="1440" w:bottom="1236"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272020" cy="5156835"/>
                <wp:effectExtent l="0" t="0" r="5080" b="5715"/>
                <wp:docPr id="11" name="图片 18" descr="皓志园壁葬图纸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皓志园壁葬图纸_03"/>
                        <pic:cNvPicPr>
                          <a:picLocks noChangeAspect="1"/>
                        </pic:cNvPicPr>
                        <pic:nvPr/>
                      </pic:nvPicPr>
                      <pic:blipFill>
                        <a:blip r:embed="rId33"/>
                        <a:stretch/>
                      </pic:blipFill>
                      <pic:spPr bwMode="auto">
                        <a:xfrm>
                          <a:off x="0" y="0"/>
                          <a:ext cx="7272020" cy="5156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2.6pt;height:406.0pt;mso-wrap-distance-left:0.0pt;mso-wrap-distance-top:0.0pt;mso-wrap-distance-right:0.0pt;mso-wrap-distance-bottom:0.0pt;" stroked="false">
                <v:path textboxrect="0,0,0,0"/>
                <v:imagedata r:id="rId33"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皓志园壁葬（英国棕+芝麻白）样式图：</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5857875" cy="5257800"/>
                <wp:effectExtent l="0" t="0" r="9525" b="0"/>
                <wp:docPr id="12" name="图片 21" descr="WPS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WPS图片"/>
                        <pic:cNvPicPr>
                          <a:picLocks noChangeAspect="1"/>
                        </pic:cNvPicPr>
                        <pic:nvPr/>
                      </pic:nvPicPr>
                      <pic:blipFill>
                        <a:blip r:embed="rId34"/>
                        <a:stretch/>
                      </pic:blipFill>
                      <pic:spPr bwMode="auto">
                        <a:xfrm>
                          <a:off x="0" y="0"/>
                          <a:ext cx="5857875" cy="5257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61.2pt;height:414.0pt;mso-wrap-distance-left:0.0pt;mso-wrap-distance-top:0.0pt;mso-wrap-distance-right:0.0pt;mso-wrap-distance-bottom:0.0pt;" stroked="false">
                <v:path textboxrect="0,0,0,0"/>
                <v:imagedata r:id="rId34" o:title=""/>
              </v:shape>
            </w:pict>
          </mc:Fallback>
        </mc:AlternateContent>
      </w:r>
      <w:r/>
    </w:p>
    <w:p>
      <w:pPr>
        <w:pStyle w:val="819"/>
        <w:ind w:left="0"/>
        <w:rPr>
          <w:rFonts w:hint="eastAsia" w:ascii="仿宋" w:hAnsi="仿宋" w:eastAsia="仿宋" w:cs="仿宋"/>
          <w:b/>
          <w:bCs/>
          <w:color w:val="auto"/>
          <w:sz w:val="28"/>
          <w:szCs w:val="28"/>
          <w:highlight w:val="none"/>
          <w:lang w:eastAsia="zh-CN"/>
        </w:rPr>
        <w:sectPr>
          <w:footnotePr/>
          <w:endnotePr/>
          <w:type w:val="nextPage"/>
          <w:pgSz w:w="11906" w:h="16838" w:orient="portrait"/>
          <w:pgMar w:top="1440" w:right="1236" w:bottom="1440" w:left="1236"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3.云鹤园墓碑图纸及样式图：</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336155" cy="5201920"/>
                <wp:effectExtent l="0" t="0" r="17145" b="17780"/>
                <wp:docPr id="13" name="图片 22" descr="云鹤园墓碑20260706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云鹤园墓碑20260706_01"/>
                        <pic:cNvPicPr>
                          <a:picLocks noChangeAspect="1"/>
                        </pic:cNvPicPr>
                        <pic:nvPr/>
                      </pic:nvPicPr>
                      <pic:blipFill>
                        <a:blip r:embed="rId35"/>
                        <a:stretch/>
                      </pic:blipFill>
                      <pic:spPr bwMode="auto">
                        <a:xfrm>
                          <a:off x="0" y="0"/>
                          <a:ext cx="7336155" cy="5201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7.6pt;height:409.6pt;mso-wrap-distance-left:0.0pt;mso-wrap-distance-top:0.0pt;mso-wrap-distance-right:0.0pt;mso-wrap-distance-bottom:0.0pt;" stroked="false">
                <v:path textboxrect="0,0,0,0"/>
                <v:imagedata r:id="rId35"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935595" cy="5627370"/>
                <wp:effectExtent l="0" t="0" r="8255" b="11430"/>
                <wp:docPr id="14" name="图片 23" descr="云鹤园墓碑20260706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云鹤园墓碑20260706_02"/>
                        <pic:cNvPicPr>
                          <a:picLocks noChangeAspect="1"/>
                        </pic:cNvPicPr>
                        <pic:nvPr/>
                      </pic:nvPicPr>
                      <pic:blipFill>
                        <a:blip r:embed="rId36"/>
                        <a:stretch/>
                      </pic:blipFill>
                      <pic:spPr bwMode="auto">
                        <a:xfrm>
                          <a:off x="0" y="0"/>
                          <a:ext cx="7935595" cy="5627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24.9pt;height:443.1pt;mso-wrap-distance-left:0.0pt;mso-wrap-distance-top:0.0pt;mso-wrap-distance-right:0.0pt;mso-wrap-distance-bottom:0.0pt;" stroked="false">
                <v:path textboxrect="0,0,0,0"/>
                <v:imagedata r:id="rId36"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935595" cy="5627370"/>
                <wp:effectExtent l="0" t="0" r="8255" b="11430"/>
                <wp:docPr id="15" name="图片 24" descr="云鹤园墓碑20260706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云鹤园墓碑20260706_03"/>
                        <pic:cNvPicPr>
                          <a:picLocks noChangeAspect="1"/>
                        </pic:cNvPicPr>
                        <pic:nvPr/>
                      </pic:nvPicPr>
                      <pic:blipFill>
                        <a:blip r:embed="rId37"/>
                        <a:stretch/>
                      </pic:blipFill>
                      <pic:spPr bwMode="auto">
                        <a:xfrm>
                          <a:off x="0" y="0"/>
                          <a:ext cx="7935595" cy="5627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24.9pt;height:443.1pt;mso-wrap-distance-left:0.0pt;mso-wrap-distance-top:0.0pt;mso-wrap-distance-right:0.0pt;mso-wrap-distance-bottom:0.0pt;" stroked="false">
                <v:path textboxrect="0,0,0,0"/>
                <v:imagedata r:id="rId37"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1236" w:right="1440" w:bottom="1236"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193280" cy="5100955"/>
                <wp:effectExtent l="0" t="0" r="7620" b="4445"/>
                <wp:docPr id="16" name="图片 25" descr="云鹤园墓碑20260706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云鹤园墓碑20260706_04"/>
                        <pic:cNvPicPr>
                          <a:picLocks noChangeAspect="1"/>
                        </pic:cNvPicPr>
                        <pic:nvPr/>
                      </pic:nvPicPr>
                      <pic:blipFill>
                        <a:blip r:embed="rId38"/>
                        <a:stretch/>
                      </pic:blipFill>
                      <pic:spPr bwMode="auto">
                        <a:xfrm>
                          <a:off x="0" y="0"/>
                          <a:ext cx="7193280" cy="51009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66.4pt;height:401.6pt;mso-wrap-distance-left:0.0pt;mso-wrap-distance-top:0.0pt;mso-wrap-distance-right:0.0pt;mso-wrap-distance-bottom:0.0pt;" stroked="false">
                <v:path textboxrect="0,0,0,0"/>
                <v:imagedata r:id="rId38"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云鹤园C1样式图：</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5247005" cy="7653020"/>
                <wp:effectExtent l="0" t="0" r="10795" b="5080"/>
                <wp:docPr id="17" name="图片 31" descr="云鹤园C1样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云鹤园C1样式图"/>
                        <pic:cNvPicPr>
                          <a:picLocks noChangeAspect="1"/>
                        </pic:cNvPicPr>
                        <pic:nvPr/>
                      </pic:nvPicPr>
                      <pic:blipFill>
                        <a:blip r:embed="rId39"/>
                        <a:stretch/>
                      </pic:blipFill>
                      <pic:spPr bwMode="auto">
                        <a:xfrm>
                          <a:off x="0" y="0"/>
                          <a:ext cx="5247005" cy="76530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3.1pt;height:602.6pt;mso-wrap-distance-left:0.0pt;mso-wrap-distance-top:0.0pt;mso-wrap-distance-right:0.0pt;mso-wrap-distance-bottom:0.0pt;" stroked="false">
                <v:path textboxrect="0,0,0,0"/>
                <v:imagedata r:id="rId39"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云鹤园C2样式图：</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5424170" cy="8157210"/>
                <wp:effectExtent l="0" t="0" r="5080" b="15240"/>
                <wp:docPr id="18" name="图片 33" descr="云鹤园C2样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云鹤园C2样式图"/>
                        <pic:cNvPicPr>
                          <a:picLocks noChangeAspect="1"/>
                        </pic:cNvPicPr>
                        <pic:nvPr/>
                      </pic:nvPicPr>
                      <pic:blipFill>
                        <a:blip r:embed="rId40"/>
                        <a:stretch/>
                      </pic:blipFill>
                      <pic:spPr bwMode="auto">
                        <a:xfrm>
                          <a:off x="0" y="0"/>
                          <a:ext cx="5424170" cy="8157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27.1pt;height:642.3pt;mso-wrap-distance-left:0.0pt;mso-wrap-distance-top:0.0pt;mso-wrap-distance-right:0.0pt;mso-wrap-distance-bottom:0.0pt;" stroked="false">
                <v:path textboxrect="0,0,0,0"/>
                <v:imagedata r:id="rId40" o:title=""/>
              </v:shape>
            </w:pict>
          </mc:Fallback>
        </mc:AlternateContent>
      </w:r>
      <w:bookmarkStart w:id="13" w:name="_GoBack"/>
      <w:r/>
      <w:bookmarkEnd w:id="13"/>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云鹤园C3样式图：</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5985510" cy="7611110"/>
                <wp:effectExtent l="0" t="0" r="15240" b="8890"/>
                <wp:docPr id="19" name="图片 34" descr="云鹤园C3样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云鹤园C3样式图"/>
                        <pic:cNvPicPr>
                          <a:picLocks noChangeAspect="1"/>
                        </pic:cNvPicPr>
                        <pic:nvPr/>
                      </pic:nvPicPr>
                      <pic:blipFill>
                        <a:blip r:embed="rId41"/>
                        <a:stretch/>
                      </pic:blipFill>
                      <pic:spPr bwMode="auto">
                        <a:xfrm>
                          <a:off x="0" y="0"/>
                          <a:ext cx="5985510" cy="76111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1.3pt;height:599.3pt;mso-wrap-distance-left:0.0pt;mso-wrap-distance-top:0.0pt;mso-wrap-distance-right:0.0pt;mso-wrap-distance-bottom:0.0pt;" stroked="false">
                <v:path textboxrect="0,0,0,0"/>
                <v:imagedata r:id="rId41"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sectPr>
          <w:footnotePr/>
          <w:endnotePr/>
          <w:type w:val="nextPage"/>
          <w:pgSz w:w="11906" w:h="16838" w:orient="portrait"/>
          <w:pgMar w:top="1440" w:right="1236" w:bottom="1440" w:left="1236"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4.云鹤园花葬图纸及效果图：</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183755" cy="5093970"/>
                <wp:effectExtent l="0" t="0" r="17145" b="11430"/>
                <wp:docPr id="20" name="图片 27" descr="0云鹤园花葬招标图纸20260706(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0云鹤园花葬招标图纸20260706(1)_01"/>
                        <pic:cNvPicPr>
                          <a:picLocks noChangeAspect="1"/>
                        </pic:cNvPicPr>
                        <pic:nvPr/>
                      </pic:nvPicPr>
                      <pic:blipFill>
                        <a:blip r:embed="rId42"/>
                        <a:stretch/>
                      </pic:blipFill>
                      <pic:spPr bwMode="auto">
                        <a:xfrm>
                          <a:off x="0" y="0"/>
                          <a:ext cx="7183755" cy="5093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65.6pt;height:401.1pt;mso-wrap-distance-left:0.0pt;mso-wrap-distance-top:0.0pt;mso-wrap-distance-right:0.0pt;mso-wrap-distance-bottom:0.0pt;" stroked="false">
                <v:path textboxrect="0,0,0,0"/>
                <v:imagedata r:id="rId42" o:title=""/>
              </v:shape>
            </w:pict>
          </mc:Fallback>
        </mc:AlternateContent>
      </w:r>
      <w:r/>
    </w:p>
    <w:p>
      <w:pPr>
        <w:pStyle w:val="81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1236" w:right="1440" w:bottom="1236"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注：</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1.石材等级均为A级石材。</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2.各投标人应根据招标图纸和技术要求，以及现场实地踏勘情况，进行核对，提疑时请告知核实的数量。投标报价除报总价外，还请投标人报综合单价。项目结束，按实计量，按实结算。</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    三、其他要求</w:t>
      </w:r>
      <w:r/>
    </w:p>
    <w:p>
      <w:pPr>
        <w:jc w:val="both"/>
        <w:spacing w:line="380" w:lineRule="exact"/>
        <w:widowControl w:val="off"/>
        <w:rPr>
          <w:rFonts w:hint="eastAsia" w:ascii="仿宋" w:hAnsi="仿宋" w:eastAsia="仿宋" w:cs="仿宋"/>
          <w:b/>
          <w:color w:val="auto"/>
          <w:sz w:val="28"/>
          <w:szCs w:val="24"/>
          <w:highlight w:val="none"/>
          <w:lang w:eastAsia="zh-CN"/>
        </w:rPr>
      </w:pPr>
      <w:r>
        <w:rPr>
          <w:rFonts w:hint="eastAsia" w:ascii="仿宋" w:hAnsi="仿宋" w:eastAsia="仿宋" w:cs="仿宋"/>
          <w:b/>
          <w:color w:val="auto"/>
          <w:sz w:val="28"/>
          <w:szCs w:val="24"/>
          <w:highlight w:val="none"/>
          <w:lang w:eastAsia="zh-CN"/>
        </w:rPr>
        <w:t xml:space="preserve">    1.技术要求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 本技术要求是最低限度的技术要求，并未对一切技术细节作出规定，也未充分引述有关标准和规范的条文，投标人应保证提供符合本技术条件和有关最新国家标准的产品，投标方所用的标准如与下注标准不一致，应按高一级的标准执行。</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1.2 技术标准和产品要求,几何尺寸误差小于正负2毫米，山西黑抛光度＞100度，其他石材＞80，禁止以打蜡等形式以次充好，平整度小于等于0.5毫米。</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1.3 石材色斑要求：可见部位不允许出现。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1.4 石材色线要求：抛光部位不允许出现。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1.5 石材锈斑要求：可见部位不允许出现。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1.6 石材色差要求：可见部位不允许出现。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1.7 棱角缺陷：任意部位均不允许出现。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1.8 烧痕：抛光面均不允许出现。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1.9 划痕、磨痕：抛光面均不允许出现。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1.10 水波纹：抛光面出现轻微瑕疵。</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1.11 轮廓度要求：与图样基本吻合且对称，偏差正负2mm之间。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1.12 角度要求：每米范围内公差正负1mm之间。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1.13 倒角要求：每米范围内公差正负1mm之间。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1.14 外形尺寸：石材尺寸偏差应在正负2mm之间。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1.15 天然花岗石石材体积密度≥2.60g/cm3 ，吸水率≤0.4%</w:t>
      </w:r>
      <w:r>
        <w:rPr>
          <w:rFonts w:hint="eastAsia" w:ascii="仿宋" w:hAnsi="仿宋" w:eastAsia="仿宋" w:cs="仿宋"/>
          <w:bCs/>
          <w:color w:val="auto"/>
          <w:sz w:val="28"/>
          <w:szCs w:val="28"/>
          <w:highlight w:val="none"/>
          <w:lang w:eastAsia="zh-CN"/>
        </w:rPr>
        <w:t xml:space="preserve">(中标后签订合同前须提供持有 CMA 计量认证资质的第三方检测机构出具的对应石材专项检测报告，检测机构资质能力附表需覆盖天然石材理化性能检测项目，报告检测数据须满足本条指标要求。</w:t>
      </w:r>
      <w:r>
        <w:rPr>
          <w:rFonts w:hint="eastAsia" w:ascii="仿宋" w:hAnsi="仿宋" w:eastAsia="仿宋" w:cs="仿宋"/>
          <w:bCs/>
          <w:color w:val="auto"/>
          <w:sz w:val="28"/>
          <w:szCs w:val="28"/>
          <w:highlight w:val="none"/>
          <w:lang w:eastAsia="zh-CN"/>
        </w:rPr>
        <w:t xml:space="preserve">)。</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1.16 耐酸性：经二氧化硫气体腐蚀后镜面光洁度下降率要求≤20%，表面不得出现明显的坑窝和锈斑</w:t>
      </w:r>
      <w:r>
        <w:rPr>
          <w:rFonts w:hint="eastAsia" w:ascii="仿宋" w:hAnsi="仿宋" w:eastAsia="仿宋" w:cs="仿宋"/>
          <w:bCs/>
          <w:color w:val="auto"/>
          <w:sz w:val="28"/>
          <w:szCs w:val="28"/>
          <w:highlight w:val="none"/>
          <w:lang w:eastAsia="zh-CN"/>
        </w:rPr>
        <w:t xml:space="preserve">(中标后签订合同前须提供持有 CMA 计量认证资质的第三方检测机构出具的对应石材专项检测报告，液体浸泡耐酸性报告不得替代本项二氧化硫气体腐蚀检测报告。)</w:t>
      </w:r>
      <w:r>
        <w:rPr>
          <w:rFonts w:hint="eastAsia" w:ascii="仿宋" w:hAnsi="仿宋" w:eastAsia="仿宋" w:cs="仿宋"/>
          <w:bCs/>
          <w:color w:val="auto"/>
          <w:sz w:val="28"/>
          <w:szCs w:val="28"/>
          <w:highlight w:val="none"/>
          <w:lang w:eastAsia="zh-CN"/>
        </w:rPr>
        <w:t xml:space="preserve">。</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1.17 抗冻系数：冻融循环后压缩强度值与水饱和压缩强度值</w:t>
      </w:r>
      <w:r>
        <w:rPr>
          <w:rFonts w:hint="eastAsia" w:ascii="仿宋" w:hAnsi="仿宋" w:eastAsia="仿宋" w:cs="仿宋"/>
          <w:bCs/>
          <w:color w:val="auto"/>
          <w:sz w:val="28"/>
          <w:szCs w:val="28"/>
          <w:highlight w:val="none"/>
          <w:lang w:eastAsia="zh-CN"/>
        </w:rPr>
        <w:t xml:space="preserve">的</w:t>
      </w:r>
      <w:r>
        <w:rPr>
          <w:rFonts w:hint="eastAsia" w:ascii="仿宋" w:hAnsi="仿宋" w:eastAsia="仿宋" w:cs="仿宋"/>
          <w:bCs/>
          <w:color w:val="auto"/>
          <w:sz w:val="28"/>
          <w:szCs w:val="28"/>
          <w:highlight w:val="none"/>
          <w:lang w:eastAsia="zh-CN"/>
        </w:rPr>
        <w:t xml:space="preserve">百分比不得低于85%</w:t>
      </w:r>
      <w:r>
        <w:rPr>
          <w:rFonts w:hint="eastAsia" w:ascii="仿宋" w:hAnsi="仿宋" w:eastAsia="仿宋" w:cs="仿宋"/>
          <w:bCs/>
          <w:color w:val="auto"/>
          <w:sz w:val="28"/>
          <w:szCs w:val="28"/>
          <w:highlight w:val="none"/>
          <w:lang w:eastAsia="zh-CN"/>
        </w:rPr>
        <w:t xml:space="preserve">(中标后签订合同前须提供持有 CMA 计量认证资质的第三方检测机构出具的对应石材专项冻融性能检测报告，报告检测数据须满足本条指标限值。)。</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1.18 所有连接部分要有榫。（碑座与底座连接部分要用两根不低于20公分长的直径18的钢筋作为连接）。</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1.19内箱高出地平板距离根据现场情况按照甲方安装要求施工。</w:t>
      </w:r>
      <w:r/>
    </w:p>
    <w:p>
      <w:pPr>
        <w:pStyle w:val="806"/>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注：以上检测报告同一矿源、同一批次花岗石，一份 CMA 报告可覆盖本项目所有同材质构件；认可 12 个月内同石材有效的 CMA 型式检测报告，无需重新送检。</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中标方石材送达后，采购人将视情况邀请第三方检测机构对石材进行检测，如不合格，不予验收，做退货处理，所有损失由中标方承担。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2.质量要求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2.1 投标人提供的货物应是全新、原装、纯天然的正宗合格正品，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2.2 石材表面不得有缺棱、缺角、裂纹等质量问题。</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2.3石材加工尺寸、厚度、颜色、纹理、质地要求必须严格按照经招标人认可后的由投标人提供的样品要求进行供货，绝不允许降低质量标准，招标人对尺寸另有要求的，应按照其要求执行。否则货物将被拒收，后果由投标人自行承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2.4</w:t>
      </w:r>
      <w:r>
        <w:rPr>
          <w:rFonts w:hint="eastAsia" w:ascii="仿宋" w:hAnsi="仿宋" w:eastAsia="仿宋" w:cs="仿宋"/>
          <w:bCs/>
          <w:color w:val="auto"/>
          <w:sz w:val="28"/>
          <w:szCs w:val="28"/>
          <w:highlight w:val="none"/>
          <w:lang w:eastAsia="zh-CN"/>
        </w:rPr>
        <w:t xml:space="preserve">其他质量要求应符合2025年5月1日执行的GB/T 18601-2024《天然花岗石建筑板材》规定要求，达到合格以上标准。</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四、包装与储运要求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投标人应确保所提供的货物在装、卸、运输和储存过程中有足够的包装保护，防止货物受潮、虫蛀、被腐蚀、受到冲撞以及其他不可预见的损坏。</w:t>
      </w:r>
      <w:r/>
    </w:p>
    <w:p>
      <w:pPr>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1.成品保护</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投标人应承诺中标后安排专人常驻现场，监督、安装，并对其产品进行成品保护（包括在安装过程中），直至施工竣工验收合格交付采购人为止。</w:t>
      </w:r>
      <w:r/>
    </w:p>
    <w:p>
      <w:pPr>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2.货物的包装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货物的包装应为生产厂商出厂时的原包装。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五、货物到场注意要求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1.货物到达现场后卸货所需的起重货物、辅助货物及货物现场保管、短驳、所需的一切费用由中标人负责。</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2.在货物到场过程中，采购人有权参与。货物在此过程中的损坏由中标人负责。 </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3.投标人应说明安装施工组织计划及流程，所采用的工艺、方法。</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4.有关其他要求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（1）中标人遵守现场的一切规章制度；</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（2）中标人负责保管、看护进场的货物及附配件；</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（3）中标人负责货物、货物（工具）等提供适当的保护、包装或覆盖等处理，以免受损；</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（4）中标人人员对现场其他专业已施工好的货物、管线等成品要爱护，如造成损坏，应由中标人负责修复及承担一切费用；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（5）无论货物到场期间或保修过程中，中标人负责及时清理垃圾；</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（6）中标人承担货物和人员的安全责任，做好施工安全工作。</w:t>
      </w:r>
      <w:r/>
    </w:p>
    <w:p>
      <w:pPr>
        <w:ind w:firstLine="562"/>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六、监造、检验、服务要求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1.货物到场工作由中标人负责，并确保提供的产品满足设计要求和验收合格（相关费用已含在此次投标报价内）。</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2.检测和验收</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中标人和采购人双方共同组成验收工作组进行初步验收，按招标文件及合同要求对所提供货物数量、质量和相关单证进行验收，货物初步验收合格后，须经双方在验收单上签字和货物最终的准用证的办理。</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采购人有权在货物制造过程中组织进行监造，投标人应对此给予配合和支持，并给监造人员提供工作和生活上的方便。但监造人员不签署任何质量证明，采购人参加监造既不能解除投标人按合同规定承担的责任，也不替代到货后采购人的检验。</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4.采购人有权进行中间检验，但这并不因此减轻投标人所有应负的责任。</w:t>
      </w:r>
      <w:r/>
    </w:p>
    <w:p>
      <w:pPr>
        <w:ind w:firstLine="562"/>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七、维保要求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1.保修期：符合国家现执行的关于石材的最新标准及规范要求，本工程质量保修期要求为3年。所供石材在使用年限内不得出现褪色、开裂及其他质量上的瑕疵，否则无偿更换。</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2.中标人须提供完善的报修服务，接到采购人报修通知后 48 小时内派员到场响应处置，7 日内完成质量问题整改、产品更换工作；逾期未处置的，采购人可自行处理，所产生全部费用由中标人承担。</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3.安全要求：产品在安装过程中和国家有关规定的年限内，因质量原因造成的人员伤害和一切损失由中标人承担。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八、其他说明 </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投标人应保证采购人免除且中标人承担由于采购人在其本国使用该货物或货物任何一部分时而引起第三方提出的侵犯其专利权、商标权或工业设计权的起诉、行动、行政程序索赔、请求等以及采购人为此而产生的损失和损害、费用和支出，包括律师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2.验收标准：按国家相关规范及本项目招标文件要求。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3.投标人须提供的必备技术资料 </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（1）提供产品合格证明书；</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（2）提供货物安装图和主要零部件的技术性能参数（列出清单）；</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（3）提供保养、维修操作规程、货物保修期限以及货物运行的经济成本分析资料；</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（4）提供特殊件及配套件的清单、技术参数及生产名录；</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注：与本次招标无关的彩页等资料请不要收录在内。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4.投标人必须承诺招标文件中提出的全部技术规格与要求；如果以其中某些条款不响应时，应在文件中逐条列出，未列出的视同响应。</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5.投标文件以中文资料为准。</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6.招标文件和投标文件是合同的不可分割的部分。</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7.其他优惠条件请予以书面说明。</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8.投标人应逐项说明招标文件中的内容。</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9.凡涉及招标文件的补充说明或修正，均以招标代理机构书面依据为准。</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10.各投标人须自行联系踏勘现场，合同标的应按最终实际安装、交付、验收的工作量</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数量</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并结合综合单价</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套</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全费用</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据实结算总价。</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11.投标总报价一次报定，包括：</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（1）货物价格（包括全套货物、辅配件、随货物应提交的资料等费用）；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（2）包装、运输、装、卸、搬运、保管、保险费、水电费、发票（指货物运抵现场、</w:t>
      </w:r>
      <w:r>
        <w:rPr>
          <w:rFonts w:hint="eastAsia" w:ascii="仿宋" w:hAnsi="仿宋" w:eastAsia="仿宋" w:cs="仿宋"/>
          <w:bCs/>
          <w:color w:val="auto"/>
          <w:sz w:val="28"/>
          <w:szCs w:val="28"/>
          <w:highlight w:val="none"/>
          <w:lang w:val="en-US" w:eastAsia="zh-CN"/>
        </w:rPr>
        <w:t xml:space="preserve">指导安装</w:t>
      </w:r>
      <w:r>
        <w:rPr>
          <w:rFonts w:hint="eastAsia" w:ascii="仿宋" w:hAnsi="仿宋" w:eastAsia="仿宋" w:cs="仿宋"/>
          <w:bCs/>
          <w:color w:val="auto"/>
          <w:sz w:val="28"/>
          <w:szCs w:val="28"/>
          <w:highlight w:val="none"/>
          <w:lang w:eastAsia="zh-CN"/>
        </w:rPr>
        <w:t xml:space="preserve">、安装用所有辅材所发生的费</w:t>
      </w:r>
      <w:r>
        <w:rPr>
          <w:rFonts w:hint="eastAsia" w:ascii="仿宋" w:hAnsi="仿宋" w:eastAsia="仿宋" w:cs="仿宋"/>
          <w:bCs/>
          <w:color w:val="auto"/>
          <w:sz w:val="28"/>
          <w:szCs w:val="28"/>
          <w:highlight w:val="none"/>
          <w:lang w:eastAsia="zh-CN"/>
        </w:rPr>
        <w:t xml:space="preserve">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（3）技术培训服务（说明服务内容）；</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（4）有关部门监检测费（含脚手架、吊装、预埋件）；</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（5）其它应该由中标人承担的费用。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12.交货日期与交货地点 </w:t>
      </w:r>
      <w:r/>
    </w:p>
    <w:p>
      <w:pPr>
        <w:ind w:firstLine="562"/>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（1）交货日期：</w:t>
      </w:r>
      <w:r>
        <w:rPr>
          <w:rFonts w:hint="eastAsia" w:ascii="仿宋" w:hAnsi="仿宋" w:eastAsia="仿宋" w:cs="仿宋"/>
          <w:bCs/>
          <w:color w:val="auto"/>
          <w:sz w:val="28"/>
          <w:szCs w:val="28"/>
          <w:highlight w:val="none"/>
          <w:lang w:eastAsia="zh-CN"/>
        </w:rPr>
        <w:t xml:space="preserve">自双方签订合同之日起中标人进行备料制作，必须确保皓志园30日内供货完成，云鹤园60日内供货完成。</w:t>
      </w:r>
      <w:r/>
    </w:p>
    <w:p>
      <w:pPr>
        <w:ind w:firstLine="562"/>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（2）交货地点：徐州市殡葬管理服务中心汉王公墓管理所（采购人指定位置）</w:t>
      </w:r>
      <w:r>
        <w:rPr>
          <w:rFonts w:hint="eastAsia" w:ascii="仿宋" w:hAnsi="仿宋" w:eastAsia="仿宋" w:cs="仿宋"/>
          <w:bCs/>
          <w:color w:val="auto"/>
          <w:sz w:val="28"/>
          <w:szCs w:val="28"/>
          <w:highlight w:val="none"/>
          <w:lang w:eastAsia="zh-CN"/>
        </w:rPr>
        <w:t xml:space="preserve">。</w:t>
      </w:r>
      <w:r/>
    </w:p>
    <w:p>
      <w:pPr>
        <w:ind w:firstLine="560"/>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供货商运货车辆无偿运货至施工现场，应服从采购人统一指挥，按采购人要求统一安排堆放、卸货安装。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九、样品要求 </w:t>
      </w:r>
      <w:r/>
    </w:p>
    <w:p>
      <w:pPr>
        <w:pStyle w:val="1059"/>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1.提供以下样品：</w:t>
      </w:r>
      <w:r>
        <w:rPr>
          <w:rFonts w:hint="eastAsia" w:ascii="仿宋" w:hAnsi="仿宋" w:eastAsia="仿宋" w:cs="仿宋"/>
          <w:b/>
          <w:bCs/>
          <w:color w:val="auto"/>
          <w:sz w:val="28"/>
          <w:szCs w:val="28"/>
          <w:highlight w:val="none"/>
          <w:lang w:eastAsia="zh-CN"/>
        </w:rPr>
        <w:t xml:space="preserve">①皓志园A1立碑（中国黑）</w:t>
      </w:r>
      <w:r/>
    </w:p>
    <w:p>
      <w:pPr>
        <w:pStyle w:val="1059"/>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②皓志园W2卧碑（印度黑）</w:t>
      </w:r>
      <w:r/>
    </w:p>
    <w:p>
      <w:pPr>
        <w:pStyle w:val="1059"/>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③皓志园壁葬（英国棕+芝麻白）</w:t>
      </w:r>
      <w:r/>
    </w:p>
    <w:p>
      <w:pPr>
        <w:pStyle w:val="1059"/>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④云鹤园C1立碑（中国黑）</w:t>
      </w:r>
      <w:r/>
    </w:p>
    <w:p>
      <w:pPr>
        <w:pStyle w:val="1059"/>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⑤云鹤园C2立碑（南非浅黑）</w:t>
      </w:r>
      <w:r/>
    </w:p>
    <w:p>
      <w:pPr>
        <w:pStyle w:val="1059"/>
        <w:ind w:left="0" w:firstLine="600"/>
        <w:jc w:val="both"/>
        <w:spacing w:line="380" w:lineRule="exact"/>
        <w:widowControl w:val="off"/>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8"/>
          <w:szCs w:val="28"/>
          <w:highlight w:val="none"/>
          <w:lang w:eastAsia="zh-CN"/>
        </w:rPr>
        <w:t xml:space="preserve">⑥云鹤园C3立碑（英国棕）</w:t>
      </w:r>
      <w:r/>
    </w:p>
    <w:p>
      <w:pPr>
        <w:pStyle w:val="1059"/>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提供全套石材样品各一套；实物样品和招标文件的图纸尺寸要求的比例为1：1。要求各个石材部件的石材材质应与图纸相符，样品几何尺寸允许偏差值为±2毫米；</w:t>
      </w:r>
      <w:r/>
    </w:p>
    <w:p>
      <w:pPr>
        <w:pStyle w:val="1059"/>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w:t>
      </w:r>
      <w:r>
        <w:rPr>
          <w:rFonts w:hint="eastAsia"/>
          <w:color w:val="auto"/>
          <w:highlight w:val="none"/>
          <w:lang w:eastAsia="zh-CN"/>
        </w:rPr>
        <w:t xml:space="preserve"> </w:t>
      </w:r>
      <w:r>
        <w:rPr>
          <w:rFonts w:hint="eastAsia" w:ascii="仿宋" w:hAnsi="仿宋" w:eastAsia="仿宋" w:cs="仿宋"/>
          <w:b/>
          <w:bCs/>
          <w:color w:val="auto"/>
          <w:sz w:val="28"/>
          <w:szCs w:val="28"/>
          <w:highlight w:val="none"/>
          <w:lang w:eastAsia="zh-CN"/>
        </w:rPr>
        <w:t xml:space="preserve">所有样品费用由各投标单位自行承担，本项目样品为暗标评审，所提供的样品均不得出现投标单位名称、相关人员姓名、可识别投标人身份的字符、徽标、图案以及与本次招投标无关的标识，如不按要求提交样品的，视为无效投标。提供的样品品目及数量必须与投标文件所列要求相一致，如不一致</w:t>
      </w:r>
      <w:bookmarkStart w:id="5" w:name="OLE_LINK3"/>
      <w:r>
        <w:rPr>
          <w:rFonts w:hint="eastAsia" w:ascii="仿宋" w:hAnsi="仿宋" w:eastAsia="仿宋" w:cs="仿宋"/>
          <w:b/>
          <w:bCs/>
          <w:color w:val="auto"/>
          <w:sz w:val="28"/>
          <w:szCs w:val="28"/>
          <w:highlight w:val="none"/>
          <w:lang w:eastAsia="zh-CN"/>
        </w:rPr>
        <w:t xml:space="preserve">视为无效投标</w:t>
      </w:r>
      <w:bookmarkEnd w:id="5"/>
      <w:r>
        <w:rPr>
          <w:rFonts w:hint="eastAsia" w:ascii="仿宋" w:hAnsi="仿宋" w:eastAsia="仿宋" w:cs="仿宋"/>
          <w:b/>
          <w:bCs/>
          <w:color w:val="auto"/>
          <w:sz w:val="28"/>
          <w:szCs w:val="28"/>
          <w:highlight w:val="none"/>
          <w:lang w:eastAsia="zh-CN"/>
        </w:rPr>
        <w:t xml:space="preserve">。投标样品应当采用不透明、整体密封不得外露，并在外包装上注明项目名称编号、样品名称，于接收截止时间前送达并安装完毕，样品接收截止时间之后不再接收任何样品，并即刻清场，任何人不得逗留，迟到、未组装完成、未按要求密封的样品评审过程中按未提供处理。</w:t>
      </w:r>
      <w:r/>
    </w:p>
    <w:p>
      <w:pPr>
        <w:pStyle w:val="1059"/>
        <w:ind w:left="0" w:firstLine="600"/>
        <w:jc w:val="both"/>
        <w:spacing w:line="3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联系人：戚明松    联系电话</w:t>
      </w:r>
      <w:r>
        <w:rPr>
          <w:rFonts w:hint="eastAsia" w:ascii="仿宋" w:hAnsi="仿宋" w:eastAsia="仿宋" w:cs="仿宋"/>
          <w:color w:val="auto"/>
          <w:sz w:val="28"/>
          <w:szCs w:val="28"/>
          <w:highlight w:val="none"/>
          <w:lang w:val="en-US" w:eastAsia="zh-CN"/>
        </w:rPr>
        <w:t xml:space="preserve">：13605213061</w:t>
      </w:r>
      <w:r/>
    </w:p>
    <w:p>
      <w:pPr>
        <w:pStyle w:val="1059"/>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3.样品提交时间：</w:t>
      </w:r>
      <w:r>
        <w:rPr>
          <w:rFonts w:hint="eastAsia" w:ascii="仿宋" w:hAnsi="仿宋" w:eastAsia="仿宋" w:cs="仿宋"/>
          <w:b/>
          <w:bCs/>
          <w:color w:val="auto"/>
          <w:sz w:val="28"/>
          <w:szCs w:val="28"/>
          <w:highlight w:val="none"/>
          <w:lang w:eastAsia="zh-CN"/>
        </w:rPr>
        <w:t xml:space="preserve">2026年8月6日9:00--2026年8月7日15:00，提交时间为开标时间前两日内（2026年8月7日15点截止，非此时间段内不接收任何样品。提交样品时请供应商授权代表携带本单位授权委托书，并在样品组装现场进行签到，未签到的视为未递交样品，不予对样品进行评审。本项目为暗标评审，从递交样品时至退还样品期间，请务必告知工人保密事项，因此造成泄密影响评标结果的，自行承担责任）。</w:t>
      </w:r>
      <w:r/>
    </w:p>
    <w:p>
      <w:pPr>
        <w:pStyle w:val="1059"/>
        <w:ind w:left="0" w:firstLine="60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lang w:eastAsia="zh-CN"/>
        </w:rPr>
        <w:t xml:space="preserve">4.样品提交地点：</w:t>
      </w:r>
      <w:r>
        <w:rPr>
          <w:rFonts w:hint="eastAsia" w:ascii="仿宋" w:hAnsi="仿宋" w:eastAsia="仿宋" w:cs="仿宋"/>
          <w:bCs/>
          <w:color w:val="auto"/>
          <w:sz w:val="28"/>
          <w:szCs w:val="28"/>
          <w:highlight w:val="none"/>
          <w:lang w:eastAsia="zh-CN"/>
        </w:rPr>
        <w:t xml:space="preserve">徐州市殡葬管理服务中心汉王公墓管理所（采购人指定位置）。</w:t>
      </w:r>
      <w:r/>
    </w:p>
    <w:p>
      <w:pPr>
        <w:pStyle w:val="1059"/>
        <w:ind w:left="0" w:firstLine="602"/>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5.样品全程由投标人自行保管，评审过程中出现任何损毁、遗失采购人皆不承担任何责任，且按损毁后的样品进行评审。中标人的样品由中标人送至采购人指定地点封存作为验收依据，未中标投标人的样品在宣布评标结果后10日内取回，否则，样品无偿交由采购人自行处理，采购人不负任何责任。</w:t>
      </w:r>
      <w:r/>
    </w:p>
    <w:p>
      <w:pPr>
        <w:pStyle w:val="1059"/>
        <w:ind w:left="0" w:firstLine="602"/>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十、项目实施要求</w:t>
      </w:r>
      <w:r/>
    </w:p>
    <w:p>
      <w:pPr>
        <w:pStyle w:val="1059"/>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标的物的外观和颜色由采购人确认，中标后，中标人应向采购人确认标的物的形状和颜色，确认无误后方可投入生产，中标人提供所投产品必须是全新、合格产品，符合采购人需求，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59"/>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产品到达现场后，中标人应提供详细发货清单，由中标人和采购人共同验货、检查货物数量。如果货物质量或技术规格与合同不符，或货物有明显损坏，中标人必须更换，采购人有权提出索赔。验货合格后，双方共同签署合格证明。</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投标人应列出详细项目实施方案，包含送货方式、质量保证措施及供货期保证方案、验收方案。必须指派具有丰富经验的安装人员负责本次汉王公墓招标内容的全部安装。投标人在中标后，应允许采购人的工作人员自实施工作开始即参与本项目的安装等工作并在实施方案中提出协同工作计划。</w:t>
      </w:r>
      <w:r/>
    </w:p>
    <w:p>
      <w:pPr>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中标人应服从采购人的管理，保证产品及人身安全，只能在项目实施现场操作，不得进入采购人其他场所，不得损坏采购人财物，如有损失由中标人照价赔偿。安装施工期间发生人身伤亡、财物或其他损失，由中标人自负，采购人不承担责任。</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十一、售后服务要求 </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产品质保期3年。质保期内产品出现质量问题，由中标人免费进行更换，中标人须提供完善的报修服务，接到采购人报修通知后 48 小时内派员到场响应处置，7 日内完成质量问题整改、产品更换工作；逾期未处置的，采购人可自行处理，所产生全部费用由中标人承担。</w:t>
      </w:r>
      <w:r/>
    </w:p>
    <w:p>
      <w:pPr>
        <w:pStyle w:val="1059"/>
        <w:ind w:left="0" w:firstLine="602"/>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w:t>
      </w:r>
      <w:r>
        <w:rPr>
          <w:rFonts w:hint="eastAsia" w:ascii="仿宋" w:hAnsi="仿宋" w:eastAsia="仿宋" w:cs="仿宋"/>
          <w:b/>
          <w:bCs/>
          <w:color w:val="auto"/>
          <w:sz w:val="28"/>
          <w:szCs w:val="28"/>
          <w:highlight w:val="none"/>
          <w:lang w:eastAsia="zh-CN"/>
        </w:rPr>
        <w:t xml:space="preserve">十二、其他要求：</w:t>
      </w:r>
      <w:r>
        <w:rPr>
          <w:rFonts w:hint="eastAsia" w:ascii="仿宋" w:hAnsi="仿宋" w:eastAsia="仿宋" w:cs="仿宋"/>
          <w:b/>
          <w:color w:val="auto"/>
          <w:sz w:val="28"/>
          <w:szCs w:val="28"/>
          <w:highlight w:val="none"/>
          <w:lang w:eastAsia="zh-CN"/>
        </w:rPr>
        <w:t xml:space="preserve">其他未尽事宜详见招标文件第六章《拟签订的合同文本》。</w:t>
      </w:r>
      <w:r/>
    </w:p>
    <w:p>
      <w:pPr>
        <w:jc w:val="both"/>
        <w:spacing w:line="400" w:lineRule="exact"/>
        <w:widowControl w:val="off"/>
        <w:rPr>
          <w:rFonts w:hint="eastAsia" w:ascii="宋体" w:hAnsi="宋体" w:eastAsia="宋体" w:cs="宋体"/>
          <w:color w:val="auto"/>
          <w:sz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eastAsia="宋体" w:cs="宋体"/>
          <w:color w:val="auto"/>
          <w:sz w:val="24"/>
          <w:highlight w:val="none"/>
          <w:lang w:eastAsia="zh-CN"/>
        </w:rPr>
      </w:r>
      <w:r/>
    </w:p>
    <w:p>
      <w:pP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jc w:val="center"/>
        <w:spacing w:after="0" w:line="720"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第七章 投标文件相关格式</w:t>
      </w:r>
      <w:r/>
    </w:p>
    <w:p>
      <w:pPr>
        <w:pStyle w:val="819"/>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jc w:val="center"/>
        <w:spacing w:after="0" w:line="314"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目录</w:t>
      </w:r>
      <w:r/>
    </w:p>
    <w:p>
      <w:pPr>
        <w:pStyle w:val="819"/>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一、投标函</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二、开标一览表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三、分项价格表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四、偏离表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五、法定代表人资格证书</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六、授权委托书</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七、中小企业声明函</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八、残疾人福利性单位声明函（如有）</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九、投标人参加政府采购活动前3年内在经营活动中没有重大违法记录的书面声明</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十、具备履行合同所必需的设备和专业技术能力的书面声明</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十一、 预付款保函支付条款模板</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十二、关于符合本国产品标准的声明函</w:t>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spacing w:after="0" w:line="51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一、投标函</w:t>
      </w:r>
      <w:r/>
    </w:p>
    <w:p>
      <w:pPr>
        <w:pStyle w:val="841"/>
        <w:ind w:firstLine="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致：</w:t>
      </w:r>
      <w:r>
        <w:rPr>
          <w:rFonts w:hint="eastAsia" w:ascii="仿宋" w:hAnsi="仿宋" w:eastAsia="仿宋" w:cs="仿宋"/>
          <w:color w:val="auto"/>
          <w:sz w:val="28"/>
          <w:szCs w:val="28"/>
          <w:highlight w:val="none"/>
          <w:u w:val="singl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根据</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      ]招标文件，</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(姓名)代表我方</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（投标人的名称）全权处理本次投标的有关事宜。</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据此函，投标人承诺并同意如下：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 投标人唯一投标报价见《开标一览表》。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 投标人将按招标文件的规定履行合同责任和义务。</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投标人已详细审查全部招标文件，包括澄清说明。投标人完全理解并同意放弃对这方面有不明及误解的权力。</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 投标有效期为开标之日后90天。</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 投标人同意按照招标文件规定支付招标代理服务费。</w:t>
      </w:r>
      <w:r/>
    </w:p>
    <w:p>
      <w:pPr>
        <w:ind w:right="29"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 采购人有权对投标人投标文件的真实性进行核实，如投标人不能在采购人规定的时间内向采购人提供有效的证明文件，将被采购人视为放弃中标资格。</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 与本投标有关的一切正式往来信函请寄：</w:t>
      </w:r>
      <w:r/>
    </w:p>
    <w:p>
      <w:pPr>
        <w:ind w:firstLine="12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 </w:t>
      </w:r>
      <w:r/>
    </w:p>
    <w:p>
      <w:pPr>
        <w:ind w:firstLine="12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电话：           传真： </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bookmarkStart w:id="6" w:name="OLE_LINK34"/>
      <w:r/>
      <w:bookmarkStart w:id="7" w:name="OLE_LINK35"/>
      <w:r>
        <w:rPr>
          <w:rFonts w:hint="eastAsia" w:ascii="仿宋" w:hAnsi="仿宋" w:eastAsia="仿宋" w:cs="仿宋"/>
          <w:color w:val="auto"/>
          <w:sz w:val="28"/>
          <w:szCs w:val="28"/>
          <w:highlight w:val="none"/>
          <w:lang w:eastAsia="zh-CN"/>
        </w:rPr>
        <w:t xml:space="preserve">盖单位电子签章</w:t>
      </w:r>
      <w:bookmarkEnd w:id="6"/>
      <w:r/>
      <w:bookmarkEnd w:id="7"/>
      <w:r>
        <w:rPr>
          <w:rFonts w:hint="eastAsia" w:ascii="仿宋" w:hAnsi="仿宋" w:eastAsia="仿宋" w:cs="仿宋"/>
          <w:color w:val="auto"/>
          <w:sz w:val="28"/>
          <w:szCs w:val="28"/>
          <w:highlight w:val="none"/>
          <w:lang w:eastAsia="zh-CN"/>
        </w:rPr>
        <w:t xml:space="preserve">）</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二、开标一览表</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 </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  </w:t>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p>
      <w:pPr>
        <w:ind w:firstLine="600"/>
        <w:spacing w:line="520" w:lineRule="exact"/>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ind w:firstLine="600"/>
        <w:spacing w:line="520" w:lineRule="exact"/>
        <w:rPr>
          <w:rFonts w:hint="eastAsia" w:ascii="仿宋" w:hAnsi="仿宋" w:eastAsia="仿宋" w:cs="Times New Roman"/>
          <w:color w:val="auto"/>
          <w:sz w:val="30"/>
          <w:szCs w:val="30"/>
          <w:highlight w:val="none"/>
          <w:lang w:eastAsia="zh-CN"/>
        </w:rPr>
      </w:pPr>
      <w:r>
        <w:rPr>
          <w:rFonts w:hint="eastAsia" w:ascii="仿宋" w:hAnsi="仿宋" w:eastAsia="仿宋" w:cs="仿宋"/>
          <w:b/>
          <w:color w:val="auto"/>
          <w:sz w:val="28"/>
          <w:szCs w:val="28"/>
          <w:highlight w:val="none"/>
          <w:lang w:eastAsia="zh-CN"/>
        </w:rPr>
        <w:t xml:space="preserve"> </w:t>
      </w:r>
      <w:r>
        <w:rPr>
          <w:rFonts w:hint="eastAsia" w:ascii="仿宋" w:hAnsi="仿宋" w:eastAsia="仿宋" w:cs="Times New Roman"/>
          <w:color w:val="auto"/>
          <w:sz w:val="30"/>
          <w:szCs w:val="30"/>
          <w:highlight w:val="none"/>
          <w:lang w:eastAsia="zh-CN"/>
        </w:rPr>
        <w:t xml:space="preserve">格式见苏采云系统。</w:t>
      </w:r>
      <w:r/>
    </w:p>
    <w:p>
      <w:pPr>
        <w:pStyle w:val="1079"/>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9"/>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9"/>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9"/>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9"/>
        <w:ind w:firstLine="480"/>
        <w:spacing w:before="156"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报价包括但不限于设备主材费、辅助材料费、包装费、运费、保险费、装卸费、</w:t>
      </w:r>
      <w:r>
        <w:rPr>
          <w:rFonts w:hint="eastAsia" w:ascii="仿宋" w:hAnsi="仿宋" w:eastAsia="仿宋" w:cs="仿宋"/>
          <w:bCs/>
          <w:color w:val="auto"/>
          <w:sz w:val="28"/>
          <w:szCs w:val="28"/>
          <w:highlight w:val="none"/>
        </w:rPr>
        <w:t xml:space="preserve">指导安装费</w:t>
      </w:r>
      <w:r>
        <w:rPr>
          <w:rFonts w:hint="eastAsia" w:ascii="仿宋" w:hAnsi="仿宋" w:eastAsia="仿宋" w:cs="仿宋"/>
          <w:bCs/>
          <w:color w:val="auto"/>
          <w:sz w:val="28"/>
          <w:szCs w:val="28"/>
          <w:highlight w:val="none"/>
        </w:rPr>
        <w:t xml:space="preserve">、安装用所有辅材费、检测、培训、利润、税金等验收合格交付使用之前及保修期内保修服务与备用物件等以及配套器材等所有其他有关各项的含税费用，采购人不再支付报价以外的任何费用。</w:t>
      </w:r>
      <w:r/>
    </w:p>
    <w:p>
      <w:pPr>
        <w:pStyle w:val="819"/>
        <w:ind w:left="0" w:right="1540" w:firstLine="1200"/>
        <w:jc w:val="righ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投标人（盖单位电子签章）：</w:t>
      </w:r>
      <w:r/>
    </w:p>
    <w:p>
      <w:pPr>
        <w:ind w:firstLine="1134"/>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Calibri" w:hAnsi="Calibri" w:eastAsia="仿宋" w:cs="Calibri"/>
          <w:color w:val="auto"/>
          <w:sz w:val="28"/>
          <w:szCs w:val="28"/>
          <w:highlight w:val="none"/>
          <w:lang w:eastAsia="zh-CN"/>
        </w:rPr>
        <w:t xml:space="preserve"> </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三、分项价格表</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 </w:t>
      </w:r>
      <w:r/>
    </w:p>
    <w:p>
      <w:pPr>
        <w:jc w:val="right"/>
        <w:spacing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p>
      <w:pPr>
        <w:jc w:val="right"/>
        <w:spacing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tbl>
      <w:tblPr>
        <w:tblStyle w:val="805"/>
        <w:tblW w:w="5000"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59"/>
        <w:gridCol w:w="1955"/>
        <w:gridCol w:w="1036"/>
        <w:gridCol w:w="1312"/>
        <w:gridCol w:w="1701"/>
        <w:gridCol w:w="548"/>
        <w:gridCol w:w="485"/>
        <w:gridCol w:w="668"/>
        <w:gridCol w:w="612"/>
      </w:tblGrid>
      <w:tr>
        <w:trPr>
          <w:jc w:val="center"/>
          <w:trHeight w:val="1802"/>
        </w:trPr>
        <w:tc>
          <w:tcPr>
            <w:shd w:val="clear" w:color="auto" w:fill="c0c0c0"/>
            <w:tcMar>
              <w:left w:w="15" w:type="dxa"/>
              <w:top w:w="15" w:type="dxa"/>
              <w:right w:w="15" w:type="dxa"/>
              <w:bottom w:w="0" w:type="dxa"/>
            </w:tcMar>
            <w:tcW w:w="206"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序号</w:t>
            </w:r>
            <w:r/>
          </w:p>
        </w:tc>
        <w:tc>
          <w:tcPr>
            <w:shd w:val="clear" w:color="auto" w:fill="c0c0c0"/>
            <w:tcMar>
              <w:left w:w="15" w:type="dxa"/>
              <w:top w:w="15" w:type="dxa"/>
              <w:right w:w="15" w:type="dxa"/>
              <w:bottom w:w="0" w:type="dxa"/>
            </w:tcMar>
            <w:tcW w:w="1127"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名称</w:t>
            </w:r>
            <w:r/>
          </w:p>
        </w:tc>
        <w:tc>
          <w:tcPr>
            <w:shd w:val="clear" w:color="auto" w:fill="c0c0c0"/>
            <w:tcMar>
              <w:left w:w="15" w:type="dxa"/>
              <w:top w:w="15" w:type="dxa"/>
              <w:right w:w="15" w:type="dxa"/>
              <w:bottom w:w="0" w:type="dxa"/>
            </w:tcMar>
            <w:tcW w:w="597"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品牌、规格、型号</w:t>
            </w:r>
            <w:r/>
          </w:p>
        </w:tc>
        <w:tc>
          <w:tcPr>
            <w:shd w:val="clear" w:color="auto" w:fill="c0c0c0"/>
            <w:tcMar>
              <w:left w:w="15" w:type="dxa"/>
              <w:top w:w="15" w:type="dxa"/>
              <w:right w:w="15" w:type="dxa"/>
              <w:bottom w:w="0" w:type="dxa"/>
            </w:tcMar>
            <w:tcW w:w="754"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产品制造企业名称（全称）</w:t>
            </w:r>
            <w:r/>
          </w:p>
        </w:tc>
        <w:tc>
          <w:tcPr>
            <w:shd w:val="clear" w:color="auto" w:fill="c0c0c0"/>
            <w:tcMar>
              <w:left w:w="15" w:type="dxa"/>
              <w:top w:w="15" w:type="dxa"/>
              <w:right w:w="15" w:type="dxa"/>
              <w:bottom w:w="0" w:type="dxa"/>
            </w:tcMar>
            <w:tcW w:w="980"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316"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单位</w:t>
            </w:r>
            <w:r/>
          </w:p>
        </w:tc>
        <w:tc>
          <w:tcPr>
            <w:shd w:val="clear" w:color="auto" w:fill="c0c0c0"/>
            <w:tcMar>
              <w:left w:w="15" w:type="dxa"/>
              <w:top w:w="15" w:type="dxa"/>
              <w:right w:w="15" w:type="dxa"/>
              <w:bottom w:w="0" w:type="dxa"/>
            </w:tcMar>
            <w:tcW w:w="279"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数量</w:t>
            </w:r>
            <w:r/>
          </w:p>
        </w:tc>
        <w:tc>
          <w:tcPr>
            <w:shd w:val="clear" w:color="auto" w:fill="c0c0c0"/>
            <w:tcMar>
              <w:left w:w="15" w:type="dxa"/>
              <w:top w:w="15" w:type="dxa"/>
              <w:right w:w="15" w:type="dxa"/>
              <w:bottom w:w="0" w:type="dxa"/>
            </w:tcMar>
            <w:tcW w:w="385"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单价</w:t>
            </w:r>
            <w:r/>
          </w:p>
        </w:tc>
        <w:tc>
          <w:tcPr>
            <w:shd w:val="clear" w:color="auto" w:fill="c0c0c0"/>
            <w:tcMar>
              <w:left w:w="15" w:type="dxa"/>
              <w:top w:w="15" w:type="dxa"/>
              <w:right w:w="15" w:type="dxa"/>
              <w:bottom w:w="0" w:type="dxa"/>
            </w:tcMar>
            <w:tcW w:w="352" w:type="pct"/>
            <w:vAlign w:val="center"/>
            <w:textDirection w:val="lrTb"/>
            <w:noWrap/>
          </w:tcPr>
          <w:p>
            <w:pPr>
              <w:pStyle w:val="896"/>
              <w:ind w:firstLine="0"/>
              <w:jc w:val="center"/>
              <w:rPr>
                <w:rFonts w:hint="eastAsia" w:eastAsia="宋体"/>
                <w:color w:val="auto"/>
                <w:highlight w:val="none"/>
              </w:rPr>
            </w:pPr>
            <w:r>
              <w:rPr>
                <w:rFonts w:eastAsia="宋体"/>
                <w:color w:val="auto"/>
                <w:highlight w:val="none"/>
              </w:rPr>
              <w:t xml:space="preserve">总价</w:t>
            </w:r>
            <w:r/>
          </w:p>
        </w:tc>
      </w:tr>
      <w:tr>
        <w:trPr>
          <w:jc w:val="center"/>
          <w:trHeight w:val="283"/>
        </w:trPr>
        <w:tc>
          <w:tcPr>
            <w:tcMar>
              <w:left w:w="15" w:type="dxa"/>
              <w:top w:w="15" w:type="dxa"/>
              <w:right w:w="15" w:type="dxa"/>
              <w:bottom w:w="0" w:type="dxa"/>
            </w:tcMar>
            <w:tcW w:w="206"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Mar>
              <w:left w:w="15" w:type="dxa"/>
              <w:top w:w="15" w:type="dxa"/>
              <w:right w:w="15" w:type="dxa"/>
              <w:bottom w:w="0" w:type="dxa"/>
            </w:tcMar>
            <w:tcW w:w="1127" w:type="pct"/>
            <w:vAlign w:val="center"/>
            <w:textDirection w:val="lrTb"/>
            <w:noWrap/>
          </w:tcPr>
          <w:p>
            <w:pPr>
              <w:jc w:val="center"/>
              <w:spacing w:after="0" w:line="85"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皓志园A1立碑（中国黑）</w:t>
            </w:r>
            <w:r/>
          </w:p>
        </w:tc>
        <w:tc>
          <w:tcPr>
            <w:tcMar>
              <w:left w:w="15" w:type="dxa"/>
              <w:top w:w="15" w:type="dxa"/>
              <w:right w:w="15" w:type="dxa"/>
              <w:bottom w:w="0" w:type="dxa"/>
            </w:tcMar>
            <w:tcW w:w="597"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754"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980"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16"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79"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5"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6"/>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6"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Mar>
              <w:left w:w="15" w:type="dxa"/>
              <w:top w:w="15" w:type="dxa"/>
              <w:right w:w="15" w:type="dxa"/>
              <w:bottom w:w="0" w:type="dxa"/>
            </w:tcMar>
            <w:tcW w:w="1127" w:type="pct"/>
            <w:vAlign w:val="center"/>
            <w:textDirection w:val="lrTb"/>
            <w:noWrap/>
          </w:tcPr>
          <w:p>
            <w:pPr>
              <w:jc w:val="center"/>
              <w:spacing w:after="0" w:line="85"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皓志园W2卧碑（印度黑）</w:t>
            </w:r>
            <w:r/>
          </w:p>
        </w:tc>
        <w:tc>
          <w:tcPr>
            <w:tcMar>
              <w:left w:w="15" w:type="dxa"/>
              <w:top w:w="15" w:type="dxa"/>
              <w:right w:w="15" w:type="dxa"/>
              <w:bottom w:w="0" w:type="dxa"/>
            </w:tcMar>
            <w:tcW w:w="597"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754"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980"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16"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79"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5"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6"/>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6"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3</w:t>
            </w:r>
            <w:r/>
          </w:p>
        </w:tc>
        <w:tc>
          <w:tcPr>
            <w:tcMar>
              <w:left w:w="15" w:type="dxa"/>
              <w:top w:w="15" w:type="dxa"/>
              <w:right w:w="15" w:type="dxa"/>
              <w:bottom w:w="0" w:type="dxa"/>
            </w:tcMar>
            <w:tcW w:w="1127" w:type="pct"/>
            <w:vAlign w:val="center"/>
            <w:textDirection w:val="lrTb"/>
            <w:noWrap/>
          </w:tcPr>
          <w:p>
            <w:pPr>
              <w:jc w:val="center"/>
              <w:spacing w:after="0" w:line="85"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皓志园壁葬（英国棕+芝麻白）</w:t>
            </w:r>
            <w:r/>
          </w:p>
        </w:tc>
        <w:tc>
          <w:tcPr>
            <w:tcMar>
              <w:left w:w="15" w:type="dxa"/>
              <w:top w:w="15" w:type="dxa"/>
              <w:right w:w="15" w:type="dxa"/>
              <w:bottom w:w="0" w:type="dxa"/>
            </w:tcMar>
            <w:tcW w:w="597"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754"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980"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16"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79"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5"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6"/>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6"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4</w:t>
            </w:r>
            <w:r/>
          </w:p>
        </w:tc>
        <w:tc>
          <w:tcPr>
            <w:tcMar>
              <w:left w:w="15" w:type="dxa"/>
              <w:top w:w="15" w:type="dxa"/>
              <w:right w:w="15" w:type="dxa"/>
              <w:bottom w:w="0" w:type="dxa"/>
            </w:tcMar>
            <w:tcW w:w="1127" w:type="pct"/>
            <w:vAlign w:val="center"/>
            <w:textDirection w:val="lrTb"/>
            <w:noWrap/>
          </w:tcPr>
          <w:p>
            <w:pPr>
              <w:jc w:val="center"/>
              <w:spacing w:after="0" w:line="85"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云鹤园C1立碑（中国黑）</w:t>
            </w:r>
            <w:r/>
          </w:p>
        </w:tc>
        <w:tc>
          <w:tcPr>
            <w:tcMar>
              <w:left w:w="15" w:type="dxa"/>
              <w:top w:w="15" w:type="dxa"/>
              <w:right w:w="15" w:type="dxa"/>
              <w:bottom w:w="0" w:type="dxa"/>
            </w:tcMar>
            <w:tcW w:w="597"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754"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980"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16"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79"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5"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6"/>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6"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5</w:t>
            </w:r>
            <w:r/>
          </w:p>
        </w:tc>
        <w:tc>
          <w:tcPr>
            <w:tcMar>
              <w:left w:w="15" w:type="dxa"/>
              <w:top w:w="15" w:type="dxa"/>
              <w:right w:w="15" w:type="dxa"/>
              <w:bottom w:w="0" w:type="dxa"/>
            </w:tcMar>
            <w:tcW w:w="1127" w:type="pct"/>
            <w:vAlign w:val="center"/>
            <w:textDirection w:val="lrTb"/>
            <w:noWrap/>
          </w:tcPr>
          <w:p>
            <w:pPr>
              <w:jc w:val="center"/>
              <w:spacing w:after="0" w:line="85"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云鹤园C2立碑（南非浅黑）</w:t>
            </w:r>
            <w:r/>
          </w:p>
        </w:tc>
        <w:tc>
          <w:tcPr>
            <w:tcMar>
              <w:left w:w="15" w:type="dxa"/>
              <w:top w:w="15" w:type="dxa"/>
              <w:right w:w="15" w:type="dxa"/>
              <w:bottom w:w="0" w:type="dxa"/>
            </w:tcMar>
            <w:tcW w:w="597"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754"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980"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16"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79"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5"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6"/>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6"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6</w:t>
            </w:r>
            <w:r/>
          </w:p>
        </w:tc>
        <w:tc>
          <w:tcPr>
            <w:tcMar>
              <w:left w:w="15" w:type="dxa"/>
              <w:top w:w="15" w:type="dxa"/>
              <w:right w:w="15" w:type="dxa"/>
              <w:bottom w:w="0" w:type="dxa"/>
            </w:tcMar>
            <w:tcW w:w="1127" w:type="pct"/>
            <w:vAlign w:val="center"/>
            <w:textDirection w:val="lrTb"/>
            <w:noWrap/>
          </w:tcPr>
          <w:p>
            <w:pPr>
              <w:jc w:val="center"/>
              <w:spacing w:after="0" w:line="85"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云鹤园C3立碑（英国棕）</w:t>
            </w:r>
            <w:r/>
          </w:p>
        </w:tc>
        <w:tc>
          <w:tcPr>
            <w:tcMar>
              <w:left w:w="15" w:type="dxa"/>
              <w:top w:w="15" w:type="dxa"/>
              <w:right w:w="15" w:type="dxa"/>
              <w:bottom w:w="0" w:type="dxa"/>
            </w:tcMar>
            <w:tcW w:w="597"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754"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980"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16"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79"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5"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6"/>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6" w:type="pct"/>
            <w:vAlign w:val="center"/>
            <w:textDirection w:val="lrTb"/>
            <w:noWrap/>
          </w:tcPr>
          <w:p>
            <w:pPr>
              <w:pStyle w:val="896"/>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7</w:t>
            </w:r>
            <w:r/>
          </w:p>
        </w:tc>
        <w:tc>
          <w:tcPr>
            <w:tcMar>
              <w:left w:w="15" w:type="dxa"/>
              <w:top w:w="15" w:type="dxa"/>
              <w:right w:w="15" w:type="dxa"/>
              <w:bottom w:w="0" w:type="dxa"/>
            </w:tcMar>
            <w:tcW w:w="1127" w:type="pct"/>
            <w:vAlign w:val="center"/>
            <w:textDirection w:val="lrTb"/>
            <w:noWrap/>
          </w:tcPr>
          <w:p>
            <w:pPr>
              <w:jc w:val="center"/>
              <w:spacing w:after="0"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云鹤园花葬1套</w:t>
            </w:r>
            <w:r/>
          </w:p>
        </w:tc>
        <w:tc>
          <w:tcPr>
            <w:tcMar>
              <w:left w:w="15" w:type="dxa"/>
              <w:top w:w="15" w:type="dxa"/>
              <w:right w:w="15" w:type="dxa"/>
              <w:bottom w:w="0" w:type="dxa"/>
            </w:tcMar>
            <w:tcW w:w="597"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754"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980" w:type="pct"/>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16"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79"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5" w:type="pct"/>
            <w:vAlign w:val="bottom"/>
            <w:textDirection w:val="lrTb"/>
            <w:noWrap/>
          </w:tcPr>
          <w:p>
            <w:pPr>
              <w:pStyle w:val="896"/>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6"/>
              <w:jc w:val="center"/>
              <w:rPr>
                <w:rFonts w:hint="eastAsia" w:eastAsia="宋体"/>
                <w:color w:val="auto"/>
                <w:highlight w:val="none"/>
              </w:rPr>
            </w:pPr>
            <w:r>
              <w:rPr>
                <w:rFonts w:hint="eastAsia" w:eastAsia="宋体"/>
                <w:color w:val="auto"/>
                <w:highlight w:val="none"/>
              </w:rPr>
            </w:r>
            <w:r/>
          </w:p>
        </w:tc>
      </w:tr>
      <w:tr>
        <w:trPr>
          <w:jc w:val="center"/>
          <w:trHeight w:val="726"/>
        </w:trPr>
        <w:tc>
          <w:tcPr>
            <w:gridSpan w:val="4"/>
            <w:tcMar>
              <w:left w:w="15" w:type="dxa"/>
              <w:top w:w="15" w:type="dxa"/>
              <w:right w:w="15" w:type="dxa"/>
              <w:bottom w:w="0" w:type="dxa"/>
            </w:tcMar>
            <w:tcW w:w="2686" w:type="pct"/>
            <w:vAlign w:val="bottom"/>
            <w:textDirection w:val="lrTb"/>
            <w:noWrap/>
          </w:tcPr>
          <w:p>
            <w:pPr>
              <w:jc w:val="center"/>
              <w:rPr>
                <w:color w:val="auto"/>
                <w:highlight w:val="none"/>
                <w:lang w:eastAsia="zh-CN"/>
              </w:rPr>
            </w:pPr>
            <w:r>
              <w:rPr>
                <w:rFonts w:hint="eastAsia" w:ascii="仿宋" w:hAnsi="仿宋" w:eastAsia="仿宋"/>
                <w:color w:val="auto"/>
                <w:sz w:val="24"/>
                <w:highlight w:val="none"/>
                <w:lang w:eastAsia="zh-CN"/>
              </w:rPr>
              <w:t xml:space="preserve">总价合计（即《开标一览表》中的“总价”）</w:t>
            </w:r>
            <w:r/>
          </w:p>
        </w:tc>
        <w:tc>
          <w:tcPr>
            <w:gridSpan w:val="5"/>
            <w:tcMar>
              <w:left w:w="15" w:type="dxa"/>
              <w:top w:w="15" w:type="dxa"/>
              <w:right w:w="15" w:type="dxa"/>
              <w:bottom w:w="0" w:type="dxa"/>
            </w:tcMar>
            <w:tcW w:w="2313" w:type="pct"/>
            <w:vAlign w:val="bottom"/>
            <w:textDirection w:val="lrTb"/>
            <w:noWrap/>
          </w:tcPr>
          <w:p>
            <w:pPr>
              <w:pStyle w:val="896"/>
              <w:jc w:val="center"/>
              <w:rPr>
                <w:rFonts w:hint="eastAsia" w:eastAsia="宋体"/>
                <w:color w:val="auto"/>
                <w:highlight w:val="none"/>
              </w:rPr>
            </w:pPr>
            <w:r>
              <w:rPr>
                <w:rFonts w:hint="eastAsia" w:eastAsia="宋体"/>
                <w:color w:val="auto"/>
                <w:highlight w:val="none"/>
              </w:rPr>
            </w:r>
            <w:r/>
          </w:p>
        </w:tc>
      </w:tr>
    </w:tbl>
    <w:p>
      <w:pPr>
        <w:pStyle w:val="896"/>
        <w:ind w:left="660" w:firstLine="0"/>
        <w:tabs>
          <w:tab w:val="left" w:pos="1110" w:leader="none"/>
        </w:tabs>
        <w:rPr>
          <w:rFonts w:hint="eastAsia"/>
          <w:color w:val="auto"/>
          <w:highlight w:val="none"/>
        </w:rPr>
      </w:pPr>
      <w:r>
        <w:rPr>
          <w:rFonts w:hint="eastAsia"/>
          <w:color w:val="auto"/>
          <w:highlight w:val="none"/>
        </w:rPr>
      </w:r>
      <w:r/>
    </w:p>
    <w:p>
      <w:pPr>
        <w:pStyle w:val="896"/>
        <w:ind w:left="299" w:firstLine="4080"/>
        <w:spacing w:line="30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投标人（盖单位电子签章）：</w:t>
      </w:r>
      <w:r/>
    </w:p>
    <w:p>
      <w:pPr>
        <w:pStyle w:val="896"/>
        <w:ind w:left="299" w:firstLine="312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法定代表人或授权代表（签字或盖章）：</w:t>
      </w:r>
      <w:r/>
    </w:p>
    <w:p>
      <w:pPr>
        <w:pStyle w:val="896"/>
        <w:ind w:left="299" w:firstLine="48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after="0"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说明：</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3．投标人为“小型”或“微型”或“监狱企业”、“残疾人福利性单位”的，须算出“小型和微型和监狱企业和残疾人福利性单位” 总价合计”。</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4.根据财政部国库司的答复,小微企业提供的货物中包含大、中型企业产品的，不享受优惠待遇。</w:t>
      </w:r>
      <w:r/>
    </w:p>
    <w:p>
      <w:pPr>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注：1.如果按单价计算的结果与总价不一致，以总价为准。</w:t>
      </w:r>
      <w:r/>
    </w:p>
    <w:p>
      <w:pPr>
        <w:ind w:firstLine="480"/>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2.如果不提供详细分项报价将视为没有实质性响应招标文件。</w:t>
      </w:r>
      <w:r/>
    </w:p>
    <w:p>
      <w:pPr>
        <w:ind w:firstLine="480"/>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3.供应商对以上数据的真实性负责。</w:t>
      </w:r>
      <w:r/>
    </w:p>
    <w:p>
      <w:pPr>
        <w:spacing w:line="360" w:lineRule="exact"/>
        <w:rPr>
          <w:rFonts w:hint="eastAsia" w:ascii="仿宋" w:hAnsi="仿宋" w:eastAsia="仿宋" w:cs="仿宋"/>
          <w:b/>
          <w:bCs/>
          <w:i/>
          <w:iCs/>
          <w:color w:val="auto"/>
          <w:sz w:val="28"/>
          <w:szCs w:val="28"/>
          <w:highlight w:val="none"/>
          <w:lang w:eastAsia="zh-CN"/>
        </w:rPr>
      </w:pPr>
      <w:r>
        <w:rPr>
          <w:rFonts w:hint="eastAsia" w:ascii="仿宋" w:hAnsi="仿宋" w:eastAsia="仿宋" w:cs="仿宋"/>
          <w:b/>
          <w:bCs/>
          <w:i/>
          <w:iCs/>
          <w:color w:val="auto"/>
          <w:sz w:val="28"/>
          <w:szCs w:val="28"/>
          <w:highlight w:val="none"/>
          <w:lang w:eastAsia="zh-CN"/>
        </w:rPr>
        <w:t xml:space="preserve">江苏中瀚工程项目管理咨询有限公司有权将以上内容进行公示。</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四、偏离表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1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383"/>
        <w:gridCol w:w="1453"/>
        <w:gridCol w:w="1595"/>
        <w:gridCol w:w="1241"/>
        <w:gridCol w:w="247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bl>
    <w:p>
      <w:pPr>
        <w:ind w:firstLine="562"/>
        <w:jc w:val="both"/>
        <w:spacing w:after="0" w:line="439"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注：投标人应对照《第六章（采购需求）》中“技术参数要求”，逐条列在偏离表中，</w:t>
      </w:r>
      <w:r>
        <w:rPr>
          <w:rFonts w:hint="eastAsia" w:ascii="仿宋" w:hAnsi="仿宋" w:eastAsia="仿宋" w:cs="仿宋"/>
          <w:b/>
          <w:bCs/>
          <w:color w:val="auto"/>
          <w:sz w:val="28"/>
          <w:szCs w:val="28"/>
          <w:highlight w:val="none"/>
          <w:lang w:eastAsia="zh-CN"/>
        </w:rPr>
        <w:t xml:space="preserve">注明无偏离、正偏离或负偏离，并注明偏离的具体内容，</w:t>
      </w:r>
      <w:r>
        <w:rPr>
          <w:rFonts w:hint="eastAsia" w:ascii="仿宋" w:hAnsi="仿宋" w:eastAsia="仿宋" w:cs="仿宋"/>
          <w:b/>
          <w:color w:val="auto"/>
          <w:sz w:val="28"/>
          <w:szCs w:val="28"/>
          <w:highlight w:val="none"/>
          <w:lang w:eastAsia="zh-CN"/>
        </w:rPr>
        <w:t xml:space="preserve">否则将认为投标人接受招标文件的要求。</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pStyle w:val="81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pStyle w:val="81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color w:val="auto"/>
          <w:sz w:val="28"/>
          <w:szCs w:val="28"/>
          <w:highlight w:val="none"/>
          <w:lang w:eastAsia="zh-CN"/>
        </w:rPr>
        <w:t xml:space="preserve">日期：     年   月   日</w:t>
      </w:r>
      <w:r/>
    </w:p>
    <w:p>
      <w:pPr>
        <w:jc w:val="center"/>
        <w:spacing w:line="480" w:lineRule="exac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五、法定代表人资格证书</w:t>
      </w:r>
      <w:r/>
    </w:p>
    <w:p>
      <w:pPr>
        <w:jc w:val="both"/>
        <w:spacing w:line="480" w:lineRule="exact"/>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u w:val="single"/>
          <w:lang w:eastAsia="zh-CN"/>
        </w:rPr>
      </w:r>
      <w:r/>
    </w:p>
    <w:p>
      <w:pPr>
        <w:ind w:firstLine="1200"/>
        <w:jc w:val="both"/>
        <w:spacing w:line="480" w:lineRule="exact"/>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szCs w:val="24"/>
          <w:highlight w:val="none"/>
          <w:lang w:eastAsia="zh-CN" w:bidi="ar"/>
        </w:rPr>
        <w:t xml:space="preserve">（法定代表人姓名）系</w:t>
      </w:r>
      <w:r>
        <w:rPr>
          <w:rFonts w:hint="eastAsia" w:ascii="仿宋" w:hAnsi="仿宋" w:eastAsia="仿宋" w:cs="仿宋"/>
          <w:color w:val="auto"/>
          <w:sz w:val="24"/>
          <w:szCs w:val="24"/>
          <w:highlight w:val="none"/>
          <w:u w:val="single"/>
          <w:lang w:eastAsia="zh-CN" w:bidi="ar"/>
        </w:rPr>
        <w:t xml:space="preserve">                </w:t>
      </w:r>
      <w:r>
        <w:rPr>
          <w:rFonts w:hint="eastAsia" w:ascii="仿宋" w:hAnsi="仿宋" w:eastAsia="仿宋" w:cs="仿宋"/>
          <w:color w:val="auto"/>
          <w:sz w:val="24"/>
          <w:szCs w:val="24"/>
          <w:highlight w:val="none"/>
          <w:lang w:eastAsia="zh-CN" w:bidi="ar"/>
        </w:rPr>
        <w:t xml:space="preserve">（投标人全称）的法定代表人。</w:t>
      </w:r>
      <w:r/>
    </w:p>
    <w:p>
      <w:pPr>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r>
      <w:r/>
    </w:p>
    <w:p>
      <w:pPr>
        <w:ind w:firstLine="720"/>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eastAsia="zh-CN" w:bidi="ar"/>
        </w:rPr>
        <w:t xml:space="preserve">特此证明</w:t>
      </w:r>
      <w:r/>
    </w:p>
    <w:p>
      <w:pPr>
        <w:ind w:firstLine="5068"/>
        <w:jc w:val="both"/>
        <w:spacing w:line="48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投标人（盖单位电子签章）：</w:t>
      </w:r>
      <w:r>
        <w:rPr>
          <w:rFonts w:hint="eastAsia" w:ascii="仿宋" w:hAnsi="仿宋" w:eastAsia="仿宋" w:cs="仿宋"/>
          <w:color w:val="auto"/>
          <w:sz w:val="24"/>
          <w:highlight w:val="none"/>
          <w:u w:val="single"/>
          <w:lang w:eastAsia="zh-CN"/>
        </w:rPr>
        <w:t xml:space="preserve">           </w:t>
      </w:r>
      <w:r/>
    </w:p>
    <w:p>
      <w:pPr>
        <w:jc w:val="right"/>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eastAsia="zh-CN" w:bidi="ar"/>
        </w:rPr>
        <w:t xml:space="preserve">日期：</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szCs w:val="24"/>
          <w:highlight w:val="none"/>
          <w:lang w:eastAsia="zh-CN" w:bidi="ar"/>
        </w:rPr>
        <w:t xml:space="preserve">年</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szCs w:val="24"/>
          <w:highlight w:val="none"/>
          <w:lang w:eastAsia="zh-CN" w:bidi="ar"/>
        </w:rPr>
        <w:t xml:space="preserve">月</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szCs w:val="24"/>
          <w:highlight w:val="none"/>
          <w:lang w:eastAsia="zh-CN" w:bidi="ar"/>
        </w:rPr>
        <w:t xml:space="preserve">日</w:t>
      </w:r>
      <w:r/>
    </w:p>
    <w:p>
      <w:pPr>
        <w:jc w:val="right"/>
        <w:spacing w:line="480" w:lineRule="exac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r>
      <w:r/>
    </w:p>
    <w:p>
      <w:pPr>
        <w:pStyle w:val="806"/>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r>
      <w:r/>
    </w:p>
    <w:p>
      <w:pPr>
        <w:ind w:firstLine="1440"/>
        <w:spacing w:line="48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1440"/>
        <w:spacing w:line="48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1440"/>
        <w:spacing w:line="48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szCs w:val="24"/>
          <w:highlight w:val="none"/>
          <w:lang w:eastAsia="zh-CN" w:bidi="ar"/>
        </w:rPr>
        <w:t xml:space="preserve">法定代表人身份证</w:t>
      </w:r>
      <w:r>
        <w:rPr>
          <w:rFonts w:hint="eastAsia" w:ascii="仿宋" w:hAnsi="仿宋" w:eastAsia="仿宋" w:cs="仿宋"/>
          <w:color w:val="auto"/>
          <w:sz w:val="24"/>
          <w:highlight w:val="none"/>
          <w:lang w:eastAsia="zh-CN"/>
        </w:rPr>
        <w:t xml:space="preserve">复印件附后)</w:t>
      </w:r>
      <w:r/>
    </w:p>
    <w:p>
      <w:pPr>
        <w:rPr>
          <w:color w:val="auto"/>
          <w:highlight w:val="none"/>
          <w:lang w:eastAsia="zh-CN"/>
        </w:rPr>
      </w:pPr>
      <w:r>
        <w:rPr>
          <w:color w:val="auto"/>
          <w:highlight w:val="none"/>
          <w:lang w:eastAsia="zh-CN"/>
        </w:rPr>
      </w:r>
      <w:r/>
    </w:p>
    <w:p>
      <w:pPr>
        <w:pStyle w:val="809"/>
        <w:rPr>
          <w:color w:val="auto"/>
          <w:highlight w:val="none"/>
          <w:lang w:eastAsia="zh-CN"/>
        </w:rPr>
        <w:sectPr>
          <w:footnotePr/>
          <w:endnotePr/>
          <w:type w:val="nextPage"/>
          <w:pgSz w:w="11906" w:h="16838" w:orient="portrait"/>
          <w:pgMar w:top="1440" w:right="1134" w:bottom="1440" w:left="1134" w:header="851" w:footer="992" w:gutter="0"/>
          <w:cols w:num="1" w:sep="0" w:space="1701" w:equalWidth="1"/>
          <w:docGrid w:linePitch="360"/>
        </w:sectPr>
      </w:pPr>
      <w:r>
        <w:rPr>
          <w:color w:val="auto"/>
          <w:highlight w:val="none"/>
          <w:lang w:eastAsia="zh-CN"/>
        </w:rPr>
      </w:r>
      <w:r/>
    </w:p>
    <w:p>
      <w:pPr>
        <w:jc w:val="both"/>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六、法定代表人授权书</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法定代表人（负责人）：职务：</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           性别：男（女）</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年龄：岁           民族：族</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    ）全权代表我企业（公司）参与（徐州市殡葬管理服务中心汉王公墓管理所2026年度石材采购项目）（项目编号：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bookmarkStart w:id="8" w:name="OLE_LINK46"/>
      <w:r/>
      <w:bookmarkStart w:id="9" w:name="OLE_LINK47"/>
      <w:r>
        <w:rPr>
          <w:rFonts w:hint="eastAsia" w:ascii="仿宋" w:hAnsi="仿宋" w:eastAsia="仿宋" w:cs="仿宋"/>
          <w:color w:val="auto"/>
          <w:sz w:val="28"/>
          <w:szCs w:val="28"/>
          <w:highlight w:val="none"/>
          <w:lang w:eastAsia="zh-CN"/>
        </w:rPr>
        <w:t xml:space="preserve">盖单位电子签章</w:t>
      </w:r>
      <w:bookmarkEnd w:id="8"/>
      <w:r/>
      <w:bookmarkEnd w:id="9"/>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受托人（签字或盖章）：</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法定代表人（签字或盖章）： </w:t>
      </w:r>
      <w:r/>
    </w:p>
    <w:p>
      <w:pPr>
        <w:ind w:right="600" w:firstLine="615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right="600" w:firstLine="615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日 </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(受托人身份证复印件附后) </w:t>
      </w:r>
      <w:r/>
    </w:p>
    <w:p>
      <w:pPr>
        <w:ind w:firstLine="4470"/>
        <w:jc w:val="both"/>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七、中小企业声明函</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41"/>
        <w:spacing w:after="0" w:line="44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48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本公司郑重声明，根据《</w:t>
      </w:r>
      <w:bookmarkStart w:id="10" w:name="OLE_LINK5"/>
      <w:r>
        <w:rPr>
          <w:rFonts w:hint="eastAsia" w:ascii="仿宋" w:hAnsi="仿宋" w:eastAsia="仿宋" w:cs="仿宋"/>
          <w:color w:val="auto"/>
          <w:sz w:val="28"/>
          <w:szCs w:val="28"/>
          <w:highlight w:val="none"/>
          <w:lang w:eastAsia="zh-CN"/>
        </w:rPr>
        <w:t xml:space="preserve">政府采购促进中小企业发展管理办法</w:t>
      </w:r>
      <w:bookmarkEnd w:id="10"/>
      <w:r>
        <w:rPr>
          <w:rFonts w:hint="eastAsia" w:ascii="仿宋" w:hAnsi="仿宋" w:eastAsia="仿宋" w:cs="仿宋"/>
          <w:color w:val="auto"/>
          <w:sz w:val="28"/>
          <w:szCs w:val="28"/>
          <w:highlight w:val="none"/>
          <w:lang w:eastAsia="zh-CN"/>
        </w:rPr>
        <w:t xml:space="preserve">》（财库 (2020)46号）的规定，本公司参加</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采购活动，</w:t>
      </w:r>
      <w:r>
        <w:rPr>
          <w:rFonts w:hint="eastAsia" w:ascii="仿宋" w:hAnsi="仿宋" w:eastAsia="仿宋" w:cs="仿宋"/>
          <w:bCs/>
          <w:color w:val="auto"/>
          <w:sz w:val="28"/>
          <w:szCs w:val="28"/>
          <w:highlight w:val="none"/>
          <w:lang w:eastAsia="zh-CN"/>
        </w:rPr>
        <w:t xml:space="preserve">提供的货物全部由符合政策要求的中小企业制造。</w:t>
      </w:r>
      <w:r>
        <w:rPr>
          <w:rFonts w:hint="eastAsia" w:ascii="仿宋" w:hAnsi="仿宋" w:eastAsia="仿宋" w:cs="仿宋"/>
          <w:color w:val="auto"/>
          <w:sz w:val="28"/>
          <w:szCs w:val="28"/>
          <w:highlight w:val="none"/>
          <w:lang w:eastAsia="zh-CN"/>
        </w:rPr>
        <w:t xml:space="preserve">相关企业的具体情况如下：</w:t>
      </w:r>
      <w:r/>
    </w:p>
    <w:p>
      <w:pPr>
        <w:numPr>
          <w:ilvl w:val="0"/>
          <w:numId w:val="5"/>
        </w:numPr>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eastAsia="zh-CN"/>
        </w:rPr>
        <w:t xml:space="preserve">（标的名称）</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  ）行业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万元，属于（□中型企业、□小型企业、□微型企业，</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numPr>
          <w:ilvl w:val="0"/>
          <w:numId w:val="5"/>
        </w:numPr>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eastAsia="zh-CN"/>
        </w:rPr>
        <w:t xml:space="preserve">（标的名称）</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  ）行业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 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万元，属于（□中型企业、□小型企业、□微型企业，</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1059"/>
        <w:ind w:left="0" w:firstLine="964"/>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以上企业，不属于大企业的分支机构，不存在控股股东为大企业的情形，也不存在与大企业的负责人为同一人的情形。</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本企业对上述声明内容的真实性负责。如有虚假，将依法承担相应责任。</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560"/>
        <w:jc w:val="right"/>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企业名称（供应商名称）；</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pStyle w:val="814"/>
        <w:ind w:left="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814"/>
        <w:ind w:left="0" w:firstLine="57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日期：   年  月  日</w:t>
      </w:r>
      <w:r/>
    </w:p>
    <w:p>
      <w:pPr>
        <w:pStyle w:val="814"/>
        <w:ind w:left="0"/>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采购标的所属行业：</w:t>
      </w:r>
      <w:r>
        <w:rPr>
          <w:rFonts w:hint="eastAsia" w:ascii="仿宋" w:hAnsi="仿宋" w:eastAsia="仿宋" w:cs="仿宋"/>
          <w:b/>
          <w:bCs/>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u w:val="single"/>
          <w:lang w:eastAsia="zh-CN"/>
        </w:rPr>
        <w:t xml:space="preserve"> </w:t>
      </w:r>
      <w:r/>
    </w:p>
    <w:p>
      <w:pPr>
        <w:pStyle w:val="1104"/>
        <w:ind w:firstLine="602"/>
        <w:jc w:val="lef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说明：</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2.从业人员、营业收入、资产总额填报供应商上一年度数据，无上一年度数据的新成立企业可不填报。</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4.执行江苏省财政厅关于进一步加大政府采购支持中小企业力度的通知（苏财购〔2022〕45号）的规定。</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5.供应商提供的《中小企业声明函》与事实不符的，依照《政府采购法》第七十七条第一款的规定追究法律责任。</w:t>
      </w:r>
      <w:r/>
    </w:p>
    <w:p>
      <w:pPr>
        <w:ind w:firstLine="602"/>
        <w:spacing w:line="480" w:lineRule="exact"/>
        <w:rPr>
          <w:rFonts w:ascii="宋体" w:hAnsi="宋体" w:cs="宋体"/>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6.《中小企业声明函》查询渠道用微信搜索“中小企业规模类型自测小程序”。</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eastAsia="zh-CN"/>
        </w:rPr>
        <mc:AlternateContent>
          <mc:Choice Requires="wpg">
            <w:drawing>
              <wp:inline xmlns:wp="http://schemas.openxmlformats.org/drawingml/2006/wordprocessingDrawing" distT="0" distB="0" distL="0" distR="0">
                <wp:extent cx="1699260" cy="3484880"/>
                <wp:effectExtent l="0" t="0" r="0" b="0"/>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43"/>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3.8pt;height:274.4pt;mso-wrap-distance-left:0.0pt;mso-wrap-distance-top:0.0pt;mso-wrap-distance-right:0.0pt;mso-wrap-distance-bottom:0.0pt;" stroked="f">
                <v:path textboxrect="0,0,0,0"/>
                <v:imagedata r:id="rId43" o:title=""/>
              </v:shape>
            </w:pict>
          </mc:Fallback>
        </mc:AlternateContent>
      </w:r>
      <w:r/>
    </w:p>
    <w:p>
      <w:pPr>
        <w:rPr>
          <w:rFonts w:hint="eastAsia" w:ascii="仿宋" w:hAnsi="仿宋" w:eastAsia="仿宋" w:cs="仿宋"/>
          <w:b/>
          <w:bCs/>
          <w:color w:val="auto"/>
          <w:sz w:val="28"/>
          <w:szCs w:val="28"/>
          <w:highlight w:val="none"/>
        </w:rP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八、</w:t>
      </w:r>
      <w:r>
        <w:rPr>
          <w:rFonts w:hint="eastAsia" w:ascii="仿宋" w:hAnsi="仿宋" w:eastAsia="仿宋" w:cs="仿宋"/>
          <w:b/>
          <w:color w:val="auto"/>
          <w:spacing w:val="6"/>
          <w:sz w:val="28"/>
          <w:szCs w:val="28"/>
          <w:highlight w:val="none"/>
          <w:lang w:eastAsia="zh-CN"/>
        </w:rPr>
        <w:t xml:space="preserve">残疾人福利性单位声明函</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96"/>
        <w:ind w:firstLine="584"/>
        <w:spacing w:line="588" w:lineRule="exact"/>
        <w:tabs>
          <w:tab w:val="left" w:pos="111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highlight w:val="none"/>
        </w:rPr>
        <w:t xml:space="preserve">〔2017〕141</w:t>
      </w:r>
      <w:r>
        <w:rPr>
          <w:rFonts w:hint="eastAsia" w:ascii="仿宋" w:hAnsi="仿宋" w:eastAsia="仿宋" w:cs="仿宋"/>
          <w:color w:val="auto"/>
          <w:spacing w:val="6"/>
          <w:sz w:val="28"/>
          <w:szCs w:val="28"/>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96"/>
        <w:ind w:left="936" w:firstLine="0"/>
        <w:spacing w:line="588" w:lineRule="exact"/>
        <w:tabs>
          <w:tab w:val="left" w:pos="111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本单位对上述声明的真实性负责。如有虚假，将依法承担相应责任。</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pStyle w:val="896"/>
        <w:ind w:left="936" w:right="1560" w:firstLine="0"/>
        <w:spacing w:line="588" w:lineRule="exact"/>
        <w:tabs>
          <w:tab w:val="left" w:pos="486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jc w:val="both"/>
        <w:spacing w:line="360" w:lineRule="auto"/>
        <w:widowControl w:val="off"/>
        <w:rPr>
          <w:rFonts w:hint="eastAsia" w:ascii="仿宋" w:hAnsi="仿宋" w:eastAsia="仿宋" w:cs="仿宋"/>
          <w:color w:val="auto"/>
          <w:spacing w:val="6"/>
          <w:sz w:val="28"/>
          <w:szCs w:val="28"/>
          <w:highlight w:val="none"/>
          <w:lang w:eastAsia="zh-CN"/>
        </w:rPr>
      </w:pPr>
      <w:r>
        <w:rPr>
          <w:rFonts w:hint="eastAsia" w:ascii="仿宋" w:hAnsi="仿宋" w:eastAsia="仿宋" w:cs="仿宋"/>
          <w:color w:val="auto"/>
          <w:spacing w:val="6"/>
          <w:sz w:val="28"/>
          <w:szCs w:val="28"/>
          <w:highlight w:val="none"/>
          <w:lang w:eastAsia="zh-CN"/>
        </w:rPr>
        <w:t xml:space="preserve">注：</w:t>
      </w:r>
      <w:r/>
    </w:p>
    <w:p>
      <w:pPr>
        <w:ind w:firstLine="504"/>
        <w:jc w:val="both"/>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6"/>
          <w:sz w:val="28"/>
          <w:szCs w:val="28"/>
          <w:highlight w:val="none"/>
          <w:lang w:eastAsia="zh-CN"/>
        </w:rPr>
        <w:t xml:space="preserve">1.具体以《关于促进残疾人就业政府采购政策的通知》（财库〔2017〕141号）的规定为准。</w:t>
      </w:r>
      <w:r/>
    </w:p>
    <w:p>
      <w:pPr>
        <w:ind w:firstLine="506"/>
        <w:jc w:val="both"/>
        <w:spacing w:line="360" w:lineRule="auto"/>
        <w:widowControl w:val="off"/>
        <w:rPr>
          <w:rFonts w:hint="eastAsia" w:ascii="仿宋" w:hAnsi="仿宋" w:eastAsia="仿宋" w:cs="仿宋"/>
          <w:b/>
          <w:bCs/>
          <w:color w:val="auto"/>
          <w:spacing w:val="6"/>
          <w:sz w:val="28"/>
          <w:szCs w:val="28"/>
          <w:highlight w:val="none"/>
          <w:lang w:eastAsia="zh-CN"/>
        </w:rPr>
      </w:pPr>
      <w:r>
        <w:rPr>
          <w:rFonts w:hint="eastAsia" w:ascii="仿宋" w:hAnsi="仿宋" w:eastAsia="仿宋" w:cs="仿宋"/>
          <w:b/>
          <w:bCs/>
          <w:color w:val="auto"/>
          <w:spacing w:val="6"/>
          <w:sz w:val="28"/>
          <w:szCs w:val="28"/>
          <w:highlight w:val="none"/>
          <w:lang w:eastAsia="zh-CN"/>
        </w:rPr>
        <w:t xml:space="preserve">2. 如供应商不属于残疾人福利性单位不需要提供此声明函。</w:t>
      </w:r>
      <w:r/>
    </w:p>
    <w:p>
      <w:pPr>
        <w:jc w:val="center"/>
        <w:spacing w:after="0" w:line="479" w:lineRule="atLeast"/>
        <w:rPr>
          <w:rFonts w:hint="eastAsia" w:ascii="仿宋" w:hAnsi="仿宋" w:eastAsia="仿宋" w:cs="仿宋"/>
          <w:b/>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bookmarkStart w:id="11" w:name="_Toc27841_WPSOffice_Level2"/>
      <w:r/>
      <w:bookmarkStart w:id="12" w:name="_Toc12965_WPSOffice_Level2"/>
      <w:r>
        <w:rPr>
          <w:rFonts w:hint="eastAsia" w:ascii="仿宋" w:hAnsi="仿宋" w:eastAsia="仿宋" w:cs="仿宋"/>
          <w:b/>
          <w:color w:val="auto"/>
          <w:spacing w:val="6"/>
          <w:sz w:val="28"/>
          <w:szCs w:val="28"/>
          <w:highlight w:val="none"/>
          <w:lang w:eastAsia="zh-CN"/>
        </w:rPr>
        <w:t xml:space="preserve">九、</w:t>
      </w:r>
      <w:bookmarkEnd w:id="11"/>
      <w:r/>
      <w:bookmarkEnd w:id="12"/>
      <w:r>
        <w:rPr>
          <w:rFonts w:hint="eastAsia" w:ascii="仿宋" w:hAnsi="仿宋" w:eastAsia="仿宋" w:cs="仿宋"/>
          <w:b/>
          <w:color w:val="auto"/>
          <w:spacing w:val="6"/>
          <w:sz w:val="28"/>
          <w:szCs w:val="28"/>
          <w:highlight w:val="none"/>
          <w:lang w:eastAsia="zh-CN"/>
        </w:rPr>
        <w:t xml:space="preserve">投标人参加政府采购活动前3年内在经营活动中没有重大违法记录的</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6"/>
          <w:sz w:val="28"/>
          <w:szCs w:val="28"/>
          <w:highlight w:val="none"/>
          <w:lang w:eastAsia="zh-CN"/>
        </w:rPr>
        <w:t xml:space="preserve">书面声明</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我单位在参加</w:t>
      </w:r>
      <w:r>
        <w:rPr>
          <w:rFonts w:hint="eastAsia" w:ascii="仿宋" w:hAnsi="仿宋" w:eastAsia="仿宋" w:cs="仿宋"/>
          <w:color w:val="auto"/>
          <w:spacing w:val="6"/>
          <w:sz w:val="28"/>
          <w:szCs w:val="28"/>
          <w:highlight w:val="none"/>
          <w:u w:val="single"/>
          <w:lang w:eastAsia="zh-CN"/>
        </w:rPr>
        <w:t xml:space="preserve">          </w:t>
      </w:r>
      <w:r>
        <w:rPr>
          <w:rFonts w:hint="eastAsia" w:ascii="仿宋" w:hAnsi="仿宋" w:eastAsia="仿宋" w:cs="仿宋"/>
          <w:color w:val="auto"/>
          <w:spacing w:val="6"/>
          <w:sz w:val="28"/>
          <w:szCs w:val="28"/>
          <w:highlight w:val="none"/>
          <w:lang w:eastAsia="zh-CN"/>
        </w:rPr>
        <w:t xml:space="preserve">（项目编号：</w:t>
      </w:r>
      <w:r>
        <w:rPr>
          <w:rFonts w:hint="eastAsia" w:ascii="仿宋" w:hAnsi="仿宋" w:eastAsia="仿宋" w:cs="仿宋"/>
          <w:color w:val="auto"/>
          <w:spacing w:val="6"/>
          <w:sz w:val="28"/>
          <w:szCs w:val="28"/>
          <w:highlight w:val="none"/>
          <w:u w:val="single"/>
          <w:lang w:eastAsia="zh-CN"/>
        </w:rPr>
        <w:t xml:space="preserve">        </w:t>
      </w:r>
      <w:r>
        <w:rPr>
          <w:rFonts w:hint="eastAsia" w:ascii="仿宋" w:hAnsi="仿宋" w:eastAsia="仿宋" w:cs="仿宋"/>
          <w:color w:val="auto"/>
          <w:spacing w:val="6"/>
          <w:sz w:val="28"/>
          <w:szCs w:val="28"/>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479" w:lineRule="atLeast"/>
        <w:rPr>
          <w:rFonts w:hint="eastAsia" w:ascii="仿宋" w:hAnsi="仿宋" w:eastAsia="仿宋" w:cs="仿宋"/>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我单位对上述声明的真实性负责。如有虚假，将依法承担相应责任。</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1134"/>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2"/>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十、具备履行合同所必需的设备和专业技术能力的书面声明</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4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480"/>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投标人郑重声明：投标人具备履行合同（项目名称：    ，项目编号：  )所必需的设备和专业技术能力，具体为：</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pStyle w:val="896"/>
        <w:ind w:left="912" w:firstLine="0"/>
        <w:tabs>
          <w:tab w:val="left" w:pos="111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（如有其他证明材料附电子扫描件，加盖电子签章）格式（投标人可自行拟定）</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特此声明。</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投标人对上述声明的真实性负责。如有虚假，将依法承担相应责任。</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520"/>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投标人法定代表人或其授权代表：（签字或电子签章）  </w:t>
      </w:r>
      <w:r/>
    </w:p>
    <w:p>
      <w:pPr>
        <w:ind w:firstLine="252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562"/>
        <w:jc w:val="cente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十一、预付款保函支付条款模板</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符合条件一：提交预付款保函的</w:t>
      </w:r>
      <w:r/>
    </w:p>
    <w:p>
      <w:pPr>
        <w:ind w:firstLine="602"/>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（1）合同签订且乙方向甲方出具预付款保函后个工作日内，甲方应支付合同价款的百分之</w:t>
      </w:r>
      <w:r>
        <w:rPr>
          <w:rFonts w:hint="eastAsia" w:ascii="仿宋" w:hAnsi="仿宋" w:eastAsia="仿宋" w:cs="仿宋"/>
          <w:color w:val="auto"/>
          <w:sz w:val="28"/>
          <w:szCs w:val="28"/>
          <w:highlight w:val="none"/>
          <w:u w:val="single"/>
          <w:lang w:eastAsia="zh-CN"/>
        </w:rPr>
        <w:t xml:space="preserve">        XX（    XX%），</w:t>
      </w:r>
      <w:r>
        <w:rPr>
          <w:rFonts w:hint="eastAsia" w:ascii="仿宋" w:hAnsi="仿宋" w:eastAsia="仿宋" w:cs="仿宋"/>
          <w:color w:val="auto"/>
          <w:sz w:val="28"/>
          <w:szCs w:val="28"/>
          <w:highlight w:val="none"/>
          <w:lang w:eastAsia="zh-CN"/>
        </w:rPr>
        <w:t xml:space="preserve">小写￥大写：人民币。</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符合条件二：不提交预付款保函的</w:t>
      </w:r>
      <w:r/>
    </w:p>
    <w:p>
      <w:pPr>
        <w:ind w:firstLine="602"/>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left="140"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1、付款条件一中，出具预付款保函后支付的合同款应当与保函金额一致。</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2、付款条件二中，预付款比例设定应符合《关于做好政府采购支持企业发展有关事项的通知》(苏财购〔2020〕52号)要求。</w:t>
      </w:r>
      <w:r/>
    </w:p>
    <w:p>
      <w:pPr>
        <w:pStyle w:val="830"/>
        <w:rPr>
          <w:color w:val="auto"/>
          <w:highlight w:val="none"/>
          <w:lang w:eastAsia="zh-CN"/>
        </w:rPr>
      </w:pPr>
      <w:r>
        <w:rPr>
          <w:rFonts w:hint="eastAsia"/>
          <w:color w:val="auto"/>
          <w:highlight w:val="none"/>
          <w:lang w:eastAsia="zh-CN"/>
        </w:rPr>
        <w:br w:type="page" w:clear="all"/>
      </w:r>
      <w:r/>
    </w:p>
    <w:p>
      <w:pPr>
        <w:ind w:firstLine="562"/>
        <w:jc w:val="cente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十二、关于符合本国产品标准的声明函</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eastAsia="zh-CN"/>
        </w:rPr>
        <w:t xml:space="preserve">产品名称1</w:t>
      </w:r>
      <w:r>
        <w:rPr>
          <w:rFonts w:ascii="宋体" w:hAnsi="宋体" w:eastAsia="宋体" w:cs="宋体"/>
          <w:b/>
          <w:bCs/>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1</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2</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3</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4</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b/>
          <w:bCs/>
          <w:color w:val="auto"/>
          <w:sz w:val="24"/>
          <w:szCs w:val="24"/>
          <w:highlight w:val="none"/>
          <w:vertAlign w:val="superscript"/>
          <w:lang w:eastAsia="zh-CN"/>
        </w:rPr>
        <w:t xml:space="preserve">5</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b/>
          <w:bCs/>
          <w:color w:val="auto"/>
          <w:sz w:val="24"/>
          <w:szCs w:val="24"/>
          <w:highlight w:val="none"/>
          <w:u w:val="single"/>
          <w:lang w:eastAsia="zh-CN"/>
        </w:rPr>
        <w:t xml:space="preserve">产品名称2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本公司（单位）对上述声明内容的真实性负责。如有虚假，愿承担相应法律责任。</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公司（单位）名称（电子签章）：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日期：　     年　  月　  日         </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__________________</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1.产品如有型号，请在“产品名称”栏一并填写。</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5.该产品的关键工序要求实施前，“关键工序”栏可不填，下同。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lang w:eastAsia="zh-CN"/>
        </w:rPr>
        <w:t xml:space="preserve">6</w:t>
      </w:r>
      <w:r>
        <w:rPr>
          <w:rFonts w:ascii="宋体" w:hAnsi="宋体" w:eastAsia="宋体" w:cs="宋体"/>
          <w:color w:val="auto"/>
          <w:sz w:val="24"/>
          <w:szCs w:val="24"/>
          <w:highlight w:val="none"/>
          <w:lang w:eastAsia="zh-CN"/>
        </w:rPr>
        <w:t xml:space="preserve">.《声明函》中标注“</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”的地方无需填写。</w:t>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pStyle w:val="830"/>
        <w:rPr>
          <w:rFonts w:eastAsiaTheme="minorEastAsia"/>
          <w:color w:val="auto"/>
          <w:highlight w:val="none"/>
          <w:lang w:eastAsia="zh-CN"/>
        </w:rPr>
      </w:pPr>
      <w:r>
        <w:rPr>
          <w:rFonts w:eastAsiaTheme="minorEastAsia"/>
          <w:color w:val="auto"/>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附件</w:t>
      </w:r>
      <w:r/>
    </w:p>
    <w:p>
      <w:pPr>
        <w:ind w:firstLine="420"/>
        <w:spacing w:before="30" w:after="30" w:line="240" w:lineRule="auto"/>
        <w:shd w:val="clear" w:color="auto" w:fill="ffff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cente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中国境内生产的组件成本核算基本规则</w:t>
      </w:r>
      <w:r/>
    </w:p>
    <w:p>
      <w:pPr>
        <w:ind w:firstLine="420"/>
        <w:spacing w:before="30" w:after="30" w:line="240" w:lineRule="auto"/>
        <w:shd w:val="clear" w:color="auto" w:fill="ffff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一、产品的一级组件是指直接组成产品的组件。产品的二级组件是指直接组成产品一级组件的组件。一级组件不可分解的，视同二级组件。</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二、二级组件在中国境内生产的，其全部成本计入中国境内生产的组件成本；二级组件不在中国境内生产的，其成本不计入中国境内生产的组件成本。</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三、产品总成本和组件成本以相关会计核算数据、采购合同、进货记录等为基础进行计算。</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四、需要对成本核算规则予以进一步明确的其他有关事项，由财政部会同有关部门另行规定。</w:t>
      </w:r>
      <w:r/>
    </w:p>
    <w:p>
      <w:pPr>
        <w:ind w:firstLine="624"/>
        <w:jc w:val="both"/>
        <w:spacing w:after="0" w:line="480" w:lineRule="exact"/>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833"/>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sectPr>
      <w:headerReference w:type="default" r:id="rId9"/>
      <w:footerReference w:type="default" r:id="rId14"/>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3541492"/>
      <w:rPr/>
    </w:sdtPr>
    <w:sdtContent>
      <w:p>
        <w:pPr>
          <w:pStyle w:val="828"/>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88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7971123"/>
      <w:rPr/>
    </w:sdtPr>
    <w:sdtContent>
      <w:p>
        <w:pPr>
          <w:pStyle w:val="828"/>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889"/>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81986"/>
      <w:rPr/>
    </w:sdtPr>
    <w:sdtContent>
      <w:p>
        <w:pPr>
          <w:pStyle w:val="828"/>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9858997"/>
      <w:rPr/>
    </w:sdtPr>
    <w:sdtContent>
      <w:p>
        <w:pPr>
          <w:pStyle w:val="828"/>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2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0918608"/>
      <w:rPr/>
    </w:sdtPr>
    <w:sdtContent>
      <w:p>
        <w:pPr>
          <w:pStyle w:val="828"/>
          <w:jc w:val="center"/>
        </w:pPr>
        <w:r>
          <w:fldChar w:fldCharType="begin"/>
        </w:r>
        <w:r>
          <w:instrText xml:space="preserve">PAGE   \* MERGEFORMAT</w:instrText>
        </w:r>
        <w:r>
          <w:fldChar w:fldCharType="separate"/>
        </w:r>
        <w:r>
          <w:rPr>
            <w:lang w:val="zh-CN" w:eastAsia="zh-CN"/>
          </w:rPr>
          <w:t xml:space="preserve">75</w:t>
        </w:r>
        <w:r>
          <w:fldChar w:fldCharType="end"/>
        </w:r>
        <w:r/>
      </w:p>
    </w:sdtContent>
  </w:sdt>
  <w:p>
    <w:pPr>
      <w:pStyle w:val="889"/>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tabs>
        <w:tab w:val="center" w:pos="4153" w:leader="none"/>
        <w:tab w:val="clear" w:pos="7143" w:leader="none"/>
        <w:tab w:val="right" w:pos="8306" w:leader="none"/>
        <w:tab w:val="clear" w:pos="14287"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5126" w:hanging="360"/>
      </w:pPr>
      <w:rPr>
        <w:rFonts w:hint="default" w:ascii="Courier New" w:hAnsi="Courier New" w:eastAsia="Courier New" w:cs="Courier New"/>
      </w:rPr>
    </w:lvl>
    <w:lvl w:ilvl="2">
      <w:start w:val="1"/>
      <w:numFmt w:val="bullet"/>
      <w:isLgl w:val="false"/>
      <w:suff w:val="tab"/>
      <w:lvlText w:val="§"/>
      <w:lvlJc w:val="left"/>
      <w:pPr>
        <w:ind w:left="5846" w:hanging="360"/>
      </w:pPr>
      <w:rPr>
        <w:rFonts w:hint="default" w:ascii="Wingdings" w:hAnsi="Wingdings" w:eastAsia="Wingdings" w:cs="Wingdings"/>
      </w:rPr>
    </w:lvl>
    <w:lvl w:ilvl="3">
      <w:start w:val="1"/>
      <w:numFmt w:val="bullet"/>
      <w:isLgl w:val="false"/>
      <w:suff w:val="tab"/>
      <w:lvlText w:val="·"/>
      <w:lvlJc w:val="left"/>
      <w:pPr>
        <w:ind w:left="6566" w:hanging="360"/>
      </w:pPr>
      <w:rPr>
        <w:rFonts w:hint="default" w:ascii="Symbol" w:hAnsi="Symbol" w:eastAsia="Symbol" w:cs="Symbol"/>
      </w:rPr>
    </w:lvl>
    <w:lvl w:ilvl="4">
      <w:start w:val="1"/>
      <w:numFmt w:val="bullet"/>
      <w:isLgl w:val="false"/>
      <w:suff w:val="tab"/>
      <w:lvlText w:val="o"/>
      <w:lvlJc w:val="left"/>
      <w:pPr>
        <w:ind w:left="7286" w:hanging="360"/>
      </w:pPr>
      <w:rPr>
        <w:rFonts w:hint="default" w:ascii="Courier New" w:hAnsi="Courier New" w:eastAsia="Courier New" w:cs="Courier New"/>
      </w:rPr>
    </w:lvl>
    <w:lvl w:ilvl="5">
      <w:start w:val="1"/>
      <w:numFmt w:val="bullet"/>
      <w:isLgl w:val="false"/>
      <w:suff w:val="tab"/>
      <w:lvlText w:val="§"/>
      <w:lvlJc w:val="left"/>
      <w:pPr>
        <w:ind w:left="8006" w:hanging="360"/>
      </w:pPr>
      <w:rPr>
        <w:rFonts w:hint="default" w:ascii="Wingdings" w:hAnsi="Wingdings" w:eastAsia="Wingdings" w:cs="Wingdings"/>
      </w:rPr>
    </w:lvl>
    <w:lvl w:ilvl="6">
      <w:start w:val="1"/>
      <w:numFmt w:val="bullet"/>
      <w:isLgl w:val="false"/>
      <w:suff w:val="tab"/>
      <w:lvlText w:val="·"/>
      <w:lvlJc w:val="left"/>
      <w:pPr>
        <w:ind w:left="8726" w:hanging="360"/>
      </w:pPr>
      <w:rPr>
        <w:rFonts w:hint="default" w:ascii="Symbol" w:hAnsi="Symbol" w:eastAsia="Symbol" w:cs="Symbol"/>
      </w:rPr>
    </w:lvl>
    <w:lvl w:ilvl="7">
      <w:start w:val="1"/>
      <w:numFmt w:val="bullet"/>
      <w:isLgl w:val="false"/>
      <w:suff w:val="tab"/>
      <w:lvlText w:val="o"/>
      <w:lvlJc w:val="left"/>
      <w:pPr>
        <w:ind w:left="9446" w:hanging="360"/>
      </w:pPr>
      <w:rPr>
        <w:rFonts w:hint="default" w:ascii="Courier New" w:hAnsi="Courier New" w:eastAsia="Courier New" w:cs="Courier New"/>
      </w:rPr>
    </w:lvl>
    <w:lvl w:ilvl="8">
      <w:start w:val="1"/>
      <w:numFmt w:val="bullet"/>
      <w:isLgl w:val="false"/>
      <w:suff w:val="tab"/>
      <w:lvlText w:val="§"/>
      <w:lvlJc w:val="left"/>
      <w:pPr>
        <w:ind w:left="10166" w:hanging="360"/>
      </w:pPr>
      <w:rPr>
        <w:rFonts w:hint="default" w:ascii="Wingdings" w:hAnsi="Wingdings" w:eastAsia="Wingdings" w:cs="Wingdings"/>
      </w:rPr>
    </w:lvl>
  </w:abstractNum>
  <w:abstractNum w:abstractNumId="3">
    <w:multiLevelType w:val="hybridMultilevel"/>
    <w:lvl w:ilvl="0">
      <w:start w:val="1"/>
      <w:numFmt w:val="decimal"/>
      <w:pStyle w:val="1103"/>
      <w:isLgl w:val="false"/>
      <w:suff w:val="tab"/>
      <w:lvlText w:val="第%1章"/>
      <w:lvlJc w:val="left"/>
      <w:pPr>
        <w:ind w:left="299"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7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4"/>
      <w:numFmt w:val="chineseCounting"/>
      <w:isLgl w:val="false"/>
      <w:suff w:val="space"/>
      <w:lvlText w:val="第%1章"/>
      <w:lvlJc w:val="left"/>
      <w:pPr/>
      <w:rPr>
        <w:rFonts w:hint="eastAsia"/>
        <w:b/>
        <w:bCs/>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4">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3">
    <w:name w:val="TOC Heading"/>
    <w:uiPriority w:val="39"/>
    <w:unhideWhenUsed/>
  </w:style>
  <w:style w:type="paragraph" w:styleId="794" w:default="1">
    <w:name w:val="Normal"/>
    <w:next w:val="806"/>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95">
    <w:name w:val="Heading 1"/>
    <w:basedOn w:val="794"/>
    <w:next w:val="794"/>
    <w:link w:val="913"/>
    <w:uiPriority w:val="9"/>
    <w:qFormat/>
    <w:pPr>
      <w:keepLines/>
      <w:keepNext/>
      <w:spacing w:before="480"/>
      <w:outlineLvl w:val="0"/>
    </w:pPr>
    <w:rPr>
      <w:rFonts w:ascii="Arial" w:hAnsi="Arial" w:eastAsia="Arial" w:cs="Arial"/>
      <w:sz w:val="40"/>
      <w:szCs w:val="40"/>
    </w:rPr>
  </w:style>
  <w:style w:type="paragraph" w:styleId="796">
    <w:name w:val="Heading 2"/>
    <w:basedOn w:val="794"/>
    <w:next w:val="794"/>
    <w:uiPriority w:val="0"/>
    <w:unhideWhenUsed/>
    <w:qFormat/>
    <w:pPr>
      <w:jc w:val="center"/>
      <w:keepLines/>
      <w:keepNext/>
      <w:spacing w:before="260" w:after="260" w:line="360" w:lineRule="auto"/>
      <w:widowControl w:val="off"/>
      <w:outlineLvl w:val="1"/>
    </w:pPr>
    <w:rPr>
      <w:rFonts w:eastAsia="楷体_GB2312" w:asciiTheme="majorHAnsi" w:hAnsiTheme="majorHAnsi" w:cstheme="majorBidi"/>
      <w:b/>
      <w:bCs/>
      <w:sz w:val="30"/>
      <w:szCs w:val="32"/>
      <w:lang w:eastAsia="zh-CN"/>
    </w:rPr>
  </w:style>
  <w:style w:type="paragraph" w:styleId="797">
    <w:name w:val="Heading 3"/>
    <w:basedOn w:val="794"/>
    <w:next w:val="794"/>
    <w:uiPriority w:val="0"/>
    <w:unhideWhenUsed/>
    <w:qFormat/>
    <w:pPr>
      <w:keepLines/>
      <w:keepNext/>
      <w:spacing w:before="260" w:after="260" w:line="360" w:lineRule="auto"/>
      <w:widowControl w:val="off"/>
      <w:outlineLvl w:val="2"/>
    </w:pPr>
    <w:rPr>
      <w:rFonts w:ascii="Times New Roman" w:hAnsi="Times New Roman" w:eastAsia="楷体_GB2312" w:cs="Times New Roman"/>
      <w:b/>
      <w:bCs/>
      <w:sz w:val="28"/>
      <w:szCs w:val="32"/>
      <w:lang w:eastAsia="zh-CN"/>
    </w:rPr>
  </w:style>
  <w:style w:type="paragraph" w:styleId="798">
    <w:name w:val="Heading 4"/>
    <w:basedOn w:val="794"/>
    <w:next w:val="794"/>
    <w:link w:val="916"/>
    <w:uiPriority w:val="9"/>
    <w:unhideWhenUsed/>
    <w:qFormat/>
    <w:pPr>
      <w:keepLines/>
      <w:keepNext/>
      <w:spacing w:before="320"/>
      <w:outlineLvl w:val="3"/>
    </w:pPr>
    <w:rPr>
      <w:rFonts w:ascii="Arial" w:hAnsi="Arial" w:eastAsia="Arial" w:cs="Arial"/>
      <w:b/>
      <w:bCs/>
      <w:sz w:val="26"/>
      <w:szCs w:val="26"/>
    </w:rPr>
  </w:style>
  <w:style w:type="paragraph" w:styleId="799">
    <w:name w:val="Heading 5"/>
    <w:basedOn w:val="794"/>
    <w:next w:val="794"/>
    <w:link w:val="917"/>
    <w:uiPriority w:val="9"/>
    <w:unhideWhenUsed/>
    <w:qFormat/>
    <w:pPr>
      <w:keepLines/>
      <w:keepNext/>
      <w:spacing w:before="320"/>
      <w:outlineLvl w:val="4"/>
    </w:pPr>
    <w:rPr>
      <w:rFonts w:ascii="Arial" w:hAnsi="Arial" w:eastAsia="Arial" w:cs="Arial"/>
      <w:b/>
      <w:bCs/>
      <w:sz w:val="24"/>
      <w:szCs w:val="24"/>
    </w:rPr>
  </w:style>
  <w:style w:type="paragraph" w:styleId="800">
    <w:name w:val="Heading 6"/>
    <w:basedOn w:val="794"/>
    <w:next w:val="794"/>
    <w:link w:val="918"/>
    <w:uiPriority w:val="9"/>
    <w:unhideWhenUsed/>
    <w:qFormat/>
    <w:pPr>
      <w:keepLines/>
      <w:keepNext/>
      <w:spacing w:before="320"/>
      <w:outlineLvl w:val="5"/>
    </w:pPr>
    <w:rPr>
      <w:rFonts w:ascii="Arial" w:hAnsi="Arial" w:eastAsia="Arial" w:cs="Arial"/>
      <w:b/>
      <w:bCs/>
    </w:rPr>
  </w:style>
  <w:style w:type="paragraph" w:styleId="801">
    <w:name w:val="Heading 7"/>
    <w:basedOn w:val="794"/>
    <w:next w:val="794"/>
    <w:link w:val="919"/>
    <w:uiPriority w:val="9"/>
    <w:unhideWhenUsed/>
    <w:qFormat/>
    <w:pPr>
      <w:keepLines/>
      <w:keepNext/>
      <w:spacing w:before="320"/>
      <w:outlineLvl w:val="6"/>
    </w:pPr>
    <w:rPr>
      <w:rFonts w:ascii="Arial" w:hAnsi="Arial" w:eastAsia="Arial" w:cs="Arial"/>
      <w:b/>
      <w:bCs/>
      <w:i/>
      <w:iCs/>
    </w:rPr>
  </w:style>
  <w:style w:type="paragraph" w:styleId="802">
    <w:name w:val="Heading 8"/>
    <w:basedOn w:val="794"/>
    <w:next w:val="794"/>
    <w:link w:val="920"/>
    <w:uiPriority w:val="9"/>
    <w:unhideWhenUsed/>
    <w:qFormat/>
    <w:pPr>
      <w:keepLines/>
      <w:keepNext/>
      <w:spacing w:before="320"/>
      <w:outlineLvl w:val="7"/>
    </w:pPr>
    <w:rPr>
      <w:rFonts w:ascii="Arial" w:hAnsi="Arial" w:eastAsia="Arial" w:cs="Arial"/>
      <w:i/>
      <w:iCs/>
    </w:rPr>
  </w:style>
  <w:style w:type="paragraph" w:styleId="803">
    <w:name w:val="Heading 9"/>
    <w:basedOn w:val="794"/>
    <w:next w:val="794"/>
    <w:link w:val="921"/>
    <w:uiPriority w:val="9"/>
    <w:unhideWhenUsed/>
    <w:qFormat/>
    <w:pPr>
      <w:keepLines/>
      <w:keepNext/>
      <w:spacing w:before="320"/>
      <w:outlineLvl w:val="8"/>
    </w:pPr>
    <w:rPr>
      <w:rFonts w:ascii="Arial" w:hAnsi="Arial" w:eastAsia="Arial" w:cs="Arial"/>
      <w:i/>
      <w:iCs/>
      <w:sz w:val="21"/>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Body Text First Indent 2"/>
    <w:basedOn w:val="807"/>
    <w:next w:val="809"/>
    <w:uiPriority w:val="0"/>
    <w:qFormat/>
    <w:pPr>
      <w:ind w:left="0" w:firstLine="420"/>
      <w:spacing w:after="0" w:line="360" w:lineRule="auto"/>
    </w:pPr>
    <w:rPr>
      <w:rFonts w:ascii="宋体" w:hAnsi="宋体" w:eastAsia="宋体" w:cs="Times New Roman"/>
      <w:sz w:val="20"/>
      <w:szCs w:val="20"/>
    </w:rPr>
  </w:style>
  <w:style w:type="paragraph" w:styleId="807">
    <w:name w:val="Body Text Indent"/>
    <w:basedOn w:val="794"/>
    <w:next w:val="808"/>
    <w:uiPriority w:val="0"/>
    <w:qFormat/>
    <w:pPr>
      <w:ind w:left="420"/>
      <w:spacing w:after="120"/>
    </w:pPr>
    <w:rPr>
      <w:rFonts w:ascii="Calibri" w:hAnsi="Calibri"/>
    </w:rPr>
  </w:style>
  <w:style w:type="paragraph" w:styleId="808">
    <w:name w:val="envelope return"/>
    <w:basedOn w:val="794"/>
    <w:uiPriority w:val="0"/>
    <w:qFormat/>
    <w:rPr>
      <w:rFonts w:ascii="Arial" w:hAnsi="Arial"/>
    </w:rPr>
  </w:style>
  <w:style w:type="paragraph" w:styleId="809">
    <w:name w:val="List"/>
    <w:basedOn w:val="794"/>
    <w:uiPriority w:val="99"/>
    <w:qFormat/>
    <w:pPr>
      <w:contextualSpacing/>
      <w:ind w:left="200" w:hanging="200"/>
      <w:spacing w:line="360" w:lineRule="auto"/>
    </w:pPr>
    <w:rPr>
      <w:rFonts w:ascii="Calibri" w:hAnsi="Calibri"/>
      <w:szCs w:val="20"/>
    </w:rPr>
  </w:style>
  <w:style w:type="paragraph" w:styleId="810">
    <w:name w:val="toc 7"/>
    <w:basedOn w:val="794"/>
    <w:next w:val="794"/>
    <w:uiPriority w:val="39"/>
    <w:unhideWhenUsed/>
    <w:qFormat/>
    <w:pPr>
      <w:ind w:left="1701"/>
      <w:spacing w:after="57"/>
    </w:pPr>
  </w:style>
  <w:style w:type="paragraph" w:styleId="811">
    <w:name w:val="Note Heading"/>
    <w:basedOn w:val="794"/>
    <w:next w:val="794"/>
    <w:uiPriority w:val="0"/>
    <w:qFormat/>
    <w:pPr>
      <w:jc w:val="center"/>
    </w:pPr>
  </w:style>
  <w:style w:type="paragraph" w:styleId="812">
    <w:name w:val="Normal Indent"/>
    <w:basedOn w:val="794"/>
    <w:next w:val="794"/>
    <w:uiPriority w:val="0"/>
    <w:qFormat/>
    <w:pPr>
      <w:ind w:firstLine="420"/>
    </w:pPr>
  </w:style>
  <w:style w:type="paragraph" w:styleId="813">
    <w:name w:val="Caption"/>
    <w:basedOn w:val="794"/>
    <w:next w:val="794"/>
    <w:uiPriority w:val="35"/>
    <w:semiHidden/>
    <w:unhideWhenUsed/>
    <w:qFormat/>
    <w:rPr>
      <w:b/>
      <w:bCs/>
      <w:color w:val="5b9bd5" w:themeColor="accent1"/>
      <w:sz w:val="18"/>
      <w:szCs w:val="18"/>
      <w14:textFill>
        <w14:solidFill>
          <w14:schemeClr w14:val="accent1"/>
        </w14:solidFill>
      </w14:textFill>
    </w:rPr>
  </w:style>
  <w:style w:type="paragraph" w:styleId="814">
    <w:name w:val="index 5"/>
    <w:basedOn w:val="794"/>
    <w:next w:val="794"/>
    <w:uiPriority w:val="0"/>
    <w:qFormat/>
    <w:pPr>
      <w:ind w:left="798"/>
    </w:pPr>
    <w:rPr>
      <w:rFonts w:ascii="Calibri" w:hAnsi="Calibri"/>
      <w:sz w:val="21"/>
    </w:rPr>
  </w:style>
  <w:style w:type="paragraph" w:styleId="815">
    <w:name w:val="Document Map"/>
    <w:basedOn w:val="794"/>
    <w:link w:val="1096"/>
    <w:uiPriority w:val="0"/>
    <w:qFormat/>
    <w:pPr>
      <w:jc w:val="both"/>
      <w:spacing w:after="0" w:line="240" w:lineRule="auto"/>
      <w:widowControl w:val="off"/>
    </w:pPr>
    <w:rPr>
      <w:rFonts w:ascii="宋体" w:hAnsi="Calibri" w:eastAsia="宋体" w:cs="Times New Roman"/>
      <w:sz w:val="18"/>
      <w:szCs w:val="18"/>
      <w:lang w:eastAsia="zh-CN"/>
    </w:rPr>
  </w:style>
  <w:style w:type="paragraph" w:styleId="816">
    <w:name w:val="annotation text"/>
    <w:basedOn w:val="794"/>
    <w:link w:val="1091"/>
    <w:uiPriority w:val="0"/>
    <w:qFormat/>
  </w:style>
  <w:style w:type="paragraph" w:styleId="817">
    <w:name w:val="Body Text"/>
    <w:basedOn w:val="794"/>
    <w:next w:val="818"/>
    <w:link w:val="1093"/>
    <w:uiPriority w:val="99"/>
    <w:qFormat/>
    <w:pPr>
      <w:spacing w:after="120"/>
    </w:pPr>
  </w:style>
  <w:style w:type="paragraph" w:styleId="818">
    <w:name w:val="Body Text 2"/>
    <w:basedOn w:val="794"/>
    <w:uiPriority w:val="0"/>
    <w:qFormat/>
    <w:pPr>
      <w:jc w:val="center"/>
      <w:spacing w:line="0" w:lineRule="atLeast"/>
    </w:pPr>
    <w:rPr>
      <w:rFonts w:ascii="黑体" w:eastAsia="黑体"/>
    </w:rPr>
  </w:style>
  <w:style w:type="paragraph" w:styleId="819">
    <w:name w:val="Block Text"/>
    <w:basedOn w:val="794"/>
    <w:uiPriority w:val="0"/>
    <w:unhideWhenUsed/>
    <w:qFormat/>
    <w:pPr>
      <w:ind w:left="1440" w:right="1440"/>
      <w:spacing w:after="120"/>
    </w:pPr>
    <w:rPr>
      <w:rFonts w:ascii="Calibri" w:hAnsi="Calibri"/>
    </w:rPr>
  </w:style>
  <w:style w:type="paragraph" w:styleId="820">
    <w:name w:val="index 4"/>
    <w:basedOn w:val="794"/>
    <w:next w:val="794"/>
    <w:uiPriority w:val="99"/>
    <w:semiHidden/>
    <w:unhideWhenUsed/>
    <w:qFormat/>
    <w:pPr>
      <w:ind w:left="600"/>
    </w:pPr>
  </w:style>
  <w:style w:type="paragraph" w:styleId="821">
    <w:name w:val="toc 5"/>
    <w:basedOn w:val="794"/>
    <w:next w:val="794"/>
    <w:uiPriority w:val="39"/>
    <w:unhideWhenUsed/>
    <w:qFormat/>
    <w:pPr>
      <w:ind w:left="1134"/>
      <w:spacing w:after="57"/>
    </w:pPr>
  </w:style>
  <w:style w:type="paragraph" w:styleId="822">
    <w:name w:val="toc 3"/>
    <w:basedOn w:val="794"/>
    <w:next w:val="794"/>
    <w:uiPriority w:val="39"/>
    <w:unhideWhenUsed/>
    <w:qFormat/>
    <w:pPr>
      <w:ind w:left="567"/>
      <w:spacing w:after="57"/>
    </w:pPr>
  </w:style>
  <w:style w:type="paragraph" w:styleId="823">
    <w:name w:val="Plain Text"/>
    <w:basedOn w:val="794"/>
    <w:uiPriority w:val="0"/>
    <w:qFormat/>
    <w:rPr>
      <w:rFonts w:ascii="宋体" w:hAnsi="Courier New"/>
      <w:szCs w:val="20"/>
    </w:rPr>
  </w:style>
  <w:style w:type="paragraph" w:styleId="824">
    <w:name w:val="toc 8"/>
    <w:basedOn w:val="794"/>
    <w:next w:val="794"/>
    <w:uiPriority w:val="39"/>
    <w:unhideWhenUsed/>
    <w:qFormat/>
    <w:pPr>
      <w:ind w:left="1984"/>
      <w:spacing w:after="57"/>
    </w:pPr>
  </w:style>
  <w:style w:type="paragraph" w:styleId="825">
    <w:name w:val="Body Text Indent 2"/>
    <w:basedOn w:val="794"/>
    <w:link w:val="1090"/>
    <w:uiPriority w:val="99"/>
    <w:semiHidden/>
    <w:unhideWhenUsed/>
    <w:qFormat/>
    <w:pPr>
      <w:ind w:left="420"/>
      <w:spacing w:after="120" w:line="480" w:lineRule="auto"/>
    </w:pPr>
  </w:style>
  <w:style w:type="paragraph" w:styleId="826">
    <w:name w:val="endnote text"/>
    <w:basedOn w:val="794"/>
    <w:link w:val="1056"/>
    <w:uiPriority w:val="99"/>
    <w:semiHidden/>
    <w:unhideWhenUsed/>
    <w:qFormat/>
    <w:pPr>
      <w:spacing w:after="0" w:line="240" w:lineRule="auto"/>
    </w:pPr>
    <w:rPr>
      <w:sz w:val="20"/>
    </w:rPr>
  </w:style>
  <w:style w:type="paragraph" w:styleId="827">
    <w:name w:val="Balloon Text"/>
    <w:basedOn w:val="794"/>
    <w:link w:val="1084"/>
    <w:uiPriority w:val="99"/>
    <w:semiHidden/>
    <w:unhideWhenUsed/>
    <w:qFormat/>
    <w:pPr>
      <w:spacing w:after="0" w:line="240" w:lineRule="auto"/>
    </w:pPr>
    <w:rPr>
      <w:sz w:val="18"/>
      <w:szCs w:val="18"/>
    </w:rPr>
  </w:style>
  <w:style w:type="paragraph" w:styleId="828">
    <w:name w:val="Footer"/>
    <w:basedOn w:val="794"/>
    <w:link w:val="1095"/>
    <w:uiPriority w:val="99"/>
    <w:unhideWhenUsed/>
    <w:qFormat/>
    <w:pPr>
      <w:spacing w:line="240" w:lineRule="auto"/>
      <w:tabs>
        <w:tab w:val="center" w:pos="4153" w:leader="none"/>
        <w:tab w:val="right" w:pos="8306" w:leader="none"/>
      </w:tabs>
    </w:pPr>
    <w:rPr>
      <w:sz w:val="18"/>
      <w:szCs w:val="18"/>
    </w:rPr>
  </w:style>
  <w:style w:type="paragraph" w:styleId="829">
    <w:name w:val="Header"/>
    <w:basedOn w:val="794"/>
    <w:link w:val="1094"/>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30">
    <w:name w:val="toc 1"/>
    <w:basedOn w:val="794"/>
    <w:next w:val="794"/>
    <w:uiPriority w:val="39"/>
    <w:unhideWhenUsed/>
    <w:qFormat/>
    <w:pPr>
      <w:spacing w:after="57"/>
    </w:pPr>
  </w:style>
  <w:style w:type="paragraph" w:styleId="831">
    <w:name w:val="toc 4"/>
    <w:basedOn w:val="794"/>
    <w:next w:val="794"/>
    <w:uiPriority w:val="39"/>
    <w:unhideWhenUsed/>
    <w:qFormat/>
    <w:pPr>
      <w:ind w:left="850"/>
      <w:spacing w:after="57"/>
    </w:pPr>
  </w:style>
  <w:style w:type="paragraph" w:styleId="832">
    <w:name w:val="Subtitle"/>
    <w:basedOn w:val="794"/>
    <w:next w:val="794"/>
    <w:link w:val="941"/>
    <w:uiPriority w:val="11"/>
    <w:qFormat/>
    <w:pPr>
      <w:spacing w:before="200"/>
    </w:pPr>
    <w:rPr>
      <w:sz w:val="24"/>
      <w:szCs w:val="24"/>
    </w:rPr>
  </w:style>
  <w:style w:type="paragraph" w:styleId="833">
    <w:name w:val="footnote text"/>
    <w:basedOn w:val="794"/>
    <w:next w:val="814"/>
    <w:link w:val="1055"/>
    <w:uiPriority w:val="99"/>
    <w:semiHidden/>
    <w:unhideWhenUsed/>
    <w:qFormat/>
    <w:pPr>
      <w:spacing w:after="40" w:line="240" w:lineRule="auto"/>
    </w:pPr>
    <w:rPr>
      <w:sz w:val="18"/>
    </w:rPr>
  </w:style>
  <w:style w:type="paragraph" w:styleId="834">
    <w:name w:val="toc 6"/>
    <w:basedOn w:val="794"/>
    <w:next w:val="794"/>
    <w:uiPriority w:val="39"/>
    <w:unhideWhenUsed/>
    <w:qFormat/>
    <w:pPr>
      <w:ind w:left="1417"/>
      <w:spacing w:after="57"/>
    </w:pPr>
  </w:style>
  <w:style w:type="paragraph" w:styleId="835">
    <w:name w:val="table of figures"/>
    <w:basedOn w:val="794"/>
    <w:next w:val="794"/>
    <w:uiPriority w:val="99"/>
    <w:unhideWhenUsed/>
    <w:qFormat/>
    <w:pPr>
      <w:spacing w:after="0"/>
    </w:pPr>
  </w:style>
  <w:style w:type="paragraph" w:styleId="836">
    <w:name w:val="toc 2"/>
    <w:basedOn w:val="794"/>
    <w:next w:val="794"/>
    <w:uiPriority w:val="39"/>
    <w:unhideWhenUsed/>
    <w:qFormat/>
    <w:pPr>
      <w:ind w:left="283"/>
      <w:spacing w:after="57"/>
    </w:pPr>
  </w:style>
  <w:style w:type="paragraph" w:styleId="837">
    <w:name w:val="toc 9"/>
    <w:basedOn w:val="794"/>
    <w:next w:val="794"/>
    <w:uiPriority w:val="39"/>
    <w:unhideWhenUsed/>
    <w:qFormat/>
    <w:pPr>
      <w:ind w:left="2268"/>
      <w:spacing w:after="57"/>
    </w:pPr>
  </w:style>
  <w:style w:type="paragraph" w:styleId="838">
    <w:name w:val="Normal (Web)"/>
    <w:basedOn w:val="794"/>
    <w:uiPriority w:val="99"/>
    <w:unhideWhenUsed/>
    <w:qFormat/>
    <w:pPr>
      <w:spacing w:beforeAutospacing="1" w:after="0" w:afterAutospacing="1"/>
    </w:pPr>
    <w:rPr>
      <w:rFonts w:cs="Times New Roman"/>
      <w:sz w:val="24"/>
      <w:lang w:eastAsia="zh-CN"/>
    </w:rPr>
  </w:style>
  <w:style w:type="paragraph" w:styleId="839">
    <w:name w:val="Title"/>
    <w:basedOn w:val="794"/>
    <w:next w:val="794"/>
    <w:link w:val="940"/>
    <w:uiPriority w:val="10"/>
    <w:qFormat/>
    <w:pPr>
      <w:contextualSpacing/>
      <w:spacing w:before="300"/>
    </w:pPr>
    <w:rPr>
      <w:sz w:val="48"/>
      <w:szCs w:val="48"/>
    </w:rPr>
  </w:style>
  <w:style w:type="paragraph" w:styleId="840">
    <w:name w:val="annotation subject"/>
    <w:basedOn w:val="816"/>
    <w:next w:val="816"/>
    <w:link w:val="1092"/>
    <w:uiPriority w:val="99"/>
    <w:semiHidden/>
    <w:unhideWhenUsed/>
    <w:qFormat/>
    <w:rPr>
      <w:b/>
      <w:bCs/>
    </w:rPr>
  </w:style>
  <w:style w:type="paragraph" w:styleId="841">
    <w:name w:val="Body Text First Indent"/>
    <w:basedOn w:val="794"/>
    <w:next w:val="806"/>
    <w:uiPriority w:val="99"/>
    <w:unhideWhenUsed/>
    <w:qFormat/>
    <w:pPr>
      <w:ind w:firstLine="420"/>
    </w:pPr>
  </w:style>
  <w:style w:type="table" w:styleId="842">
    <w:name w:val="Table Grid"/>
    <w:basedOn w:val="8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basedOn w:val="804"/>
    <w:uiPriority w:val="22"/>
    <w:qFormat/>
    <w:rPr>
      <w:b/>
    </w:rPr>
  </w:style>
  <w:style w:type="character" w:styleId="844">
    <w:name w:val="endnote reference"/>
    <w:uiPriority w:val="99"/>
    <w:semiHidden/>
    <w:unhideWhenUsed/>
    <w:qFormat/>
    <w:rPr>
      <w:vertAlign w:val="superscript"/>
    </w:rPr>
  </w:style>
  <w:style w:type="character" w:styleId="845">
    <w:name w:val="page number"/>
    <w:uiPriority w:val="0"/>
    <w:qFormat/>
  </w:style>
  <w:style w:type="character" w:styleId="846">
    <w:name w:val="Hyperlink"/>
    <w:uiPriority w:val="99"/>
    <w:unhideWhenUsed/>
    <w:qFormat/>
    <w:rPr>
      <w:color w:val="0563c1" w:themeColor="hyperlink"/>
      <w:u w:val="single"/>
      <w14:textFill>
        <w14:solidFill>
          <w14:schemeClr w14:val="hlink"/>
        </w14:solidFill>
      </w14:textFill>
    </w:rPr>
  </w:style>
  <w:style w:type="character" w:styleId="847">
    <w:name w:val="annotation reference"/>
    <w:basedOn w:val="804"/>
    <w:uiPriority w:val="99"/>
    <w:semiHidden/>
    <w:unhideWhenUsed/>
    <w:qFormat/>
    <w:rPr>
      <w:sz w:val="21"/>
      <w:szCs w:val="21"/>
    </w:rPr>
  </w:style>
  <w:style w:type="character" w:styleId="848">
    <w:name w:val="footnote reference"/>
    <w:uiPriority w:val="99"/>
    <w:unhideWhenUsed/>
    <w:qFormat/>
    <w:rPr>
      <w:vertAlign w:val="superscript"/>
    </w:rPr>
  </w:style>
  <w:style w:type="table" w:styleId="849"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8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8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8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rPr>
      <w:rFonts w:ascii="Times New Roman" w:hAnsi="Times New Roman" w:eastAsia="宋体" w:cs="Times New Roman"/>
      <w:lang w:val="en-US" w:eastAsia="zh-CN" w:bidi="ar-SA"/>
    </w:rPr>
  </w:style>
  <w:style w:type="paragraph" w:styleId="869" w:customStyle="1">
    <w:name w:val="TOC 标题117"/>
    <w:uiPriority w:val="39"/>
    <w:unhideWhenUsed/>
    <w:qFormat/>
    <w:rPr>
      <w:rFonts w:ascii="Times New Roman" w:hAnsi="Times New Roman" w:eastAsia="宋体" w:cs="Times New Roman"/>
      <w:lang w:val="en-US" w:eastAsia="zh-CN" w:bidi="ar-SA"/>
    </w:rPr>
  </w:style>
  <w:style w:type="paragraph" w:styleId="870" w:customStyle="1">
    <w:name w:val="TOC 标题116"/>
    <w:uiPriority w:val="39"/>
    <w:unhideWhenUsed/>
    <w:qFormat/>
    <w:rPr>
      <w:rFonts w:ascii="Times New Roman" w:hAnsi="Times New Roman" w:eastAsia="宋体" w:cs="Times New Roman"/>
      <w:lang w:val="en-US" w:eastAsia="zh-CN" w:bidi="ar-SA"/>
    </w:rPr>
  </w:style>
  <w:style w:type="character" w:styleId="871" w:customStyle="1">
    <w:name w:val="Heading 1 Char"/>
    <w:basedOn w:val="804"/>
    <w:uiPriority w:val="9"/>
    <w:qFormat/>
    <w:rPr>
      <w:rFonts w:ascii="Arial" w:hAnsi="Arial" w:eastAsia="Arial" w:cs="Arial"/>
      <w:sz w:val="40"/>
      <w:szCs w:val="40"/>
    </w:rPr>
  </w:style>
  <w:style w:type="character" w:styleId="872" w:customStyle="1">
    <w:name w:val="Heading 4 Char"/>
    <w:basedOn w:val="804"/>
    <w:uiPriority w:val="9"/>
    <w:qFormat/>
    <w:rPr>
      <w:rFonts w:ascii="Arial" w:hAnsi="Arial" w:eastAsia="Arial" w:cs="Arial"/>
      <w:b/>
      <w:bCs/>
      <w:sz w:val="26"/>
      <w:szCs w:val="26"/>
    </w:rPr>
  </w:style>
  <w:style w:type="character" w:styleId="873" w:customStyle="1">
    <w:name w:val="Heading 5 Char"/>
    <w:basedOn w:val="804"/>
    <w:uiPriority w:val="9"/>
    <w:qFormat/>
    <w:rPr>
      <w:rFonts w:ascii="Arial" w:hAnsi="Arial" w:eastAsia="Arial" w:cs="Arial"/>
      <w:b/>
      <w:bCs/>
      <w:sz w:val="24"/>
      <w:szCs w:val="24"/>
    </w:rPr>
  </w:style>
  <w:style w:type="character" w:styleId="874" w:customStyle="1">
    <w:name w:val="Heading 6 Char"/>
    <w:basedOn w:val="804"/>
    <w:uiPriority w:val="9"/>
    <w:qFormat/>
    <w:rPr>
      <w:rFonts w:ascii="Arial" w:hAnsi="Arial" w:eastAsia="Arial" w:cs="Arial"/>
      <w:b/>
      <w:bCs/>
      <w:sz w:val="22"/>
      <w:szCs w:val="22"/>
    </w:rPr>
  </w:style>
  <w:style w:type="character" w:styleId="875" w:customStyle="1">
    <w:name w:val="Heading 7 Char"/>
    <w:basedOn w:val="804"/>
    <w:uiPriority w:val="9"/>
    <w:qFormat/>
    <w:rPr>
      <w:rFonts w:ascii="Arial" w:hAnsi="Arial" w:eastAsia="Arial" w:cs="Arial"/>
      <w:b/>
      <w:bCs/>
      <w:i/>
      <w:iCs/>
      <w:sz w:val="22"/>
      <w:szCs w:val="22"/>
    </w:rPr>
  </w:style>
  <w:style w:type="character" w:styleId="876" w:customStyle="1">
    <w:name w:val="Heading 8 Char"/>
    <w:basedOn w:val="804"/>
    <w:uiPriority w:val="9"/>
    <w:qFormat/>
    <w:rPr>
      <w:rFonts w:ascii="Arial" w:hAnsi="Arial" w:eastAsia="Arial" w:cs="Arial"/>
      <w:i/>
      <w:iCs/>
      <w:sz w:val="22"/>
      <w:szCs w:val="22"/>
    </w:rPr>
  </w:style>
  <w:style w:type="character" w:styleId="877" w:customStyle="1">
    <w:name w:val="Heading 9 Char"/>
    <w:basedOn w:val="804"/>
    <w:uiPriority w:val="9"/>
    <w:qFormat/>
    <w:rPr>
      <w:rFonts w:ascii="Arial" w:hAnsi="Arial" w:eastAsia="Arial" w:cs="Arial"/>
      <w:i/>
      <w:iCs/>
      <w:sz w:val="21"/>
      <w:szCs w:val="21"/>
    </w:rPr>
  </w:style>
  <w:style w:type="paragraph" w:styleId="878" w:customStyle="1">
    <w:name w:val="TOC 标题115"/>
    <w:uiPriority w:val="39"/>
    <w:unhideWhenUsed/>
    <w:qFormat/>
    <w:rPr>
      <w:rFonts w:ascii="Times New Roman" w:hAnsi="Times New Roman" w:eastAsia="宋体" w:cs="Times New Roman"/>
      <w:lang w:val="en-US" w:eastAsia="zh-CN" w:bidi="ar-SA"/>
    </w:rPr>
  </w:style>
  <w:style w:type="paragraph" w:styleId="879" w:customStyle="1">
    <w:name w:val="标题 11"/>
    <w:basedOn w:val="794"/>
    <w:next w:val="794"/>
    <w:link w:val="931"/>
    <w:uiPriority w:val="9"/>
    <w:qFormat/>
    <w:pPr>
      <w:keepLines/>
      <w:keepNext/>
      <w:spacing w:before="480"/>
      <w:outlineLvl w:val="0"/>
    </w:pPr>
    <w:rPr>
      <w:rFonts w:ascii="Arial" w:hAnsi="Arial" w:eastAsia="Arial" w:cs="Arial"/>
      <w:sz w:val="40"/>
      <w:szCs w:val="40"/>
    </w:rPr>
  </w:style>
  <w:style w:type="paragraph" w:styleId="880" w:customStyle="1">
    <w:name w:val="标题 21"/>
    <w:basedOn w:val="794"/>
    <w:next w:val="794"/>
    <w:link w:val="932"/>
    <w:uiPriority w:val="9"/>
    <w:unhideWhenUsed/>
    <w:qFormat/>
    <w:pPr>
      <w:keepLines/>
      <w:keepNext/>
      <w:spacing w:before="360"/>
      <w:outlineLvl w:val="1"/>
    </w:pPr>
    <w:rPr>
      <w:rFonts w:ascii="Arial" w:hAnsi="Arial" w:eastAsia="Arial" w:cs="Arial"/>
      <w:sz w:val="34"/>
    </w:rPr>
  </w:style>
  <w:style w:type="paragraph" w:styleId="881" w:customStyle="1">
    <w:name w:val="标题 31"/>
    <w:basedOn w:val="794"/>
    <w:next w:val="794"/>
    <w:link w:val="933"/>
    <w:uiPriority w:val="9"/>
    <w:unhideWhenUsed/>
    <w:qFormat/>
    <w:pPr>
      <w:keepLines/>
      <w:keepNext/>
      <w:spacing w:before="320"/>
      <w:outlineLvl w:val="2"/>
    </w:pPr>
    <w:rPr>
      <w:rFonts w:ascii="Arial" w:hAnsi="Arial" w:eastAsia="Arial" w:cs="Arial"/>
      <w:sz w:val="30"/>
      <w:szCs w:val="30"/>
    </w:rPr>
  </w:style>
  <w:style w:type="paragraph" w:styleId="882" w:customStyle="1">
    <w:name w:val="标题 41"/>
    <w:basedOn w:val="794"/>
    <w:next w:val="794"/>
    <w:link w:val="934"/>
    <w:uiPriority w:val="9"/>
    <w:unhideWhenUsed/>
    <w:qFormat/>
    <w:pPr>
      <w:keepLines/>
      <w:keepNext/>
      <w:spacing w:before="320"/>
      <w:outlineLvl w:val="3"/>
    </w:pPr>
    <w:rPr>
      <w:rFonts w:ascii="Arial" w:hAnsi="Arial" w:eastAsia="Arial" w:cs="Arial"/>
      <w:b/>
      <w:bCs/>
      <w:sz w:val="26"/>
      <w:szCs w:val="26"/>
    </w:rPr>
  </w:style>
  <w:style w:type="paragraph" w:styleId="883" w:customStyle="1">
    <w:name w:val="标题 51"/>
    <w:basedOn w:val="794"/>
    <w:next w:val="794"/>
    <w:link w:val="935"/>
    <w:uiPriority w:val="9"/>
    <w:unhideWhenUsed/>
    <w:qFormat/>
    <w:pPr>
      <w:keepLines/>
      <w:keepNext/>
      <w:spacing w:before="320"/>
      <w:outlineLvl w:val="4"/>
    </w:pPr>
    <w:rPr>
      <w:rFonts w:ascii="Arial" w:hAnsi="Arial" w:eastAsia="Arial" w:cs="Arial"/>
      <w:b/>
      <w:bCs/>
      <w:sz w:val="24"/>
      <w:szCs w:val="24"/>
    </w:rPr>
  </w:style>
  <w:style w:type="paragraph" w:styleId="884" w:customStyle="1">
    <w:name w:val="标题 61"/>
    <w:basedOn w:val="794"/>
    <w:next w:val="794"/>
    <w:link w:val="936"/>
    <w:uiPriority w:val="9"/>
    <w:unhideWhenUsed/>
    <w:qFormat/>
    <w:pPr>
      <w:keepLines/>
      <w:keepNext/>
      <w:spacing w:before="320"/>
      <w:outlineLvl w:val="5"/>
    </w:pPr>
    <w:rPr>
      <w:rFonts w:ascii="Arial" w:hAnsi="Arial" w:eastAsia="Arial" w:cs="Arial"/>
      <w:b/>
      <w:bCs/>
    </w:rPr>
  </w:style>
  <w:style w:type="paragraph" w:styleId="885" w:customStyle="1">
    <w:name w:val="标题 71"/>
    <w:basedOn w:val="794"/>
    <w:next w:val="794"/>
    <w:link w:val="937"/>
    <w:uiPriority w:val="9"/>
    <w:unhideWhenUsed/>
    <w:qFormat/>
    <w:pPr>
      <w:keepLines/>
      <w:keepNext/>
      <w:spacing w:before="320"/>
      <w:outlineLvl w:val="6"/>
    </w:pPr>
    <w:rPr>
      <w:rFonts w:ascii="Arial" w:hAnsi="Arial" w:eastAsia="Arial" w:cs="Arial"/>
      <w:b/>
      <w:bCs/>
      <w:i/>
      <w:iCs/>
    </w:rPr>
  </w:style>
  <w:style w:type="paragraph" w:styleId="886" w:customStyle="1">
    <w:name w:val="标题 81"/>
    <w:basedOn w:val="794"/>
    <w:next w:val="794"/>
    <w:link w:val="938"/>
    <w:uiPriority w:val="9"/>
    <w:unhideWhenUsed/>
    <w:qFormat/>
    <w:pPr>
      <w:keepLines/>
      <w:keepNext/>
      <w:spacing w:before="320"/>
      <w:outlineLvl w:val="7"/>
    </w:pPr>
    <w:rPr>
      <w:rFonts w:ascii="Arial" w:hAnsi="Arial" w:eastAsia="Arial" w:cs="Arial"/>
      <w:i/>
      <w:iCs/>
    </w:rPr>
  </w:style>
  <w:style w:type="paragraph" w:styleId="887" w:customStyle="1">
    <w:name w:val="标题 91"/>
    <w:basedOn w:val="794"/>
    <w:next w:val="794"/>
    <w:link w:val="939"/>
    <w:uiPriority w:val="9"/>
    <w:unhideWhenUsed/>
    <w:qFormat/>
    <w:pPr>
      <w:keepLines/>
      <w:keepNext/>
      <w:spacing w:before="320"/>
      <w:outlineLvl w:val="8"/>
    </w:pPr>
    <w:rPr>
      <w:rFonts w:ascii="Arial" w:hAnsi="Arial" w:eastAsia="Arial" w:cs="Arial"/>
      <w:i/>
      <w:iCs/>
      <w:sz w:val="21"/>
      <w:szCs w:val="21"/>
    </w:rPr>
  </w:style>
  <w:style w:type="paragraph" w:styleId="888" w:customStyle="1">
    <w:name w:val="TOC 标题114"/>
    <w:uiPriority w:val="39"/>
    <w:unhideWhenUsed/>
    <w:qFormat/>
    <w:rPr>
      <w:rFonts w:ascii="Times New Roman" w:hAnsi="Times New Roman" w:eastAsia="宋体" w:cs="Times New Roman"/>
      <w:lang w:val="en-US" w:eastAsia="zh-CN" w:bidi="ar-SA"/>
    </w:rPr>
  </w:style>
  <w:style w:type="paragraph" w:styleId="889" w:customStyle="1">
    <w:name w:val="页脚1"/>
    <w:basedOn w:val="794"/>
    <w:link w:val="948"/>
    <w:uiPriority w:val="99"/>
    <w:unhideWhenUsed/>
    <w:qFormat/>
    <w:pPr>
      <w:spacing w:after="0" w:line="240" w:lineRule="auto"/>
      <w:tabs>
        <w:tab w:val="center" w:pos="7143" w:leader="none"/>
        <w:tab w:val="right" w:pos="14287" w:leader="none"/>
      </w:tabs>
    </w:pPr>
  </w:style>
  <w:style w:type="paragraph" w:styleId="890" w:customStyle="1">
    <w:name w:val="题注1"/>
    <w:basedOn w:val="794"/>
    <w:next w:val="794"/>
    <w:uiPriority w:val="35"/>
    <w:semiHidden/>
    <w:unhideWhenUsed/>
    <w:qFormat/>
    <w:rPr>
      <w:b/>
      <w:bCs/>
      <w:color w:val="5b9bd5" w:themeColor="accent1"/>
      <w:sz w:val="18"/>
      <w:szCs w:val="18"/>
      <w14:textFill>
        <w14:solidFill>
          <w14:schemeClr w14:val="accent1"/>
        </w14:solidFill>
      </w14:textFill>
    </w:rPr>
  </w:style>
  <w:style w:type="paragraph" w:styleId="891" w:customStyle="1">
    <w:name w:val="页眉1"/>
    <w:basedOn w:val="794"/>
    <w:link w:val="946"/>
    <w:uiPriority w:val="99"/>
    <w:unhideWhenUsed/>
    <w:qFormat/>
    <w:pPr>
      <w:spacing w:after="0" w:line="240" w:lineRule="auto"/>
      <w:tabs>
        <w:tab w:val="center" w:pos="7143" w:leader="none"/>
        <w:tab w:val="right" w:pos="14287" w:leader="none"/>
      </w:tabs>
    </w:pPr>
  </w:style>
  <w:style w:type="paragraph" w:styleId="892" w:customStyle="1">
    <w:name w:val="_Style 2"/>
    <w:basedOn w:val="794"/>
    <w:next w:val="794"/>
    <w:uiPriority w:val="0"/>
    <w:qFormat/>
    <w:pPr>
      <w:ind w:firstLine="420"/>
    </w:pPr>
  </w:style>
  <w:style w:type="paragraph" w:styleId="893" w:customStyle="1">
    <w:name w:val="TOC 标题113"/>
    <w:uiPriority w:val="39"/>
    <w:unhideWhenUsed/>
    <w:qFormat/>
    <w:rPr>
      <w:rFonts w:ascii="Times New Roman" w:hAnsi="Times New Roman" w:eastAsia="宋体" w:cs="Times New Roman"/>
      <w:lang w:val="en-US" w:eastAsia="zh-CN" w:bidi="ar-SA"/>
    </w:rPr>
  </w:style>
  <w:style w:type="paragraph" w:styleId="894" w:customStyle="1">
    <w:name w:val="TOC 标题112"/>
    <w:uiPriority w:val="39"/>
    <w:unhideWhenUsed/>
    <w:qFormat/>
    <w:rPr>
      <w:rFonts w:ascii="Times New Roman" w:hAnsi="Times New Roman" w:eastAsia="宋体" w:cs="Times New Roman"/>
      <w:lang w:val="en-US" w:eastAsia="zh-CN" w:bidi="ar-SA"/>
    </w:rPr>
  </w:style>
  <w:style w:type="paragraph" w:styleId="895" w:customStyle="1">
    <w:name w:val="段"/>
    <w:basedOn w:val="896"/>
    <w:next w:val="794"/>
    <w:uiPriority w:val="0"/>
    <w:qFormat/>
    <w:pPr>
      <w:ind w:firstLine="200"/>
    </w:pPr>
    <w:rPr>
      <w:rFonts w:hint="eastAsia"/>
    </w:rPr>
  </w:style>
  <w:style w:type="paragraph" w:styleId="896" w:customStyle="1">
    <w:name w:val="正文1"/>
    <w:basedOn w:val="897"/>
    <w:next w:val="794"/>
    <w:uiPriority w:val="0"/>
    <w:qFormat/>
    <w:pPr>
      <w:ind w:firstLine="361"/>
      <w:spacing w:line="360" w:lineRule="auto"/>
    </w:pPr>
    <w:rPr>
      <w:rFonts w:ascii="宋体" w:hAnsi="宋体" w:eastAsia="等线"/>
      <w:sz w:val="24"/>
    </w:rPr>
  </w:style>
  <w:style w:type="paragraph" w:styleId="897" w:customStyle="1">
    <w:name w:val="正文11"/>
    <w:next w:val="898"/>
    <w:uiPriority w:val="0"/>
    <w:qFormat/>
    <w:pPr>
      <w:jc w:val="both"/>
      <w:widowControl w:val="off"/>
    </w:pPr>
    <w:rPr>
      <w:rFonts w:ascii="Times New Roman" w:hAnsi="Times New Roman" w:eastAsia="宋体" w:cs="Times New Roman"/>
      <w:sz w:val="21"/>
      <w:szCs w:val="24"/>
      <w:lang w:val="en-US" w:eastAsia="zh-CN" w:bidi="ar-SA"/>
    </w:rPr>
  </w:style>
  <w:style w:type="paragraph" w:styleId="898" w:customStyle="1">
    <w:name w:val="目录 11"/>
    <w:basedOn w:val="899"/>
    <w:next w:val="904"/>
    <w:uiPriority w:val="0"/>
    <w:semiHidden/>
    <w:qFormat/>
    <w:pPr>
      <w:ind w:left="1170"/>
      <w:spacing w:line="960" w:lineRule="exact"/>
      <w:tabs>
        <w:tab w:val="right" w:pos="8647" w:leader="dot"/>
      </w:tabs>
    </w:pPr>
  </w:style>
  <w:style w:type="paragraph" w:styleId="899" w:customStyle="1">
    <w:name w:val="正文12"/>
    <w:next w:val="900"/>
    <w:uiPriority w:val="0"/>
    <w:qFormat/>
    <w:pPr>
      <w:jc w:val="both"/>
      <w:widowControl w:val="off"/>
    </w:pPr>
    <w:rPr>
      <w:rFonts w:ascii="Times New Roman" w:hAnsi="Times New Roman" w:eastAsia="宋体" w:cs="Times New Roman"/>
      <w:sz w:val="21"/>
      <w:szCs w:val="24"/>
      <w:lang w:val="en-US" w:eastAsia="zh-CN" w:bidi="ar-SA"/>
    </w:rPr>
  </w:style>
  <w:style w:type="paragraph" w:styleId="900" w:customStyle="1">
    <w:name w:val="脚注文本1"/>
    <w:basedOn w:val="901"/>
    <w:next w:val="903"/>
    <w:uiPriority w:val="0"/>
    <w:qFormat/>
    <w:rPr>
      <w:rFonts w:eastAsia="Times New Roman"/>
      <w:sz w:val="18"/>
      <w:szCs w:val="18"/>
    </w:rPr>
  </w:style>
  <w:style w:type="paragraph" w:styleId="901" w:customStyle="1">
    <w:name w:val="正文1111"/>
    <w:next w:val="902"/>
    <w:uiPriority w:val="0"/>
    <w:qFormat/>
    <w:pPr>
      <w:jc w:val="both"/>
      <w:widowControl w:val="off"/>
    </w:pPr>
    <w:rPr>
      <w:rFonts w:ascii="Times New Roman" w:hAnsi="Times New Roman" w:eastAsia="宋体" w:cs="Times New Roman"/>
      <w:sz w:val="21"/>
      <w:szCs w:val="24"/>
      <w:lang w:val="en-US" w:eastAsia="zh-CN" w:bidi="ar-SA"/>
    </w:rPr>
  </w:style>
  <w:style w:type="paragraph" w:styleId="902" w:customStyle="1">
    <w:name w:val="文本块11"/>
    <w:basedOn w:val="794"/>
    <w:uiPriority w:val="0"/>
    <w:unhideWhenUsed/>
    <w:qFormat/>
    <w:pPr>
      <w:ind w:left="1440" w:right="1440"/>
      <w:spacing w:after="120"/>
    </w:pPr>
  </w:style>
  <w:style w:type="paragraph" w:styleId="903" w:customStyle="1">
    <w:name w:val="索引 51"/>
    <w:basedOn w:val="896"/>
    <w:next w:val="896"/>
    <w:uiPriority w:val="0"/>
    <w:qFormat/>
    <w:pPr>
      <w:ind w:left="798"/>
    </w:pPr>
    <w:rPr>
      <w:rFonts w:ascii="Calibri" w:hAnsi="Calibri"/>
    </w:rPr>
  </w:style>
  <w:style w:type="paragraph" w:styleId="904" w:customStyle="1">
    <w:name w:val="正文111"/>
    <w:next w:val="794"/>
    <w:link w:val="1072"/>
    <w:uiPriority w:val="0"/>
    <w:qFormat/>
    <w:pPr>
      <w:jc w:val="both"/>
      <w:widowControl w:val="off"/>
    </w:pPr>
    <w:rPr>
      <w:rFonts w:ascii="Times New Roman" w:hAnsi="Times New Roman" w:eastAsia="宋体" w:cs="Times New Roman"/>
      <w:sz w:val="21"/>
      <w:szCs w:val="24"/>
      <w:lang w:val="en-US" w:eastAsia="zh-CN" w:bidi="ar-SA"/>
    </w:rPr>
  </w:style>
  <w:style w:type="paragraph" w:styleId="905" w:customStyle="1">
    <w:name w:val="文本块1"/>
    <w:basedOn w:val="896"/>
    <w:uiPriority w:val="6"/>
    <w:qFormat/>
    <w:pPr>
      <w:ind w:left="256" w:right="6" w:firstLine="624"/>
    </w:pPr>
    <w:rPr>
      <w:rFonts w:eastAsia="仿宋_GB2312"/>
      <w:sz w:val="28"/>
    </w:rPr>
  </w:style>
  <w:style w:type="paragraph" w:styleId="906" w:customStyle="1">
    <w:name w:val="正文文本1"/>
    <w:basedOn w:val="897"/>
    <w:next w:val="896"/>
    <w:uiPriority w:val="0"/>
    <w:qFormat/>
    <w:pPr>
      <w:spacing w:after="120"/>
    </w:pPr>
    <w:rPr>
      <w:rFonts w:ascii="Calibri" w:hAnsi="Calibri"/>
    </w:rPr>
  </w:style>
  <w:style w:type="paragraph" w:styleId="907" w:customStyle="1">
    <w:name w:val="标题 211"/>
    <w:basedOn w:val="899"/>
    <w:next w:val="899"/>
    <w:uiPriority w:val="0"/>
    <w:qFormat/>
    <w:pPr>
      <w:keepLines/>
      <w:keepNext/>
      <w:spacing w:before="260" w:after="260" w:line="416" w:lineRule="auto"/>
      <w:outlineLvl w:val="1"/>
    </w:pPr>
    <w:rPr>
      <w:rFonts w:ascii="Cambria" w:hAnsi="Cambria"/>
      <w:b/>
      <w:bCs/>
      <w:sz w:val="32"/>
      <w:szCs w:val="32"/>
    </w:rPr>
  </w:style>
  <w:style w:type="paragraph" w:styleId="908" w:customStyle="1">
    <w:name w:val="首行缩进"/>
    <w:basedOn w:val="896"/>
    <w:uiPriority w:val="0"/>
    <w:qFormat/>
    <w:pPr>
      <w:ind w:firstLine="480"/>
    </w:pPr>
    <w:rPr>
      <w:sz w:val="20"/>
      <w:szCs w:val="20"/>
      <w:lang w:val="zh-CN"/>
    </w:rPr>
  </w:style>
  <w:style w:type="paragraph" w:styleId="909" w:customStyle="1">
    <w:name w:val="一级条标题"/>
    <w:basedOn w:val="910"/>
    <w:next w:val="8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0" w:customStyle="1">
    <w:name w:val="章标题"/>
    <w:basedOn w:val="794"/>
    <w:next w:val="794"/>
    <w:uiPriority w:val="0"/>
    <w:qFormat/>
    <w:pPr>
      <w:jc w:val="center"/>
      <w:spacing w:before="158" w:after="153" w:line="1292" w:lineRule="atLeast"/>
    </w:pPr>
    <w:rPr>
      <w:rFonts w:ascii="Arial" w:hAnsi="Calibri" w:eastAsia="黑体" w:cs="黑体"/>
      <w:sz w:val="31"/>
      <w:lang w:bidi="en-US"/>
    </w:rPr>
  </w:style>
  <w:style w:type="paragraph" w:styleId="911" w:customStyle="1">
    <w:name w:val="正文缩进1"/>
    <w:basedOn w:val="896"/>
    <w:uiPriority w:val="0"/>
    <w:qFormat/>
    <w:pPr>
      <w:ind w:firstLine="420"/>
    </w:pPr>
    <w:rPr>
      <w:rFonts w:ascii="Calibri" w:hAnsi="Calibri"/>
      <w:sz w:val="21"/>
    </w:rPr>
  </w:style>
  <w:style w:type="paragraph" w:styleId="912" w:customStyle="1">
    <w:name w:val="标题 4111"/>
    <w:basedOn w:val="897"/>
    <w:next w:val="897"/>
    <w:uiPriority w:val="0"/>
    <w:qFormat/>
    <w:pPr>
      <w:keepLines/>
      <w:keepNext/>
      <w:spacing w:before="280" w:after="290" w:line="376" w:lineRule="auto"/>
      <w:outlineLvl w:val="3"/>
    </w:pPr>
    <w:rPr>
      <w:rFonts w:ascii="Cambria" w:hAnsi="Cambria"/>
      <w:b/>
      <w:bCs/>
      <w:sz w:val="28"/>
      <w:szCs w:val="28"/>
    </w:rPr>
  </w:style>
  <w:style w:type="character" w:styleId="913" w:customStyle="1">
    <w:name w:val="标题 1 字符"/>
    <w:basedOn w:val="804"/>
    <w:link w:val="795"/>
    <w:uiPriority w:val="9"/>
    <w:qFormat/>
    <w:rPr>
      <w:rFonts w:ascii="Arial" w:hAnsi="Arial" w:eastAsia="Arial" w:cs="Arial"/>
      <w:sz w:val="40"/>
      <w:szCs w:val="40"/>
    </w:rPr>
  </w:style>
  <w:style w:type="character" w:styleId="914" w:customStyle="1">
    <w:name w:val="Heading 2 Char"/>
    <w:basedOn w:val="804"/>
    <w:uiPriority w:val="9"/>
    <w:qFormat/>
    <w:rPr>
      <w:rFonts w:ascii="Arial" w:hAnsi="Arial" w:eastAsia="Arial" w:cs="Arial"/>
      <w:sz w:val="34"/>
    </w:rPr>
  </w:style>
  <w:style w:type="character" w:styleId="915" w:customStyle="1">
    <w:name w:val="Heading 3 Char"/>
    <w:basedOn w:val="804"/>
    <w:uiPriority w:val="9"/>
    <w:qFormat/>
    <w:rPr>
      <w:rFonts w:ascii="Arial" w:hAnsi="Arial" w:eastAsia="Arial" w:cs="Arial"/>
      <w:sz w:val="30"/>
      <w:szCs w:val="30"/>
    </w:rPr>
  </w:style>
  <w:style w:type="character" w:styleId="916" w:customStyle="1">
    <w:name w:val="标题 4 字符"/>
    <w:basedOn w:val="804"/>
    <w:link w:val="798"/>
    <w:uiPriority w:val="9"/>
    <w:qFormat/>
    <w:rPr>
      <w:rFonts w:ascii="Arial" w:hAnsi="Arial" w:eastAsia="Arial" w:cs="Arial"/>
      <w:b/>
      <w:bCs/>
      <w:sz w:val="26"/>
      <w:szCs w:val="26"/>
    </w:rPr>
  </w:style>
  <w:style w:type="character" w:styleId="917" w:customStyle="1">
    <w:name w:val="标题 5 字符"/>
    <w:basedOn w:val="804"/>
    <w:link w:val="799"/>
    <w:uiPriority w:val="9"/>
    <w:qFormat/>
    <w:rPr>
      <w:rFonts w:ascii="Arial" w:hAnsi="Arial" w:eastAsia="Arial" w:cs="Arial"/>
      <w:b/>
      <w:bCs/>
      <w:sz w:val="24"/>
      <w:szCs w:val="24"/>
    </w:rPr>
  </w:style>
  <w:style w:type="character" w:styleId="918" w:customStyle="1">
    <w:name w:val="标题 6 字符"/>
    <w:basedOn w:val="804"/>
    <w:link w:val="800"/>
    <w:uiPriority w:val="9"/>
    <w:qFormat/>
    <w:rPr>
      <w:rFonts w:ascii="Arial" w:hAnsi="Arial" w:eastAsia="Arial" w:cs="Arial"/>
      <w:b/>
      <w:bCs/>
      <w:sz w:val="22"/>
      <w:szCs w:val="22"/>
    </w:rPr>
  </w:style>
  <w:style w:type="character" w:styleId="919" w:customStyle="1">
    <w:name w:val="标题 7 字符"/>
    <w:basedOn w:val="804"/>
    <w:link w:val="801"/>
    <w:uiPriority w:val="9"/>
    <w:qFormat/>
    <w:rPr>
      <w:rFonts w:ascii="Arial" w:hAnsi="Arial" w:eastAsia="Arial" w:cs="Arial"/>
      <w:b/>
      <w:bCs/>
      <w:i/>
      <w:iCs/>
      <w:sz w:val="22"/>
      <w:szCs w:val="22"/>
    </w:rPr>
  </w:style>
  <w:style w:type="character" w:styleId="920" w:customStyle="1">
    <w:name w:val="标题 8 字符"/>
    <w:basedOn w:val="804"/>
    <w:link w:val="802"/>
    <w:uiPriority w:val="9"/>
    <w:qFormat/>
    <w:rPr>
      <w:rFonts w:ascii="Arial" w:hAnsi="Arial" w:eastAsia="Arial" w:cs="Arial"/>
      <w:i/>
      <w:iCs/>
      <w:sz w:val="22"/>
      <w:szCs w:val="22"/>
    </w:rPr>
  </w:style>
  <w:style w:type="character" w:styleId="921" w:customStyle="1">
    <w:name w:val="标题 9 字符"/>
    <w:basedOn w:val="804"/>
    <w:link w:val="803"/>
    <w:uiPriority w:val="9"/>
    <w:qFormat/>
    <w:rPr>
      <w:rFonts w:ascii="Arial" w:hAnsi="Arial" w:eastAsia="Arial" w:cs="Arial"/>
      <w:i/>
      <w:iCs/>
      <w:sz w:val="21"/>
      <w:szCs w:val="21"/>
    </w:rPr>
  </w:style>
  <w:style w:type="character" w:styleId="922" w:customStyle="1">
    <w:name w:val="Title Char"/>
    <w:basedOn w:val="804"/>
    <w:uiPriority w:val="10"/>
    <w:qFormat/>
    <w:rPr>
      <w:sz w:val="48"/>
      <w:szCs w:val="48"/>
    </w:rPr>
  </w:style>
  <w:style w:type="character" w:styleId="923" w:customStyle="1">
    <w:name w:val="Subtitle Char"/>
    <w:basedOn w:val="804"/>
    <w:uiPriority w:val="11"/>
    <w:qFormat/>
    <w:rPr>
      <w:sz w:val="24"/>
      <w:szCs w:val="24"/>
    </w:rPr>
  </w:style>
  <w:style w:type="character" w:styleId="924" w:customStyle="1">
    <w:name w:val="Quote Char"/>
    <w:uiPriority w:val="29"/>
    <w:qFormat/>
    <w:rPr>
      <w:i/>
    </w:rPr>
  </w:style>
  <w:style w:type="character" w:styleId="925" w:customStyle="1">
    <w:name w:val="Intense Quote Char"/>
    <w:uiPriority w:val="0"/>
    <w:qFormat/>
    <w:rPr>
      <w:i/>
    </w:rPr>
  </w:style>
  <w:style w:type="character" w:styleId="926" w:customStyle="1">
    <w:name w:val="Header Char"/>
    <w:basedOn w:val="804"/>
    <w:uiPriority w:val="99"/>
    <w:qFormat/>
  </w:style>
  <w:style w:type="character" w:styleId="927" w:customStyle="1">
    <w:name w:val="Caption Char"/>
    <w:uiPriority w:val="99"/>
    <w:qFormat/>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11"/>
    <w:uiPriority w:val="39"/>
    <w:unhideWhenUsed/>
    <w:qFormat/>
    <w:rPr>
      <w:rFonts w:asciiTheme="minorHAnsi" w:hAnsiTheme="minorHAnsi" w:eastAsiaTheme="minorEastAsia" w:cstheme="minorBidi"/>
      <w:lang w:val="en-US" w:eastAsia="zh-CN" w:bidi="ar-SA"/>
    </w:rPr>
  </w:style>
  <w:style w:type="character" w:styleId="931" w:customStyle="1">
    <w:name w:val="标题 1 Char"/>
    <w:link w:val="879"/>
    <w:uiPriority w:val="9"/>
    <w:qFormat/>
    <w:rPr>
      <w:rFonts w:ascii="Arial" w:hAnsi="Arial" w:eastAsia="Arial" w:cs="Arial"/>
      <w:sz w:val="40"/>
      <w:szCs w:val="40"/>
    </w:rPr>
  </w:style>
  <w:style w:type="character" w:styleId="932" w:customStyle="1">
    <w:name w:val="标题 2 Char"/>
    <w:link w:val="880"/>
    <w:uiPriority w:val="0"/>
    <w:qFormat/>
    <w:rPr>
      <w:rFonts w:ascii="Arial" w:hAnsi="Arial" w:eastAsia="Arial" w:cs="Arial"/>
      <w:sz w:val="34"/>
    </w:rPr>
  </w:style>
  <w:style w:type="character" w:styleId="933" w:customStyle="1">
    <w:name w:val="标题 3 Char"/>
    <w:link w:val="881"/>
    <w:uiPriority w:val="0"/>
    <w:qFormat/>
    <w:rPr>
      <w:rFonts w:ascii="Arial" w:hAnsi="Arial" w:eastAsia="Arial" w:cs="Arial"/>
      <w:sz w:val="30"/>
      <w:szCs w:val="30"/>
    </w:rPr>
  </w:style>
  <w:style w:type="character" w:styleId="934" w:customStyle="1">
    <w:name w:val="标题 4 Char"/>
    <w:link w:val="882"/>
    <w:uiPriority w:val="9"/>
    <w:qFormat/>
    <w:rPr>
      <w:rFonts w:ascii="Arial" w:hAnsi="Arial" w:eastAsia="Arial" w:cs="Arial"/>
      <w:b/>
      <w:bCs/>
      <w:sz w:val="26"/>
      <w:szCs w:val="26"/>
    </w:rPr>
  </w:style>
  <w:style w:type="character" w:styleId="935" w:customStyle="1">
    <w:name w:val="标题 5 Char"/>
    <w:link w:val="883"/>
    <w:uiPriority w:val="9"/>
    <w:qFormat/>
    <w:rPr>
      <w:rFonts w:ascii="Arial" w:hAnsi="Arial" w:eastAsia="Arial" w:cs="Arial"/>
      <w:b/>
      <w:bCs/>
      <w:sz w:val="24"/>
      <w:szCs w:val="24"/>
    </w:rPr>
  </w:style>
  <w:style w:type="character" w:styleId="936" w:customStyle="1">
    <w:name w:val="标题 6 Char"/>
    <w:link w:val="884"/>
    <w:uiPriority w:val="9"/>
    <w:qFormat/>
    <w:rPr>
      <w:rFonts w:ascii="Arial" w:hAnsi="Arial" w:eastAsia="Arial" w:cs="Arial"/>
      <w:b/>
      <w:bCs/>
      <w:sz w:val="22"/>
      <w:szCs w:val="22"/>
    </w:rPr>
  </w:style>
  <w:style w:type="character" w:styleId="937" w:customStyle="1">
    <w:name w:val="标题 7 Char"/>
    <w:link w:val="885"/>
    <w:uiPriority w:val="9"/>
    <w:qFormat/>
    <w:rPr>
      <w:rFonts w:ascii="Arial" w:hAnsi="Arial" w:eastAsia="Arial" w:cs="Arial"/>
      <w:b/>
      <w:bCs/>
      <w:i/>
      <w:iCs/>
      <w:sz w:val="22"/>
      <w:szCs w:val="22"/>
    </w:rPr>
  </w:style>
  <w:style w:type="character" w:styleId="938" w:customStyle="1">
    <w:name w:val="标题 8 Char"/>
    <w:link w:val="886"/>
    <w:uiPriority w:val="9"/>
    <w:qFormat/>
    <w:rPr>
      <w:rFonts w:ascii="Arial" w:hAnsi="Arial" w:eastAsia="Arial" w:cs="Arial"/>
      <w:i/>
      <w:iCs/>
      <w:sz w:val="22"/>
      <w:szCs w:val="22"/>
    </w:rPr>
  </w:style>
  <w:style w:type="character" w:styleId="939" w:customStyle="1">
    <w:name w:val="标题 9 Char"/>
    <w:link w:val="887"/>
    <w:uiPriority w:val="9"/>
    <w:qFormat/>
    <w:rPr>
      <w:rFonts w:ascii="Arial" w:hAnsi="Arial" w:eastAsia="Arial" w:cs="Arial"/>
      <w:i/>
      <w:iCs/>
      <w:sz w:val="21"/>
      <w:szCs w:val="21"/>
    </w:rPr>
  </w:style>
  <w:style w:type="character" w:styleId="940" w:customStyle="1">
    <w:name w:val="标题 字符"/>
    <w:link w:val="839"/>
    <w:uiPriority w:val="10"/>
    <w:qFormat/>
    <w:rPr>
      <w:sz w:val="48"/>
      <w:szCs w:val="48"/>
    </w:rPr>
  </w:style>
  <w:style w:type="character" w:styleId="941" w:customStyle="1">
    <w:name w:val="副标题 字符"/>
    <w:link w:val="832"/>
    <w:uiPriority w:val="11"/>
    <w:qFormat/>
    <w:rPr>
      <w:sz w:val="24"/>
      <w:szCs w:val="24"/>
    </w:rPr>
  </w:style>
  <w:style w:type="paragraph" w:styleId="942">
    <w:name w:val="Quote"/>
    <w:basedOn w:val="794"/>
    <w:next w:val="794"/>
    <w:link w:val="943"/>
    <w:uiPriority w:val="29"/>
    <w:qFormat/>
    <w:pPr>
      <w:ind w:left="720" w:right="720"/>
    </w:pPr>
    <w:rPr>
      <w:i/>
    </w:rPr>
  </w:style>
  <w:style w:type="character" w:styleId="943" w:customStyle="1">
    <w:name w:val="引用 字符"/>
    <w:link w:val="942"/>
    <w:uiPriority w:val="29"/>
    <w:qFormat/>
    <w:rPr>
      <w:i/>
    </w:rPr>
  </w:style>
  <w:style w:type="paragraph" w:styleId="944">
    <w:name w:val="Intense Quote"/>
    <w:basedOn w:val="794"/>
    <w:next w:val="794"/>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字符"/>
    <w:link w:val="944"/>
    <w:uiPriority w:val="30"/>
    <w:qFormat/>
    <w:rPr>
      <w:i/>
    </w:rPr>
  </w:style>
  <w:style w:type="character" w:styleId="946" w:customStyle="1">
    <w:name w:val="页眉 Char"/>
    <w:link w:val="891"/>
    <w:uiPriority w:val="99"/>
    <w:qFormat/>
  </w:style>
  <w:style w:type="character" w:styleId="947" w:customStyle="1">
    <w:name w:val="Footer Char"/>
    <w:uiPriority w:val="99"/>
    <w:qFormat/>
  </w:style>
  <w:style w:type="character" w:styleId="948" w:customStyle="1">
    <w:name w:val="页脚 Char"/>
    <w:link w:val="889"/>
    <w:uiPriority w:val="99"/>
    <w:qFormat/>
  </w:style>
  <w:style w:type="table" w:styleId="949"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0" w:customStyle="1">
    <w:name w:val="Grid Table 1 Light - Accent 1"/>
    <w:basedOn w:val="8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 Accent 1"/>
    <w:basedOn w:val="8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Grid Table 3 - Accent 1"/>
    <w:basedOn w:val="8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basedOn w:val="8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basedOn w:val="8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basedOn w:val="8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basedOn w:val="8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basedOn w:val="8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 Accent 1"/>
    <w:basedOn w:val="8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9" w:customStyle="1">
    <w:name w:val="Grid Table 4 - Accent 2"/>
    <w:basedOn w:val="8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0" w:customStyle="1">
    <w:name w:val="Grid Table 4 - Accent 3"/>
    <w:basedOn w:val="8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1" w:customStyle="1">
    <w:name w:val="Grid Table 4 - Accent 4"/>
    <w:basedOn w:val="8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2" w:customStyle="1">
    <w:name w:val="Grid Table 4 - Accent 5"/>
    <w:basedOn w:val="8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3" w:customStyle="1">
    <w:name w:val="Grid Table 4 - Accent 6"/>
    <w:basedOn w:val="8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4"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5"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6"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7"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8"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9"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0" w:customStyle="1">
    <w:name w:val="Grid Table 6 Colorful - Accent 1"/>
    <w:basedOn w:val="8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1" w:customStyle="1">
    <w:name w:val="Grid Table 6 Colorful - Accent 2"/>
    <w:basedOn w:val="8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2" w:customStyle="1">
    <w:name w:val="Grid Table 6 Colorful - Accent 3"/>
    <w:basedOn w:val="8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3" w:customStyle="1">
    <w:name w:val="Grid Table 6 Colorful - Accent 4"/>
    <w:basedOn w:val="8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4" w:customStyle="1">
    <w:name w:val="Grid Table 6 Colorful - Accent 5"/>
    <w:basedOn w:val="8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5" w:customStyle="1">
    <w:name w:val="Grid Table 6 Colorful - Accent 6"/>
    <w:basedOn w:val="8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6" w:customStyle="1">
    <w:name w:val="Grid Table 7 Colorful - Accent 1"/>
    <w:basedOn w:val="8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 Accent 1"/>
    <w:basedOn w:val="80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0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0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0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0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0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8" w:customStyle="1">
    <w:name w:val="List Table 2 - Accent 1"/>
    <w:basedOn w:val="8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9" w:customStyle="1">
    <w:name w:val="List Table 2 - Accent 2"/>
    <w:basedOn w:val="8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0" w:customStyle="1">
    <w:name w:val="List Table 2 - Accent 3"/>
    <w:basedOn w:val="8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1" w:customStyle="1">
    <w:name w:val="List Table 2 - Accent 4"/>
    <w:basedOn w:val="8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2" w:customStyle="1">
    <w:name w:val="List Table 2 - Accent 5"/>
    <w:basedOn w:val="8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3" w:customStyle="1">
    <w:name w:val="List Table 2 - Accent 6"/>
    <w:basedOn w:val="8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4" w:customStyle="1">
    <w:name w:val="List Table 3 - Accent 1"/>
    <w:basedOn w:val="8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5" w:customStyle="1">
    <w:name w:val="List Table 3 - Accent 2"/>
    <w:basedOn w:val="8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6" w:customStyle="1">
    <w:name w:val="List Table 3 - Accent 3"/>
    <w:basedOn w:val="8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7" w:customStyle="1">
    <w:name w:val="List Table 3 - Accent 4"/>
    <w:basedOn w:val="8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8" w:customStyle="1">
    <w:name w:val="List Table 3 - Accent 5"/>
    <w:basedOn w:val="8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9" w:customStyle="1">
    <w:name w:val="List Table 3 - Accent 6"/>
    <w:basedOn w:val="8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0" w:customStyle="1">
    <w:name w:val="List Table 4 - Accent 1"/>
    <w:basedOn w:val="8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1" w:customStyle="1">
    <w:name w:val="List Table 4 - Accent 2"/>
    <w:basedOn w:val="8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2" w:customStyle="1">
    <w:name w:val="List Table 4 - Accent 3"/>
    <w:basedOn w:val="8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3" w:customStyle="1">
    <w:name w:val="List Table 4 - Accent 4"/>
    <w:basedOn w:val="8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4" w:customStyle="1">
    <w:name w:val="List Table 4 - Accent 5"/>
    <w:basedOn w:val="8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5" w:customStyle="1">
    <w:name w:val="List Table 4 - Accent 6"/>
    <w:basedOn w:val="8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6" w:customStyle="1">
    <w:name w:val="List Table 5 Dark - Accent 1"/>
    <w:basedOn w:val="8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basedOn w:val="8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basedOn w:val="8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basedOn w:val="8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basedOn w:val="8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basedOn w:val="8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 Accent 1"/>
    <w:basedOn w:val="80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3" w:customStyle="1">
    <w:name w:val="List Table 6 Colorful - Accent 2"/>
    <w:basedOn w:val="80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4" w:customStyle="1">
    <w:name w:val="List Table 6 Colorful - Accent 3"/>
    <w:basedOn w:val="80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5" w:customStyle="1">
    <w:name w:val="List Table 6 Colorful - Accent 4"/>
    <w:basedOn w:val="80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6" w:customStyle="1">
    <w:name w:val="List Table 6 Colorful - Accent 5"/>
    <w:basedOn w:val="80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7" w:customStyle="1">
    <w:name w:val="List Table 6 Colorful - Accent 6"/>
    <w:basedOn w:val="80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8" w:customStyle="1">
    <w:name w:val="List Table 7 Colorful - Accent 1"/>
    <w:basedOn w:val="80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basedOn w:val="80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basedOn w:val="80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basedOn w:val="80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basedOn w:val="80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basedOn w:val="80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4" w:customStyle="1">
    <w:name w:val="Lined - Accent"/>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6" w:customStyle="1">
    <w:name w:val="Lined - Accent 2"/>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7" w:customStyle="1">
    <w:name w:val="Lined - Accent 3"/>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8" w:customStyle="1">
    <w:name w:val="Lined - Accent 4"/>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9" w:customStyle="1">
    <w:name w:val="Lined - Accent 5"/>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0" w:customStyle="1">
    <w:name w:val="Lined - Accent 6"/>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1"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basedOn w:val="8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3" w:customStyle="1">
    <w:name w:val="Bordered &amp; Lined - Accent 2"/>
    <w:basedOn w:val="8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4" w:customStyle="1">
    <w:name w:val="Bordered &amp; Lined - Accent 3"/>
    <w:basedOn w:val="8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5" w:customStyle="1">
    <w:name w:val="Bordered &amp; Lined - Accent 4"/>
    <w:basedOn w:val="8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6" w:customStyle="1">
    <w:name w:val="Bordered &amp; Lined - Accent 5"/>
    <w:basedOn w:val="8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7" w:customStyle="1">
    <w:name w:val="Bordered &amp; Lined - Accent 6"/>
    <w:basedOn w:val="8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8"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basedOn w:val="8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0" w:customStyle="1">
    <w:name w:val="Bordered - Accent 2"/>
    <w:basedOn w:val="8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1" w:customStyle="1">
    <w:name w:val="Bordered - Accent 3"/>
    <w:basedOn w:val="8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2" w:customStyle="1">
    <w:name w:val="Bordered - Accent 4"/>
    <w:basedOn w:val="8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3" w:customStyle="1">
    <w:name w:val="Bordered - Accent 5"/>
    <w:basedOn w:val="8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4" w:customStyle="1">
    <w:name w:val="Bordered - Accent 6"/>
    <w:basedOn w:val="8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5" w:customStyle="1">
    <w:name w:val="脚注文本 字符"/>
    <w:link w:val="833"/>
    <w:uiPriority w:val="99"/>
    <w:qFormat/>
    <w:rPr>
      <w:sz w:val="18"/>
    </w:rPr>
  </w:style>
  <w:style w:type="character" w:styleId="1056" w:customStyle="1">
    <w:name w:val="尾注文本 字符"/>
    <w:link w:val="826"/>
    <w:uiPriority w:val="99"/>
    <w:qFormat/>
    <w:rPr>
      <w:sz w:val="20"/>
    </w:rPr>
  </w:style>
  <w:style w:type="paragraph" w:styleId="1057" w:customStyle="1">
    <w:name w:val="TOC 标题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1058">
    <w:name w:val="No Spacing"/>
    <w:basedOn w:val="794"/>
    <w:uiPriority w:val="1"/>
    <w:qFormat/>
    <w:pPr>
      <w:spacing w:after="0" w:line="240" w:lineRule="auto"/>
    </w:pPr>
  </w:style>
  <w:style w:type="paragraph" w:styleId="1059">
    <w:name w:val="List Paragraph"/>
    <w:basedOn w:val="794"/>
    <w:uiPriority w:val="34"/>
    <w:qFormat/>
    <w:pPr>
      <w:contextualSpacing/>
      <w:ind w:left="720"/>
    </w:pPr>
  </w:style>
  <w:style w:type="paragraph" w:styleId="1060" w:customStyle="1">
    <w:name w:val="无间隔1"/>
    <w:uiPriority w:val="0"/>
    <w:qFormat/>
    <w:rPr>
      <w:rFonts w:ascii="Times New Roman" w:hAnsi="Times New Roman" w:eastAsia="宋体" w:cs="Times New Roman"/>
      <w:sz w:val="22"/>
      <w:szCs w:val="22"/>
      <w:lang w:val="en-US" w:eastAsia="en-US" w:bidi="ar-SA"/>
    </w:rPr>
  </w:style>
  <w:style w:type="paragraph" w:styleId="1061" w:customStyle="1">
    <w:name w:val="普通(网站)1"/>
    <w:basedOn w:val="896"/>
    <w:uiPriority w:val="99"/>
    <w:qFormat/>
    <w:pPr>
      <w:spacing w:before="100" w:beforeAutospacing="1" w:after="100" w:afterAutospacing="1"/>
    </w:pPr>
  </w:style>
  <w:style w:type="paragraph" w:styleId="1062" w:customStyle="1">
    <w:name w:val="正文（缩进）"/>
    <w:basedOn w:val="794"/>
    <w:uiPriority w:val="0"/>
    <w:unhideWhenUsed/>
    <w:qFormat/>
    <w:pPr>
      <w:jc w:val="both"/>
      <w:spacing w:line="240" w:lineRule="auto"/>
    </w:pPr>
    <w:rPr>
      <w:rFonts w:hint="eastAsia" w:ascii="宋体" w:eastAsia="宋体" w:cs="Times New Roman"/>
      <w:sz w:val="21"/>
      <w:szCs w:val="21"/>
    </w:rPr>
  </w:style>
  <w:style w:type="paragraph" w:styleId="1063" w:customStyle="1">
    <w:name w:val="正文文本缩进1"/>
    <w:basedOn w:val="897"/>
    <w:next w:val="1064"/>
    <w:uiPriority w:val="0"/>
    <w:qFormat/>
    <w:pPr>
      <w:ind w:left="420"/>
      <w:spacing w:after="120"/>
    </w:pPr>
    <w:rPr>
      <w:rFonts w:ascii="Calibri" w:hAnsi="Calibri"/>
    </w:rPr>
  </w:style>
  <w:style w:type="paragraph" w:styleId="1064" w:customStyle="1">
    <w:name w:val="寄信人地址1"/>
    <w:basedOn w:val="897"/>
    <w:uiPriority w:val="0"/>
    <w:qFormat/>
    <w:rPr>
      <w:rFonts w:ascii="Arial" w:hAnsi="Arial"/>
    </w:rPr>
  </w:style>
  <w:style w:type="paragraph" w:styleId="1065" w:customStyle="1">
    <w:name w:val="样式 正文文本缩进 + 首行缩进:  2 字符 行距: 1.5 倍行距"/>
    <w:basedOn w:val="1063"/>
    <w:uiPriority w:val="0"/>
    <w:qFormat/>
    <w:pPr>
      <w:ind w:firstLine="645"/>
      <w:spacing w:before="156"/>
    </w:pPr>
    <w:rPr>
      <w:sz w:val="28"/>
    </w:rPr>
  </w:style>
  <w:style w:type="character" w:styleId="1066"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67" w:customStyle="1">
    <w:name w:val="Table Paragraph"/>
    <w:basedOn w:val="794"/>
    <w:uiPriority w:val="1"/>
    <w:qFormat/>
    <w:rPr>
      <w:rFonts w:ascii="仿宋" w:hAnsi="仿宋" w:eastAsia="仿宋" w:cs="仿宋"/>
      <w:lang w:val="zh-CN" w:eastAsia="zh-CN" w:bidi="zh-CN"/>
    </w:rPr>
  </w:style>
  <w:style w:type="paragraph" w:styleId="1068" w:customStyle="1">
    <w:name w:val="页脚11"/>
    <w:basedOn w:val="904"/>
    <w:uiPriority w:val="0"/>
    <w:qFormat/>
    <w:pPr>
      <w:jc w:val="left"/>
      <w:tabs>
        <w:tab w:val="center" w:pos="4153" w:leader="none"/>
        <w:tab w:val="right" w:pos="8306" w:leader="none"/>
      </w:tabs>
    </w:pPr>
    <w:rPr>
      <w:sz w:val="18"/>
      <w:szCs w:val="18"/>
    </w:rPr>
  </w:style>
  <w:style w:type="paragraph" w:styleId="1069" w:customStyle="1">
    <w:name w:val="正文首行缩进 21"/>
    <w:basedOn w:val="1063"/>
    <w:next w:val="897"/>
    <w:uiPriority w:val="0"/>
    <w:qFormat/>
    <w:pPr>
      <w:ind w:firstLine="420"/>
    </w:pPr>
    <w:rPr>
      <w:rFonts w:ascii="Times New Roman" w:hAnsi="Times New Roman"/>
      <w:sz w:val="24"/>
    </w:rPr>
  </w:style>
  <w:style w:type="character" w:styleId="1070" w:customStyle="1">
    <w:name w:val="font01"/>
    <w:basedOn w:val="1071"/>
    <w:uiPriority w:val="0"/>
    <w:qFormat/>
    <w:rPr>
      <w:rFonts w:ascii="等线" w:hAnsi="等线" w:eastAsia="等线"/>
      <w:color w:val="000000"/>
      <w:sz w:val="24"/>
      <w:szCs w:val="24"/>
      <w:u w:val="none"/>
    </w:rPr>
  </w:style>
  <w:style w:type="character" w:styleId="1071" w:customStyle="1">
    <w:name w:val="默认段落字体1"/>
    <w:uiPriority w:val="0"/>
    <w:qFormat/>
    <w:rPr>
      <w:rFonts w:ascii="Times New Roman" w:hAnsi="Times New Roman" w:eastAsia="宋体"/>
    </w:rPr>
  </w:style>
  <w:style w:type="character" w:styleId="1072" w:customStyle="1">
    <w:name w:val="font21"/>
    <w:basedOn w:val="1071"/>
    <w:link w:val="904"/>
    <w:uiPriority w:val="0"/>
    <w:qFormat/>
    <w:rPr>
      <w:rFonts w:ascii="等线" w:hAnsi="等线" w:eastAsia="等线"/>
      <w:b/>
      <w:color w:val="000000"/>
      <w:sz w:val="24"/>
      <w:szCs w:val="24"/>
      <w:u w:val="none"/>
    </w:rPr>
  </w:style>
  <w:style w:type="paragraph" w:styleId="1073" w:customStyle="1">
    <w:name w:val="脚注文本11"/>
    <w:basedOn w:val="904"/>
    <w:next w:val="1074"/>
    <w:uiPriority w:val="0"/>
    <w:qFormat/>
    <w:rPr>
      <w:b/>
      <w:bCs/>
      <w:sz w:val="24"/>
      <w:szCs w:val="28"/>
    </w:rPr>
  </w:style>
  <w:style w:type="paragraph" w:styleId="1074" w:customStyle="1">
    <w:name w:val="索引 511"/>
    <w:basedOn w:val="904"/>
    <w:next w:val="904"/>
    <w:uiPriority w:val="0"/>
    <w:qFormat/>
    <w:pPr>
      <w:ind w:left="798"/>
      <w:jc w:val="left"/>
    </w:pPr>
    <w:rPr>
      <w:rFonts w:ascii="Calibri" w:hAnsi="Calibri" w:eastAsia="Times New Roman"/>
      <w:sz w:val="24"/>
    </w:rPr>
  </w:style>
  <w:style w:type="paragraph" w:styleId="1075" w:customStyle="1">
    <w:name w:val="标题 411"/>
    <w:basedOn w:val="904"/>
    <w:next w:val="904"/>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76" w:customStyle="1">
    <w:name w:val="正文 New"/>
    <w:uiPriority w:val="0"/>
    <w:qFormat/>
    <w:pPr>
      <w:jc w:val="both"/>
      <w:spacing w:after="200" w:line="276" w:lineRule="auto"/>
      <w:widowControl w:val="off"/>
    </w:pPr>
    <w:rPr>
      <w:rFonts w:ascii="Times New Roman" w:hAnsi="Times New Roman" w:eastAsia="宋体" w:cs="Times New Roman"/>
      <w:sz w:val="24"/>
      <w:szCs w:val="24"/>
      <w:lang w:val="en-US" w:eastAsia="en-US" w:bidi="en-US"/>
    </w:rPr>
  </w:style>
  <w:style w:type="paragraph" w:styleId="1077" w:customStyle="1">
    <w:name w:val="普通(网站)11"/>
    <w:basedOn w:val="904"/>
    <w:uiPriority w:val="0"/>
    <w:qFormat/>
    <w:pPr>
      <w:jc w:val="left"/>
      <w:spacing w:before="100" w:beforeAutospacing="1" w:after="100" w:afterAutospacing="1"/>
      <w:widowControl/>
    </w:pPr>
    <w:rPr>
      <w:rFonts w:ascii="宋体" w:hAnsi="宋体"/>
      <w:sz w:val="24"/>
      <w:szCs w:val="20"/>
    </w:rPr>
  </w:style>
  <w:style w:type="paragraph" w:styleId="1078" w:customStyle="1">
    <w:name w:val="列出段落1"/>
    <w:basedOn w:val="904"/>
    <w:uiPriority w:val="0"/>
    <w:qFormat/>
    <w:pPr>
      <w:ind w:firstLine="420"/>
    </w:pPr>
    <w:rPr>
      <w:rFonts w:ascii="Calibri" w:hAnsi="Calibri"/>
      <w:sz w:val="22"/>
      <w:szCs w:val="22"/>
    </w:rPr>
  </w:style>
  <w:style w:type="paragraph" w:styleId="1079"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080" w:customStyle="1">
    <w:name w:val="标题1"/>
    <w:basedOn w:val="896"/>
    <w:next w:val="896"/>
    <w:uiPriority w:val="0"/>
    <w:qFormat/>
    <w:pPr>
      <w:contextualSpacing/>
      <w:spacing w:before="300"/>
    </w:pPr>
    <w:rPr>
      <w:sz w:val="48"/>
      <w:szCs w:val="48"/>
    </w:rPr>
  </w:style>
  <w:style w:type="paragraph" w:styleId="1081" w:customStyle="1">
    <w:name w:val="彩色列表 - 着色 11"/>
    <w:basedOn w:val="794"/>
    <w:uiPriority w:val="0"/>
    <w:qFormat/>
    <w:pPr>
      <w:ind w:firstLine="420"/>
    </w:pPr>
    <w:rPr>
      <w:rFonts w:ascii="Times New Roman" w:hAnsi="Times New Roman" w:eastAsia="宋体" w:cs="Times New Roman"/>
      <w:sz w:val="24"/>
      <w:szCs w:val="24"/>
    </w:rPr>
  </w:style>
  <w:style w:type="paragraph" w:styleId="1082" w:customStyle="1">
    <w:name w:val="DAS正文"/>
    <w:basedOn w:val="794"/>
    <w:uiPriority w:val="0"/>
    <w:qFormat/>
    <w:pPr>
      <w:ind w:right="181" w:firstLine="480"/>
      <w:jc w:val="both"/>
      <w:spacing w:after="0" w:line="360" w:lineRule="auto"/>
    </w:pPr>
    <w:rPr>
      <w:rFonts w:ascii="Verdana" w:hAnsi="Verdana" w:eastAsia="宋体" w:cs="Times New Roman"/>
      <w:sz w:val="24"/>
      <w:szCs w:val="24"/>
    </w:rPr>
  </w:style>
  <w:style w:type="paragraph" w:styleId="1083" w:customStyle="1">
    <w:name w:val="正文1112"/>
    <w:next w:val="896"/>
    <w:uiPriority w:val="0"/>
    <w:qFormat/>
    <w:rPr>
      <w:rFonts w:ascii="Times New Roman" w:hAnsi="Times New Roman" w:eastAsia="宋体" w:cs="Times New Roman"/>
      <w:lang w:val="en-US" w:eastAsia="zh-CN" w:bidi="ar-SA"/>
    </w:rPr>
  </w:style>
  <w:style w:type="character" w:styleId="1084" w:customStyle="1">
    <w:name w:val="批注框文本 字符"/>
    <w:basedOn w:val="804"/>
    <w:link w:val="827"/>
    <w:uiPriority w:val="99"/>
    <w:semiHidden/>
    <w:qFormat/>
    <w:rPr>
      <w:rFonts w:asciiTheme="minorHAnsi" w:hAnsiTheme="minorHAnsi" w:eastAsiaTheme="minorHAnsi" w:cstheme="minorBidi"/>
      <w:sz w:val="18"/>
      <w:szCs w:val="18"/>
      <w:lang w:eastAsia="en-US"/>
    </w:rPr>
  </w:style>
  <w:style w:type="paragraph" w:styleId="1085" w:customStyle="1">
    <w:name w:val="列出段落2"/>
    <w:basedOn w:val="794"/>
    <w:uiPriority w:val="0"/>
    <w:qFormat/>
    <w:pPr>
      <w:ind w:firstLine="420"/>
    </w:pPr>
    <w:rPr>
      <w:rFonts w:ascii="Calibri" w:hAnsi="Calibri"/>
    </w:rPr>
  </w:style>
  <w:style w:type="paragraph" w:styleId="1086" w:customStyle="1">
    <w:name w:val="Default"/>
    <w:uiPriority w:val="0"/>
    <w:qFormat/>
    <w:pPr>
      <w:widowControl w:val="off"/>
    </w:pPr>
    <w:rPr>
      <w:rFonts w:ascii="宋体" w:hAnsi="Times New Roman" w:eastAsia="宋体" w:cs="Times New Roman"/>
      <w:color w:val="000000"/>
      <w:sz w:val="24"/>
      <w:lang w:val="en-US" w:eastAsia="zh-CN" w:bidi="ar-SA"/>
    </w:rPr>
  </w:style>
  <w:style w:type="paragraph" w:styleId="1087" w:customStyle="1">
    <w:name w:val="03 正文"/>
    <w:basedOn w:val="794"/>
    <w:uiPriority w:val="0"/>
    <w:qFormat/>
    <w:pPr>
      <w:ind w:firstLine="420"/>
      <w:spacing w:line="500" w:lineRule="atLeast"/>
    </w:pPr>
    <w:rPr>
      <w:rFonts w:eastAsia="宋体"/>
      <w:sz w:val="21"/>
      <w:szCs w:val="24"/>
      <w:lang w:val="zh-CN" w:eastAsia="zh-CN"/>
    </w:rPr>
  </w:style>
  <w:style w:type="table" w:styleId="1088" w:customStyle="1">
    <w:name w:val="Table Normal"/>
    <w:uiPriority w:val="0"/>
    <w:semiHidden/>
    <w:unhideWhenUsed/>
    <w:qFormat/>
    <w:tblPr>
      <w:tblCellMar>
        <w:left w:w="0" w:type="dxa"/>
        <w:top w:w="0" w:type="dxa"/>
        <w:right w:w="0" w:type="dxa"/>
        <w:bottom w:w="0" w:type="dxa"/>
      </w:tblCellMar>
    </w:tblPr>
  </w:style>
  <w:style w:type="paragraph" w:styleId="1089" w:customStyle="1">
    <w:name w:val="正文2"/>
    <w:uiPriority w:val="0"/>
    <w:qFormat/>
    <w:pPr>
      <w:jc w:val="both"/>
      <w:widowControl w:val="off"/>
    </w:pPr>
    <w:rPr>
      <w:rFonts w:ascii="Times New Roman" w:hAnsi="Times New Roman" w:eastAsia="Times New Roman" w:cs="Times New Roman"/>
      <w:lang w:val="en-US" w:eastAsia="zh-CN" w:bidi="ar-SA"/>
    </w:rPr>
  </w:style>
  <w:style w:type="character" w:styleId="1090" w:customStyle="1">
    <w:name w:val="正文文本缩进 2 字符"/>
    <w:basedOn w:val="804"/>
    <w:link w:val="825"/>
    <w:uiPriority w:val="99"/>
    <w:semiHidden/>
    <w:qFormat/>
    <w:rPr>
      <w:rFonts w:asciiTheme="minorHAnsi" w:hAnsiTheme="minorHAnsi" w:eastAsiaTheme="minorHAnsi" w:cstheme="minorBidi"/>
      <w:sz w:val="22"/>
      <w:szCs w:val="22"/>
      <w:lang w:eastAsia="en-US"/>
    </w:rPr>
  </w:style>
  <w:style w:type="character" w:styleId="1091" w:customStyle="1">
    <w:name w:val="批注文字 字符"/>
    <w:basedOn w:val="804"/>
    <w:link w:val="816"/>
    <w:uiPriority w:val="0"/>
    <w:qFormat/>
    <w:rPr>
      <w:rFonts w:asciiTheme="minorHAnsi" w:hAnsiTheme="minorHAnsi" w:eastAsiaTheme="minorHAnsi" w:cstheme="minorBidi"/>
      <w:sz w:val="22"/>
      <w:szCs w:val="22"/>
      <w:lang w:eastAsia="en-US"/>
    </w:rPr>
  </w:style>
  <w:style w:type="character" w:styleId="1092" w:customStyle="1">
    <w:name w:val="批注主题 字符"/>
    <w:basedOn w:val="1091"/>
    <w:link w:val="840"/>
    <w:uiPriority w:val="0"/>
    <w:qFormat/>
    <w:rPr>
      <w:rFonts w:asciiTheme="minorHAnsi" w:hAnsiTheme="minorHAnsi" w:eastAsiaTheme="minorHAnsi" w:cstheme="minorBidi"/>
      <w:sz w:val="22"/>
      <w:szCs w:val="22"/>
      <w:lang w:eastAsia="en-US"/>
    </w:rPr>
  </w:style>
  <w:style w:type="character" w:styleId="1093" w:customStyle="1">
    <w:name w:val="正文文本 字符"/>
    <w:basedOn w:val="804"/>
    <w:link w:val="817"/>
    <w:uiPriority w:val="99"/>
    <w:qFormat/>
    <w:rPr>
      <w:rFonts w:asciiTheme="minorHAnsi" w:hAnsiTheme="minorHAnsi" w:eastAsiaTheme="minorHAnsi" w:cstheme="minorBidi"/>
      <w:sz w:val="22"/>
      <w:szCs w:val="22"/>
      <w:lang w:eastAsia="en-US"/>
    </w:rPr>
  </w:style>
  <w:style w:type="character" w:styleId="1094" w:customStyle="1">
    <w:name w:val="页眉 字符"/>
    <w:basedOn w:val="804"/>
    <w:link w:val="829"/>
    <w:uiPriority w:val="99"/>
    <w:qFormat/>
    <w:rPr>
      <w:rFonts w:asciiTheme="minorHAnsi" w:hAnsiTheme="minorHAnsi" w:eastAsiaTheme="minorHAnsi" w:cstheme="minorBidi"/>
      <w:sz w:val="18"/>
      <w:szCs w:val="18"/>
      <w:lang w:eastAsia="en-US"/>
    </w:rPr>
  </w:style>
  <w:style w:type="character" w:styleId="1095" w:customStyle="1">
    <w:name w:val="页脚 字符"/>
    <w:basedOn w:val="804"/>
    <w:link w:val="828"/>
    <w:uiPriority w:val="99"/>
    <w:qFormat/>
    <w:rPr>
      <w:rFonts w:asciiTheme="minorHAnsi" w:hAnsiTheme="minorHAnsi" w:eastAsiaTheme="minorHAnsi" w:cstheme="minorBidi"/>
      <w:sz w:val="18"/>
      <w:szCs w:val="18"/>
      <w:lang w:eastAsia="en-US"/>
    </w:rPr>
  </w:style>
  <w:style w:type="character" w:styleId="1096" w:customStyle="1">
    <w:name w:val="文档结构图 字符"/>
    <w:basedOn w:val="804"/>
    <w:link w:val="815"/>
    <w:uiPriority w:val="0"/>
    <w:qFormat/>
    <w:rPr>
      <w:rFonts w:ascii="宋体" w:hAnsi="Calibri"/>
      <w:sz w:val="18"/>
      <w:szCs w:val="18"/>
    </w:rPr>
  </w:style>
  <w:style w:type="paragraph" w:styleId="1097" w:customStyle="1">
    <w:name w:val="Table Text"/>
    <w:basedOn w:val="794"/>
    <w:uiPriority w:val="0"/>
    <w:semiHidden/>
    <w:qFormat/>
    <w:pPr>
      <w:spacing w:after="0" w:line="240" w:lineRule="auto"/>
    </w:pPr>
    <w:rPr>
      <w:rFonts w:ascii="宋体" w:hAnsi="宋体" w:eastAsia="宋体" w:cs="宋体"/>
      <w:color w:val="000000"/>
      <w:sz w:val="24"/>
      <w:szCs w:val="24"/>
    </w:rPr>
  </w:style>
  <w:style w:type="character" w:styleId="1098" w:customStyle="1">
    <w:name w:val="标题 2 Char1"/>
    <w:basedOn w:val="804"/>
    <w:uiPriority w:val="9"/>
    <w:semiHidden/>
    <w:qFormat/>
    <w:rPr>
      <w:rFonts w:asciiTheme="majorHAnsi" w:hAnsiTheme="majorHAnsi" w:eastAsiaTheme="majorEastAsia" w:cstheme="majorBidi"/>
      <w:b/>
      <w:bCs/>
      <w:sz w:val="32"/>
      <w:szCs w:val="32"/>
      <w:lang w:eastAsia="en-US"/>
    </w:rPr>
  </w:style>
  <w:style w:type="character" w:styleId="1099" w:customStyle="1">
    <w:name w:val="标题 3 Char1"/>
    <w:basedOn w:val="804"/>
    <w:uiPriority w:val="9"/>
    <w:semiHidden/>
    <w:qFormat/>
    <w:rPr>
      <w:rFonts w:asciiTheme="minorHAnsi" w:hAnsiTheme="minorHAnsi" w:eastAsiaTheme="minorHAnsi" w:cstheme="minorBidi"/>
      <w:b/>
      <w:bCs/>
      <w:sz w:val="32"/>
      <w:szCs w:val="32"/>
      <w:lang w:eastAsia="en-US"/>
    </w:rPr>
  </w:style>
  <w:style w:type="table" w:styleId="1100" w:customStyle="1">
    <w:name w:val="网格型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1" w:customStyle="1">
    <w:name w:val="修订1"/>
    <w:hidden/>
    <w:uiPriority w:val="99"/>
    <w:semiHidden/>
    <w:qFormat/>
    <w:rPr>
      <w:rFonts w:asciiTheme="minorHAnsi" w:hAnsiTheme="minorHAnsi" w:eastAsiaTheme="minorHAnsi" w:cstheme="minorBidi"/>
      <w:sz w:val="22"/>
      <w:szCs w:val="22"/>
      <w:lang w:val="en-US" w:eastAsia="en-US" w:bidi="ar-SA"/>
    </w:rPr>
  </w:style>
  <w:style w:type="character" w:styleId="1102" w:customStyle="1">
    <w:name w:val="wyg1"/>
    <w:uiPriority w:val="6"/>
    <w:qFormat/>
    <w:rPr>
      <w:rFonts w:ascii="Times New Roman" w:hAnsi="Times New Roman" w:eastAsia="宋体" w:cs="Times New Roman"/>
      <w:lang w:val="en-US" w:eastAsia="zh-CN" w:bidi="ar-SA"/>
    </w:rPr>
  </w:style>
  <w:style w:type="paragraph" w:styleId="1103" w:customStyle="1">
    <w:name w:val="样式1"/>
    <w:basedOn w:val="794"/>
    <w:uiPriority w:val="0"/>
    <w:qFormat/>
    <w:pPr>
      <w:numPr>
        <w:ilvl w:val="0"/>
        <w:numId w:val="1"/>
      </w:numPr>
      <w:tabs>
        <w:tab w:val="left" w:pos="1110" w:leader="none"/>
      </w:tabs>
    </w:pPr>
    <w:rPr>
      <w:rFonts w:ascii="宋体" w:hAnsi="宋体"/>
      <w:szCs w:val="21"/>
    </w:rPr>
  </w:style>
  <w:style w:type="paragraph" w:styleId="1104" w:customStyle="1">
    <w:name w:val="正文文本缩进11"/>
    <w:basedOn w:val="1105"/>
    <w:next w:val="1105"/>
    <w:uiPriority w:val="0"/>
    <w:qFormat/>
    <w:pPr>
      <w:ind w:firstLine="425"/>
      <w:spacing w:line="360" w:lineRule="auto"/>
    </w:pPr>
  </w:style>
  <w:style w:type="paragraph" w:styleId="1105" w:customStyle="1">
    <w:name w:val="正文112"/>
    <w:next w:val="1069"/>
    <w:uiPriority w:val="0"/>
    <w:qFormat/>
    <w:pPr>
      <w:jc w:val="both"/>
      <w:widowControl w:val="off"/>
    </w:pPr>
    <w:rPr>
      <w:rFonts w:ascii="Times New Roman" w:hAnsi="Times New Roman" w:eastAsia="宋体" w:cs="Times New Roman"/>
      <w:sz w:val="21"/>
      <w:szCs w:val="24"/>
      <w:lang w:val="en-US" w:eastAsia="zh-CN" w:bidi="ar-SA"/>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customXml" Target="../customXml/item6.xml" /><Relationship Id="rId21" Type="http://schemas.openxmlformats.org/officeDocument/2006/relationships/customXml" Target="../customXml/item7.xml" /><Relationship Id="rId22" Type="http://schemas.openxmlformats.org/officeDocument/2006/relationships/customXml" Target="../customXml/item8.xml" /><Relationship Id="rId23" Type="http://schemas.openxmlformats.org/officeDocument/2006/relationships/image" Target="media/image1.jpg"/><Relationship Id="rId24" Type="http://schemas.openxmlformats.org/officeDocument/2006/relationships/image" Target="media/image2.png"/><Relationship Id="rId25" Type="http://schemas.openxmlformats.org/officeDocument/2006/relationships/image" Target="media/image3.jpg"/><Relationship Id="rId26" Type="http://schemas.openxmlformats.org/officeDocument/2006/relationships/image" Target="media/image4.jpg"/><Relationship Id="rId27" Type="http://schemas.openxmlformats.org/officeDocument/2006/relationships/image" Target="media/image5.jpg"/><Relationship Id="rId28" Type="http://schemas.openxmlformats.org/officeDocument/2006/relationships/image" Target="media/image6.jp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jpg"/><Relationship Id="rId32" Type="http://schemas.openxmlformats.org/officeDocument/2006/relationships/image" Target="media/image10.jpg"/><Relationship Id="rId33" Type="http://schemas.openxmlformats.org/officeDocument/2006/relationships/image" Target="media/image11.jpg"/><Relationship Id="rId34" Type="http://schemas.openxmlformats.org/officeDocument/2006/relationships/image" Target="media/image12.png"/><Relationship Id="rId35" Type="http://schemas.openxmlformats.org/officeDocument/2006/relationships/image" Target="media/image13.jpg"/><Relationship Id="rId36" Type="http://schemas.openxmlformats.org/officeDocument/2006/relationships/image" Target="media/image14.jpg"/><Relationship Id="rId37" Type="http://schemas.openxmlformats.org/officeDocument/2006/relationships/image" Target="media/image15.jpg"/><Relationship Id="rId38" Type="http://schemas.openxmlformats.org/officeDocument/2006/relationships/image" Target="media/image16.jp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jpg"/><Relationship Id="rId43"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w:settings xmlns:w="http://schemas.openxmlformats.org/wordprocessingml/2006/main">
  <w:SpecialFormsHighlight w:val="c9c8ff"/>
</w:settings>
</file>

<file path=customXml/item8.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A3DB8E9D-1074-418D-BC86-0DBA9877D3BD}"/>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5D0AEA6B-E499-4EEF-98A3-AFBB261C493E}"/>
</file>

<file path=customXml/itemProps7.xml><?xml version="1.0" encoding="utf-8"?>
<ds:datastoreItem xmlns:ds="http://schemas.openxmlformats.org/officeDocument/2006/customXml" ds:itemID="{5D0AEA6B-E499-4EEF-98A3-AFBB261C493E}"/>
</file>

<file path=customXml/itemProps8.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盛文玉</cp:lastModifiedBy>
  <cp:revision>1219</cp:revision>
  <dcterms:created xsi:type="dcterms:W3CDTF">2025-06-22T08:00:00Z</dcterms:created>
  <dcterms:modified xsi:type="dcterms:W3CDTF">2026-07-17T06:29:11Z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0587137BA85D4D0FB098768747B78689_13</vt:lpwstr>
  </property>
  <property fmtid="{D5CDD505-2E9C-101B-9397-08002B2CF9AE}" pid="4" name="KSOTemplateDocerSaveRecord">
    <vt:lpwstr>eyJoZGlkIjoiNjQxOGRlYzkyZmFhMjhiZjI5MjgwNmIyNzk2YzI4ZTgiLCJ1c2VySWQiOiI4ODI0NjMxIn0=</vt:lpwstr>
  </property>
</Properties>
</file>