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7"/>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677"/>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677"/>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67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项目名称：江苏省基本单位名录库（服务业监测平台）</w:t>
      </w:r>
      <w:r>
        <w:rPr>
          <w:rFonts w:hint="eastAsia" w:ascii="方正黑体_GBK" w:hAnsi="方正黑体_GBK" w:eastAsia="方正黑体_GBK" w:cs="方正黑体_GBK"/>
          <w:sz w:val="28"/>
          <w:szCs w:val="28"/>
        </w:rPr>
      </w:r>
      <w:r/>
    </w:p>
    <w:p>
      <w:pPr>
        <w:pStyle w:val="67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升级改造项目</w:t>
      </w:r>
      <w:r>
        <w:rPr>
          <w:rFonts w:hint="eastAsia" w:ascii="方正黑体_GBK" w:hAnsi="方正黑体_GBK" w:eastAsia="方正黑体_GBK" w:cs="方正黑体_GBK"/>
          <w:sz w:val="28"/>
          <w:szCs w:val="28"/>
        </w:rPr>
      </w:r>
      <w:r/>
    </w:p>
    <w:p>
      <w:pPr>
        <w:pStyle w:val="677"/>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方正黑体_GBK" w:hAnsi="方正黑体_GBK" w:eastAsia="方正黑体_GBK" w:cs="方正黑体_GBK"/>
          <w:sz w:val="28"/>
          <w:szCs w:val="28"/>
        </w:rPr>
        <w:t xml:space="preserve">JSZC-320000-SCZX-C2026-0239</w:t>
      </w:r>
      <w:r>
        <w:rPr>
          <w:rFonts w:ascii="Arial" w:hAnsi="Arial"/>
          <w:b/>
          <w:bCs/>
          <w:sz w:val="28"/>
          <w:szCs w:val="28"/>
        </w:rPr>
      </w:r>
      <w:r/>
    </w:p>
    <w:p>
      <w:pPr>
        <w:pStyle w:val="677"/>
        <w:ind w:left="2800" w:hanging="280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（全流程电子化-服务类项目，适用于“苏采云”系统）</w:t>
      </w:r>
      <w:r>
        <w:rPr>
          <w:rFonts w:hint="eastAsia" w:ascii="方正黑体_GBK" w:hAnsi="方正黑体_GBK" w:eastAsia="方正黑体_GBK" w:cs="方正黑体_GBK"/>
          <w:bCs/>
          <w:sz w:val="28"/>
          <w:szCs w:val="28"/>
        </w:rPr>
      </w:r>
      <w:r/>
    </w:p>
    <w:p>
      <w:pPr>
        <w:pStyle w:val="677"/>
        <w:ind w:firstLine="1470"/>
        <w:jc w:val="left"/>
        <w:spacing w:before="120" w:after="120" w:line="360" w:lineRule="auto"/>
        <w:rPr>
          <w:rFonts w:hint="eastAsia" w:ascii="Times New Roman" w:hAnsi="Times New Roman"/>
          <w:szCs w:val="21"/>
        </w:rPr>
      </w:pPr>
      <w:r>
        <w:rPr>
          <w:rFonts w:hint="eastAsia" w:ascii="Times New Roman" w:hAnsi="Times New Roman"/>
          <w:szCs w:val="21"/>
        </w:rPr>
      </w:r>
      <w:r/>
    </w:p>
    <w:p>
      <w:pPr>
        <w:pStyle w:val="677"/>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center"/>
        <w:spacing w:before="120" w:after="120" w:line="660" w:lineRule="exact"/>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left"/>
        <w:spacing w:line="360" w:lineRule="auto"/>
        <w:rPr>
          <w:rFonts w:hint="eastAsia" w:ascii="宋体" w:hAnsi="宋体"/>
          <w:sz w:val="24"/>
          <w:szCs w:val="24"/>
        </w:rPr>
      </w:pPr>
      <w:r>
        <w:rPr>
          <w:rFonts w:hint="eastAsia" w:ascii="宋体" w:hAnsi="宋体"/>
          <w:sz w:val="24"/>
          <w:szCs w:val="24"/>
        </w:rPr>
      </w:r>
      <w:r/>
    </w:p>
    <w:p>
      <w:pPr>
        <w:pStyle w:val="67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677"/>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rPr>
          <w:rFonts w:hint="eastAsia" w:ascii="方正黑体_GBK" w:hAnsi="方正黑体_GBK" w:eastAsia="方正黑体_GBK" w:cs="方正黑体_GBK"/>
          <w:sz w:val="28"/>
          <w:szCs w:val="28"/>
        </w:rPr>
      </w:r>
      <w:r/>
    </w:p>
    <w:p>
      <w:pPr>
        <w:pStyle w:val="67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77"/>
        <w:jc w:val="center"/>
        <w:spacing w:before="120" w:after="120" w:line="360" w:lineRule="auto"/>
        <w:rPr>
          <w:rFonts w:hint="eastAsia" w:ascii="Arial" w:hAnsi="Arial"/>
          <w:sz w:val="24"/>
          <w:szCs w:val="24"/>
        </w:rPr>
      </w:pPr>
      <w:r>
        <w:rPr>
          <w:rFonts w:hint="eastAsia" w:ascii="Arial" w:hAnsi="Arial"/>
          <w:sz w:val="24"/>
          <w:szCs w:val="24"/>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磋商邀请……………………………………03 </w:t>
      </w:r>
      <w:r>
        <w:rPr>
          <w:rFonts w:hint="eastAsia" w:ascii="方正黑体_GBK" w:hAnsi="方正黑体_GBK" w:eastAsia="方正黑体_GBK" w:cs="方正黑体_GBK"/>
          <w:bCs/>
          <w:sz w:val="28"/>
          <w:szCs w:val="28"/>
        </w:rPr>
      </w:r>
      <w:r/>
    </w:p>
    <w:p>
      <w:pPr>
        <w:pStyle w:val="677"/>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供应商须知…………………………………07  </w:t>
      </w:r>
      <w:r>
        <w:rPr>
          <w:rFonts w:hint="eastAsia" w:ascii="方正黑体_GBK" w:hAnsi="方正黑体_GBK" w:eastAsia="方正黑体_GBK" w:cs="方正黑体_GBK"/>
          <w:bCs/>
          <w:sz w:val="28"/>
          <w:szCs w:val="28"/>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19</w:t>
      </w:r>
      <w:r>
        <w:rPr>
          <w:rFonts w:ascii="方正黑体_GBK" w:hAnsi="方正黑体_GBK" w:eastAsia="方正黑体_GBK" w:cs="方正黑体_GBK"/>
          <w:bCs/>
          <w:sz w:val="28"/>
          <w:szCs w:val="28"/>
          <w:lang w:val="en-US" w:eastAsia="zh-CN"/>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23</w:t>
      </w:r>
      <w:r>
        <w:rPr>
          <w:rFonts w:ascii="方正黑体_GBK" w:hAnsi="方正黑体_GBK" w:eastAsia="方正黑体_GBK" w:cs="方正黑体_GBK"/>
          <w:bCs/>
          <w:sz w:val="28"/>
          <w:szCs w:val="28"/>
          <w:lang w:val="en-US" w:eastAsia="zh-CN"/>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35</w:t>
      </w:r>
      <w:r>
        <w:rPr>
          <w:rFonts w:ascii="方正黑体_GBK" w:hAnsi="方正黑体_GBK" w:eastAsia="方正黑体_GBK" w:cs="方正黑体_GBK"/>
          <w:bCs/>
          <w:sz w:val="28"/>
          <w:szCs w:val="28"/>
          <w:lang w:val="en-US" w:eastAsia="zh-CN"/>
        </w:rPr>
      </w:r>
      <w:r/>
    </w:p>
    <w:p>
      <w:pPr>
        <w:pStyle w:val="677"/>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42</w:t>
      </w:r>
      <w:r>
        <w:rPr>
          <w:rFonts w:ascii="方正黑体_GBK" w:hAnsi="方正黑体_GBK" w:eastAsia="方正黑体_GBK" w:cs="方正黑体_GBK"/>
          <w:bCs/>
          <w:sz w:val="28"/>
          <w:szCs w:val="28"/>
          <w:lang w:val="en-US" w:eastAsia="zh-CN"/>
        </w:rPr>
      </w:r>
      <w:r/>
    </w:p>
    <w:p>
      <w:pPr>
        <w:pStyle w:val="677"/>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rPr>
          <w:rFonts w:hint="eastAsia" w:ascii="Times New Roman" w:hAnsi="Times New Roman"/>
          <w:szCs w:val="21"/>
        </w:rPr>
      </w:pPr>
      <w:r>
        <w:rPr>
          <w:rFonts w:hint="eastAsia" w:ascii="Times New Roman" w:hAnsi="Times New Roman"/>
          <w:szCs w:val="21"/>
        </w:rPr>
      </w:r>
      <w:r/>
    </w:p>
    <w:p>
      <w:pPr>
        <w:pStyle w:val="677"/>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w:t>
      </w:r>
      <w:bookmarkStart w:id="6" w:name="OLE_LINK1"/>
      <w:r>
        <w:rPr>
          <w:rFonts w:hint="eastAsia" w:ascii="方正仿宋_GBK" w:hAnsi="方正仿宋_GBK" w:eastAsia="方正仿宋_GBK" w:cs="方正仿宋_GBK"/>
          <w:sz w:val="28"/>
          <w:szCs w:val="28"/>
        </w:rPr>
        <w:t xml:space="preserve">江苏省统计局</w:t>
      </w:r>
      <w:bookmarkEnd w:id="6"/>
      <w:r>
        <w:rPr>
          <w:rFonts w:hint="eastAsia" w:ascii="方正仿宋_GBK" w:hAnsi="方正仿宋_GBK" w:eastAsia="方正仿宋_GBK" w:cs="方正仿宋_GBK"/>
          <w:sz w:val="28"/>
          <w:szCs w:val="28"/>
        </w:rPr>
        <w:t xml:space="preserve">的委托，江苏省政府采购中心就江苏省基本单位名录库（服务业监测平台）升级改造项目(JSZC-320000-SCZX-C2026-0239)进行竞争性磋商采购，欢迎符合条件的供应商参加磋商。</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江苏省基本单位名录库（服务业监测平台）升级改造项目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7</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rPr>
        <w:t xml:space="preserve">29</w:t>
      </w:r>
      <w:r>
        <w:rPr>
          <w:rFonts w:hint="eastAsia" w:ascii="方正仿宋_GBK" w:hAnsi="方正仿宋_GBK" w:eastAsia="方正仿宋_GBK" w:cs="方正仿宋_GBK"/>
          <w:bCs/>
          <w:sz w:val="28"/>
          <w:szCs w:val="28"/>
        </w:rPr>
        <w:t xml:space="preserve">日9时</w:t>
      </w:r>
      <w:r>
        <w:rPr>
          <w:rFonts w:hint="eastAsia" w:ascii="Times New Roman" w:hAnsi="Times New Roman" w:eastAsia="方正黑体_GBK"/>
          <w:sz w:val="28"/>
          <w:szCs w:val="28"/>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7" w:name="_Toc35393790"/>
      <w:r/>
      <w:bookmarkStart w:id="8" w:name="_Toc38985263"/>
      <w:r/>
      <w:bookmarkStart w:id="9" w:name="_Toc28359002"/>
      <w:r/>
      <w:bookmarkStart w:id="10" w:name="_Toc35393621"/>
      <w:r/>
      <w:bookmarkStart w:id="11" w:name="_Toc28359079"/>
      <w:r/>
      <w:bookmarkStart w:id="12" w:name="_Hlk24379207"/>
      <w:r>
        <w:rPr>
          <w:rFonts w:hint="eastAsia" w:ascii="方正黑体_GBK" w:hAnsi="方正黑体_GBK" w:eastAsia="方正黑体_GBK" w:cs="方正黑体_GBK"/>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ascii="Times New Roman" w:hAnsi="Times New Roman" w:eastAsia="方正黑体_GBK"/>
          <w:sz w:val="28"/>
          <w:szCs w:val="28"/>
        </w:rPr>
        <w:t xml:space="preserve">JSZC-320000-SCZX-C2026-0239 </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2.项目名称：江苏省基本单位名录库（服务业监测平台）升级改造项目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bookmarkEnd w:id="12"/>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7"/>
              <w:ind w:firstLine="1120"/>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40</w:t>
            </w:r>
            <w:r>
              <w:rPr>
                <w:rFonts w:ascii="方正仿宋_GBK" w:hAnsi="方正仿宋_GBK" w:eastAsia="方正仿宋_GBK" w:cs="方正仿宋_GBK"/>
                <w:sz w:val="28"/>
                <w:szCs w:val="28"/>
              </w:rPr>
            </w:r>
            <w:r/>
          </w:p>
        </w:tc>
      </w:tr>
    </w:tbl>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7"/>
              <w:jc w:val="center"/>
              <w:spacing w:line="400" w:lineRule="exact"/>
              <w:rPr>
                <w:rFonts w:ascii="方正仿宋_GBK" w:hAnsi="方正仿宋_GBK" w:eastAsia="方正仿宋_GBK" w:cs="方正仿宋_GBK"/>
                <w:sz w:val="28"/>
                <w:szCs w:val="28"/>
              </w:rPr>
            </w:pPr>
            <w:r>
              <w:rPr>
                <w:rFonts w:hint="eastAsia" w:ascii="Times New Roman" w:hAnsi="Times New Roman" w:eastAsia="方正黑体_GBK"/>
                <w:sz w:val="28"/>
                <w:szCs w:val="28"/>
              </w:rPr>
              <w:t xml:space="preserve">40</w:t>
            </w:r>
            <w:r>
              <w:rPr>
                <w:rFonts w:ascii="方正仿宋_GBK" w:hAnsi="方正仿宋_GBK" w:eastAsia="方正仿宋_GBK" w:cs="方正仿宋_GBK"/>
                <w:sz w:val="28"/>
                <w:szCs w:val="28"/>
              </w:rPr>
            </w:r>
            <w:r/>
          </w:p>
        </w:tc>
      </w:tr>
    </w:tbl>
    <w:p>
      <w:pPr>
        <w:pStyle w:val="677"/>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w:t>
      </w:r>
      <w:r>
        <w:rPr>
          <w:rFonts w:hint="eastAsia" w:ascii="方正仿宋_GBK" w:hAnsi="方正仿宋_GBK" w:eastAsia="方正仿宋_GBK" w:cs="方正仿宋_GBK"/>
          <w:sz w:val="28"/>
          <w:szCs w:val="28"/>
        </w:rPr>
        <w:t xml:space="preserve">需求（简介）：对江苏省基本单位名录库管理系统升级改造，在现有名录库管理系统、部门信息管理子系统、一套表单位管理子系统基础上拓展“服务业单位监测子系统”。整合多源数据，建立全省服务业单位基础库，实现数据“一数一源、动态更新”；构建服务业单位核实和监测工作体系，实现全流程动态管理，基于多维度数据，构建企业标签管理体系，实现服务业单位精准画像；提供多维度、自定义数据查询、交叉汇总、统计分析等功能，支持各地各部门开展服务业单位监测分析；提供技术支持、数据备份、安全保障、业务培训等服务。（详细内容见本磋商文件第四章）</w:t>
      </w:r>
      <w:r>
        <w:rPr>
          <w:rFonts w:ascii="宋体" w:hAnsi="宋体"/>
          <w:sz w:val="28"/>
          <w:szCs w:val="28"/>
          <w:u w:val="single"/>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6.合同履行期限：自合同签订之日起的3个月内完成全部项目建设内容，并通过采购人组织的合同验收，正式交付使用。</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3" w:name="_Toc35393791"/>
      <w:r/>
      <w:bookmarkStart w:id="14" w:name="_Toc28359003"/>
      <w:r/>
      <w:bookmarkStart w:id="15" w:name="_Toc28359080"/>
      <w:r/>
      <w:bookmarkStart w:id="16" w:name="_Toc35393622"/>
      <w:r/>
      <w:bookmarkStart w:id="17" w:name="_Toc38985264"/>
      <w:r>
        <w:rPr>
          <w:rFonts w:hint="eastAsia" w:ascii="方正黑体_GBK" w:hAnsi="方正黑体_GBK" w:eastAsia="方正黑体_GBK" w:cs="方正黑体_GBK"/>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sz w:val="28"/>
          <w:szCs w:val="28"/>
        </w:rPr>
      </w:r>
      <w:r/>
    </w:p>
    <w:p>
      <w:pPr>
        <w:pStyle w:val="677"/>
        <w:ind w:firstLine="560"/>
        <w:spacing w:line="400" w:lineRule="exact"/>
        <w:rPr>
          <w:rFonts w:hint="eastAsia" w:ascii="方正楷体_GBK" w:hAnsi="方正楷体_GBK" w:eastAsia="方正楷体_GBK" w:cs="方正楷体_GBK"/>
          <w:sz w:val="28"/>
          <w:szCs w:val="28"/>
        </w:rPr>
      </w:pPr>
      <w:r/>
      <w:bookmarkStart w:id="18" w:name="_Toc38985265"/>
      <w:r/>
      <w:bookmarkStart w:id="19" w:name="_Toc35393623"/>
      <w:r/>
      <w:bookmarkStart w:id="20" w:name="_Toc28359004"/>
      <w:r/>
      <w:bookmarkStart w:id="21" w:name="_Toc35393792"/>
      <w:r/>
      <w:bookmarkStart w:id="22"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3.落实政府采购政策需满足的资格要求：本项目采购包</w:t>
      </w:r>
      <w:r>
        <w:rPr>
          <w:rFonts w:hint="eastAsia" w:ascii="Times New Roman" w:hAnsi="Times New Roman" w:eastAsia="方正黑体_GBK"/>
          <w:sz w:val="28"/>
          <w:szCs w:val="28"/>
        </w:rPr>
        <w:t xml:space="preserve">1</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7"/>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tc>
      </w:tr>
    </w:tbl>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8"/>
      <w:r/>
      <w:bookmarkEnd w:id="19"/>
      <w:r/>
      <w:bookmarkEnd w:id="20"/>
      <w:r/>
      <w:bookmarkEnd w:id="21"/>
      <w:r/>
      <w:bookmarkEnd w:id="22"/>
      <w:r/>
      <w:bookmarkStart w:id="23" w:name="_Toc28359005"/>
      <w:r/>
      <w:bookmarkStart w:id="24" w:name="_Toc28359082"/>
      <w:r/>
      <w:bookmarkStart w:id="25" w:name="_Toc38985266"/>
      <w:r/>
      <w:bookmarkStart w:id="26" w:name="_Toc35393624"/>
      <w:r/>
      <w:bookmarkStart w:id="27" w:name="_Toc35393793"/>
      <w:r>
        <w:rPr>
          <w:rFonts w:hint="eastAsia" w:ascii="方正黑体_GBK" w:hAnsi="方正黑体_GBK" w:eastAsia="方正黑体_GBK" w:cs="方正黑体_GBK"/>
          <w:sz w:val="28"/>
          <w:szCs w:val="28"/>
        </w:rPr>
        <w:t xml:space="preserve">四、提交</w:t>
      </w:r>
      <w:bookmarkEnd w:id="23"/>
      <w:r/>
      <w:bookmarkEnd w:id="24"/>
      <w:r>
        <w:rPr>
          <w:rFonts w:hint="eastAsia" w:ascii="方正黑体_GBK" w:hAnsi="方正黑体_GBK" w:eastAsia="方正黑体_GBK" w:cs="方正黑体_GBK"/>
          <w:sz w:val="28"/>
          <w:szCs w:val="28"/>
        </w:rPr>
        <w:t xml:space="preserve">响应文件截止时间</w:t>
      </w:r>
      <w:bookmarkEnd w:id="25"/>
      <w:r/>
      <w:bookmarkEnd w:id="26"/>
      <w:r/>
      <w:bookmarkEnd w:id="27"/>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677"/>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7</w:t>
      </w:r>
      <w:r>
        <w:rPr>
          <w:rFonts w:hint="eastAsia" w:ascii="方正仿宋_GBK" w:hAnsi="方正仿宋_GBK" w:eastAsia="方正仿宋_GBK" w:cs="方正仿宋_GBK"/>
          <w:bCs/>
          <w:sz w:val="28"/>
          <w:szCs w:val="28"/>
        </w:rPr>
        <w:t xml:space="preserve">月</w:t>
      </w:r>
      <w:r>
        <w:rPr>
          <w:rFonts w:hint="eastAsia" w:ascii="Times New Roman" w:hAnsi="Times New Roman" w:eastAsia="方正黑体_GBK"/>
          <w:sz w:val="28"/>
          <w:szCs w:val="28"/>
        </w:rPr>
        <w:t xml:space="preserve">29</w:t>
      </w:r>
      <w:r>
        <w:rPr>
          <w:rFonts w:hint="eastAsia" w:ascii="方正仿宋_GBK" w:hAnsi="方正仿宋_GBK" w:eastAsia="方正仿宋_GBK" w:cs="方正仿宋_GBK"/>
          <w:bCs/>
          <w:sz w:val="28"/>
          <w:szCs w:val="28"/>
        </w:rPr>
        <w:t xml:space="preserve">日9时</w:t>
      </w:r>
      <w:r>
        <w:rPr>
          <w:rFonts w:hint="eastAsia" w:ascii="Times New Roman" w:hAnsi="Times New Roman" w:eastAsia="方正黑体_GBK"/>
          <w:sz w:val="28"/>
          <w:szCs w:val="28"/>
        </w:rPr>
        <w:t xml:space="preserve">30</w:t>
      </w:r>
      <w:r>
        <w:rPr>
          <w:rFonts w:hint="eastAsia" w:ascii="方正仿宋_GBK" w:hAnsi="方正仿宋_GBK" w:eastAsia="方正仿宋_GBK" w:cs="方正仿宋_GBK"/>
          <w:bCs/>
          <w:sz w:val="28"/>
          <w:szCs w:val="28"/>
        </w:rPr>
        <w:t xml:space="preserve">分（北京时间）。</w:t>
      </w:r>
      <w:r>
        <w:rPr>
          <w:rFonts w:ascii="宋体" w:hAnsi="宋体" w:cs="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8" w:name="_Toc38985267"/>
      <w:r/>
      <w:bookmarkStart w:id="29" w:name="_Toc35393794"/>
      <w:r/>
      <w:bookmarkStart w:id="30" w:name="_Toc28359007"/>
      <w:r/>
      <w:bookmarkStart w:id="31" w:name="_Toc35393625"/>
      <w:r/>
      <w:bookmarkStart w:id="32" w:name="_Toc28359084"/>
      <w:r>
        <w:rPr>
          <w:rFonts w:hint="eastAsia" w:ascii="方正黑体_GBK" w:hAnsi="方正黑体_GBK" w:eastAsia="方正黑体_GBK" w:cs="方正黑体_GBK"/>
          <w:sz w:val="28"/>
          <w:szCs w:val="28"/>
        </w:rPr>
        <w:t xml:space="preserve">五、公告期限</w:t>
      </w:r>
      <w:bookmarkEnd w:id="28"/>
      <w:r/>
      <w:bookmarkEnd w:id="29"/>
      <w:r/>
      <w:bookmarkEnd w:id="30"/>
      <w:r/>
      <w:bookmarkEnd w:id="31"/>
      <w:r/>
      <w:bookmarkEnd w:id="32"/>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8985268"/>
      <w:r/>
      <w:bookmarkStart w:id="34" w:name="_Toc35393795"/>
      <w:r/>
      <w:bookmarkStart w:id="35" w:name="_Toc35393626"/>
      <w:r>
        <w:rPr>
          <w:rFonts w:hint="eastAsia" w:ascii="方正黑体_GBK" w:hAnsi="方正黑体_GBK" w:eastAsia="方正黑体_GBK" w:cs="方正黑体_GBK"/>
          <w:sz w:val="28"/>
          <w:szCs w:val="28"/>
        </w:rPr>
        <w:t xml:space="preserve">六、其他补充事宜</w:t>
      </w:r>
      <w:bookmarkEnd w:id="33"/>
      <w:r/>
      <w:bookmarkEnd w:id="34"/>
      <w:r/>
      <w:bookmarkEnd w:id="35"/>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6" w:name="_Toc38985269"/>
      <w:r/>
      <w:bookmarkStart w:id="37" w:name="_Toc35393796"/>
      <w:r/>
      <w:bookmarkStart w:id="38" w:name="_Toc35393627"/>
      <w:r/>
      <w:bookmarkStart w:id="39" w:name="_Toc28359008"/>
      <w:r/>
      <w:bookmarkStart w:id="40" w:name="_Toc28359085"/>
      <w:r>
        <w:rPr>
          <w:rFonts w:hint="eastAsia" w:ascii="方正黑体_GBK" w:hAnsi="方正黑体_GBK" w:eastAsia="方正黑体_GBK" w:cs="方正黑体_GBK"/>
          <w:sz w:val="28"/>
          <w:szCs w:val="28"/>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sz w:val="28"/>
          <w:szCs w:val="28"/>
        </w:rPr>
      </w:r>
      <w:r/>
    </w:p>
    <w:p>
      <w:pPr>
        <w:pStyle w:val="677"/>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1" w:name="_Toc28359010"/>
      <w:r/>
      <w:bookmarkStart w:id="42"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江苏省统计局</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南京市汉中门大街145号　</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邱健                    </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025-83590725　　　　</w:t>
      </w:r>
      <w:bookmarkStart w:id="43" w:name="_Toc28359009"/>
      <w:r/>
      <w:bookmarkStart w:id="44" w:name="_Toc28359086"/>
      <w:r>
        <w:rPr>
          <w:rFonts w:hint="eastAsia" w:ascii="方正仿宋_GBK" w:hAnsi="方正仿宋_GBK" w:eastAsia="方正仿宋_GBK" w:cs="方正仿宋_GBK"/>
          <w:sz w:val="28"/>
          <w:szCs w:val="28"/>
          <w:u w:val="single"/>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3"/>
      <w:r/>
      <w:bookmarkEnd w:id="44"/>
      <w:r>
        <w:rPr>
          <w:rFonts w:hint="eastAsia" w:ascii="方正仿宋_GBK" w:hAnsi="方正仿宋_GBK" w:eastAsia="方正仿宋_GBK" w:cs="方正仿宋_GBK"/>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2"/>
      </w:pPr>
      <w:r/>
      <w:bookmarkEnd w:id="41"/>
      <w:r/>
      <w:bookmarkEnd w:id="42"/>
      <w:r>
        <w:rPr>
          <w:rFonts w:hint="eastAsia" w:ascii="方正仿宋_GBK" w:hAnsi="方正仿宋_GBK" w:eastAsia="方正仿宋_GBK" w:cs="方正仿宋_GBK"/>
          <w:sz w:val="28"/>
          <w:szCs w:val="28"/>
        </w:rPr>
        <w:t xml:space="preserve">地　　址：南京市汉中门大街145号</w:t>
      </w:r>
      <w:r>
        <w:rPr>
          <w:rFonts w:hint="eastAsia" w:ascii="方正仿宋_GBK" w:hAnsi="方正仿宋_GBK" w:eastAsia="方正仿宋_GBK" w:cs="方正仿宋_GBK"/>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联 系 人：苏俊、许滢</w:t>
      </w:r>
      <w:r>
        <w:rPr>
          <w:rFonts w:hint="eastAsia" w:ascii="方正仿宋_GBK" w:hAnsi="方正仿宋_GBK" w:eastAsia="方正仿宋_GBK" w:cs="方正仿宋_GBK"/>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2"/>
      </w:pPr>
      <w:r>
        <w:rPr>
          <w:rFonts w:hint="eastAsia" w:ascii="方正仿宋_GBK" w:hAnsi="方正仿宋_GBK" w:eastAsia="方正仿宋_GBK" w:cs="方正仿宋_GBK"/>
          <w:sz w:val="28"/>
          <w:szCs w:val="28"/>
        </w:rPr>
        <w:t xml:space="preserve">联系方式：025-83668518</w:t>
      </w:r>
      <w:r>
        <w:rPr>
          <w:rFonts w:hint="eastAsia" w:ascii="方正仿宋_GBK" w:hAnsi="方正仿宋_GBK" w:eastAsia="方正仿宋_GBK" w:cs="方正仿宋_GBK"/>
          <w:sz w:val="28"/>
          <w:szCs w:val="28"/>
        </w:rPr>
      </w:r>
      <w:r/>
    </w:p>
    <w:p>
      <w:pPr>
        <w:pStyle w:val="677"/>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ind w:right="840"/>
        <w:rPr>
          <w:rFonts w:hint="eastAsia" w:ascii="宋体" w:hAnsi="宋体"/>
          <w:sz w:val="24"/>
          <w:szCs w:val="24"/>
        </w:rPr>
      </w:pPr>
      <w:r>
        <w:rPr>
          <w:rFonts w:hint="eastAsia" w:ascii="宋体" w:hAnsi="宋体"/>
          <w:sz w:val="24"/>
          <w:szCs w:val="24"/>
        </w:rPr>
      </w:r>
      <w:r/>
    </w:p>
    <w:p>
      <w:pPr>
        <w:pStyle w:val="677"/>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5" w:name="_Toc120614211"/>
      <w:r/>
      <w:bookmarkStart w:id="46" w:name="_Toc20823275"/>
      <w:r/>
      <w:bookmarkStart w:id="47" w:name="_Toc513029203"/>
      <w:r/>
      <w:bookmarkStart w:id="48" w:name="_Toc120614214"/>
      <w:r/>
      <w:bookmarkStart w:id="49" w:name="_Toc16938519"/>
      <w:r>
        <w:rPr>
          <w:rFonts w:hint="eastAsia"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第二章  </w:t>
      </w:r>
      <w:bookmarkEnd w:id="45"/>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6"/>
      <w:r/>
      <w:bookmarkEnd w:id="47"/>
      <w:r/>
      <w:bookmarkEnd w:id="48"/>
      <w:r/>
      <w:bookmarkEnd w:id="49"/>
      <w:r/>
      <w:bookmarkStart w:id="50" w:name="_Toc20823281"/>
      <w:r/>
      <w:bookmarkStart w:id="51" w:name="_Toc513029209"/>
      <w:r/>
      <w:bookmarkStart w:id="52" w:name="_Toc120614215"/>
      <w:r/>
      <w:bookmarkStart w:id="53" w:name="_Toc1693852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20823276"/>
      <w:r/>
      <w:bookmarkStart w:id="57" w:name="_Toc16938520"/>
      <w:r/>
      <w:bookmarkStart w:id="58" w:name="_Toc513029204"/>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rPr>
        <w:t xml:space="preserve">.采购方式</w:t>
      </w:r>
      <w:bookmarkEnd w:id="56"/>
      <w:r/>
      <w:bookmarkEnd w:id="57"/>
      <w:r/>
      <w:bookmarkEnd w:id="58"/>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59" w:name="_Toc20823277"/>
      <w:r/>
      <w:bookmarkStart w:id="60" w:name="_Toc513029205"/>
      <w:r/>
      <w:bookmarkStart w:id="61" w:name="_Toc16938521"/>
      <w:r>
        <w:rPr>
          <w:rFonts w:hint="eastAsia" w:ascii="方正仿宋_GBK" w:hAnsi="方正仿宋_GBK" w:eastAsia="方正仿宋_GBK" w:cs="方正仿宋_GBK"/>
          <w:bCs/>
          <w:sz w:val="28"/>
          <w:szCs w:val="28"/>
        </w:rPr>
        <w:t xml:space="preserve">2.合格的</w:t>
      </w:r>
      <w:bookmarkEnd w:id="59"/>
      <w:r/>
      <w:bookmarkEnd w:id="60"/>
      <w:r/>
      <w:bookmarkEnd w:id="61"/>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62" w:name="_Toc20823278"/>
      <w:r/>
      <w:bookmarkStart w:id="63" w:name="_Toc513029206"/>
      <w:r/>
      <w:bookmarkStart w:id="64" w:name="_Toc16938522"/>
      <w:r/>
      <w:bookmarkStart w:id="65" w:name="_Toc513029207"/>
      <w:r/>
      <w:bookmarkStart w:id="66" w:name="_Toc462564067"/>
      <w:r/>
      <w:bookmarkStart w:id="67" w:name="_Toc16938523"/>
      <w:r/>
      <w:bookmarkStart w:id="68" w:name="_Toc20823279"/>
      <w:r>
        <w:rPr>
          <w:rFonts w:hint="eastAsia" w:ascii="方正仿宋_GBK" w:hAnsi="方正仿宋_GBK" w:eastAsia="方正仿宋_GBK" w:cs="方正仿宋_GBK"/>
          <w:bCs/>
          <w:sz w:val="28"/>
          <w:szCs w:val="28"/>
        </w:rPr>
        <w:t xml:space="preserve">3.适用法律</w:t>
      </w:r>
      <w:bookmarkEnd w:id="62"/>
      <w:r/>
      <w:bookmarkEnd w:id="63"/>
      <w:r/>
      <w:bookmarkEnd w:id="64"/>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5"/>
      <w:r/>
      <w:bookmarkEnd w:id="66"/>
      <w:r/>
      <w:bookmarkEnd w:id="67"/>
      <w:r/>
      <w:bookmarkEnd w:id="68"/>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0"/>
      <w:r/>
      <w:bookmarkEnd w:id="51"/>
      <w:r/>
      <w:bookmarkEnd w:id="52"/>
      <w:r/>
      <w:bookmarkEnd w:id="53"/>
      <w:r/>
      <w:bookmarkStart w:id="69" w:name="_Toc513029213"/>
      <w:r/>
      <w:bookmarkStart w:id="70" w:name="_Toc20823285"/>
      <w:r/>
      <w:bookmarkStart w:id="71" w:name="_Toc16938529"/>
      <w:r/>
      <w:bookmarkStart w:id="72" w:name="_Toc462564072"/>
      <w:r/>
      <w:bookmarkStart w:id="73" w:name="_Toc120614216"/>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4" w:name="_Toc20823282"/>
      <w:r/>
      <w:bookmarkStart w:id="75" w:name="_Toc16938526"/>
      <w:r/>
      <w:bookmarkStart w:id="76" w:name="_Toc513029210"/>
      <w:r>
        <w:rPr>
          <w:rFonts w:hint="eastAsia" w:ascii="方正仿宋_GBK" w:hAnsi="方正仿宋_GBK" w:eastAsia="方正仿宋_GBK" w:cs="方正仿宋_GBK"/>
          <w:bCs/>
          <w:sz w:val="28"/>
          <w:szCs w:val="28"/>
        </w:rPr>
        <w:t xml:space="preserve">6.磋商文件构成</w:t>
      </w:r>
      <w:bookmarkEnd w:id="74"/>
      <w:r/>
      <w:bookmarkEnd w:id="75"/>
      <w:r/>
      <w:bookmarkEnd w:id="76"/>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77" w:name="_Toc513029212"/>
      <w:r/>
      <w:bookmarkStart w:id="78" w:name="_Toc462564071"/>
      <w:r/>
      <w:bookmarkStart w:id="79" w:name="_Toc16938528"/>
      <w:r/>
      <w:bookmarkStart w:id="80" w:name="_Toc20823284"/>
      <w:r>
        <w:rPr>
          <w:rFonts w:hint="eastAsia" w:ascii="方正仿宋_GBK" w:hAnsi="方正仿宋_GBK" w:eastAsia="方正仿宋_GBK" w:cs="方正仿宋_GBK"/>
          <w:bCs/>
          <w:sz w:val="28"/>
          <w:szCs w:val="28"/>
        </w:rPr>
        <w:t xml:space="preserve">7.磋商文件的澄清和修改</w:t>
      </w:r>
      <w:bookmarkEnd w:id="77"/>
      <w:r/>
      <w:bookmarkEnd w:id="78"/>
      <w:r/>
      <w:bookmarkEnd w:id="79"/>
      <w:r/>
      <w:bookmarkEnd w:id="80"/>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9"/>
      <w:r/>
      <w:bookmarkEnd w:id="70"/>
      <w:r/>
      <w:bookmarkEnd w:id="71"/>
      <w:r/>
      <w:bookmarkEnd w:id="72"/>
      <w:r/>
      <w:bookmarkEnd w:id="73"/>
      <w:r/>
      <w:bookmarkStart w:id="81" w:name="_Hlt26954739"/>
      <w:r/>
      <w:bookmarkEnd w:id="81"/>
      <w:r/>
      <w:bookmarkStart w:id="82" w:name="_Hlt26954852"/>
      <w:r/>
      <w:bookmarkEnd w:id="82"/>
      <w:r/>
      <w:bookmarkStart w:id="83" w:name="_Toc462564073"/>
      <w:r/>
      <w:bookmarkStart w:id="84" w:name="_Toc16938530"/>
      <w:r/>
      <w:bookmarkStart w:id="85" w:name="_Toc513029214"/>
      <w:r/>
      <w:bookmarkStart w:id="86" w:name="_Toc20823286"/>
      <w:r/>
      <w:bookmarkStart w:id="87" w:name="_Toc513029224"/>
      <w:r/>
      <w:bookmarkStart w:id="88" w:name="_Toc20823296"/>
      <w:r/>
      <w:bookmarkStart w:id="89" w:name="_Toc16938540"/>
      <w:r/>
      <w:bookmarkStart w:id="90" w:name="_Toc120614217"/>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3"/>
      <w:r/>
      <w:bookmarkEnd w:id="84"/>
      <w:r/>
      <w:bookmarkEnd w:id="85"/>
      <w:r/>
      <w:bookmarkEnd w:id="86"/>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1" w:name="_Toc20823287"/>
      <w:r/>
      <w:bookmarkStart w:id="92" w:name="_Toc462564074"/>
      <w:r/>
      <w:bookmarkStart w:id="93" w:name="_Toc513029215"/>
      <w:r/>
      <w:bookmarkStart w:id="94" w:name="_Toc16938531"/>
      <w:r>
        <w:rPr>
          <w:rFonts w:hint="eastAsia" w:ascii="方正仿宋_GBK" w:hAnsi="方正仿宋_GBK" w:eastAsia="方正仿宋_GBK" w:cs="方正仿宋_GBK"/>
          <w:bCs/>
          <w:sz w:val="28"/>
          <w:szCs w:val="28"/>
        </w:rPr>
        <w:t xml:space="preserve">9.响应文件构成</w:t>
      </w:r>
      <w:bookmarkEnd w:id="91"/>
      <w:r/>
      <w:bookmarkEnd w:id="92"/>
      <w:r/>
      <w:bookmarkEnd w:id="93"/>
      <w:r/>
      <w:bookmarkEnd w:id="94"/>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95" w:name="_Toc14577357"/>
      <w:r/>
      <w:bookmarkStart w:id="96" w:name="_Toc49090509"/>
      <w:r/>
      <w:bookmarkStart w:id="97" w:name="_Toc14577354"/>
      <w:r/>
      <w:bookmarkStart w:id="98" w:name="_Toc49090507"/>
      <w:r/>
      <w:bookmarkStart w:id="99" w:name="_Toc513029216"/>
      <w:r/>
      <w:bookmarkStart w:id="100" w:name="_Toc49090508"/>
      <w:r/>
      <w:bookmarkStart w:id="101" w:name="_Toc14577355"/>
      <w:r/>
      <w:bookmarkStart w:id="102" w:name="_Hlt26670360"/>
      <w:r/>
      <w:bookmarkEnd w:id="102"/>
      <w:r/>
      <w:bookmarkStart w:id="103" w:name="_Hlt26954838"/>
      <w:r/>
      <w:bookmarkEnd w:id="103"/>
      <w:r/>
      <w:bookmarkStart w:id="104" w:name="_Hlt26668975"/>
      <w:r/>
      <w:bookmarkEnd w:id="104"/>
      <w:r/>
      <w:bookmarkStart w:id="105" w:name="_Toc513029219"/>
      <w:r>
        <w:rPr>
          <w:rFonts w:hint="eastAsia" w:ascii="方正仿宋_GBK" w:hAnsi="方正仿宋_GBK" w:eastAsia="方正仿宋_GBK" w:cs="方正仿宋_GBK"/>
          <w:bCs/>
          <w:sz w:val="28"/>
          <w:szCs w:val="28"/>
        </w:rPr>
        <w:t xml:space="preserve">10.证明磋商响应标的符合磋商文件规定的文件</w:t>
      </w:r>
      <w:bookmarkEnd w:id="95"/>
      <w:r/>
      <w:bookmarkEnd w:id="96"/>
      <w:r/>
      <w:bookmarkEnd w:id="105"/>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97"/>
      <w:r/>
      <w:bookmarkEnd w:id="98"/>
      <w:r/>
      <w:bookmarkEnd w:id="99"/>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00"/>
      <w:r/>
      <w:bookmarkEnd w:id="101"/>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954731"/>
      <w:r/>
      <w:bookmarkEnd w:id="106"/>
      <w:r/>
      <w:bookmarkStart w:id="107" w:name="_Hlt26670486"/>
      <w:r/>
      <w:bookmarkEnd w:id="107"/>
      <w:r/>
      <w:bookmarkStart w:id="108" w:name="_Hlt26954846"/>
      <w:r/>
      <w:bookmarkEnd w:id="108"/>
      <w:r/>
      <w:bookmarkStart w:id="109" w:name="_Hlt26670482"/>
      <w:r/>
      <w:bookmarkEnd w:id="109"/>
      <w:r/>
      <w:bookmarkStart w:id="110" w:name="_Hlt26954848"/>
      <w:r/>
      <w:bookmarkEnd w:id="110"/>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1" w:name="_Toc14577359"/>
      <w:r/>
      <w:bookmarkStart w:id="112"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11"/>
      <w:r/>
      <w:bookmarkEnd w:id="112"/>
      <w:r/>
      <w:bookmarkStart w:id="113" w:name="_Toc49090511"/>
      <w:r/>
      <w:bookmarkStart w:id="114" w:name="_Toc14577360"/>
      <w:r>
        <w:rPr>
          <w:rFonts w:hint="eastAsia" w:ascii="方正仿宋_GBK" w:hAnsi="方正仿宋_GBK" w:eastAsia="方正仿宋_GBK" w:cs="方正仿宋_GBK"/>
          <w:bCs/>
          <w:sz w:val="28"/>
          <w:szCs w:val="28"/>
        </w:rPr>
        <w:t xml:space="preserve">15.磋商有效期</w:t>
      </w:r>
      <w:bookmarkEnd w:id="113"/>
      <w:r/>
      <w:bookmarkEnd w:id="114"/>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7"/>
      <w:r/>
      <w:bookmarkEnd w:id="88"/>
      <w:r/>
      <w:bookmarkEnd w:id="89"/>
      <w:r/>
      <w:bookmarkEnd w:id="90"/>
      <w:r/>
      <w:bookmarkStart w:id="115" w:name="_Toc16938545"/>
      <w:r/>
      <w:bookmarkStart w:id="116" w:name="_Toc513029229"/>
      <w:r/>
      <w:bookmarkStart w:id="117" w:name="_Toc20823301"/>
      <w:r/>
      <w:bookmarkStart w:id="118" w:name="_Toc120614218"/>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Toc513029225"/>
      <w:r/>
      <w:bookmarkStart w:id="120" w:name="_Toc20823297"/>
      <w:r/>
      <w:bookmarkStart w:id="121" w:name="_Toc16938541"/>
      <w:r/>
      <w:bookmarkStart w:id="122" w:name="_Toc462564084"/>
      <w:r>
        <w:rPr>
          <w:rFonts w:hint="eastAsia" w:ascii="方正仿宋_GBK" w:hAnsi="方正仿宋_GBK" w:eastAsia="方正仿宋_GBK" w:cs="方正仿宋_GBK"/>
          <w:bCs/>
          <w:sz w:val="28"/>
          <w:szCs w:val="28"/>
        </w:rPr>
        <w:t xml:space="preserve">17.电子磋商</w:t>
      </w:r>
      <w:bookmarkEnd w:id="119"/>
      <w:r/>
      <w:bookmarkEnd w:id="120"/>
      <w:r/>
      <w:bookmarkEnd w:id="121"/>
      <w:r/>
      <w:bookmarkEnd w:id="122"/>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3" w:name="_Toc16938542"/>
      <w:r/>
      <w:bookmarkStart w:id="124" w:name="_Toc20823298"/>
      <w:r/>
      <w:bookmarkStart w:id="125" w:name="_Toc513029226"/>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3"/>
      <w:r/>
      <w:bookmarkEnd w:id="124"/>
      <w:r/>
      <w:bookmarkEnd w:id="125"/>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20823299"/>
      <w:r/>
      <w:bookmarkStart w:id="127" w:name="_Toc16938543"/>
      <w:r/>
      <w:bookmarkStart w:id="128" w:name="_Toc513029227"/>
      <w:r>
        <w:rPr>
          <w:rFonts w:hint="eastAsia" w:ascii="方正仿宋_GBK" w:hAnsi="方正仿宋_GBK" w:eastAsia="方正仿宋_GBK" w:cs="方正仿宋_GBK"/>
          <w:bCs/>
          <w:sz w:val="28"/>
          <w:szCs w:val="28"/>
        </w:rPr>
        <w:t xml:space="preserve">19.响应文件</w:t>
      </w:r>
      <w:bookmarkEnd w:id="126"/>
      <w:r/>
      <w:bookmarkEnd w:id="127"/>
      <w:r/>
      <w:bookmarkEnd w:id="128"/>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9" w:name="_Toc16938544"/>
      <w:r/>
      <w:bookmarkStart w:id="130" w:name="_Toc513029228"/>
      <w:r/>
      <w:bookmarkStart w:id="131" w:name="_Toc20823300"/>
      <w:r>
        <w:rPr>
          <w:rFonts w:hint="eastAsia" w:ascii="方正仿宋_GBK" w:hAnsi="方正仿宋_GBK" w:eastAsia="方正仿宋_GBK" w:cs="方正仿宋_GBK"/>
          <w:bCs/>
          <w:sz w:val="28"/>
          <w:szCs w:val="28"/>
        </w:rPr>
        <w:t xml:space="preserve">20.响应文件的撤回和修改</w:t>
      </w:r>
      <w:bookmarkEnd w:id="129"/>
      <w:r/>
      <w:bookmarkEnd w:id="130"/>
      <w:r/>
      <w:bookmarkEnd w:id="131"/>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5"/>
      <w:r/>
      <w:bookmarkEnd w:id="116"/>
      <w:r/>
      <w:bookmarkEnd w:id="117"/>
      <w:r/>
      <w:bookmarkEnd w:id="118"/>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2" w:name="_Toc513029230"/>
      <w:r/>
      <w:bookmarkStart w:id="133" w:name="_Toc20823302"/>
      <w:r/>
      <w:bookmarkStart w:id="134" w:name="_Toc16938546"/>
      <w:r/>
      <w:bookmarkStart w:id="135" w:name="_Toc20823304"/>
      <w:r/>
      <w:bookmarkStart w:id="136" w:name="_Toc513029232"/>
      <w:r/>
      <w:bookmarkStart w:id="137" w:name="_Toc16938548"/>
      <w:r>
        <w:rPr>
          <w:rFonts w:hint="eastAsia" w:ascii="方正仿宋_GBK" w:hAnsi="方正仿宋_GBK" w:eastAsia="方正仿宋_GBK" w:cs="方正仿宋_GBK"/>
          <w:bCs/>
          <w:sz w:val="28"/>
          <w:szCs w:val="28"/>
        </w:rPr>
        <w:t xml:space="preserve">21</w:t>
      </w:r>
      <w:bookmarkEnd w:id="132"/>
      <w:r/>
      <w:bookmarkEnd w:id="133"/>
      <w:r/>
      <w:bookmarkEnd w:id="134"/>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8" w:name="_Toc16938547"/>
      <w:r/>
      <w:bookmarkStart w:id="139" w:name="_Toc513029231"/>
      <w:r/>
      <w:bookmarkStart w:id="140"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38"/>
      <w:r/>
      <w:bookmarkEnd w:id="139"/>
      <w:r/>
      <w:bookmarkEnd w:id="140"/>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35"/>
      <w:r/>
      <w:bookmarkEnd w:id="136"/>
      <w:r/>
      <w:bookmarkEnd w:id="137"/>
      <w:r/>
      <w:bookmarkStart w:id="141" w:name="_Toc20823305"/>
      <w:r/>
      <w:bookmarkStart w:id="142" w:name="_Toc513029233"/>
      <w:r/>
      <w:bookmarkStart w:id="143" w:name="_Toc16938549"/>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1"/>
      <w:r/>
      <w:bookmarkEnd w:id="142"/>
      <w:r/>
      <w:bookmarkEnd w:id="143"/>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bookmarkStart w:id="144" w:name="_Toc513029234"/>
      <w:r/>
      <w:bookmarkStart w:id="145" w:name="_Toc20823306"/>
      <w:r/>
      <w:bookmarkStart w:id="146"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77"/>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4"/>
      <w:r/>
      <w:bookmarkEnd w:id="145"/>
      <w:r/>
      <w:bookmarkEnd w:id="146"/>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7" w:name="_Toc20823307"/>
      <w:r/>
      <w:bookmarkStart w:id="148" w:name="_Toc16938551"/>
      <w:r/>
      <w:bookmarkStart w:id="149" w:name="_Toc120614219"/>
      <w:r/>
      <w:bookmarkStart w:id="150" w:name="_Toc513029235"/>
      <w:r>
        <w:rPr>
          <w:rFonts w:hint="eastAsia" w:ascii="方正黑体_GBK" w:hAnsi="方正黑体_GBK" w:eastAsia="方正黑体_GBK" w:cs="方正黑体_GBK"/>
          <w:sz w:val="28"/>
          <w:szCs w:val="28"/>
        </w:rPr>
        <w:t xml:space="preserve">六、</w:t>
      </w:r>
      <w:bookmarkEnd w:id="147"/>
      <w:r/>
      <w:bookmarkEnd w:id="148"/>
      <w:r/>
      <w:bookmarkEnd w:id="149"/>
      <w:r/>
      <w:bookmarkEnd w:id="150"/>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1" w:name="_Toc513029238"/>
      <w:r/>
      <w:bookmarkStart w:id="152" w:name="_Toc16938554"/>
      <w:r/>
      <w:bookmarkStart w:id="153" w:name="_Toc20823310"/>
      <w:r>
        <w:rPr>
          <w:rFonts w:hint="eastAsia" w:ascii="方正仿宋_GBK" w:hAnsi="方正仿宋_GBK" w:eastAsia="方正仿宋_GBK" w:cs="方正仿宋_GBK"/>
          <w:sz w:val="28"/>
          <w:szCs w:val="28"/>
        </w:rPr>
        <w:t xml:space="preserve">27</w:t>
      </w:r>
      <w:bookmarkEnd w:id="151"/>
      <w:r>
        <w:rPr>
          <w:rFonts w:hint="eastAsia" w:ascii="方正仿宋_GBK" w:hAnsi="方正仿宋_GBK" w:eastAsia="方正仿宋_GBK" w:cs="方正仿宋_GBK"/>
          <w:sz w:val="28"/>
          <w:szCs w:val="28"/>
        </w:rPr>
        <w:t xml:space="preserve">.确定</w:t>
      </w:r>
      <w:bookmarkEnd w:id="152"/>
      <w:r/>
      <w:bookmarkEnd w:id="153"/>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77"/>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77"/>
        <w:ind w:firstLine="560"/>
        <w:keepLines/>
        <w:keepNext/>
        <w:spacing w:line="400" w:lineRule="exact"/>
        <w:rPr>
          <w:rFonts w:hint="eastAsia" w:ascii="方正仿宋_GBK" w:hAnsi="方正仿宋_GBK" w:eastAsia="方正仿宋_GBK" w:cs="方正仿宋_GBK"/>
          <w:bCs/>
          <w:sz w:val="28"/>
          <w:szCs w:val="28"/>
        </w:rPr>
        <w:outlineLvl w:val="3"/>
      </w:pPr>
      <w:r/>
      <w:bookmarkStart w:id="154" w:name="_Toc200451960"/>
      <w:r>
        <w:rPr>
          <w:rFonts w:hint="eastAsia" w:ascii="方正仿宋_GBK" w:hAnsi="方正仿宋_GBK" w:eastAsia="方正仿宋_GBK" w:cs="方正仿宋_GBK"/>
          <w:bCs/>
          <w:sz w:val="28"/>
          <w:szCs w:val="28"/>
        </w:rPr>
        <w:t xml:space="preserve">28.质疑处理</w:t>
      </w:r>
      <w:bookmarkEnd w:id="154"/>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5" w:name="_Toc16938552"/>
      <w:r/>
      <w:bookmarkStart w:id="156" w:name="_Toc513029236"/>
      <w:r/>
      <w:bookmarkStart w:id="157" w:name="_Toc120614220"/>
      <w:r/>
      <w:bookmarkStart w:id="158" w:name="_Toc20823308"/>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77"/>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5"/>
      <w:r/>
      <w:bookmarkEnd w:id="156"/>
      <w:r/>
      <w:bookmarkEnd w:id="157"/>
      <w:r/>
      <w:bookmarkEnd w:id="158"/>
      <w:r/>
      <w:bookmarkStart w:id="159" w:name="_Toc120614221"/>
      <w:r/>
      <w:bookmarkStart w:id="160" w:name="_Toc16938558"/>
      <w:r/>
      <w:bookmarkStart w:id="161" w:name="_Toc513029242"/>
      <w:r/>
      <w:bookmarkStart w:id="162" w:name="_Toc479757207"/>
      <w:r/>
      <w:bookmarkStart w:id="163" w:name="_Toc20823314"/>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4" w:name="_Toc20823309"/>
      <w:r/>
      <w:bookmarkStart w:id="165" w:name="_Toc513029237"/>
      <w:r/>
      <w:bookmarkStart w:id="166"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bookmarkEnd w:id="164"/>
      <w:r/>
      <w:bookmarkEnd w:id="165"/>
      <w:r/>
      <w:bookmarkEnd w:id="166"/>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677"/>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77"/>
        <w:rPr>
          <w:rFonts w:hint="eastAsia"/>
        </w:rPr>
      </w:pPr>
      <w:r>
        <w:rPr>
          <w:rFonts w:hint="eastAsia"/>
        </w:rPr>
      </w:r>
      <w:r/>
    </w:p>
    <w:p>
      <w:pPr>
        <w:pStyle w:val="677"/>
        <w:rPr>
          <w:rFonts w:hint="eastAsia"/>
        </w:rPr>
      </w:pPr>
      <w:r>
        <w:rPr>
          <w:rFonts w:hint="eastAsia"/>
        </w:rPr>
      </w:r>
      <w:r/>
    </w:p>
    <w:p>
      <w:pPr>
        <w:pStyle w:val="677"/>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677"/>
        <w:jc w:val="center"/>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br w:type="page" w:clear="all"/>
      </w:r>
      <w:r>
        <w:rPr>
          <w:rFonts w:hint="eastAsia" w:ascii="方正黑体_GBK" w:hAnsi="方正黑体_GBK" w:eastAsia="方正黑体_GBK" w:cs="方正黑体_GBK"/>
          <w:bCs/>
          <w:color w:val="000000"/>
          <w:sz w:val="28"/>
          <w:szCs w:val="28"/>
        </w:rPr>
        <w:t xml:space="preserve">第三章  合同</w:t>
      </w:r>
      <w:bookmarkEnd w:id="159"/>
      <w:r/>
      <w:bookmarkEnd w:id="160"/>
      <w:r/>
      <w:bookmarkEnd w:id="161"/>
      <w:r/>
      <w:bookmarkEnd w:id="162"/>
      <w:r/>
      <w:bookmarkEnd w:id="163"/>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677"/>
        <w:spacing w:line="400" w:lineRule="exact"/>
        <w:rPr>
          <w:rFonts w:ascii="宋体" w:hAnsi="宋体"/>
          <w:bCs/>
          <w:color w:val="000000"/>
          <w:sz w:val="28"/>
          <w:szCs w:val="28"/>
          <w:highlight w:val="yellow"/>
        </w:rPr>
      </w:pPr>
      <w:r/>
      <w:bookmarkStart w:id="167" w:name="_Toc513029243"/>
      <w:r/>
      <w:bookmarkStart w:id="168" w:name="_Toc20823315"/>
      <w:r/>
      <w:bookmarkStart w:id="169" w:name="_Toc16938559"/>
      <w:r>
        <w:rPr>
          <w:rFonts w:ascii="宋体" w:hAnsi="宋体"/>
          <w:bCs/>
          <w:color w:val="000000"/>
          <w:sz w:val="28"/>
          <w:szCs w:val="28"/>
          <w:highlight w:val="yellow"/>
        </w:rPr>
      </w:r>
      <w:r/>
    </w:p>
    <w:p>
      <w:pPr>
        <w:pStyle w:val="69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77"/>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sz w:val="28"/>
          <w:szCs w:val="28"/>
          <w:u w:val="single"/>
        </w:rPr>
        <w:t xml:space="preserve">10</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70</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支付时间：乙方</w:t>
      </w:r>
      <w:r>
        <w:rPr>
          <w:rFonts w:hint="eastAsia" w:ascii="方正仿宋_GBK" w:hAnsi="方正仿宋_GBK" w:eastAsia="方正仿宋_GBK" w:cs="方正仿宋_GBK"/>
          <w:sz w:val="28"/>
          <w:szCs w:val="28"/>
        </w:rPr>
        <w:t xml:space="preserve">完成全部项目建设内容并交付使用，甲方于30日内组织验收，验收合格并</w:t>
      </w:r>
      <w:r>
        <w:rPr>
          <w:rFonts w:hint="eastAsia" w:ascii="方正仿宋_GBK" w:hAnsi="方正仿宋_GBK" w:eastAsia="方正仿宋_GBK" w:cs="方正仿宋_GBK"/>
          <w:bCs/>
          <w:sz w:val="28"/>
          <w:szCs w:val="28"/>
          <w:u w:val="single"/>
        </w:rPr>
        <w:t xml:space="preserve">收到发票后10个工作日内支付尾款</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sz w:val="28"/>
          <w:szCs w:val="28"/>
          <w:u w:val="single"/>
        </w:rPr>
        <w:t xml:space="preserve">30</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10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sz w:val="28"/>
          <w:szCs w:val="28"/>
          <w:u w:val="single"/>
        </w:rPr>
        <w:t xml:space="preserve">1</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10</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1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77"/>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77"/>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77"/>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77"/>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77"/>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77"/>
        <w:ind w:firstLine="480"/>
        <w:jc w:val="right"/>
        <w:spacing w:line="500" w:lineRule="exact"/>
        <w:rPr>
          <w:rFonts w:hint="eastAsia" w:ascii="Times New Roman" w:hAnsi="Times New Roman"/>
          <w:sz w:val="24"/>
          <w:szCs w:val="24"/>
        </w:rPr>
      </w:pPr>
      <w:r>
        <w:rPr>
          <w:rFonts w:hint="eastAsia" w:ascii="Times New Roman" w:hAnsi="Times New Roman"/>
          <w:sz w:val="24"/>
          <w:szCs w:val="24"/>
        </w:rPr>
        <w:t xml:space="preserve"> </w:t>
      </w:r>
      <w:r>
        <w:rPr>
          <w:rFonts w:hint="eastAsia" w:ascii="Times New Roman" w:hAnsi="Times New Roman"/>
          <w:sz w:val="24"/>
          <w:szCs w:val="24"/>
        </w:rPr>
      </w:r>
      <w:r/>
    </w:p>
    <w:p>
      <w:pPr>
        <w:pStyle w:val="677"/>
        <w:ind w:firstLine="480"/>
        <w:jc w:val="right"/>
        <w:spacing w:line="500" w:lineRule="exact"/>
        <w:rPr>
          <w:rFonts w:ascii="Times New Roman" w:hAnsi="Times New Roman"/>
          <w:sz w:val="24"/>
          <w:szCs w:val="24"/>
        </w:rPr>
      </w:pPr>
      <w:r>
        <w:rPr>
          <w:rFonts w:ascii="Times New Roman" w:hAnsi="Times New Roman"/>
          <w:sz w:val="24"/>
          <w:szCs w:val="24"/>
        </w:rPr>
      </w:r>
      <w:r/>
    </w:p>
    <w:p>
      <w:pPr>
        <w:pStyle w:val="679"/>
        <w:spacing w:line="400" w:lineRule="exact"/>
        <w:rPr>
          <w:rFonts w:ascii="宋体" w:hAnsi="Courier New" w:cs="Courier New"/>
          <w:sz w:val="28"/>
          <w:szCs w:val="28"/>
        </w:rPr>
      </w:pPr>
      <w:r/>
      <w:bookmarkEnd w:id="167"/>
      <w:r/>
      <w:bookmarkEnd w:id="168"/>
      <w:r/>
      <w:bookmarkEnd w:id="169"/>
      <w:r/>
      <w:bookmarkStart w:id="170" w:name="_Hlt16619369"/>
      <w:r/>
      <w:bookmarkEnd w:id="170"/>
      <w:r/>
      <w:bookmarkStart w:id="171" w:name="_Toc16938590"/>
      <w:r/>
      <w:bookmarkStart w:id="172" w:name="_Toc120614244"/>
      <w:r/>
      <w:bookmarkStart w:id="173" w:name="_Toc20823346"/>
      <w:r/>
      <w:bookmarkStart w:id="174" w:name="_Hlt16619350"/>
      <w:r/>
      <w:bookmarkStart w:id="175" w:name="_Toc462564139"/>
      <w:r/>
      <w:bookmarkStart w:id="176" w:name="_Toc479757211"/>
      <w:r>
        <w:rPr>
          <w:rFonts w:ascii="黑体" w:hAnsi="Courier New" w:eastAsia="黑体" w:cs="Courier New"/>
          <w:bCs w:val="0"/>
          <w:szCs w:val="21"/>
        </w:rPr>
        <w:br w:type="page" w:clear="all"/>
      </w:r>
      <w:bookmarkEnd w:id="171"/>
      <w:r/>
      <w:bookmarkEnd w:id="172"/>
      <w:r/>
      <w:bookmarkEnd w:id="173"/>
      <w:r/>
      <w:bookmarkEnd w:id="174"/>
      <w:r/>
      <w:bookmarkStart w:id="177" w:name="_Toc26554093"/>
      <w:r/>
      <w:bookmarkStart w:id="178" w:name="_Toc49090575"/>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1007"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Times New Roman" w:hAnsi="Times New Roman" w:eastAsia="方正仿宋_GBK"/>
                <w:sz w:val="28"/>
                <w:szCs w:val="28"/>
              </w:rPr>
              <w:t xml:space="preserve">1</w:t>
            </w:r>
            <w:r>
              <w:rPr>
                <w:rFonts w:hint="eastAsia" w:ascii="方正仿宋_GBK" w:hAnsi="方正仿宋_GBK" w:eastAsia="方正仿宋_GBK" w:cs="方正仿宋_GBK"/>
                <w:sz w:val="28"/>
                <w:szCs w:val="28"/>
              </w:rPr>
            </w:r>
            <w:r/>
          </w:p>
        </w:tc>
        <w:tc>
          <w:tcPr>
            <w:tcW w:w="100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677"/>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江苏省基本单位名录库（服务业监测平台）</w:t>
            </w:r>
            <w:r>
              <w:rPr>
                <w:rFonts w:hint="eastAsia" w:ascii="方正仿宋_GBK" w:hAnsi="方正仿宋_GBK" w:eastAsia="方正仿宋_GBK" w:cs="方正仿宋_GBK"/>
                <w:sz w:val="28"/>
                <w:szCs w:val="28"/>
              </w:rPr>
            </w:r>
            <w:r/>
          </w:p>
          <w:p>
            <w:pPr>
              <w:pStyle w:val="677"/>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升级改造</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677"/>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信息技术服务</w:t>
            </w:r>
            <w:r>
              <w:rPr>
                <w:rFonts w:ascii="方正仿宋_GBK" w:hAnsi="方正仿宋_GBK" w:eastAsia="方正仿宋_GBK" w:cs="方正仿宋_GBK"/>
                <w:sz w:val="28"/>
                <w:szCs w:val="28"/>
              </w:rPr>
            </w:r>
            <w:r/>
          </w:p>
        </w:tc>
      </w:tr>
    </w:tbl>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677"/>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677"/>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p>
      <w:pPr>
        <w:pStyle w:val="740"/>
        <w:ind w:firstLine="480"/>
        <w:jc w:val="both"/>
        <w:spacing w:beforeAutospacing="0" w:afterAutospacing="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（一）、项目背景</w:t>
      </w:r>
      <w:r>
        <w:rPr>
          <w:rFonts w:hint="eastAsia" w:ascii="方正黑体_GBK" w:hAnsi="方正黑体_GBK" w:eastAsia="方正黑体_GBK" w:cs="方正黑体_GBK"/>
        </w:rPr>
      </w:r>
      <w:r/>
    </w:p>
    <w:p>
      <w:pPr>
        <w:pStyle w:val="740"/>
        <w:ind w:firstLine="480"/>
        <w:jc w:val="both"/>
        <w:spacing w:beforeAutospacing="0" w:afterAutospacing="0" w:line="360" w:lineRule="auto"/>
        <w:rPr>
          <w:rFonts w:hint="eastAsia"/>
        </w:rPr>
      </w:pPr>
      <w:r>
        <w:rPr>
          <w:rFonts w:hint="eastAsia"/>
        </w:rPr>
        <w:t xml:space="preserve">为进一步深度开发利用五经普名录数据，高效整合利用部门行政记录，更好开展全省服务业发展监测分析，拟对江苏省基本单位名录库管理系统升级改造，按照“四库”模式重构我省“准四上”单位监测工作流程和管理体系，面向全省各级统计机构和部分行业主管部门提供服务，实现对全省服务业单位精准监测分析和全周期培育服务。</w:t>
      </w:r>
      <w:r>
        <w:rPr>
          <w:rFonts w:hint="eastAsia"/>
        </w:rPr>
      </w:r>
      <w:r/>
    </w:p>
    <w:p>
      <w:pPr>
        <w:pStyle w:val="740"/>
        <w:ind w:firstLine="480"/>
        <w:jc w:val="both"/>
        <w:spacing w:beforeAutospacing="0" w:afterAutospacing="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（二）、采购内容</w:t>
      </w:r>
      <w:r>
        <w:rPr>
          <w:rFonts w:hint="eastAsia" w:ascii="方正黑体_GBK" w:hAnsi="方正黑体_GBK" w:eastAsia="方正黑体_GBK" w:cs="方正黑体_GBK"/>
        </w:rPr>
      </w:r>
      <w:r/>
    </w:p>
    <w:p>
      <w:pPr>
        <w:pStyle w:val="740"/>
        <w:ind w:firstLine="480"/>
        <w:jc w:val="both"/>
        <w:spacing w:beforeAutospacing="0" w:afterAutospacing="0" w:line="360" w:lineRule="auto"/>
      </w:pPr>
      <w:r>
        <w:rPr>
          <w:rFonts w:hint="eastAsia"/>
        </w:rPr>
        <w:t xml:space="preserve">对江苏省基本单位名录库管理系统升级改造，在现有名录库管理系统、部门信息管理子系统、一套表单位管理子系统基础上拓展“服务业单位监测子系统”。整合多源数据，建立全省服务业单位基础库，实现数据“一数一源、动态更新”；构建服务业单位核实和监测工作体系，实现全流程动态管理，基于多维度数据，构建企业标签管理体系，实现服务业单位精准画像；提供多维度、自定义数据查询、交叉汇总、统计分析等功能，支持各地各部门开展服务业单位监测分析；提供技术支持、数据备份、安全保障、业务培训等服务。</w:t>
      </w:r>
      <w:r/>
    </w:p>
    <w:p>
      <w:pPr>
        <w:pStyle w:val="740"/>
        <w:ind w:firstLine="480"/>
        <w:jc w:val="both"/>
        <w:spacing w:beforeAutospacing="0" w:afterAutospacing="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（三）、功能需求</w:t>
      </w:r>
      <w:r>
        <w:rPr>
          <w:rFonts w:hint="eastAsia" w:ascii="方正黑体_GBK" w:hAnsi="方正黑体_GBK" w:eastAsia="方正黑体_GBK" w:cs="方正黑体_GBK"/>
        </w:rPr>
      </w:r>
      <w:r/>
    </w:p>
    <w:p>
      <w:pPr>
        <w:pStyle w:val="740"/>
        <w:ind w:firstLine="480"/>
        <w:jc w:val="both"/>
        <w:spacing w:beforeAutospacing="0" w:afterAutospacing="0" w:line="360" w:lineRule="auto"/>
        <w:rPr>
          <w:rFonts w:hint="eastAsia"/>
        </w:rPr>
      </w:pPr>
      <w:r>
        <w:rPr>
          <w:rFonts w:hint="eastAsia"/>
        </w:rPr>
        <w:t xml:space="preserve">3.1 基础库合并模块</w:t>
      </w:r>
      <w:r>
        <w:rPr>
          <w:rFonts w:hint="eastAsia"/>
        </w:rPr>
      </w:r>
      <w:r/>
    </w:p>
    <w:p>
      <w:pPr>
        <w:pStyle w:val="740"/>
        <w:ind w:firstLine="480"/>
        <w:jc w:val="both"/>
        <w:spacing w:beforeAutospacing="0" w:afterAutospacing="0" w:line="360" w:lineRule="auto"/>
        <w:rPr>
          <w:rFonts w:hint="eastAsia"/>
        </w:rPr>
      </w:pPr>
      <w:r>
        <w:rPr>
          <w:rFonts w:hint="eastAsia"/>
        </w:rPr>
        <w:t xml:space="preserve">基于名录库中从国家统计云同步至本系统的“基本单位表”全部单位构建基础库，并在该表中增加必要的指标字段。同时，系统需利用已有数据自动计算生成培育库标识、后备库标识、规上库标识及部门标签等。</w:t>
      </w:r>
      <w:r>
        <w:rPr>
          <w:rFonts w:hint="eastAsia"/>
        </w:rPr>
      </w:r>
      <w:r/>
    </w:p>
    <w:p>
      <w:pPr>
        <w:pStyle w:val="740"/>
        <w:ind w:firstLine="480"/>
        <w:jc w:val="both"/>
        <w:spacing w:beforeAutospacing="0" w:afterAutospacing="0" w:line="360" w:lineRule="auto"/>
        <w:rPr>
          <w:rFonts w:hint="eastAsia"/>
        </w:rPr>
      </w:pPr>
      <w:r>
        <w:rPr>
          <w:rFonts w:hint="eastAsia"/>
        </w:rPr>
        <w:t xml:space="preserve">3.2 部门数据管理模块</w:t>
      </w:r>
      <w:r>
        <w:rPr>
          <w:rFonts w:hint="eastAsia"/>
        </w:rPr>
      </w:r>
      <w:r/>
    </w:p>
    <w:p>
      <w:pPr>
        <w:pStyle w:val="740"/>
        <w:ind w:firstLine="480"/>
        <w:jc w:val="both"/>
        <w:spacing w:beforeAutospacing="0" w:afterAutospacing="0" w:line="360" w:lineRule="auto"/>
      </w:pPr>
      <w:r>
        <w:rPr>
          <w:rFonts w:hint="eastAsia"/>
        </w:rPr>
        <w:t xml:space="preserve">系统需支持对税务等部门数据多种方式接入、按期别管理，支持复条件查询、汇总分析及跨表比对等功能，并支持后期扩展更多部门数据。</w:t>
      </w:r>
      <w:r/>
    </w:p>
    <w:p>
      <w:pPr>
        <w:pStyle w:val="740"/>
        <w:ind w:firstLine="480"/>
        <w:jc w:val="both"/>
        <w:spacing w:beforeAutospacing="0" w:afterAutospacing="0" w:line="360" w:lineRule="auto"/>
        <w:rPr>
          <w:rFonts w:hint="eastAsia"/>
        </w:rPr>
      </w:pPr>
      <w:r>
        <w:rPr>
          <w:rFonts w:hint="eastAsia"/>
        </w:rPr>
        <w:t xml:space="preserve">3.3 部门标签数据模块</w:t>
      </w:r>
      <w:r>
        <w:rPr>
          <w:rFonts w:hint="eastAsia"/>
        </w:rPr>
      </w:r>
      <w:r/>
    </w:p>
    <w:p>
      <w:pPr>
        <w:pStyle w:val="740"/>
        <w:ind w:firstLine="480"/>
        <w:jc w:val="both"/>
        <w:spacing w:beforeAutospacing="0" w:afterAutospacing="0" w:line="360" w:lineRule="auto"/>
      </w:pPr>
      <w:r>
        <w:rPr>
          <w:rFonts w:hint="eastAsia"/>
        </w:rPr>
        <w:t xml:space="preserve">系统需支持对高新技术企业、国家级“专精特新”小巨人企业、省级“专精特新”小巨人企业、省级专精特新中小企业等多维度企业标签的多种方式接入、按期别管理、复杂条件查询、汇总分析及跨表比对等功能，并支持后期扩展。</w:t>
      </w:r>
      <w:r/>
    </w:p>
    <w:p>
      <w:pPr>
        <w:pStyle w:val="740"/>
        <w:ind w:firstLine="480"/>
        <w:jc w:val="both"/>
        <w:spacing w:beforeAutospacing="0" w:afterAutospacing="0" w:line="360" w:lineRule="auto"/>
        <w:rPr>
          <w:rFonts w:hint="eastAsia"/>
        </w:rPr>
      </w:pPr>
      <w:r>
        <w:rPr>
          <w:rFonts w:hint="eastAsia"/>
        </w:rPr>
        <w:t xml:space="preserve">3.4 数据核实模块</w:t>
      </w:r>
      <w:r>
        <w:rPr>
          <w:rFonts w:hint="eastAsia"/>
        </w:rPr>
      </w:r>
      <w:r/>
    </w:p>
    <w:p>
      <w:pPr>
        <w:pStyle w:val="740"/>
        <w:ind w:firstLine="480"/>
        <w:jc w:val="both"/>
        <w:spacing w:beforeAutospacing="0" w:afterAutospacing="0" w:line="360" w:lineRule="auto"/>
        <w:rPr>
          <w:rFonts w:hint="eastAsia"/>
        </w:rPr>
      </w:pPr>
      <w:r>
        <w:rPr>
          <w:rFonts w:hint="eastAsia"/>
        </w:rPr>
        <w:t xml:space="preserve">3.4.1 核实区划子模块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配置区划两级核验功能，一是由镇街统计人员分步校验单位区划信息，二是系统自动识别多次变更属地、迁出后又划入同一镇街的单位并归集至处理地争议单位目录，该目录仅限区县级及以上统计人员核查处置。同时，系统需提供数据条件查询、数据排序、数据复制、区划推荐、处理地查询等功能。</w:t>
      </w:r>
      <w:r>
        <w:rPr>
          <w:rFonts w:hint="eastAsia"/>
        </w:rPr>
      </w:r>
      <w:r/>
    </w:p>
    <w:p>
      <w:pPr>
        <w:pStyle w:val="740"/>
        <w:ind w:firstLine="480"/>
        <w:jc w:val="both"/>
        <w:spacing w:beforeAutospacing="0" w:afterAutospacing="0" w:line="360" w:lineRule="auto"/>
        <w:rPr>
          <w:rFonts w:hint="eastAsia"/>
        </w:rPr>
      </w:pPr>
      <w:r>
        <w:rPr>
          <w:rFonts w:hint="eastAsia"/>
        </w:rPr>
        <w:t xml:space="preserve">3.4.2 核实行业子模块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实现行业代码核实功能，调用接口生成初始行业代码，供镇街统计人员、部门工作人员核实修正；代码有误时，镇街人员可补充填报主要业务活动与行业代码，部门人员可填报实际行业代码或标记“非本部门单位”，系统对被标记单位在校验行业时提示对应部门行业管控范围，若选用受限行业则弹出警告信息；同时，系统需提供数据条件查询、数据排序、数据复制、核实主要业务活动、修改行业核实情况、修改行业认定情况等功能。</w:t>
      </w:r>
      <w:r>
        <w:rPr>
          <w:rFonts w:hint="eastAsia"/>
        </w:rPr>
      </w:r>
      <w:r/>
    </w:p>
    <w:p>
      <w:pPr>
        <w:pStyle w:val="740"/>
        <w:ind w:firstLine="480"/>
        <w:jc w:val="both"/>
        <w:spacing w:beforeAutospacing="0" w:afterAutospacing="0" w:line="360" w:lineRule="auto"/>
        <w:rPr>
          <w:rFonts w:hint="eastAsia"/>
        </w:rPr>
      </w:pPr>
      <w:r>
        <w:rPr>
          <w:rFonts w:hint="eastAsia"/>
        </w:rPr>
        <w:t xml:space="preserve">3.4.3 核实销售额和开业时间子模块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支持经营数据的核实，镇街及部门工作人员可在获取数据后据实填报经营数据或选取区间，经营数据指标包含当年累计应税销售额、税率等内容，同时操作人员可对单位开业时间进行核查与修改。系统需提供数据条件查询、数据排序、数据复制、核实销售额、核实开业时间等功能。</w:t>
      </w:r>
      <w:r>
        <w:rPr>
          <w:rFonts w:hint="eastAsia"/>
        </w:rPr>
      </w:r>
      <w:r/>
    </w:p>
    <w:p>
      <w:pPr>
        <w:pStyle w:val="740"/>
        <w:ind w:firstLine="480"/>
        <w:jc w:val="both"/>
        <w:spacing w:beforeAutospacing="0" w:afterAutospacing="0" w:line="360" w:lineRule="auto"/>
        <w:rPr>
          <w:rFonts w:hint="eastAsia"/>
        </w:rPr>
      </w:pPr>
      <w:r>
        <w:rPr>
          <w:rFonts w:hint="eastAsia"/>
        </w:rPr>
        <w:t xml:space="preserve">3.5 处理地争议模块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自动识别多次跨镇街变更处理地的单位，自动生成处理地争议标识与争议处理地父级代码，区县及以上工作人员可依托父级代码查看争议单位清单并裁定单位归属下级辖区，裁决办结后系统自动清除对应争议标识。并提供裁决处理地、处理地争议时间赋值、处理地争议标记等功能。</w:t>
      </w:r>
      <w:r>
        <w:rPr>
          <w:rFonts w:hint="eastAsia"/>
        </w:rPr>
      </w:r>
      <w:r/>
    </w:p>
    <w:p>
      <w:pPr>
        <w:pStyle w:val="740"/>
        <w:ind w:firstLine="480"/>
        <w:jc w:val="both"/>
        <w:spacing w:beforeAutospacing="0" w:afterAutospacing="0" w:line="360" w:lineRule="auto"/>
        <w:rPr>
          <w:rFonts w:hint="eastAsia"/>
        </w:rPr>
      </w:pPr>
      <w:r>
        <w:rPr>
          <w:rFonts w:hint="eastAsia"/>
        </w:rPr>
        <w:t xml:space="preserve">3.6 部门行业配置模块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提供部门信息管理及部门所属行业配置功能。管理部门在设置其所属行业后，该行业设置应自动对该部门下的所有用户生效，确保同一部门内用户的行业属性保持一致，便于后续按行业进行数据权限管控与业务统计分析。同时，系统需提供数据条件查询、新增部门行业、修改部门行业等功能。</w:t>
      </w:r>
      <w:r>
        <w:rPr>
          <w:rFonts w:hint="eastAsia"/>
        </w:rPr>
      </w:r>
      <w:r/>
    </w:p>
    <w:p>
      <w:pPr>
        <w:pStyle w:val="740"/>
        <w:ind w:firstLine="480"/>
        <w:jc w:val="both"/>
        <w:spacing w:beforeAutospacing="0" w:afterAutospacing="0" w:line="360" w:lineRule="auto"/>
        <w:rPr>
          <w:rFonts w:hint="eastAsia"/>
        </w:rPr>
      </w:pPr>
      <w:r>
        <w:rPr>
          <w:rFonts w:hint="eastAsia"/>
        </w:rPr>
        <w:t xml:space="preserve">3.7 单位监测库模块</w:t>
      </w:r>
      <w:r>
        <w:rPr>
          <w:rFonts w:hint="eastAsia"/>
        </w:rPr>
      </w:r>
      <w:r/>
    </w:p>
    <w:p>
      <w:pPr>
        <w:pStyle w:val="740"/>
        <w:ind w:firstLine="480"/>
        <w:jc w:val="both"/>
        <w:spacing w:beforeAutospacing="0" w:afterAutospacing="0" w:line="360" w:lineRule="auto"/>
        <w:rPr>
          <w:rFonts w:hint="eastAsia"/>
        </w:rPr>
      </w:pPr>
      <w:r>
        <w:rPr>
          <w:rFonts w:hint="eastAsia"/>
        </w:rPr>
        <w:t xml:space="preserve">动态获取基本单位库信息系统提供基础库、培育库、后备库、规上库管理、监测功能。系统需依据计算生成的基础库标识，自动生成相应基础库信息，并支持条件查询、数据排序、数据复制、划分处理地及日志查看等功能。</w:t>
      </w:r>
      <w:r>
        <w:rPr>
          <w:rFonts w:hint="eastAsia"/>
        </w:rPr>
      </w:r>
      <w:r/>
    </w:p>
    <w:p>
      <w:pPr>
        <w:pStyle w:val="740"/>
        <w:ind w:firstLine="480"/>
        <w:jc w:val="both"/>
        <w:spacing w:beforeAutospacing="0" w:afterAutospacing="0" w:line="360" w:lineRule="auto"/>
        <w:rPr>
          <w:rFonts w:hint="eastAsia"/>
        </w:rPr>
      </w:pPr>
      <w:r>
        <w:rPr>
          <w:rFonts w:hint="eastAsia"/>
        </w:rPr>
        <w:t xml:space="preserve">3.8 日志记录模块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对单位各类核实及区划争议处理过程留痕存档，留痕覆盖区划核实、行业核实、开业时间核实、销售额核实四项核实操作与区划争议处理过程，完整记录相关操作信息。并提供日志数据的条件查询、数据排序、数据复制等功能。</w:t>
      </w:r>
      <w:r>
        <w:rPr>
          <w:rFonts w:hint="eastAsia"/>
        </w:rPr>
      </w:r>
      <w:r/>
    </w:p>
    <w:p>
      <w:pPr>
        <w:pStyle w:val="740"/>
        <w:ind w:firstLine="480"/>
        <w:jc w:val="both"/>
        <w:spacing w:beforeAutospacing="0" w:afterAutospacing="0" w:line="360" w:lineRule="auto"/>
        <w:rPr>
          <w:rFonts w:hint="eastAsia"/>
        </w:rPr>
      </w:pPr>
      <w:r>
        <w:rPr>
          <w:rFonts w:hint="eastAsia"/>
        </w:rPr>
        <w:t xml:space="preserve">3.9 年度快照模块</w:t>
      </w:r>
      <w:r>
        <w:rPr>
          <w:rFonts w:hint="eastAsia"/>
        </w:rPr>
      </w:r>
      <w:r/>
    </w:p>
    <w:p>
      <w:pPr>
        <w:pStyle w:val="740"/>
        <w:ind w:firstLine="480"/>
        <w:jc w:val="both"/>
        <w:spacing w:beforeAutospacing="0" w:afterAutospacing="0" w:line="360" w:lineRule="auto"/>
        <w:rPr>
          <w:rFonts w:hint="eastAsia"/>
        </w:rPr>
      </w:pPr>
      <w:r>
        <w:rPr>
          <w:rFonts w:hint="eastAsia"/>
        </w:rPr>
        <w:t xml:space="preserve">3.9.1 年度快照生成子模块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系统需提供按年度对基础库数据进行快照生成的功能，能够指定年度自动生成该时间节点的数据快照。</w:t>
      </w:r>
      <w:r>
        <w:rPr>
          <w:rFonts w:hint="eastAsia"/>
        </w:rPr>
      </w:r>
      <w:r/>
    </w:p>
    <w:p>
      <w:pPr>
        <w:pStyle w:val="740"/>
        <w:ind w:firstLine="480"/>
        <w:jc w:val="both"/>
        <w:spacing w:beforeAutospacing="0" w:afterAutospacing="0" w:line="360" w:lineRule="auto"/>
        <w:rPr>
          <w:rFonts w:hint="eastAsia"/>
        </w:rPr>
      </w:pPr>
      <w:r>
        <w:rPr>
          <w:rFonts w:hint="eastAsia"/>
        </w:rPr>
        <w:t xml:space="preserve">3.9.2 年度快照查询子模块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系统需基于已生成的年度快照数据，提供数据条件查询、数据排序、数据复制及数据交叉汇总等功能。</w:t>
      </w:r>
      <w:r>
        <w:rPr>
          <w:rFonts w:hint="eastAsia"/>
        </w:rPr>
      </w:r>
      <w:r/>
    </w:p>
    <w:p>
      <w:pPr>
        <w:pStyle w:val="740"/>
        <w:ind w:firstLine="480"/>
        <w:jc w:val="both"/>
        <w:spacing w:beforeAutospacing="0" w:afterAutospacing="0" w:line="360" w:lineRule="auto"/>
        <w:rPr>
          <w:rFonts w:hint="eastAsia"/>
        </w:rPr>
      </w:pPr>
      <w:r>
        <w:rPr>
          <w:rFonts w:hint="eastAsia"/>
        </w:rPr>
        <w:t xml:space="preserve">3.10 数据汇总模块</w:t>
      </w:r>
      <w:r>
        <w:rPr>
          <w:rFonts w:hint="eastAsia"/>
        </w:rPr>
      </w:r>
      <w:r/>
    </w:p>
    <w:p>
      <w:pPr>
        <w:pStyle w:val="740"/>
        <w:ind w:firstLine="480"/>
        <w:jc w:val="both"/>
        <w:spacing w:beforeAutospacing="0" w:afterAutospacing="0" w:line="360" w:lineRule="auto"/>
        <w:rPr>
          <w:rFonts w:hint="eastAsia"/>
        </w:rPr>
      </w:pPr>
      <w:r>
        <w:rPr>
          <w:rFonts w:hint="eastAsia"/>
        </w:rPr>
        <w:t xml:space="preserve">3.10.1 监测汇总子模块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系统需针对基础库、培育库、后备库及规上库的数据，提供按行业门类、地区区划进行数据汇总的功能。</w:t>
      </w:r>
      <w:r>
        <w:rPr>
          <w:rFonts w:hint="eastAsia"/>
        </w:rPr>
      </w:r>
      <w:r/>
    </w:p>
    <w:p>
      <w:pPr>
        <w:pStyle w:val="740"/>
        <w:ind w:firstLine="480"/>
        <w:jc w:val="both"/>
        <w:spacing w:beforeAutospacing="0" w:afterAutospacing="0" w:line="360" w:lineRule="auto"/>
        <w:rPr>
          <w:rFonts w:hint="eastAsia"/>
        </w:rPr>
      </w:pPr>
      <w:r>
        <w:rPr>
          <w:rFonts w:hint="eastAsia"/>
        </w:rPr>
        <w:t xml:space="preserve">3.10.2 单位核实量和当月核实量汇总子模块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系统需提供汇总模板，支持基于基础库、培育库、后备库及规上库的数据，按行业和地区维度对单位核实总量及当月核实量进行汇总。</w:t>
      </w:r>
      <w:r>
        <w:rPr>
          <w:rFonts w:hint="eastAsia"/>
        </w:rPr>
      </w:r>
      <w:r/>
    </w:p>
    <w:p>
      <w:pPr>
        <w:pStyle w:val="740"/>
        <w:ind w:firstLine="480"/>
        <w:jc w:val="both"/>
        <w:spacing w:beforeAutospacing="0" w:afterAutospacing="0" w:line="360" w:lineRule="auto"/>
        <w:rPr>
          <w:rFonts w:hint="eastAsia"/>
        </w:rPr>
      </w:pPr>
      <w:r>
        <w:rPr>
          <w:rFonts w:hint="eastAsia"/>
        </w:rPr>
        <w:t xml:space="preserve">3.10.3 当月用户使用情况汇总子模块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系统需提供汇总模板，支持基于系统运行数据，按日期和地区、部门和日期维度对当月用户使用情况进行汇总。</w:t>
      </w:r>
      <w:r>
        <w:rPr>
          <w:rFonts w:hint="eastAsia"/>
        </w:rPr>
      </w:r>
      <w:r/>
    </w:p>
    <w:p>
      <w:pPr>
        <w:pStyle w:val="740"/>
        <w:ind w:firstLine="480"/>
        <w:jc w:val="both"/>
        <w:spacing w:beforeAutospacing="0" w:afterAutospacing="0" w:line="360" w:lineRule="auto"/>
        <w:rPr>
          <w:rFonts w:hint="eastAsia"/>
        </w:rPr>
      </w:pPr>
      <w:r>
        <w:rPr>
          <w:rFonts w:hint="eastAsia"/>
        </w:rPr>
        <w:t xml:space="preserve">3.10.4 数据导入情况汇总子模块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系统需提供汇总模板，支持基于系统内税务数据、部门标签数据的导入情况，按导入期别进行汇总。</w:t>
      </w:r>
      <w:r>
        <w:rPr>
          <w:rFonts w:hint="eastAsia"/>
        </w:rPr>
      </w:r>
      <w:r/>
    </w:p>
    <w:p>
      <w:pPr>
        <w:pStyle w:val="740"/>
        <w:ind w:firstLine="480"/>
        <w:jc w:val="both"/>
        <w:spacing w:beforeAutospacing="0" w:afterAutospacing="0" w:line="360" w:lineRule="auto"/>
        <w:rPr>
          <w:rFonts w:hint="eastAsia"/>
        </w:rPr>
      </w:pPr>
      <w:r>
        <w:rPr>
          <w:rFonts w:hint="eastAsia"/>
        </w:rPr>
        <w:t xml:space="preserve">3.11 系统管理模块</w:t>
      </w:r>
      <w:r>
        <w:rPr>
          <w:rFonts w:hint="eastAsia"/>
        </w:rPr>
      </w:r>
      <w:r/>
    </w:p>
    <w:p>
      <w:pPr>
        <w:pStyle w:val="740"/>
        <w:ind w:firstLine="480"/>
        <w:jc w:val="both"/>
        <w:spacing w:beforeAutospacing="0" w:afterAutospacing="0" w:line="360" w:lineRule="auto"/>
        <w:rPr>
          <w:rFonts w:hint="eastAsia"/>
        </w:rPr>
      </w:pPr>
      <w:r>
        <w:rPr>
          <w:rFonts w:hint="eastAsia"/>
        </w:rPr>
        <w:t xml:space="preserve">3.11.1 用户管理子模块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建立用户管理子模块，支持对用户账号的创建、角色分配、权限配置，并能够记录用户操作日志。用户角色应区分镇街统计人员、区县级及以上统计人员、部门工作人员等类型，不同角色对应差异化的数据访问与功能操作权限，确保系统使用安全可控。</w:t>
      </w:r>
      <w:r>
        <w:rPr>
          <w:rFonts w:hint="eastAsia"/>
        </w:rPr>
      </w:r>
      <w:r/>
    </w:p>
    <w:p>
      <w:pPr>
        <w:pStyle w:val="740"/>
        <w:ind w:firstLine="480"/>
        <w:jc w:val="both"/>
        <w:spacing w:beforeAutospacing="0" w:afterAutospacing="0" w:line="360" w:lineRule="auto"/>
        <w:rPr>
          <w:rFonts w:hint="eastAsia"/>
        </w:rPr>
      </w:pPr>
      <w:r>
        <w:rPr>
          <w:rFonts w:hint="eastAsia"/>
        </w:rPr>
        <w:t xml:space="preserve">3.11.2 任务查询子模块</w:t>
      </w:r>
      <w:r>
        <w:rPr>
          <w:rFonts w:hint="eastAsia"/>
        </w:rPr>
      </w:r>
      <w:r/>
    </w:p>
    <w:p>
      <w:pPr>
        <w:pStyle w:val="740"/>
        <w:ind w:firstLine="480"/>
        <w:jc w:val="both"/>
        <w:spacing w:beforeAutospacing="0" w:afterAutospacing="0" w:line="360" w:lineRule="auto"/>
        <w:rPr>
          <w:rFonts w:hint="eastAsia"/>
        </w:rPr>
      </w:pPr>
      <w:r>
        <w:rPr>
          <w:rFonts w:hint="eastAsia"/>
        </w:rPr>
        <w:t xml:space="preserve">系统需提供任务查询功能，支持按任务名称、任务状态、创建时间、执行人等维度进行多条件组合查询，并能够展示任务进度、执行结果及异常信息。查询结果应支持数据排序、数据复制、数据交叉汇总，便于用户跟踪和管理各类系统任务。</w:t>
      </w:r>
      <w:r>
        <w:rPr>
          <w:rFonts w:hint="eastAsia"/>
        </w:rPr>
      </w:r>
      <w:r/>
    </w:p>
    <w:p>
      <w:pPr>
        <w:pStyle w:val="740"/>
        <w:ind w:firstLine="480"/>
        <w:jc w:val="both"/>
        <w:spacing w:beforeAutospacing="0" w:afterAutospacing="0" w:line="360" w:lineRule="auto"/>
        <w:rPr>
          <w:rFonts w:hint="eastAsia"/>
        </w:rPr>
      </w:pPr>
      <w:r>
        <w:rPr>
          <w:rFonts w:hint="eastAsia"/>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677"/>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sz w:val="28"/>
          <w:szCs w:val="28"/>
        </w:rPr>
      </w:r>
      <w:r/>
    </w:p>
    <w:p>
      <w:pPr>
        <w:pStyle w:val="677"/>
        <w:spacing w:line="400" w:lineRule="exact"/>
        <w:rPr>
          <w:rFonts w:hint="eastAsia" w:ascii="方正魏碑_GBK" w:hAnsi="方正魏碑_GBK" w:eastAsia="方正魏碑_GBK" w:cs="方正魏碑_GBK"/>
          <w:b/>
          <w:bCs/>
          <w:color w:val="ff0000"/>
          <w:sz w:val="28"/>
          <w:szCs w:val="28"/>
          <w:highlight w:val="yellow"/>
        </w:rPr>
      </w:pPr>
      <w:r>
        <w:rPr>
          <w:rFonts w:hint="eastAsia" w:ascii="方正魏碑_GBK" w:hAnsi="方正魏碑_GBK" w:eastAsia="方正魏碑_GBK" w:cs="方正魏碑_GBK"/>
          <w:b/>
          <w:bCs/>
          <w:color w:val="ff0000"/>
          <w:sz w:val="28"/>
          <w:szCs w:val="28"/>
          <w:highlight w:val="yellow"/>
        </w:rPr>
      </w:r>
      <w:r/>
    </w:p>
    <w:p>
      <w:pPr>
        <w:pStyle w:val="740"/>
        <w:ind w:firstLine="480"/>
        <w:jc w:val="both"/>
        <w:spacing w:beforeAutospacing="0" w:afterAutospacing="0" w:line="360"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（四）、商务要求</w:t>
      </w:r>
      <w:r>
        <w:rPr>
          <w:rFonts w:hint="eastAsia" w:ascii="方正黑体_GBK" w:hAnsi="方正黑体_GBK" w:eastAsia="方正黑体_GBK" w:cs="方正黑体_GBK"/>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4.1实施及团队要求</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4.1.1工期要求</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合同签订生效后3个月内完成全部项目建设内容，并通过采购人组织的合同验收，正式交付使用。</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4.1.2实施要求</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供应商须制定科学合理的实施方案，建立健全保障项目顺利实施的各项管理制度和质量保证体系。项目实施期间，供应商需按照采购人要求开展工作。</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保障项目的顺利实施，供应商应合理组建本项目的实施团队。项目实施团队应由项目经理（本项目）、技术负责人和其他团队成员组成，其中，项目经理和技术负责人等项目组核心人员不得无故更换，如确需变更需征得采购人书面批准。同时，项目经理需全面统筹项目进度、协调内部资源、响应采购人需求，采购人所有与项目相关的指令传达、问题咨询、进度问询、异议沟通等事项，均通过该项目经理统一对接。</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4.1.3付款要求</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合同生效后，采购人在收到供应商提供的有效增值税发票后10个工作日内，支付合同总金额的70%；</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项目通过验收后且采购人收到供应商提供的有效增值税发票后10个工作日内，支付合同总金额的30%。</w:t>
      </w:r>
      <w:r>
        <w:rPr>
          <w:rFonts w:hint="eastAsia" w:ascii="宋体" w:hAnsi="宋体" w:cs="宋体"/>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4.2合同验收要求</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4.2.1验收条件</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（1）项目按照磋商文件和合同要求完成了所有建设内容，连续稳定运行不少于1个月。</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（2）供应商按照合同和磋商文件要求提交了相关验收成果。</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（3）供应商验收前对产品或服务做出全面检查，对验收文件进行整理并列出清单。</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（4）所有检验的结果随服务一起提交至采购人，经采购人检查满足验收条件。</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4.2.2验收方式</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项目满足合同和磋商文件中提出的全部要求、符合采购人实际使用需要后，采购人按照《</w:t>
      </w:r>
      <w:bookmarkStart w:id="179" w:name="OLE_LINK15"/>
      <w:r>
        <w:rPr>
          <w:rFonts w:hint="eastAsia" w:ascii="宋体" w:hAnsi="宋体" w:cs="宋体"/>
          <w:sz w:val="24"/>
          <w:szCs w:val="24"/>
        </w:rPr>
        <w:t xml:space="preserve">江苏省政府采购履约验收管理办法</w:t>
      </w:r>
      <w:bookmarkEnd w:id="179"/>
      <w:r>
        <w:rPr>
          <w:rFonts w:hint="eastAsia" w:ascii="宋体" w:hAnsi="宋体" w:cs="宋体"/>
          <w:sz w:val="24"/>
          <w:szCs w:val="24"/>
        </w:rPr>
        <w:t xml:space="preserve">》《江苏省省级政务信息化项目建设管理办法》等有关规定成立验收小组，开展合同验收。</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4.2.3验收说明</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若验收不合格，供应商应负责整改，在采购人要求的时间内达到验收条件并重新提交验收申请，直至通过验收。因供应商原因导致项目验收不合格产生的延期及其他系统建设工作成本，由供应商承担。</w:t>
      </w:r>
      <w:r>
        <w:rPr>
          <w:rFonts w:hint="eastAsia" w:ascii="宋体" w:hAnsi="宋体" w:cs="宋体"/>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4.3知识产权要求</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本项目开发成果的知识产权归采购人所有，项目验收前，供应商必须向采购人提交相关项目文档及程序源代码等开发成果。供应商应保证采购人方在使用、接受本次磋商中产品和服务或其任何一部分时，不受第三方提出侵犯其专利权、版权、商标权和工业设计权等知识产权的起诉，避免潜在的版权纠纷。一旦出现侵权，由供应商负全部责任。</w:t>
      </w:r>
      <w:r>
        <w:rPr>
          <w:rFonts w:hint="eastAsia" w:ascii="宋体" w:hAnsi="宋体" w:cs="宋体"/>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4.4售后服务要求</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在合同验收合格后，供应商须对本项目开发的“服务业单位监测子系统”及涉及的相关功能提供1年免费质保服务。免费质保期从验收合格之日起计算。</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质保期间发生的任何异常故障和损坏（人为损坏除外）引起的费用应由供应商负责。在发生故障后，对关键故障和核心业务支持7×24小时响应，对于一般故障，可确保12小时内解决，实现业务中断影响最小化。</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质保期内所提供技术服务涉及的费用含在合同总价中（即项目质保期为免费服务）。质保期内，供应商应提供例行巡检、故障响应、常规软件问题修复、系统配置管理等质保服务，以保障系统安全稳定运行。</w:t>
      </w:r>
      <w:r>
        <w:rPr>
          <w:rFonts w:hint="eastAsia" w:ascii="宋体" w:hAnsi="宋体" w:cs="宋体"/>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4.5项目保密要求</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供应商应对项目技术文件以及由采购人提供的所有内部资料、技术文档、数据和信息予以保密；供应商应与采购人签订保密协议并严格遵守，未经采购人书面许可，供应商不得以任何形式向第三方透露本项目磋商响应文件、技术方案、项目资料等内容。</w:t>
      </w:r>
      <w:r>
        <w:rPr>
          <w:rFonts w:hint="eastAsia" w:ascii="宋体" w:hAnsi="宋体" w:cs="宋体"/>
          <w:sz w:val="24"/>
          <w:szCs w:val="24"/>
        </w:rPr>
      </w:r>
      <w:r/>
    </w:p>
    <w:p>
      <w:pPr>
        <w:pStyle w:val="677"/>
        <w:spacing w:line="360" w:lineRule="auto"/>
        <w:rPr>
          <w:rFonts w:hint="eastAsia" w:ascii="宋体" w:hAnsi="宋体" w:cs="宋体"/>
          <w:sz w:val="24"/>
          <w:szCs w:val="24"/>
        </w:rPr>
      </w:pPr>
      <w:r>
        <w:rPr>
          <w:rFonts w:hint="eastAsia" w:ascii="宋体" w:hAnsi="宋体" w:cs="宋体"/>
          <w:sz w:val="24"/>
          <w:szCs w:val="24"/>
        </w:rPr>
      </w:r>
      <w:r/>
    </w:p>
    <w:p>
      <w:pPr>
        <w:pStyle w:val="677"/>
        <w:ind w:firstLine="482"/>
        <w:spacing w:line="360" w:lineRule="auto"/>
        <w:rPr>
          <w:rFonts w:hint="eastAsia" w:ascii="宋体" w:hAnsi="宋体" w:cs="宋体"/>
          <w:b/>
          <w:sz w:val="24"/>
          <w:szCs w:val="24"/>
        </w:rPr>
      </w:pPr>
      <w:r>
        <w:rPr>
          <w:rFonts w:hint="eastAsia" w:ascii="宋体" w:hAnsi="宋体" w:cs="宋体"/>
          <w:b/>
          <w:sz w:val="24"/>
          <w:szCs w:val="24"/>
        </w:rPr>
        <w:t xml:space="preserve">（五）、项目团队要求</w:t>
      </w:r>
      <w:r>
        <w:rPr>
          <w:rFonts w:hint="eastAsia" w:ascii="宋体" w:hAnsi="宋体" w:cs="宋体"/>
          <w:b/>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5.1项目经理</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供应商应为本项目配备项目经理1名。</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项目经理具有注册信息安全专业人员证书（CISP）、计算机技术与软件专业技术资格信息系统项目管理师证书，具有类似项目经验的</w:t>
      </w:r>
      <w:r>
        <w:rPr>
          <w:rFonts w:hint="eastAsia" w:ascii="宋体" w:hAnsi="宋体" w:cs="宋体"/>
          <w:sz w:val="24"/>
          <w:szCs w:val="24"/>
          <w:lang w:eastAsia="zh-CN"/>
        </w:rPr>
        <w:t xml:space="preserve">。</w:t>
      </w:r>
      <w:r>
        <w:rPr>
          <w:rFonts w:hint="eastAsia" w:ascii="宋体" w:hAnsi="宋体" w:cs="宋体"/>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5.2技术负责人</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供应商应为本项目配备项目技术负责人1名。</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技术负责人具有注册信息安全专业人员证书（CISP）、计算机技术与软件专业技术资格系统架构设计师证书，具有类似项目经验。</w:t>
      </w:r>
      <w:r>
        <w:rPr>
          <w:rFonts w:hint="eastAsia" w:ascii="宋体" w:hAnsi="宋体" w:cs="宋体"/>
          <w:sz w:val="24"/>
          <w:szCs w:val="24"/>
        </w:rPr>
      </w:r>
      <w:r/>
    </w:p>
    <w:p>
      <w:pPr>
        <w:pStyle w:val="677"/>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5.3 团队成员</w:t>
      </w:r>
      <w:r>
        <w:rPr>
          <w:rFonts w:hint="eastAsia" w:ascii="宋体" w:hAnsi="宋体" w:cs="宋体"/>
          <w:sz w:val="24"/>
          <w:szCs w:val="24"/>
          <w:lang w:eastAsia="zh-CN"/>
        </w:rPr>
        <w:t xml:space="preserve">（不少于</w:t>
      </w:r>
      <w:r>
        <w:rPr>
          <w:rFonts w:hint="eastAsia" w:ascii="宋体" w:hAnsi="宋体" w:cs="宋体"/>
          <w:sz w:val="24"/>
          <w:szCs w:val="24"/>
          <w:lang w:val="en-US" w:eastAsia="zh-CN"/>
        </w:rPr>
        <w:t xml:space="preserve">3人</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供应商应为本项目配备的团队成员具有计算机技术与软件专业技术资格中级以上证书。</w:t>
      </w:r>
      <w:r>
        <w:rPr>
          <w:rFonts w:hint="eastAsia" w:ascii="宋体" w:hAnsi="宋体" w:cs="宋体"/>
          <w:sz w:val="24"/>
          <w:szCs w:val="24"/>
        </w:rPr>
      </w:r>
      <w:r/>
    </w:p>
    <w:p>
      <w:pPr>
        <w:pStyle w:val="677"/>
        <w:ind w:firstLine="480"/>
        <w:spacing w:line="360" w:lineRule="auto"/>
        <w:rPr>
          <w:rFonts w:ascii="宋体" w:hAnsi="宋体" w:cs="宋体"/>
          <w:sz w:val="24"/>
          <w:szCs w:val="24"/>
        </w:rPr>
      </w:pPr>
      <w:r>
        <w:rPr>
          <w:rFonts w:hint="eastAsia" w:ascii="宋体" w:hAnsi="宋体" w:cs="宋体"/>
          <w:sz w:val="24"/>
          <w:szCs w:val="24"/>
        </w:rPr>
        <w:t xml:space="preserve">项目经理、技术负责人、团队成员均不得重复。</w:t>
      </w:r>
      <w:r>
        <w:rPr>
          <w:rFonts w:ascii="宋体" w:hAnsi="宋体" w:cs="宋体"/>
          <w:sz w:val="24"/>
          <w:szCs w:val="24"/>
        </w:rPr>
      </w:r>
      <w:r/>
    </w:p>
    <w:p>
      <w:pPr>
        <w:pStyle w:val="677"/>
        <w:ind w:firstLine="482"/>
        <w:spacing w:line="360" w:lineRule="auto"/>
        <w:rPr>
          <w:rFonts w:hint="eastAsia" w:ascii="宋体" w:hAnsi="宋体" w:cs="宋体"/>
          <w:b/>
          <w:sz w:val="24"/>
          <w:szCs w:val="24"/>
        </w:rPr>
      </w:pPr>
      <w:r>
        <w:rPr>
          <w:rFonts w:hint="eastAsia" w:ascii="宋体" w:hAnsi="宋体" w:cs="宋体"/>
          <w:b/>
          <w:sz w:val="24"/>
          <w:szCs w:val="24"/>
        </w:rPr>
        <w:t xml:space="preserve">（六）、服务要求</w:t>
      </w:r>
      <w:r>
        <w:rPr>
          <w:rFonts w:hint="eastAsia" w:ascii="宋体" w:hAnsi="宋体" w:cs="宋体"/>
          <w:b/>
          <w:sz w:val="24"/>
          <w:szCs w:val="24"/>
        </w:rPr>
      </w:r>
      <w:r/>
    </w:p>
    <w:p>
      <w:pPr>
        <w:pStyle w:val="67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 软件著作权</w:t>
      </w:r>
      <w:r>
        <w:rPr>
          <w:rFonts w:hint="eastAsia" w:ascii="宋体" w:hAnsi="宋体" w:cs="宋体"/>
          <w:color w:val="000000"/>
          <w:sz w:val="24"/>
          <w:szCs w:val="24"/>
        </w:rPr>
      </w:r>
      <w:r/>
    </w:p>
    <w:p>
      <w:pPr>
        <w:pStyle w:val="677"/>
        <w:ind w:firstLine="480"/>
        <w:spacing w:line="360" w:lineRule="auto"/>
        <w:rPr>
          <w:rFonts w:ascii="宋体" w:hAnsi="宋体" w:cs="宋体"/>
          <w:color w:val="000000"/>
          <w:sz w:val="24"/>
          <w:szCs w:val="24"/>
        </w:rPr>
      </w:pPr>
      <w:r>
        <w:rPr>
          <w:rFonts w:hint="eastAsia" w:ascii="宋体" w:hAnsi="宋体" w:cs="宋体"/>
          <w:sz w:val="24"/>
          <w:szCs w:val="24"/>
        </w:rPr>
        <w:t xml:space="preserve">供应商</w:t>
      </w:r>
      <w:r>
        <w:rPr>
          <w:rFonts w:ascii="宋体" w:hAnsi="宋体" w:cs="宋体"/>
          <w:color w:val="000000"/>
          <w:sz w:val="24"/>
          <w:szCs w:val="24"/>
        </w:rPr>
        <w:t xml:space="preserve">具有由国家版权局颁发的相关软件著作权登记证书，证书包含</w:t>
      </w:r>
      <w:r>
        <w:rPr>
          <w:rFonts w:hint="eastAsia" w:ascii="宋体" w:hAnsi="宋体"/>
          <w:sz w:val="24"/>
          <w:szCs w:val="21"/>
        </w:rPr>
        <w:t xml:space="preserve">“</w:t>
      </w:r>
      <w:r>
        <w:rPr>
          <w:rFonts w:hint="eastAsia" w:ascii="宋体" w:hAnsi="宋体" w:cs="宋体"/>
          <w:color w:val="000000"/>
          <w:sz w:val="24"/>
          <w:szCs w:val="24"/>
        </w:rPr>
        <w:t xml:space="preserve">名录库管理系统”、</w:t>
      </w:r>
      <w:r>
        <w:rPr>
          <w:rFonts w:hint="eastAsia" w:ascii="宋体" w:hAnsi="宋体"/>
          <w:sz w:val="24"/>
          <w:szCs w:val="21"/>
        </w:rPr>
        <w:t xml:space="preserve">“</w:t>
      </w:r>
      <w:r>
        <w:rPr>
          <w:rFonts w:hint="eastAsia" w:ascii="宋体" w:hAnsi="宋体" w:cs="宋体"/>
          <w:color w:val="000000"/>
          <w:sz w:val="24"/>
          <w:szCs w:val="24"/>
        </w:rPr>
        <w:t xml:space="preserve">数据处理系统”、</w:t>
      </w:r>
      <w:r>
        <w:rPr>
          <w:rFonts w:hint="eastAsia" w:ascii="宋体" w:hAnsi="宋体"/>
          <w:sz w:val="24"/>
          <w:szCs w:val="21"/>
        </w:rPr>
        <w:t xml:space="preserve">“</w:t>
      </w:r>
      <w:r>
        <w:rPr>
          <w:rFonts w:hint="eastAsia" w:ascii="宋体" w:hAnsi="宋体" w:cs="宋体"/>
          <w:color w:val="000000"/>
          <w:sz w:val="24"/>
          <w:szCs w:val="24"/>
        </w:rPr>
        <w:t xml:space="preserve">单位审批系统”等</w:t>
      </w:r>
      <w:r>
        <w:rPr>
          <w:rFonts w:ascii="宋体" w:hAnsi="宋体" w:cs="宋体"/>
          <w:color w:val="000000"/>
          <w:sz w:val="24"/>
          <w:szCs w:val="24"/>
        </w:rPr>
        <w:t xml:space="preserve">关键词的（软件著作权名称可不完全一致，但应当是相同或相似内容）。</w:t>
      </w:r>
      <w:r>
        <w:rPr>
          <w:rFonts w:ascii="宋体" w:hAnsi="宋体" w:cs="宋体"/>
          <w:color w:val="000000"/>
          <w:sz w:val="24"/>
          <w:szCs w:val="24"/>
        </w:rPr>
      </w:r>
      <w:r/>
    </w:p>
    <w:p>
      <w:pPr>
        <w:pStyle w:val="677"/>
        <w:ind w:firstLine="480"/>
        <w:spacing w:line="360" w:lineRule="auto"/>
        <w:rPr>
          <w:rFonts w:hint="eastAsia" w:ascii="宋体" w:hAnsi="宋体" w:cs="宋体"/>
          <w:bCs/>
          <w:sz w:val="24"/>
          <w:szCs w:val="24"/>
        </w:rPr>
      </w:pPr>
      <w:r>
        <w:rPr>
          <w:rFonts w:hint="eastAsia" w:ascii="宋体" w:hAnsi="宋体" w:cs="宋体"/>
          <w:bCs/>
          <w:sz w:val="24"/>
          <w:szCs w:val="24"/>
        </w:rPr>
        <w:t xml:space="preserve">6.2业绩要求</w:t>
      </w:r>
      <w:r>
        <w:rPr>
          <w:rFonts w:hint="eastAsia" w:ascii="宋体" w:hAnsi="宋体" w:cs="宋体"/>
          <w:bCs/>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供应商具有2023年6月以来（以合同签订时间为准）承担过类似信息化项目（名录库软件开发、升级改造或运维服务）业绩。</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r>
      <w:r/>
    </w:p>
    <w:p>
      <w:pPr>
        <w:pStyle w:val="677"/>
        <w:ind w:firstLine="482"/>
        <w:spacing w:line="360" w:lineRule="auto"/>
        <w:rPr>
          <w:rFonts w:hint="eastAsia" w:ascii="宋体" w:hAnsi="宋体" w:cs="宋体"/>
          <w:b/>
          <w:sz w:val="24"/>
          <w:szCs w:val="24"/>
        </w:rPr>
      </w:pPr>
      <w:r>
        <w:rPr>
          <w:rFonts w:hint="eastAsia" w:ascii="宋体" w:hAnsi="宋体" w:cs="宋体"/>
          <w:b/>
          <w:sz w:val="24"/>
          <w:szCs w:val="24"/>
        </w:rPr>
        <w:t xml:space="preserve">（七）、方案要求</w:t>
      </w:r>
      <w:r>
        <w:rPr>
          <w:rFonts w:hint="eastAsia" w:ascii="宋体" w:hAnsi="宋体" w:cs="宋体"/>
          <w:b/>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7.1项目建设方案</w:t>
      </w:r>
      <w:r>
        <w:rPr>
          <w:rFonts w:hint="eastAsia" w:ascii="宋体" w:hAnsi="宋体" w:cs="宋体"/>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磋商响应供应商需提供项目升级改造建设方案，方案内容包括但不限于基础数据归集与基础库构建、数据校验核实与动态监测汇总、系统配置与运维管理等内容。  </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(1)基础数据归集与基础库构建应包含基础库合并、税务数据管理模块、部门标签数据管理等模块的描述。</w:t>
      </w:r>
      <w:r>
        <w:rPr>
          <w:rFonts w:hint="eastAsia" w:ascii="宋体" w:hAnsi="宋体" w:cs="宋体"/>
          <w:bCs/>
          <w:color w:val="000000"/>
          <w:sz w:val="24"/>
          <w:szCs w:val="24"/>
        </w:rPr>
      </w:r>
      <w:r/>
    </w:p>
    <w:p>
      <w:pPr>
        <w:pStyle w:val="729"/>
        <w:ind w:firstLine="480"/>
        <w:jc w:val="both"/>
        <w:spacing w:before="0" w:after="0" w:line="360" w:lineRule="auto"/>
        <w:tabs>
          <w:tab w:val="right" w:pos="8720" w:leader="dot"/>
        </w:tabs>
        <w:rPr>
          <w:rFonts w:hint="eastAsia"/>
          <w:lang w:val="en-US" w:eastAsia="zh-CN"/>
        </w:rPr>
      </w:pPr>
      <w:r>
        <w:rPr>
          <w:rFonts w:hint="eastAsia"/>
          <w:lang w:val="en-US" w:eastAsia="zh-CN"/>
        </w:rPr>
        <w:t xml:space="preserve">(2)数据校验核实与动态监测汇总应包含数据核实、数据核实、处理地争议、单位监测库管理、年度快照、数据分析汇总等模块的描述。</w:t>
      </w:r>
      <w:r>
        <w:rPr>
          <w:rFonts w:hint="eastAsia"/>
          <w:lang w:val="en-US" w:eastAsia="zh-CN"/>
        </w:rPr>
      </w:r>
      <w:r/>
    </w:p>
    <w:p>
      <w:pPr>
        <w:pStyle w:val="729"/>
        <w:ind w:firstLine="480"/>
        <w:jc w:val="both"/>
        <w:spacing w:before="0" w:after="0" w:line="360" w:lineRule="auto"/>
        <w:tabs>
          <w:tab w:val="right" w:pos="8720" w:leader="dot"/>
        </w:tabs>
        <w:rPr>
          <w:lang w:val="en-US" w:eastAsia="zh-CN"/>
        </w:rPr>
      </w:pPr>
      <w:r>
        <w:rPr>
          <w:lang w:val="en-US" w:eastAsia="zh-CN"/>
        </w:rPr>
        <w:t xml:space="preserve">(3)系统配置与运维管理应包含部门行业配置、日志管理、系统管理等模块的描述。</w:t>
      </w:r>
      <w:r>
        <w:rPr>
          <w:lang w:val="en-US" w:eastAsia="zh-CN"/>
        </w:rPr>
      </w:r>
      <w:r/>
    </w:p>
    <w:p>
      <w:pPr>
        <w:pStyle w:val="677"/>
        <w:ind w:firstLine="480"/>
        <w:spacing w:line="360" w:lineRule="auto"/>
        <w:rPr>
          <w:rFonts w:hint="eastAsia" w:ascii="宋体" w:hAnsi="宋体" w:cs="宋体"/>
          <w:sz w:val="24"/>
          <w:szCs w:val="24"/>
        </w:rPr>
      </w:pPr>
      <w:r>
        <w:rPr>
          <w:rFonts w:hint="eastAsia" w:ascii="宋体" w:hAnsi="宋体" w:cs="宋体"/>
          <w:bCs/>
          <w:color w:val="000000"/>
          <w:sz w:val="24"/>
          <w:szCs w:val="24"/>
        </w:rPr>
        <w:t xml:space="preserve"> </w:t>
      </w:r>
      <w:r>
        <w:rPr>
          <w:rFonts w:hint="eastAsia" w:ascii="宋体" w:hAnsi="宋体" w:cs="宋体"/>
          <w:sz w:val="24"/>
          <w:szCs w:val="24"/>
        </w:rPr>
        <w:t xml:space="preserve">7.2 重点难点分析及解决方案</w:t>
      </w:r>
      <w:r>
        <w:rPr>
          <w:rFonts w:hint="eastAsia" w:ascii="宋体" w:hAnsi="宋体" w:cs="宋体"/>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磋商响应供应商需结合项目需求以及采购人名录管理工作实际情况，进行重点难点分析，充分、全面、深刻认识并针对性地提出本项目软件开发和服务保障的难点和风险点，提供专业、可行的解决方案。</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(1)对本项目中的重点难点进行精准识别，并进行原因分析。</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(2)对本项目中的重点难点有针对性的提出解决方案。</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7.3 生产数据同步方案</w:t>
      </w:r>
      <w:r>
        <w:rPr>
          <w:rFonts w:hint="eastAsia" w:ascii="宋体" w:hAnsi="宋体" w:cs="宋体"/>
          <w:bCs/>
          <w:color w:val="000000"/>
          <w:sz w:val="24"/>
          <w:szCs w:val="24"/>
        </w:rPr>
      </w:r>
      <w:r/>
    </w:p>
    <w:p>
      <w:pPr>
        <w:pStyle w:val="677"/>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磋商响应供应商</w:t>
      </w:r>
      <w:r>
        <w:rPr>
          <w:rFonts w:ascii="宋体" w:hAnsi="宋体" w:cs="宋体"/>
          <w:bCs/>
          <w:color w:val="000000"/>
          <w:sz w:val="24"/>
          <w:szCs w:val="24"/>
        </w:rPr>
        <w:t xml:space="preserve">提供单位监测库和工作库中核实维护等生产数据与国家统计云名录库基本单位表、调查单位字典库、入退库审批等数据同步方案。</w:t>
      </w:r>
      <w:r>
        <w:rPr>
          <w:rFonts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下行数据同步内容包含统计分类标准（行业代码表、区划代码表）、基本单位表数据、名录年度与月度快照、各部门当期表数据、条件规则（公共模板、标签配置）、审核公式及汇总结果、用户及角色权限配置、基本单位表相关系统操作日志、调查任务数据、与基本单位表口径一致的数据标记，以及调查单位字典库。</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(2)上行数据同步内容包含调查结果上行、操作日志上行、用户权限上行、部门数据上行。</w:t>
      </w:r>
      <w:r>
        <w:rPr>
          <w:rFonts w:hint="eastAsia" w:ascii="宋体" w:hAnsi="宋体" w:cs="宋体"/>
          <w:bCs/>
          <w:color w:val="000000"/>
          <w:sz w:val="24"/>
          <w:szCs w:val="24"/>
        </w:rPr>
      </w:r>
      <w:r/>
    </w:p>
    <w:p>
      <w:pPr>
        <w:pStyle w:val="677"/>
        <w:ind w:firstLine="480"/>
        <w:spacing w:line="360" w:lineRule="auto"/>
        <w:rPr>
          <w:rFonts w:hint="eastAsia" w:ascii="宋体" w:hAnsi="宋体" w:cs="宋体"/>
          <w:sz w:val="24"/>
          <w:szCs w:val="24"/>
        </w:rPr>
      </w:pPr>
      <w:r>
        <w:rPr>
          <w:rFonts w:hint="eastAsia" w:ascii="宋体" w:hAnsi="宋体" w:cs="宋体"/>
          <w:bCs/>
          <w:color w:val="000000"/>
          <w:sz w:val="24"/>
          <w:szCs w:val="24"/>
        </w:rPr>
        <w:t xml:space="preserve">7.4 </w:t>
      </w:r>
      <w:r>
        <w:rPr>
          <w:rFonts w:hint="eastAsia" w:ascii="宋体" w:hAnsi="宋体" w:cs="宋体"/>
          <w:sz w:val="24"/>
          <w:szCs w:val="24"/>
        </w:rPr>
        <w:t xml:space="preserve">信息安全设计方案</w:t>
      </w:r>
      <w:r>
        <w:rPr>
          <w:rFonts w:hint="eastAsia" w:ascii="宋体" w:hAnsi="宋体" w:cs="宋体"/>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需根据信息安全有关要求，编写项目信息安全设计方案，本项目须满足网络安全等级保护三级安全性评估等要求，具体包括但不限于软件系统安全开发、安全运维等内容，须确保项目中开发的软件系统符合国家和江苏省关于信息安全相关的要求。</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(1)方案中明确配合开展网络安全等级保护三级测评工作，并承担相关整改费用。</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(2)方案中明确配合完成软件验收测试工作。</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(3)方案中明确配合完成商用密码应用及安全性评估工作。</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7.5项目实施方案</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磋商响应供应商需针对技术要求，为本项目实际情况制定个性化的项目实施方案。方案内容包括但不限于项目实施计划、系统部署与接口联调、项目组织架构等。</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(1)项目实施计划应包含项目进度计划、排期、负责人的描述。</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(2)系统部署与接口联调应包含硬件环境、软件环境、接口标准和接口联调计划的描述。</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(3)明确项目组织架构，包括项目负责人及各岗位职责，项目负责人、技术负责人及开发团队具备相关技术栈开发经验，运维工程师需具备相关系统运维经验。</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7.6 服务质量保障方案</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磋商响应供应商需针对以上技术要求，为本项目实际情况制定个性化的服务质量保障方案。方案内容包括但不限于服务质量目标、项目质量计划、服务质量控制等。</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(1)方案应量化服务质量目标，包含可用性指标、时效性指标、效果行指标的描述。</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(2)方案应明确建立覆盖项目全生命周期的质量保证体系，设立专职QA（质量保证）人员，制定《项目质量计划》。</w:t>
      </w:r>
      <w:r>
        <w:rPr>
          <w:rFonts w:hint="eastAsia" w:ascii="宋体" w:hAnsi="宋体" w:cs="宋体"/>
          <w:bCs/>
          <w:color w:val="000000"/>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(3)方案应明确各阶段（需求、设计、开发、测试、部署、运维）的质量目标和质量控制措施。</w:t>
      </w:r>
      <w:r>
        <w:rPr>
          <w:rFonts w:hint="eastAsia" w:ascii="宋体" w:hAnsi="宋体" w:cs="宋体"/>
          <w:bCs/>
          <w:color w:val="000000"/>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7.7 培训服务方案</w:t>
      </w:r>
      <w:r>
        <w:rPr>
          <w:rFonts w:hint="eastAsia" w:ascii="宋体" w:hAnsi="宋体" w:cs="宋体"/>
          <w:sz w:val="24"/>
          <w:szCs w:val="24"/>
        </w:rPr>
      </w:r>
      <w:r/>
    </w:p>
    <w:p>
      <w:pPr>
        <w:pStyle w:val="677"/>
        <w:ind w:firstLine="480"/>
        <w:spacing w:line="360" w:lineRule="auto"/>
        <w:rPr>
          <w:rFonts w:ascii="宋体" w:hAnsi="宋体" w:cs="宋体"/>
          <w:sz w:val="24"/>
          <w:szCs w:val="24"/>
        </w:rPr>
      </w:pPr>
      <w:r>
        <w:rPr>
          <w:rFonts w:hint="eastAsia" w:ascii="宋体" w:hAnsi="宋体" w:cs="宋体"/>
          <w:bCs/>
          <w:color w:val="000000"/>
          <w:sz w:val="24"/>
          <w:szCs w:val="24"/>
        </w:rPr>
        <w:t xml:space="preserve">磋商响应供应商需</w:t>
      </w:r>
      <w:r>
        <w:rPr>
          <w:rFonts w:ascii="宋体" w:hAnsi="宋体" w:cs="宋体"/>
          <w:sz w:val="24"/>
          <w:szCs w:val="24"/>
        </w:rPr>
        <w:t xml:space="preserve">针对本项目需求制定培训服务方案，内容包括但不限于培训课时、培训内容、培训形式等。</w:t>
      </w:r>
      <w:r>
        <w:rPr>
          <w:rFonts w:ascii="宋体" w:hAnsi="宋体" w:cs="宋体"/>
          <w:sz w:val="24"/>
          <w:szCs w:val="24"/>
        </w:rPr>
      </w:r>
      <w:r/>
    </w:p>
    <w:p>
      <w:pPr>
        <w:pStyle w:val="677"/>
        <w:ind w:firstLine="480"/>
        <w:spacing w:line="360" w:lineRule="auto"/>
        <w:rPr>
          <w:rFonts w:ascii="宋体" w:hAnsi="宋体" w:cs="宋体"/>
          <w:sz w:val="24"/>
          <w:szCs w:val="24"/>
        </w:rPr>
      </w:pPr>
      <w:r>
        <w:rPr>
          <w:rFonts w:ascii="宋体" w:hAnsi="宋体" w:cs="宋体"/>
          <w:sz w:val="24"/>
          <w:szCs w:val="24"/>
        </w:rPr>
        <w:t xml:space="preserve">(1)总培训课时不少于20课时；集中培训课时不少于6课时；实操培训课时占总课时的比例≥40%；系统操作培训、系统管理培训、系统管理培训、管理员专项培训每类培训不少于2课时。</w:t>
      </w:r>
      <w:r>
        <w:rPr>
          <w:rFonts w:ascii="宋体" w:hAnsi="宋体" w:cs="宋体"/>
          <w:sz w:val="24"/>
          <w:szCs w:val="24"/>
        </w:rPr>
      </w:r>
      <w:r/>
    </w:p>
    <w:p>
      <w:pPr>
        <w:pStyle w:val="677"/>
        <w:ind w:firstLine="480"/>
        <w:spacing w:line="360" w:lineRule="auto"/>
        <w:rPr>
          <w:rFonts w:ascii="宋体" w:hAnsi="宋体" w:cs="宋体"/>
          <w:sz w:val="24"/>
          <w:szCs w:val="24"/>
        </w:rPr>
      </w:pPr>
      <w:r>
        <w:rPr>
          <w:rFonts w:ascii="宋体" w:hAnsi="宋体" w:cs="宋体"/>
          <w:sz w:val="24"/>
          <w:szCs w:val="24"/>
        </w:rPr>
        <w:t xml:space="preserve">(2)培训内容：系统操作、管理员操作、平台功能等。</w:t>
      </w:r>
      <w:r>
        <w:rPr>
          <w:rFonts w:ascii="宋体" w:hAnsi="宋体" w:cs="宋体"/>
          <w:sz w:val="24"/>
          <w:szCs w:val="24"/>
        </w:rPr>
      </w:r>
      <w:r/>
    </w:p>
    <w:p>
      <w:pPr>
        <w:pStyle w:val="677"/>
        <w:ind w:firstLine="480"/>
        <w:spacing w:line="360" w:lineRule="auto"/>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)培训形式：授课+实操相结合。</w:t>
      </w:r>
      <w:r>
        <w:rPr>
          <w:rFonts w:ascii="宋体" w:hAnsi="宋体" w:cs="宋体"/>
          <w:sz w:val="24"/>
          <w:szCs w:val="24"/>
        </w:rPr>
      </w:r>
      <w:r/>
    </w:p>
    <w:p>
      <w:pPr>
        <w:pStyle w:val="67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7.8项目售后服务方案</w:t>
      </w:r>
      <w:r>
        <w:rPr>
          <w:rFonts w:hint="eastAsia" w:ascii="宋体" w:hAnsi="宋体" w:cs="宋体"/>
          <w:bCs/>
          <w:color w:val="000000"/>
          <w:sz w:val="24"/>
          <w:szCs w:val="24"/>
        </w:rPr>
      </w:r>
      <w:r/>
    </w:p>
    <w:p>
      <w:pPr>
        <w:pStyle w:val="740"/>
        <w:ind w:firstLine="480"/>
        <w:jc w:val="both"/>
        <w:spacing w:beforeAutospacing="0" w:afterAutospacing="0" w:line="360" w:lineRule="auto"/>
        <w:rPr>
          <w:rFonts w:hint="eastAsia"/>
          <w:bCs/>
          <w:color w:val="000000"/>
        </w:rPr>
      </w:pPr>
      <w:r>
        <w:rPr>
          <w:rFonts w:hint="eastAsia"/>
          <w:bCs/>
          <w:color w:val="000000"/>
        </w:rPr>
        <w:t xml:space="preserve">磋商响应供应商需针对技术要求，为本项目实际情况制定个性化的项目售后服务方案。方案内容包括但不限于售后服务与响应、运维体系建设等。</w:t>
      </w:r>
      <w:r>
        <w:rPr>
          <w:rFonts w:hint="eastAsia"/>
          <w:bCs/>
          <w:color w:val="000000"/>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(1)方案应包含售后服务指标与对应量化目标的描述。</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(2)方案应包含日常巡检的描述，包含每日对系统运行状态（CPU、内存、磁盘、网络、应用服务等）进行巡检、形成《系统巡检日报》。</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(3)方案应包含备份管理的描述，每日增量备份、每周全量备份、备份数据保存不少于3个月。</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(4)方案应包含漏洞管理的描述，高危漏洞发现后24小时内完成修复，中危漏洞发现后72小时内完成修复，低危漏洞发现后7个工作日内完成修复。</w:t>
      </w:r>
      <w:r>
        <w:rPr>
          <w:rFonts w:hint="eastAsia" w:ascii="宋体" w:hAnsi="宋体" w:cs="宋体"/>
          <w:sz w:val="24"/>
          <w:szCs w:val="24"/>
        </w:rPr>
      </w:r>
      <w:r/>
    </w:p>
    <w:p>
      <w:pPr>
        <w:pStyle w:val="740"/>
        <w:ind w:firstLine="480"/>
        <w:jc w:val="both"/>
        <w:spacing w:beforeAutospacing="0" w:afterAutospacing="0" w:line="360" w:lineRule="auto"/>
        <w:rPr>
          <w:rFonts w:hint="eastAsia"/>
          <w:bCs/>
          <w:color w:val="000000"/>
        </w:rPr>
      </w:pPr>
      <w:r>
        <w:rPr>
          <w:rFonts w:hint="eastAsia"/>
          <w:bCs/>
          <w:color w:val="000000"/>
        </w:rPr>
        <w:t xml:space="preserve">7.9项目保密方案</w:t>
      </w:r>
      <w:r>
        <w:rPr>
          <w:rFonts w:hint="eastAsia"/>
          <w:bCs/>
          <w:color w:val="000000"/>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磋商响应供应商需针对技术要求，为本项目实际情况制定个性化的项目保密方案。方案内容包括但不限于保密管理体系、保密措施、保密制度等。</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(1)方案应明确制定项目《保密管理制度》，明确保密工作的基本原则、组织架构、职责分工、管理流程。</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(2)方案应明确与采购人签订项目保密协议，明确双方的保密权利和义务；所有参与项目的人员须100%签订《个人保密协议》。</w:t>
      </w:r>
      <w:r>
        <w:rPr>
          <w:rFonts w:hint="eastAsia"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(3)方案应明确根据信息系统与数据安全保密管理需要，实行最小权限原则，按“需要知道”原则授予访问权限。</w:t>
      </w:r>
      <w:r>
        <w:rPr>
          <w:rFonts w:hint="eastAsia" w:ascii="宋体" w:hAnsi="宋体" w:cs="宋体"/>
          <w:sz w:val="24"/>
          <w:szCs w:val="24"/>
        </w:rPr>
      </w:r>
      <w:r/>
    </w:p>
    <w:p>
      <w:pPr>
        <w:pStyle w:val="740"/>
        <w:ind w:firstLine="480"/>
        <w:jc w:val="both"/>
        <w:spacing w:beforeAutospacing="0" w:afterAutospacing="0" w:line="360" w:lineRule="auto"/>
        <w:rPr>
          <w:rFonts w:hint="eastAsia"/>
          <w:bCs/>
          <w:color w:val="000000"/>
        </w:rPr>
      </w:pPr>
      <w:r>
        <w:rPr>
          <w:rFonts w:hint="eastAsia"/>
          <w:bCs/>
          <w:color w:val="000000"/>
        </w:rPr>
        <w:t xml:space="preserve">7.10项目风险管理和应急方案</w:t>
      </w:r>
      <w:r>
        <w:rPr>
          <w:rFonts w:hint="eastAsia"/>
          <w:bCs/>
          <w:color w:val="000000"/>
        </w:rPr>
      </w:r>
      <w:r/>
    </w:p>
    <w:p>
      <w:pPr>
        <w:pStyle w:val="677"/>
        <w:ind w:firstLine="480"/>
        <w:spacing w:line="360" w:lineRule="auto"/>
        <w:rPr>
          <w:rFonts w:ascii="宋体" w:hAnsi="宋体" w:cs="宋体"/>
          <w:sz w:val="24"/>
          <w:szCs w:val="24"/>
        </w:rPr>
      </w:pPr>
      <w:r>
        <w:rPr>
          <w:rFonts w:ascii="宋体" w:hAnsi="宋体" w:cs="宋体"/>
          <w:sz w:val="24"/>
          <w:szCs w:val="24"/>
        </w:rPr>
        <w:t xml:space="preserve">磋商响应供应商需针对以上技术要求，为项目制定个性化风险管理及应急预案，方案内容包括但不限于风险管理、应急预案两类核心内容。</w:t>
      </w:r>
      <w:r>
        <w:rPr>
          <w:rFonts w:ascii="宋体" w:hAnsi="宋体" w:cs="宋体"/>
          <w:sz w:val="24"/>
          <w:szCs w:val="24"/>
        </w:rPr>
      </w:r>
      <w:r/>
    </w:p>
    <w:p>
      <w:pPr>
        <w:pStyle w:val="677"/>
        <w:ind w:firstLine="480"/>
        <w:spacing w:line="360" w:lineRule="auto"/>
        <w:rPr>
          <w:rFonts w:ascii="宋体" w:hAnsi="宋体" w:cs="宋体"/>
          <w:sz w:val="24"/>
          <w:szCs w:val="24"/>
        </w:rPr>
      </w:pPr>
      <w:r>
        <w:rPr>
          <w:rFonts w:ascii="宋体" w:hAnsi="宋体" w:cs="宋体"/>
          <w:sz w:val="24"/>
          <w:szCs w:val="24"/>
        </w:rPr>
        <w:t xml:space="preserve">（1）应对本项目进行全面的风险识别，识别出来的分析需要被分析和排序。</w:t>
      </w:r>
      <w:r>
        <w:rPr>
          <w:rFonts w:ascii="宋体" w:hAnsi="宋体" w:cs="宋体"/>
          <w:sz w:val="24"/>
          <w:szCs w:val="24"/>
        </w:rPr>
      </w:r>
      <w:r/>
    </w:p>
    <w:p>
      <w:pPr>
        <w:pStyle w:val="677"/>
        <w:ind w:firstLine="480"/>
        <w:spacing w:line="360" w:lineRule="auto"/>
        <w:rPr>
          <w:rFonts w:ascii="宋体" w:hAnsi="宋体" w:cs="宋体"/>
          <w:sz w:val="24"/>
          <w:szCs w:val="24"/>
        </w:rPr>
      </w:pPr>
      <w:r>
        <w:rPr>
          <w:rFonts w:ascii="宋体" w:hAnsi="宋体" w:cs="宋体"/>
          <w:sz w:val="24"/>
          <w:szCs w:val="24"/>
        </w:rPr>
        <w:t xml:space="preserve">（2）应对识别出来的风险制定针对性的风险应对策略，和具体可行的行动计划。</w:t>
      </w:r>
      <w:r>
        <w:rPr>
          <w:rFonts w:ascii="宋体" w:hAnsi="宋体" w:cs="宋体"/>
          <w:sz w:val="24"/>
          <w:szCs w:val="24"/>
        </w:rPr>
      </w:r>
      <w:r/>
    </w:p>
    <w:p>
      <w:pPr>
        <w:pStyle w:val="677"/>
        <w:ind w:firstLine="480"/>
        <w:spacing w:line="360" w:lineRule="auto"/>
        <w:rPr>
          <w:rFonts w:hint="eastAsia" w:ascii="宋体" w:hAnsi="宋体" w:cs="宋体"/>
          <w:sz w:val="24"/>
          <w:szCs w:val="24"/>
        </w:rPr>
      </w:pPr>
      <w:r>
        <w:rPr>
          <w:rFonts w:hint="eastAsia" w:ascii="宋体" w:hAnsi="宋体" w:cs="宋体"/>
          <w:sz w:val="24"/>
          <w:szCs w:val="24"/>
        </w:rPr>
        <w:t xml:space="preserve">(3)方案应包含应急响应的描述，建立安全事件应急响应预案，明确P1/P2事件分级，在安全事件发现后15分钟内启动应急响应。</w:t>
      </w:r>
      <w:r>
        <w:rPr>
          <w:rFonts w:hint="eastAsia" w:ascii="宋体" w:hAnsi="宋体" w:cs="宋体"/>
          <w:sz w:val="24"/>
          <w:szCs w:val="24"/>
        </w:rPr>
      </w:r>
      <w:r/>
    </w:p>
    <w:p>
      <w:pPr>
        <w:pStyle w:val="679"/>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2.演示要求 上传视频演示</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（1）供应商需按照磋商文件规定的演示内容制作演示视频文件，视频文件的格式为</w:t>
      </w:r>
      <w:r>
        <w:rPr>
          <w:rFonts w:ascii="Times New Roman" w:hAnsi="Times New Roman"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ascii="Times New Roman" w:hAnsi="Times New Roman"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ascii="Times New Roman" w:hAnsi="Times New Roman"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ascii="Times New Roman" w:hAnsi="Times New Roman"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ascii="Times New Roman" w:hAnsi="Times New Roman"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（2）演示内容如下：</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①基础数据管理演示：演示税务等部门数据导入、“专精特新”、高新技术企业等单位标签导入；演示名录库基本单位表与税务部门数据、单位标签合并，根据规则自动生成基础库、培育库、后备库及规上库。</w:t>
      </w:r>
      <w:r>
        <w:rPr>
          <w:rFonts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②数据调查核实演示：演示划分培育库和后备库中单位数据处理地；演示统计用户填写调查情况，核实区划、行业、销售额等数据。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③数据审核确认演示：演示统计用户根据核实结果进行审核确认；演示部门用户核实行业及统计用户认定行业信息。</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④数据查询汇总及快照管理演示：演示数据审核功能，演示自定义模版、多条件组合查询，演示交叉汇总及跨表关联查询；演示快照生成及查询功能。</w:t>
      </w:r>
      <w:r>
        <w:rPr>
          <w:rFonts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rPr>
        <w:t xml:space="preserve">⑤部门行业及角色管理演示：演示部门行业分级自定义配置、部门用户角色权限管理功能；演示根据部门和地区维度进行汇总。</w:t>
      </w:r>
      <w:r>
        <w:rPr>
          <w:rFonts w:ascii="方正仿宋_GBK" w:hAnsi="方正仿宋_GBK" w:eastAsia="方正仿宋_GBK" w:cs="方正仿宋_GBK"/>
          <w:color w:val="000000"/>
          <w:sz w:val="28"/>
          <w:szCs w:val="28"/>
        </w:rPr>
      </w:r>
      <w:r/>
    </w:p>
    <w:p>
      <w:pPr>
        <w:pStyle w:val="677"/>
        <w:spacing w:before="120" w:after="120" w:line="0" w:lineRule="atLeast"/>
        <w:rPr>
          <w:rFonts w:ascii="宋体" w:hAnsi="Courier New" w:cs="Courier New"/>
          <w:sz w:val="24"/>
          <w:szCs w:val="24"/>
        </w:rPr>
      </w:pPr>
      <w:r>
        <w:rPr>
          <w:rFonts w:ascii="宋体" w:hAnsi="Courier New" w:cs="Courier New"/>
          <w:sz w:val="24"/>
          <w:szCs w:val="24"/>
        </w:rPr>
      </w:r>
      <w:r/>
    </w:p>
    <w:p>
      <w:pPr>
        <w:pStyle w:val="677"/>
        <w:spacing w:before="120" w:after="120" w:line="0" w:lineRule="atLeast"/>
        <w:rPr>
          <w:rFonts w:ascii="宋体" w:hAnsi="Courier New" w:cs="Courier New"/>
          <w:sz w:val="24"/>
          <w:szCs w:val="24"/>
        </w:rPr>
      </w:pPr>
      <w:r>
        <w:rPr>
          <w:rFonts w:ascii="宋体" w:hAnsi="Courier New" w:cs="Courier New"/>
          <w:sz w:val="24"/>
          <w:szCs w:val="24"/>
        </w:rPr>
      </w:r>
      <w:r/>
    </w:p>
    <w:p>
      <w:pPr>
        <w:pStyle w:val="677"/>
        <w:spacing w:before="120" w:after="120" w:line="0" w:lineRule="atLeast"/>
        <w:rPr>
          <w:rFonts w:ascii="宋体" w:hAnsi="Courier New" w:cs="Courier New"/>
          <w:sz w:val="24"/>
          <w:szCs w:val="24"/>
        </w:rPr>
      </w:pPr>
      <w:r>
        <w:rPr>
          <w:rFonts w:ascii="宋体" w:hAnsi="Courier New" w:cs="Courier New"/>
          <w:sz w:val="24"/>
          <w:szCs w:val="24"/>
        </w:rPr>
      </w:r>
      <w:r/>
    </w:p>
    <w:p>
      <w:pPr>
        <w:pStyle w:val="677"/>
        <w:spacing w:before="120" w:after="120" w:line="0" w:lineRule="atLeast"/>
        <w:rPr>
          <w:rFonts w:ascii="宋体" w:hAnsi="Courier New" w:cs="Courier New"/>
          <w:sz w:val="24"/>
          <w:szCs w:val="24"/>
        </w:rPr>
      </w:pPr>
      <w:r>
        <w:rPr>
          <w:rFonts w:ascii="宋体" w:hAnsi="Courier New" w:cs="Courier New"/>
          <w:sz w:val="24"/>
          <w:szCs w:val="24"/>
        </w:rPr>
      </w:r>
      <w:r/>
    </w:p>
    <w:p>
      <w:pPr>
        <w:pStyle w:val="677"/>
        <w:jc w:val="center"/>
        <w:keepNext/>
        <w:spacing w:line="400" w:lineRule="exact"/>
        <w:rPr>
          <w:rFonts w:hint="eastAsia" w:ascii="黑体" w:hAnsi="Times New Roman" w:eastAsia="黑体"/>
          <w:bCs/>
          <w:sz w:val="28"/>
          <w:szCs w:val="28"/>
        </w:rPr>
        <w:outlineLvl w:val="0"/>
      </w:pPr>
      <w:r/>
      <w:bookmarkStart w:id="180" w:name="_Toc120614281"/>
      <w:r>
        <w:rPr>
          <w:rFonts w:hint="eastAsia" w:ascii="黑体" w:hAnsi="Times New Roman" w:eastAsia="黑体"/>
          <w:bCs/>
          <w:sz w:val="28"/>
          <w:szCs w:val="28"/>
        </w:rPr>
        <w:br w:type="page" w:clear="all"/>
      </w:r>
      <w:r>
        <w:rPr>
          <w:rFonts w:hint="eastAsia" w:ascii="黑体" w:hAnsi="Times New Roman" w:eastAsia="黑体"/>
          <w:bCs/>
          <w:sz w:val="28"/>
          <w:szCs w:val="28"/>
        </w:rPr>
        <w:t xml:space="preserve">第五章  评审方法与评审标准</w:t>
      </w:r>
      <w:r>
        <w:rPr>
          <w:rFonts w:hint="eastAsia" w:ascii="黑体" w:hAnsi="Times New Roman" w:eastAsia="黑体"/>
          <w:bCs/>
          <w:sz w:val="28"/>
          <w:szCs w:val="28"/>
        </w:rPr>
      </w:r>
      <w:r/>
    </w:p>
    <w:p>
      <w:pPr>
        <w:pStyle w:val="677"/>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77"/>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1.采购本国产品的支持政策</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677"/>
        <w:ind w:firstLine="562"/>
        <w:jc w:val="left"/>
        <w:spacing w:before="120" w:after="120" w:line="400" w:lineRule="exact"/>
        <w:rPr>
          <w:rFonts w:ascii="宋体" w:hAnsi="宋体"/>
          <w:b/>
          <w:sz w:val="28"/>
          <w:szCs w:val="28"/>
        </w:rPr>
      </w:pPr>
      <w:r>
        <w:rPr>
          <w:rFonts w:ascii="宋体" w:hAnsi="宋体"/>
          <w:b/>
          <w:sz w:val="28"/>
          <w:szCs w:val="28"/>
        </w:rPr>
      </w:r>
      <w:r/>
    </w:p>
    <w:p>
      <w:pPr>
        <w:pStyle w:val="677"/>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8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6238"/>
        <w:gridCol w:w="848"/>
      </w:tblGrid>
      <w:tr>
        <w:trPr>
          <w:trHeight w:val="23"/>
        </w:trPr>
        <w:tc>
          <w:tcPr>
            <w:tcW w:w="1474"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评分项</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评审标准</w:t>
            </w:r>
            <w:r>
              <w:rPr>
                <w:rFonts w:hint="eastAsia" w:ascii="宋体" w:hAnsi="宋体" w:cs="宋体"/>
                <w:sz w:val="24"/>
                <w:szCs w:val="24"/>
              </w:rPr>
            </w:r>
            <w:r/>
          </w:p>
        </w:tc>
        <w:tc>
          <w:tcPr>
            <w:tcW w:w="84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分值</w:t>
            </w:r>
            <w:r>
              <w:rPr>
                <w:rFonts w:hint="eastAsia" w:ascii="宋体" w:hAnsi="宋体" w:cs="宋体"/>
                <w:sz w:val="24"/>
                <w:szCs w:val="24"/>
              </w:rPr>
            </w:r>
            <w:r/>
          </w:p>
        </w:tc>
      </w:tr>
      <w:tr>
        <w:trPr>
          <w:trHeight w:val="23"/>
        </w:trPr>
        <w:tc>
          <w:tcPr>
            <w:gridSpan w:val="2"/>
            <w:shd w:val="clear" w:color="auto" w:fill="d8d8d8"/>
            <w:tcW w:w="7712" w:type="dxa"/>
            <w:vAlign w:val="center"/>
            <w:textDirection w:val="lrTb"/>
            <w:noWrap w:val="false"/>
          </w:tcPr>
          <w:p>
            <w:pPr>
              <w:pStyle w:val="677"/>
              <w:ind w:firstLine="480"/>
              <w:spacing w:line="360" w:lineRule="exact"/>
              <w:widowControl/>
              <w:rPr>
                <w:rFonts w:hint="eastAsia" w:ascii="宋体" w:hAnsi="宋体" w:cs="宋体"/>
                <w:sz w:val="24"/>
                <w:szCs w:val="24"/>
              </w:rPr>
            </w:pPr>
            <w:r>
              <w:rPr>
                <w:rFonts w:hint="eastAsia" w:ascii="宋体" w:hAnsi="宋体" w:cs="宋体"/>
                <w:sz w:val="24"/>
                <w:szCs w:val="24"/>
              </w:rPr>
              <w:t xml:space="preserve">（一）价格部分</w:t>
            </w:r>
            <w:r>
              <w:rPr>
                <w:rFonts w:hint="eastAsia" w:ascii="宋体" w:hAnsi="宋体" w:cs="宋体"/>
                <w:sz w:val="24"/>
                <w:szCs w:val="24"/>
              </w:rPr>
            </w:r>
            <w:r/>
          </w:p>
        </w:tc>
        <w:tc>
          <w:tcPr>
            <w:shd w:val="clear" w:color="auto" w:fill="d8d8d8"/>
            <w:tcW w:w="84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r>
      <w:tr>
        <w:trPr>
          <w:trHeight w:val="23"/>
        </w:trPr>
        <w:tc>
          <w:tcPr>
            <w:tcW w:w="1474"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1.1价格分</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采用低价优先法计算，即满足竞争性磋商文件要求且磋商最终报价价格最低的磋商报价为评审基准价，其价格分为满分。其他满足磋商文件要求的</w:t>
            </w: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的价格分统一按照下列公式计算：</w:t>
            </w:r>
            <w:r>
              <w:rPr>
                <w:rFonts w:hint="eastAsia" w:ascii="宋体" w:hAnsi="宋体" w:cs="宋体"/>
                <w:sz w:val="24"/>
                <w:szCs w:val="24"/>
              </w:rPr>
              <w:br w:type="textWrapping" w:clear="all"/>
            </w:r>
            <w:r>
              <w:rPr>
                <w:rFonts w:hint="eastAsia" w:ascii="宋体" w:hAnsi="宋体" w:cs="宋体"/>
                <w:sz w:val="24"/>
                <w:szCs w:val="24"/>
              </w:rPr>
              <w:t xml:space="preserve">磋商报价得分=（评审基准价／磋商最终报价）×10。</w:t>
            </w:r>
            <w:r>
              <w:rPr>
                <w:rFonts w:hint="eastAsia" w:ascii="宋体" w:hAnsi="宋体" w:cs="宋体"/>
                <w:sz w:val="24"/>
                <w:szCs w:val="24"/>
              </w:rPr>
              <w:br w:type="textWrapping" w:clear="all"/>
            </w:r>
            <w:r>
              <w:rPr>
                <w:rFonts w:hint="eastAsia" w:ascii="宋体" w:hAnsi="宋体" w:cs="宋体"/>
                <w:sz w:val="24"/>
                <w:szCs w:val="24"/>
              </w:rPr>
              <w:t xml:space="preserve">注：报价得分保留小数点后两位小数。</w:t>
            </w:r>
            <w:r>
              <w:rPr>
                <w:rFonts w:hint="eastAsia" w:ascii="宋体" w:hAnsi="宋体" w:cs="宋体"/>
                <w:sz w:val="24"/>
                <w:szCs w:val="24"/>
              </w:rPr>
            </w:r>
            <w:r/>
          </w:p>
        </w:tc>
        <w:tc>
          <w:tcPr>
            <w:tcW w:w="84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r>
      <w:tr>
        <w:trPr>
          <w:trHeight w:val="23"/>
        </w:trPr>
        <w:tc>
          <w:tcPr>
            <w:gridSpan w:val="2"/>
            <w:shd w:val="clear" w:color="auto" w:fill="d8d8d8"/>
            <w:tcW w:w="7712"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（二）技术方案部分</w:t>
            </w:r>
            <w:r>
              <w:rPr>
                <w:rFonts w:hint="eastAsia" w:ascii="宋体" w:hAnsi="宋体" w:cs="宋体"/>
                <w:sz w:val="24"/>
                <w:szCs w:val="24"/>
              </w:rPr>
            </w:r>
            <w:r/>
          </w:p>
        </w:tc>
        <w:tc>
          <w:tcPr>
            <w:shd w:val="clear" w:color="auto" w:fill="d8d8d8"/>
            <w:tcW w:w="848" w:type="dxa"/>
            <w:vAlign w:val="center"/>
            <w:textDirection w:val="lrTb"/>
            <w:noWrap w:val="false"/>
          </w:tcPr>
          <w:p>
            <w:pPr>
              <w:pStyle w:val="677"/>
              <w:spacing w:line="360" w:lineRule="exact"/>
              <w:widowControl/>
              <w:rPr>
                <w:rFonts w:ascii="宋体" w:hAnsi="宋体" w:cs="宋体"/>
                <w:sz w:val="24"/>
                <w:szCs w:val="24"/>
              </w:rPr>
            </w:pPr>
            <w:r>
              <w:rPr>
                <w:rFonts w:hint="eastAsia" w:ascii="宋体" w:hAnsi="宋体" w:cs="宋体"/>
                <w:sz w:val="24"/>
                <w:szCs w:val="24"/>
              </w:rPr>
              <w:t xml:space="preserve">50</w:t>
            </w:r>
            <w:r>
              <w:rPr>
                <w:rFonts w:ascii="宋体" w:hAnsi="宋体" w:cs="宋体"/>
                <w:sz w:val="24"/>
                <w:szCs w:val="24"/>
              </w:rPr>
            </w:r>
            <w:r/>
          </w:p>
        </w:tc>
      </w:tr>
      <w:tr>
        <w:trPr>
          <w:trHeight w:val="97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2.1项目建设方案</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提供项目升级改造建设方案，方案内容包括但不限于基础数据归集与基础库构建、数据校验核实与动态监测汇总、系统配置与运维管理等内容。</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评委根据磋商响应文件对磋商文件第四章“采购需求”中“项目建设方案”要求的响应情况进行评审</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（1）磋商响应文件未符合“项目建设方案”中全部条款要求的，视为不符合磋商文件，本项得0分。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（2）磋商响应文件符合“项目建设方案”中全部条款要求的，视为符合磋商文件，本项得3分。</w:t>
            </w:r>
            <w:r>
              <w:rPr>
                <w:rFonts w:hint="eastAsia" w:ascii="宋体" w:hAnsi="宋体" w:cs="宋体"/>
                <w:sz w:val="24"/>
                <w:szCs w:val="24"/>
              </w:rPr>
            </w:r>
            <w:r/>
          </w:p>
          <w:p>
            <w:pPr>
              <w:pStyle w:val="677"/>
              <w:spacing w:line="360" w:lineRule="exact"/>
              <w:widowControl/>
              <w:rPr>
                <w:rFonts w:hint="eastAsia"/>
              </w:rPr>
            </w:pPr>
            <w:r>
              <w:rPr>
                <w:rFonts w:hint="eastAsia" w:ascii="宋体" w:hAnsi="宋体" w:cs="宋体"/>
                <w:sz w:val="24"/>
                <w:szCs w:val="24"/>
              </w:rPr>
              <w:t xml:space="preserve">（3）经评委认定，磋商响应文件对“项目建设方案”中“基础库合并”、“单位数据核实”、“部门行业配置”三项要求的响应内容全部优于磋商文件要求的（前提是投标文件对“项目建设方案”中除“基础库合并”、“单位数据核实”、“部门行业配置”外其他要求响应内容符合招标文件要求），本项得5分。</w:t>
            </w:r>
            <w:r>
              <w:rPr>
                <w:rFonts w:hint="eastAsia"/>
              </w:rPr>
            </w:r>
            <w:r/>
          </w:p>
        </w:tc>
        <w:tc>
          <w:tcPr>
            <w:tcW w:w="848"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2.2重点难点分析及解决方案</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评委根据磋商响应文件对磋商文件第四章“采购需求”中“重点难点分析及解决方案”要求的响应情况进行评审</w:t>
            </w:r>
            <w:r>
              <w:rPr>
                <w:rFonts w:hint="eastAsia" w:ascii="宋体" w:hAnsi="宋体" w:cs="宋体"/>
                <w:sz w:val="24"/>
                <w:szCs w:val="24"/>
              </w:rPr>
            </w:r>
            <w:r/>
          </w:p>
          <w:p>
            <w:pPr>
              <w:pStyle w:val="677"/>
              <w:spacing w:line="36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磋商响应文件未符合“重点难点分析及解决方案”中全部条款要求的，视为不符合磋商文件，本项得0分。</w:t>
            </w:r>
            <w:r>
              <w:rPr>
                <w:rFonts w:ascii="宋体" w:hAnsi="宋体" w:cs="宋体"/>
                <w:sz w:val="24"/>
                <w:szCs w:val="24"/>
              </w:rPr>
            </w:r>
            <w:r/>
          </w:p>
          <w:p>
            <w:pPr>
              <w:pStyle w:val="677"/>
              <w:spacing w:line="36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磋商响应文件符合“重点难点分析及解决方案”中全部条款要求的，视为符合磋商文件，本项得3分。</w:t>
            </w:r>
            <w:r>
              <w:rPr>
                <w:rFonts w:ascii="宋体" w:hAnsi="宋体" w:cs="宋体"/>
                <w:sz w:val="24"/>
                <w:szCs w:val="24"/>
              </w:rPr>
            </w:r>
            <w:r/>
          </w:p>
          <w:p>
            <w:pPr>
              <w:pStyle w:val="677"/>
              <w:spacing w:line="360" w:lineRule="exact"/>
              <w:widowControl/>
            </w:pPr>
            <w:r>
              <w:rPr>
                <w:rFonts w:hint="eastAsia" w:ascii="宋体" w:hAnsi="宋体" w:cs="宋体"/>
                <w:sz w:val="24"/>
                <w:szCs w:val="24"/>
              </w:rPr>
              <w:t xml:space="preserve">（3）</w:t>
            </w:r>
            <w:r>
              <w:rPr>
                <w:rFonts w:ascii="宋体" w:hAnsi="宋体" w:cs="宋体"/>
                <w:sz w:val="24"/>
                <w:szCs w:val="24"/>
              </w:rPr>
              <w:t xml:space="preserve">经评委认定，</w:t>
            </w:r>
            <w:r>
              <w:rPr>
                <w:rFonts w:hint="eastAsia" w:ascii="宋体" w:hAnsi="宋体" w:cs="宋体"/>
                <w:sz w:val="24"/>
                <w:szCs w:val="24"/>
              </w:rPr>
              <w:t xml:space="preserve">磋商响应文件对“重点难点分析及解决方案”中“重难点梳理”、“原因分析”、“解决方案”三项要求的响应内容全部优于磋商文件要求的（前提是投标文件对“重点难点分析及解决方案”中除“重难点梳理”、“原因分析”、“解决方案”外其他要求响应内容符合招标文件要求），本项得5分。</w:t>
            </w:r>
            <w:r/>
          </w:p>
        </w:tc>
        <w:tc>
          <w:tcPr>
            <w:tcW w:w="848"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ascii="宋体" w:hAnsi="宋体" w:cs="宋体"/>
                <w:sz w:val="24"/>
                <w:szCs w:val="24"/>
              </w:rPr>
            </w:pPr>
            <w:r>
              <w:rPr>
                <w:rFonts w:hint="eastAsia" w:ascii="宋体" w:hAnsi="宋体" w:cs="宋体"/>
                <w:sz w:val="24"/>
                <w:szCs w:val="24"/>
              </w:rPr>
              <w:t xml:space="preserve">2.3 生产数据同步设计方案</w:t>
            </w:r>
            <w:r>
              <w:rPr>
                <w:rFonts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磋商响应供应商提供生产数据同步设计方案，包括单位监测库和工作库中核实维护等生产数据与国家统计云名录库基本单位表、调查单位字典库、入退库审批等数据上行和下行数据同步方案。</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评委根据磋商响应文件对磋商文件第四章“采购需求”中“生产数据同步设计方案”要求的响应情况进行评审</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（1）磋商响应文件未符合“生产数据同步设计方案”中全部条款要求的，视为不符合磋商文件，本项得0分。</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（2）磋商响应文件符合“生产数据同步设计方案”中全部条款要求的，视为符合磋商文件，本项得3分。</w:t>
            </w:r>
            <w:r>
              <w:rPr>
                <w:rFonts w:hint="eastAsia" w:ascii="宋体" w:hAnsi="宋体" w:cs="宋体"/>
                <w:bCs/>
                <w:color w:val="000000"/>
                <w:sz w:val="24"/>
                <w:szCs w:val="24"/>
              </w:rPr>
            </w:r>
            <w:r/>
          </w:p>
          <w:p>
            <w:pPr>
              <w:pStyle w:val="677"/>
              <w:spacing w:line="360" w:lineRule="exact"/>
              <w:widowControl/>
              <w:rPr>
                <w:rFonts w:ascii="宋体" w:hAnsi="宋体" w:cs="宋体"/>
                <w:sz w:val="24"/>
                <w:szCs w:val="24"/>
              </w:rPr>
            </w:pPr>
            <w:r>
              <w:rPr>
                <w:rFonts w:hint="eastAsia" w:ascii="宋体" w:hAnsi="宋体" w:cs="宋体"/>
                <w:bCs/>
                <w:color w:val="000000"/>
                <w:sz w:val="24"/>
                <w:szCs w:val="24"/>
              </w:rPr>
              <w:t xml:space="preserve">（3）经评委认定，</w:t>
            </w:r>
            <w:r>
              <w:rPr>
                <w:rFonts w:hint="eastAsia" w:ascii="宋体" w:hAnsi="宋体" w:cs="宋体"/>
                <w:sz w:val="24"/>
                <w:szCs w:val="24"/>
              </w:rPr>
              <w:t xml:space="preserve">磋商响应文件对“生产数据同步设计方案”中“基本单位表同步”、“入退库审批及字典库同步”、“角色权限及日志同步”三项要求的响应内容全部优于磋商文件要求的（前提是投标文件对“生产数据同步设计方案”中除“基本单位表同步”、“入退库审批及字典库同步”、“角色权限及日志同步”外其他要求响应内容符合招标文件要求），本项得5分。</w:t>
            </w:r>
            <w:r>
              <w:rPr>
                <w:rFonts w:ascii="宋体" w:hAnsi="宋体" w:cs="宋体"/>
                <w:sz w:val="24"/>
                <w:szCs w:val="24"/>
              </w:rPr>
            </w:r>
            <w:r/>
          </w:p>
        </w:tc>
        <w:tc>
          <w:tcPr>
            <w:tcW w:w="848" w:type="dxa"/>
            <w:vAlign w:val="center"/>
            <w:textDirection w:val="lrTb"/>
            <w:noWrap/>
          </w:tcPr>
          <w:p>
            <w:pPr>
              <w:pStyle w:val="677"/>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2.4信息安全设计方案</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磋商响应供应商根据招标文件要求提供信息安全设计方案，包括但不限于软件系统的安全开发、安全运维等内容。</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评委根据磋商响应文件对磋商文件第四章“采购需求”中“信息安全设计方案”要求的响应情况进行评审</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（1）磋商响应文件未符合“信息安全设计方案”中全部条款要求的，视为不符合磋商文件，本项得0分。</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（2）磋商响应文件符合“项目建设方案”中全部条款要求的，视为符合磋商文件，本项得3分。</w:t>
            </w:r>
            <w:r>
              <w:rPr>
                <w:rFonts w:hint="eastAsia" w:ascii="宋体" w:hAnsi="宋体" w:cs="宋体"/>
                <w:bCs/>
                <w:color w:val="000000"/>
                <w:sz w:val="24"/>
                <w:szCs w:val="24"/>
              </w:rPr>
            </w:r>
            <w:r/>
          </w:p>
          <w:p>
            <w:pPr>
              <w:pStyle w:val="677"/>
              <w:spacing w:line="360" w:lineRule="exact"/>
              <w:widowControl/>
              <w:rPr>
                <w:rFonts w:hint="eastAsia"/>
              </w:rPr>
            </w:pPr>
            <w:r/>
            <w:bookmarkStart w:id="181" w:name="OLE_LINK2"/>
            <w:r>
              <w:rPr>
                <w:rFonts w:hint="eastAsia" w:ascii="宋体" w:hAnsi="宋体" w:cs="宋体"/>
                <w:bCs/>
                <w:color w:val="000000"/>
                <w:sz w:val="24"/>
                <w:szCs w:val="24"/>
              </w:rPr>
              <w:t xml:space="preserve">（3）</w:t>
            </w:r>
            <w:bookmarkEnd w:id="181"/>
            <w:r>
              <w:rPr>
                <w:rFonts w:hint="eastAsia" w:ascii="宋体" w:hAnsi="宋体" w:cs="宋体"/>
                <w:bCs/>
                <w:color w:val="000000"/>
                <w:sz w:val="24"/>
                <w:szCs w:val="24"/>
              </w:rPr>
              <w:t xml:space="preserve">经评委认定，</w:t>
            </w:r>
            <w:r>
              <w:rPr>
                <w:rFonts w:hint="eastAsia" w:ascii="宋体" w:hAnsi="宋体" w:cs="宋体"/>
                <w:sz w:val="24"/>
                <w:szCs w:val="24"/>
              </w:rPr>
              <w:t xml:space="preserve">磋商响应文件对“信息安全设计方案”中“软件安全开发”、“软件验收测试”、“商用密码应用及安全性评估”三项要求的响应内容全部优于磋商文件要求的（前提是投标文件对“信息安全设计方案”中除“软件安全开发”、“软件验收测试”、“商用密码应用及安全性评估”外其他要求响应内容符合招标文件要求），本项得5分。</w:t>
            </w:r>
            <w:r>
              <w:rPr>
                <w:rFonts w:hint="eastAsia"/>
              </w:rPr>
            </w:r>
            <w:r/>
          </w:p>
        </w:tc>
        <w:tc>
          <w:tcPr>
            <w:tcW w:w="848"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2.5项目实施方案</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磋商响应供应商针对本项目提供个性化的项目实施方案。方案内容包括但不限于项目实施计划、系统部署与接口联调、项目组织架构等。</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评委根据磋商响应文件对磋商文件第四章“采购需求”中“项目实施方案”要求的响应情况进行评审</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（1）磋商响应文件未符合“项目实施方案”中全部条款要求的，视为不符合磋商文件，本项得0分。</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（2）磋商响应文件符合“项目实施方案”中全部条款要求的，视为符合磋商文件，本项得3分。</w:t>
            </w:r>
            <w:r>
              <w:rPr>
                <w:rFonts w:hint="eastAsia" w:ascii="宋体" w:hAnsi="宋体" w:cs="宋体"/>
                <w:bCs/>
                <w:color w:val="000000"/>
                <w:sz w:val="24"/>
                <w:szCs w:val="24"/>
              </w:rPr>
            </w:r>
            <w:r/>
          </w:p>
          <w:p>
            <w:pPr>
              <w:pStyle w:val="677"/>
              <w:spacing w:line="360" w:lineRule="exact"/>
              <w:widowControl/>
              <w:rPr>
                <w:rFonts w:hint="eastAsia" w:ascii="宋体" w:hAnsi="宋体" w:cs="宋体"/>
                <w:sz w:val="24"/>
                <w:szCs w:val="24"/>
              </w:rPr>
            </w:pPr>
            <w:r>
              <w:rPr>
                <w:rFonts w:hint="eastAsia" w:ascii="宋体" w:hAnsi="宋体" w:cs="宋体"/>
                <w:bCs/>
                <w:color w:val="000000"/>
                <w:sz w:val="24"/>
                <w:szCs w:val="24"/>
              </w:rPr>
              <w:t xml:space="preserve">（3）经评委认定，</w:t>
            </w:r>
            <w:r>
              <w:rPr>
                <w:rFonts w:hint="eastAsia" w:ascii="宋体" w:hAnsi="宋体" w:cs="宋体"/>
                <w:sz w:val="24"/>
                <w:szCs w:val="24"/>
              </w:rPr>
              <w:t xml:space="preserve">磋商响应文件对“项目实施方案”中“项目进度计划”、“系统部署与接口联调”、“项目组织架构”三项要求的响应内容全部优于磋商文件要求的（前提是投标文件对“项目实施方案”中除“项目进度计划”、“系统部署与接口联调”、“项目组织架构”外其他要求响应内容符合招标文件要求），本项得5分。</w:t>
            </w:r>
            <w:r>
              <w:rPr>
                <w:rFonts w:hint="eastAsia" w:ascii="宋体" w:hAnsi="宋体" w:cs="宋体"/>
                <w:sz w:val="24"/>
                <w:szCs w:val="24"/>
              </w:rPr>
            </w:r>
            <w:r/>
          </w:p>
        </w:tc>
        <w:tc>
          <w:tcPr>
            <w:tcW w:w="848"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2.6服务质量保障方案</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磋商响应供应商需提供个性化的服务质量保障方案。方案内容包括但不限于服务质量目标、项目质量计划、服务质量控制等。</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评委根据磋商响应文件对磋商文件第四章“采购需求”中“服务质量保障方案”要求的响应情况进行评审</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（1）磋商响应文件未符合“服务质量保障方案”中全部条款要求的，视为不符合磋商文件，本项得0分。</w:t>
            </w:r>
            <w:r>
              <w:rPr>
                <w:rFonts w:hint="eastAsia" w:ascii="宋体" w:hAnsi="宋体" w:cs="宋体"/>
                <w:bCs/>
                <w:color w:val="000000"/>
                <w:sz w:val="24"/>
                <w:szCs w:val="24"/>
              </w:rPr>
            </w:r>
            <w:r/>
          </w:p>
          <w:p>
            <w:pPr>
              <w:pStyle w:val="677"/>
              <w:spacing w:line="360" w:lineRule="exact"/>
              <w:widowControl/>
              <w:rPr>
                <w:rFonts w:hint="eastAsia" w:ascii="宋体" w:hAnsi="宋体" w:cs="宋体"/>
                <w:bCs/>
                <w:color w:val="000000"/>
                <w:sz w:val="24"/>
                <w:szCs w:val="24"/>
              </w:rPr>
            </w:pPr>
            <w:r>
              <w:rPr>
                <w:rFonts w:hint="eastAsia" w:ascii="宋体" w:hAnsi="宋体" w:cs="宋体"/>
                <w:bCs/>
                <w:color w:val="000000"/>
                <w:sz w:val="24"/>
                <w:szCs w:val="24"/>
              </w:rPr>
              <w:t xml:space="preserve">（2）磋商响应文件符合“服务质量保障方案”中全部条款要求的，视为符合磋商文件，本项得3分。</w:t>
            </w:r>
            <w:r>
              <w:rPr>
                <w:rFonts w:hint="eastAsia" w:ascii="宋体" w:hAnsi="宋体" w:cs="宋体"/>
                <w:bCs/>
                <w:color w:val="000000"/>
                <w:sz w:val="24"/>
                <w:szCs w:val="24"/>
              </w:rPr>
            </w:r>
            <w:r/>
          </w:p>
          <w:p>
            <w:pPr>
              <w:pStyle w:val="677"/>
              <w:spacing w:line="360" w:lineRule="exact"/>
              <w:widowControl/>
              <w:rPr>
                <w:rFonts w:hint="eastAsia" w:ascii="宋体" w:hAnsi="宋体" w:cs="宋体"/>
                <w:sz w:val="24"/>
                <w:szCs w:val="24"/>
              </w:rPr>
            </w:pPr>
            <w:r>
              <w:rPr>
                <w:rFonts w:hint="eastAsia" w:ascii="宋体" w:hAnsi="宋体" w:cs="宋体"/>
                <w:bCs/>
                <w:color w:val="000000"/>
                <w:sz w:val="24"/>
                <w:szCs w:val="24"/>
              </w:rPr>
              <w:t xml:space="preserve">（3）经评委认定，</w:t>
            </w:r>
            <w:r>
              <w:rPr>
                <w:rFonts w:hint="eastAsia" w:ascii="宋体" w:hAnsi="宋体" w:cs="宋体"/>
                <w:sz w:val="24"/>
                <w:szCs w:val="24"/>
              </w:rPr>
              <w:t xml:space="preserve">磋商响应文件对“服务质量保障方案”中“服务质量目标”、“项目质量计划”、“质量控制措施”三项要求的响应内容全部优于磋商文件要求的（前提是投标文件对“服务质量保障方案”中除“服务质量目标”、“项目质量计划”、“质量控制措施”外其他要求响应内容符合招标文件要求），本项得5分。</w:t>
            </w:r>
            <w:r>
              <w:rPr>
                <w:rFonts w:hint="eastAsia" w:ascii="宋体" w:hAnsi="宋体" w:cs="宋体"/>
                <w:sz w:val="24"/>
                <w:szCs w:val="24"/>
              </w:rPr>
            </w:r>
            <w:r/>
          </w:p>
        </w:tc>
        <w:tc>
          <w:tcPr>
            <w:tcW w:w="848"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ascii="宋体" w:hAnsi="宋体" w:cs="宋体"/>
                <w:sz w:val="24"/>
                <w:szCs w:val="24"/>
              </w:rPr>
            </w:pPr>
            <w:r>
              <w:rPr>
                <w:rFonts w:hint="eastAsia" w:ascii="宋体" w:hAnsi="宋体" w:cs="宋体"/>
                <w:sz w:val="24"/>
                <w:szCs w:val="24"/>
              </w:rPr>
              <w:t xml:space="preserve">2.7培训服务方案</w:t>
            </w:r>
            <w:r>
              <w:rPr>
                <w:rFonts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磋商响应供应商需针对本项目需求提供培训服务方案，内容包括但不限于培训课时、培训内容、培训形式等。</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评委根据磋商响应文件对磋商文件第四章“采购需求”中“培训服务方案”要求的响应情况进行评审。</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（1）磋商响应文件未符合“培训服务方案”中全部条款要求的，视为不符合磋商文件，本项得0分。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（2）磋商响应文件符合“培训服务方案”中全部条款要求的，视为符合磋商文件，本项得3分。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3）经评委认定，磋商响应文件对“培训服务方案”中“培训师资”、“培训内容”、“培训形式”三项要求的响应内容全部优于磋商文件要求的（前提是投标文件对“培训服务方案”中除“培训师资”、“培训内容”、“培训形式”外其他要求响应内容符合招标文件要求），本项得5分。</w:t>
            </w:r>
            <w:r>
              <w:rPr>
                <w:rFonts w:hint="eastAsia" w:ascii="宋体" w:hAnsi="宋体" w:cs="宋体"/>
                <w:sz w:val="24"/>
                <w:szCs w:val="24"/>
              </w:rPr>
            </w:r>
            <w:r/>
          </w:p>
        </w:tc>
        <w:tc>
          <w:tcPr>
            <w:tcW w:w="848" w:type="dxa"/>
            <w:vAlign w:val="center"/>
            <w:textDirection w:val="lrTb"/>
            <w:noWrap/>
          </w:tcPr>
          <w:p>
            <w:pPr>
              <w:pStyle w:val="677"/>
              <w:ind w:firstLine="240"/>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2.8 售后服务方案</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提供项目售后服务方案，方案内容包括但不限于售后服务与响应、运维体系建设等。</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评委根据磋商响应文件对磋商文件第四章“采购需求”中“售后服务方案”要求的响应情况进行评审。</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（1）磋商响应文件未符合“售后服务方案”中全部条款要求的，视为不符合磋商文件，本项得0分。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（2）磋商响应文件符合“售后服务方案”中全部条款要求的，视为符合磋商文件，本项得3分。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3）经评委认定，磋商响应文件对“售后服务方案”中“日常巡检”、“数据备份”、“漏洞修复”三项要求的响应内容全部优于磋商文件要求的（前提是投标文件对“售后服务方案”中除“日常巡检”、“数据备份”、“漏洞修复”外其他要求响应内容符合招标文件要求），本项得5分。</w:t>
            </w:r>
            <w:r>
              <w:rPr>
                <w:rFonts w:hint="eastAsia" w:ascii="宋体" w:hAnsi="宋体" w:cs="宋体"/>
                <w:sz w:val="24"/>
                <w:szCs w:val="24"/>
              </w:rPr>
            </w:r>
            <w:r/>
          </w:p>
        </w:tc>
        <w:tc>
          <w:tcPr>
            <w:tcW w:w="848" w:type="dxa"/>
            <w:vAlign w:val="center"/>
            <w:textDirection w:val="lrTb"/>
            <w:noWrap/>
          </w:tcPr>
          <w:p>
            <w:pPr>
              <w:pStyle w:val="677"/>
              <w:ind w:firstLine="240"/>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23"/>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2.9 项目保密方案</w:t>
            </w:r>
            <w:r>
              <w:rPr>
                <w:rFonts w:hint="eastAsia" w:ascii="宋体" w:hAnsi="宋体" w:cs="宋体"/>
                <w:sz w:val="24"/>
                <w:szCs w:val="24"/>
              </w:rPr>
            </w:r>
            <w:r/>
          </w:p>
        </w:tc>
        <w:tc>
          <w:tcPr>
            <w:tcW w:w="6238" w:type="dxa"/>
            <w:vAlign w:val="center"/>
            <w:textDirection w:val="lrTb"/>
            <w:noWrap w:val="false"/>
          </w:tcPr>
          <w:p>
            <w:pPr>
              <w:pStyle w:val="792"/>
              <w:spacing w:line="360" w:lineRule="exact"/>
              <w:widowControl/>
              <w:rPr>
                <w:rFonts w:hint="eastAsia"/>
                <w:bCs/>
                <w:color w:val="000000"/>
                <w:lang w:eastAsia="zh-CN"/>
              </w:rPr>
            </w:pPr>
            <w:r>
              <w:rPr>
                <w:rFonts w:hint="eastAsia"/>
                <w:bCs/>
                <w:color w:val="000000"/>
                <w:lang w:eastAsia="zh-CN"/>
              </w:rPr>
              <w:t xml:space="preserve">磋商响应供应商需针对以上技术要求，为本项目实际情况制定个性化的项目保密方案。方案内容包括但不限于保密管理体系、保密措施、保密制度等。</w:t>
            </w:r>
            <w:r>
              <w:rPr>
                <w:rFonts w:hint="eastAsia"/>
                <w:bCs/>
                <w:color w:val="000000"/>
                <w:lang w:eastAsia="zh-CN"/>
              </w:rPr>
            </w:r>
            <w:r/>
          </w:p>
          <w:p>
            <w:pPr>
              <w:pStyle w:val="792"/>
              <w:spacing w:line="360" w:lineRule="exact"/>
              <w:widowControl/>
              <w:rPr>
                <w:rFonts w:hint="eastAsia"/>
                <w:spacing w:val="1"/>
                <w:lang w:eastAsia="zh-CN"/>
              </w:rPr>
            </w:pPr>
            <w:r>
              <w:rPr>
                <w:rFonts w:hint="eastAsia"/>
                <w:spacing w:val="1"/>
                <w:lang w:eastAsia="zh-CN"/>
              </w:rPr>
              <w:t xml:space="preserve">评委根据磋商响应文件对磋商文件第四章“采购需求”中“项目保密方案”要求的响应情况进行评审</w:t>
            </w:r>
            <w:r>
              <w:rPr>
                <w:rFonts w:hint="eastAsia"/>
                <w:spacing w:val="1"/>
                <w:lang w:eastAsia="zh-CN"/>
              </w:rPr>
            </w:r>
            <w:r/>
          </w:p>
          <w:p>
            <w:pPr>
              <w:pStyle w:val="792"/>
              <w:spacing w:line="360" w:lineRule="exact"/>
              <w:widowControl/>
              <w:rPr>
                <w:rFonts w:hint="eastAsia"/>
                <w:spacing w:val="1"/>
                <w:lang w:eastAsia="zh-CN"/>
              </w:rPr>
            </w:pPr>
            <w:r>
              <w:rPr>
                <w:rFonts w:hint="eastAsia"/>
                <w:spacing w:val="1"/>
                <w:lang w:eastAsia="zh-CN"/>
              </w:rPr>
              <w:t xml:space="preserve">（1）磋商响应文件未符合“项目保密方案”中全部条款要求的，视为不符合磋商文件，本项得0分。</w:t>
            </w:r>
            <w:r>
              <w:rPr>
                <w:rFonts w:hint="eastAsia"/>
                <w:spacing w:val="1"/>
                <w:lang w:eastAsia="zh-CN"/>
              </w:rPr>
            </w:r>
            <w:r/>
          </w:p>
          <w:p>
            <w:pPr>
              <w:pStyle w:val="792"/>
              <w:spacing w:line="360" w:lineRule="exact"/>
              <w:widowControl/>
              <w:rPr>
                <w:rFonts w:hint="eastAsia"/>
                <w:spacing w:val="1"/>
                <w:lang w:eastAsia="zh-CN"/>
              </w:rPr>
            </w:pPr>
            <w:r>
              <w:rPr>
                <w:rFonts w:hint="eastAsia"/>
                <w:spacing w:val="1"/>
                <w:lang w:eastAsia="zh-CN"/>
              </w:rPr>
              <w:t xml:space="preserve">（2）磋商响应文件符合“项目保密方案”中全部条款要求的，视为符合磋商文件，本项得3分。</w:t>
            </w:r>
            <w:r>
              <w:rPr>
                <w:rFonts w:hint="eastAsia"/>
                <w:spacing w:val="1"/>
                <w:lang w:eastAsia="zh-CN"/>
              </w:rPr>
            </w:r>
            <w:r/>
          </w:p>
          <w:p>
            <w:pPr>
              <w:pStyle w:val="792"/>
              <w:spacing w:line="360" w:lineRule="exact"/>
              <w:widowControl/>
              <w:rPr>
                <w:rFonts w:hint="eastAsia"/>
                <w:lang w:eastAsia="zh-CN"/>
              </w:rPr>
            </w:pPr>
            <w:r>
              <w:rPr>
                <w:rFonts w:hint="eastAsia"/>
                <w:spacing w:val="1"/>
                <w:lang w:eastAsia="zh-CN"/>
              </w:rPr>
              <w:t xml:space="preserve">（3）经评委认定，</w:t>
            </w:r>
            <w:r>
              <w:rPr>
                <w:rFonts w:hint="eastAsia"/>
                <w:lang w:eastAsia="zh-CN"/>
              </w:rPr>
              <w:t xml:space="preserve">磋商响应文件对“项目保密方案”中“保密管理制度”、“安全保密协议”、“保密措施”三项要求的响应内容全部优于磋商文件要求的（前提是投标文件对“项目保密方案”中除“保密管理制度”、“安全保密协议”、“保密措施”外其他要求响应内容符合招标文件要求），本项得5分。</w:t>
            </w:r>
            <w:r>
              <w:rPr>
                <w:rFonts w:hint="eastAsia"/>
                <w:lang w:eastAsia="zh-CN"/>
              </w:rPr>
            </w:r>
            <w:r/>
          </w:p>
        </w:tc>
        <w:tc>
          <w:tcPr>
            <w:tcW w:w="848" w:type="dxa"/>
            <w:vAlign w:val="center"/>
            <w:textDirection w:val="lrTb"/>
            <w:noWrap/>
          </w:tcPr>
          <w:p>
            <w:pPr>
              <w:pStyle w:val="677"/>
              <w:ind w:firstLine="240"/>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rHeight w:val="1433"/>
        </w:trPr>
        <w:tc>
          <w:tcPr>
            <w:tcW w:w="1474" w:type="dxa"/>
            <w:vAlign w:val="center"/>
            <w:textDirection w:val="lrTb"/>
            <w:noWrap/>
          </w:tcPr>
          <w:p>
            <w:pPr>
              <w:pStyle w:val="677"/>
              <w:spacing w:line="360" w:lineRule="exact"/>
              <w:widowControl/>
              <w:rPr>
                <w:rFonts w:ascii="宋体" w:hAnsi="宋体" w:cs="宋体"/>
                <w:sz w:val="24"/>
                <w:szCs w:val="24"/>
              </w:rPr>
            </w:pPr>
            <w:r>
              <w:rPr>
                <w:rFonts w:hint="eastAsia" w:ascii="宋体" w:hAnsi="宋体" w:cs="宋体"/>
                <w:sz w:val="24"/>
                <w:szCs w:val="24"/>
              </w:rPr>
              <w:t xml:space="preserve">2.10 项目风险管理和应急方案</w:t>
            </w:r>
            <w:r>
              <w:rPr>
                <w:rFonts w:ascii="宋体" w:hAnsi="宋体" w:cs="宋体"/>
                <w:sz w:val="24"/>
                <w:szCs w:val="24"/>
              </w:rPr>
            </w:r>
            <w:r/>
          </w:p>
        </w:tc>
        <w:tc>
          <w:tcPr>
            <w:tcW w:w="6238" w:type="dxa"/>
            <w:vAlign w:val="center"/>
            <w:textDirection w:val="lrTb"/>
            <w:noWrap w:val="false"/>
          </w:tcPr>
          <w:p>
            <w:pPr>
              <w:pStyle w:val="792"/>
              <w:spacing w:line="360" w:lineRule="exact"/>
              <w:widowControl/>
              <w:rPr>
                <w:rFonts w:hint="eastAsia"/>
                <w:spacing w:val="1"/>
                <w:lang w:eastAsia="zh-CN"/>
              </w:rPr>
            </w:pPr>
            <w:r>
              <w:rPr>
                <w:rFonts w:hint="eastAsia"/>
                <w:spacing w:val="1"/>
                <w:lang w:eastAsia="zh-CN"/>
              </w:rPr>
              <w:t xml:space="preserve">磋商响应供应商提供项目风险管理和应急方案，方案内容包括但不限于风险管理、应急预案两类核心内容。</w:t>
            </w:r>
            <w:r>
              <w:rPr>
                <w:rFonts w:hint="eastAsia"/>
                <w:spacing w:val="1"/>
                <w:lang w:eastAsia="zh-CN"/>
              </w:rPr>
            </w:r>
            <w:r/>
          </w:p>
          <w:p>
            <w:pPr>
              <w:pStyle w:val="792"/>
              <w:spacing w:line="360" w:lineRule="exact"/>
              <w:widowControl/>
              <w:rPr>
                <w:rFonts w:hint="eastAsia"/>
                <w:spacing w:val="1"/>
                <w:lang w:eastAsia="zh-CN"/>
              </w:rPr>
            </w:pPr>
            <w:r>
              <w:rPr>
                <w:rFonts w:hint="eastAsia"/>
                <w:spacing w:val="1"/>
                <w:lang w:eastAsia="zh-CN"/>
              </w:rPr>
              <w:t xml:space="preserve">评委根据磋商响应文件对磋商文件第四章“采购需求”中“项目风险管理和应急方案”要求的响应情况进行评审</w:t>
            </w:r>
            <w:r>
              <w:rPr>
                <w:rFonts w:hint="eastAsia"/>
                <w:spacing w:val="1"/>
                <w:lang w:eastAsia="zh-CN"/>
              </w:rPr>
            </w:r>
            <w:r/>
          </w:p>
          <w:p>
            <w:pPr>
              <w:pStyle w:val="792"/>
              <w:spacing w:line="360" w:lineRule="exact"/>
              <w:widowControl/>
              <w:rPr>
                <w:rFonts w:hint="eastAsia"/>
                <w:spacing w:val="1"/>
                <w:lang w:eastAsia="zh-CN"/>
              </w:rPr>
            </w:pPr>
            <w:r>
              <w:rPr>
                <w:rFonts w:hint="eastAsia"/>
                <w:spacing w:val="1"/>
                <w:lang w:eastAsia="zh-CN"/>
              </w:rPr>
              <w:t xml:space="preserve">（1）磋商响应文件中未符合“项目风险管理和应急方案”中全部条款要求的，是为不符合磋商文件，本项得0分。</w:t>
            </w:r>
            <w:r>
              <w:rPr>
                <w:rFonts w:hint="eastAsia"/>
                <w:spacing w:val="1"/>
                <w:lang w:eastAsia="zh-CN"/>
              </w:rPr>
            </w:r>
            <w:r/>
          </w:p>
          <w:p>
            <w:pPr>
              <w:pStyle w:val="792"/>
              <w:spacing w:line="360" w:lineRule="exact"/>
              <w:widowControl/>
              <w:rPr>
                <w:rFonts w:hint="eastAsia"/>
                <w:spacing w:val="1"/>
                <w:lang w:eastAsia="zh-CN"/>
              </w:rPr>
            </w:pPr>
            <w:r>
              <w:rPr>
                <w:rFonts w:hint="eastAsia"/>
                <w:spacing w:val="1"/>
                <w:lang w:eastAsia="zh-CN"/>
              </w:rPr>
              <w:t xml:space="preserve">（2）磋商响应文件符合“项目风险管理和应急方案”中全部条款要求的，视为符合磋商文件，本项得3分。</w:t>
            </w:r>
            <w:r>
              <w:rPr>
                <w:rFonts w:hint="eastAsia"/>
                <w:spacing w:val="1"/>
                <w:lang w:eastAsia="zh-CN"/>
              </w:rPr>
            </w:r>
            <w:r/>
          </w:p>
          <w:p>
            <w:pPr>
              <w:pStyle w:val="792"/>
              <w:spacing w:line="360" w:lineRule="exact"/>
              <w:widowControl/>
              <w:rPr>
                <w:rFonts w:hint="eastAsia"/>
                <w:spacing w:val="1"/>
                <w:lang w:eastAsia="zh-CN"/>
              </w:rPr>
            </w:pPr>
            <w:r>
              <w:rPr>
                <w:rFonts w:hint="eastAsia"/>
                <w:spacing w:val="1"/>
                <w:lang w:eastAsia="zh-CN"/>
              </w:rPr>
              <w:t xml:space="preserve">（3）经评委认定，</w:t>
            </w:r>
            <w:r>
              <w:rPr>
                <w:rFonts w:hint="eastAsia"/>
                <w:lang w:eastAsia="zh-CN"/>
              </w:rPr>
              <w:t xml:space="preserve">磋商响应文件对“项目风险管理和应急方案”中“风险识别”、“风险分析”、“应急响应预案”三项要求的响应内容全部优于磋商文件要求的（前提是投标文件对“项目风险管理和应急方案”中除“风险识别”、“风险分析”、“应急响应预案”外其他要求响应内容符合招标文件要求），本项得5分。</w:t>
            </w:r>
            <w:r>
              <w:rPr>
                <w:rFonts w:hint="eastAsia"/>
                <w:spacing w:val="1"/>
                <w:lang w:eastAsia="zh-CN"/>
              </w:rPr>
            </w:r>
            <w:r/>
          </w:p>
        </w:tc>
        <w:tc>
          <w:tcPr>
            <w:tcW w:w="848" w:type="dxa"/>
            <w:vAlign w:val="center"/>
            <w:textDirection w:val="lrTb"/>
            <w:noWrap/>
          </w:tcPr>
          <w:p>
            <w:pPr>
              <w:pStyle w:val="677"/>
              <w:ind w:firstLine="240"/>
              <w:spacing w:line="360" w:lineRule="exac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r>
        <w:trPr>
          <w:trHeight w:val="23"/>
        </w:trPr>
        <w:tc>
          <w:tcPr>
            <w:gridSpan w:val="2"/>
            <w:shd w:val="clear" w:color="auto" w:fill="d8d8d8"/>
            <w:tcW w:w="7712"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（三）商务部分</w:t>
            </w:r>
            <w:r>
              <w:rPr>
                <w:rFonts w:hint="eastAsia" w:ascii="宋体" w:hAnsi="宋体" w:cs="宋体"/>
                <w:sz w:val="24"/>
                <w:szCs w:val="24"/>
              </w:rPr>
            </w:r>
            <w:r/>
          </w:p>
        </w:tc>
        <w:tc>
          <w:tcPr>
            <w:shd w:val="clear" w:color="auto" w:fill="d8d8d8"/>
            <w:tcW w:w="848" w:type="dxa"/>
            <w:vAlign w:val="center"/>
            <w:textDirection w:val="lrTb"/>
            <w:noWrap w:val="false"/>
          </w:tcPr>
          <w:p>
            <w:pPr>
              <w:pStyle w:val="677"/>
              <w:spacing w:line="360" w:lineRule="exact"/>
              <w:widowControl/>
              <w:rPr>
                <w:rFonts w:ascii="宋体" w:hAnsi="宋体" w:cs="宋体"/>
                <w:sz w:val="24"/>
                <w:szCs w:val="24"/>
              </w:rPr>
            </w:pPr>
            <w:r>
              <w:rPr>
                <w:rFonts w:hint="eastAsia" w:ascii="宋体" w:hAnsi="宋体" w:cs="宋体"/>
                <w:sz w:val="24"/>
                <w:szCs w:val="24"/>
              </w:rPr>
              <w:t xml:space="preserve">40</w:t>
            </w:r>
            <w:r>
              <w:rPr>
                <w:rFonts w:ascii="宋体" w:hAnsi="宋体" w:cs="宋体"/>
                <w:sz w:val="24"/>
                <w:szCs w:val="24"/>
              </w:rPr>
            </w:r>
            <w:r/>
          </w:p>
        </w:tc>
      </w:tr>
      <w:tr>
        <w:trPr>
          <w:trHeight w:val="23"/>
        </w:trPr>
        <w:tc>
          <w:tcPr>
            <w:tcW w:w="1474" w:type="dxa"/>
            <w:vAlign w:val="center"/>
            <w:textDirection w:val="lrTb"/>
            <w:noWrap w:val="false"/>
          </w:tcPr>
          <w:p>
            <w:pPr>
              <w:pStyle w:val="677"/>
              <w:spacing w:line="360" w:lineRule="exact"/>
              <w:widowControl/>
              <w:rPr>
                <w:rFonts w:ascii="宋体" w:hAnsi="宋体" w:cs="宋体"/>
                <w:sz w:val="24"/>
                <w:szCs w:val="24"/>
              </w:rPr>
            </w:pPr>
            <w:r>
              <w:rPr>
                <w:rFonts w:hint="eastAsia" w:ascii="宋体" w:hAnsi="宋体" w:cs="宋体"/>
                <w:sz w:val="24"/>
                <w:szCs w:val="24"/>
              </w:rPr>
              <w:t xml:space="preserve">3.1系统演示</w:t>
            </w:r>
            <w:r>
              <w:rPr>
                <w:rFonts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视频文件的格式为*.mp4或*.avi，须将视频文件分段压缩为*.zip文件上传（单个文件不得大于50M，所有文件总共不得大于300M）。上传的演示视频时长总计不超过15分钟。具体演示内容及评分细则如下：</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pacing w:val="1"/>
                <w:sz w:val="24"/>
                <w:szCs w:val="24"/>
              </w:rPr>
              <w:t xml:space="preserve">（1）</w:t>
            </w:r>
            <w:r>
              <w:rPr>
                <w:rFonts w:hint="eastAsia" w:ascii="宋体" w:hAnsi="宋体" w:cs="宋体"/>
                <w:sz w:val="24"/>
                <w:szCs w:val="24"/>
              </w:rPr>
              <w:t xml:space="preserve">基础数据管理演示：演示税务等部门数据导入、“专精特新”、高新技术企业等单位标签导入；演示名录库基本单位表与税务部门数据、单位标签合并，根据规则自动生成基础库、培育库、后备库及规上库。演示完全符合要求得2分，演示不完整或未演示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pacing w:val="1"/>
                <w:sz w:val="24"/>
                <w:szCs w:val="24"/>
              </w:rPr>
              <w:t xml:space="preserve">（2）</w:t>
            </w:r>
            <w:r>
              <w:rPr>
                <w:rFonts w:hint="eastAsia" w:ascii="宋体" w:hAnsi="宋体" w:cs="宋体"/>
                <w:sz w:val="24"/>
                <w:szCs w:val="24"/>
              </w:rPr>
              <w:t xml:space="preserve">数据调查核实演示：演示划分培育库和后备库中单位数据处理地；演示统计用户填写调查情况，核实区划、行业、销售额等数据。演示完全符合要求得2分，演示不完整或未演示得0分。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（3）数据审核确认演示：演示统计用户根据核实结果进行审核确认；演示部门用户核实行业及统计用户认定行业信息。演示完全符合要求得2分，演示不完整或未演示得0分。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（4）数据查询汇总及快照管理演示：演示数据审核功能，演示自定义模版、多条件组合查询，演示交叉汇总及跨表关联查询；演示快照生成及查询功能。演示完全符合要求得2分，演示不完整或未演示得0分。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（5）部门行业及角色管理演示：演示部门行业分级自定义配置、部门用户角色权限管理功能；演示根据部门和地区维度进行汇总。演示完全符合要求得2分，演示不完整或未演示得0分。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以上每项功能采用类似真实系统演示完整内容的，得对应每项分值，最多得10分；采用非真实系统方式（如PPT、图片等）演示完整内容的，得对应每项一半分值，最多得5分；演示内容不完整或未演示的，不得分。（未提供视频文件或因供应商自身原因视频文件无法打开或视频画面不清晰无法辨认的不得分。）</w:t>
            </w:r>
            <w:r>
              <w:rPr>
                <w:rFonts w:hint="eastAsia" w:ascii="宋体" w:hAnsi="宋体" w:cs="宋体"/>
                <w:sz w:val="24"/>
                <w:szCs w:val="24"/>
              </w:rPr>
            </w:r>
            <w:r/>
          </w:p>
        </w:tc>
        <w:tc>
          <w:tcPr>
            <w:tcW w:w="848" w:type="dxa"/>
            <w:vAlign w:val="center"/>
            <w:textDirection w:val="lrTb"/>
            <w:noWrap w:val="false"/>
          </w:tcPr>
          <w:p>
            <w:pPr>
              <w:pStyle w:val="677"/>
              <w:spacing w:line="360" w:lineRule="exact"/>
              <w:widowControl/>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trHeight w:val="23"/>
        </w:trPr>
        <w:tc>
          <w:tcPr>
            <w:tcW w:w="1474"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sz w:val="24"/>
                <w:szCs w:val="21"/>
              </w:rPr>
              <w:t xml:space="preserve">3.2软件著作权</w:t>
            </w:r>
            <w:r>
              <w:rPr>
                <w:rFonts w:hint="eastAsia" w:ascii="宋体" w:hAnsi="宋体" w:cs="宋体"/>
                <w:sz w:val="24"/>
                <w:szCs w:val="24"/>
              </w:rPr>
            </w:r>
            <w:r/>
          </w:p>
        </w:tc>
        <w:tc>
          <w:tcPr>
            <w:tcW w:w="6238" w:type="dxa"/>
            <w:vAlign w:val="center"/>
            <w:textDirection w:val="lrTb"/>
            <w:noWrap w:val="false"/>
          </w:tcPr>
          <w:p>
            <w:pPr>
              <w:pStyle w:val="677"/>
              <w:spacing w:line="360" w:lineRule="exact"/>
              <w:rPr>
                <w:rFonts w:hint="eastAsia" w:ascii="宋体" w:hAnsi="宋体" w:cs="宋体"/>
                <w:sz w:val="24"/>
                <w:szCs w:val="24"/>
              </w:rPr>
            </w:pPr>
            <w:r>
              <w:rPr>
                <w:rFonts w:hint="eastAsia" w:ascii="宋体" w:hAnsi="宋体" w:cs="宋体"/>
                <w:bCs/>
                <w:color w:val="000000"/>
                <w:sz w:val="24"/>
                <w:szCs w:val="24"/>
              </w:rPr>
              <w:t xml:space="preserve">磋商响应供应商</w:t>
            </w:r>
            <w:r>
              <w:rPr>
                <w:rFonts w:hint="eastAsia" w:ascii="宋体" w:hAnsi="宋体"/>
                <w:sz w:val="24"/>
                <w:szCs w:val="21"/>
              </w:rPr>
              <w:t xml:space="preserve">具有由国家版权局颁发的相关软件著作权登记证书，</w:t>
            </w:r>
            <w:r>
              <w:rPr>
                <w:rFonts w:hint="eastAsia" w:ascii="宋体" w:hAnsi="宋体"/>
                <w:sz w:val="24"/>
                <w:szCs w:val="21"/>
                <w:highlight w:val="none"/>
              </w:rPr>
              <w:t xml:space="preserve">证书包含“</w:t>
            </w:r>
            <w:r>
              <w:rPr>
                <w:rFonts w:hint="eastAsia" w:ascii="宋体" w:hAnsi="宋体" w:cs="宋体"/>
                <w:color w:val="000000"/>
                <w:sz w:val="24"/>
                <w:szCs w:val="24"/>
                <w:highlight w:val="none"/>
              </w:rPr>
              <w:t xml:space="preserve">名录库管理系统”、</w:t>
            </w:r>
            <w:r>
              <w:rPr>
                <w:rFonts w:hint="eastAsia" w:ascii="宋体" w:hAnsi="宋体"/>
                <w:sz w:val="24"/>
                <w:szCs w:val="21"/>
                <w:highlight w:val="none"/>
              </w:rPr>
              <w:t xml:space="preserve">“</w:t>
            </w:r>
            <w:r>
              <w:rPr>
                <w:rFonts w:hint="eastAsia" w:ascii="宋体" w:hAnsi="宋体" w:cs="宋体"/>
                <w:color w:val="000000"/>
                <w:sz w:val="24"/>
                <w:szCs w:val="24"/>
                <w:highlight w:val="none"/>
              </w:rPr>
              <w:t xml:space="preserve">数据处理系统”、</w:t>
            </w:r>
            <w:r>
              <w:rPr>
                <w:rFonts w:hint="eastAsia" w:ascii="宋体" w:hAnsi="宋体"/>
                <w:sz w:val="24"/>
                <w:szCs w:val="21"/>
                <w:highlight w:val="none"/>
              </w:rPr>
              <w:t xml:space="preserve">“</w:t>
            </w:r>
            <w:r>
              <w:rPr>
                <w:rFonts w:hint="eastAsia" w:ascii="宋体" w:hAnsi="宋体" w:cs="宋体"/>
                <w:color w:val="000000"/>
                <w:sz w:val="24"/>
                <w:szCs w:val="24"/>
                <w:highlight w:val="none"/>
              </w:rPr>
              <w:t xml:space="preserve">单位审批系统”等</w:t>
            </w:r>
            <w:r>
              <w:rPr>
                <w:rFonts w:hint="eastAsia" w:ascii="宋体" w:hAnsi="宋体"/>
                <w:sz w:val="24"/>
                <w:szCs w:val="21"/>
                <w:highlight w:val="none"/>
              </w:rPr>
              <w:t xml:space="preserve">关键词的（软件著作权名称可不完全一致，但应当是相同或相似内容），每提供一个得1分，最高得3分，不提供不得分。</w:t>
            </w:r>
            <w:r>
              <w:rPr>
                <w:rFonts w:hint="eastAsia" w:ascii="宋体" w:hAnsi="宋体"/>
                <w:sz w:val="24"/>
                <w:szCs w:val="21"/>
              </w:rPr>
              <w:br w:type="textWrapping" w:clear="all"/>
            </w:r>
            <w:r>
              <w:rPr>
                <w:rFonts w:hint="eastAsia" w:ascii="宋体" w:hAnsi="宋体"/>
                <w:sz w:val="24"/>
                <w:szCs w:val="21"/>
              </w:rPr>
              <w:t xml:space="preserve">注：</w:t>
            </w:r>
            <w:r>
              <w:rPr>
                <w:rFonts w:hint="eastAsia" w:ascii="宋体" w:hAnsi="宋体" w:cs="宋体"/>
                <w:bCs/>
                <w:color w:val="000000"/>
                <w:sz w:val="24"/>
                <w:szCs w:val="24"/>
              </w:rPr>
              <w:t xml:space="preserve">磋商响应供应商</w:t>
            </w:r>
            <w:r>
              <w:rPr>
                <w:rFonts w:hint="eastAsia" w:ascii="宋体" w:hAnsi="宋体"/>
                <w:sz w:val="24"/>
                <w:szCs w:val="21"/>
              </w:rPr>
              <w:t xml:space="preserve">须提供招标文件发布日之前取得的软件著作权证书复印件并加盖投标人公章，未提供不得分。（如磋商响应文件中提供的著作权名称表述与磋商文件描述的关键字样不一致，而该磋商响应文件中能提供相关材料证明</w:t>
            </w:r>
            <w:r>
              <w:rPr>
                <w:rFonts w:hint="eastAsia" w:ascii="宋体" w:hAnsi="宋体" w:cs="宋体"/>
                <w:bCs/>
                <w:color w:val="000000"/>
                <w:sz w:val="24"/>
                <w:szCs w:val="24"/>
              </w:rPr>
              <w:t xml:space="preserve">磋商响应供应商</w:t>
            </w:r>
            <w:r>
              <w:rPr>
                <w:rFonts w:hint="eastAsia" w:ascii="宋体" w:hAnsi="宋体"/>
                <w:sz w:val="24"/>
                <w:szCs w:val="21"/>
              </w:rPr>
              <w:t xml:space="preserve">拥有的软件著作权具有相同或相似功能和效果，且评标委员会认可的，视同符合要求。）</w:t>
            </w:r>
            <w:r>
              <w:rPr>
                <w:rFonts w:hint="eastAsia" w:ascii="宋体" w:hAnsi="宋体" w:cs="宋体"/>
                <w:sz w:val="24"/>
                <w:szCs w:val="24"/>
              </w:rPr>
            </w:r>
            <w:r/>
          </w:p>
        </w:tc>
        <w:tc>
          <w:tcPr>
            <w:tcW w:w="848" w:type="dxa"/>
            <w:vAlign w:val="center"/>
            <w:textDirection w:val="lrTb"/>
            <w:noWrap w:val="false"/>
          </w:tcPr>
          <w:p>
            <w:pPr>
              <w:pStyle w:val="677"/>
              <w:spacing w:line="36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r>
      <w:tr>
        <w:trPr>
          <w:trHeight w:val="23"/>
        </w:trPr>
        <w:tc>
          <w:tcPr>
            <w:tcW w:w="1474"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3.3类似业绩</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具有2023年6月以来（以合同签订时间为准）承担过类似信息化项目（名录库软件开发、升级改造或运维服务）业绩的，每提供一个得2分，最多得10分，不提供不得分。</w:t>
            </w:r>
            <w:r>
              <w:rPr>
                <w:rFonts w:hint="eastAsia" w:ascii="宋体" w:hAnsi="宋体" w:cs="宋体"/>
                <w:sz w:val="24"/>
                <w:szCs w:val="24"/>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需提供相关业绩的合同复印件，复印件中需体现合同的签约主体、项目名称及建设内容、合同签订日期等关键页信息，否则不得分。</w:t>
            </w:r>
            <w:r>
              <w:rPr>
                <w:rFonts w:hint="eastAsia" w:ascii="宋体" w:hAnsi="宋体" w:cs="宋体"/>
                <w:sz w:val="24"/>
                <w:szCs w:val="24"/>
              </w:rPr>
            </w:r>
            <w:r/>
          </w:p>
        </w:tc>
        <w:tc>
          <w:tcPr>
            <w:tcW w:w="84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r>
      <w:tr>
        <w:trPr>
          <w:trHeight w:val="1954"/>
        </w:trPr>
        <w:tc>
          <w:tcPr>
            <w:tcW w:w="1474" w:type="dxa"/>
            <w:vAlign w:val="center"/>
            <w:textDirection w:val="lrTb"/>
            <w:noWrap/>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3.4团队实力</w:t>
            </w:r>
            <w:r>
              <w:rPr>
                <w:rFonts w:hint="eastAsia" w:ascii="宋体" w:hAnsi="宋体" w:cs="宋体"/>
                <w:sz w:val="24"/>
                <w:szCs w:val="24"/>
              </w:rPr>
            </w:r>
            <w:r/>
          </w:p>
        </w:tc>
        <w:tc>
          <w:tcPr>
            <w:tcW w:w="6238" w:type="dxa"/>
            <w:vAlign w:val="center"/>
            <w:textDirection w:val="lrTb"/>
            <w:noWrap w:val="false"/>
          </w:tcPr>
          <w:p>
            <w:pPr>
              <w:pStyle w:val="677"/>
              <w:spacing w:line="360" w:lineRule="exact"/>
              <w:widowControl/>
              <w:rPr>
                <w:rFonts w:hint="eastAsia" w:ascii="宋体" w:hAnsi="宋体" w:cs="宋体"/>
                <w:sz w:val="24"/>
                <w:szCs w:val="24"/>
                <w:highlight w:val="none"/>
              </w:rPr>
            </w:pPr>
            <w:r>
              <w:rPr>
                <w:rFonts w:hint="eastAsia" w:ascii="宋体" w:hAnsi="宋体" w:cs="宋体"/>
                <w:sz w:val="24"/>
                <w:szCs w:val="24"/>
              </w:rPr>
              <w:t xml:space="preserve">1.项目经理：</w:t>
            </w:r>
            <w:r>
              <w:rPr>
                <w:rFonts w:hint="eastAsia" w:ascii="宋体" w:hAnsi="宋体" w:cs="宋体"/>
                <w:sz w:val="24"/>
                <w:szCs w:val="24"/>
              </w:rPr>
              <w:br w:type="textWrapping" w:clear="all"/>
            </w:r>
            <w:r>
              <w:rPr>
                <w:rFonts w:hint="eastAsia" w:ascii="宋体" w:hAnsi="宋体" w:cs="宋体"/>
                <w:bCs/>
                <w:color w:val="000000"/>
                <w:sz w:val="24"/>
                <w:szCs w:val="24"/>
              </w:rPr>
              <w:t xml:space="preserve">磋商响应供应</w:t>
            </w:r>
            <w:r>
              <w:rPr>
                <w:rFonts w:hint="eastAsia" w:ascii="宋体" w:hAnsi="宋体" w:cs="宋体"/>
                <w:bCs/>
                <w:color w:val="000000"/>
                <w:sz w:val="24"/>
                <w:szCs w:val="24"/>
                <w:highlight w:val="none"/>
              </w:rPr>
              <w:t xml:space="preserve">商</w:t>
            </w:r>
            <w:r>
              <w:rPr>
                <w:rFonts w:hint="eastAsia" w:ascii="宋体" w:hAnsi="宋体" w:cs="宋体"/>
                <w:sz w:val="24"/>
                <w:szCs w:val="24"/>
                <w:highlight w:val="none"/>
              </w:rPr>
              <w:t xml:space="preserve">应为本项目配备项目经理（限1人），项目经理具有注册信息安全专业人员证书（CISP）、计算机技术与软件专业技术资格信息系统项目管理师证书，每提供一个证书得2分，最高得4分，不提供不得分。项目经理具有类似项目经验的，</w:t>
            </w:r>
            <w:r>
              <w:rPr>
                <w:rFonts w:hint="eastAsia" w:ascii="宋体" w:hAnsi="宋体" w:cs="宋体"/>
                <w:sz w:val="24"/>
                <w:szCs w:val="24"/>
                <w:highlight w:val="none"/>
              </w:rPr>
              <w:t xml:space="preserve">投标人</w:t>
            </w:r>
            <w:r>
              <w:rPr>
                <w:rFonts w:hint="eastAsia" w:ascii="宋体" w:hAnsi="宋体" w:cs="宋体"/>
                <w:sz w:val="24"/>
                <w:szCs w:val="24"/>
                <w:highlight w:val="none"/>
              </w:rPr>
              <w:t xml:space="preserve">提交承诺书，得</w:t>
            </w:r>
            <w:r>
              <w:rPr>
                <w:rFonts w:ascii="宋体" w:hAnsi="宋体" w:cs="宋体"/>
                <w:sz w:val="24"/>
                <w:szCs w:val="24"/>
                <w:highlight w:val="none"/>
              </w:rPr>
              <w:t xml:space="preserve">1</w:t>
            </w:r>
            <w:r>
              <w:rPr>
                <w:rFonts w:hint="eastAsia" w:ascii="宋体" w:hAnsi="宋体" w:cs="宋体"/>
                <w:sz w:val="24"/>
                <w:szCs w:val="24"/>
                <w:highlight w:val="none"/>
              </w:rPr>
              <w:t xml:space="preserve">分，不提供不得分。</w:t>
            </w:r>
            <w:r>
              <w:rPr>
                <w:rFonts w:hint="eastAsia" w:ascii="宋体" w:hAnsi="宋体" w:cs="宋体"/>
                <w:sz w:val="24"/>
                <w:szCs w:val="24"/>
                <w:highlight w:val="none"/>
              </w:rPr>
              <w:br w:type="textWrapping" w:clear="all"/>
            </w:r>
            <w:r>
              <w:rPr>
                <w:rFonts w:hint="eastAsia" w:ascii="宋体" w:hAnsi="宋体" w:cs="宋体"/>
                <w:sz w:val="24"/>
                <w:szCs w:val="24"/>
                <w:highlight w:val="none"/>
              </w:rPr>
              <w:t xml:space="preserve">2.技术负责人：</w:t>
            </w:r>
            <w:r>
              <w:rPr>
                <w:rFonts w:hint="eastAsia" w:ascii="宋体" w:hAnsi="宋体" w:cs="宋体"/>
                <w:sz w:val="24"/>
                <w:szCs w:val="24"/>
                <w:highlight w:val="none"/>
              </w:rPr>
              <w:br w:type="textWrapping" w:clear="all"/>
            </w:r>
            <w:r>
              <w:rPr>
                <w:rFonts w:hint="eastAsia" w:ascii="宋体" w:hAnsi="宋体" w:cs="宋体"/>
                <w:bCs/>
                <w:color w:val="000000"/>
                <w:sz w:val="24"/>
                <w:szCs w:val="24"/>
                <w:highlight w:val="none"/>
              </w:rPr>
              <w:t xml:space="preserve">磋商响应供应商</w:t>
            </w:r>
            <w:r>
              <w:rPr>
                <w:rFonts w:hint="eastAsia" w:ascii="宋体" w:hAnsi="宋体" w:cs="宋体"/>
                <w:sz w:val="24"/>
                <w:szCs w:val="24"/>
                <w:highlight w:val="none"/>
              </w:rPr>
              <w:t xml:space="preserve">应为本项目配备项目</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负责人（限1人）具有注册信息安全专业人员证书（CISP）、计算机技术与软件专业技术资格系统架构设计师证书，每提供一个证书得2分，最高得4分，不提供不得分。项目</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负责人具有类似项目经验的，</w:t>
            </w:r>
            <w:r>
              <w:rPr>
                <w:rFonts w:hint="eastAsia" w:ascii="宋体" w:hAnsi="宋体" w:cs="宋体"/>
                <w:sz w:val="24"/>
                <w:szCs w:val="24"/>
                <w:highlight w:val="none"/>
              </w:rPr>
              <w:t xml:space="preserve">投标人</w:t>
            </w:r>
            <w:r>
              <w:rPr>
                <w:rFonts w:hint="eastAsia" w:ascii="宋体" w:hAnsi="宋体" w:cs="宋体"/>
                <w:sz w:val="24"/>
                <w:szCs w:val="24"/>
                <w:highlight w:val="none"/>
              </w:rPr>
              <w:t xml:space="preserve">提交承诺书，得2分，不提供不得分。</w:t>
            </w:r>
            <w:r>
              <w:rPr>
                <w:rFonts w:hint="eastAsia" w:ascii="宋体" w:hAnsi="宋体" w:cs="宋体"/>
                <w:sz w:val="24"/>
                <w:szCs w:val="24"/>
                <w:highlight w:val="none"/>
              </w:rPr>
            </w:r>
            <w:r/>
          </w:p>
          <w:p>
            <w:pPr>
              <w:pStyle w:val="677"/>
              <w:spacing w:line="36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3.团队成员：</w:t>
            </w:r>
            <w:r>
              <w:rPr>
                <w:rFonts w:hint="eastAsia" w:ascii="宋体" w:hAnsi="宋体" w:cs="宋体"/>
                <w:sz w:val="24"/>
                <w:szCs w:val="24"/>
                <w:highlight w:val="none"/>
              </w:rPr>
            </w:r>
            <w:r/>
          </w:p>
          <w:p>
            <w:pPr>
              <w:pStyle w:val="677"/>
              <w:spacing w:line="360" w:lineRule="exact"/>
              <w:widowControl/>
              <w:rPr>
                <w:rFonts w:ascii="宋体" w:hAnsi="宋体" w:cs="宋体"/>
                <w:sz w:val="24"/>
                <w:szCs w:val="24"/>
                <w:highlight w:val="green"/>
              </w:rPr>
            </w:pPr>
            <w:r>
              <w:rPr>
                <w:rFonts w:hint="eastAsia" w:ascii="宋体" w:hAnsi="宋体" w:cs="宋体"/>
                <w:bCs/>
                <w:color w:val="000000"/>
                <w:sz w:val="24"/>
                <w:szCs w:val="24"/>
              </w:rPr>
              <w:t xml:space="preserve">磋商响应供应商</w:t>
            </w:r>
            <w:r>
              <w:rPr>
                <w:rFonts w:ascii="宋体" w:hAnsi="宋体" w:cs="宋体"/>
                <w:sz w:val="24"/>
                <w:szCs w:val="24"/>
              </w:rPr>
              <w:t xml:space="preserve">应为本项目提供技术服务团队，团队成员</w:t>
            </w:r>
            <w:r>
              <w:rPr>
                <w:rFonts w:hint="eastAsia" w:ascii="宋体" w:hAnsi="宋体"/>
                <w:sz w:val="24"/>
                <w:szCs w:val="21"/>
              </w:rPr>
              <w:t xml:space="preserve">拥有</w:t>
            </w:r>
            <w:r>
              <w:rPr>
                <w:rFonts w:hint="eastAsia" w:ascii="宋体" w:hAnsi="宋体" w:cs="宋体"/>
                <w:sz w:val="24"/>
                <w:szCs w:val="24"/>
              </w:rPr>
              <w:t xml:space="preserve">计算机技术与软件专业技术资格中级以上证书</w:t>
            </w:r>
            <w:r>
              <w:rPr>
                <w:rFonts w:hint="eastAsia" w:ascii="宋体" w:hAnsi="宋体"/>
                <w:sz w:val="24"/>
                <w:szCs w:val="21"/>
              </w:rPr>
              <w:t xml:space="preserve">,每提供1个得2分，最高得6分。</w:t>
            </w:r>
            <w:r>
              <w:rPr>
                <w:rFonts w:ascii="宋体" w:hAnsi="宋体" w:cs="宋体"/>
                <w:sz w:val="24"/>
                <w:szCs w:val="24"/>
                <w:highlight w:val="green"/>
              </w:rPr>
            </w:r>
            <w:r/>
          </w:p>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注：项目经理、技术负责人、团队成员均不得重复；</w:t>
            </w: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需提供上述人员有效证书复印件，及</w:t>
            </w:r>
            <w:r>
              <w:rPr>
                <w:rFonts w:hint="eastAsia" w:ascii="宋体" w:hAnsi="宋体" w:cs="宋体"/>
                <w:bCs/>
                <w:color w:val="000000"/>
                <w:sz w:val="24"/>
                <w:szCs w:val="24"/>
              </w:rPr>
              <w:t xml:space="preserve">磋商响应供应商</w:t>
            </w:r>
            <w:r>
              <w:rPr>
                <w:rFonts w:hint="eastAsia" w:ascii="宋体" w:hAnsi="宋体" w:cs="宋体"/>
                <w:sz w:val="24"/>
                <w:szCs w:val="24"/>
              </w:rPr>
              <w:t xml:space="preserve">近半年内任意一个月为其缴纳的社保证明并加盖投标人公章。</w:t>
            </w:r>
            <w:r>
              <w:rPr>
                <w:rFonts w:hint="eastAsia" w:ascii="宋体" w:hAnsi="宋体" w:cs="宋体"/>
                <w:sz w:val="24"/>
                <w:szCs w:val="24"/>
              </w:rPr>
            </w:r>
            <w:r/>
          </w:p>
        </w:tc>
        <w:tc>
          <w:tcPr>
            <w:tcW w:w="848" w:type="dxa"/>
            <w:vAlign w:val="center"/>
            <w:textDirection w:val="lrTb"/>
            <w:noWrap/>
          </w:tcPr>
          <w:p>
            <w:pPr>
              <w:pStyle w:val="677"/>
              <w:spacing w:line="360" w:lineRule="exact"/>
              <w:widowControl/>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r>
      <w:tr>
        <w:trPr>
          <w:trHeight w:val="23"/>
        </w:trPr>
        <w:tc>
          <w:tcPr>
            <w:gridSpan w:val="2"/>
            <w:tcW w:w="7712" w:type="dxa"/>
            <w:vAlign w:val="center"/>
            <w:textDirection w:val="lrTb"/>
            <w:noWrap w:val="false"/>
          </w:tcPr>
          <w:p>
            <w:pPr>
              <w:pStyle w:val="677"/>
              <w:ind w:firstLine="480"/>
              <w:spacing w:line="360" w:lineRule="exact"/>
              <w:widowControl/>
              <w:rPr>
                <w:rFonts w:hint="eastAsia" w:ascii="宋体" w:hAnsi="宋体" w:cs="宋体"/>
                <w:sz w:val="24"/>
                <w:szCs w:val="24"/>
              </w:rPr>
            </w:pPr>
            <w:r>
              <w:rPr>
                <w:rFonts w:hint="eastAsia" w:ascii="宋体" w:hAnsi="宋体" w:cs="宋体"/>
                <w:sz w:val="24"/>
                <w:szCs w:val="24"/>
              </w:rPr>
              <w:t xml:space="preserve">合计</w:t>
            </w:r>
            <w:r>
              <w:rPr>
                <w:rFonts w:hint="eastAsia" w:ascii="宋体" w:hAnsi="宋体" w:cs="宋体"/>
                <w:sz w:val="24"/>
                <w:szCs w:val="24"/>
              </w:rPr>
            </w:r>
            <w:r/>
          </w:p>
        </w:tc>
        <w:tc>
          <w:tcPr>
            <w:tcW w:w="848" w:type="dxa"/>
            <w:vAlign w:val="center"/>
            <w:textDirection w:val="lrTb"/>
            <w:noWrap w:val="false"/>
          </w:tcPr>
          <w:p>
            <w:pPr>
              <w:pStyle w:val="677"/>
              <w:spacing w:line="360" w:lineRule="exact"/>
              <w:widowControl/>
              <w:rPr>
                <w:rFonts w:hint="eastAsia" w:ascii="宋体" w:hAnsi="宋体" w:cs="宋体"/>
                <w:sz w:val="24"/>
                <w:szCs w:val="24"/>
              </w:rPr>
            </w:pPr>
            <w:r>
              <w:rPr>
                <w:rFonts w:hint="eastAsia" w:ascii="宋体" w:hAnsi="宋体" w:cs="宋体"/>
                <w:sz w:val="24"/>
                <w:szCs w:val="24"/>
              </w:rPr>
              <w:t xml:space="preserve">100</w:t>
            </w:r>
            <w:r>
              <w:rPr>
                <w:rFonts w:hint="eastAsia" w:ascii="宋体" w:hAnsi="宋体" w:cs="宋体"/>
                <w:sz w:val="24"/>
                <w:szCs w:val="24"/>
              </w:rPr>
            </w:r>
            <w:r/>
          </w:p>
        </w:tc>
      </w:tr>
    </w:tbl>
    <w:p>
      <w:pPr>
        <w:pStyle w:val="677"/>
        <w:spacing w:line="400" w:lineRule="exact"/>
        <w:rPr>
          <w:rFonts w:hint="eastAsia" w:ascii="Times New Roman" w:hAnsi="Times New Roman"/>
          <w:szCs w:val="21"/>
        </w:rPr>
      </w:pPr>
      <w:r>
        <w:rPr>
          <w:rFonts w:hint="eastAsia" w:ascii="Times New Roman" w:hAnsi="Times New Roman"/>
          <w:szCs w:val="21"/>
        </w:rPr>
      </w:r>
      <w:r/>
    </w:p>
    <w:p>
      <w:pPr>
        <w:pStyle w:val="677"/>
        <w:rPr>
          <w:rFonts w:ascii="Times New Roman" w:hAnsi="Times New Roman"/>
          <w:szCs w:val="21"/>
        </w:rPr>
      </w:pPr>
      <w:r>
        <w:rPr>
          <w:rFonts w:ascii="Times New Roman" w:hAnsi="Times New Roman"/>
          <w:szCs w:val="21"/>
        </w:rPr>
      </w:r>
      <w:r/>
    </w:p>
    <w:p>
      <w:pPr>
        <w:pStyle w:val="679"/>
        <w:spacing w:line="400" w:lineRule="exact"/>
        <w:rPr>
          <w:rFonts w:hint="eastAsia" w:ascii="黑体" w:hAnsi="黑体" w:eastAsia="黑体"/>
          <w:b w:val="0"/>
          <w:bCs w:val="0"/>
          <w:sz w:val="28"/>
          <w:szCs w:val="28"/>
        </w:rPr>
      </w:pPr>
      <w:r/>
      <w:bookmarkEnd w:id="177"/>
      <w:r/>
      <w:bookmarkEnd w:id="178"/>
      <w:r/>
      <w:bookmarkEnd w:id="180"/>
      <w:r/>
      <w:bookmarkStart w:id="182" w:name="_Toc26554094"/>
      <w:r/>
      <w:bookmarkStart w:id="183" w:name="_Toc49090576"/>
      <w:r/>
      <w:bookmarkStart w:id="184" w:name="_Toc120614282"/>
      <w:r>
        <w:rPr>
          <w:rFonts w:hint="eastAsia" w:ascii="黑体" w:hAnsi="黑体" w:eastAsia="黑体"/>
          <w:b w:val="0"/>
          <w:bCs w:val="0"/>
          <w:sz w:val="28"/>
          <w:szCs w:val="28"/>
        </w:rPr>
        <w:br w:type="page" w:clear="all"/>
      </w:r>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677"/>
        <w:jc w:val="center"/>
        <w:rPr>
          <w:rFonts w:hint="eastAsia" w:ascii="宋体" w:hAnsi="宋体"/>
          <w:b/>
          <w:sz w:val="72"/>
          <w:szCs w:val="21"/>
        </w:rPr>
      </w:pPr>
      <w:r/>
      <w:bookmarkStart w:id="185" w:name="_Hlt26955039"/>
      <w:r/>
      <w:bookmarkEnd w:id="185"/>
      <w:r/>
      <w:bookmarkStart w:id="186" w:name="_Hlt26671244"/>
      <w:r/>
      <w:bookmarkEnd w:id="186"/>
      <w:r>
        <w:rPr>
          <w:rFonts w:hint="eastAsia" w:ascii="宋体" w:hAnsi="宋体"/>
          <w:b/>
          <w:sz w:val="72"/>
          <w:szCs w:val="21"/>
        </w:rPr>
      </w:r>
      <w:r/>
    </w:p>
    <w:p>
      <w:pPr>
        <w:pStyle w:val="677"/>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677"/>
        <w:jc w:val="center"/>
        <w:rPr>
          <w:rFonts w:hint="eastAsia" w:ascii="宋体" w:hAnsi="宋体"/>
          <w:b/>
          <w:sz w:val="72"/>
          <w:szCs w:val="21"/>
        </w:rPr>
      </w:pPr>
      <w:r>
        <w:rPr>
          <w:rFonts w:hint="eastAsia" w:ascii="宋体" w:hAnsi="宋体"/>
          <w:b/>
          <w:sz w:val="72"/>
          <w:szCs w:val="21"/>
        </w:rPr>
      </w:r>
      <w:r/>
    </w:p>
    <w:p>
      <w:pPr>
        <w:pStyle w:val="677"/>
        <w:jc w:val="center"/>
        <w:rPr>
          <w:rFonts w:hint="eastAsia" w:ascii="宋体" w:hAnsi="宋体"/>
          <w:b/>
          <w:sz w:val="72"/>
          <w:szCs w:val="21"/>
        </w:rPr>
      </w:pPr>
      <w:r>
        <w:rPr>
          <w:rFonts w:hint="eastAsia" w:ascii="宋体" w:hAnsi="宋体"/>
          <w:b/>
          <w:sz w:val="72"/>
          <w:szCs w:val="21"/>
        </w:rPr>
      </w:r>
      <w:r/>
    </w:p>
    <w:p>
      <w:pPr>
        <w:pStyle w:val="677"/>
        <w:jc w:val="center"/>
        <w:rPr>
          <w:rFonts w:hint="eastAsia" w:ascii="宋体" w:hAnsi="宋体"/>
          <w:b/>
          <w:sz w:val="36"/>
          <w:szCs w:val="21"/>
        </w:rPr>
      </w:pPr>
      <w:r>
        <w:rPr>
          <w:rFonts w:hint="eastAsia" w:ascii="宋体" w:hAnsi="宋体"/>
          <w:b/>
          <w:sz w:val="36"/>
          <w:szCs w:val="21"/>
        </w:rPr>
      </w:r>
      <w:r/>
    </w:p>
    <w:p>
      <w:pPr>
        <w:pStyle w:val="677"/>
        <w:jc w:val="center"/>
        <w:rPr>
          <w:rFonts w:hint="eastAsia" w:ascii="宋体" w:hAnsi="宋体"/>
          <w:b/>
          <w:sz w:val="36"/>
          <w:szCs w:val="21"/>
        </w:rPr>
      </w:pPr>
      <w:r>
        <w:rPr>
          <w:rFonts w:hint="eastAsia" w:ascii="宋体" w:hAnsi="宋体"/>
          <w:b/>
          <w:sz w:val="36"/>
          <w:szCs w:val="21"/>
        </w:rPr>
      </w:r>
      <w:r/>
    </w:p>
    <w:p>
      <w:pPr>
        <w:pStyle w:val="677"/>
        <w:jc w:val="center"/>
        <w:rPr>
          <w:rFonts w:hint="eastAsia" w:ascii="宋体" w:hAnsi="宋体"/>
          <w:b/>
          <w:sz w:val="36"/>
          <w:szCs w:val="21"/>
        </w:rPr>
      </w:pPr>
      <w:r>
        <w:rPr>
          <w:rFonts w:hint="eastAsia" w:ascii="宋体" w:hAnsi="宋体"/>
          <w:b/>
          <w:sz w:val="36"/>
          <w:szCs w:val="21"/>
        </w:rPr>
      </w:r>
      <w:r/>
    </w:p>
    <w:p>
      <w:pPr>
        <w:pStyle w:val="677"/>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677"/>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7"/>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677"/>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7"/>
        <w:jc w:val="center"/>
        <w:spacing w:line="440" w:lineRule="exact"/>
        <w:rPr>
          <w:rFonts w:hint="eastAsia" w:ascii="宋体" w:hAnsi="宋体"/>
          <w:b/>
          <w:bCs/>
          <w:sz w:val="32"/>
          <w:szCs w:val="32"/>
        </w:rPr>
      </w:pPr>
      <w:r>
        <w:rPr>
          <w:rFonts w:hint="eastAsia" w:ascii="宋体" w:hAnsi="宋体"/>
          <w:b/>
          <w:bCs/>
          <w:sz w:val="32"/>
          <w:szCs w:val="32"/>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ascii="宋体" w:hAnsi="宋体"/>
          <w:szCs w:val="21"/>
        </w:rPr>
      </w:pPr>
      <w:r>
        <w:rPr>
          <w:rFonts w:ascii="宋体" w:hAnsi="宋体"/>
          <w:szCs w:val="21"/>
        </w:rPr>
      </w:r>
      <w:r/>
    </w:p>
    <w:p>
      <w:pPr>
        <w:pStyle w:val="677"/>
        <w:spacing w:line="440" w:lineRule="exact"/>
        <w:rPr>
          <w:rFonts w:hint="eastAsia" w:ascii="宋体" w:hAnsi="宋体"/>
          <w:szCs w:val="21"/>
        </w:rPr>
      </w:pPr>
      <w:r>
        <w:rPr>
          <w:rFonts w:hint="eastAsia" w:ascii="宋体" w:hAnsi="宋体"/>
          <w:szCs w:val="21"/>
        </w:rPr>
      </w:r>
      <w:r/>
    </w:p>
    <w:p>
      <w:pPr>
        <w:pStyle w:val="677"/>
        <w:ind w:firstLine="964"/>
        <w:rPr>
          <w:rFonts w:ascii="宋体" w:hAnsi="宋体"/>
          <w:b/>
          <w:bCs/>
          <w:sz w:val="32"/>
          <w:szCs w:val="32"/>
        </w:rPr>
      </w:pPr>
      <w:r>
        <w:rPr>
          <w:rFonts w:ascii="宋体" w:hAnsi="宋体"/>
          <w:b/>
          <w:bCs/>
          <w:sz w:val="32"/>
          <w:szCs w:val="32"/>
        </w:rPr>
      </w:r>
      <w:r/>
    </w:p>
    <w:p>
      <w:pPr>
        <w:pStyle w:val="677"/>
        <w:ind w:firstLine="964"/>
        <w:rPr>
          <w:rFonts w:ascii="宋体" w:hAnsi="宋体"/>
          <w:b/>
          <w:bCs/>
          <w:sz w:val="32"/>
          <w:szCs w:val="32"/>
        </w:rPr>
      </w:pPr>
      <w:r>
        <w:rPr>
          <w:rFonts w:ascii="宋体" w:hAnsi="宋体"/>
          <w:b/>
          <w:bCs/>
          <w:sz w:val="32"/>
          <w:szCs w:val="32"/>
        </w:rPr>
      </w:r>
      <w:r/>
    </w:p>
    <w:p>
      <w:pPr>
        <w:pStyle w:val="677"/>
        <w:ind w:firstLine="964"/>
        <w:rPr>
          <w:rFonts w:ascii="宋体" w:hAnsi="宋体"/>
          <w:b/>
          <w:bCs/>
          <w:sz w:val="32"/>
          <w:szCs w:val="32"/>
        </w:rPr>
      </w:pPr>
      <w:r>
        <w:rPr>
          <w:rFonts w:ascii="宋体" w:hAnsi="宋体"/>
          <w:b/>
          <w:bCs/>
          <w:sz w:val="32"/>
          <w:szCs w:val="32"/>
        </w:rPr>
      </w:r>
      <w:r/>
    </w:p>
    <w:p>
      <w:pPr>
        <w:pStyle w:val="677"/>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677"/>
        <w:jc w:val="center"/>
        <w:spacing w:line="400" w:lineRule="exact"/>
        <w:rPr>
          <w:rFonts w:hint="eastAsia" w:ascii="宋体" w:hAnsi="宋体"/>
          <w:b/>
          <w:bCs/>
          <w:sz w:val="28"/>
          <w:szCs w:val="28"/>
        </w:rPr>
      </w:pPr>
      <w:r>
        <w:rPr>
          <w:rFonts w:hint="eastAsia" w:ascii="宋体" w:hAnsi="宋体"/>
          <w:b/>
          <w:bCs/>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highlight w:val="yellow"/>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ind w:left="480"/>
        <w:rPr>
          <w:rFonts w:ascii="宋体" w:hAnsi="宋体"/>
          <w:b/>
          <w:sz w:val="24"/>
          <w:szCs w:val="21"/>
        </w:rPr>
      </w:pPr>
      <w:r>
        <w:rPr>
          <w:rFonts w:ascii="宋体" w:hAnsi="宋体"/>
          <w:b/>
          <w:sz w:val="24"/>
          <w:szCs w:val="21"/>
        </w:rPr>
      </w:r>
      <w:r/>
    </w:p>
    <w:p>
      <w:pPr>
        <w:pStyle w:val="677"/>
        <w:rPr>
          <w:rFonts w:ascii="宋体" w:hAnsi="宋体"/>
          <w:b/>
          <w:sz w:val="24"/>
          <w:szCs w:val="21"/>
        </w:rPr>
      </w:pPr>
      <w:r>
        <w:rPr>
          <w:rFonts w:ascii="宋体" w:hAnsi="宋体"/>
          <w:b/>
          <w:sz w:val="24"/>
          <w:szCs w:val="21"/>
        </w:rPr>
      </w:r>
      <w:r/>
    </w:p>
    <w:p>
      <w:pPr>
        <w:pStyle w:val="67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74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7"/>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677"/>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77"/>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677"/>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7"/>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7"/>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7"/>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77"/>
        <w:ind w:left="480"/>
        <w:spacing w:line="400" w:lineRule="exact"/>
        <w:rPr>
          <w:rFonts w:ascii="宋体" w:hAnsi="宋体"/>
          <w:b/>
          <w:color w:val="000000"/>
          <w:sz w:val="28"/>
          <w:szCs w:val="28"/>
        </w:rPr>
      </w:pPr>
      <w:r>
        <w:rPr>
          <w:rFonts w:ascii="宋体" w:hAnsi="宋体"/>
          <w:b/>
          <w:color w:val="000000"/>
          <w:sz w:val="28"/>
          <w:szCs w:val="28"/>
        </w:rPr>
      </w:r>
      <w:r/>
    </w:p>
    <w:p>
      <w:pPr>
        <w:pStyle w:val="677"/>
        <w:spacing w:line="400" w:lineRule="exact"/>
        <w:rPr>
          <w:rFonts w:ascii="宋体" w:hAnsi="宋体"/>
          <w:b/>
          <w:color w:val="000000"/>
          <w:sz w:val="28"/>
          <w:szCs w:val="28"/>
        </w:rPr>
      </w:pPr>
      <w:r>
        <w:rPr>
          <w:rFonts w:ascii="宋体" w:hAnsi="宋体"/>
          <w:b/>
          <w:color w:val="000000"/>
          <w:sz w:val="28"/>
          <w:szCs w:val="28"/>
        </w:rPr>
      </w:r>
      <w:r/>
    </w:p>
    <w:p>
      <w:pPr>
        <w:pStyle w:val="677"/>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677"/>
        <w:ind w:firstLine="492"/>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677"/>
        <w:spacing w:line="400" w:lineRule="exact"/>
        <w:rPr>
          <w:rFonts w:hint="eastAsia" w:ascii="宋体" w:hAnsi="宋体"/>
          <w:b/>
          <w:color w:val="000000"/>
          <w:sz w:val="28"/>
          <w:szCs w:val="28"/>
        </w:rPr>
      </w:pPr>
      <w:r/>
      <w:bookmarkEnd w:id="182"/>
      <w:r/>
      <w:bookmarkEnd w:id="183"/>
      <w:r/>
      <w:bookmarkEnd w:id="184"/>
      <w:r/>
      <w:bookmarkStart w:id="187" w:name="_Toc120614284"/>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宋体" w:hAnsi="宋体"/>
          <w:b/>
          <w:color w:val="000000"/>
          <w:sz w:val="28"/>
          <w:szCs w:val="28"/>
        </w:rPr>
      </w:pPr>
      <w:r>
        <w:rPr>
          <w:rFonts w:hint="eastAsia" w:ascii="宋体" w:hAnsi="宋体"/>
          <w:b/>
          <w:color w:val="000000"/>
          <w:sz w:val="28"/>
          <w:szCs w:val="28"/>
        </w:rPr>
      </w:r>
      <w:r/>
    </w:p>
    <w:p>
      <w:pPr>
        <w:pStyle w:val="677"/>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7"/>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8" w:name="_Hlt26671380"/>
      <w:r/>
      <w:bookmarkEnd w:id="188"/>
      <w:r/>
      <w:bookmarkStart w:id="189" w:name="_Hlt26955070"/>
      <w:r/>
      <w:bookmarkEnd w:id="189"/>
      <w:r/>
      <w:bookmarkStart w:id="190" w:name="_格式3__银行出具的资信证明"/>
      <w:r/>
      <w:bookmarkEnd w:id="190"/>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77"/>
        <w:ind w:firstLine="42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677"/>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677"/>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77"/>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77"/>
        <w:ind w:firstLine="56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677"/>
        <w:ind w:firstLine="42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spacing w:line="400" w:lineRule="exact"/>
        <w:rPr>
          <w:rFonts w:hint="eastAsia" w:ascii="Times New Roman" w:hAnsi="Times New Roman"/>
          <w:sz w:val="28"/>
          <w:szCs w:val="28"/>
        </w:rPr>
      </w:pPr>
      <w:r>
        <w:rPr>
          <w:rFonts w:hint="eastAsia" w:ascii="Times New Roman" w:hAnsi="Times New Roman"/>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77"/>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77"/>
        <w:ind w:left="420" w:firstLine="560"/>
        <w:jc w:val="left"/>
        <w:spacing w:line="400" w:lineRule="exact"/>
        <w:rPr>
          <w:rFonts w:hint="eastAsia" w:ascii="宋体" w:hAnsi="宋体"/>
          <w:sz w:val="28"/>
          <w:szCs w:val="28"/>
        </w:rPr>
      </w:pPr>
      <w:r>
        <w:rPr>
          <w:rFonts w:hint="eastAsia" w:ascii="宋体" w:hAnsi="宋体"/>
          <w:sz w:val="28"/>
          <w:szCs w:val="28"/>
        </w:rPr>
      </w:r>
      <w:r/>
    </w:p>
    <w:p>
      <w:pPr>
        <w:pStyle w:val="677"/>
        <w:ind w:firstLine="584"/>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677"/>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77"/>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77"/>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77"/>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677"/>
        <w:spacing w:line="400" w:lineRule="exact"/>
        <w:rPr>
          <w:rFonts w:hint="eastAsia" w:ascii="宋体" w:hAnsi="宋体"/>
          <w:sz w:val="28"/>
          <w:szCs w:val="28"/>
        </w:rPr>
      </w:pPr>
      <w:r>
        <w:rPr>
          <w:rFonts w:hint="eastAsia" w:ascii="宋体" w:hAnsi="宋体"/>
          <w:sz w:val="28"/>
          <w:szCs w:val="28"/>
        </w:rPr>
      </w:r>
      <w:r/>
    </w:p>
    <w:p>
      <w:pPr>
        <w:pStyle w:val="677"/>
        <w:spacing w:line="400" w:lineRule="exact"/>
        <w:rPr>
          <w:rFonts w:hint="eastAsia" w:ascii="宋体" w:hAnsi="宋体"/>
          <w:sz w:val="28"/>
          <w:szCs w:val="28"/>
        </w:rPr>
      </w:pPr>
      <w:r>
        <w:rPr>
          <w:rFonts w:hint="eastAsia" w:ascii="宋体" w:hAnsi="宋体"/>
          <w:sz w:val="28"/>
          <w:szCs w:val="28"/>
        </w:rPr>
      </w:r>
      <w:r/>
    </w:p>
    <w:p>
      <w:pPr>
        <w:pStyle w:val="677"/>
        <w:spacing w:line="400" w:lineRule="exact"/>
        <w:rPr>
          <w:rFonts w:hint="eastAsia" w:ascii="宋体" w:hAnsi="宋体"/>
          <w:sz w:val="28"/>
          <w:szCs w:val="28"/>
        </w:rPr>
      </w:pPr>
      <w:r>
        <w:rPr>
          <w:rFonts w:hint="eastAsia" w:ascii="宋体" w:hAnsi="宋体"/>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7"/>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77"/>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677"/>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7"/>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77"/>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7"/>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677"/>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7"/>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77"/>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7"/>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77"/>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7"/>
        <w:ind w:firstLine="645"/>
        <w:spacing w:line="400" w:lineRule="exact"/>
        <w:rPr>
          <w:rFonts w:ascii="宋体" w:hAnsi="宋体"/>
          <w:sz w:val="28"/>
          <w:szCs w:val="28"/>
        </w:rPr>
      </w:pPr>
      <w:r>
        <w:rPr>
          <w:rFonts w:ascii="宋体" w:hAnsi="宋体"/>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宋体" w:hAnsi="宋体"/>
          <w:b/>
          <w:sz w:val="28"/>
          <w:szCs w:val="28"/>
        </w:rPr>
      </w:pPr>
      <w:r>
        <w:rPr>
          <w:rFonts w:hint="eastAsia" w:ascii="宋体" w:hAnsi="宋体"/>
          <w:b/>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7"/>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77"/>
        <w:spacing w:line="400" w:lineRule="exact"/>
        <w:rPr>
          <w:rFonts w:ascii="宋体" w:hAnsi="宋体"/>
          <w:sz w:val="28"/>
          <w:szCs w:val="28"/>
        </w:rPr>
      </w:pPr>
      <w:r>
        <w:rPr>
          <w:rFonts w:ascii="宋体" w:hAnsi="宋体"/>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677"/>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spacing w:line="400" w:lineRule="exact"/>
        <w:rPr>
          <w:rFonts w:hint="eastAsia" w:ascii="宋体" w:hAnsi="宋体"/>
          <w:bCs/>
          <w:sz w:val="28"/>
          <w:szCs w:val="28"/>
        </w:rPr>
      </w:pPr>
      <w:r>
        <w:rPr>
          <w:rFonts w:hint="eastAsia" w:ascii="宋体" w:hAnsi="宋体"/>
          <w:bCs/>
          <w:sz w:val="28"/>
          <w:szCs w:val="28"/>
        </w:rPr>
      </w:r>
      <w:r/>
    </w:p>
    <w:p>
      <w:pPr>
        <w:pStyle w:val="677"/>
        <w:jc w:val="center"/>
        <w:spacing w:line="400" w:lineRule="exact"/>
        <w:rPr>
          <w:rFonts w:hint="eastAsia" w:ascii="方正仿宋_GBK" w:hAnsi="方正仿宋_GBK" w:eastAsia="方正仿宋_GBK" w:cs="方正仿宋_GBK"/>
          <w:sz w:val="28"/>
          <w:szCs w:val="28"/>
        </w:rPr>
      </w:pPr>
      <w:r/>
      <w:bookmarkEnd w:id="175"/>
      <w:r/>
      <w:bookmarkEnd w:id="176"/>
      <w:r/>
      <w:bookmarkEnd w:id="187"/>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740"/>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4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52"/>
          <w:rFonts w:hint="eastAsia" w:ascii="方正仿宋_GBK" w:hAnsi="方正仿宋_GBK" w:eastAsia="方正仿宋_GBK" w:cs="方正仿宋_GBK"/>
          <w:i w:val="0"/>
          <w:sz w:val="28"/>
          <w:szCs w:val="28"/>
          <w:u w:val="single"/>
          <w:shd w:val="clear" w:color="auto" w:fill="ffffff"/>
        </w:rPr>
        <w:t xml:space="preserve">（产品名称1）</w:t>
      </w:r>
      <w:r>
        <w:rPr>
          <w:rStyle w:val="752"/>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52"/>
          <w:rFonts w:hint="eastAsia" w:ascii="方正仿宋_GBK" w:hAnsi="方正仿宋_GBK" w:eastAsia="方正仿宋_GBK" w:cs="方正仿宋_GBK"/>
          <w:i w:val="0"/>
          <w:sz w:val="28"/>
          <w:szCs w:val="28"/>
          <w:u w:val="single"/>
          <w:shd w:val="clear" w:color="auto" w:fill="ffffff"/>
        </w:rPr>
        <w:t xml:space="preserve">（厂名）</w:t>
      </w:r>
      <w:r>
        <w:rPr>
          <w:rStyle w:val="752"/>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5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52"/>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52"/>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52"/>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40"/>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4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4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4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4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4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4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4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4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40"/>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52"/>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spacing w:line="400" w:lineRule="exact"/>
        <w:rPr>
          <w:rFonts w:hint="eastAsia" w:ascii="宋体" w:hAnsi="宋体" w:cs="仿宋"/>
          <w:b/>
          <w:bCs/>
          <w:sz w:val="28"/>
          <w:szCs w:val="28"/>
        </w:rPr>
      </w:pPr>
      <w:r>
        <w:rPr>
          <w:rFonts w:hint="eastAsia" w:ascii="宋体" w:hAnsi="宋体" w:cs="仿宋"/>
          <w:b/>
          <w:bCs/>
          <w:sz w:val="28"/>
          <w:szCs w:val="28"/>
        </w:rPr>
      </w:r>
      <w:r/>
    </w:p>
    <w:p>
      <w:pPr>
        <w:pStyle w:val="677"/>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677"/>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77"/>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77"/>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77"/>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5"/>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7"/>
      <w:isLgl w:val="false"/>
      <w:suff w:val="tab"/>
      <w:lvlText w:val="附录%1."/>
      <w:lvlJc w:val="left"/>
      <w:pPr>
        <w:pStyle w:val="6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4"/>
      <w:isLgl w:val="false"/>
      <w:suff w:val="tab"/>
      <w:lvlText w:val="%1."/>
      <w:lvlJc w:val="left"/>
      <w:pPr>
        <w:pStyle w:val="677"/>
        <w:ind w:left="709" w:hanging="709"/>
        <w:tabs>
          <w:tab w:val="num" w:pos="709" w:leader="none"/>
        </w:tabs>
      </w:pPr>
      <w:rPr>
        <w:rFonts w:hint="eastAsia"/>
      </w:rPr>
    </w:lvl>
    <w:lvl w:ilvl="1">
      <w:start w:val="1"/>
      <w:numFmt w:val="decimal"/>
      <w:isLgl w:val="false"/>
      <w:suff w:val="tab"/>
      <w:lvlText w:val="%1.%2"/>
      <w:lvlJc w:val="left"/>
      <w:pPr>
        <w:pStyle w:val="677"/>
        <w:ind w:left="709" w:hanging="709"/>
        <w:tabs>
          <w:tab w:val="num" w:pos="709" w:leader="none"/>
        </w:tabs>
      </w:pPr>
      <w:rPr>
        <w:rFonts w:hint="eastAsia"/>
      </w:rPr>
    </w:lvl>
    <w:lvl w:ilvl="2">
      <w:start w:val="1"/>
      <w:numFmt w:val="decimal"/>
      <w:isLgl w:val="false"/>
      <w:suff w:val="tab"/>
      <w:lvlText w:val="%1.%2.%3."/>
      <w:lvlJc w:val="left"/>
      <w:pPr>
        <w:pStyle w:val="677"/>
        <w:ind w:left="425" w:hanging="425"/>
        <w:tabs>
          <w:tab w:val="num" w:pos="425" w:leader="none"/>
        </w:tabs>
      </w:pPr>
      <w:rPr>
        <w:rFonts w:hint="eastAsia"/>
      </w:rPr>
    </w:lvl>
    <w:lvl w:ilvl="3">
      <w:start w:val="1"/>
      <w:numFmt w:val="decimal"/>
      <w:isLgl w:val="false"/>
      <w:suff w:val="tab"/>
      <w:lvlText w:val="%1.%2.%3.%4."/>
      <w:lvlJc w:val="left"/>
      <w:pPr>
        <w:pStyle w:val="677"/>
        <w:ind w:left="851" w:hanging="851"/>
        <w:tabs>
          <w:tab w:val="num" w:pos="851" w:leader="none"/>
        </w:tabs>
      </w:pPr>
      <w:rPr>
        <w:rFonts w:hint="eastAsia"/>
      </w:rPr>
    </w:lvl>
    <w:lvl w:ilvl="4">
      <w:start w:val="1"/>
      <w:numFmt w:val="decimal"/>
      <w:isLgl w:val="false"/>
      <w:suff w:val="tab"/>
      <w:lvlText w:val="%1.%2.%3.%4.%5."/>
      <w:lvlJc w:val="left"/>
      <w:pPr>
        <w:pStyle w:val="677"/>
        <w:ind w:left="992" w:hanging="992"/>
        <w:tabs>
          <w:tab w:val="num" w:pos="992" w:leader="none"/>
        </w:tabs>
      </w:pPr>
      <w:rPr>
        <w:rFonts w:hint="eastAsia"/>
      </w:rPr>
    </w:lvl>
    <w:lvl w:ilvl="5">
      <w:start w:val="1"/>
      <w:numFmt w:val="decimal"/>
      <w:isLgl w:val="false"/>
      <w:suff w:val="tab"/>
      <w:lvlText w:val="%1.%2.%3.%4.%5.%6."/>
      <w:lvlJc w:val="left"/>
      <w:pPr>
        <w:pStyle w:val="677"/>
        <w:ind w:left="1134" w:hanging="1134"/>
        <w:tabs>
          <w:tab w:val="num" w:pos="1134" w:leader="none"/>
        </w:tabs>
      </w:pPr>
      <w:rPr>
        <w:rFonts w:hint="eastAsia"/>
      </w:rPr>
    </w:lvl>
    <w:lvl w:ilvl="6">
      <w:start w:val="1"/>
      <w:numFmt w:val="decimal"/>
      <w:isLgl w:val="false"/>
      <w:suff w:val="tab"/>
      <w:lvlText w:val="%1.%2.%3.%4.%5.%6.%7."/>
      <w:lvlJc w:val="left"/>
      <w:pPr>
        <w:pStyle w:val="677"/>
        <w:ind w:left="1276" w:hanging="1276"/>
        <w:tabs>
          <w:tab w:val="num" w:pos="1276" w:leader="none"/>
        </w:tabs>
      </w:pPr>
      <w:rPr>
        <w:rFonts w:hint="eastAsia"/>
      </w:rPr>
    </w:lvl>
    <w:lvl w:ilvl="7">
      <w:start w:val="1"/>
      <w:numFmt w:val="decimal"/>
      <w:isLgl w:val="false"/>
      <w:suff w:val="tab"/>
      <w:lvlText w:val="%1.%2.%3.%4.%5.%6.%7.%8."/>
      <w:lvlJc w:val="left"/>
      <w:pPr>
        <w:pStyle w:val="677"/>
        <w:ind w:left="1418" w:hanging="1418"/>
        <w:tabs>
          <w:tab w:val="num" w:pos="1418" w:leader="none"/>
        </w:tabs>
      </w:pPr>
      <w:rPr>
        <w:rFonts w:hint="eastAsia"/>
      </w:rPr>
    </w:lvl>
    <w:lvl w:ilvl="8">
      <w:start w:val="1"/>
      <w:numFmt w:val="decimal"/>
      <w:isLgl w:val="false"/>
      <w:suff w:val="tab"/>
      <w:lvlText w:val="%1.%2.%3.%4.%5.%6.%7.%8.%9."/>
      <w:lvlJc w:val="left"/>
      <w:pPr>
        <w:pStyle w:val="67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77"/>
        <w:ind w:left="0" w:firstLine="0"/>
      </w:pPr>
      <w:rPr>
        <w:rFonts w:hint="eastAsia"/>
      </w:rPr>
    </w:lvl>
    <w:lvl w:ilvl="1">
      <w:start w:val="1"/>
      <w:numFmt w:val="decimal"/>
      <w:isLgl w:val="false"/>
      <w:suff w:val="nothing"/>
      <w:lvlText w:val="%2、"/>
      <w:lvlJc w:val="left"/>
      <w:pPr>
        <w:pStyle w:val="677"/>
        <w:ind w:left="0" w:firstLine="0"/>
      </w:pPr>
      <w:rPr>
        <w:rFonts w:hint="eastAsia"/>
      </w:rPr>
    </w:lvl>
    <w:lvl w:ilvl="2">
      <w:start w:val="1"/>
      <w:numFmt w:val="decimal"/>
      <w:isLgl w:val="false"/>
      <w:suff w:val="nothing"/>
      <w:lvlText w:val="%2.%3 "/>
      <w:lvlJc w:val="left"/>
      <w:pPr>
        <w:pStyle w:val="677"/>
        <w:ind w:left="0" w:firstLine="0"/>
      </w:pPr>
      <w:rPr>
        <w:rFonts w:hint="eastAsia"/>
      </w:rPr>
    </w:lvl>
    <w:lvl w:ilvl="3">
      <w:start w:val="1"/>
      <w:numFmt w:val="decimal"/>
      <w:isLgl w:val="false"/>
      <w:suff w:val="nothing"/>
      <w:lvlText w:val="%2.%3.%4 "/>
      <w:lvlJc w:val="left"/>
      <w:pPr>
        <w:pStyle w:val="677"/>
        <w:ind w:left="0" w:firstLine="0"/>
      </w:pPr>
      <w:rPr>
        <w:rFonts w:hint="eastAsia"/>
      </w:rPr>
    </w:lvl>
    <w:lvl w:ilvl="4">
      <w:start w:val="1"/>
      <w:numFmt w:val="decimal"/>
      <w:isLgl w:val="false"/>
      <w:suff w:val="nothing"/>
      <w:lvlText w:val="%2.%3.%4.%5 "/>
      <w:lvlJc w:val="left"/>
      <w:pPr>
        <w:pStyle w:val="677"/>
        <w:ind w:left="0" w:firstLine="0"/>
      </w:pPr>
      <w:rPr>
        <w:rFonts w:hint="eastAsia"/>
      </w:rPr>
    </w:lvl>
    <w:lvl w:ilvl="5">
      <w:start w:val="1"/>
      <w:numFmt w:val="decimal"/>
      <w:pStyle w:val="683"/>
      <w:isLgl w:val="false"/>
      <w:suff w:val="nothing"/>
      <w:lvlText w:val=""/>
      <w:lvlJc w:val="left"/>
      <w:pPr>
        <w:pStyle w:val="677"/>
        <w:ind w:left="0" w:firstLine="0"/>
      </w:pPr>
      <w:rPr>
        <w:rFonts w:hint="eastAsia"/>
      </w:rPr>
    </w:lvl>
    <w:lvl w:ilvl="6">
      <w:start w:val="1"/>
      <w:numFmt w:val="decimal"/>
      <w:pStyle w:val="684"/>
      <w:isLgl w:val="false"/>
      <w:suff w:val="nothing"/>
      <w:lvlText w:val=""/>
      <w:lvlJc w:val="left"/>
      <w:pPr>
        <w:pStyle w:val="677"/>
        <w:ind w:left="0" w:firstLine="0"/>
      </w:pPr>
      <w:rPr>
        <w:rFonts w:hint="eastAsia"/>
      </w:rPr>
    </w:lvl>
    <w:lvl w:ilvl="7">
      <w:start w:val="1"/>
      <w:numFmt w:val="decimal"/>
      <w:pStyle w:val="685"/>
      <w:isLgl w:val="false"/>
      <w:suff w:val="nothing"/>
      <w:lvlText w:val=""/>
      <w:lvlJc w:val="left"/>
      <w:pPr>
        <w:pStyle w:val="677"/>
        <w:ind w:left="0" w:firstLine="0"/>
      </w:pPr>
      <w:rPr>
        <w:rFonts w:hint="eastAsia"/>
      </w:rPr>
    </w:lvl>
    <w:lvl w:ilvl="8">
      <w:start w:val="1"/>
      <w:numFmt w:val="decimal"/>
      <w:pStyle w:val="686"/>
      <w:isLgl w:val="false"/>
      <w:suff w:val="nothing"/>
      <w:lvlText w:val=""/>
      <w:lvlJc w:val="left"/>
      <w:pPr>
        <w:pStyle w:val="67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7"/>
    <w:next w:val="6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7"/>
    <w:next w:val="6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7"/>
    <w:next w:val="6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7"/>
    <w:next w:val="6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7"/>
    <w:next w:val="6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7"/>
    <w:next w:val="6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7"/>
    <w:next w:val="6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7"/>
    <w:next w:val="677"/>
    <w:uiPriority w:val="39"/>
    <w:unhideWhenUsed/>
    <w:pPr>
      <w:ind w:left="0" w:right="0" w:firstLine="0"/>
      <w:spacing w:after="57"/>
    </w:p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next w:val="677"/>
    <w:link w:val="677"/>
    <w:qFormat/>
    <w:pPr>
      <w:jc w:val="both"/>
      <w:widowControl w:val="off"/>
    </w:pPr>
    <w:rPr>
      <w:sz w:val="21"/>
      <w:szCs w:val="22"/>
      <w:lang w:val="en-US" w:eastAsia="zh-CN" w:bidi="ar-SA"/>
    </w:rPr>
  </w:style>
  <w:style w:type="paragraph" w:styleId="678">
    <w:name w:val="标题 1"/>
    <w:basedOn w:val="677"/>
    <w:next w:val="677"/>
    <w:link w:val="689"/>
    <w:qFormat/>
    <w:pPr>
      <w:jc w:val="center"/>
      <w:keepNext/>
      <w:outlineLvl w:val="0"/>
    </w:pPr>
    <w:rPr>
      <w:rFonts w:ascii="楷体_GB2312" w:hAnsi="Times New Roman" w:eastAsia="楷体_GB2312" w:cs="Times New Roman"/>
      <w:sz w:val="28"/>
      <w:szCs w:val="28"/>
    </w:rPr>
  </w:style>
  <w:style w:type="paragraph" w:styleId="679">
    <w:name w:val="标题 2"/>
    <w:basedOn w:val="677"/>
    <w:next w:val="691"/>
    <w:link w:val="690"/>
    <w:qFormat/>
    <w:pPr>
      <w:jc w:val="center"/>
      <w:keepLines/>
      <w:keepNext/>
      <w:spacing w:before="260" w:after="260" w:line="416" w:lineRule="auto"/>
      <w:outlineLvl w:val="1"/>
    </w:pPr>
    <w:rPr>
      <w:rFonts w:ascii="Arial" w:hAnsi="Arial" w:eastAsia="幼圆" w:cs="Arial"/>
      <w:b/>
      <w:bCs/>
      <w:sz w:val="44"/>
      <w:szCs w:val="44"/>
    </w:rPr>
  </w:style>
  <w:style w:type="paragraph" w:styleId="680">
    <w:name w:val="标题 3"/>
    <w:basedOn w:val="677"/>
    <w:next w:val="691"/>
    <w:link w:val="6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1">
    <w:name w:val="标题 4"/>
    <w:basedOn w:val="677"/>
    <w:next w:val="691"/>
    <w:link w:val="697"/>
    <w:qFormat/>
    <w:pPr>
      <w:keepLines/>
      <w:keepNext/>
      <w:spacing w:before="280" w:after="290" w:line="376" w:lineRule="auto"/>
      <w:outlineLvl w:val="3"/>
    </w:pPr>
    <w:rPr>
      <w:rFonts w:ascii="Arial" w:hAnsi="Arial" w:eastAsia="黑体" w:cs="Arial"/>
      <w:b/>
      <w:bCs/>
      <w:sz w:val="28"/>
      <w:szCs w:val="28"/>
    </w:rPr>
  </w:style>
  <w:style w:type="paragraph" w:styleId="682">
    <w:name w:val="标题 5"/>
    <w:basedOn w:val="677"/>
    <w:next w:val="691"/>
    <w:link w:val="698"/>
    <w:qFormat/>
    <w:pPr>
      <w:keepNext/>
      <w:outlineLvl w:val="4"/>
    </w:pPr>
    <w:rPr>
      <w:rFonts w:ascii="宋体" w:hAnsi="Times New Roman" w:eastAsia="宋体" w:cs="Times New Roman"/>
      <w:color w:val="000000"/>
      <w:sz w:val="28"/>
      <w:szCs w:val="28"/>
    </w:rPr>
  </w:style>
  <w:style w:type="paragraph" w:styleId="683">
    <w:name w:val="标题 6"/>
    <w:basedOn w:val="677"/>
    <w:next w:val="677"/>
    <w:link w:val="6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4">
    <w:name w:val="标题 7"/>
    <w:basedOn w:val="677"/>
    <w:next w:val="677"/>
    <w:link w:val="70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5">
    <w:name w:val="标题 8"/>
    <w:basedOn w:val="677"/>
    <w:next w:val="677"/>
    <w:link w:val="70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6">
    <w:name w:val="标题 9"/>
    <w:basedOn w:val="677"/>
    <w:next w:val="677"/>
    <w:link w:val="702"/>
    <w:qFormat/>
    <w:pPr>
      <w:numPr>
        <w:ilvl w:val="8"/>
        <w:numId w:val="1"/>
      </w:numPr>
      <w:keepLines/>
      <w:keepNext/>
      <w:spacing w:before="240" w:after="64" w:line="320" w:lineRule="auto"/>
      <w:outlineLvl w:val="8"/>
    </w:pPr>
    <w:rPr>
      <w:rFonts w:ascii="Arial" w:hAnsi="Arial" w:eastAsia="黑体" w:cs="Times New Roman"/>
      <w:szCs w:val="21"/>
    </w:rPr>
  </w:style>
  <w:style w:type="character" w:styleId="687">
    <w:name w:val="默认段落字体"/>
    <w:next w:val="687"/>
    <w:link w:val="677"/>
    <w:uiPriority w:val="1"/>
    <w:unhideWhenUsed/>
  </w:style>
  <w:style w:type="table" w:styleId="688">
    <w:name w:val="普通表格"/>
    <w:next w:val="688"/>
    <w:link w:val="677"/>
    <w:uiPriority w:val="99"/>
    <w:unhideWhenUsed/>
    <w:tblPr/>
  </w:style>
  <w:style w:type="character" w:styleId="689">
    <w:name w:val="标题 1 Char"/>
    <w:next w:val="689"/>
    <w:link w:val="678"/>
    <w:rPr>
      <w:rFonts w:ascii="楷体_GB2312" w:hAnsi="Times New Roman" w:eastAsia="楷体_GB2312" w:cs="Times New Roman"/>
      <w:sz w:val="28"/>
      <w:szCs w:val="28"/>
    </w:rPr>
  </w:style>
  <w:style w:type="character" w:styleId="690">
    <w:name w:val="标题 2 Char"/>
    <w:next w:val="690"/>
    <w:link w:val="679"/>
    <w:rPr>
      <w:rFonts w:ascii="Arial" w:hAnsi="Arial" w:eastAsia="幼圆" w:cs="Arial"/>
      <w:b/>
      <w:bCs/>
      <w:sz w:val="44"/>
      <w:szCs w:val="44"/>
    </w:rPr>
  </w:style>
  <w:style w:type="paragraph" w:styleId="691">
    <w:name w:val="正文缩进"/>
    <w:basedOn w:val="677"/>
    <w:next w:val="693"/>
    <w:link w:val="692"/>
    <w:pPr>
      <w:ind w:firstLine="420"/>
    </w:pPr>
    <w:rPr>
      <w:szCs w:val="21"/>
    </w:rPr>
  </w:style>
  <w:style w:type="character" w:styleId="692">
    <w:name w:val="正文缩进 Char"/>
    <w:next w:val="692"/>
    <w:link w:val="691"/>
    <w:rPr>
      <w:szCs w:val="21"/>
    </w:rPr>
  </w:style>
  <w:style w:type="paragraph" w:styleId="693">
    <w:name w:val="正文文本"/>
    <w:basedOn w:val="677"/>
    <w:next w:val="695"/>
    <w:link w:val="694"/>
    <w:rPr>
      <w:rFonts w:ascii="楷体_GB2312" w:hAnsi="Arial" w:eastAsia="楷体_GB2312" w:cs="Times New Roman"/>
      <w:sz w:val="28"/>
      <w:szCs w:val="28"/>
    </w:rPr>
  </w:style>
  <w:style w:type="character" w:styleId="694">
    <w:name w:val="正文文本 Char"/>
    <w:next w:val="694"/>
    <w:link w:val="693"/>
    <w:rPr>
      <w:rFonts w:ascii="楷体_GB2312" w:hAnsi="Arial" w:eastAsia="楷体_GB2312" w:cs="Times New Roman"/>
      <w:sz w:val="28"/>
      <w:szCs w:val="28"/>
    </w:rPr>
  </w:style>
  <w:style w:type="paragraph" w:styleId="695">
    <w:name w:val="Default"/>
    <w:next w:val="695"/>
    <w:link w:val="677"/>
    <w:qFormat/>
    <w:pPr>
      <w:widowControl w:val="off"/>
    </w:pPr>
    <w:rPr>
      <w:rFonts w:ascii="微软雅黑" w:hAnsi="微软雅黑" w:cs="微软雅黑"/>
      <w:color w:val="000000"/>
      <w:sz w:val="24"/>
      <w:szCs w:val="24"/>
      <w:lang w:val="en-US" w:eastAsia="zh-CN" w:bidi="ar-SA"/>
    </w:rPr>
  </w:style>
  <w:style w:type="character" w:styleId="696">
    <w:name w:val="标题 3 Char"/>
    <w:next w:val="696"/>
    <w:link w:val="680"/>
    <w:rPr>
      <w:rFonts w:ascii="Times New Roman" w:hAnsi="Times New Roman" w:eastAsia="宋体" w:cs="Times New Roman"/>
      <w:b/>
      <w:bCs/>
      <w:sz w:val="32"/>
      <w:szCs w:val="32"/>
    </w:rPr>
  </w:style>
  <w:style w:type="character" w:styleId="697">
    <w:name w:val="标题 4 Char"/>
    <w:next w:val="697"/>
    <w:link w:val="681"/>
    <w:rPr>
      <w:rFonts w:ascii="Arial" w:hAnsi="Arial" w:eastAsia="黑体" w:cs="Arial"/>
      <w:b/>
      <w:bCs/>
      <w:sz w:val="28"/>
      <w:szCs w:val="28"/>
    </w:rPr>
  </w:style>
  <w:style w:type="character" w:styleId="698">
    <w:name w:val="标题 5 Char"/>
    <w:next w:val="698"/>
    <w:link w:val="682"/>
    <w:rPr>
      <w:rFonts w:ascii="宋体" w:hAnsi="Times New Roman" w:eastAsia="宋体" w:cs="Times New Roman"/>
      <w:color w:val="000000"/>
      <w:sz w:val="28"/>
      <w:szCs w:val="28"/>
    </w:rPr>
  </w:style>
  <w:style w:type="character" w:styleId="699">
    <w:name w:val="标题 6 Char"/>
    <w:next w:val="699"/>
    <w:link w:val="683"/>
    <w:rPr>
      <w:rFonts w:ascii="Arial" w:hAnsi="Arial" w:eastAsia="黑体" w:cs="Times New Roman"/>
      <w:b/>
      <w:bCs/>
      <w:sz w:val="24"/>
      <w:szCs w:val="24"/>
    </w:rPr>
  </w:style>
  <w:style w:type="character" w:styleId="700">
    <w:name w:val="标题 7 Char"/>
    <w:next w:val="700"/>
    <w:link w:val="684"/>
    <w:rPr>
      <w:rFonts w:ascii="Times New Roman" w:hAnsi="Times New Roman" w:eastAsia="宋体" w:cs="Times New Roman"/>
      <w:b/>
      <w:bCs/>
      <w:sz w:val="24"/>
      <w:szCs w:val="24"/>
    </w:rPr>
  </w:style>
  <w:style w:type="character" w:styleId="701">
    <w:name w:val="标题 8 Char"/>
    <w:next w:val="701"/>
    <w:link w:val="685"/>
    <w:rPr>
      <w:rFonts w:ascii="Arial" w:hAnsi="Arial" w:eastAsia="黑体" w:cs="Times New Roman"/>
      <w:sz w:val="24"/>
      <w:szCs w:val="24"/>
    </w:rPr>
  </w:style>
  <w:style w:type="character" w:styleId="702">
    <w:name w:val="标题 9 Char"/>
    <w:next w:val="702"/>
    <w:link w:val="686"/>
    <w:rPr>
      <w:rFonts w:ascii="Arial" w:hAnsi="Arial" w:eastAsia="黑体" w:cs="Times New Roman"/>
      <w:szCs w:val="21"/>
    </w:rPr>
  </w:style>
  <w:style w:type="paragraph" w:styleId="703">
    <w:name w:val="列表 3"/>
    <w:basedOn w:val="677"/>
    <w:next w:val="703"/>
    <w:link w:val="677"/>
    <w:pPr>
      <w:ind w:left="100" w:hanging="200"/>
    </w:pPr>
    <w:rPr>
      <w:rFonts w:ascii="Times New Roman" w:hAnsi="Times New Roman" w:eastAsia="宋体" w:cs="Times New Roman"/>
      <w:szCs w:val="21"/>
    </w:rPr>
  </w:style>
  <w:style w:type="paragraph" w:styleId="704">
    <w:name w:val="目录 7"/>
    <w:basedOn w:val="677"/>
    <w:next w:val="677"/>
    <w:link w:val="677"/>
    <w:semiHidden/>
    <w:pPr>
      <w:ind w:left="1260"/>
      <w:jc w:val="left"/>
    </w:pPr>
    <w:rPr>
      <w:rFonts w:ascii="Times New Roman" w:hAnsi="Times New Roman" w:eastAsia="宋体" w:cs="Times New Roman"/>
      <w:szCs w:val="21"/>
    </w:rPr>
  </w:style>
  <w:style w:type="paragraph" w:styleId="705">
    <w:name w:val="文档结构图"/>
    <w:basedOn w:val="677"/>
    <w:next w:val="705"/>
    <w:link w:val="706"/>
    <w:semiHidden/>
    <w:pPr>
      <w:shd w:val="clear" w:color="auto" w:fill="000080"/>
    </w:pPr>
    <w:rPr>
      <w:rFonts w:ascii="Times New Roman" w:hAnsi="Times New Roman" w:eastAsia="宋体" w:cs="Times New Roman"/>
      <w:szCs w:val="21"/>
    </w:rPr>
  </w:style>
  <w:style w:type="character" w:styleId="706">
    <w:name w:val="文档结构图 Char"/>
    <w:next w:val="706"/>
    <w:link w:val="705"/>
    <w:semiHidden/>
    <w:rPr>
      <w:rFonts w:ascii="Times New Roman" w:hAnsi="Times New Roman" w:eastAsia="宋体" w:cs="Times New Roman"/>
      <w:szCs w:val="21"/>
      <w:shd w:val="clear" w:color="auto" w:fill="000080"/>
    </w:rPr>
  </w:style>
  <w:style w:type="paragraph" w:styleId="707">
    <w:name w:val="批注文字"/>
    <w:basedOn w:val="677"/>
    <w:next w:val="707"/>
    <w:link w:val="708"/>
    <w:unhideWhenUsed/>
    <w:pPr>
      <w:jc w:val="left"/>
    </w:pPr>
  </w:style>
  <w:style w:type="character" w:styleId="708">
    <w:name w:val="批注文字 Char"/>
    <w:next w:val="708"/>
    <w:link w:val="707"/>
    <w:uiPriority w:val="99"/>
    <w:semiHidden/>
  </w:style>
  <w:style w:type="paragraph" w:styleId="709">
    <w:name w:val="正文文本 3"/>
    <w:basedOn w:val="677"/>
    <w:next w:val="709"/>
    <w:link w:val="710"/>
    <w:rPr>
      <w:rFonts w:ascii="仿宋_GB2312" w:hAnsi="Arial" w:eastAsia="仿宋_GB2312" w:cs="Times New Roman"/>
      <w:sz w:val="32"/>
      <w:szCs w:val="32"/>
    </w:rPr>
  </w:style>
  <w:style w:type="character" w:styleId="710">
    <w:name w:val="正文文本 3 Char"/>
    <w:next w:val="710"/>
    <w:link w:val="709"/>
    <w:rPr>
      <w:rFonts w:ascii="仿宋_GB2312" w:hAnsi="Arial" w:eastAsia="仿宋_GB2312" w:cs="Times New Roman"/>
      <w:sz w:val="32"/>
      <w:szCs w:val="32"/>
    </w:rPr>
  </w:style>
  <w:style w:type="paragraph" w:styleId="711">
    <w:name w:val="正文文本缩进"/>
    <w:basedOn w:val="677"/>
    <w:next w:val="711"/>
    <w:link w:val="712"/>
    <w:unhideWhenUsed/>
    <w:pPr>
      <w:ind w:left="420"/>
      <w:spacing w:after="120"/>
    </w:pPr>
  </w:style>
  <w:style w:type="character" w:styleId="712">
    <w:name w:val="正文文本缩进 Char"/>
    <w:next w:val="712"/>
    <w:link w:val="711"/>
    <w:uiPriority w:val="99"/>
    <w:semiHidden/>
  </w:style>
  <w:style w:type="paragraph" w:styleId="713">
    <w:name w:val="列表 2"/>
    <w:basedOn w:val="677"/>
    <w:next w:val="713"/>
    <w:link w:val="677"/>
    <w:pPr>
      <w:ind w:left="100" w:hanging="200"/>
    </w:pPr>
    <w:rPr>
      <w:rFonts w:ascii="Times New Roman" w:hAnsi="Times New Roman" w:eastAsia="宋体" w:cs="Times New Roman"/>
      <w:szCs w:val="21"/>
    </w:rPr>
  </w:style>
  <w:style w:type="paragraph" w:styleId="714">
    <w:name w:val="目录 5"/>
    <w:basedOn w:val="677"/>
    <w:next w:val="677"/>
    <w:link w:val="677"/>
    <w:semiHidden/>
    <w:pPr>
      <w:ind w:left="840"/>
      <w:jc w:val="left"/>
    </w:pPr>
    <w:rPr>
      <w:rFonts w:ascii="Times New Roman" w:hAnsi="Times New Roman" w:eastAsia="宋体" w:cs="Times New Roman"/>
      <w:szCs w:val="21"/>
    </w:rPr>
  </w:style>
  <w:style w:type="paragraph" w:styleId="715">
    <w:name w:val="目录 3"/>
    <w:basedOn w:val="677"/>
    <w:next w:val="677"/>
    <w:link w:val="677"/>
    <w:semiHidden/>
    <w:pPr>
      <w:ind w:left="420"/>
      <w:jc w:val="left"/>
    </w:pPr>
    <w:rPr>
      <w:rFonts w:ascii="Times New Roman" w:hAnsi="Times New Roman" w:eastAsia="宋体" w:cs="Times New Roman"/>
      <w:i/>
      <w:iCs/>
      <w:szCs w:val="24"/>
    </w:rPr>
  </w:style>
  <w:style w:type="paragraph" w:styleId="716">
    <w:name w:val="纯文本"/>
    <w:basedOn w:val="677"/>
    <w:next w:val="716"/>
    <w:link w:val="717"/>
    <w:qFormat/>
    <w:rPr>
      <w:rFonts w:ascii="宋体" w:hAnsi="Courier New" w:eastAsia="宋体" w:cs="Courier New"/>
      <w:szCs w:val="21"/>
    </w:rPr>
  </w:style>
  <w:style w:type="character" w:styleId="717">
    <w:name w:val="纯文本 Char"/>
    <w:next w:val="717"/>
    <w:link w:val="716"/>
    <w:rPr>
      <w:rFonts w:ascii="宋体" w:hAnsi="Courier New" w:eastAsia="宋体" w:cs="Courier New"/>
      <w:szCs w:val="21"/>
    </w:rPr>
  </w:style>
  <w:style w:type="paragraph" w:styleId="718">
    <w:name w:val="目录 8"/>
    <w:basedOn w:val="677"/>
    <w:next w:val="677"/>
    <w:link w:val="677"/>
    <w:semiHidden/>
    <w:pPr>
      <w:ind w:left="1470"/>
      <w:jc w:val="left"/>
    </w:pPr>
    <w:rPr>
      <w:rFonts w:ascii="Times New Roman" w:hAnsi="Times New Roman" w:eastAsia="宋体" w:cs="Times New Roman"/>
      <w:szCs w:val="21"/>
    </w:rPr>
  </w:style>
  <w:style w:type="paragraph" w:styleId="719">
    <w:name w:val="日期"/>
    <w:basedOn w:val="677"/>
    <w:next w:val="677"/>
    <w:link w:val="720"/>
    <w:rPr>
      <w:rFonts w:ascii="Times New Roman" w:hAnsi="Times New Roman" w:eastAsia="宋体" w:cs="Times New Roman"/>
      <w:sz w:val="24"/>
      <w:szCs w:val="24"/>
    </w:rPr>
  </w:style>
  <w:style w:type="character" w:styleId="720">
    <w:name w:val="日期 Char"/>
    <w:next w:val="720"/>
    <w:link w:val="719"/>
    <w:rPr>
      <w:rFonts w:ascii="Times New Roman" w:hAnsi="Times New Roman" w:eastAsia="宋体" w:cs="Times New Roman"/>
      <w:sz w:val="24"/>
      <w:szCs w:val="24"/>
    </w:rPr>
  </w:style>
  <w:style w:type="paragraph" w:styleId="721">
    <w:name w:val="正文文本缩进 2"/>
    <w:basedOn w:val="677"/>
    <w:next w:val="721"/>
    <w:link w:val="722"/>
    <w:pPr>
      <w:ind w:left="630" w:firstLine="645"/>
    </w:pPr>
    <w:rPr>
      <w:rFonts w:ascii="Arial" w:hAnsi="Arial" w:eastAsia="仿宋_GB2312" w:cs="Arial"/>
      <w:sz w:val="32"/>
      <w:szCs w:val="32"/>
    </w:rPr>
  </w:style>
  <w:style w:type="character" w:styleId="722">
    <w:name w:val="正文文本缩进 2 Char"/>
    <w:next w:val="722"/>
    <w:link w:val="721"/>
    <w:rPr>
      <w:rFonts w:ascii="Arial" w:hAnsi="Arial" w:eastAsia="仿宋_GB2312" w:cs="Arial"/>
      <w:sz w:val="32"/>
      <w:szCs w:val="32"/>
    </w:rPr>
  </w:style>
  <w:style w:type="paragraph" w:styleId="723">
    <w:name w:val="批注框文本"/>
    <w:basedOn w:val="677"/>
    <w:next w:val="723"/>
    <w:link w:val="724"/>
    <w:semiHidden/>
    <w:rPr>
      <w:rFonts w:ascii="Times New Roman" w:hAnsi="Times New Roman" w:eastAsia="宋体" w:cs="Times New Roman"/>
      <w:sz w:val="18"/>
      <w:szCs w:val="18"/>
    </w:rPr>
  </w:style>
  <w:style w:type="character" w:styleId="724">
    <w:name w:val="批注框文本 Char"/>
    <w:next w:val="724"/>
    <w:link w:val="723"/>
    <w:semiHidden/>
    <w:rPr>
      <w:rFonts w:ascii="Times New Roman" w:hAnsi="Times New Roman" w:eastAsia="宋体" w:cs="Times New Roman"/>
      <w:sz w:val="18"/>
      <w:szCs w:val="18"/>
    </w:rPr>
  </w:style>
  <w:style w:type="paragraph" w:styleId="725">
    <w:name w:val="页脚"/>
    <w:basedOn w:val="677"/>
    <w:next w:val="725"/>
    <w:link w:val="72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26">
    <w:name w:val="页脚 Char"/>
    <w:next w:val="726"/>
    <w:link w:val="725"/>
    <w:uiPriority w:val="99"/>
    <w:rPr>
      <w:rFonts w:ascii="Times New Roman" w:hAnsi="Times New Roman" w:eastAsia="宋体" w:cs="Times New Roman"/>
      <w:sz w:val="18"/>
      <w:szCs w:val="18"/>
    </w:rPr>
  </w:style>
  <w:style w:type="paragraph" w:styleId="727">
    <w:name w:val="页眉"/>
    <w:basedOn w:val="677"/>
    <w:next w:val="727"/>
    <w:link w:val="72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8">
    <w:name w:val="页眉 Char"/>
    <w:next w:val="728"/>
    <w:link w:val="727"/>
    <w:rPr>
      <w:rFonts w:ascii="Times New Roman" w:hAnsi="Times New Roman" w:eastAsia="宋体" w:cs="Times New Roman"/>
      <w:sz w:val="18"/>
      <w:szCs w:val="18"/>
    </w:rPr>
  </w:style>
  <w:style w:type="paragraph" w:styleId="729">
    <w:name w:val="目录 1"/>
    <w:basedOn w:val="677"/>
    <w:next w:val="677"/>
    <w:link w:val="6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0">
    <w:name w:val="目录 4"/>
    <w:basedOn w:val="677"/>
    <w:next w:val="677"/>
    <w:link w:val="677"/>
    <w:semiHidden/>
    <w:pPr>
      <w:ind w:left="630"/>
      <w:jc w:val="left"/>
    </w:pPr>
    <w:rPr>
      <w:rFonts w:ascii="Times New Roman" w:hAnsi="Times New Roman" w:eastAsia="宋体" w:cs="Times New Roman"/>
      <w:szCs w:val="21"/>
    </w:rPr>
  </w:style>
  <w:style w:type="paragraph" w:styleId="731">
    <w:name w:val="列表"/>
    <w:basedOn w:val="677"/>
    <w:next w:val="731"/>
    <w:link w:val="677"/>
    <w:pPr>
      <w:ind w:left="200" w:hanging="200"/>
    </w:pPr>
    <w:rPr>
      <w:rFonts w:ascii="Times New Roman" w:hAnsi="Times New Roman" w:eastAsia="宋体" w:cs="Times New Roman"/>
      <w:szCs w:val="21"/>
    </w:rPr>
  </w:style>
  <w:style w:type="paragraph" w:styleId="732">
    <w:name w:val="目录 6"/>
    <w:basedOn w:val="677"/>
    <w:next w:val="677"/>
    <w:link w:val="677"/>
    <w:semiHidden/>
    <w:pPr>
      <w:ind w:left="1050"/>
      <w:jc w:val="left"/>
    </w:pPr>
    <w:rPr>
      <w:rFonts w:ascii="Times New Roman" w:hAnsi="Times New Roman" w:eastAsia="宋体" w:cs="Times New Roman"/>
      <w:szCs w:val="21"/>
    </w:rPr>
  </w:style>
  <w:style w:type="paragraph" w:styleId="733">
    <w:name w:val="正文文本缩进 3"/>
    <w:basedOn w:val="677"/>
    <w:next w:val="733"/>
    <w:link w:val="734"/>
    <w:pPr>
      <w:ind w:left="645" w:firstLine="645"/>
    </w:pPr>
    <w:rPr>
      <w:rFonts w:ascii="Arial" w:hAnsi="Arial" w:eastAsia="仿宋_GB2312" w:cs="Arial"/>
      <w:color w:val="ffff00"/>
      <w:sz w:val="32"/>
      <w:szCs w:val="32"/>
    </w:rPr>
  </w:style>
  <w:style w:type="character" w:styleId="734">
    <w:name w:val="正文文本缩进 3 Char"/>
    <w:next w:val="734"/>
    <w:link w:val="733"/>
    <w:rPr>
      <w:rFonts w:ascii="Arial" w:hAnsi="Arial" w:eastAsia="仿宋_GB2312" w:cs="Arial"/>
      <w:color w:val="ffff00"/>
      <w:sz w:val="32"/>
      <w:szCs w:val="32"/>
    </w:rPr>
  </w:style>
  <w:style w:type="paragraph" w:styleId="735">
    <w:name w:val="图表目录"/>
    <w:basedOn w:val="677"/>
    <w:next w:val="677"/>
    <w:link w:val="677"/>
    <w:semiHidden/>
    <w:pPr>
      <w:ind w:left="840" w:hanging="420"/>
    </w:pPr>
    <w:rPr>
      <w:rFonts w:ascii="Times New Roman" w:hAnsi="Times New Roman" w:eastAsia="宋体" w:cs="Times New Roman"/>
      <w:szCs w:val="21"/>
    </w:rPr>
  </w:style>
  <w:style w:type="paragraph" w:styleId="736">
    <w:name w:val="目录 2"/>
    <w:basedOn w:val="677"/>
    <w:next w:val="677"/>
    <w:link w:val="677"/>
    <w:semiHidden/>
    <w:pPr>
      <w:ind w:left="210"/>
      <w:jc w:val="left"/>
    </w:pPr>
    <w:rPr>
      <w:rFonts w:ascii="Times New Roman" w:hAnsi="Times New Roman" w:eastAsia="宋体" w:cs="Times New Roman"/>
      <w:smallCaps/>
      <w:szCs w:val="24"/>
    </w:rPr>
  </w:style>
  <w:style w:type="paragraph" w:styleId="737">
    <w:name w:val="目录 9"/>
    <w:basedOn w:val="677"/>
    <w:next w:val="677"/>
    <w:link w:val="677"/>
    <w:semiHidden/>
    <w:pPr>
      <w:ind w:left="1680"/>
      <w:jc w:val="left"/>
    </w:pPr>
    <w:rPr>
      <w:rFonts w:ascii="Times New Roman" w:hAnsi="Times New Roman" w:eastAsia="宋体" w:cs="Times New Roman"/>
      <w:szCs w:val="21"/>
    </w:rPr>
  </w:style>
  <w:style w:type="paragraph" w:styleId="738">
    <w:name w:val="正文文本 2"/>
    <w:basedOn w:val="677"/>
    <w:next w:val="738"/>
    <w:link w:val="739"/>
    <w:pPr>
      <w:jc w:val="center"/>
      <w:widowControl/>
    </w:pPr>
    <w:rPr>
      <w:rFonts w:ascii="楷体_GB2312" w:hAnsi="Times New Roman" w:eastAsia="楷体_GB2312" w:cs="Times New Roman"/>
      <w:sz w:val="28"/>
      <w:szCs w:val="28"/>
    </w:rPr>
  </w:style>
  <w:style w:type="character" w:styleId="739">
    <w:name w:val="正文文本 2 Char"/>
    <w:next w:val="739"/>
    <w:link w:val="738"/>
    <w:rPr>
      <w:rFonts w:ascii="楷体_GB2312" w:hAnsi="Times New Roman" w:eastAsia="楷体_GB2312" w:cs="Times New Roman"/>
      <w:sz w:val="28"/>
      <w:szCs w:val="28"/>
    </w:rPr>
  </w:style>
  <w:style w:type="paragraph" w:styleId="740">
    <w:name w:val="普通(网站)"/>
    <w:basedOn w:val="677"/>
    <w:next w:val="740"/>
    <w:link w:val="677"/>
    <w:uiPriority w:val="99"/>
    <w:pPr>
      <w:jc w:val="left"/>
      <w:spacing w:before="100" w:beforeAutospacing="1" w:after="100" w:afterAutospacing="1"/>
      <w:widowControl/>
    </w:pPr>
    <w:rPr>
      <w:rFonts w:ascii="宋体" w:hAnsi="宋体" w:eastAsia="宋体" w:cs="宋体"/>
      <w:sz w:val="24"/>
      <w:szCs w:val="24"/>
    </w:rPr>
  </w:style>
  <w:style w:type="paragraph" w:styleId="741">
    <w:name w:val="索引 1"/>
    <w:basedOn w:val="677"/>
    <w:next w:val="677"/>
    <w:link w:val="677"/>
    <w:semiHidden/>
    <w:pPr>
      <w:spacing w:line="240" w:lineRule="atLeast"/>
    </w:pPr>
    <w:rPr>
      <w:rFonts w:ascii="Times New Roman" w:hAnsi="Times New Roman" w:eastAsia="宋体" w:cs="Times New Roman"/>
      <w:b/>
      <w:bCs/>
      <w:szCs w:val="21"/>
    </w:rPr>
  </w:style>
  <w:style w:type="paragraph" w:styleId="742">
    <w:name w:val="批注主题"/>
    <w:basedOn w:val="707"/>
    <w:next w:val="707"/>
    <w:link w:val="743"/>
    <w:semiHidden/>
    <w:rPr>
      <w:rFonts w:ascii="Times New Roman" w:hAnsi="Times New Roman" w:eastAsia="宋体" w:cs="Times New Roman"/>
      <w:b/>
      <w:bCs/>
      <w:szCs w:val="21"/>
    </w:rPr>
  </w:style>
  <w:style w:type="character" w:styleId="743">
    <w:name w:val="批注主题 Char"/>
    <w:next w:val="743"/>
    <w:link w:val="742"/>
    <w:semiHidden/>
    <w:rPr>
      <w:rFonts w:ascii="Times New Roman" w:hAnsi="Times New Roman" w:eastAsia="宋体" w:cs="Times New Roman"/>
      <w:b/>
      <w:bCs/>
      <w:szCs w:val="21"/>
    </w:rPr>
  </w:style>
  <w:style w:type="paragraph" w:styleId="744">
    <w:name w:val="正文首行缩进"/>
    <w:basedOn w:val="677"/>
    <w:next w:val="744"/>
    <w:link w:val="745"/>
    <w:pPr>
      <w:ind w:firstLine="200"/>
      <w:spacing w:line="360" w:lineRule="auto"/>
    </w:pPr>
    <w:rPr>
      <w:rFonts w:ascii="仿宋_GB2312" w:hAnsi="Times New Roman" w:eastAsia="仿宋_GB2312" w:cs="Times New Roman"/>
      <w:sz w:val="30"/>
      <w:szCs w:val="30"/>
    </w:rPr>
  </w:style>
  <w:style w:type="character" w:styleId="745">
    <w:name w:val="正文首行缩进 Char"/>
    <w:next w:val="745"/>
    <w:link w:val="744"/>
    <w:rPr>
      <w:rFonts w:ascii="仿宋_GB2312" w:hAnsi="Times New Roman" w:eastAsia="仿宋_GB2312" w:cs="Times New Roman"/>
      <w:sz w:val="30"/>
      <w:szCs w:val="30"/>
    </w:rPr>
  </w:style>
  <w:style w:type="paragraph" w:styleId="746">
    <w:name w:val="正文首行缩进 2"/>
    <w:basedOn w:val="711"/>
    <w:next w:val="746"/>
    <w:link w:val="747"/>
    <w:pPr>
      <w:ind w:left="0" w:firstLine="420"/>
      <w:spacing w:after="0" w:line="360" w:lineRule="auto"/>
    </w:pPr>
    <w:rPr>
      <w:rFonts w:ascii="宋体" w:hAnsi="宋体" w:eastAsia="宋体" w:cs="Times New Roman"/>
      <w:szCs w:val="20"/>
    </w:rPr>
  </w:style>
  <w:style w:type="character" w:styleId="747">
    <w:name w:val="正文首行缩进 2 Char"/>
    <w:next w:val="747"/>
    <w:link w:val="746"/>
    <w:rPr>
      <w:rFonts w:ascii="宋体" w:hAnsi="宋体" w:eastAsia="宋体" w:cs="Times New Roman"/>
      <w:szCs w:val="20"/>
    </w:rPr>
  </w:style>
  <w:style w:type="table" w:styleId="748">
    <w:name w:val="网格型"/>
    <w:basedOn w:val="688"/>
    <w:next w:val="748"/>
    <w:link w:val="677"/>
    <w:pPr>
      <w:jc w:val="both"/>
      <w:widowControl w:val="off"/>
    </w:pPr>
    <w:rPr>
      <w:rFonts w:ascii="Times New Roman" w:hAnsi="Times New Roman" w:eastAsia="宋体" w:cs="Times New Roman"/>
      <w:sz w:val="20"/>
      <w:szCs w:val="20"/>
    </w:rPr>
    <w:tblPr/>
  </w:style>
  <w:style w:type="character" w:styleId="749">
    <w:name w:val="要点"/>
    <w:next w:val="749"/>
    <w:link w:val="677"/>
    <w:qFormat/>
    <w:rPr>
      <w:b/>
      <w:bCs/>
    </w:rPr>
  </w:style>
  <w:style w:type="character" w:styleId="750">
    <w:name w:val="页码"/>
    <w:next w:val="750"/>
    <w:link w:val="677"/>
  </w:style>
  <w:style w:type="character" w:styleId="751">
    <w:name w:val="已访问的超链接"/>
    <w:next w:val="751"/>
    <w:link w:val="677"/>
    <w:rPr>
      <w:color w:val="800080"/>
      <w:u w:val="single"/>
    </w:rPr>
  </w:style>
  <w:style w:type="character" w:styleId="752">
    <w:name w:val="强调"/>
    <w:next w:val="752"/>
    <w:link w:val="677"/>
    <w:qFormat/>
    <w:rPr>
      <w:i/>
    </w:rPr>
  </w:style>
  <w:style w:type="character" w:styleId="753">
    <w:name w:val="超链接"/>
    <w:next w:val="753"/>
    <w:link w:val="677"/>
    <w:rPr>
      <w:color w:val="0000ff"/>
      <w:u w:val="single"/>
    </w:rPr>
  </w:style>
  <w:style w:type="character" w:styleId="754">
    <w:name w:val="批注引用"/>
    <w:next w:val="754"/>
    <w:link w:val="677"/>
    <w:semiHidden/>
    <w:rPr>
      <w:sz w:val="21"/>
      <w:szCs w:val="21"/>
    </w:rPr>
  </w:style>
  <w:style w:type="character" w:styleId="755">
    <w:name w:val="font5 Char"/>
    <w:next w:val="755"/>
    <w:link w:val="677"/>
    <w:rPr>
      <w:rFonts w:ascii="宋体" w:hAnsi="宋体" w:eastAsia="宋体"/>
      <w:sz w:val="28"/>
      <w:szCs w:val="28"/>
      <w:lang w:val="en-US" w:eastAsia="zh-CN" w:bidi="ar-SA"/>
    </w:rPr>
  </w:style>
  <w:style w:type="character" w:styleId="756">
    <w:name w:val="二级目录 Char"/>
    <w:next w:val="756"/>
    <w:link w:val="757"/>
    <w:rPr>
      <w:b/>
      <w:sz w:val="30"/>
      <w:szCs w:val="28"/>
    </w:rPr>
  </w:style>
  <w:style w:type="paragraph" w:styleId="757">
    <w:name w:val="二级目录"/>
    <w:next w:val="677"/>
    <w:link w:val="756"/>
    <w:pPr>
      <w:numPr>
        <w:ilvl w:val="0"/>
        <w:numId w:val="2"/>
      </w:numPr>
      <w:tabs>
        <w:tab w:val="left" w:pos="907" w:leader="none"/>
        <w:tab w:val="left" w:pos="1145" w:leader="none"/>
      </w:tabs>
      <w:outlineLvl w:val="1"/>
    </w:pPr>
    <w:rPr>
      <w:b/>
      <w:sz w:val="30"/>
      <w:szCs w:val="28"/>
      <w:lang w:val="en-US" w:eastAsia="zh-CN" w:bidi="ar-SA"/>
    </w:rPr>
  </w:style>
  <w:style w:type="character" w:styleId="758">
    <w:name w:val="列出段落 Char,Bullet List Char,numbered Char,FooterText Char,List Paragraph1 Char,Paragraphe de liste1 Char"/>
    <w:next w:val="758"/>
    <w:link w:val="759"/>
    <w:rPr>
      <w:rFonts w:ascii="Calibri" w:hAnsi="Calibri"/>
      <w:sz w:val="24"/>
      <w:szCs w:val="24"/>
      <w:lang w:eastAsia="en-US" w:bidi="en-US"/>
    </w:rPr>
  </w:style>
  <w:style w:type="paragraph" w:styleId="759">
    <w:name w:val="列出段落1"/>
    <w:basedOn w:val="677"/>
    <w:next w:val="759"/>
    <w:link w:val="758"/>
    <w:qFormat/>
    <w:pPr>
      <w:contextualSpacing/>
      <w:ind w:left="720"/>
      <w:jc w:val="left"/>
      <w:widowControl/>
    </w:pPr>
    <w:rPr>
      <w:rFonts w:ascii="Calibri" w:hAnsi="Calibri"/>
      <w:sz w:val="24"/>
      <w:szCs w:val="24"/>
      <w:lang w:eastAsia="en-US" w:bidi="en-US"/>
    </w:rPr>
  </w:style>
  <w:style w:type="paragraph" w:styleId="760">
    <w:name w:val="Body Text(ch)"/>
    <w:basedOn w:val="677"/>
    <w:next w:val="693"/>
    <w:link w:val="677"/>
    <w:pPr>
      <w:spacing w:after="120"/>
    </w:pPr>
    <w:rPr>
      <w:rFonts w:ascii="宋体" w:hAnsi="Arial" w:eastAsia="宋体" w:cs="Times New Roman"/>
      <w:bCs/>
      <w:iCs/>
      <w:szCs w:val="24"/>
    </w:rPr>
  </w:style>
  <w:style w:type="paragraph" w:styleId="761">
    <w:name w:val="xl27"/>
    <w:basedOn w:val="677"/>
    <w:next w:val="761"/>
    <w:link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6"/>
    <w:basedOn w:val="677"/>
    <w:next w:val="762"/>
    <w:link w:val="6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Char"/>
    <w:basedOn w:val="677"/>
    <w:next w:val="763"/>
    <w:link w:val="677"/>
    <w:pPr>
      <w:ind w:firstLine="200"/>
      <w:tabs>
        <w:tab w:val="left" w:pos="360" w:leader="none"/>
      </w:tabs>
    </w:pPr>
    <w:rPr>
      <w:rFonts w:ascii="Times New Roman" w:hAnsi="Times New Roman" w:eastAsia="宋体" w:cs="Times New Roman"/>
      <w:sz w:val="28"/>
      <w:szCs w:val="30"/>
    </w:rPr>
  </w:style>
  <w:style w:type="paragraph" w:styleId="764">
    <w:name w:val=" Char"/>
    <w:basedOn w:val="705"/>
    <w:next w:val="764"/>
    <w:link w:val="677"/>
    <w:rPr>
      <w:rFonts w:ascii="Tahoma" w:hAnsi="Tahoma"/>
      <w:sz w:val="24"/>
      <w:szCs w:val="24"/>
    </w:rPr>
  </w:style>
  <w:style w:type="paragraph" w:styleId="765">
    <w:name w:val="普通正文"/>
    <w:basedOn w:val="677"/>
    <w:next w:val="765"/>
    <w:link w:val="677"/>
    <w:pPr>
      <w:ind w:firstLine="480"/>
      <w:jc w:val="left"/>
      <w:spacing w:before="120" w:after="120" w:line="360" w:lineRule="auto"/>
    </w:pPr>
    <w:rPr>
      <w:rFonts w:ascii="Arial" w:hAnsi="Arial" w:eastAsia="宋体" w:cs="Times New Roman"/>
      <w:sz w:val="24"/>
      <w:szCs w:val="24"/>
    </w:rPr>
  </w:style>
  <w:style w:type="paragraph" w:styleId="766">
    <w:name w:val="table_lines"/>
    <w:basedOn w:val="677"/>
    <w:next w:val="766"/>
    <w:link w:val="677"/>
    <w:pPr>
      <w:jc w:val="left"/>
      <w:widowControl/>
    </w:pPr>
    <w:rPr>
      <w:rFonts w:ascii="Times New Roman" w:hAnsi="Times New Roman" w:eastAsia="宋体" w:cs="Times New Roman"/>
      <w:sz w:val="20"/>
      <w:szCs w:val="20"/>
      <w:lang w:val="de-DE" w:eastAsia="de-DE"/>
    </w:rPr>
  </w:style>
  <w:style w:type="paragraph" w:styleId="767">
    <w:name w:val="附录1"/>
    <w:next w:val="767"/>
    <w:link w:val="6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8">
    <w:name w:val="font7"/>
    <w:basedOn w:val="677"/>
    <w:next w:val="768"/>
    <w:link w:val="677"/>
    <w:pPr>
      <w:jc w:val="left"/>
      <w:spacing w:before="100" w:beforeAutospacing="1" w:after="100" w:afterAutospacing="1"/>
      <w:widowControl/>
    </w:pPr>
    <w:rPr>
      <w:rFonts w:hint="eastAsia" w:ascii="宋体" w:hAnsi="宋体" w:eastAsia="宋体" w:cs="Times New Roman"/>
      <w:sz w:val="18"/>
      <w:szCs w:val="18"/>
    </w:rPr>
  </w:style>
  <w:style w:type="paragraph" w:styleId="769">
    <w:name w:val=" Char Char Char Char"/>
    <w:basedOn w:val="705"/>
    <w:next w:val="769"/>
    <w:link w:val="677"/>
    <w:pPr>
      <w:spacing w:line="360" w:lineRule="auto"/>
    </w:pPr>
    <w:rPr>
      <w:rFonts w:ascii="Tahoma" w:hAnsi="Tahoma"/>
      <w:sz w:val="24"/>
      <w:szCs w:val="24"/>
    </w:rPr>
  </w:style>
  <w:style w:type="paragraph" w:styleId="770">
    <w:name w:val="列出段落"/>
    <w:basedOn w:val="677"/>
    <w:next w:val="770"/>
    <w:link w:val="677"/>
    <w:qFormat/>
    <w:pPr>
      <w:contextualSpacing/>
      <w:ind w:left="720"/>
      <w:jc w:val="left"/>
      <w:widowControl/>
    </w:pPr>
    <w:rPr>
      <w:rFonts w:ascii="Calibri" w:hAnsi="Calibri" w:eastAsia="宋体" w:cs="Times New Roman"/>
      <w:sz w:val="24"/>
      <w:szCs w:val="24"/>
      <w:lang w:eastAsia="en-US" w:bidi="en-US"/>
    </w:rPr>
  </w:style>
  <w:style w:type="paragraph" w:styleId="771">
    <w:name w:val="4"/>
    <w:basedOn w:val="677"/>
    <w:next w:val="733"/>
    <w:link w:val="677"/>
    <w:pPr>
      <w:ind w:firstLine="420"/>
      <w:spacing w:line="360" w:lineRule="auto"/>
    </w:pPr>
    <w:rPr>
      <w:rFonts w:ascii="Times New Roman" w:hAnsi="Times New Roman" w:eastAsia="宋体" w:cs="Times New Roman"/>
      <w:color w:val="ff0000"/>
      <w:sz w:val="24"/>
      <w:szCs w:val="24"/>
    </w:rPr>
  </w:style>
  <w:style w:type="paragraph" w:styleId="772">
    <w:name w:val="普通 (Web)"/>
    <w:basedOn w:val="677"/>
    <w:next w:val="772"/>
    <w:link w:val="677"/>
    <w:pPr>
      <w:jc w:val="left"/>
      <w:spacing w:before="100" w:beforeAutospacing="1" w:after="100" w:afterAutospacing="1"/>
      <w:widowControl/>
    </w:pPr>
    <w:rPr>
      <w:rFonts w:ascii="宋体" w:hAnsi="宋体" w:eastAsia="宋体" w:cs="Times New Roman"/>
      <w:sz w:val="24"/>
      <w:szCs w:val="24"/>
    </w:rPr>
  </w:style>
  <w:style w:type="paragraph" w:styleId="773">
    <w:name w:val=" Char Char Char Char Char Char Char Char Char Char"/>
    <w:basedOn w:val="677"/>
    <w:next w:val="773"/>
    <w:link w:val="677"/>
    <w:pPr>
      <w:spacing w:line="360" w:lineRule="auto"/>
    </w:pPr>
    <w:rPr>
      <w:rFonts w:ascii="Times New Roman" w:hAnsi="Times New Roman" w:eastAsia="宋体" w:cs="Times New Roman"/>
      <w:sz w:val="24"/>
      <w:szCs w:val="20"/>
    </w:rPr>
  </w:style>
  <w:style w:type="paragraph" w:styleId="774">
    <w:name w:val="样式1"/>
    <w:basedOn w:val="677"/>
    <w:next w:val="774"/>
    <w:link w:val="677"/>
    <w:pPr>
      <w:numPr>
        <w:ilvl w:val="0"/>
        <w:numId w:val="3"/>
      </w:numPr>
      <w:tabs>
        <w:tab w:val="left" w:pos="709" w:leader="none"/>
      </w:tabs>
    </w:pPr>
    <w:rPr>
      <w:rFonts w:ascii="宋体" w:hAnsi="宋体" w:eastAsia="宋体" w:cs="Times New Roman"/>
      <w:szCs w:val="21"/>
    </w:rPr>
  </w:style>
  <w:style w:type="paragraph" w:styleId="775">
    <w:name w:val="font6"/>
    <w:basedOn w:val="677"/>
    <w:next w:val="775"/>
    <w:link w:val="677"/>
    <w:pPr>
      <w:jc w:val="left"/>
      <w:spacing w:before="100" w:beforeAutospacing="1" w:after="100" w:afterAutospacing="1"/>
      <w:widowControl/>
    </w:pPr>
    <w:rPr>
      <w:rFonts w:hint="eastAsia" w:ascii="宋体" w:hAnsi="宋体" w:eastAsia="宋体" w:cs="Times New Roman"/>
      <w:sz w:val="28"/>
      <w:szCs w:val="28"/>
      <w:u w:val="single"/>
    </w:rPr>
  </w:style>
  <w:style w:type="paragraph" w:styleId="776">
    <w:name w:val="xl25"/>
    <w:basedOn w:val="677"/>
    <w:next w:val="776"/>
    <w:link w:val="6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name w:val="图标"/>
    <w:basedOn w:val="677"/>
    <w:next w:val="677"/>
    <w:link w:val="6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8">
    <w:name w:val="标题3"/>
    <w:basedOn w:val="677"/>
    <w:next w:val="677"/>
    <w:link w:val="677"/>
    <w:pPr>
      <w:ind w:firstLine="624"/>
      <w:spacing w:line="590" w:lineRule="atLeast"/>
    </w:pPr>
    <w:rPr>
      <w:rFonts w:ascii="方正黑体_GBK" w:hAnsi="Times New Roman" w:eastAsia="方正黑体_GBK" w:cs="Times New Roman"/>
      <w:sz w:val="32"/>
      <w:szCs w:val="32"/>
    </w:rPr>
  </w:style>
  <w:style w:type="paragraph" w:styleId="779">
    <w:name w:val="xl24"/>
    <w:basedOn w:val="677"/>
    <w:next w:val="779"/>
    <w:link w:val="6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xl29"/>
    <w:basedOn w:val="677"/>
    <w:next w:val="780"/>
    <w:link w:val="6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1">
    <w:name w:val="Char Char Char Char Char Char Char Char"/>
    <w:basedOn w:val="677"/>
    <w:next w:val="781"/>
    <w:link w:val="677"/>
    <w:pPr>
      <w:jc w:val="left"/>
      <w:spacing w:after="160" w:line="240" w:lineRule="exact"/>
      <w:widowControl/>
    </w:pPr>
    <w:rPr>
      <w:rFonts w:ascii="Verdana" w:hAnsi="Verdana" w:eastAsia="宋体" w:cs="Times New Roman"/>
      <w:sz w:val="20"/>
      <w:szCs w:val="20"/>
      <w:lang w:eastAsia="en-US"/>
    </w:rPr>
  </w:style>
  <w:style w:type="paragraph" w:styleId="782">
    <w:name w:val="xl28"/>
    <w:basedOn w:val="677"/>
    <w:next w:val="782"/>
    <w:link w:val="6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3">
    <w:name w:val=" Char Char Char Char Char Char Char Char"/>
    <w:basedOn w:val="677"/>
    <w:next w:val="783"/>
    <w:link w:val="677"/>
    <w:pPr>
      <w:jc w:val="left"/>
      <w:spacing w:after="160" w:line="240" w:lineRule="exact"/>
      <w:widowControl/>
    </w:pPr>
    <w:rPr>
      <w:rFonts w:ascii="Verdana" w:hAnsi="Verdana" w:eastAsia="宋体" w:cs="Times New Roman"/>
      <w:sz w:val="20"/>
      <w:szCs w:val="20"/>
      <w:lang w:eastAsia="en-US"/>
    </w:rPr>
  </w:style>
  <w:style w:type="paragraph" w:styleId="784">
    <w:name w:val="xl30"/>
    <w:basedOn w:val="677"/>
    <w:next w:val="784"/>
    <w:link w:val="677"/>
    <w:pPr>
      <w:jc w:val="center"/>
      <w:spacing w:before="100" w:beforeAutospacing="1" w:after="100" w:afterAutospacing="1"/>
      <w:widowControl/>
    </w:pPr>
    <w:rPr>
      <w:rFonts w:ascii="宋体" w:hAnsi="宋体" w:eastAsia="宋体" w:cs="Times New Roman"/>
      <w:b/>
      <w:bCs/>
      <w:sz w:val="36"/>
      <w:szCs w:val="36"/>
    </w:rPr>
  </w:style>
  <w:style w:type="paragraph" w:styleId="785">
    <w:name w:val="Char Char Char Char"/>
    <w:basedOn w:val="705"/>
    <w:next w:val="785"/>
    <w:link w:val="677"/>
    <w:pPr>
      <w:spacing w:line="360" w:lineRule="auto"/>
    </w:pPr>
    <w:rPr>
      <w:rFonts w:ascii="Tahoma" w:hAnsi="Tahoma"/>
      <w:sz w:val="24"/>
      <w:szCs w:val="24"/>
    </w:rPr>
  </w:style>
  <w:style w:type="paragraph" w:styleId="786">
    <w:name w:val="table_1stline"/>
    <w:basedOn w:val="677"/>
    <w:next w:val="786"/>
    <w:link w:val="677"/>
    <w:pPr>
      <w:jc w:val="left"/>
      <w:spacing w:before="120"/>
      <w:widowControl/>
    </w:pPr>
    <w:rPr>
      <w:rFonts w:ascii="Times New Roman" w:hAnsi="Times New Roman" w:eastAsia="宋体" w:cs="Times New Roman"/>
      <w:bCs/>
      <w:sz w:val="20"/>
      <w:szCs w:val="20"/>
      <w:lang w:val="de-DE" w:eastAsia="de-DE"/>
    </w:rPr>
  </w:style>
  <w:style w:type="paragraph" w:styleId="787">
    <w:name w:val="font5"/>
    <w:basedOn w:val="677"/>
    <w:next w:val="787"/>
    <w:link w:val="677"/>
    <w:pPr>
      <w:jc w:val="left"/>
      <w:spacing w:before="100" w:beforeAutospacing="1" w:after="100" w:afterAutospacing="1"/>
      <w:widowControl/>
    </w:pPr>
    <w:rPr>
      <w:rFonts w:hint="eastAsia" w:ascii="宋体" w:hAnsi="宋体" w:eastAsia="宋体" w:cs="Times New Roman"/>
      <w:sz w:val="28"/>
      <w:szCs w:val="28"/>
    </w:rPr>
  </w:style>
  <w:style w:type="paragraph" w:styleId="788">
    <w:name w:val="标题1"/>
    <w:basedOn w:val="677"/>
    <w:next w:val="677"/>
    <w:link w:val="6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9">
    <w:name w:val="修订"/>
    <w:next w:val="789"/>
    <w:link w:val="677"/>
    <w:uiPriority w:val="99"/>
    <w:semiHidden/>
    <w:rPr>
      <w:rFonts w:ascii="Times New Roman" w:hAnsi="Times New Roman"/>
      <w:sz w:val="21"/>
      <w:szCs w:val="21"/>
      <w:lang w:val="en-US" w:eastAsia="zh-CN" w:bidi="ar-SA"/>
    </w:rPr>
  </w:style>
  <w:style w:type="paragraph" w:styleId="790">
    <w:name w:val="无间隔"/>
    <w:next w:val="790"/>
    <w:link w:val="677"/>
    <w:uiPriority w:val="99"/>
    <w:qFormat/>
    <w:pPr>
      <w:jc w:val="both"/>
      <w:widowControl w:val="off"/>
    </w:pPr>
    <w:rPr>
      <w:rFonts w:ascii="Times New Roman" w:hAnsi="Times New Roman"/>
      <w:sz w:val="21"/>
      <w:szCs w:val="21"/>
      <w:lang w:val="en-US" w:eastAsia="zh-CN" w:bidi="ar-SA"/>
    </w:rPr>
  </w:style>
  <w:style w:type="paragraph" w:styleId="791">
    <w:name w:val="AONormal"/>
    <w:next w:val="791"/>
    <w:link w:val="677"/>
    <w:qFormat/>
    <w:pPr>
      <w:ind w:firstLine="440"/>
      <w:spacing w:line="400" w:lineRule="exact"/>
    </w:pPr>
    <w:rPr>
      <w:rFonts w:ascii="华文楷体" w:hAnsi="华文楷体" w:eastAsia="华文楷体" w:cs="华文楷体"/>
      <w:sz w:val="22"/>
      <w:szCs w:val="21"/>
      <w:lang w:val="en-US" w:eastAsia="zh-CN" w:bidi="ar-SA"/>
    </w:rPr>
  </w:style>
  <w:style w:type="paragraph" w:styleId="792">
    <w:name w:val="Table Text"/>
    <w:basedOn w:val="677"/>
    <w:next w:val="792"/>
    <w:link w:val="677"/>
    <w:semiHidden/>
    <w:qFormat/>
    <w:rPr>
      <w:rFonts w:ascii="宋体" w:hAnsi="宋体" w:eastAsia="宋体" w:cs="宋体"/>
      <w:sz w:val="24"/>
      <w:szCs w:val="24"/>
      <w:lang w:val="en-US" w:eastAsia="en-US" w:bidi="ar-SA"/>
    </w:rPr>
  </w:style>
  <w:style w:type="character" w:styleId="8360" w:default="1">
    <w:name w:val="Default Paragraph Font"/>
    <w:uiPriority w:val="1"/>
    <w:semiHidden/>
    <w:unhideWhenUsed/>
  </w:style>
  <w:style w:type="numbering" w:styleId="8361" w:default="1">
    <w:name w:val="No List"/>
    <w:uiPriority w:val="99"/>
    <w:semiHidden/>
    <w:unhideWhenUsed/>
  </w:style>
  <w:style w:type="table" w:styleId="83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许滢</cp:lastModifiedBy>
  <cp:revision>4</cp:revision>
  <dcterms:created xsi:type="dcterms:W3CDTF">2026-07-15T08:54:00Z</dcterms:created>
  <dcterms:modified xsi:type="dcterms:W3CDTF">2026-07-16T01:01:12Z</dcterms:modified>
</cp:coreProperties>
</file>