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000000"/>
          <w:sz w:val="36"/>
        </w:rPr>
        <w:t xml:space="preserve">江苏省泰兴中等专业学校数控铣床采购项目</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项目编号：JSZC-321283-WYKJ-G2026-0020</w:t>
      </w:r>
      <w:r/>
    </w:p>
    <w:p>
      <w:pPr>
        <w:ind w:left="0" w:right="0" w:firstLine="723"/>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人：江苏省泰兴中等专业学校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代理机构：中通服网盈科技有限公司</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二0二六年七月</w:t>
      </w:r>
      <w:r/>
    </w:p>
    <w:p>
      <w:pPr>
        <w:ind w:left="0" w:right="0" w:firstLine="72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项目概况</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江苏省泰兴中等专业学校数控铣床采购项目</w:t>
            </w:r>
            <w:r>
              <w:rPr>
                <w:rFonts w:ascii="SimSun" w:hAnsi="SimSun" w:eastAsia="SimSun" w:cs="SimSun"/>
                <w:color w:val="000000"/>
                <w:sz w:val="28"/>
              </w:rPr>
              <w:t xml:space="preserve">招标项目的潜在投标人应在苏采云获取招标文件，并于</w:t>
            </w:r>
            <w:r>
              <w:rPr>
                <w:rFonts w:ascii="SimSun" w:hAnsi="SimSun" w:eastAsia="SimSun" w:cs="SimSun"/>
                <w:color w:val="000000"/>
                <w:sz w:val="28"/>
                <w:u w:val="single"/>
              </w:rPr>
              <w:t xml:space="preserve">2026年08月13日08点30分</w:t>
            </w:r>
            <w:r>
              <w:rPr>
                <w:rFonts w:ascii="SimSun" w:hAnsi="SimSun" w:eastAsia="SimSun" w:cs="SimSun"/>
                <w:color w:val="000000"/>
                <w:sz w:val="28"/>
              </w:rPr>
              <w:t xml:space="preserve">（北京时间）前递交投标文件。</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项目编号：JSZC-321283-WYKJ-G2026-0020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项目名称：江苏省泰兴中等专业学校数控铣床采购项目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预算金额：100万元。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最高限价：100万元。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采购方式：公开招标。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需求：三轴立式数控铣床四台，包括但不限于设备的制造（采购）、运输、装卸、安装、调试、测试、售后服务、技术培训等，直至通过相关部门的验收以及质量保修、免费维保等全部工作。（具体详见采购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合同履行期限：自合同签订之日起90日内完成供货、安装调试、验收、培训并投入使用。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本项目（是/否）接受联合体投标：否。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（一）满足《中华人民共和国政府采购法》第二十二条规定；</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基本资格条件的承诺（根据投标人提供的承诺函，内容完整且具有法人及法定代表人的印章）。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落实政府采购政策需满足的资格要求：本项目为专门面向中小企业的项目；供应商应为中小微企业、监狱企业、残疾人福利性单位，投标人须提供中小企业声明函或监狱企业证明或残疾人福利性单位声明函。</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（三）本项目的特定资格要求：无。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时间：自招标文件公告发布之日起5个工作日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方式：线上获取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售价：0.00元</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时间：2026-08-13  08:30（北京时间）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自本公告发布之日起5个工作日。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1.投标保证金：无。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2.公告发布媒介：江苏政府采购网（www.ccgp-jiangsu.gov.cn）</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3.注意事项：</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（3）有关本次招标的事项若存在变动或修改，敬请及时关注“江苏政府采购网”发布的更正公告。</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如潜在投标人未按上述要求操作，将自行承担所产生的风险。</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七、对本次招标提出询问，请按以下方式联系。</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1.采购人信息</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名称：江苏省泰兴中等专业学校</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地址：泰州市泰兴市南二环东路1号</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联系方式：15961005936</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2.采购代理机构信息</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 称：中通服网盈科技有限公司</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　址：泰兴市国庆中路43号</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联系方式：15345235518 </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3.项目联系方式</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项目联系人：江苏省泰兴中等专业学校  丁九峰</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话：15961005936</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项目联系人：中通服网盈科技有限公司林凯、张镇宁、龚健</w:t>
      </w:r>
      <w:r/>
    </w:p>
    <w:p>
      <w:pPr>
        <w:ind w:left="0" w:right="0" w:firstLine="5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话：15345235518</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891"/>
        <w:jc w:val="both"/>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第二章投标人须知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投标人须知前附表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9"/>
        <w:gridCol w:w="2200"/>
        <w:gridCol w:w="5726"/>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编列内容</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产品交付完成安装调试，经采购方验收合格，采购方支付总合同额的</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（安装调试后一个月内完成验收，出具验收结果）。</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供应商向招标人申请付款时须提供等额的正规税务发票。</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如有变更，增减的货物在需求清单中有的，按中标供应商的中标价格执行，若增减的货物在需求清单中没有的，结算时参照相似货物的投标报价，双方协商解决。</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详见第四章采购需求</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7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要求投标人具备的特定资格要求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详见招标公告</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允许有负偏离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构成招标文件的其他材料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投标人要求澄清招标文件的截止时间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2026年08月03日17时30分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（3）报价明细表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（4）资格条件证明文件；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（5）投标偏离表；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（7）法定代表人身份证明及授权委托书；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（8）中小企业、残疾人福利性单位、本国产品声明函；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（9）对照第三章评标办法，认为应列入投标文件的其他材料。</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电子投标文件壹份；</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投标文件的签署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投标函、投标人基本资格条件承诺函中须加盖投标人公章并经法定代表人签字或签章。</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开标时间：同投标截止时间</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开标地点：“苏采云”系统“开标大厅”</w:t>
            </w:r>
            <w:r/>
          </w:p>
        </w:tc>
      </w:tr>
      <w:tr>
        <w:trPr>
          <w:trHeight w:val="10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投标人参与开标要求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开标活动将在招标公告中规定的时间和地点进行。投标人应当按照</w:t>
            </w:r>
            <w:r>
              <w:rPr>
                <w:rFonts w:ascii="SimSun" w:hAnsi="SimSun" w:eastAsia="SimSun" w:cs="SimSun"/>
                <w:b/>
                <w:color w:val="000000"/>
                <w:sz w:val="24"/>
              </w:rPr>
              <w:t xml:space="preserve">《江苏省政府采购管理交易系统（苏采云）投标人操作手册》</w:t>
            </w:r>
            <w:r>
              <w:rPr>
                <w:rFonts w:ascii="SimSun" w:hAnsi="SimSun" w:eastAsia="SimSun" w:cs="SimSun"/>
                <w:color w:val="000000"/>
                <w:sz w:val="24"/>
              </w:rPr>
              <w:t xml:space="preserve">规定，参加开标活动。</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评标委员会人数：</w:t>
            </w:r>
            <w:r>
              <w:rPr>
                <w:rFonts w:ascii="SimSun" w:hAnsi="SimSun" w:eastAsia="SimSun" w:cs="SimSun"/>
                <w:color w:val="000000"/>
                <w:sz w:val="24"/>
                <w:u w:val="single"/>
              </w:rPr>
              <w:t xml:space="preserve"> 5  </w:t>
            </w:r>
            <w:r>
              <w:rPr>
                <w:rFonts w:ascii="SimSun" w:hAnsi="SimSun" w:eastAsia="SimSun" w:cs="SimSun"/>
                <w:color w:val="000000"/>
                <w:sz w:val="24"/>
              </w:rPr>
              <w:t xml:space="preserve">人及以上单数。</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中标公告媒介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江苏政府采购网（www.ccgp-jiangsu.gov.cn）</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无需缴纳</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签订合同的</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自中标通知书发出之日起</w:t>
            </w:r>
            <w:r>
              <w:rPr>
                <w:rFonts w:ascii="SimSun" w:hAnsi="SimSun" w:eastAsia="SimSun" w:cs="SimSun"/>
                <w:color w:val="000000"/>
                <w:sz w:val="24"/>
                <w:u w:val="single"/>
              </w:rPr>
              <w:t xml:space="preserve"> 30 </w:t>
            </w:r>
            <w:r>
              <w:rPr>
                <w:rFonts w:ascii="SimSun" w:hAnsi="SimSun" w:eastAsia="SimSun" w:cs="SimSun"/>
                <w:color w:val="000000"/>
                <w:sz w:val="24"/>
              </w:rPr>
              <w:t xml:space="preserve">天内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需要补充的其他内容</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质疑和投诉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按照《政府采购质疑和投诉办法》（财政部第94号令）处理</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招标文件的解释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由招标人负责</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top"/>
            <w:textDirection w:val="lrTb"/>
            <w:noWrap w:val="false"/>
          </w:tcPr>
          <w:p>
            <w:pPr>
              <w:ind w:left="0" w:right="0" w:firstLine="0"/>
              <w:jc w:val="both"/>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供应商应为中小微企业、监狱企业、残疾人福利性单位。</w:t>
            </w:r>
            <w:r/>
          </w:p>
        </w:tc>
      </w:tr>
      <w:tr>
        <w:trPr>
          <w:trHeight w:val="1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6" w:type="dxa"/>
            <w:vAlign w:val="top"/>
            <w:textDirection w:val="lrTb"/>
            <w:noWrap w:val="false"/>
          </w:tcPr>
          <w:p>
            <w:pPr>
              <w:numPr>
                <w:ilvl w:val="0"/>
                <w:numId w:val="1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代理费已包含在采购预算中，招标代理费由成交供应商支付，投标单位在投标报价时应将该费用综合考虑在投标报价中，收费标准按照《江苏省政府采购代理服务收费指导意见》苏政采协[2024]20号执行收费指导价标准在领取成交通知书前向采购代理机构一次性缴纳代理服务费。 供应商在投标报价时应综合考虑有关投标所产生的所有费用，采购人不再另外支付。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江苏省政府采购代理常规服务收费指导价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73"/>
              <w:gridCol w:w="700"/>
            </w:tblGrid>
            <w:tr>
              <w:trPr>
                <w:trHeight w:val="285"/>
              </w:trPr>
              <w:tc>
                <w:tcPr>
                  <w:shd w:val="clear" w:color="dce9f9" w:fill="dce9f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中标或者成交金额</w:t>
                  </w:r>
                  <w:r/>
                </w:p>
              </w:tc>
              <w:tc>
                <w:tcPr>
                  <w:shd w:val="clear" w:color="dce9f9" w:fill="dce9f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费率</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2、供应商须在法定质疑期内一次性提出针对同一采购环节的质疑。质疑和投诉按照《政府采购质疑和投诉办法》（财政部第94号令）处理。</w:t>
            </w:r>
            <w:r/>
          </w:p>
          <w:p>
            <w:pPr>
              <w:ind w:left="0" w:right="0" w:firstLine="0"/>
              <w:jc w:val="both"/>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3、本项目标的所属行业：</w:t>
            </w:r>
            <w:r>
              <w:rPr>
                <w:rFonts w:ascii="SimSun" w:hAnsi="SimSun" w:eastAsia="SimSun" w:cs="SimSun"/>
                <w:b/>
                <w:color w:val="000000"/>
                <w:sz w:val="24"/>
              </w:rPr>
              <w:t xml:space="preserve">工业</w:t>
            </w:r>
            <w:r>
              <w:rPr>
                <w:rFonts w:ascii="SimSun" w:hAnsi="SimSun" w:eastAsia="SimSun" w:cs="SimSun"/>
                <w:color w:val="000000"/>
                <w:sz w:val="24"/>
              </w:rPr>
              <w:t xml:space="preserve">。</w:t>
            </w:r>
            <w:r/>
          </w:p>
          <w:p>
            <w:pPr>
              <w:ind w:left="0" w:right="0" w:firstLine="0"/>
              <w:jc w:val="both"/>
              <w:spacing w:before="200" w:after="20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4、本项目中涉及商品包装和快递包装的，参考《财政部办公厅关于印发《商品包装政府采购需求标准（试行）》、《快递包装政府采购需求标准（试行）》的通知》（财办库〔2020〕123号）规定的包装需求标准。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6.贯彻落实《国务院办公厅关于在政府采购中实施本国产品标准及相关政策的通知》的意见。</w:t>
            </w:r>
            <w:r/>
          </w:p>
        </w:tc>
      </w:tr>
    </w:tbl>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1.总则</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1.1项目概况</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1.1.1根据《中华人民共和国政府采购法》、《中华人民共和国政府采购法实施条例》等有关法律、法规和规章的规定，本采购项目已具备采购条件，现对本项目进行公开招标。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 招标人：见投标人须知前附表。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1.1.3 采购代理机构：见投标人须知前附表。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1.1.4 项目名称及项目编号：见投标人须知前附表。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1.2付款方式</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1.2.1付款方式：见投标人须知前附表。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1.3采购范围与合同履行期限</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 采购范围：见投标人须知前附表。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 合同履行期限：见投标人须知前附表。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1.4投标人资格要求</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1.4.1 投标人参加政府采购活动应当具备下列条件：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（1）具有独立承担民事责任的能力；</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（2）具有良好的商业信誉和健全的财务会计制度；</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（3）具有履行合同所必需的设备和专业技术能力；</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（4）有依法缴纳税收和社会保障资金的良好记录；</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（5）参加政府采购活动前三年内，在经营活动中没有重大违法记录；</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（6）法律、行政法规规定的其他条件。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1.4.2根据采购项目特殊要求，要求投标人具备的特定资格要求：见投标人须知前附表。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1.4.3投标人不得存在下列情形之一：</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（l）与招标人或采购代理机构存在隶属关系或者其他利害关系；</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（2）为采购项目提供了整体设计、规范编制或者项目管理、监理、检测等服务；</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（3）单位负责人为同一人或者存在直接控股、管理关系的不同投标人，参加同一合同项下的政府采购活动。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（4）以联合体形式参加政府采购活动的，联合体各方再单独参加或者与其他投标人另外组成联合体参加同一合同项下的政府采购活动。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（5）法律、行政法规规定的其他条件。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1.5费用承担</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无论采购结果如何，投标人为准备和参加投标活动发生的费用自理。</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1.6语言文字</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招投标文件使用的语言文字为中文。专用术语使用外文的，应附有中文注释。</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1.7计量单位</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所有计量均采用中华人民共和国法定计量单位。</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1.8偏离</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1.8.1偏离是指投标文件中的内容与招标文件中规定的技术参数、标准、服务要求等不一致的情形。优于招标文件规定的技术参数、标准、服务要求的为正偏离，反之为负偏离。</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1.8.2偏离的具体要求见投标人须知前附表。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 招标文件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2.1招标文件的组成</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 本招标文件包括：</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（1）招标公告；</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（2）投标人须知；</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（3）评标办法；</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（4）采购需求；</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（5）投标文件的编制要求及参考格式；</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（6）投标人须知前附表规定的构成招标文件的其他材料。</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2.1.2根据本章第2.2款和第2.3款对招标文件所作的澄清、修改，构成招标文件的组成部分。</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2.2招标文件的澄清</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2.3招标文件的修改</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2.4招标文件的重新发布</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招标文件的澄清或修改涉及到申请人的资格条件、评标办法、采购需求等实质性内容时，将重新发布招标公告。</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3.投标文件</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3.1投标文件的组成</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投标文件的组成：见投标人须知前附表。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3.2投标报价</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3.2.1 投标人应按招标文件规定的供货及服务要求、责任范围和合同条件，以人民币进行报价。投标人报价时应充分考虑服务期内所有可能影响到报价的因素，一旦投标结束最终中标，总价包干，不予调整。</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3.2.2 投标人应按开标一览表内容和格式要求填写。投标总价中不得包含招标文件要求以外的内容，否则，在评标时不予核减。投标总价中也不得缺漏招标文件所要求的内容，否则，在评标时将其视为无效投标。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3.2.3只允许有一个报价，不接受选择性报价，否则，在评标时将其视为无效投标。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3.2.4投标人的投标报价不得超过采购项目最高限价。</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3.2.5投标文件中标明的价格在合同执行过程中是固定不变的，不得以任何理由予以变更。任何包含价格调整要求和条件的投标，在评标时将其视为无效投标。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3.3投标有效期</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3.3.1在投标人须知前附表规定的投标有效期内，投标人不得要求撤销或修改其投标文件。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3.3.2出现特殊情况需要延长投标有效期的，招标人将以书面形式通知投标人。投标人拒绝延长投标有效期的，其投标失效。</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3.4投标文件的编制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3.4.1投标人可以按照第六章“投标文件的编制要求及参考格式”要求编制投标文件。需另行增加的相关内容和材料应编入投标文件相应章节，作为投标文件的组成部分。</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3.4.2投标人应对招标文件中的资格要求、合同履行期限、投标有效期、技术、服务标准和要求等实质性内容作出响应，并根据评审因素提供相应的证明材料。</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3.4.3 投标文件的数量：见投标人须知前附表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3.4.4投标文件的签署：见投标人须知前附表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4.投标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4.1投标文件的上传</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4.2投标文件的修改与撤回</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4.2.1在投标截止时间前，投标人可以修改或撤回已递交的投标文件。具体操作方法见《江苏省政府采购管理交易系统（苏采云）投标人操作手册》。</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4.2.2修改的投标文件应按照本招标文件规定进行编制和重新上传。</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4.3投标文件的确认</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5. 开标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5.1开标时间和地点</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5.1.1开标时间和地点：见投标人须知前附表。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5.1.2开标活动在江苏政府采购“苏采云”系统“开标大厅”内公开进行，投标人应当按照《江苏省政府采购管理交易系统（苏采云）投标人操作手册》规定，参加开标活动。</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5.2不见面开标程序</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（1）系统登录。投标人应在投标截止时间前登录开标大厅。</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（2）投标人解密投标文件。按照系统内提示，在规定的时间内完成投标文件的解密。</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（3）唱标。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（4）开标记录确认。</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（5）开标结束。</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5.3特殊情况的处置</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5.3.1在投标截止时间后，开标系统出现下列情况之一时，项目未开标的，暂停开标活动；正在开标的，立即暂停开标，待系统恢复正常后再组织开标。</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（1）系统服务器发生故障，无法访问或无法使用系统； </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（2）系统的软件或数据库出现错误，不能进行正常操作； </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（3）系统发现有安全漏洞，有潜在的泄密危险； </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（4）其他无法保证招投标过程公平和信息安全的情形。</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5.3.2因投标人自身原因造成投标文件无法解密的，视为撤销投标文件。</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5.3.3投标人对开标过程和开标记录有疑义的，可向招标人或者采购代理机构提出。</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5.3.4投标人未在开标系统中确认开标结果的，视同认可开标结果。</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6. 评标</w:t>
      </w:r>
      <w:r/>
    </w:p>
    <w:p>
      <w:pPr>
        <w:ind w:left="0" w:right="0" w:firstLine="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6.1评标委员会</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6.1.1评标由招标人依法组建的评标委员会负责。评标委员会由招标人代表，以及有关技术、经济等方面的专家组成。具体人数见投标人须知前附表。</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6.1.2评标委员会成员有下列情形之一的，应当回避：</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（1）参加采购活动前三年内，与投标人存在劳动关系,或者担任过投标人的董事、监事,或者是投标人的控股股东或实际控制人；</w:t>
      </w:r>
      <w:r/>
    </w:p>
    <w:p>
      <w:pPr>
        <w:ind w:left="0" w:right="0" w:firstLine="560"/>
        <w:jc w:val="both"/>
        <w:spacing w:before="0" w:after="0" w:line="4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（2）与投标人的法定代表人或者负责人有夫妻、直系血亲、三代以内旁系血亲或者近姻亲关系；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（3）与投标人有其他可能影响政府采购活动公平、公正进行的关系；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（4）法律、行政法规规定的其他条件。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6.2评标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评标活动遵循公正、客观、审慎的原则。评标委员会严格按照第三章“评标办法”规定的评标方法、评标程序和评标标准进行独立评审。第三章“评标办法”没有规定的评标标准，不得作为评标依据。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7.中标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7.1确定中标人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7.1.1自收到评标报告之日起５个工作日内，在评标报告确定的中标候选人名单中按顺序确定中标人。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（1）因不可抗力或者自身原因不能履行合同的；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（2）经过财政部门处理投诉举报、监督检查，认定中标无效的；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（3）拒绝与招标人签订合同的。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7.2中标公告及中标通知书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7.2.1自中标人确定之日起2个工作日内，在投标人须知前附表规定的媒介上公告中标结果，公告期限为1个工作日。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7.2.2在公告中标结果的同时，向中标人发出中标通知书。中标通知书对招标人和中标人具有同等法律效力。</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8.合同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8.1履约保证金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8.1.1中标人应按投标人须知前附表规定的履约保证金的形式、金额和提交时间向招标人提交履约保证金。</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8.1.2中标人不能按本招标文件要求提交履约保证金的，视为放弃中标，给招标人造成损失的，中标人还应当予以赔偿。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8.2签</w:t>
      </w:r>
      <w:r>
        <w:rPr>
          <w:rFonts w:ascii="SimSun" w:hAnsi="SimSun" w:eastAsia="SimSun" w:cs="SimSun"/>
          <w:b/>
          <w:color w:val="000000"/>
          <w:sz w:val="30"/>
        </w:rPr>
        <w:t xml:space="preserve">订合同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9.需要补充的其他内容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需要补充的其他内容：见投标人须知前附表。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10.追加、减少和添购</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10.1政府采购合同履行中，采购人需追加与合同标的相同服务的，在不改变合同其他条款的前提下，可以与中标人协商签订补充合同，但所有补充合同的采购金额不超过原合同金额 10%。</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10.2 采购结束后，采购人若由于各种客观原因，必须对采购项目所牵涉的服务内容进行适当减少时，在双方协商一致的前提下，可以按照招标采购时的价格水平做相应的调减，并据此签订补充合同。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资格审查及评标办法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资格审查和评标办法前附表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633"/>
        <w:gridCol w:w="2447"/>
        <w:gridCol w:w="4523"/>
      </w:tblGrid>
      <w:tr>
        <w:trPr>
          <w:trHeight w:val="484"/>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5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6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基本资格条件的承诺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3"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根据投标人提供的承诺函，内容完整且具有法人及法定代表人的印章。（内容及格式参照第六章）</w:t>
            </w:r>
            <w:r/>
          </w:p>
        </w:tc>
      </w:tr>
      <w:tr>
        <w:trPr>
          <w:trHeight w:val="58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招标人根据本项目特点，要求投标人具备的条件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见招标公告</w:t>
            </w:r>
            <w:r/>
          </w:p>
        </w:tc>
      </w:tr>
      <w:tr>
        <w:trPr>
          <w:trHeight w:val="30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4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1.2项评审内容由采购人负责，投标文件不符合1.2项评审标准的，作无效标处理。</w:t>
            </w:r>
            <w:r/>
          </w:p>
        </w:tc>
      </w:tr>
      <w:tr>
        <w:trPr>
          <w:trHeight w:val="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0"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2.2.2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投标文件的签署</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符合第二章第3.4.4项规定</w:t>
            </w:r>
            <w:r/>
          </w:p>
        </w:tc>
      </w:tr>
      <w:tr>
        <w:trPr>
          <w:trHeight w:val="4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3"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有且只有一个有效报价，且未超过最高限价；</w:t>
            </w:r>
            <w:r/>
          </w:p>
        </w:tc>
      </w:tr>
      <w:tr>
        <w:trPr>
          <w:trHeight w:val="4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符合第二章第1.3.2项规定</w:t>
            </w:r>
            <w:r/>
          </w:p>
        </w:tc>
      </w:tr>
      <w:tr>
        <w:trPr>
          <w:trHeight w:val="4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符合第二章第3.3.1项规定</w:t>
            </w:r>
            <w:r/>
          </w:p>
        </w:tc>
      </w:tr>
      <w:tr>
        <w:trPr>
          <w:trHeight w:val="34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47"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523"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符合第二章“投标人须知”第1.8项规定</w:t>
            </w:r>
            <w:r/>
          </w:p>
        </w:tc>
      </w:tr>
      <w:tr>
        <w:trPr>
          <w:trHeight w:val="37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4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2.2.2项评审内容由评标委员会负责，投标文件不符合2.2.2项评审标准的，作无效标处理。</w:t>
            </w:r>
            <w:r/>
          </w:p>
        </w:tc>
      </w:tr>
      <w:tr>
        <w:trPr>
          <w:trHeight w:val="27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2.3详细评审</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55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2" w:type="dxa"/>
            <w:vAlign w:val="center"/>
            <w:textDirection w:val="lrTb"/>
            <w:noWrap w:val="false"/>
          </w:tcPr>
          <w:p>
            <w:pPr>
              <w:ind w:left="0" w:right="0" w:firstLine="3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一、报价评审（30分）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价价格部分（30分）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投标优惠率最高的投标报价为评标基准价，其价格分为满分。其他投标人的价格分别按照下列公式计算（计算结果四舍五入保留两位小数）：报价得分=（1-评标基准价）/（1-供应商优惠率）×30分×100%，分值保留小数点后2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依据《关于推动解决政府采购异常低价问题相关工作的通知》(苏财购[2025]62 号文)规定：</w:t>
            </w:r>
            <w:r/>
          </w:p>
          <w:p>
            <w:pPr>
              <w:numPr>
                <w:ilvl w:val="0"/>
                <w:numId w:val="1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评审过程中出现下列情形之一的，评审小组应当启动异常低价投标（响应）审查程序：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1.投标（响应）报价低于全部通过符合性审查供应商投标（响应）报价平均值50%的，即投标（响应）报价小于全部通过符合性审查供应商投标（响应）报价平均值×50%；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2.投标（响应）报价低于通过符合性审查的次低报价供应商投标（响应）报价50%的，即投标（响应）报价小于通过符合性审查的次低报价供应商投标（响应）报价×50%；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3.投标（响应）报价低于采购项目最高限价45%的，即投标（响应）报价小于采购项目最高限价×45%；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小组应当要求相关供应商在评标现场合理的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w:t>
            </w:r>
            <w:r/>
          </w:p>
        </w:tc>
      </w:tr>
      <w:tr>
        <w:trPr>
          <w:trHeight w:val="55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二、商务评审（18分）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企业业绩（6分）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投标人自2023年1月1日至本项目招标公告发布之日止具有类似项目业绩（</w:t>
            </w:r>
            <w:r>
              <w:rPr>
                <w:rFonts w:ascii="SimSun" w:hAnsi="SimSun" w:eastAsia="SimSun" w:cs="SimSun"/>
                <w:color w:val="ff0000"/>
                <w:sz w:val="24"/>
              </w:rPr>
              <w:t xml:space="preserve">类似项目指数控铣床</w:t>
            </w:r>
            <w:r>
              <w:rPr>
                <w:rFonts w:ascii="SimSun" w:hAnsi="SimSun" w:eastAsia="SimSun" w:cs="SimSun"/>
                <w:color w:val="000000"/>
                <w:sz w:val="24"/>
              </w:rPr>
              <w:t xml:space="preserve">），每提供一份有效业绩合同得2分，本项最高得6分。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注：投标文件中提供合同原件扫描件并加盖投标人电子公章，时间以合同签订日期为准，未提供或未按要求提供的不得分。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项目人员配置（5分）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1.投标人拟派本项目组成员中具有中级（机械工程专业）及以上职称证书的，每有一人得1分，本小项最高得2分。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同一人员在同一专业提供多个级别职称的，以最高级别职称计。②退休人员、非本单位全职人员不得计入，电子投标文件中需提供相关人员职称证书、投标人缴纳近3个月任意一个月的社保证明等证明材料扫描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2.投标人安排的免费授课人员中，包含数控加工方面的专家且能够到校对教师进行为期一周培训的，每有一人得1分，本小项最高得3分。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注：电子投标文件中须提供专家资格证明材料和履历情况表（格式自拟）、与企业签订的劳动合同或聘书、到校培训的承诺书（格式自拟）扫描件并加盖投标人电子公章，未提供或未按要求提供的不得分。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体系证书（3分）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投标人具有有效期内质量管理体系认证证书、环境管理体系认证证书、职业健康安全管理体系证书，每提供一个有效证书得1分，本项最高得3分。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注：电子投标文件中提供有效认证证书扫描件并加盖投标人电子公章，不提供不得分。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质保期（4分）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投标人所投设备免费质保期在满足招标文件1年的基础上每延长一年得2分，本项最多得4分。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注：电子投标文件中提供相关承诺书（格式自拟）扫描件并加盖投标人电子公章，未提供或未按要求提供的不得分。</w:t>
            </w:r>
            <w:r/>
          </w:p>
        </w:tc>
      </w:tr>
      <w:tr>
        <w:trPr>
          <w:trHeight w:val="55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三、技术评审（52分）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技术规格和技术性能（30分）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供应商所投产品的技术指标若全部满足采购文件要求的，得30分；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（1）带“★”的条款为实质性指标，不满足按无效投标处理；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（2）带“▲”的条款为重要技术指标，如带“▲”条款存在负偏离的，负偏离1项扣2分；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（3）其他技术指标，每负偏离1项扣1分，</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分数扣完为止。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根据【投标偏离表】进行评审，请供应商根据采购需求和技术指标的条款逐条响应，技术参数中如果要求提供证明材料的，证明材料可以是该项规定的证明材料，也可以使用生产厂家官方网站截图、彩页或产品白皮书或第三方机构检验报告。经评委审核证明材料有效，视为满足；未提供有效证明材料或证明材料中内容与所填报指标不一致的，该指标按不满足处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功能演示（8分）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为了体现核心产品的详细功能及性能，投标人对所投产品进行演示。演示方式：软件视频演示方式，演示时间不超过10分钟，未提供完整演示或演示不满足以下要求的，此项不得分。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1.数控加工精度在线补偿系统检测流程（共4分）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①产品的创建；（1分）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②刀具的创建和修改；（1分）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③尺寸的创建和修改；（1分）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④测量程序的自动生成。（1分）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2.数控机床数据交互流程（共4分）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①数据采集与报警；（1分）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②加工程序管理；（1分）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③刀补与坐标系采集修改；（1分）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④PLC设置与报警。（1分）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评委根据投标人提供的售后服务体系、售后服务人员、售后服务承诺、售后服务应答及处理时间，质保期内的售后服务范围、质保期满后的售后服务范围进行打分。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①方案详细，可操作性强，完全满足项目需要的，得5分；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②方案较详细，可操作性较强，基本满足项目需要，略有欠缺需要完善的，得3分；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③方案粗略，可操作性一般，基本不能满足项目需要的，得1分；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④未描述的或者完全不能满足项目需要的，不得分。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评委根据供应商提供的买方操作、维护人员的培训方案及计划等方面综合评分。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①方案详细，可操作性强，完全满足项目需要的，得5分；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②方案较详细，可操作性较强，基本满足项目需要，略有欠缺需要完善的，得3分；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③方案粗略，可操作性一般，基本不能满足项目需要的，得1分；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④未描述的或者完全不能满足项目需要的，不得分。</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安装调试方案（4分）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评委根据供应商提供的安装调试方案进行综合评分，包括但不限于项目技术与安装调试方案、验收实施方案等：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①项目安装调试方案全面，针对性强，能完全满足本项目需求的，得4分；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②项目安装调试方案一般，针对性、可行性一般，勉强能满足本项目需求的，得3分；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③项目安装调试方案较差，针对性、可行性较差，不能满足本项目需求的，得1分；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④其他或未提供不得分。</w:t>
            </w:r>
            <w:r/>
          </w:p>
        </w:tc>
      </w:tr>
    </w:tbl>
    <w:p>
      <w:pPr>
        <w:ind w:left="0" w:right="0" w:firstLine="56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24"/>
        </w:rPr>
        <w:t xml:space="preserve">注：</w:t>
      </w:r>
      <w:r>
        <w:rPr>
          <w:rFonts w:ascii="SimSun" w:hAnsi="SimSun" w:eastAsia="SimSun" w:cs="SimSun"/>
          <w:color w:val="000000"/>
          <w:sz w:val="24"/>
        </w:rPr>
        <w:t xml:space="preserve">1.评分细则中要求提供的证明文件及资料等在电子投标文件中提供电子扫描件并加盖投标人电子签章。</w:t>
      </w:r>
      <w:r/>
    </w:p>
    <w:p>
      <w:pPr>
        <w:ind w:left="0" w:right="0" w:firstLine="48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w:t>
      </w:r>
      <w:r/>
    </w:p>
    <w:p>
      <w:pPr>
        <w:ind w:left="0" w:right="0" w:firstLine="48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3.便于评审，请投标人在偏离表中逐条列出技术参数证明材料所在页码，因未列明所在页码而造成的后果由投标人自行承担。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评标采用综合评分法，评标委员会对满足招标文件实质要求的投标文件，按照本章规定的评分标准进行打分，并按得分由高到低顺序推荐中标候选人。</w:t>
      </w:r>
      <w:r>
        <w:rPr>
          <w:rFonts w:ascii="SimSun" w:hAnsi="SimSun" w:eastAsia="SimSun" w:cs="SimSun"/>
          <w:b/>
          <w:color w:val="000000"/>
          <w:sz w:val="28"/>
        </w:rPr>
        <w:t xml:space="preserve">采购人有权对第一中标候选人提交的所有资料的真实性进行考察、核实，若发现弄虚作假的，取消中标资格，并进行公示等相关处罚。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1.资格审查</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1.1项目开标结束后，招标人对投标人的资格进行审查。</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1.2资格审查的内容和标准：见资格审查和评标办法前附表。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2.1评标方法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评标采用综合评分法，评标委员会对满足招标文件实质要求的投标文件，按照本章规定的程序和方法进行评审，并按总得分由高到低顺序推荐中标候选人。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2.2初步评审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2.2.1评标委员会对通过资格审查的投标人进行初步评审。</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2.2.2初步评审的内容为投标文件的符合性评审。符合性评审的内容及标准：见资格审查和评标办法前附表。</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2.3详细评审</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2.3.1评标委员会对通过初步评审的投标人进行详细评审。</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2.3.2详细评审的内容及标准：见资格审查和评标办法前附表。</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2.3.3因落实政府采购政策进行价格调整的，以调整后的价格计算评标基准价和投标报价。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2.4评标报告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2.4.1详细评审结束后，评标委员会负责编写评标报告。</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2.4.2采购代理机构自评审结束之日起2个工作日内将评标报告送交招标人。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2.5澄清、说明或补正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2.5.1评标委员会在评审过程中，可以要求投标人对投标文件中含义不明确、同类问题表述不一致或者有明显文字和计算错误的内容等作出必要的澄清、说明或者更正。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2.5.2评标委员会要求投标人澄清、说明或者更正投标文件应当以书面形式作出。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2.5.3投标人的澄清、说明或者更正应当由法定代表人或其授权代表签字或者加盖公章。由授权代表签字的，应当附法定代表人授权书。投标人的书面澄清材料作为投标文件的补充。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2.5.4投标人的澄清、说明或者更正不得超出投标文件的范围或者改变投标文件的实质性内容。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2.5.5评标委员会不得接受投标人主动提出的澄清、说明或补正。</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3.评标过程中特殊情况的处理规定</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3.1投标报价的修正</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投标文件报价出现前后不一致的，按照下列规定修正： </w:t>
      </w:r>
      <w:r/>
    </w:p>
    <w:p>
      <w:pPr>
        <w:ind w:left="0" w:right="0" w:firstLine="280"/>
        <w:jc w:val="both"/>
        <w:spacing w:before="24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（1）投标文件中开标一览表内容与投标文件中相应内容不一致的，以开标一览表为准； </w:t>
      </w:r>
      <w:r/>
    </w:p>
    <w:p>
      <w:pPr>
        <w:ind w:left="0" w:right="0" w:firstLine="280"/>
        <w:jc w:val="both"/>
        <w:spacing w:before="24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（2）大写金额和小写金额不一致的，以大写金额为准； </w:t>
      </w:r>
      <w:r/>
    </w:p>
    <w:p>
      <w:pPr>
        <w:ind w:left="0" w:right="0" w:firstLine="280"/>
        <w:jc w:val="both"/>
        <w:spacing w:before="24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（3）单价金额小数点或者百分比有明显错位的，以开标一览表的总价为准，并修改单价； </w:t>
      </w:r>
      <w:r/>
    </w:p>
    <w:p>
      <w:pPr>
        <w:ind w:left="0" w:right="0" w:firstLine="280"/>
        <w:jc w:val="both"/>
        <w:spacing w:before="24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（4）总价金额与按单价汇总金额不一致的，以单价金额计算结果为准。 </w:t>
      </w:r>
      <w:r/>
    </w:p>
    <w:p>
      <w:pPr>
        <w:ind w:left="0" w:right="0" w:firstLine="560"/>
        <w:jc w:val="both"/>
        <w:spacing w:before="240" w:after="12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同时出现两种以上不一致的，按照前款规定的顺序修正。修正后的报价按照本章第2.5条的规定经投标人确认后产生约束力，投标人不确认的，其投标无效。</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3.2评标委员会成员的更换</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3.2.2无法及时补足评标委员会成员的，招标人将停止评标活动，封存所有投标文件和开标、评标资料，依法重新组建评标委员会进行评标。原评标委员会所作出的评标意见无效。</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3.3异常低价的处理</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3.4争议解决</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评标委员会成员对需要共同认定的事项存在争议的，按照少数服从多数的原则作出结论。持不同意见的评标委员会成员须在评标报告上签署不同意见及理由。</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3.5评标终止</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3.6修改评标结果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评审组长负责汇总和核对各评标委员会成员的评审结果。在评标报告签署前，出现下列情形之一的，可以要求其当场修改评审结果：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（1）分值汇总计算错误；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（2）分项评分超出评分标准范围；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（3）评标委员会成员对客观评审因素评分不一致；</w:t>
      </w:r>
      <w:r/>
    </w:p>
    <w:p>
      <w:pPr>
        <w:ind w:left="0" w:right="0" w:firstLine="56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（4）经评标委员会认定评分畸高或畸低。</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3.7投标人总分相同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投标人总分相同时，技术部分得分高的排名优先；如技术部分得分也相同，由招标人抽签确定排序。</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3.8评标报告签署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4.判定无效投标的规定</w:t>
      </w:r>
      <w:r/>
    </w:p>
    <w:p>
      <w:pPr>
        <w:ind w:left="0" w:right="0" w:firstLine="0"/>
        <w:jc w:val="both"/>
        <w:spacing w:before="24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4.1开标过程中，有下列情形之一的，作无效投标处理。</w:t>
      </w:r>
      <w:r/>
    </w:p>
    <w:p>
      <w:pPr>
        <w:ind w:left="0" w:right="0" w:firstLine="560"/>
        <w:jc w:val="both"/>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（1）投标文件无法解密；</w:t>
      </w:r>
      <w:r/>
    </w:p>
    <w:p>
      <w:pPr>
        <w:ind w:left="0" w:right="0" w:firstLine="560"/>
        <w:jc w:val="both"/>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（2）投标文件未在规定的时间内解密成功。</w:t>
      </w:r>
      <w:r/>
    </w:p>
    <w:p>
      <w:pPr>
        <w:ind w:left="0" w:right="0" w:firstLine="0"/>
        <w:jc w:val="both"/>
        <w:spacing w:before="24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4.2资格审查过程中，</w:t>
      </w:r>
      <w:r>
        <w:rPr>
          <w:rFonts w:ascii="SimSun" w:hAnsi="SimSun" w:eastAsia="SimSun" w:cs="SimSun"/>
          <w:b/>
          <w:color w:val="000000"/>
          <w:spacing w:val="-14"/>
          <w:sz w:val="28"/>
        </w:rPr>
        <w:t xml:space="preserve">投标文件出现不符合1.2项评审标准之一的，作无效标处理。</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8"/>
        </w:rPr>
        <w:t xml:space="preserve">4.3</w:t>
      </w:r>
      <w:r>
        <w:rPr>
          <w:rFonts w:ascii="SimSun" w:hAnsi="SimSun" w:eastAsia="SimSun" w:cs="SimSun"/>
          <w:b/>
          <w:color w:val="000000"/>
          <w:sz w:val="28"/>
        </w:rPr>
        <w:t xml:space="preserve">评标过程中，有下列情形之一的，作无效投标处理。</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（1）符合性评审时，投标文件出现不符合2.2.2项评审标准之一的；</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（2）投标人不确认评标委员会提出的投标报价修正意见的；</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（3）未按照评标委员会要求提供书面说明及相关证明材料证明其报价合理性的；</w:t>
      </w:r>
      <w:r/>
    </w:p>
    <w:p>
      <w:pPr>
        <w:ind w:left="0" w:right="0" w:firstLine="56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（4）投标文件含有采购人不能接受的附加条件的。</w:t>
      </w:r>
      <w:r/>
    </w:p>
    <w:p>
      <w:pPr>
        <w:ind w:left="0" w:right="0" w:firstLine="0"/>
        <w:jc w:val="both"/>
        <w:spacing w:before="24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4.4法律、法规规定的其他投标无效情形。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江苏省泰兴中等专业学校数控优质专业建设江苏省泰兴中等专业学校数控铣床采购项目，内容包括但不限于设备的制造（采购）、运输、装卸、安装、调试、测试、售后服务、技术培训等，直至通过相关部门的验收以及质量保修、免费维保等全部工作。</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5"/>
        <w:gridCol w:w="4784"/>
        <w:gridCol w:w="1524"/>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三轴立式数控铣床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4台</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二、数控铣床参数要求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1.机械结构及功能特点</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（1）机床采用立柱马鞍型结构形式，Y轴电机采用后置安装结构；</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（2）床身、立柱、工作台、等基础部件采用HT300及以上铸铁，二次时效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（3）床身、床鞍油水分离设计；</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（4）三轴均由伺服电机通过联轴器与滚珠丝杠直联，Z轴伺服电机带有自</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动抱闸功能，三轴均具有过载保护；</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（5）▲三轴均采用直线滚柱导轨，Z轴采用六滑块设计，三向导轨和丝杠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配备防护罩；</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（6）机床主轴部位配备循环式高稳定性冷却装置；</w:t>
      </w:r>
      <w:r/>
    </w:p>
    <w:p>
      <w:pPr>
        <w:ind w:left="480" w:right="0" w:firstLine="0"/>
        <w:spacing w:before="0" w:after="0" w:line="85" w:lineRule="atLeast"/>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（7）机床电器柜需配备可调整降温装置</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（8）排屑装置,跟机床分离式，配备积屑小推车；</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（9）机床须配备LED光源立体照明系统，涵盖主轴、工作台等全部位置；</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（10）设备需具有与智能检测装置相连接的通讯接口，配置在线检测装置，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能满足设备进行数据采集的条件，并与供货的检测设备完全兼容，通过该接口连接检测设备数控系统交互系统能完成全部功能的数据采集，完成在线检测。</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2.主要技术参数</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（1）★数控系统FANUC  0i MF Plus（显示屏≥10.4寸）：</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（2）转速范围：100～10000rpm；  </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（3）主轴锥度：BT40；</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（4）主轴电机：≥7.5/11KW；</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（5）主轴中心至立柱滑道面：≥520mm；</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（6）主轴鼻端至工作台面：120～670mm；</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（7）★三轴最大行程（X、Y、Z轴）：≥800×550×550mm；</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（8）★工作台尺寸（长×宽）：≥1000×550mm；</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（9）最大负荷：≥450kg；</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（10）X/Y/Z轴快速位移：≥48/48/48m/min；</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（11）切削进给率：1—10m/min；</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X/Y/Z轴定位精度：≤0.008mm；</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X/Y/Z轴重复定位精度：≤0.006mm；</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（14）进给最小设定单位：≤0.001mm； </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（15）最大刀具直径：≥Φ100mm；</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（16）泵出水量：≥100L；</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（17）切削水箱容量：≥120L；</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3.主要零部件</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（1）★X/Y/Z轴轴伺服电机：≥1.8KW/2.5KW/≥2.5KW跟系统同品牌；</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（2）★主轴驱动电机：7.5/11kw，跟系统同品牌；</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（3）主轴：BT40-∮150,</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（4）原厂手持单元；</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（5）随机工具及资料</w:t>
      </w:r>
      <w:r/>
    </w:p>
    <w:p>
      <w:pPr>
        <w:ind w:left="42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（6）工具：配套压板、起子、内六角扳手、外六角扳手、机床垫铁、资料：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发那科系统资源，操作说明书等。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4.数控系统需包含但不限于以下加工功能：</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（1）刚性攻丝、反向刚性攻丝循环、深孔刚性攻丝循环功能；</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（2）具有刀具长度补偿、刀具半径补偿、法线方向控制、钻孔用固定循环、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单向定位、螺纹切削；</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（3）具有反向间隙补偿、快移／切削进给别反向间隙补偿、平顺反向间隙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补偿、双向螺距误差补偿等精度补偿功能；</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（4）具有程序后台编辑、图形对话输入、存储卡程序运行编辑等功能；</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（5）标配功能</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（6）程序存储容量≥8M，装载≥1000个程序。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三、在线测量系统（硬件4台，软件4套）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▲测头要求：数字化在线测量装置，探针直径3mm，触发式工件检测测头，采用光学信号传输，在机床上用于工件的找正和工件的检测，信号传输:红外光学传输，传输范围≥6米，单向重复精度: 1μm，测针保护行程:±X/Y 12.5°Z 6mm，传输角度:360°,配置在线接收器。</w:t>
      </w:r>
      <w:r/>
    </w:p>
    <w:p>
      <w:pPr>
        <w:ind w:left="0" w:right="0" w:firstLine="480"/>
        <w:spacing w:before="0" w:after="0" w:line="3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▲在线检测数据补偿软件要求：满足 4 台设备远程监控和数据采集、刀具补偿。</w:t>
      </w:r>
      <w:r/>
    </w:p>
    <w:p>
      <w:pPr>
        <w:ind w:left="0" w:right="0" w:firstLine="480"/>
        <w:spacing w:before="0" w:after="0" w:line="3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要求进行数据采集、运算、反馈等功能，能够在线实现采集结果与理论值比对，智能判断正确性并根据要求实现自动程序命令补偿磨耗值，能自动或手工设定采集频率，以确保正常切削状态下产品的合格率，实现质量自动化智能管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▲避免可能产生的产权纠纷，软件要求正版，投标文件中需提供相关证明材料。</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注：带“★”的条款为实质性指标，不满足按无效投标处理。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1.培训要求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由制造商或代理商人员至买方指定地点进行安装调试，同时进行机床操作及维修训练。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控铣床提供免费保修期不少于1年；在免费保修期内发生的任何技术和机械上的问题，设备提供商全权负责，并是免费和无偿的，包括零部件的更换（但不包括用户人为造成的损伤）。免费质保期内，每半年至少须提供2次设备定期维护保养服务（需含主轴、冷却、润滑，精度调整以及强电等），提供二级维护保养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1.供货期：自合同签订之日起90日内完成供货、安装调试、验收、培训并投入使用。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2.交货地点：中标人负责将货物运到招标人指定地点，由中标人负责办理运输和装卸等，费用由中标人负责。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3.招标人有权根据实际使用需求，对货物清单中品种或数量进行调整，投标人应在投标文件中承诺，在整个执行过程中，将予以配合，保证按招标人要求及时提供所需货物。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5.中标人在交付设备的同时向招标人提供货物全套随机资料一套（不限于合格证书、使用维护说明书、验收报告书、原厂保修单等）。根据招标人要求免费提供并安装设备操作及应用软件。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1.设备为全新原厂正品，包装完好，配件齐全，资料完整。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2.通电开机运行检查系统性能（功能应正常，符合技术参数指标）。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3.出厂检验报告、合格证、保修卡等配备齐全。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后，招标人按相关标准及厂方标准进行质量验收。中标人应向招标人提供详细的验收标准、验收手册。当双方对验收标准有争议时，可委托双方一致认可的国家相关权威检测中心进行检测，费用由中标人承担，只有在设备完全正常运转和招标人确认后，设备的安装工作才能认为已全部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中标人提供的货物，送达后招标人有权委托权威检测机构从中随机抽取1份（套）进行全项检测，中标人不得指定，不得拒绝，检测合格方可交付招标人使用，检测费用由中标人承担。如发现中标人所供货物在质量及感官标准上有明显差异或相关参数指标不达标的，将加倍抽样检验（并对部分产品作破坏性检测），若加倍抽样仍不合格，招标人有权提出整改、返工等要求，中标人必须整改到位，不得以任何理由拒绝。中标人拒不整改的，招标人有权解除合同并不承担任何由此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6.对货物安装验收不合格时，中标人应予以免费调换，直至符合规定，招标人不承担因调退、换货而发生的任何费用和责任；如因产品质量问题给招标人带来的损失，中标人还应赔偿招标人直接损失费用。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1.中标人应按照国家有关法律法规、“三包”规定以及投标文件中的“售后服务承诺”提供服务。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中标人应免费提供维修服务（因使用操作不当等人为原因造成的损坏除外）。中标人接到故障电话1小时响应，在24小时内派人到现场；简单故障，48小时内解决；复杂故障或需使用进口配件，4至6周内解决。若维修逾期未完成，每逾期一天，中标人按合同总额的 0.5‰ 向采购人支付违约金。需到场维修或技术支持的，由厂家派员到设备使用现场维修，由此产生的一切费用均由中标人承担。技术人员应7*24小时全天候随时响应设备使用等相关问题咨询。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人在使用过程中有权继续对设备质量进行检验和检测，如发现货物有不符合验收标准的情形，中标人应免费负责更换或维修，并再次进行免费安装、调试，最终保证设备正常运行。若设备在交货地多次检修后，仍无法达到招标人的正常运行要求，中标人需退回该设备的全部款项，并自行组织设备退回厂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5.质保期结束，中标人对于设备维修只收取基本材料备件费，不收取工时费。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保期结束，不能视为中标人对设备中存在的可能引起设备损坏的潜在缺陷所应负责任的解除。潜在缺陷指设备在制造过程中未被发现的隐患，中标人对纠正潜在缺陷应负责任，其时间应延续至质保期终止后贰年。当发现这类潜在缺陷时（经双方确认），中标人应立即予以无偿修复或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7.因中标人所提供的设备造成招标人设备损坏或其他损失，以及其他第三方损失的，一经核实，中标人必须赔偿招标人或第三方因此造成的所有损失。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8.中标人终身免费更新升级设备安装及数据处理涉及软件。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八、安全要求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1.中标人应保证货物不存在危及人身及财产安全的产品缺陷，否则应承担全部法律责任。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2.在货物安装、运输过程中产生的一切安全责任事故由中标人承担，招标人不承担由此带来的一切经济、法律责任。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因设备质量问题造成损失的，由中标人承担全部赔偿责任。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九、付款方式及说明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1.产品交付完成安装调试，经采购方验收合格，采购方支付总合同额的100%（安装调试后一个月内完成验收，出具验收结果）。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2.供应商向招标人申请付款时须提供等额的正规税务发票。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3.如有变更，增减的货物在需求清单中有的，按中标供应商的中标价格执行，若增减的货物在需求清单中没有的，结算时参照相似货物的投标报价，双方协商解决。</w:t>
      </w:r>
      <w:r/>
    </w:p>
    <w:p>
      <w:pPr>
        <w:ind w:left="0" w:right="0" w:firstLine="55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第五章合同模板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合同文本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财政部 政府采购货物买卖合同（试行）</w:t>
      </w:r>
      <w:r/>
    </w:p>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范本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使 用 说 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08"/>
        <w:ind w:left="0" w:right="0" w:firstLine="0"/>
        <w:jc w:val="center"/>
        <w:spacing w:before="260" w:after="2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第一节 政府采购合同协议书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甲方（全称）：</w:t>
      </w:r>
      <w:r>
        <w:rPr>
          <w:rFonts w:ascii="SimSun" w:hAnsi="SimSun" w:eastAsia="SimSun" w:cs="SimSun"/>
          <w:color w:val="000000"/>
          <w:sz w:val="28"/>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乙方（全称）：</w:t>
      </w:r>
      <w:r>
        <w:rPr>
          <w:rFonts w:ascii="SimSun" w:hAnsi="SimSun" w:eastAsia="SimSun" w:cs="SimSun"/>
          <w:color w:val="000000"/>
          <w:sz w:val="28"/>
          <w:u w:val="single"/>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项目信息</w:t>
      </w:r>
      <w:r/>
    </w:p>
    <w:p>
      <w:pPr>
        <w:numPr>
          <w:ilvl w:val="0"/>
          <w:numId w:val="1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采购项目名称：</w:t>
      </w:r>
      <w:r>
        <w:rPr>
          <w:rFonts w:ascii="SimSun" w:hAnsi="SimSun" w:eastAsia="SimSun" w:cs="SimSun"/>
          <w:color w:val="000000"/>
          <w:sz w:val="28"/>
          <w:u w:val="single"/>
        </w:rPr>
        <w:t xml:space="preserve">         </w:t>
      </w:r>
      <w:r/>
    </w:p>
    <w:p>
      <w:pPr>
        <w:ind w:left="0" w:right="0" w:firstLine="560"/>
        <w:spacing w:before="0" w:after="0"/>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采购项目编号：</w:t>
      </w:r>
      <w:r>
        <w:rPr>
          <w:rFonts w:ascii="SimSun" w:hAnsi="SimSun" w:eastAsia="SimSun" w:cs="SimSun"/>
          <w:color w:val="000000"/>
          <w:sz w:val="28"/>
          <w:u w:val="single"/>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（2）采购计划编号：</w:t>
      </w:r>
      <w:r>
        <w:rPr>
          <w:rFonts w:ascii="SimSun" w:hAnsi="SimSun" w:eastAsia="SimSun" w:cs="SimSun"/>
          <w:color w:val="000000"/>
          <w:sz w:val="28"/>
          <w:u w:val="single"/>
        </w:rPr>
        <w:t xml:space="preserve">             </w:t>
      </w:r>
      <w:r>
        <w:rPr>
          <w:rFonts w:ascii="SimSun" w:hAnsi="SimSun" w:eastAsia="SimSun" w:cs="SimSun"/>
          <w:color w:val="000000"/>
          <w:sz w:val="28"/>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（3）项目内容：</w:t>
      </w:r>
      <w:r>
        <w:rPr>
          <w:rFonts w:ascii="SimSun" w:hAnsi="SimSun" w:eastAsia="SimSun" w:cs="SimSun"/>
          <w:color w:val="000000"/>
          <w:sz w:val="28"/>
          <w:u w:val="single"/>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采购标的的技术要求、商务要求具体见附件。</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合同金额</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（1）合同金额小写：</w:t>
      </w:r>
      <w:r>
        <w:rPr>
          <w:rFonts w:ascii="SimSun" w:hAnsi="SimSun" w:eastAsia="SimSun" w:cs="SimSun"/>
          <w:color w:val="000000"/>
          <w:sz w:val="28"/>
          <w:u w:val="single"/>
        </w:rPr>
        <w:t xml:space="preserve">     </w:t>
      </w:r>
      <w:r>
        <w:rPr>
          <w:rFonts w:ascii="SimSun" w:hAnsi="SimSun" w:eastAsia="SimSun" w:cs="SimSun"/>
          <w:color w:val="000000"/>
          <w:sz w:val="28"/>
        </w:rPr>
        <w:t xml:space="preserve">大写：</w:t>
      </w:r>
      <w:r>
        <w:rPr>
          <w:rFonts w:ascii="SimSun" w:hAnsi="SimSun" w:eastAsia="SimSun" w:cs="SimSun"/>
          <w:color w:val="000000"/>
          <w:sz w:val="28"/>
          <w:u w:val="single"/>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（2）付款方式：</w:t>
      </w:r>
      <w:r>
        <w:rPr>
          <w:rFonts w:ascii="SimSun" w:hAnsi="SimSun" w:eastAsia="SimSun" w:cs="SimSun"/>
          <w:color w:val="000000"/>
          <w:sz w:val="28"/>
          <w:u w:val="single"/>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合同履行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（1）起始日期：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日，完成日期：</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（2）履约地点：</w:t>
      </w:r>
      <w:r>
        <w:rPr>
          <w:rFonts w:ascii="SimSun" w:hAnsi="SimSun" w:eastAsia="SimSun" w:cs="SimSun"/>
          <w:color w:val="000000"/>
          <w:sz w:val="28"/>
          <w:u w:val="single"/>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（3）履约担保：是否收取履约保证金：</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合同验收</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验收组织方式：</w:t>
      </w:r>
      <w:r>
        <w:rPr>
          <w:rFonts w:ascii="SimSun" w:hAnsi="SimSun" w:eastAsia="SimSun" w:cs="SimSun"/>
          <w:color w:val="000000"/>
          <w:sz w:val="28"/>
          <w:u w:val="single"/>
        </w:rPr>
        <w:t xml:space="preserve">            </w:t>
      </w: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组成合同的文件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本协议书与下列文件一起构成合同文件，如下述文件之间有任何抵触、矛盾或歧义，应按以下顺序解释：</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（1）政府采购合同协议书及其变更、补充协议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（2）政府采购合同专用条款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（3）政府采购合同通用条款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（4）中标（成交）通知书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（5）投标（响应）文件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（6）采购文件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（7）有关技术文件，图纸</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（8）国家法律、行政法规和规章制度规定或合同约定的作为合同组成部分的其他文件</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合同生效</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本合同自</w:t>
      </w:r>
      <w:r>
        <w:rPr>
          <w:rFonts w:ascii="SimSun" w:hAnsi="SimSun" w:eastAsia="SimSun" w:cs="SimSun"/>
          <w:color w:val="000000"/>
          <w:sz w:val="28"/>
          <w:u w:val="single"/>
        </w:rPr>
        <w:t xml:space="preserve">      </w:t>
      </w:r>
      <w:r>
        <w:rPr>
          <w:rFonts w:ascii="SimSun" w:hAnsi="SimSun" w:eastAsia="SimSun" w:cs="SimSun"/>
          <w:color w:val="000000"/>
          <w:sz w:val="28"/>
        </w:rPr>
        <w:t xml:space="preserve">生效。</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合同份数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本合同一式</w:t>
      </w:r>
      <w:r>
        <w:rPr>
          <w:rFonts w:ascii="SimSun" w:hAnsi="SimSun" w:eastAsia="SimSun" w:cs="SimSun"/>
          <w:color w:val="000000"/>
          <w:sz w:val="28"/>
          <w:u w:val="single"/>
        </w:rPr>
        <w:t xml:space="preserve">  </w:t>
      </w:r>
      <w:r>
        <w:rPr>
          <w:rFonts w:ascii="SimSun" w:hAnsi="SimSun" w:eastAsia="SimSun" w:cs="SimSun"/>
          <w:color w:val="000000"/>
          <w:sz w:val="28"/>
        </w:rPr>
        <w:t xml:space="preserve">份，甲方执</w:t>
      </w:r>
      <w:r>
        <w:rPr>
          <w:rFonts w:ascii="SimSun" w:hAnsi="SimSun" w:eastAsia="SimSun" w:cs="SimSun"/>
          <w:color w:val="000000"/>
          <w:sz w:val="28"/>
          <w:u w:val="single"/>
        </w:rPr>
        <w:t xml:space="preserve">  </w:t>
      </w:r>
      <w:r>
        <w:rPr>
          <w:rFonts w:ascii="SimSun" w:hAnsi="SimSun" w:eastAsia="SimSun" w:cs="SimSun"/>
          <w:color w:val="000000"/>
          <w:sz w:val="28"/>
        </w:rPr>
        <w:t xml:space="preserve">份，乙方执</w:t>
      </w:r>
      <w:r>
        <w:rPr>
          <w:rFonts w:ascii="SimSun" w:hAnsi="SimSun" w:eastAsia="SimSun" w:cs="SimSun"/>
          <w:color w:val="000000"/>
          <w:sz w:val="28"/>
          <w:u w:val="single"/>
        </w:rPr>
        <w:t xml:space="preserve">  </w:t>
      </w:r>
      <w:r>
        <w:rPr>
          <w:rFonts w:ascii="SimSun" w:hAnsi="SimSun" w:eastAsia="SimSun" w:cs="SimSun"/>
          <w:color w:val="000000"/>
          <w:sz w:val="28"/>
        </w:rPr>
        <w:t xml:space="preserve">份，均具有同等法律效力。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合同订立时间：</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合同订立地点：</w:t>
      </w:r>
      <w:r>
        <w:rPr>
          <w:rFonts w:ascii="SimSun" w:hAnsi="SimSun" w:eastAsia="SimSun" w:cs="SimSun"/>
          <w:color w:val="000000"/>
          <w:sz w:val="28"/>
          <w:u w:val="single"/>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附件：具体标的及其技术要求和商务要求、联合协议、分包意向协议等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309"/>
        <w:gridCol w:w="1843"/>
        <w:gridCol w:w="2542"/>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2"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0" w:type="dxa"/>
            <w:vAlign w:val="center"/>
            <w:textDirection w:val="lrTb"/>
            <w:noWrap w:val="false"/>
          </w:tcPr>
          <w:p>
            <w:pPr>
              <w:ind w:left="0" w:right="0" w:firstLine="48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注：涉及联合体或其他合同主体的信息应按上表格式加列。</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4"/>
        </w:rPr>
        <w:t xml:space="preserve"> </w:t>
      </w:r>
      <w:r/>
    </w:p>
    <w:p>
      <w:pPr>
        <w:pStyle w:val="708"/>
        <w:ind w:left="0" w:right="0" w:firstLine="562"/>
        <w:jc w:val="both"/>
        <w:spacing w:before="156" w:after="260"/>
        <w:pBdr>
          <w:top w:val="none" w:color="000000" w:sz="4" w:space="0"/>
          <w:left w:val="none" w:color="000000" w:sz="4" w:space="0"/>
          <w:bottom w:val="none" w:color="000000" w:sz="4" w:space="0"/>
          <w:right w:val="none" w:color="000000" w:sz="4" w:space="0"/>
        </w:pBdr>
      </w:pPr>
      <w:r>
        <w:rPr>
          <w:rFonts w:ascii="Arial" w:hAnsi="Arial" w:eastAsia="Arial" w:cs="Arial"/>
          <w:color w:val="000000"/>
          <w:sz w:val="34"/>
        </w:rPr>
        <w:t xml:space="preserve"> </w:t>
      </w:r>
      <w:r/>
    </w:p>
    <w:p>
      <w:pPr>
        <w:pStyle w:val="708"/>
        <w:ind w:left="0" w:right="0" w:firstLine="562"/>
        <w:jc w:val="both"/>
        <w:spacing w:before="156" w:after="2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第二节 政府采购合同通用条款</w:t>
      </w:r>
      <w:r/>
    </w:p>
    <w:p>
      <w:pPr>
        <w:ind w:left="0" w:right="0" w:firstLine="562"/>
        <w:jc w:val="both"/>
        <w:spacing w:before="0" w:after="0"/>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1.定义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1.1合同当事人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（1）采购人（以下称甲方）是指使用财政性资金，通过政府采购方式向供应商购买货物及其相关服务的国家机关、事业单位、团体组织。</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（2）供应商（以下称乙方）是指参加政府采购活动并且中标（成交），向采购人提供合同约定的货物及其相关服务的法人、非法人组织或者自然人。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（3）其他合同主体是指除采购人和供应商以外，依法参与合同缔结或履行，享有权利、承担义务的合同当事人。</w:t>
      </w:r>
      <w:r/>
    </w:p>
    <w:p>
      <w:pPr>
        <w:ind w:left="0" w:right="0" w:firstLine="560"/>
        <w:jc w:val="both"/>
        <w:spacing w:before="0" w:after="0"/>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1.2本合同下列术语应解释为：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560"/>
        <w:jc w:val="both"/>
        <w:spacing w:before="0" w:after="0"/>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（2）“合同价款”系指根据本合同规定乙方在全面履行合同义务后甲方应支付给乙方的价款。</w:t>
      </w:r>
      <w:r/>
    </w:p>
    <w:p>
      <w:pPr>
        <w:ind w:left="0" w:right="0" w:firstLine="560"/>
        <w:jc w:val="both"/>
        <w:spacing w:before="0" w:after="0"/>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（3）“货物”系指乙方根据本合同规定须向甲方提供的各种形态和种类的物品，包括原材料、设备、产品（包括软件）及相关的备品备件、工具、手册及其他技术资料和材料等。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560"/>
        <w:jc w:val="both"/>
        <w:spacing w:before="0" w:after="0"/>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w:t>
      </w:r>
      <w:r/>
    </w:p>
    <w:p>
      <w:pPr>
        <w:ind w:left="0" w:right="0" w:firstLine="560"/>
        <w:jc w:val="both"/>
        <w:spacing w:before="0" w:after="0"/>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（7）其他术语解释，见【</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w:t>
      </w: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合同标的及金额</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 合同标的及金额应与中标（成交）结果一致。乙方为履行本合同而发生的所有费用均应包含在合同价款中，甲方不再另行支付其他任何费用。</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 履行合同的时间、地点和方式</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3.1 乙方应当在约定的时间、地点，按照约定方式履行合同。</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 甲方的权利和义务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4.3 甲方有权要求乙方对缺陷部分予以修复，并按合同约定享有货物保修及其他合同约定的权利。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4.4 甲方应当按照合同约定及时对交付的货物进行验收，未在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约定的期限内对乙方履约提出任何异议或者向乙方作出任何说明的，视为验收通过。</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4.5 甲方应当根据合同约定及时向乙方支付合同价款，不得以内部人员变更、履行内部付款流程等为由，拒绝或迟延支付。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4.6 国家法律法规规定及</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约定应由甲方承担的其他义务和责任。</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 乙方的权利和义务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 签署合同后，乙方应确定项目负责人（或项目联系人），负责与本合同有关的事务。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5.3乙方有权根据合同约定向甲方收取合同价款。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5.4国家法律法规规定及</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约定应由乙方承担的其他义务和责任。</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合同履行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 甲乙双方应当按照</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约定顺序履行合同义务；如果没有先后顺序的，应当同时履行。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 货物包装、运输、保险和交付要求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 本合同涉及商品包装、快递包装的，除</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另有约定外，包装应适应远距离运输、防潮、防震、防锈和防野蛮装卸等要求，确保货物安全无损地运抵</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约定的指定现场。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 除</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另有约定外，乙方负责办理将货物运抵本合同规定的交货地点，并装卸、交付至甲方的一切运输事项，相关费用应包含在合同价款中。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7.3 货物保险要求按</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规定执行。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7.5 乙方在运输到达之前应提前通知甲方，并提示货物运输装卸的注意事项，甲方配合乙方做好货物的接收工作。</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7.6 如因包装、运输问题导致货物损毁、丢失或者品质下降，甲方有权要求降价、换货、拒收部分或整批货物，由此产生的费用和损失，均由乙方承担。</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 质量标准和保证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 质量标准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（2）采用中华人民共和国法定计量单位。</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（3）乙方所提供的货物应符合国家有关安全、环保、卫生的规定。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8.2 保证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规定或乙方书面承诺（两者以较长的为准）的质量保证期内，本保证保持有效。</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（2）在质量保证期内所发现的缺陷，甲方应尽快以书面形式通知乙方。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（3）乙方收到通知后，应在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规定的响应时间内以合理的速度免费维修或更换有缺陷的货物或部件。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（5）乙方在约定的时间内未能弥补缺陷，甲方可采取必要的补救措施，但其风险和费用将由乙方承担，甲方根据合同约定对乙方行使的其他权利不受影响。</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 权利瑕疵担保</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9.1 乙方保证对其出售的货物享有合法的权利。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9.2 乙方保证在交付的货物上不存在抵押权等担保物权。</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9.3 如甲方使用上述货物构成对第三人侵权的，则由乙方承担全部责任。</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 知识产权保护</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 保密义务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中约定。</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 合同价款支付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 合同价款支付按照国库集中支付制度及财政管理相关规定执行。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】中约定。</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 履约保证金</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 乙方应当以支票、汇票、本票或者金融机构、担保机构出具的保函等非现金形式提交。</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 如果乙方出现</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13.3 甲方在项目通过验收后按照</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规定的时间内将履约保证金退还乙方；逾期退还的，乙方可要求甲方支付违约金，违约金按照</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规定支付。</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 售后服务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14.1 除项目不涉及或采购活动中明确约定无须承担外，乙方还应提供下列服务：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（1）货物的现场移动、安装、调试、启动监督及技术支持；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（2）提供货物组装和维修所需的专用工具和辅助材料；</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约定的期限内对所有的货物实施运行监督、维修，但前提条件是该服务并不能免除乙方在质量保证期内所承担的义务；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（4）在制造商所在地或指定现场就货物的安装、启动、运营、维护、废弃处置等对甲方操作人员进行培训；</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（5）依照法律、行政法规的规定或者按照</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约定，货物在有效使用年限届满后应予回收的，乙方负有自行或者委托第三人对货物予以回收的义务；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规定由乙方提供的其他服务。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 乙方提供的售后服务的费用已包含在合同价款中，甲方不再另行支付。</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 违约责任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15.1质量瑕疵的违约责任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乙方提供的产品不符合合同约定的质量标准或存在产品质量缺陷，甲方有权要求乙方根据</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要求及时修理、重作、更换，并承担由此给甲方造成的损失。</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15.2 迟延交货的违约责任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规定执行。如果涉及公共利益，且赔偿金额无法弥补公共利益损失，甲方可要求继续履行或者采取其他补救措施。</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15.3 迟延支付的违约责任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甲方存在迟延支付乙方合同款项的，应当承担</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规定的逾期付款利息。</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15.4其他违约责任根据项目实际需要按</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规定执行。</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合同变更、中止与终止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16.1合同的变更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政府采购合同履行中，在不改变合同其他条款的前提下，甲方可以在合同价款10%的范围内追加与合同标的相同的货物，并就此与乙方协商一致后签订补充协议。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16.2合同的中止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（1）合同履行过程中因供应商就采购文件、采购过程或结果提起投诉的，甲方认为有必要的，可以中止合同的履行。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（4）甲方不得以行政区划调整、政府换届、机构或者职能调整以及相关责任人更替为由中止合同。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16.3合同的终止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（1）合同因有效期限届满而终止；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（2）乙方未按合同约定履行，构成根本性违约的，甲方有权终止合同，并追究乙方的违约责任。</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16.4 涉及国家利益、社会公共利益的情形</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 合同分包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17.1 乙方不得将合同转包给其他供应商。涉及合同分包的，乙方应根据采购文件和投标（响应）文件规定进行合同分包。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17.2 乙方执行政府采购政策向中小企业依法分包的，乙方应当按采购文件和投标（响应）文件签订分包意向协议，分包意向协议属于本合同组成部分。</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 不可抗力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18.1 不可抗力是指合同双方不能预见、不能避免且不能克服的客观情况。</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18.2 任何一方对由于不可抗力造成的部分或全部不能履行合同不承担违约责任。但迟延履行后发生不可抗力的，不能免除责任。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 解决争议的方法</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19.2 选择仲裁的，应在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中明确仲裁机构及仲裁地；通过诉讼方式解决的，可以在</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中进一步约定选择与争议有实际联系的地点的人民法院管辖，但管辖法院的约定不得违反级别管辖和专属管辖的规定。</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19.3 如甲乙双方有争议的事项不影响合同其他部分的履行，在争议解决期间，合同其他部分应当继续履行。</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 政府采购政策</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20.1 本合同应当按照规定执行政府采购政策。</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 法律适用</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 本合同的订立、生效、解释、履行及与本合同有关的争议解决，均适用法律、行政法规。</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 本合同条款与法律、行政法规的强制性规定不一致的，双方当事人应按照法律、行政法规的强制性规定修改本合同的相关条款。</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 通知</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 本合同任何一方向对方发出的通知、信件、数据电文等，应当发送至本合同第一部分《政府采购合同协议书》所约定的通讯地址、联系人、联系电话或电子邮箱。</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 一方当事人变更名称、住所、联系人、联系电话或电子邮箱等信息的，应当在变更后3日内及时书面通知对方，对方实际收到变更通知前的送达仍为有效送达。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22.3本合同一方给另一方的通知均应采用书面形式，传真或快递送到本合同中规定的对方的地址和办理签收手续。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22.4通知以送达之日或通知书中规定的生效之日起生效，两者中以较迟之日为准。</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合同未尽事项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23.1合同未尽事项见</w:t>
      </w:r>
      <w:r>
        <w:rPr>
          <w:rFonts w:ascii="SimSun" w:hAnsi="SimSun" w:eastAsia="SimSun" w:cs="SimSun"/>
          <w:b/>
          <w:color w:val="000000"/>
          <w:sz w:val="28"/>
        </w:rPr>
        <w:t xml:space="preserve">【政府采购合同专用条款】</w:t>
      </w:r>
      <w:r>
        <w:rPr>
          <w:rFonts w:ascii="SimSun" w:hAnsi="SimSun" w:eastAsia="SimSun" w:cs="SimSun"/>
          <w:color w:val="000000"/>
          <w:sz w:val="28"/>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23.2 合同附件与合同正文具有同等的法律效力。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第三节 政府采购合同专用条款</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因本合同及合同有关事项发生的争议，按下列第</w:t>
            </w:r>
            <w:r>
              <w:rPr>
                <w:rFonts w:ascii="SimSun" w:hAnsi="SimSun" w:eastAsia="SimSun" w:cs="SimSun"/>
                <w:color w:val="000000"/>
                <w:sz w:val="24"/>
                <w:u w:val="single"/>
              </w:rPr>
              <w:t xml:space="preserve">   </w:t>
            </w:r>
            <w:r>
              <w:rPr>
                <w:rFonts w:ascii="SimSun" w:hAnsi="SimSun" w:eastAsia="SimSun" w:cs="SimSun"/>
                <w:color w:val="000000"/>
                <w:sz w:val="24"/>
              </w:rPr>
              <w:t xml:space="preserve">种方式解决：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w:t>
            </w:r>
            <w:r>
              <w:rPr>
                <w:rFonts w:ascii="SimSun" w:hAnsi="SimSun" w:eastAsia="SimSun" w:cs="SimSun"/>
                <w:color w:val="000000"/>
                <w:sz w:val="24"/>
              </w:rPr>
              <w:t xml:space="preserve">仲裁委员会申请仲裁，仲裁地点为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w:t>
            </w:r>
            <w:r>
              <w:rPr>
                <w:rFonts w:ascii="SimSun" w:hAnsi="SimSun" w:eastAsia="SimSun" w:cs="SimSun"/>
                <w:color w:val="000000"/>
                <w:sz w:val="24"/>
              </w:rPr>
              <w:t xml:space="preserve">人民法院起诉。</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第六章投标文件的编制要求及参考格式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1.投标文件的组成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见本招标文件第二章3.1条。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2.投标文件的编制内容及编制要求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2.1开标一览表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 投标人应按表中格式完整、清晰、正确填写；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2.1.2开标一览表中的价格应与投标文件中投标报价明细表中的价格一致。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2.1.3开标一览表格式见附件。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2.2投标函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2.2.1投标人应按表中规定格式完整、清晰、正确填写；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2.2.2投标函必须加盖投标人法人公章并经法定代表人签字或签章。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2.3投标报价明细表及分析说明（本项目无需提供）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2.3.1投标人必须按表中规定格式完整、清晰、正确填写，表格中各项可进一步细分，栏数不够可自行添加。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2.3.2投标报价构成表及分析说明见附件。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2.4资格条件证明文件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（1）投标人基本资格条件承诺函；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（2）招标文件要求的其他资格条件证明材料。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2.5投标偏离表及人员配置表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投标人应仔细阅读招标文件第四章采购需求，结合自身的实际情况，如实编制，格式附后。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2.6投标人认为应列入投标文件的其他材料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投标人应对照第三章评标办法中的评审因素，结合自身的实际情况，如实编制，格式自拟。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3. 投标文件参考格式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3.1投标文件封面格式</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投标文件</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25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招标编号：</w:t>
      </w:r>
      <w:r/>
    </w:p>
    <w:p>
      <w:pPr>
        <w:ind w:left="0" w:right="0" w:firstLine="12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52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w:t>
      </w:r>
      <w:r>
        <w:rPr>
          <w:rFonts w:ascii="SimSun" w:hAnsi="SimSun" w:eastAsia="SimSun" w:cs="SimSun"/>
          <w:color w:val="000000"/>
          <w:sz w:val="28"/>
          <w:u w:val="single"/>
        </w:rPr>
        <w:t xml:space="preserve">（</w:t>
      </w:r>
      <w:r>
        <w:rPr>
          <w:rFonts w:ascii="SimSun" w:hAnsi="SimSun" w:eastAsia="SimSun" w:cs="SimSun"/>
          <w:color w:val="000000"/>
          <w:sz w:val="24"/>
          <w:u w:val="single"/>
        </w:rPr>
        <w:t xml:space="preserve">盖章</w:t>
      </w:r>
      <w:r>
        <w:rPr>
          <w:rFonts w:ascii="SimSun" w:hAnsi="SimSun" w:eastAsia="SimSun" w:cs="SimSun"/>
          <w:color w:val="000000"/>
          <w:sz w:val="28"/>
          <w:u w:val="single"/>
        </w:rPr>
        <w:t xml:space="preserve">）</w:t>
      </w:r>
      <w:r/>
    </w:p>
    <w:p>
      <w:pPr>
        <w:ind w:left="0" w:right="0" w:firstLine="252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w:t>
      </w:r>
      <w:r/>
    </w:p>
    <w:p>
      <w:pPr>
        <w:ind w:left="0" w:right="0" w:firstLine="252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日期：______年____月____日</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ff0000"/>
          <w:sz w:val="28"/>
        </w:rPr>
        <w:t xml:space="preserve">按“江苏省政府采购管理交易系统（苏采云）”中格式填写。</w:t>
      </w: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3.3投标函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投标函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(采购人名称)</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招标文件的所有条款要求，遵照《中华人民共和国政府采购法》、《中华人民共和国政府采购法实施条例》等有关规定，我方承诺如下：</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1、如我方中标，我方将按招标文件的规定履行合同责任和义务。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2、合同履行期限：</w:t>
      </w:r>
      <w:r>
        <w:rPr>
          <w:rFonts w:ascii="SimSun" w:hAnsi="SimSun" w:eastAsia="SimSun" w:cs="SimSun"/>
          <w:color w:val="000000"/>
          <w:sz w:val="28"/>
          <w:u w:val="single"/>
        </w:rPr>
        <w:t xml:space="preserve">自合同签订之日起90日内完成供货、安装调试、验收、培训并投入使用。。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3、投标有效期：</w:t>
      </w:r>
      <w:r>
        <w:rPr>
          <w:rFonts w:ascii="SimSun" w:hAnsi="SimSun" w:eastAsia="SimSun" w:cs="SimSun"/>
          <w:color w:val="000000"/>
          <w:sz w:val="28"/>
          <w:u w:val="single"/>
        </w:rPr>
        <w:t xml:space="preserve"> 90天 </w:t>
      </w:r>
      <w:r>
        <w:rPr>
          <w:rFonts w:ascii="SimSun" w:hAnsi="SimSun" w:eastAsia="SimSun" w:cs="SimSun"/>
          <w:color w:val="000000"/>
          <w:sz w:val="28"/>
        </w:rPr>
        <w:t xml:space="preserve">。在投标有效期内我方同意遵守本投标文件中的承诺且在此期限期满之前投标文件对我方具有法律约束力。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4、我方已详细审查全部招标文件。我们完全理解并同意放弃对这方面有不明及误解的权力。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w:t>
      </w:r>
      <w:r>
        <w:rPr>
          <w:rFonts w:ascii="SimSun" w:hAnsi="SimSun" w:eastAsia="SimSun" w:cs="SimSun"/>
          <w:color w:val="000000"/>
          <w:sz w:val="24"/>
        </w:rPr>
        <w:t xml:space="preserve">盖章</w:t>
      </w:r>
      <w:r>
        <w:rPr>
          <w:rFonts w:ascii="SimSun" w:hAnsi="SimSun" w:eastAsia="SimSun" w:cs="SimSun"/>
          <w:color w:val="000000"/>
          <w:sz w:val="28"/>
        </w:rPr>
        <w:t xml:space="preserve">)：</w:t>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(签字或签章)：</w:t>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br w:type="page" w:clear="all"/>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3.4投标报价明细表及分析说明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32"/>
        </w:rPr>
        <w:t xml:space="preserve">投标报价明细表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    </w:t>
      </w:r>
      <w:r>
        <w:rPr>
          <w:rFonts w:ascii="SimSun" w:hAnsi="SimSun" w:eastAsia="SimSun" w:cs="SimSun"/>
          <w:color w:val="000000"/>
          <w:sz w:val="24"/>
        </w:rPr>
        <w:t xml:space="preserve">报价单位：人民币（元）</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
        <w:gridCol w:w="810"/>
        <w:gridCol w:w="729"/>
        <w:gridCol w:w="1151"/>
        <w:gridCol w:w="620"/>
        <w:gridCol w:w="594"/>
        <w:gridCol w:w="598"/>
        <w:gridCol w:w="598"/>
        <w:gridCol w:w="598"/>
        <w:gridCol w:w="963"/>
      </w:tblGrid>
      <w:tr>
        <w:trPr>
          <w:trHeight w:val="9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备注：数控系统型号</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4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w:t>
      </w:r>
      <w:r>
        <w:rPr>
          <w:rFonts w:ascii="SimSun" w:hAnsi="SimSun" w:eastAsia="SimSun" w:cs="SimSun"/>
          <w:color w:val="000000"/>
          <w:sz w:val="24"/>
        </w:rPr>
        <w:t xml:space="preserve">盖章</w:t>
      </w:r>
      <w:r>
        <w:rPr>
          <w:rFonts w:ascii="SimSun" w:hAnsi="SimSun" w:eastAsia="SimSun" w:cs="SimSun"/>
          <w:color w:val="000000"/>
          <w:sz w:val="28"/>
        </w:rPr>
        <w:t xml:space="preserve">)：</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(签字或签章)：</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3.5投标人资格条件证明文件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（1）投标人基本资格条件承诺函</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投标人基本资格条件承诺函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一、按照《政府采购法》第二十二条规定的投标人基本资格条件，我公司郑重承诺如下：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1、我单位具有独立承担民事责任的能力；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2、我单位具有良好的商业信誉和健全的财务会计制度；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3、我单位具有履行合同所必需的设备和专业技术能力；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4、我单位有依法缴纳税收和社会保障资金的良好记录；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5、参加本次政府采购活动前三年内，我公司在经营活动中没有因违法经营受到刑事处罚或者责令停产停业、吊销许可证或者执照、较大数额罚款等行政处罚。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6、我单位满足法律、行政法规规定的其他条件。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二、</w:t>
      </w:r>
      <w:r>
        <w:rPr>
          <w:rFonts w:ascii="SimSun" w:hAnsi="SimSun" w:eastAsia="SimSun" w:cs="SimSun"/>
          <w:color w:val="000000"/>
          <w:sz w:val="28"/>
        </w:rPr>
        <w:t xml:space="preserve">我公司承诺：在本次投标过程中，我公司不存在本项目招标文件第二章第1.4.3条所列情形之一。</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w:t>
      </w:r>
      <w:r>
        <w:rPr>
          <w:rFonts w:ascii="SimSun" w:hAnsi="SimSun" w:eastAsia="SimSun" w:cs="SimSun"/>
          <w:color w:val="000000"/>
          <w:sz w:val="24"/>
        </w:rPr>
        <w:t xml:space="preserve">盖章</w:t>
      </w:r>
      <w:r>
        <w:rPr>
          <w:rFonts w:ascii="SimSun" w:hAnsi="SimSun" w:eastAsia="SimSun" w:cs="SimSun"/>
          <w:color w:val="000000"/>
          <w:sz w:val="28"/>
        </w:rPr>
        <w:t xml:space="preserve">)：</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(签字或签章)：</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（2）招标文件要求的其他资格条件及证明材料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3.6投标偏离表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投标偏离表</w:t>
      </w:r>
      <w:r>
        <w:rPr>
          <w:rFonts w:ascii="SimSun" w:hAnsi="SimSun" w:eastAsia="SimSun" w:cs="SimSun"/>
          <w:color w:val="000000"/>
          <w:sz w:val="28"/>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009"/>
        <w:gridCol w:w="1796"/>
        <w:gridCol w:w="1589"/>
        <w:gridCol w:w="875"/>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证明材料对应页码</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投标人名称（盖章）：___________</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日期：_______年______月______日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注：（1）本表不得删除；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（2）投标人必须仔细阅读本招标文件第四章中所有技术规范条款和相关要求，并将响应情况及偏离情况逐项填入上表。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（3）“偏离情况”列应据实填写“正偏离”或“负偏离”或“无偏离”。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3.7承诺书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承诺书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（投标人名称）在此承诺：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1．本公司（单位）对本项目（）所提供的货物均为原厂全新合格品；</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2．本公司（单位）具备履行合同所必需的设备和专业技术能力；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1"/>
        </w:rPr>
        <w:t xml:space="preserve"> </w:t>
      </w:r>
      <w:r>
        <w:rPr>
          <w:rFonts w:ascii="SimSun" w:hAnsi="SimSun" w:eastAsia="SimSun" w:cs="SimSun"/>
          <w:color w:val="000000"/>
          <w:sz w:val="24"/>
        </w:rPr>
        <w:t xml:space="preserve">本公司未被“信用中国”网站（</w:t>
      </w:r>
      <w:hyperlink r:id="rId12" w:tooltip="http://www.creditchina.gov.cn/" w:history="1">
        <w:r>
          <w:rPr>
            <w:rStyle w:val="742"/>
            <w:rFonts w:ascii="SimSun" w:hAnsi="SimSun" w:eastAsia="SimSun" w:cs="SimSun"/>
            <w:color w:val="000000"/>
            <w:sz w:val="24"/>
            <w:u w:val="single"/>
          </w:rPr>
          <w:t xml:space="preserve">www.creditchina.gov.cn</w:t>
        </w:r>
      </w:hyperlink>
      <w:r>
        <w:rPr>
          <w:rFonts w:ascii="SimSun" w:hAnsi="SimSun" w:eastAsia="SimSun" w:cs="SimSun"/>
          <w:color w:val="000000"/>
          <w:sz w:val="24"/>
        </w:rPr>
        <w:t xml:space="preserve">）列入失信执行人、重大税收违法案件当事人名单、政府采购严重违法失信行为记录名单。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如违背上述承诺，本公司（单位）将承担一切法律责任。</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3.8</w:t>
      </w:r>
      <w:r>
        <w:rPr>
          <w:rFonts w:ascii="SimSun" w:hAnsi="SimSun" w:eastAsia="SimSun" w:cs="SimSun"/>
          <w:b/>
          <w:color w:val="000000"/>
          <w:sz w:val="28"/>
        </w:rPr>
        <w:t xml:space="preserve">法定代表人身份证明书、授权委托书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法定代表人身份证明书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1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邮箱：</w:t>
      </w:r>
      <w:r>
        <w:rPr>
          <w:rFonts w:ascii="SimSun" w:hAnsi="SimSun" w:eastAsia="SimSun" w:cs="SimSun"/>
          <w:color w:val="000000"/>
          <w:sz w:val="24"/>
          <w:u w:val="single"/>
        </w:rPr>
        <w:t xml:space="preserve">       </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（供应商单位名称）</w:t>
      </w:r>
      <w:r>
        <w:rPr>
          <w:rFonts w:ascii="SimSun" w:hAnsi="SimSun" w:eastAsia="SimSun" w:cs="SimSun"/>
          <w:color w:val="000000"/>
          <w:sz w:val="24"/>
        </w:rPr>
        <w:t xml:space="preserve">的法定代表人。</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6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附身份证复印件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盖章</w:t>
      </w:r>
      <w:r/>
    </w:p>
    <w:p>
      <w:pPr>
        <w:ind w:left="0" w:right="0" w:firstLine="4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w:t>
      </w:r>
      <w:r>
        <w:rPr>
          <w:rFonts w:ascii="SimSun" w:hAnsi="SimSun" w:eastAsia="SimSun" w:cs="SimSun"/>
          <w:color w:val="000000"/>
          <w:sz w:val="24"/>
          <w:u w:val="single"/>
        </w:rPr>
        <w:t xml:space="preserve">：      </w:t>
      </w:r>
      <w:r/>
    </w:p>
    <w:p>
      <w:pPr>
        <w:ind w:left="0" w:right="0" w:firstLine="44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委托人（供应商）：</w:t>
      </w:r>
      <w:r>
        <w:rPr>
          <w:rFonts w:ascii="SimSun" w:hAnsi="SimSun" w:eastAsia="SimSun" w:cs="SimSun"/>
          <w:color w:val="000000"/>
          <w:sz w:val="24"/>
          <w:u w:val="single"/>
        </w:rPr>
        <w:t xml:space="preserve">    </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受委托人（一）：</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受委托人（一）身份证号码：</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邮箱：</w:t>
      </w:r>
      <w:r>
        <w:rPr>
          <w:rFonts w:ascii="SimSun" w:hAnsi="SimSun" w:eastAsia="SimSun" w:cs="SimSun"/>
          <w:color w:val="000000"/>
          <w:sz w:val="24"/>
          <w:u w:val="single"/>
        </w:rPr>
        <w:t xml:space="preserve">     </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现委托上述受委托人在</w:t>
      </w:r>
      <w:r>
        <w:rPr>
          <w:rFonts w:ascii="SimSun" w:hAnsi="SimSun" w:eastAsia="SimSun" w:cs="SimSun"/>
          <w:color w:val="000000"/>
          <w:sz w:val="24"/>
          <w:u w:val="single"/>
        </w:rPr>
        <w:t xml:space="preserve">   （招标项目名称）        </w:t>
      </w:r>
      <w:r>
        <w:rPr>
          <w:rFonts w:ascii="SimSun" w:hAnsi="SimSun" w:eastAsia="SimSun" w:cs="SimSun"/>
          <w:color w:val="000000"/>
          <w:sz w:val="24"/>
        </w:rPr>
        <w:t xml:space="preserve">招标投标活动中，作为委托人的授权委托人。</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委托事项：领取采购文件、编制、签署、递交、说明补正响应文件、签订合同和处理有关事宜等特别授权。受委托人联合行使或独立行使的委托权限，其法律后果由委托人承担。</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投标事务负责人无转委托权。采购人（采购代理机构）有权拒绝其他任何代表委托人行使的投标事宜，以及超出本授权范围的其他事宜。</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w:t>
      </w:r>
      <w:r>
        <w:rPr>
          <w:rFonts w:ascii="SimSun" w:hAnsi="SimSun" w:eastAsia="SimSun" w:cs="SimSun"/>
          <w:color w:val="000000"/>
          <w:sz w:val="24"/>
          <w:u w:val="single"/>
        </w:rPr>
        <w:t xml:space="preserve">   </w:t>
      </w:r>
      <w:r>
        <w:rPr>
          <w:rFonts w:ascii="SimSun" w:hAnsi="SimSun" w:eastAsia="SimSun" w:cs="SimSun"/>
          <w:color w:val="000000"/>
          <w:sz w:val="24"/>
        </w:rPr>
        <w:t xml:space="preserve">日，自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1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附身份证复印件</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480"/>
        <w:jc w:val="right"/>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3.9中小企业、</w:t>
      </w:r>
      <w:r>
        <w:rPr>
          <w:rFonts w:ascii="SimSun" w:hAnsi="SimSun" w:eastAsia="SimSun" w:cs="SimSun"/>
          <w:b/>
          <w:color w:val="000000"/>
          <w:sz w:val="32"/>
        </w:rPr>
        <w:t xml:space="preserve">残疾人福利性单位、本国产品</w:t>
      </w:r>
      <w:r>
        <w:rPr>
          <w:rFonts w:ascii="SimSun" w:hAnsi="SimSun" w:eastAsia="SimSun" w:cs="SimSun"/>
          <w:b/>
          <w:color w:val="000000"/>
          <w:sz w:val="30"/>
        </w:rPr>
        <w:t xml:space="preserve">声明函</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 （联合体）参加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 （含联合体中的中小企业、签订分包意向协议的中小企业）的具体情况如下：</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 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 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48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注：从业人员、营业收入、资产总额填报上一年度数据，无上一年度数据的新成立企业可不填报。供应商如不提供此声明函，价格将不做相应扣除。</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w:t>
      </w:r>
      <w:r>
        <w:rPr>
          <w:rFonts w:ascii="SimSun" w:hAnsi="SimSun" w:eastAsia="SimSun" w:cs="SimSun"/>
          <w:color w:val="000000"/>
          <w:sz w:val="24"/>
          <w:u w:val="single"/>
        </w:rPr>
        <w:t xml:space="preserve">是/否</w:t>
      </w:r>
      <w:r>
        <w:rPr>
          <w:rFonts w:ascii="SimSun" w:hAnsi="SimSun" w:eastAsia="SimSun" w:cs="SimSun"/>
          <w:color w:val="000000"/>
          <w:sz w:val="24"/>
        </w:rPr>
        <w:t xml:space="preserve">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24"/>
        <w:jc w:val="center"/>
        <w:spacing w:before="0" w:after="0" w:line="587"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color w:val="000000"/>
          <w:sz w:val="24"/>
        </w:rPr>
        <w:t xml:space="preserve">          供应商全称（加盖CA电子公章）：</w:t>
      </w:r>
      <w:r/>
    </w:p>
    <w:p>
      <w:pPr>
        <w:ind w:left="0" w:right="0" w:firstLine="480"/>
        <w:jc w:val="center"/>
        <w:spacing w:before="0" w:after="0" w:line="587"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关于符合本国产品标准的声明函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1.</w:t>
      </w:r>
      <w:r>
        <w:rPr>
          <w:rFonts w:ascii="SimSun" w:hAnsi="SimSun" w:eastAsia="SimSun" w:cs="SimSun"/>
          <w:color w:val="ff0000"/>
          <w:sz w:val="24"/>
          <w:highlight w:val="white"/>
          <w:u w:val="single"/>
        </w:rPr>
        <w:t xml:space="preserve">（产品名称1）</w:t>
      </w:r>
      <w:r>
        <w:rPr>
          <w:rFonts w:ascii="SimSun" w:hAnsi="SimSun" w:eastAsia="SimSun" w:cs="SimSun"/>
          <w:color w:val="ff0000"/>
          <w:sz w:val="20"/>
          <w:highlight w:val="white"/>
          <w:vertAlign w:val="superscript"/>
        </w:rPr>
        <w:t xml:space="preserve">1</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0"/>
          <w:highlight w:val="white"/>
          <w:vertAlign w:val="superscript"/>
        </w:rPr>
        <w:t xml:space="preserve">2</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 （产品名称1） </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0"/>
          <w:highlight w:val="white"/>
          <w:vertAlign w:val="superscript"/>
        </w:rPr>
        <w:t xml:space="preserve">3</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0"/>
          <w:highlight w:val="white"/>
          <w:vertAlign w:val="superscript"/>
        </w:rPr>
        <w:t xml:space="preserve">4</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0"/>
          <w:highlight w:val="white"/>
          <w:vertAlign w:val="superscript"/>
        </w:rPr>
        <w:t xml:space="preserve">5</w:t>
      </w:r>
      <w:r>
        <w:rPr>
          <w:rFonts w:ascii="SimSun" w:hAnsi="SimSun" w:eastAsia="SimSun" w:cs="SimSun"/>
          <w:color w:val="ff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2.</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37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                                日期：　年　月　日</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__________________</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5.该产品的关键工序要求实施前，“关键工序”栏可不填，下同。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6.用斜线划除的地方无需填写。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3.10根据第三章资格审查及评标办法提供的其他相关材料</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仿宋_GB2312">
    <w:panose1 w:val="02010609060101010101"/>
  </w:font>
  <w:font w:name="Calibri">
    <w:panose1 w:val="020F0502020204030204"/>
  </w:font>
  <w:font w:name="楷体_GB2312">
    <w:panose1 w:val="02010609060101010101"/>
  </w:font>
  <w:font w:name="SimHei">
    <w:panose1 w:val="02010609060101010101"/>
  </w:font>
  <w:font w:name="FangSong">
    <w:panose1 w:val="02010609060101010101"/>
  </w:font>
  <w:font w:name="Calibri Light">
    <w:panose1 w:val="020F03020202040302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4"/>
  </w:num>
  <w:num w:numId="4">
    <w:abstractNumId w:val="5"/>
  </w:num>
  <w:num w:numId="5">
    <w:abstractNumId w:val="2"/>
  </w:num>
  <w:num w:numId="6">
    <w:abstractNumId w:val="1"/>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2"/>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707">
    <w:name w:val="Heading 1"/>
    <w:basedOn w:val="706"/>
    <w:next w:val="706"/>
    <w:link w:val="745"/>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7"/>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8"/>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9"/>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0"/>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2"/>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3"/>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Plain Text"/>
    <w:basedOn w:val="706"/>
    <w:next w:val="719"/>
    <w:uiPriority w:val="99"/>
    <w:qFormat/>
    <w:rPr>
      <w:rFonts w:ascii="宋体" w:hAnsi="Courier New"/>
      <w:szCs w:val="20"/>
    </w:rPr>
  </w:style>
  <w:style w:type="paragraph" w:styleId="719">
    <w:name w:val="Normal Indent"/>
    <w:basedOn w:val="706"/>
    <w:uiPriority w:val="0"/>
    <w:qFormat/>
    <w:pPr>
      <w:ind w:firstLine="420"/>
      <w:jc w:val="left"/>
      <w:spacing w:after="0"/>
      <w:widowControl w:val="off"/>
    </w:pPr>
    <w:rPr>
      <w:rFonts w:ascii="宋体" w:hAnsi="Times New Roman" w:eastAsia="宋体" w:cs="宋体"/>
      <w:sz w:val="24"/>
      <w:szCs w:val="24"/>
      <w:lang w:val="en-US" w:eastAsia="zh-CN" w:bidi="ar-SA"/>
    </w:rPr>
  </w:style>
  <w:style w:type="paragraph" w:styleId="720">
    <w:name w:val="toc 7"/>
    <w:basedOn w:val="706"/>
    <w:next w:val="706"/>
    <w:uiPriority w:val="39"/>
    <w:unhideWhenUsed/>
    <w:qFormat/>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Indent"/>
    <w:basedOn w:val="706"/>
    <w:uiPriority w:val="0"/>
    <w:qFormat/>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891"/>
    <w:uiPriority w:val="99"/>
    <w:semiHidden/>
    <w:unhideWhenUsed/>
    <w:pPr>
      <w:spacing w:after="0" w:line="240" w:lineRule="auto"/>
    </w:pPr>
    <w:rPr>
      <w:sz w:val="20"/>
    </w:rPr>
  </w:style>
  <w:style w:type="paragraph" w:styleId="727">
    <w:name w:val="Footer"/>
    <w:basedOn w:val="706"/>
    <w:link w:val="764"/>
    <w:uiPriority w:val="99"/>
    <w:unhideWhenUsed/>
    <w:qFormat/>
    <w:pPr>
      <w:spacing w:after="0" w:line="240" w:lineRule="auto"/>
      <w:tabs>
        <w:tab w:val="center" w:pos="7143" w:leader="none"/>
        <w:tab w:val="right" w:pos="14287" w:leader="none"/>
      </w:tabs>
    </w:pPr>
  </w:style>
  <w:style w:type="paragraph" w:styleId="728">
    <w:name w:val="envelope return"/>
    <w:basedOn w:val="706"/>
    <w:uiPriority w:val="0"/>
    <w:qFormat/>
    <w:rPr>
      <w:rFonts w:ascii="Arial" w:hAnsi="Arial"/>
    </w:rPr>
  </w:style>
  <w:style w:type="paragraph" w:styleId="729">
    <w:name w:val="Header"/>
    <w:basedOn w:val="706"/>
    <w:link w:val="762"/>
    <w:uiPriority w:val="99"/>
    <w:unhideWhenUsed/>
    <w:qFormat/>
    <w:pPr>
      <w:spacing w:after="0" w:line="240" w:lineRule="auto"/>
      <w:tabs>
        <w:tab w:val="center" w:pos="7143" w:leader="none"/>
        <w:tab w:val="right" w:pos="14287" w:leader="none"/>
      </w:tabs>
    </w:pPr>
  </w:style>
  <w:style w:type="paragraph" w:styleId="730">
    <w:name w:val="toc 1"/>
    <w:basedOn w:val="706"/>
    <w:next w:val="706"/>
    <w:uiPriority w:val="39"/>
    <w:unhideWhenUsed/>
    <w:qFormat/>
    <w:pPr>
      <w:ind w:left="0" w:right="0" w:firstLine="0"/>
      <w:spacing w:after="57"/>
    </w:pPr>
  </w:style>
  <w:style w:type="paragraph" w:styleId="731">
    <w:name w:val="toc 4"/>
    <w:basedOn w:val="706"/>
    <w:next w:val="706"/>
    <w:uiPriority w:val="39"/>
    <w:unhideWhenUsed/>
    <w:qFormat/>
    <w:pPr>
      <w:ind w:left="850" w:right="0" w:firstLine="0"/>
      <w:spacing w:after="57"/>
    </w:pPr>
  </w:style>
  <w:style w:type="paragraph" w:styleId="732">
    <w:name w:val="Subtitle"/>
    <w:basedOn w:val="706"/>
    <w:next w:val="706"/>
    <w:link w:val="757"/>
    <w:uiPriority w:val="11"/>
    <w:qFormat/>
    <w:pPr>
      <w:spacing w:before="200" w:after="200"/>
    </w:pPr>
    <w:rPr>
      <w:sz w:val="24"/>
      <w:szCs w:val="24"/>
    </w:rPr>
  </w:style>
  <w:style w:type="paragraph" w:styleId="733">
    <w:name w:val="footnote text"/>
    <w:basedOn w:val="706"/>
    <w:link w:val="890"/>
    <w:uiPriority w:val="99"/>
    <w:semiHidden/>
    <w:unhideWhenUsed/>
    <w:qFormat/>
    <w:pPr>
      <w:spacing w:after="40" w:line="240" w:lineRule="auto"/>
    </w:pPr>
    <w:rPr>
      <w:sz w:val="18"/>
    </w:rPr>
  </w:style>
  <w:style w:type="paragraph" w:styleId="734">
    <w:name w:val="toc 6"/>
    <w:basedOn w:val="706"/>
    <w:next w:val="706"/>
    <w:uiPriority w:val="39"/>
    <w:unhideWhenUsed/>
    <w:qFormat/>
    <w:pPr>
      <w:ind w:left="1417" w:right="0" w:firstLine="0"/>
      <w:spacing w:after="57"/>
    </w:pPr>
  </w:style>
  <w:style w:type="paragraph" w:styleId="735">
    <w:name w:val="table of figures"/>
    <w:basedOn w:val="706"/>
    <w:next w:val="706"/>
    <w:uiPriority w:val="99"/>
    <w:unhideWhenUsed/>
    <w:qFormat/>
    <w:pPr>
      <w:spacing w:after="0" w:afterAutospacing="0"/>
    </w:pPr>
  </w:style>
  <w:style w:type="paragraph" w:styleId="736">
    <w:name w:val="toc 2"/>
    <w:basedOn w:val="706"/>
    <w:next w:val="706"/>
    <w:uiPriority w:val="39"/>
    <w:unhideWhenUsed/>
    <w:qFormat/>
    <w:pPr>
      <w:ind w:left="283" w:right="0" w:firstLine="0"/>
      <w:spacing w:after="57"/>
    </w:pPr>
  </w:style>
  <w:style w:type="paragraph" w:styleId="737">
    <w:name w:val="toc 9"/>
    <w:basedOn w:val="706"/>
    <w:next w:val="706"/>
    <w:uiPriority w:val="39"/>
    <w:unhideWhenUsed/>
    <w:qFormat/>
    <w:pPr>
      <w:ind w:left="2268" w:right="0" w:firstLine="0"/>
      <w:spacing w:after="57"/>
    </w:pPr>
  </w:style>
  <w:style w:type="paragraph" w:styleId="738">
    <w:name w:val="Normal (Web)"/>
    <w:basedOn w:val="706"/>
    <w:uiPriority w:val="99"/>
    <w:semiHidden/>
    <w:unhideWhenUsed/>
    <w:qFormat/>
    <w:pPr>
      <w:ind w:left="0" w:right="0"/>
      <w:jc w:val="left"/>
      <w:spacing w:before="0" w:beforeAutospacing="1" w:after="0" w:afterAutospacing="1"/>
    </w:pPr>
    <w:rPr>
      <w:sz w:val="24"/>
      <w:lang w:val="en-US" w:eastAsia="zh-CN" w:bidi="ar"/>
    </w:rPr>
  </w:style>
  <w:style w:type="paragraph" w:styleId="739">
    <w:name w:val="Title"/>
    <w:basedOn w:val="706"/>
    <w:next w:val="706"/>
    <w:link w:val="756"/>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目录 11"/>
    <w:basedOn w:val="706"/>
    <w:next w:val="706"/>
    <w:uiPriority w:val="0"/>
    <w:semiHidden/>
    <w:qFormat/>
  </w:style>
  <w:style w:type="character" w:styleId="745" w:customStyle="1">
    <w:name w:val="Heading 1 Char"/>
    <w:link w:val="707"/>
    <w:uiPriority w:val="9"/>
    <w:qFormat/>
    <w:rPr>
      <w:rFonts w:ascii="Arial" w:hAnsi="Arial" w:eastAsia="Arial" w:cs="Arial"/>
      <w:sz w:val="40"/>
      <w:szCs w:val="40"/>
    </w:rPr>
  </w:style>
  <w:style w:type="character" w:styleId="746" w:customStyle="1">
    <w:name w:val="Heading 2 Char"/>
    <w:link w:val="708"/>
    <w:uiPriority w:val="9"/>
    <w:qFormat/>
    <w:rPr>
      <w:rFonts w:ascii="Arial" w:hAnsi="Arial" w:eastAsia="Arial" w:cs="Arial"/>
      <w:sz w:val="34"/>
    </w:rPr>
  </w:style>
  <w:style w:type="character" w:styleId="747" w:customStyle="1">
    <w:name w:val="Heading 3 Char"/>
    <w:link w:val="709"/>
    <w:uiPriority w:val="9"/>
    <w:qFormat/>
    <w:rPr>
      <w:rFonts w:ascii="Arial" w:hAnsi="Arial" w:eastAsia="Arial" w:cs="Arial"/>
      <w:sz w:val="30"/>
      <w:szCs w:val="30"/>
    </w:rPr>
  </w:style>
  <w:style w:type="character" w:styleId="748" w:customStyle="1">
    <w:name w:val="Heading 4 Char"/>
    <w:link w:val="710"/>
    <w:uiPriority w:val="9"/>
    <w:qFormat/>
    <w:rPr>
      <w:rFonts w:ascii="Arial" w:hAnsi="Arial" w:eastAsia="Arial" w:cs="Arial"/>
      <w:b/>
      <w:bCs/>
      <w:sz w:val="26"/>
      <w:szCs w:val="26"/>
    </w:rPr>
  </w:style>
  <w:style w:type="character" w:styleId="749" w:customStyle="1">
    <w:name w:val="Heading 5 Char"/>
    <w:link w:val="711"/>
    <w:uiPriority w:val="9"/>
    <w:qFormat/>
    <w:rPr>
      <w:rFonts w:ascii="Arial" w:hAnsi="Arial" w:eastAsia="Arial" w:cs="Arial"/>
      <w:b/>
      <w:bCs/>
      <w:sz w:val="24"/>
      <w:szCs w:val="24"/>
    </w:rPr>
  </w:style>
  <w:style w:type="character" w:styleId="750" w:customStyle="1">
    <w:name w:val="Heading 6 Char"/>
    <w:link w:val="712"/>
    <w:uiPriority w:val="9"/>
    <w:qFormat/>
    <w:rPr>
      <w:rFonts w:ascii="Arial" w:hAnsi="Arial" w:eastAsia="Arial" w:cs="Arial"/>
      <w:b/>
      <w:bCs/>
      <w:sz w:val="22"/>
      <w:szCs w:val="22"/>
    </w:rPr>
  </w:style>
  <w:style w:type="character" w:styleId="751" w:customStyle="1">
    <w:name w:val="Heading 7 Char"/>
    <w:link w:val="713"/>
    <w:uiPriority w:val="9"/>
    <w:qFormat/>
    <w:rPr>
      <w:rFonts w:ascii="Arial" w:hAnsi="Arial" w:eastAsia="Arial" w:cs="Arial"/>
      <w:b/>
      <w:bCs/>
      <w:i/>
      <w:iCs/>
      <w:sz w:val="22"/>
      <w:szCs w:val="22"/>
    </w:rPr>
  </w:style>
  <w:style w:type="character" w:styleId="752" w:customStyle="1">
    <w:name w:val="Heading 8 Char"/>
    <w:link w:val="714"/>
    <w:uiPriority w:val="9"/>
    <w:qFormat/>
    <w:rPr>
      <w:rFonts w:ascii="Arial" w:hAnsi="Arial" w:eastAsia="Arial" w:cs="Arial"/>
      <w:i/>
      <w:iCs/>
      <w:sz w:val="22"/>
      <w:szCs w:val="22"/>
    </w:rPr>
  </w:style>
  <w:style w:type="character" w:styleId="753" w:customStyle="1">
    <w:name w:val="Heading 9 Char"/>
    <w:link w:val="715"/>
    <w:uiPriority w:val="9"/>
    <w:qFormat/>
    <w:rPr>
      <w:rFonts w:ascii="Arial" w:hAnsi="Arial" w:eastAsia="Arial" w:cs="Arial"/>
      <w:i/>
      <w:iCs/>
      <w:sz w:val="21"/>
      <w:szCs w:val="21"/>
    </w:rPr>
  </w:style>
  <w:style w:type="paragraph" w:styleId="754">
    <w:name w:val="List Paragraph"/>
    <w:basedOn w:val="706"/>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39"/>
    <w:uiPriority w:val="10"/>
    <w:qFormat/>
    <w:rPr>
      <w:sz w:val="48"/>
      <w:szCs w:val="48"/>
    </w:rPr>
  </w:style>
  <w:style w:type="character" w:styleId="757" w:customStyle="1">
    <w:name w:val="Subtitle Char"/>
    <w:link w:val="732"/>
    <w:uiPriority w:val="11"/>
    <w:qFormat/>
    <w:rPr>
      <w:sz w:val="24"/>
      <w:szCs w:val="24"/>
    </w:rPr>
  </w:style>
  <w:style w:type="paragraph" w:styleId="758">
    <w:name w:val="Quote"/>
    <w:basedOn w:val="706"/>
    <w:next w:val="706"/>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706"/>
    <w:next w:val="706"/>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29"/>
    <w:uiPriority w:val="99"/>
    <w:qFormat/>
  </w:style>
  <w:style w:type="character" w:styleId="763" w:customStyle="1">
    <w:name w:val="Footer Char"/>
    <w:link w:val="727"/>
    <w:uiPriority w:val="99"/>
    <w:qFormat/>
  </w:style>
  <w:style w:type="character" w:styleId="764" w:customStyle="1">
    <w:name w:val="Caption Char"/>
    <w:link w:val="727"/>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3"/>
    <w:uiPriority w:val="99"/>
    <w:qFormat/>
    <w:rPr>
      <w:sz w:val="18"/>
    </w:rPr>
  </w:style>
  <w:style w:type="character" w:styleId="891" w:customStyle="1">
    <w:name w:val="Endnote Text Char"/>
    <w:link w:val="726"/>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21"/>
    <w:basedOn w:val="706"/>
    <w:next w:val="706"/>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94" w:customStyle="1">
    <w:name w:val="默认段落字体1"/>
    <w:link w:val="706"/>
    <w:uiPriority w:val="0"/>
    <w:semiHidden/>
    <w:qFormat/>
  </w:style>
  <w:style w:type="table" w:styleId="895" w:customStyle="1">
    <w:name w:val="普通表格1"/>
    <w:uiPriority w:val="0"/>
    <w:semiHidden/>
    <w:qFormat/>
    <w:tblPr/>
  </w:style>
  <w:style w:type="character" w:styleId="896" w:customStyle="1">
    <w:name w:val="强调1"/>
    <w:link w:val="706"/>
    <w:uiPriority w:val="0"/>
    <w:qFormat/>
    <w:rPr>
      <w:sz w:val="24"/>
      <w:szCs w:val="24"/>
      <w:lang w:val="en-US" w:eastAsia="zh-CN" w:bidi="ar-SA"/>
    </w:rPr>
  </w:style>
  <w:style w:type="paragraph" w:styleId="897" w:customStyle="1">
    <w:name w:val="正文缩进1"/>
    <w:basedOn w:val="706"/>
    <w:uiPriority w:val="0"/>
    <w:qFormat/>
    <w:pPr>
      <w:ind w:firstLine="420"/>
    </w:pPr>
    <w:rPr>
      <w:szCs w:val="21"/>
    </w:rPr>
  </w:style>
  <w:style w:type="paragraph" w:styleId="898" w:customStyle="1">
    <w:name w:val="文档结构图1"/>
    <w:basedOn w:val="706"/>
    <w:uiPriority w:val="99"/>
    <w:unhideWhenUsed/>
    <w:qFormat/>
    <w:rPr>
      <w:rFonts w:ascii="宋体"/>
      <w:sz w:val="18"/>
      <w:szCs w:val="18"/>
    </w:rPr>
  </w:style>
  <w:style w:type="paragraph" w:styleId="899" w:customStyle="1">
    <w:name w:val="批注文字1"/>
    <w:basedOn w:val="706"/>
    <w:uiPriority w:val="99"/>
    <w:unhideWhenUsed/>
    <w:qFormat/>
    <w:pPr>
      <w:jc w:val="left"/>
    </w:pPr>
  </w:style>
  <w:style w:type="paragraph" w:styleId="900" w:customStyle="1">
    <w:name w:val="正文文本11"/>
    <w:basedOn w:val="706"/>
    <w:next w:val="901"/>
    <w:uiPriority w:val="99"/>
    <w:qFormat/>
    <w:pPr>
      <w:spacing w:after="120"/>
    </w:pPr>
  </w:style>
  <w:style w:type="paragraph" w:styleId="901" w:customStyle="1">
    <w:name w:val="目录 21"/>
    <w:basedOn w:val="706"/>
    <w:next w:val="706"/>
    <w:uiPriority w:val="39"/>
    <w:unhideWhenUsed/>
    <w:qFormat/>
    <w:pPr>
      <w:ind w:left="420"/>
    </w:pPr>
    <w:rPr>
      <w:sz w:val="21"/>
      <w:szCs w:val="22"/>
    </w:rPr>
  </w:style>
  <w:style w:type="paragraph" w:styleId="902" w:customStyle="1">
    <w:name w:val="正文文本缩进1"/>
    <w:basedOn w:val="706"/>
    <w:uiPriority w:val="0"/>
    <w:qFormat/>
    <w:pPr>
      <w:ind w:firstLine="645"/>
    </w:pPr>
    <w:rPr>
      <w:rFonts w:ascii="楷体_GB2312" w:hAnsi="Calibri" w:eastAsia="楷体_GB2312"/>
      <w:sz w:val="32"/>
      <w:szCs w:val="32"/>
    </w:rPr>
  </w:style>
  <w:style w:type="paragraph" w:styleId="903" w:customStyle="1">
    <w:name w:val="目录 31"/>
    <w:basedOn w:val="706"/>
    <w:next w:val="706"/>
    <w:uiPriority w:val="39"/>
    <w:qFormat/>
    <w:pPr>
      <w:ind w:left="420"/>
      <w:jc w:val="left"/>
    </w:pPr>
    <w:rPr>
      <w:i/>
      <w:iCs/>
      <w:sz w:val="20"/>
      <w:szCs w:val="20"/>
    </w:rPr>
  </w:style>
  <w:style w:type="paragraph" w:styleId="904" w:customStyle="1">
    <w:name w:val="纯文本1"/>
    <w:basedOn w:val="706"/>
    <w:uiPriority w:val="0"/>
    <w:qFormat/>
    <w:rPr>
      <w:rFonts w:ascii="宋体" w:hAnsi="Courier New"/>
      <w:szCs w:val="22"/>
    </w:rPr>
  </w:style>
  <w:style w:type="paragraph" w:styleId="905" w:customStyle="1">
    <w:name w:val="日期1"/>
    <w:basedOn w:val="706"/>
    <w:next w:val="706"/>
    <w:uiPriority w:val="0"/>
    <w:qFormat/>
    <w:rPr>
      <w:rFonts w:ascii="Calibri" w:hAnsi="Calibri"/>
    </w:rPr>
  </w:style>
  <w:style w:type="paragraph" w:styleId="906" w:customStyle="1">
    <w:name w:val="页脚1"/>
    <w:basedOn w:val="706"/>
    <w:uiPriority w:val="99"/>
    <w:unhideWhenUsed/>
    <w:qFormat/>
    <w:pPr>
      <w:jc w:val="left"/>
      <w:tabs>
        <w:tab w:val="center" w:pos="4153" w:leader="none"/>
        <w:tab w:val="right" w:pos="8306" w:leader="none"/>
      </w:tabs>
    </w:pPr>
    <w:rPr>
      <w:sz w:val="18"/>
      <w:szCs w:val="18"/>
    </w:rPr>
  </w:style>
  <w:style w:type="paragraph" w:styleId="907" w:customStyle="1">
    <w:name w:val="寄信人地址1"/>
    <w:basedOn w:val="706"/>
    <w:uiPriority w:val="0"/>
    <w:qFormat/>
    <w:rPr>
      <w:rFonts w:ascii="Arial" w:hAnsi="Arial"/>
    </w:rPr>
  </w:style>
  <w:style w:type="paragraph" w:styleId="908" w:customStyle="1">
    <w:name w:val="页眉1"/>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909" w:customStyle="1">
    <w:name w:val="正文文本 21"/>
    <w:basedOn w:val="706"/>
    <w:uiPriority w:val="99"/>
    <w:qFormat/>
    <w:rPr>
      <w:rFonts w:eastAsia="仿宋_GB2312"/>
      <w:color w:val="000000"/>
    </w:rPr>
  </w:style>
  <w:style w:type="paragraph" w:styleId="910" w:customStyle="1">
    <w:name w:val="普通(网站)11"/>
    <w:basedOn w:val="706"/>
    <w:uiPriority w:val="99"/>
    <w:qFormat/>
    <w:pPr>
      <w:jc w:val="left"/>
      <w:spacing w:before="150" w:after="150" w:line="480" w:lineRule="auto"/>
    </w:pPr>
    <w:rPr>
      <w:rFonts w:hint="eastAsia" w:ascii="宋体" w:hAnsi="宋体"/>
      <w:color w:val="000000"/>
    </w:rPr>
  </w:style>
  <w:style w:type="paragraph" w:styleId="911" w:customStyle="1">
    <w:name w:val="正文首行缩进1"/>
    <w:basedOn w:val="900"/>
    <w:uiPriority w:val="0"/>
    <w:qFormat/>
    <w:pPr>
      <w:ind w:firstLine="200"/>
      <w:spacing w:line="360" w:lineRule="auto"/>
    </w:pPr>
    <w:rPr>
      <w:rFonts w:ascii="仿宋_GB2312" w:hAnsi="Arial" w:eastAsia="仿宋_GB2312"/>
      <w:sz w:val="30"/>
      <w:szCs w:val="30"/>
    </w:rPr>
  </w:style>
  <w:style w:type="paragraph" w:styleId="912" w:customStyle="1">
    <w:name w:val="正文首行缩进 21"/>
    <w:basedOn w:val="902"/>
    <w:uiPriority w:val="0"/>
    <w:qFormat/>
    <w:pPr>
      <w:ind w:firstLine="420"/>
      <w:spacing w:line="360" w:lineRule="auto"/>
    </w:pPr>
    <w:rPr>
      <w:rFonts w:ascii="宋体" w:hAnsi="宋体"/>
      <w:sz w:val="21"/>
    </w:rPr>
  </w:style>
  <w:style w:type="table" w:styleId="913" w:customStyle="1">
    <w:name w:val="网格型1"/>
    <w:basedOn w:val="895"/>
    <w:uiPriority w:val="99"/>
    <w:qFormat/>
    <w:pPr>
      <w:jc w:val="both"/>
      <w:widowControl w:val="off"/>
    </w:pPr>
    <w:rPr>
      <w:rFonts w:ascii="Times New Roman" w:hAnsi="Times New Roman" w:eastAsia="宋体" w:cs="Times New Roman"/>
    </w:rPr>
    <w:tblPr/>
  </w:style>
  <w:style w:type="character" w:styleId="914" w:customStyle="1">
    <w:name w:val="超链接1"/>
    <w:basedOn w:val="894"/>
    <w:link w:val="706"/>
    <w:uiPriority w:val="0"/>
    <w:qFormat/>
    <w:rPr>
      <w:color w:val="0000ff"/>
      <w:u w:val="single"/>
    </w:rPr>
  </w:style>
  <w:style w:type="paragraph" w:styleId="915" w:customStyle="1">
    <w:name w:val="列出段落1"/>
    <w:basedOn w:val="706"/>
    <w:uiPriority w:val="0"/>
    <w:qFormat/>
    <w:pPr>
      <w:ind w:firstLine="420"/>
    </w:pPr>
    <w:rPr>
      <w:rFonts w:eastAsia="Times New Roman"/>
    </w:rPr>
  </w:style>
  <w:style w:type="paragraph" w:styleId="916"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917" w:customStyle="1">
    <w:name w:val="普通正文"/>
    <w:basedOn w:val="706"/>
    <w:uiPriority w:val="0"/>
    <w:qFormat/>
    <w:pPr>
      <w:ind w:firstLine="480"/>
      <w:jc w:val="left"/>
      <w:spacing w:before="120" w:after="120" w:line="360" w:lineRule="auto"/>
    </w:pPr>
    <w:rPr>
      <w:rFonts w:ascii="Arial" w:hAnsi="Arial"/>
    </w:rPr>
  </w:style>
  <w:style w:type="paragraph" w:styleId="918" w:customStyle="1">
    <w:name w:val="目录 51"/>
    <w:basedOn w:val="706"/>
    <w:next w:val="706"/>
    <w:uiPriority w:val="99"/>
    <w:qFormat/>
    <w:pPr>
      <w:ind w:left="800"/>
    </w:pPr>
    <w:rPr>
      <w:rFonts w:ascii="Calibri" w:hAnsi="Calibri"/>
      <w:szCs w:val="22"/>
    </w:rPr>
  </w:style>
  <w:style w:type="paragraph" w:styleId="919" w:customStyle="1">
    <w:name w:val="WPS Plain"/>
    <w:uiPriority w:val="0"/>
    <w:qFormat/>
    <w:rPr>
      <w:rFonts w:hint="default" w:ascii="Times New Roman" w:hAnsi="Times New Roman" w:eastAsia="宋体" w:cs="Times New Roman"/>
      <w:lang w:val="en-US" w:eastAsia="zh-CN" w:bidi="ar-SA"/>
    </w:rPr>
  </w:style>
  <w:style w:type="paragraph" w:styleId="920" w:customStyle="1">
    <w:name w:val="Table Paragraph"/>
    <w:basedOn w:val="706"/>
    <w:uiPriority w:val="1"/>
    <w:qFormat/>
  </w:style>
  <w:style w:type="paragraph" w:styleId="921" w:customStyle="1">
    <w:name w:val="列出段落"/>
    <w:basedOn w:val="706"/>
    <w:uiPriority w:val="34"/>
    <w:qFormat/>
    <w:pPr>
      <w:ind w:firstLine="420"/>
    </w:pPr>
  </w:style>
  <w:style w:type="paragraph" w:styleId="922" w:customStyle="1">
    <w:name w:val="01、普通正文"/>
    <w:basedOn w:val="706"/>
    <w:uiPriority w:val="0"/>
    <w:qFormat/>
    <w:pPr>
      <w:tabs>
        <w:tab w:val="left" w:pos="0" w:leader="none"/>
      </w:tabs>
    </w:pPr>
  </w:style>
  <w:style w:type="paragraph" w:styleId="923" w:customStyle="1">
    <w:name w:val="正文文本1"/>
    <w:basedOn w:val="706"/>
    <w:next w:val="706"/>
    <w:uiPriority w:val="99"/>
    <w:qFormat/>
    <w:rPr>
      <w:rFonts w:ascii="宋体"/>
      <w:sz w:val="28"/>
    </w:rPr>
  </w:style>
  <w:style w:type="paragraph" w:styleId="924" w:customStyle="1">
    <w:name w:val="List Paragraph1"/>
    <w:basedOn w:val="706"/>
    <w:uiPriority w:val="0"/>
    <w:qFormat/>
    <w:pPr>
      <w:ind w:firstLine="420"/>
    </w:pPr>
    <w:rPr>
      <w:szCs w:val="21"/>
    </w:rPr>
  </w:style>
  <w:style w:type="paragraph" w:styleId="925" w:customStyle="1">
    <w:name w:val="正文1"/>
    <w:uiPriority w:val="0"/>
    <w:qFormat/>
    <w:rPr>
      <w:rFonts w:hint="default" w:ascii="Times New Roman" w:hAnsi="Times New Roman" w:eastAsia="Times New Roman" w:cs="Times New Roman"/>
      <w:sz w:val="24"/>
      <w:szCs w:val="24"/>
      <w:lang w:val="en-US" w:eastAsia="zh-CN" w:bidi="ar-SA"/>
    </w:rPr>
  </w:style>
  <w:style w:type="paragraph" w:styleId="926" w:customStyle="1">
    <w:name w:val="首行缩进"/>
    <w:basedOn w:val="706"/>
    <w:uiPriority w:val="0"/>
    <w:qFormat/>
    <w:pPr>
      <w:ind w:firstLine="480"/>
      <w:jc w:val="left"/>
      <w:spacing w:line="360" w:lineRule="auto"/>
    </w:pPr>
    <w:rPr>
      <w:sz w:val="24"/>
      <w:szCs w:val="24"/>
    </w:rPr>
  </w:style>
  <w:style w:type="paragraph" w:styleId="927" w:customStyle="1">
    <w:name w:val="正文2"/>
    <w:basedOn w:val="706"/>
    <w:uiPriority w:val="0"/>
    <w:qFormat/>
    <w:pPr>
      <w:ind w:firstLine="510"/>
      <w:spacing w:before="156" w:line="360" w:lineRule="auto"/>
    </w:pPr>
    <w:rPr>
      <w:sz w:val="24"/>
    </w:rPr>
  </w:style>
  <w:style w:type="paragraph" w:styleId="928" w:customStyle="1">
    <w:name w:val="纯文本3"/>
    <w:basedOn w:val="706"/>
    <w:uiPriority w:val="0"/>
    <w:qFormat/>
    <w:rPr>
      <w:rFonts w:ascii="宋体" w:hAnsi="Courier New" w:eastAsia="楷体_GB2312"/>
      <w:sz w:val="26"/>
    </w:rPr>
  </w:style>
  <w:style w:type="paragraph" w:styleId="929" w:customStyle="1">
    <w:name w:val="样式 小四 段前: 5 磅 段后: 5 磅 首行缩进:  2 字符"/>
    <w:basedOn w:val="706"/>
    <w:uiPriority w:val="0"/>
    <w:qFormat/>
    <w:pPr>
      <w:spacing w:line="360" w:lineRule="auto"/>
    </w:pPr>
    <w:rPr>
      <w:rFonts w:ascii="宋体" w:hAnsi="宋体"/>
      <w:szCs w:val="21"/>
    </w:rPr>
  </w:style>
  <w:style w:type="character" w:styleId="930" w:customStyle="1">
    <w:name w:val="font11"/>
    <w:link w:val="706"/>
    <w:uiPriority w:val="0"/>
    <w:qFormat/>
    <w:rPr>
      <w:rFonts w:hint="eastAsia" w:ascii="宋体" w:hAnsi="宋体" w:eastAsia="宋体" w:cs="宋体"/>
      <w:color w:val="000000"/>
      <w:sz w:val="21"/>
      <w:szCs w:val="21"/>
      <w:u w:val="none"/>
    </w:rPr>
  </w:style>
  <w:style w:type="character" w:styleId="931" w:customStyle="1">
    <w:name w:val="font21"/>
    <w:link w:val="706"/>
    <w:uiPriority w:val="0"/>
    <w:qFormat/>
    <w:rPr>
      <w:rFonts w:hint="eastAsia" w:ascii="宋体" w:hAnsi="宋体" w:eastAsia="宋体" w:cs="宋体"/>
      <w:b/>
      <w:bCs/>
      <w:color w:val="000000"/>
      <w:sz w:val="24"/>
      <w:szCs w:val="24"/>
      <w:u w:val="none"/>
    </w:rPr>
  </w:style>
  <w:style w:type="character" w:styleId="932" w:customStyle="1">
    <w:name w:val="font41"/>
    <w:link w:val="706"/>
    <w:uiPriority w:val="0"/>
    <w:qFormat/>
    <w:rPr>
      <w:rFonts w:hint="eastAsia" w:ascii="宋体" w:hAnsi="宋体" w:eastAsia="宋体" w:cs="宋体"/>
      <w:color w:val="000000"/>
      <w:sz w:val="24"/>
      <w:szCs w:val="24"/>
      <w:u w:val="none"/>
    </w:rPr>
  </w:style>
  <w:style w:type="paragraph" w:styleId="933" w:customStyle="1">
    <w:name w:val="普通(网站)1"/>
    <w:basedOn w:val="706"/>
    <w:uiPriority w:val="99"/>
    <w:qFormat/>
    <w:pPr>
      <w:jc w:val="left"/>
      <w:spacing w:before="100" w:beforeAutospacing="1" w:after="100" w:afterAutospacing="1"/>
      <w:widowControl/>
    </w:pPr>
    <w:rPr>
      <w:rFonts w:ascii="宋体" w:hAnsi="宋体" w:eastAsia="宋体" w:cs="宋体"/>
      <w:sz w:val="24"/>
      <w:szCs w:val="24"/>
    </w:rPr>
  </w:style>
  <w:style w:type="character" w:styleId="934" w:customStyle="1">
    <w:name w:val="NormalCharacter"/>
    <w:uiPriority w:val="0"/>
    <w:qFormat/>
    <w:rPr>
      <w:rFonts w:ascii="Times New Roman" w:hAnsi="Times New Roman" w:eastAsia="宋体" w:cs="Times New Roman"/>
    </w:rPr>
  </w:style>
  <w:style w:type="paragraph" w:styleId="935" w:customStyle="1">
    <w:name w:val="footer1"/>
    <w:basedOn w:val="706"/>
    <w:uiPriority w:val="0"/>
    <w:qFormat/>
    <w:pPr>
      <w:jc w:val="left"/>
      <w:tabs>
        <w:tab w:val="center" w:pos="4153" w:leader="none"/>
        <w:tab w:val="right" w:pos="8306" w:leader="none"/>
      </w:tabs>
    </w:pPr>
    <w:rPr>
      <w:sz w:val="18"/>
    </w:rPr>
  </w:style>
  <w:style w:type="paragraph" w:styleId="936"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Administrator.P</dc:creator>
  <cp:lastModifiedBy>沈佳</cp:lastModifiedBy>
  <cp:revision>10</cp:revision>
  <dcterms:created xsi:type="dcterms:W3CDTF">2014-10-29T20:08:00Z</dcterms:created>
  <dcterms:modified xsi:type="dcterms:W3CDTF">2026-07-23T04:40:01Z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eyJoZGlkIjoiOTM5MDA4MmEwZTBhZTY2MGQyYTIxZDdhZWEyZTkzNWQiLCJ1c2VySWQiOiIyODUwMTE5NDQifQ==</vt:lpwstr>
  </property>
  <property fmtid="{D5CDD505-2E9C-101B-9397-08002B2CF9AE}" pid="3" name="KSOProductBuildVer">
    <vt:lpwstr>2052-12.1.0.26895</vt:lpwstr>
  </property>
  <property fmtid="{D5CDD505-2E9C-101B-9397-08002B2CF9AE}" pid="4" name="ICV">
    <vt:lpwstr>BC4501151C0843A88937B066CB48CFCD_13</vt:lpwstr>
  </property>
</Properties>
</file>