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10233">
      <w:pPr>
        <w:tabs>
          <w:tab w:val="left" w:pos="4830"/>
        </w:tabs>
        <w:adjustRightInd w:val="0"/>
        <w:spacing w:before="120" w:after="120" w:line="360" w:lineRule="auto"/>
        <w:jc w:val="left"/>
        <w:textAlignment w:val="baseline"/>
        <w:rPr>
          <w:rFonts w:ascii="仿宋" w:hAnsi="仿宋" w:eastAsia="仿宋" w:cs="仿宋"/>
          <w:b/>
          <w:bCs/>
          <w:kern w:val="0"/>
          <w:sz w:val="84"/>
          <w:szCs w:val="24"/>
        </w:rPr>
      </w:pPr>
    </w:p>
    <w:p w14:paraId="64D31906">
      <w:pPr>
        <w:adjustRightInd w:val="0"/>
        <w:spacing w:before="120" w:after="120" w:line="360" w:lineRule="auto"/>
        <w:jc w:val="center"/>
        <w:textAlignment w:val="baseline"/>
        <w:outlineLvl w:val="0"/>
        <w:rPr>
          <w:rFonts w:ascii="仿宋" w:hAnsi="仿宋" w:eastAsia="仿宋" w:cs="仿宋"/>
          <w:b/>
          <w:bCs/>
          <w:kern w:val="0"/>
          <w:sz w:val="84"/>
          <w:szCs w:val="24"/>
        </w:rPr>
      </w:pPr>
      <w:bookmarkStart w:id="0" w:name="_Toc15109"/>
      <w:bookmarkStart w:id="1" w:name="_Toc10112"/>
      <w:bookmarkStart w:id="2" w:name="_Toc28998"/>
      <w:r>
        <w:rPr>
          <w:rFonts w:hint="eastAsia" w:ascii="仿宋" w:hAnsi="仿宋" w:eastAsia="仿宋" w:cs="仿宋"/>
          <w:b/>
          <w:bCs/>
          <w:kern w:val="0"/>
          <w:sz w:val="84"/>
          <w:szCs w:val="24"/>
        </w:rPr>
        <w:t>竞争性磋商文件</w:t>
      </w:r>
      <w:bookmarkEnd w:id="0"/>
      <w:bookmarkEnd w:id="1"/>
      <w:bookmarkEnd w:id="2"/>
    </w:p>
    <w:p w14:paraId="1715690A">
      <w:pPr>
        <w:adjustRightInd w:val="0"/>
        <w:spacing w:before="120" w:after="120" w:line="360" w:lineRule="auto"/>
        <w:ind w:firstLine="2249" w:firstLineChars="700"/>
        <w:jc w:val="left"/>
        <w:textAlignment w:val="baseline"/>
        <w:rPr>
          <w:rFonts w:ascii="仿宋" w:hAnsi="仿宋" w:eastAsia="仿宋" w:cs="仿宋"/>
          <w:b/>
          <w:bCs/>
          <w:kern w:val="0"/>
          <w:sz w:val="28"/>
          <w:szCs w:val="24"/>
          <w:u w:val="single"/>
        </w:rPr>
      </w:pPr>
      <w:r>
        <w:rPr>
          <w:rFonts w:hint="eastAsia" w:ascii="仿宋" w:hAnsi="仿宋" w:eastAsia="仿宋" w:cs="仿宋"/>
          <w:b/>
          <w:bCs/>
          <w:kern w:val="0"/>
          <w:sz w:val="32"/>
          <w:szCs w:val="24"/>
        </w:rPr>
        <w:t>项目名称：</w:t>
      </w:r>
      <w:r>
        <w:rPr>
          <w:rFonts w:hint="eastAsia" w:ascii="仿宋" w:hAnsi="仿宋" w:eastAsia="仿宋" w:cs="仿宋"/>
          <w:b/>
          <w:bCs/>
          <w:kern w:val="0"/>
          <w:sz w:val="28"/>
          <w:szCs w:val="24"/>
        </w:rPr>
        <w:t>如东县掘港高级中学新建微格教室项目</w:t>
      </w:r>
    </w:p>
    <w:p w14:paraId="2F9CD0D9">
      <w:pPr>
        <w:adjustRightInd w:val="0"/>
        <w:spacing w:before="120" w:after="120" w:line="360" w:lineRule="auto"/>
        <w:ind w:firstLine="2249" w:firstLineChars="700"/>
        <w:jc w:val="left"/>
        <w:textAlignment w:val="baseline"/>
        <w:outlineLvl w:val="0"/>
        <w:rPr>
          <w:rFonts w:ascii="仿宋" w:hAnsi="仿宋" w:eastAsia="仿宋" w:cs="仿宋"/>
          <w:b/>
          <w:bCs/>
          <w:kern w:val="0"/>
          <w:sz w:val="32"/>
          <w:szCs w:val="24"/>
        </w:rPr>
      </w:pPr>
      <w:bookmarkStart w:id="3" w:name="_Toc15853"/>
      <w:bookmarkStart w:id="4" w:name="_Toc11109"/>
      <w:bookmarkStart w:id="5" w:name="_Toc9771"/>
      <w:r>
        <w:rPr>
          <w:rFonts w:hint="eastAsia" w:ascii="仿宋" w:hAnsi="仿宋" w:eastAsia="仿宋" w:cs="仿宋"/>
          <w:b/>
          <w:bCs/>
          <w:kern w:val="0"/>
          <w:sz w:val="32"/>
          <w:szCs w:val="24"/>
        </w:rPr>
        <w:t>项目编号：</w:t>
      </w:r>
      <w:bookmarkEnd w:id="3"/>
      <w:bookmarkEnd w:id="4"/>
      <w:bookmarkEnd w:id="5"/>
      <w:r>
        <w:rPr>
          <w:rFonts w:hint="eastAsia" w:ascii="仿宋" w:hAnsi="仿宋" w:eastAsia="仿宋" w:cs="仿宋"/>
          <w:b/>
          <w:bCs/>
          <w:kern w:val="0"/>
          <w:sz w:val="32"/>
          <w:szCs w:val="24"/>
        </w:rPr>
        <w:t xml:space="preserve">JSZC-320623-JZCG-C2026-0031           </w:t>
      </w:r>
    </w:p>
    <w:p w14:paraId="091B3EA7">
      <w:pPr>
        <w:ind w:left="2811" w:hanging="2811" w:hangingChars="1000"/>
        <w:jc w:val="center"/>
        <w:outlineLvl w:val="0"/>
        <w:rPr>
          <w:rFonts w:ascii="仿宋" w:hAnsi="仿宋" w:eastAsia="仿宋" w:cs="仿宋"/>
          <w:b/>
          <w:sz w:val="28"/>
          <w:szCs w:val="28"/>
        </w:rPr>
      </w:pPr>
      <w:bookmarkStart w:id="6" w:name="_Toc2726"/>
      <w:bookmarkStart w:id="7" w:name="_Toc24406"/>
      <w:bookmarkStart w:id="8" w:name="_Toc31007"/>
      <w:r>
        <w:rPr>
          <w:rFonts w:hint="eastAsia" w:ascii="仿宋" w:hAnsi="仿宋" w:eastAsia="仿宋" w:cs="仿宋"/>
          <w:b/>
          <w:sz w:val="28"/>
          <w:szCs w:val="28"/>
        </w:rPr>
        <w:t>（全流程电子化，适用苏采云系统）</w:t>
      </w:r>
      <w:bookmarkEnd w:id="6"/>
      <w:bookmarkEnd w:id="7"/>
      <w:bookmarkEnd w:id="8"/>
    </w:p>
    <w:p w14:paraId="36BEF694">
      <w:pPr>
        <w:adjustRightInd w:val="0"/>
        <w:spacing w:before="120" w:after="120" w:line="360" w:lineRule="auto"/>
        <w:ind w:firstLine="1470" w:firstLineChars="700"/>
        <w:jc w:val="left"/>
        <w:textAlignment w:val="baseline"/>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p>
    <w:p w14:paraId="6EAC8C1E">
      <w:pPr>
        <w:adjustRightInd w:val="0"/>
        <w:spacing w:line="360" w:lineRule="auto"/>
        <w:jc w:val="left"/>
        <w:textAlignment w:val="baseline"/>
        <w:rPr>
          <w:rFonts w:ascii="仿宋" w:hAnsi="仿宋" w:eastAsia="仿宋" w:cs="仿宋"/>
          <w:kern w:val="0"/>
          <w:sz w:val="24"/>
          <w:szCs w:val="24"/>
        </w:rPr>
      </w:pPr>
    </w:p>
    <w:p w14:paraId="7223439F">
      <w:pPr>
        <w:adjustRightInd w:val="0"/>
        <w:spacing w:line="360" w:lineRule="auto"/>
        <w:jc w:val="left"/>
        <w:textAlignment w:val="baseline"/>
        <w:rPr>
          <w:rFonts w:ascii="仿宋" w:hAnsi="仿宋" w:eastAsia="仿宋" w:cs="仿宋"/>
          <w:kern w:val="0"/>
          <w:sz w:val="24"/>
          <w:szCs w:val="24"/>
        </w:rPr>
      </w:pPr>
    </w:p>
    <w:p w14:paraId="2368D5A1">
      <w:pPr>
        <w:adjustRightInd w:val="0"/>
        <w:spacing w:line="360" w:lineRule="auto"/>
        <w:jc w:val="left"/>
        <w:textAlignment w:val="baseline"/>
        <w:rPr>
          <w:rFonts w:ascii="仿宋" w:hAnsi="仿宋" w:eastAsia="仿宋" w:cs="仿宋"/>
          <w:kern w:val="0"/>
          <w:sz w:val="24"/>
          <w:szCs w:val="24"/>
        </w:rPr>
      </w:pPr>
    </w:p>
    <w:p w14:paraId="7462164B">
      <w:pPr>
        <w:adjustRightInd w:val="0"/>
        <w:spacing w:line="360" w:lineRule="auto"/>
        <w:jc w:val="left"/>
        <w:textAlignment w:val="baseline"/>
        <w:rPr>
          <w:rFonts w:ascii="仿宋" w:hAnsi="仿宋" w:eastAsia="仿宋" w:cs="仿宋"/>
          <w:kern w:val="0"/>
          <w:sz w:val="24"/>
          <w:szCs w:val="24"/>
        </w:rPr>
      </w:pPr>
    </w:p>
    <w:p w14:paraId="3C72B438">
      <w:pPr>
        <w:adjustRightInd w:val="0"/>
        <w:spacing w:line="360" w:lineRule="auto"/>
        <w:jc w:val="left"/>
        <w:textAlignment w:val="baseline"/>
        <w:rPr>
          <w:rFonts w:ascii="仿宋" w:hAnsi="仿宋" w:eastAsia="仿宋" w:cs="仿宋"/>
          <w:kern w:val="0"/>
          <w:sz w:val="24"/>
          <w:szCs w:val="24"/>
        </w:rPr>
      </w:pPr>
    </w:p>
    <w:p w14:paraId="498CCEEC">
      <w:pPr>
        <w:adjustRightInd w:val="0"/>
        <w:spacing w:line="360" w:lineRule="auto"/>
        <w:jc w:val="left"/>
        <w:textAlignment w:val="baseline"/>
        <w:rPr>
          <w:rFonts w:ascii="仿宋" w:hAnsi="仿宋" w:eastAsia="仿宋" w:cs="仿宋"/>
          <w:kern w:val="0"/>
          <w:sz w:val="24"/>
          <w:szCs w:val="24"/>
        </w:rPr>
      </w:pPr>
    </w:p>
    <w:p w14:paraId="269D3ABF">
      <w:pPr>
        <w:adjustRightInd w:val="0"/>
        <w:spacing w:line="360" w:lineRule="auto"/>
        <w:jc w:val="left"/>
        <w:textAlignment w:val="baseline"/>
        <w:rPr>
          <w:rFonts w:ascii="仿宋" w:hAnsi="仿宋" w:eastAsia="仿宋" w:cs="仿宋"/>
          <w:kern w:val="0"/>
          <w:sz w:val="24"/>
          <w:szCs w:val="24"/>
        </w:rPr>
      </w:pPr>
    </w:p>
    <w:p w14:paraId="2228CCA7">
      <w:pPr>
        <w:adjustRightInd w:val="0"/>
        <w:spacing w:before="120" w:after="120" w:line="360" w:lineRule="auto"/>
        <w:jc w:val="center"/>
        <w:textAlignment w:val="baseline"/>
        <w:outlineLvl w:val="0"/>
        <w:rPr>
          <w:rFonts w:ascii="仿宋" w:hAnsi="仿宋" w:eastAsia="仿宋" w:cs="仿宋"/>
          <w:b/>
          <w:bCs/>
          <w:kern w:val="0"/>
          <w:sz w:val="32"/>
          <w:szCs w:val="24"/>
        </w:rPr>
      </w:pPr>
      <w:bookmarkStart w:id="9" w:name="_Toc1606"/>
      <w:bookmarkStart w:id="10" w:name="_Toc17627"/>
      <w:bookmarkStart w:id="11" w:name="_Toc29464"/>
      <w:r>
        <w:rPr>
          <w:rFonts w:hint="eastAsia" w:ascii="仿宋" w:hAnsi="仿宋" w:eastAsia="仿宋" w:cs="仿宋"/>
          <w:b/>
          <w:bCs/>
          <w:kern w:val="0"/>
          <w:sz w:val="32"/>
          <w:szCs w:val="24"/>
        </w:rPr>
        <w:t>如东县公共资源交易中心</w:t>
      </w:r>
      <w:bookmarkEnd w:id="9"/>
      <w:bookmarkEnd w:id="10"/>
      <w:bookmarkEnd w:id="11"/>
    </w:p>
    <w:p w14:paraId="5E1E054D">
      <w:pPr>
        <w:adjustRightInd w:val="0"/>
        <w:spacing w:before="120" w:after="120" w:line="360" w:lineRule="auto"/>
        <w:jc w:val="center"/>
        <w:textAlignment w:val="baseline"/>
        <w:rPr>
          <w:rFonts w:ascii="仿宋" w:hAnsi="仿宋" w:eastAsia="仿宋" w:cs="仿宋"/>
          <w:b/>
          <w:bCs/>
          <w:kern w:val="0"/>
          <w:sz w:val="32"/>
          <w:szCs w:val="24"/>
        </w:rPr>
      </w:pPr>
      <w:r>
        <w:rPr>
          <w:rFonts w:hint="eastAsia" w:ascii="仿宋" w:hAnsi="仿宋" w:eastAsia="仿宋" w:cs="仿宋"/>
          <w:b/>
          <w:bCs/>
          <w:kern w:val="0"/>
          <w:sz w:val="32"/>
          <w:szCs w:val="24"/>
        </w:rPr>
        <w:t>2026年8月</w:t>
      </w:r>
    </w:p>
    <w:p w14:paraId="3A8B0B33">
      <w:pPr>
        <w:adjustRightInd w:val="0"/>
        <w:spacing w:before="120" w:after="120" w:line="360" w:lineRule="auto"/>
        <w:jc w:val="left"/>
        <w:textAlignment w:val="baseline"/>
        <w:rPr>
          <w:rFonts w:ascii="仿宋" w:hAnsi="仿宋" w:eastAsia="仿宋" w:cs="仿宋"/>
          <w:kern w:val="0"/>
          <w:sz w:val="24"/>
          <w:szCs w:val="24"/>
          <w:u w:val="single"/>
        </w:rPr>
      </w:pPr>
      <w:r>
        <w:rPr>
          <w:rFonts w:hint="eastAsia" w:ascii="仿宋" w:hAnsi="仿宋" w:eastAsia="仿宋" w:cs="仿宋"/>
          <w:kern w:val="0"/>
          <w:sz w:val="24"/>
          <w:szCs w:val="24"/>
        </w:rPr>
        <w:t xml:space="preserve">                        </w:t>
      </w:r>
    </w:p>
    <w:p w14:paraId="7320ED66">
      <w:pPr>
        <w:adjustRightInd w:val="0"/>
        <w:spacing w:before="120" w:after="120" w:line="360" w:lineRule="auto"/>
        <w:jc w:val="center"/>
        <w:textAlignment w:val="baseline"/>
        <w:rPr>
          <w:rFonts w:ascii="仿宋" w:hAnsi="仿宋" w:eastAsia="仿宋" w:cs="仿宋"/>
          <w:kern w:val="0"/>
          <w:sz w:val="24"/>
          <w:szCs w:val="24"/>
        </w:rPr>
      </w:pPr>
    </w:p>
    <w:p w14:paraId="292F6FBB">
      <w:pPr>
        <w:numPr>
          <w:ilvl w:val="0"/>
          <w:numId w:val="1"/>
        </w:numPr>
        <w:spacing w:line="480" w:lineRule="auto"/>
        <w:outlineLvl w:val="0"/>
        <w:rPr>
          <w:rFonts w:ascii="仿宋" w:hAnsi="仿宋" w:eastAsia="仿宋" w:cs="仿宋"/>
          <w:sz w:val="36"/>
          <w:szCs w:val="21"/>
        </w:rPr>
      </w:pPr>
      <w:r>
        <w:rPr>
          <w:rFonts w:hint="eastAsia" w:ascii="仿宋" w:hAnsi="仿宋" w:eastAsia="仿宋" w:cs="仿宋"/>
          <w:szCs w:val="21"/>
        </w:rPr>
        <w:br w:type="page"/>
      </w:r>
      <w:bookmarkStart w:id="12" w:name="_Toc120614210"/>
      <w:bookmarkStart w:id="13" w:name="_Toc513029200"/>
      <w:bookmarkStart w:id="14" w:name="_Toc16938516"/>
      <w:bookmarkStart w:id="15" w:name="_Toc523127445"/>
      <w:bookmarkStart w:id="16" w:name="_Toc20823272"/>
      <w:bookmarkStart w:id="17" w:name="_Toc479757206"/>
    </w:p>
    <w:p w14:paraId="0FAC884F">
      <w:pPr>
        <w:rPr>
          <w:rFonts w:ascii="仿宋" w:hAnsi="仿宋" w:eastAsia="仿宋" w:cs="仿宋"/>
          <w:szCs w:val="21"/>
        </w:rPr>
      </w:pPr>
    </w:p>
    <w:p w14:paraId="78F168E1">
      <w:pPr>
        <w:rPr>
          <w:rFonts w:ascii="仿宋" w:hAnsi="仿宋" w:eastAsia="仿宋" w:cs="仿宋"/>
          <w:szCs w:val="21"/>
        </w:rPr>
      </w:pPr>
    </w:p>
    <w:p w14:paraId="605B044C">
      <w:pPr>
        <w:rPr>
          <w:rFonts w:ascii="仿宋" w:hAnsi="仿宋" w:eastAsia="仿宋" w:cs="仿宋"/>
          <w:szCs w:val="21"/>
        </w:rPr>
      </w:pPr>
    </w:p>
    <w:p w14:paraId="680D21B8">
      <w:pPr>
        <w:rPr>
          <w:rFonts w:ascii="仿宋" w:hAnsi="仿宋" w:eastAsia="仿宋" w:cs="仿宋"/>
          <w:sz w:val="36"/>
          <w:szCs w:val="36"/>
        </w:rPr>
      </w:pPr>
    </w:p>
    <w:sdt>
      <w:sdtPr>
        <w:rPr>
          <w:rFonts w:hint="eastAsia" w:ascii="仿宋" w:hAnsi="仿宋" w:eastAsia="仿宋" w:cs="仿宋"/>
          <w:sz w:val="44"/>
          <w:szCs w:val="44"/>
        </w:rPr>
        <w:id w:val="147461818"/>
        <w15:color w:val="DBDBDB"/>
        <w:docPartObj>
          <w:docPartGallery w:val="Table of Contents"/>
          <w:docPartUnique/>
        </w:docPartObj>
      </w:sdtPr>
      <w:sdtEndPr>
        <w:rPr>
          <w:rFonts w:hint="eastAsia" w:ascii="仿宋" w:hAnsi="仿宋" w:eastAsia="仿宋" w:cs="仿宋"/>
          <w:sz w:val="21"/>
          <w:szCs w:val="21"/>
        </w:rPr>
      </w:sdtEndPr>
      <w:sdtContent>
        <w:p w14:paraId="697D9910">
          <w:pPr>
            <w:jc w:val="center"/>
            <w:rPr>
              <w:rFonts w:ascii="仿宋" w:hAnsi="仿宋" w:eastAsia="仿宋" w:cs="仿宋"/>
              <w:b/>
              <w:bCs/>
              <w:sz w:val="36"/>
              <w:szCs w:val="36"/>
            </w:rPr>
          </w:pPr>
          <w:r>
            <w:rPr>
              <w:rFonts w:hint="eastAsia" w:ascii="仿宋" w:hAnsi="仿宋" w:eastAsia="仿宋" w:cs="仿宋"/>
              <w:b/>
              <w:bCs/>
              <w:sz w:val="44"/>
              <w:szCs w:val="44"/>
            </w:rPr>
            <w:t>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sdt>
          <w:sdtPr>
            <w:rPr>
              <w:rFonts w:hint="eastAsia" w:ascii="仿宋" w:hAnsi="仿宋" w:eastAsia="仿宋" w:cs="仿宋"/>
              <w:sz w:val="36"/>
              <w:szCs w:val="36"/>
            </w:rPr>
            <w:id w:val="147468029"/>
            <w15:color w:val="DBDBDB"/>
            <w:docPartObj>
              <w:docPartGallery w:val="Table of Contents"/>
              <w:docPartUnique/>
            </w:docPartObj>
          </w:sdtPr>
          <w:sdtEndPr>
            <w:rPr>
              <w:rFonts w:hint="eastAsia" w:ascii="仿宋" w:hAnsi="仿宋" w:eastAsia="仿宋" w:cs="仿宋"/>
              <w:sz w:val="21"/>
              <w:szCs w:val="21"/>
            </w:rPr>
          </w:sdtEndPr>
          <w:sdtContent>
            <w:p w14:paraId="40D4FE07">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78AB175F">
              <w:pPr>
                <w:pStyle w:val="10"/>
                <w:tabs>
                  <w:tab w:val="right" w:leader="dot" w:pos="8953"/>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0B59FD8F">
              <w:pPr>
                <w:pStyle w:val="10"/>
                <w:tabs>
                  <w:tab w:val="right" w:leader="dot" w:pos="8953"/>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1341A40C">
              <w:pPr>
                <w:pStyle w:val="10"/>
                <w:tabs>
                  <w:tab w:val="right" w:leader="dot" w:pos="8953"/>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２１</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6959D2BB">
              <w:pPr>
                <w:pStyle w:val="10"/>
                <w:tabs>
                  <w:tab w:val="right" w:leader="dot" w:pos="8953"/>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第四章</w:t>
              </w:r>
              <w:r>
                <w:rPr>
                  <w:rFonts w:ascii="Times New Roman" w:hAnsi="Times New Roman" w:eastAsia="仿宋"/>
                  <w:b/>
                  <w:bCs/>
                  <w:sz w:val="36"/>
                  <w:szCs w:val="36"/>
                </w:rPr>
                <w:t xml:space="preserve"> </w:t>
              </w:r>
              <w:r>
                <w:rPr>
                  <w:rFonts w:hint="eastAsia" w:ascii="Times New Roman" w:hAnsi="Times New Roman" w:eastAsia="仿宋"/>
                  <w:b/>
                  <w:bCs/>
                  <w:sz w:val="36"/>
                  <w:szCs w:val="36"/>
                </w:rPr>
                <w:t xml:space="preserve"> </w:t>
              </w:r>
              <w:r>
                <w:rPr>
                  <w:rFonts w:ascii="Times New Roman" w:hAnsi="Times New Roman" w:eastAsia="仿宋"/>
                  <w:b/>
                  <w:bCs/>
                  <w:sz w:val="36"/>
                  <w:szCs w:val="36"/>
                </w:rPr>
                <w:t>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２６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4D87ACF4">
              <w:pPr>
                <w:pStyle w:val="10"/>
                <w:tabs>
                  <w:tab w:val="right" w:leader="dot" w:pos="8953"/>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５８</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2FBCE801">
              <w:pPr>
                <w:pStyle w:val="10"/>
                <w:tabs>
                  <w:tab w:val="right" w:leader="dot" w:pos="8953"/>
                </w:tabs>
                <w:rPr>
                  <w:rFonts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６４</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67CBB3BF">
              <w:pPr>
                <w:pStyle w:val="10"/>
                <w:tabs>
                  <w:tab w:val="right" w:leader="dot" w:pos="8953"/>
                </w:tabs>
                <w:rPr>
                  <w:rFonts w:ascii="仿宋" w:hAnsi="仿宋" w:eastAsia="仿宋" w:cs="仿宋"/>
                  <w:b/>
                  <w:bCs/>
                  <w:sz w:val="36"/>
                  <w:szCs w:val="36"/>
                </w:rPr>
              </w:pPr>
            </w:p>
            <w:p w14:paraId="42457D5F">
              <w:pPr>
                <w:pStyle w:val="10"/>
                <w:tabs>
                  <w:tab w:val="right" w:leader="dot" w:pos="8953"/>
                </w:tabs>
                <w:rPr>
                  <w:rFonts w:ascii="仿宋" w:hAnsi="仿宋" w:eastAsia="仿宋" w:cs="仿宋"/>
                  <w:b/>
                  <w:bCs/>
                  <w:sz w:val="36"/>
                  <w:szCs w:val="36"/>
                </w:rPr>
              </w:pPr>
              <w:r>
                <w:rPr>
                  <w:rFonts w:hint="eastAsia" w:ascii="仿宋" w:hAnsi="仿宋" w:eastAsia="仿宋" w:cs="仿宋"/>
                  <w:b/>
                  <w:bCs/>
                  <w:sz w:val="36"/>
                  <w:szCs w:val="36"/>
                </w:rPr>
                <w:fldChar w:fldCharType="end"/>
              </w:r>
            </w:p>
          </w:sdtContent>
        </w:sdt>
        <w:p w14:paraId="49BD7C0F">
          <w:pPr>
            <w:pStyle w:val="10"/>
            <w:tabs>
              <w:tab w:val="right" w:leader="dot" w:pos="8953"/>
            </w:tabs>
            <w:rPr>
              <w:rFonts w:ascii="仿宋" w:hAnsi="仿宋" w:eastAsia="仿宋" w:cs="仿宋"/>
              <w:b/>
              <w:bCs/>
              <w:sz w:val="36"/>
              <w:szCs w:val="36"/>
            </w:rPr>
          </w:pPr>
        </w:p>
        <w:p w14:paraId="103BAE61">
          <w:pPr>
            <w:rPr>
              <w:rFonts w:ascii="仿宋" w:hAnsi="仿宋" w:eastAsia="仿宋" w:cs="仿宋"/>
              <w:szCs w:val="21"/>
            </w:rPr>
          </w:pPr>
          <w:r>
            <w:rPr>
              <w:rFonts w:hint="eastAsia" w:ascii="仿宋" w:hAnsi="仿宋" w:eastAsia="仿宋" w:cs="仿宋"/>
              <w:b/>
              <w:bCs/>
              <w:sz w:val="36"/>
              <w:szCs w:val="36"/>
            </w:rPr>
            <w:fldChar w:fldCharType="end"/>
          </w:r>
        </w:p>
      </w:sdtContent>
    </w:sdt>
    <w:p w14:paraId="7A018EB0">
      <w:pPr>
        <w:rPr>
          <w:rFonts w:ascii="仿宋" w:hAnsi="仿宋" w:eastAsia="仿宋" w:cs="仿宋"/>
          <w:szCs w:val="21"/>
        </w:rPr>
      </w:pPr>
    </w:p>
    <w:p w14:paraId="7AA06457">
      <w:pPr>
        <w:rPr>
          <w:rFonts w:ascii="仿宋" w:hAnsi="仿宋" w:eastAsia="仿宋" w:cs="仿宋"/>
          <w:szCs w:val="21"/>
        </w:rPr>
      </w:pPr>
    </w:p>
    <w:p w14:paraId="181EF92A">
      <w:pPr>
        <w:rPr>
          <w:rFonts w:ascii="仿宋" w:hAnsi="仿宋" w:eastAsia="仿宋" w:cs="仿宋"/>
          <w:szCs w:val="21"/>
        </w:rPr>
      </w:pPr>
    </w:p>
    <w:p w14:paraId="354E0F09">
      <w:pPr>
        <w:rPr>
          <w:rFonts w:ascii="仿宋" w:hAnsi="仿宋" w:eastAsia="仿宋" w:cs="仿宋"/>
          <w:szCs w:val="21"/>
        </w:rPr>
      </w:pPr>
    </w:p>
    <w:p w14:paraId="374CAFC7">
      <w:pPr>
        <w:rPr>
          <w:rFonts w:ascii="仿宋" w:hAnsi="仿宋" w:eastAsia="仿宋" w:cs="仿宋"/>
          <w:sz w:val="28"/>
          <w:szCs w:val="28"/>
        </w:rPr>
      </w:pPr>
    </w:p>
    <w:p w14:paraId="2DA33526">
      <w:pPr>
        <w:rPr>
          <w:rFonts w:ascii="仿宋" w:hAnsi="仿宋" w:eastAsia="仿宋" w:cs="仿宋"/>
          <w:szCs w:val="21"/>
        </w:rPr>
      </w:pPr>
    </w:p>
    <w:p w14:paraId="5E94198E">
      <w:pPr>
        <w:rPr>
          <w:rFonts w:ascii="仿宋" w:hAnsi="仿宋" w:eastAsia="仿宋" w:cs="仿宋"/>
          <w:szCs w:val="21"/>
        </w:rPr>
      </w:pPr>
    </w:p>
    <w:p w14:paraId="3278591C">
      <w:pPr>
        <w:rPr>
          <w:rFonts w:ascii="仿宋" w:hAnsi="仿宋" w:eastAsia="仿宋" w:cs="仿宋"/>
          <w:szCs w:val="21"/>
        </w:rPr>
      </w:pPr>
    </w:p>
    <w:p w14:paraId="4F54FAC4">
      <w:pPr>
        <w:rPr>
          <w:rFonts w:ascii="仿宋" w:hAnsi="仿宋" w:eastAsia="仿宋" w:cs="仿宋"/>
          <w:szCs w:val="21"/>
        </w:rPr>
      </w:pPr>
    </w:p>
    <w:p w14:paraId="204C68CA">
      <w:pPr>
        <w:rPr>
          <w:rFonts w:ascii="仿宋" w:hAnsi="仿宋" w:eastAsia="仿宋" w:cs="仿宋"/>
          <w:szCs w:val="21"/>
        </w:rPr>
      </w:pPr>
    </w:p>
    <w:p w14:paraId="4B990C63">
      <w:pPr>
        <w:rPr>
          <w:rFonts w:ascii="仿宋" w:hAnsi="仿宋" w:eastAsia="仿宋" w:cs="仿宋"/>
          <w:szCs w:val="21"/>
        </w:rPr>
      </w:pPr>
    </w:p>
    <w:p w14:paraId="7565D36B">
      <w:pPr>
        <w:rPr>
          <w:rFonts w:ascii="仿宋" w:hAnsi="仿宋" w:eastAsia="仿宋" w:cs="仿宋"/>
          <w:szCs w:val="21"/>
        </w:rPr>
      </w:pPr>
    </w:p>
    <w:p w14:paraId="5B78F081">
      <w:pPr>
        <w:rPr>
          <w:rFonts w:ascii="仿宋" w:hAnsi="仿宋" w:eastAsia="仿宋" w:cs="仿宋"/>
          <w:szCs w:val="21"/>
        </w:rPr>
      </w:pPr>
    </w:p>
    <w:p w14:paraId="678F7521">
      <w:pPr>
        <w:rPr>
          <w:rFonts w:ascii="仿宋" w:hAnsi="仿宋" w:eastAsia="仿宋" w:cs="仿宋"/>
          <w:szCs w:val="21"/>
        </w:rPr>
      </w:pPr>
    </w:p>
    <w:p w14:paraId="047E789D">
      <w:pPr>
        <w:rPr>
          <w:rFonts w:ascii="仿宋" w:hAnsi="仿宋" w:eastAsia="仿宋" w:cs="仿宋"/>
          <w:szCs w:val="21"/>
        </w:rPr>
      </w:pPr>
    </w:p>
    <w:p w14:paraId="229E1603">
      <w:pPr>
        <w:keepNext/>
        <w:outlineLvl w:val="0"/>
        <w:rPr>
          <w:rFonts w:ascii="仿宋" w:hAnsi="仿宋" w:eastAsia="仿宋" w:cs="仿宋"/>
          <w:sz w:val="44"/>
          <w:szCs w:val="44"/>
        </w:rPr>
      </w:pPr>
      <w:bookmarkStart w:id="18" w:name="_Toc31671"/>
      <w:bookmarkStart w:id="19" w:name="_Toc28664"/>
      <w:bookmarkStart w:id="20" w:name="_Toc5588"/>
    </w:p>
    <w:p w14:paraId="51B77DE7">
      <w:pPr>
        <w:keepNext/>
        <w:jc w:val="center"/>
        <w:outlineLvl w:val="0"/>
        <w:rPr>
          <w:rFonts w:ascii="仿宋" w:hAnsi="仿宋" w:eastAsia="仿宋" w:cs="仿宋"/>
          <w:b/>
          <w:bCs/>
          <w:sz w:val="44"/>
          <w:szCs w:val="44"/>
        </w:rPr>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27658EE3">
      <w:pPr>
        <w:ind w:firstLine="480" w:firstLineChars="200"/>
        <w:rPr>
          <w:rFonts w:ascii="仿宋" w:hAnsi="仿宋" w:eastAsia="仿宋" w:cs="仿宋"/>
          <w:sz w:val="24"/>
          <w:szCs w:val="24"/>
        </w:rPr>
      </w:pPr>
      <w:r>
        <w:rPr>
          <w:rFonts w:hint="eastAsia" w:ascii="仿宋" w:hAnsi="仿宋" w:eastAsia="仿宋" w:cs="仿宋"/>
          <w:sz w:val="24"/>
          <w:szCs w:val="24"/>
        </w:rPr>
        <w:t>受如东县掘港高级中学的委托，如东县公共资源交易中心就</w:t>
      </w:r>
      <w:r>
        <w:rPr>
          <w:rFonts w:hint="eastAsia" w:ascii="仿宋" w:hAnsi="仿宋" w:eastAsia="仿宋" w:cs="仿宋"/>
          <w:sz w:val="24"/>
          <w:szCs w:val="24"/>
          <w:u w:val="single"/>
        </w:rPr>
        <w:t>如东县掘港高级中学新建微格教室项目</w:t>
      </w:r>
      <w:r>
        <w:rPr>
          <w:rFonts w:hint="eastAsia" w:ascii="仿宋" w:hAnsi="仿宋" w:eastAsia="仿宋" w:cs="仿宋"/>
          <w:sz w:val="24"/>
          <w:szCs w:val="24"/>
        </w:rPr>
        <w:t>(JSZC-320623-JZCG-C2026-0031)进行竞争性磋商采购，欢迎符合条件的供应商参加磋商。</w:t>
      </w:r>
    </w:p>
    <w:p w14:paraId="53BAF564">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rPr>
        <w:t>项目概况</w:t>
      </w:r>
    </w:p>
    <w:p w14:paraId="750B62AE">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u w:val="single"/>
        </w:rPr>
        <w:t xml:space="preserve"> 如东县掘港高级中学新建微格教室</w:t>
      </w:r>
      <w:r>
        <w:rPr>
          <w:rFonts w:hint="eastAsia" w:ascii="仿宋" w:hAnsi="仿宋" w:eastAsia="仿宋" w:cs="仿宋"/>
          <w:sz w:val="24"/>
          <w:szCs w:val="24"/>
        </w:rPr>
        <w:t>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u w:val="single"/>
          <w:lang w:val="en-US" w:eastAsia="zh-CN"/>
        </w:rPr>
        <w:t>2026</w:t>
      </w:r>
      <w:r>
        <w:rPr>
          <w:rFonts w:hint="eastAsia" w:ascii="仿宋" w:hAnsi="仿宋" w:eastAsia="仿宋" w:cs="仿宋"/>
          <w:bCs/>
          <w:sz w:val="24"/>
          <w:szCs w:val="24"/>
          <w:u w:val="single"/>
        </w:rPr>
        <w:t>年</w:t>
      </w:r>
      <w:r>
        <w:rPr>
          <w:rFonts w:hint="eastAsia" w:ascii="仿宋" w:hAnsi="仿宋" w:eastAsia="仿宋" w:cs="仿宋"/>
          <w:bCs/>
          <w:sz w:val="24"/>
          <w:szCs w:val="24"/>
          <w:u w:val="single"/>
          <w:lang w:val="en-US" w:eastAsia="zh-CN"/>
        </w:rPr>
        <w:t>9</w:t>
      </w:r>
      <w:r>
        <w:rPr>
          <w:rFonts w:hint="eastAsia" w:ascii="仿宋" w:hAnsi="仿宋" w:eastAsia="仿宋" w:cs="仿宋"/>
          <w:bCs/>
          <w:sz w:val="24"/>
          <w:szCs w:val="24"/>
          <w:u w:val="single"/>
        </w:rPr>
        <w:t>月</w:t>
      </w:r>
      <w:r>
        <w:rPr>
          <w:rFonts w:hint="eastAsia" w:ascii="仿宋" w:hAnsi="仿宋" w:eastAsia="仿宋" w:cs="仿宋"/>
          <w:bCs/>
          <w:sz w:val="24"/>
          <w:szCs w:val="24"/>
          <w:u w:val="single"/>
          <w:lang w:val="en-US" w:eastAsia="zh-CN"/>
        </w:rPr>
        <w:t>2</w:t>
      </w:r>
      <w:r>
        <w:rPr>
          <w:rFonts w:hint="eastAsia" w:ascii="仿宋" w:hAnsi="仿宋" w:eastAsia="仿宋" w:cs="仿宋"/>
          <w:bCs/>
          <w:sz w:val="24"/>
          <w:szCs w:val="24"/>
          <w:u w:val="single"/>
        </w:rPr>
        <w:t>日 8 点30分（</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50390C72">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21" w:name="_Toc35393790"/>
      <w:bookmarkStart w:id="22" w:name="_Toc38985263"/>
      <w:bookmarkStart w:id="23" w:name="_Toc35393621"/>
      <w:bookmarkStart w:id="24" w:name="_Toc28359002"/>
      <w:bookmarkStart w:id="25" w:name="_Toc28359079"/>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p>
    <w:p w14:paraId="2DBBC1FB">
      <w:pPr>
        <w:ind w:firstLine="480" w:firstLineChars="200"/>
        <w:rPr>
          <w:rFonts w:ascii="仿宋" w:hAnsi="仿宋" w:eastAsia="仿宋" w:cs="仿宋"/>
          <w:sz w:val="24"/>
          <w:szCs w:val="24"/>
        </w:rPr>
      </w:pPr>
      <w:r>
        <w:rPr>
          <w:rFonts w:hint="eastAsia" w:ascii="仿宋" w:hAnsi="仿宋" w:eastAsia="仿宋" w:cs="仿宋"/>
          <w:sz w:val="24"/>
          <w:szCs w:val="24"/>
        </w:rPr>
        <w:t>1.项目编号：JSZC-320623-JZCG-C2026-0031</w:t>
      </w:r>
    </w:p>
    <w:p w14:paraId="4BF15C1B">
      <w:pPr>
        <w:ind w:firstLine="480" w:firstLineChars="200"/>
        <w:rPr>
          <w:rFonts w:ascii="仿宋" w:hAnsi="仿宋" w:eastAsia="仿宋" w:cs="仿宋"/>
          <w:sz w:val="24"/>
          <w:szCs w:val="24"/>
        </w:rPr>
      </w:pPr>
      <w:r>
        <w:rPr>
          <w:rFonts w:hint="eastAsia" w:ascii="仿宋" w:hAnsi="仿宋" w:eastAsia="仿宋" w:cs="仿宋"/>
          <w:sz w:val="24"/>
          <w:szCs w:val="24"/>
        </w:rPr>
        <w:t>2.项目名称：如东县掘港高级中学新建微格教室项目</w:t>
      </w:r>
    </w:p>
    <w:p w14:paraId="68974E96">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3.采购方式：竞争性磋商</w:t>
      </w:r>
    </w:p>
    <w:p w14:paraId="3394D07C">
      <w:pPr>
        <w:ind w:firstLine="480" w:firstLineChars="200"/>
        <w:rPr>
          <w:rFonts w:ascii="仿宋" w:hAnsi="仿宋" w:eastAsia="仿宋" w:cs="仿宋"/>
          <w:color w:val="000000" w:themeColor="text1"/>
          <w:kern w:val="0"/>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4.项目类型：</w:t>
      </w:r>
      <w:r>
        <w:rPr>
          <w:rFonts w:hint="eastAsia" w:ascii="仿宋" w:hAnsi="仿宋" w:eastAsia="仿宋" w:cs="仿宋"/>
          <w:color w:val="000000" w:themeColor="text1"/>
          <w:kern w:val="0"/>
          <w:sz w:val="24"/>
          <w:szCs w:val="24"/>
          <w14:textFill>
            <w14:solidFill>
              <w14:schemeClr w14:val="tx1"/>
            </w14:solidFill>
          </w14:textFill>
        </w:rPr>
        <w:t>货物</w:t>
      </w:r>
    </w:p>
    <w:p w14:paraId="3AB2CE6B">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5.所属行业：工业</w:t>
      </w:r>
    </w:p>
    <w:bookmarkEnd w:id="26"/>
    <w:p w14:paraId="34CA5330">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6.预算金额：</w:t>
      </w:r>
      <w:r>
        <w:rPr>
          <w:rFonts w:ascii="仿宋" w:hAnsi="仿宋" w:eastAsia="仿宋" w:cs="仿宋"/>
          <w:sz w:val="24"/>
          <w:szCs w:val="24"/>
        </w:rPr>
        <w:t>97</w:t>
      </w:r>
      <w:r>
        <w:rPr>
          <w:rFonts w:hint="eastAsia" w:ascii="仿宋" w:hAnsi="仿宋" w:eastAsia="仿宋" w:cs="仿宋"/>
          <w:sz w:val="24"/>
          <w:szCs w:val="24"/>
        </w:rPr>
        <w:t>万元</w:t>
      </w:r>
    </w:p>
    <w:p w14:paraId="4984BF27">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最高限价（如有）：</w:t>
      </w:r>
      <w:r>
        <w:rPr>
          <w:rFonts w:ascii="仿宋" w:hAnsi="仿宋" w:eastAsia="仿宋" w:cs="仿宋"/>
          <w:sz w:val="24"/>
          <w:szCs w:val="24"/>
        </w:rPr>
        <w:t>97</w:t>
      </w:r>
      <w:r>
        <w:rPr>
          <w:rFonts w:hint="eastAsia" w:ascii="仿宋" w:hAnsi="仿宋" w:eastAsia="仿宋" w:cs="仿宋"/>
          <w:sz w:val="24"/>
          <w:szCs w:val="24"/>
        </w:rPr>
        <w:t>万元</w:t>
      </w:r>
    </w:p>
    <w:p w14:paraId="3FDE3F41">
      <w:pPr>
        <w:ind w:firstLine="480" w:firstLineChars="200"/>
        <w:rPr>
          <w:rFonts w:ascii="仿宋" w:hAnsi="仿宋" w:eastAsia="仿宋" w:cs="仿宋"/>
          <w:sz w:val="24"/>
          <w:szCs w:val="24"/>
          <w:u w:val="single"/>
        </w:rPr>
      </w:pPr>
      <w:r>
        <w:rPr>
          <w:rFonts w:hint="eastAsia" w:ascii="仿宋" w:hAnsi="仿宋" w:eastAsia="仿宋" w:cs="仿宋"/>
          <w:sz w:val="24"/>
          <w:szCs w:val="24"/>
        </w:rPr>
        <w:t>7.采购需求（简介）：新建一间精品录播教室、一间智慧教室，包括用于录播教室和智慧教室正常运行的所有设施设备以及用于课堂教学评价相关软硬件。每间教室配备5</w:t>
      </w:r>
      <w:r>
        <w:rPr>
          <w:rFonts w:ascii="仿宋" w:hAnsi="仿宋" w:eastAsia="仿宋" w:cs="仿宋"/>
          <w:sz w:val="24"/>
          <w:szCs w:val="24"/>
        </w:rPr>
        <w:t>6</w:t>
      </w:r>
      <w:r>
        <w:rPr>
          <w:rFonts w:hint="eastAsia" w:ascii="仿宋" w:hAnsi="仿宋" w:eastAsia="仿宋" w:cs="仿宋"/>
          <w:sz w:val="24"/>
          <w:szCs w:val="24"/>
        </w:rPr>
        <w:t>套学生课桌椅、3</w:t>
      </w:r>
      <w:r>
        <w:rPr>
          <w:rFonts w:ascii="仿宋" w:hAnsi="仿宋" w:eastAsia="仿宋" w:cs="仿宋"/>
          <w:sz w:val="24"/>
          <w:szCs w:val="24"/>
        </w:rPr>
        <w:t>0</w:t>
      </w:r>
      <w:r>
        <w:rPr>
          <w:rFonts w:hint="eastAsia" w:ascii="仿宋" w:hAnsi="仿宋" w:eastAsia="仿宋" w:cs="仿宋"/>
          <w:sz w:val="24"/>
          <w:szCs w:val="24"/>
        </w:rPr>
        <w:t>套教研椅，</w:t>
      </w:r>
      <w:r>
        <w:rPr>
          <w:rFonts w:hint="eastAsia" w:ascii="仿宋" w:hAnsi="仿宋" w:eastAsia="仿宋" w:cs="仿宋"/>
          <w:kern w:val="0"/>
          <w:sz w:val="24"/>
          <w:szCs w:val="24"/>
        </w:rPr>
        <w:t>详细内容见本磋商文件第四章。</w:t>
      </w:r>
    </w:p>
    <w:p w14:paraId="63D9E7FF">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8.合同履行期限：</w:t>
      </w:r>
      <w:r>
        <w:rPr>
          <w:rFonts w:hint="eastAsia" w:ascii="仿宋" w:hAnsi="仿宋" w:eastAsia="仿宋" w:cs="仿宋"/>
          <w:sz w:val="24"/>
          <w:szCs w:val="24"/>
        </w:rPr>
        <w:t>自合同签订之日起30日内完工。</w:t>
      </w:r>
    </w:p>
    <w:p w14:paraId="099515ED">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w:t>
      </w:r>
      <w:bookmarkStart w:id="27" w:name="_Toc28359080"/>
      <w:bookmarkStart w:id="28" w:name="_Toc28359003"/>
      <w:bookmarkStart w:id="29" w:name="_Toc38985264"/>
      <w:bookmarkStart w:id="30" w:name="_Toc35393622"/>
      <w:bookmarkStart w:id="31" w:name="_Toc35393791"/>
      <w:r>
        <w:rPr>
          <w:rFonts w:hint="eastAsia" w:ascii="仿宋" w:hAnsi="仿宋" w:eastAsia="仿宋" w:cs="仿宋"/>
          <w:color w:val="000000" w:themeColor="text1"/>
          <w:sz w:val="24"/>
          <w:szCs w:val="24"/>
          <w14:textFill>
            <w14:solidFill>
              <w14:schemeClr w14:val="tx1"/>
            </w14:solidFill>
          </w14:textFill>
        </w:rPr>
        <w:t>本项目是否接受联合体投标：否。</w:t>
      </w:r>
    </w:p>
    <w:p w14:paraId="0DFA8130">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10.本项目是否接受分包：否。</w:t>
      </w:r>
    </w:p>
    <w:p w14:paraId="1B9BA7D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27"/>
      <w:bookmarkEnd w:id="28"/>
      <w:bookmarkEnd w:id="29"/>
      <w:bookmarkEnd w:id="30"/>
      <w:bookmarkEnd w:id="31"/>
    </w:p>
    <w:p w14:paraId="3638A07A">
      <w:pPr>
        <w:ind w:firstLine="480" w:firstLineChars="200"/>
        <w:rPr>
          <w:rFonts w:ascii="仿宋" w:hAnsi="仿宋" w:eastAsia="仿宋" w:cs="仿宋"/>
          <w:sz w:val="24"/>
          <w:szCs w:val="24"/>
        </w:rPr>
      </w:pPr>
      <w:bookmarkStart w:id="32" w:name="_Toc28359081"/>
      <w:bookmarkStart w:id="33" w:name="_Toc35393623"/>
      <w:bookmarkStart w:id="34" w:name="_Toc35393792"/>
      <w:bookmarkStart w:id="35" w:name="_Toc38985265"/>
      <w:bookmarkStart w:id="36" w:name="_Toc28359004"/>
      <w:r>
        <w:rPr>
          <w:rFonts w:hint="eastAsia" w:ascii="仿宋" w:hAnsi="仿宋" w:eastAsia="仿宋" w:cs="仿宋"/>
          <w:sz w:val="24"/>
          <w:szCs w:val="24"/>
        </w:rPr>
        <w:t>（一）通用资格要求</w:t>
      </w:r>
    </w:p>
    <w:p w14:paraId="51F39A8A">
      <w:pPr>
        <w:ind w:firstLine="480" w:firstLineChars="20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01BEC99D">
      <w:pPr>
        <w:ind w:firstLine="480" w:firstLineChars="200"/>
        <w:rPr>
          <w:rFonts w:ascii="仿宋" w:hAnsi="仿宋" w:eastAsia="仿宋" w:cs="仿宋"/>
          <w:b/>
          <w:bCs/>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p>
    <w:p w14:paraId="7CE42A7C">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3.落实政府采购政策需满足的资格要求：无。</w:t>
      </w:r>
    </w:p>
    <w:p w14:paraId="2FEACD3F">
      <w:pPr>
        <w:adjustRightInd w:val="0"/>
        <w:snapToGrid w:val="0"/>
        <w:spacing w:line="500" w:lineRule="exact"/>
        <w:ind w:firstLine="240" w:firstLineChars="100"/>
        <w:rPr>
          <w:rFonts w:ascii="仿宋" w:hAnsi="仿宋" w:eastAsia="仿宋" w:cs="仿宋"/>
          <w:sz w:val="24"/>
          <w:szCs w:val="24"/>
          <w:highlight w:val="cyan"/>
        </w:rPr>
      </w:pPr>
      <w:r>
        <w:rPr>
          <w:rFonts w:hint="eastAsia" w:ascii="仿宋" w:hAnsi="仿宋" w:eastAsia="仿宋" w:cs="仿宋"/>
          <w:sz w:val="24"/>
          <w:szCs w:val="24"/>
        </w:rPr>
        <w:t>（二）本项目的特定资格要求：无</w:t>
      </w:r>
    </w:p>
    <w:p w14:paraId="1F100D4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三、获取</w:t>
      </w:r>
      <w:bookmarkEnd w:id="32"/>
      <w:bookmarkEnd w:id="33"/>
      <w:bookmarkEnd w:id="34"/>
      <w:bookmarkEnd w:id="35"/>
      <w:bookmarkEnd w:id="36"/>
      <w:r>
        <w:rPr>
          <w:rFonts w:hint="eastAsia" w:ascii="仿宋" w:hAnsi="仿宋" w:eastAsia="仿宋" w:cs="仿宋"/>
          <w:b/>
          <w:bCs/>
          <w:sz w:val="32"/>
          <w:szCs w:val="32"/>
        </w:rPr>
        <w:t>磋商文件</w:t>
      </w:r>
    </w:p>
    <w:p w14:paraId="5D8202D5">
      <w:pPr>
        <w:spacing w:line="360" w:lineRule="auto"/>
        <w:ind w:firstLine="540"/>
        <w:rPr>
          <w:rFonts w:ascii="仿宋" w:hAnsi="仿宋" w:eastAsia="仿宋" w:cs="仿宋"/>
          <w:sz w:val="24"/>
          <w:szCs w:val="24"/>
        </w:rPr>
      </w:pPr>
      <w:bookmarkStart w:id="37" w:name="_Toc28359082"/>
      <w:bookmarkStart w:id="38" w:name="_Toc28359005"/>
      <w:bookmarkStart w:id="39" w:name="_Toc35393793"/>
      <w:bookmarkStart w:id="40" w:name="_Toc38985266"/>
      <w:bookmarkStart w:id="41" w:name="_Toc35393624"/>
      <w:r>
        <w:rPr>
          <w:rFonts w:hint="eastAsia" w:ascii="仿宋" w:hAnsi="仿宋" w:eastAsia="仿宋" w:cs="仿宋"/>
          <w:sz w:val="24"/>
          <w:szCs w:val="24"/>
        </w:rPr>
        <w:t>1.时间：自本公告发布之日起5个工作日。</w:t>
      </w:r>
    </w:p>
    <w:p w14:paraId="5F792F3E">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31C688C9">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7CBAE6D9">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7D9547A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w:t>
      </w:r>
      <w:bookmarkEnd w:id="37"/>
      <w:bookmarkEnd w:id="38"/>
      <w:bookmarkEnd w:id="39"/>
      <w:bookmarkEnd w:id="40"/>
      <w:bookmarkEnd w:id="41"/>
      <w:r>
        <w:rPr>
          <w:rFonts w:hint="eastAsia" w:ascii="仿宋" w:hAnsi="仿宋" w:eastAsia="仿宋" w:cs="仿宋"/>
          <w:b/>
          <w:bCs/>
          <w:sz w:val="32"/>
          <w:szCs w:val="32"/>
        </w:rPr>
        <w:t>响应文件提交</w:t>
      </w:r>
    </w:p>
    <w:p w14:paraId="39FCB844">
      <w:pPr>
        <w:adjustRightInd w:val="0"/>
        <w:snapToGrid w:val="0"/>
        <w:spacing w:line="500" w:lineRule="exact"/>
        <w:ind w:firstLine="480" w:firstLineChars="200"/>
        <w:rPr>
          <w:rFonts w:ascii="仿宋" w:hAnsi="仿宋" w:eastAsia="仿宋" w:cs="仿宋"/>
          <w:kern w:val="0"/>
          <w:sz w:val="24"/>
          <w:szCs w:val="24"/>
          <w:highlight w:val="cyan"/>
        </w:rPr>
      </w:pPr>
      <w:r>
        <w:rPr>
          <w:rFonts w:hint="eastAsia" w:ascii="仿宋" w:hAnsi="仿宋" w:eastAsia="仿宋" w:cs="仿宋"/>
          <w:bCs/>
          <w:color w:val="000000" w:themeColor="text1"/>
          <w:sz w:val="24"/>
          <w:szCs w:val="24"/>
          <w14:textFill>
            <w14:solidFill>
              <w14:schemeClr w14:val="tx1"/>
            </w14:solidFill>
          </w14:textFill>
        </w:rPr>
        <w:t>1.截止时间：</w:t>
      </w:r>
      <w:r>
        <w:rPr>
          <w:rFonts w:hint="eastAsia" w:ascii="仿宋" w:hAnsi="仿宋" w:eastAsia="仿宋" w:cs="仿宋"/>
          <w:sz w:val="24"/>
          <w:szCs w:val="24"/>
          <w:lang w:val="en-US" w:eastAsia="zh-CN"/>
        </w:rPr>
        <w:t>2026</w:t>
      </w:r>
      <w:r>
        <w:rPr>
          <w:rFonts w:hint="eastAsia" w:ascii="仿宋" w:hAnsi="仿宋" w:eastAsia="仿宋" w:cs="仿宋"/>
          <w:sz w:val="24"/>
          <w:szCs w:val="24"/>
        </w:rPr>
        <w:t>年</w:t>
      </w:r>
      <w:r>
        <w:rPr>
          <w:rFonts w:hint="eastAsia" w:ascii="仿宋" w:hAnsi="仿宋" w:eastAsia="仿宋" w:cs="仿宋"/>
          <w:sz w:val="24"/>
          <w:szCs w:val="24"/>
          <w:lang w:val="en-US" w:eastAsia="zh-CN"/>
        </w:rPr>
        <w:t>9</w:t>
      </w:r>
      <w:r>
        <w:rPr>
          <w:rFonts w:hint="eastAsia" w:ascii="仿宋" w:hAnsi="仿宋" w:eastAsia="仿宋" w:cs="仿宋"/>
          <w:sz w:val="24"/>
          <w:szCs w:val="24"/>
        </w:rPr>
        <w:t>月</w:t>
      </w:r>
      <w:r>
        <w:rPr>
          <w:rFonts w:hint="eastAsia" w:ascii="仿宋" w:hAnsi="仿宋" w:eastAsia="仿宋" w:cs="仿宋"/>
          <w:sz w:val="24"/>
          <w:szCs w:val="24"/>
          <w:lang w:val="en-US" w:eastAsia="zh-CN"/>
        </w:rPr>
        <w:t>2</w:t>
      </w:r>
      <w:r>
        <w:rPr>
          <w:rFonts w:hint="eastAsia" w:ascii="仿宋" w:hAnsi="仿宋" w:eastAsia="仿宋" w:cs="仿宋"/>
          <w:sz w:val="24"/>
          <w:szCs w:val="24"/>
        </w:rPr>
        <w:t>日</w:t>
      </w:r>
      <w:r>
        <w:rPr>
          <w:rFonts w:hint="eastAsia" w:ascii="仿宋" w:hAnsi="仿宋" w:eastAsia="仿宋" w:cs="仿宋"/>
          <w:bCs/>
          <w:sz w:val="24"/>
          <w:szCs w:val="24"/>
          <w:u w:val="single"/>
        </w:rPr>
        <w:t>8</w:t>
      </w:r>
      <w:r>
        <w:rPr>
          <w:rFonts w:hint="eastAsia" w:ascii="仿宋" w:hAnsi="仿宋" w:eastAsia="仿宋" w:cs="仿宋"/>
          <w:bCs/>
          <w:sz w:val="24"/>
          <w:szCs w:val="24"/>
        </w:rPr>
        <w:t>点</w:t>
      </w:r>
      <w:r>
        <w:rPr>
          <w:rFonts w:hint="eastAsia" w:ascii="仿宋" w:hAnsi="仿宋" w:eastAsia="仿宋" w:cs="仿宋"/>
          <w:bCs/>
          <w:sz w:val="24"/>
          <w:szCs w:val="24"/>
          <w:u w:val="single"/>
        </w:rPr>
        <w:t>30</w:t>
      </w:r>
      <w:r>
        <w:rPr>
          <w:rFonts w:hint="eastAsia" w:ascii="仿宋" w:hAnsi="仿宋" w:eastAsia="仿宋" w:cs="仿宋"/>
          <w:bCs/>
          <w:sz w:val="24"/>
          <w:szCs w:val="24"/>
        </w:rPr>
        <w:t>分（北京时间）。</w:t>
      </w:r>
      <w:r>
        <w:rPr>
          <w:rFonts w:hint="eastAsia" w:ascii="仿宋" w:hAnsi="仿宋" w:eastAsia="仿宋" w:cs="仿宋"/>
          <w:bCs/>
          <w:color w:val="000000" w:themeColor="text1"/>
          <w:sz w:val="24"/>
          <w:szCs w:val="24"/>
          <w14:textFill>
            <w14:solidFill>
              <w14:schemeClr w14:val="tx1"/>
            </w14:solidFill>
          </w14:textFill>
        </w:rPr>
        <w:t>逾时，系统将拒绝接受上传响应文件电子文档。</w:t>
      </w:r>
    </w:p>
    <w:p w14:paraId="341CE657">
      <w:pPr>
        <w:adjustRightInd w:val="0"/>
        <w:snapToGrid w:val="0"/>
        <w:spacing w:line="50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2.地点：“苏采云”政府采购一体化平台。</w:t>
      </w:r>
    </w:p>
    <w:p w14:paraId="338A019A">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42" w:name="_Toc28359007"/>
      <w:bookmarkStart w:id="43" w:name="_Toc35393625"/>
      <w:bookmarkStart w:id="44" w:name="_Toc35393794"/>
      <w:bookmarkStart w:id="45" w:name="_Toc28359084"/>
      <w:bookmarkStart w:id="46" w:name="_Toc38985267"/>
      <w:r>
        <w:rPr>
          <w:rFonts w:hint="eastAsia" w:ascii="仿宋" w:hAnsi="仿宋" w:eastAsia="仿宋" w:cs="仿宋"/>
          <w:b/>
          <w:bCs/>
          <w:sz w:val="32"/>
          <w:szCs w:val="32"/>
        </w:rPr>
        <w:t>五、公告期限</w:t>
      </w:r>
      <w:bookmarkEnd w:id="42"/>
      <w:bookmarkEnd w:id="43"/>
      <w:bookmarkEnd w:id="44"/>
      <w:bookmarkEnd w:id="45"/>
      <w:bookmarkEnd w:id="46"/>
    </w:p>
    <w:p w14:paraId="1C138269">
      <w:pPr>
        <w:adjustRightInd w:val="0"/>
        <w:snapToGrid w:val="0"/>
        <w:spacing w:line="500" w:lineRule="exact"/>
        <w:ind w:firstLine="480" w:firstLineChars="200"/>
        <w:rPr>
          <w:rFonts w:ascii="仿宋" w:hAnsi="仿宋" w:eastAsia="仿宋" w:cs="仿宋"/>
          <w:color w:val="000000" w:themeColor="text1"/>
          <w:sz w:val="24"/>
          <w:szCs w:val="24"/>
          <w14:textFill>
            <w14:solidFill>
              <w14:schemeClr w14:val="tx1"/>
            </w14:solidFill>
          </w14:textFill>
        </w:rPr>
      </w:pPr>
      <w:bookmarkStart w:id="47" w:name="_Toc38985268"/>
      <w:bookmarkStart w:id="48" w:name="_Toc35393626"/>
      <w:bookmarkStart w:id="49" w:name="_Toc35393795"/>
      <w:r>
        <w:rPr>
          <w:rFonts w:hint="eastAsia" w:ascii="仿宋" w:hAnsi="仿宋" w:eastAsia="仿宋" w:cs="仿宋"/>
          <w:color w:val="000000" w:themeColor="text1"/>
          <w:sz w:val="24"/>
          <w:szCs w:val="24"/>
          <w14:textFill>
            <w14:solidFill>
              <w14:schemeClr w14:val="tx1"/>
            </w14:solidFill>
          </w14:textFill>
        </w:rPr>
        <w:t>自本公告发布之日起3个工作日。</w:t>
      </w:r>
    </w:p>
    <w:p w14:paraId="0EE7B4B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六、其他补充事宜</w:t>
      </w:r>
      <w:bookmarkEnd w:id="47"/>
      <w:bookmarkEnd w:id="48"/>
      <w:bookmarkEnd w:id="49"/>
    </w:p>
    <w:p w14:paraId="5604C24B">
      <w:pPr>
        <w:spacing w:line="360" w:lineRule="auto"/>
        <w:ind w:firstLine="540"/>
        <w:rPr>
          <w:rFonts w:ascii="仿宋" w:hAnsi="仿宋" w:eastAsia="仿宋" w:cs="仿宋"/>
          <w:sz w:val="24"/>
          <w:szCs w:val="24"/>
        </w:rPr>
      </w:pPr>
      <w:bookmarkStart w:id="50" w:name="_Toc28359085"/>
      <w:bookmarkStart w:id="51" w:name="_Toc38985269"/>
      <w:bookmarkStart w:id="52" w:name="_Toc28359008"/>
      <w:bookmarkStart w:id="53" w:name="_Toc35393627"/>
      <w:bookmarkStart w:id="54" w:name="_Toc35393796"/>
      <w:r>
        <w:rPr>
          <w:rFonts w:hint="eastAsia" w:ascii="仿宋" w:hAnsi="仿宋" w:eastAsia="仿宋" w:cs="仿宋"/>
          <w:sz w:val="24"/>
          <w:szCs w:val="24"/>
        </w:rPr>
        <w:t>1.项目磋商活动模式：不见面远程磋商模式。</w:t>
      </w:r>
    </w:p>
    <w:p w14:paraId="5B90C326">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p>
    <w:p w14:paraId="44672B8B">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2AF81CA">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50"/>
    <w:bookmarkEnd w:id="51"/>
    <w:bookmarkEnd w:id="52"/>
    <w:bookmarkEnd w:id="53"/>
    <w:bookmarkEnd w:id="54"/>
    <w:p w14:paraId="777B5AC9">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55" w:name="_Toc28359010"/>
      <w:bookmarkStart w:id="56" w:name="_Toc28359087"/>
      <w:r>
        <w:rPr>
          <w:rFonts w:hint="eastAsia" w:ascii="仿宋" w:hAnsi="仿宋" w:eastAsia="仿宋" w:cs="仿宋"/>
          <w:b/>
          <w:bCs/>
          <w:sz w:val="32"/>
          <w:szCs w:val="32"/>
        </w:rPr>
        <w:t>七、凡对本次采购提出询问，请按以下方式联系</w:t>
      </w:r>
    </w:p>
    <w:p w14:paraId="4D4C6C82">
      <w:pPr>
        <w:widowControl/>
        <w:jc w:val="left"/>
        <w:rPr>
          <w:rFonts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6553724C">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名 称：</w:t>
      </w:r>
      <w:r>
        <w:rPr>
          <w:rFonts w:hint="eastAsia" w:ascii="仿宋" w:hAnsi="仿宋" w:eastAsia="仿宋" w:cs="仿宋"/>
          <w:sz w:val="24"/>
          <w:szCs w:val="24"/>
          <w:u w:val="single"/>
        </w:rPr>
        <w:t>　如东县掘港高级中学　</w:t>
      </w:r>
    </w:p>
    <w:p w14:paraId="75912246">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江苏省如东县掘港镇东环路168号　</w:t>
      </w:r>
    </w:p>
    <w:p w14:paraId="4966CFB9">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缪老师          </w:t>
      </w:r>
    </w:p>
    <w:p w14:paraId="096596A8">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联系方式：</w:t>
      </w:r>
      <w:bookmarkStart w:id="57" w:name="_Toc28359009"/>
      <w:bookmarkStart w:id="58" w:name="_Toc28359086"/>
      <w:r>
        <w:rPr>
          <w:rFonts w:hint="eastAsia" w:ascii="仿宋" w:hAnsi="仿宋" w:eastAsia="仿宋" w:cs="仿宋"/>
          <w:sz w:val="24"/>
          <w:szCs w:val="24"/>
          <w:u w:val="single"/>
        </w:rPr>
        <w:t>　13962710652　　　　</w:t>
      </w:r>
    </w:p>
    <w:p w14:paraId="017B8B3B">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2.</w:t>
      </w:r>
      <w:bookmarkEnd w:id="57"/>
      <w:bookmarkEnd w:id="58"/>
      <w:r>
        <w:rPr>
          <w:rFonts w:hint="eastAsia" w:ascii="仿宋" w:hAnsi="仿宋" w:eastAsia="仿宋" w:cs="仿宋"/>
          <w:sz w:val="24"/>
          <w:szCs w:val="24"/>
        </w:rPr>
        <w:t>如东县公共资源交易中心</w:t>
      </w:r>
    </w:p>
    <w:p w14:paraId="1318C4D2">
      <w:pPr>
        <w:spacing w:line="360" w:lineRule="auto"/>
        <w:ind w:firstLine="720" w:firstLineChars="300"/>
        <w:rPr>
          <w:rFonts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sz w:val="24"/>
          <w:szCs w:val="24"/>
          <w:u w:val="single"/>
        </w:rPr>
        <w:t>如东县城中街道泰山路东侧建设大厦一楼</w:t>
      </w:r>
    </w:p>
    <w:p w14:paraId="4BB5B927">
      <w:pPr>
        <w:spacing w:line="360" w:lineRule="auto"/>
        <w:ind w:firstLine="720" w:firstLineChars="30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u w:val="single"/>
          <w14:textFill>
            <w14:solidFill>
              <w14:schemeClr w14:val="tx1"/>
            </w14:solidFill>
          </w14:textFill>
        </w:rPr>
        <w:t>见项目联系方式</w:t>
      </w:r>
    </w:p>
    <w:p w14:paraId="6912D88F">
      <w:pPr>
        <w:spacing w:line="360" w:lineRule="auto"/>
        <w:ind w:firstLine="720" w:firstLineChars="3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3.项目联系方式</w:t>
      </w:r>
    </w:p>
    <w:p w14:paraId="227C0F20">
      <w:pPr>
        <w:spacing w:line="360" w:lineRule="auto"/>
        <w:ind w:firstLine="720" w:firstLineChars="30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项目联系人：</w:t>
      </w:r>
      <w:r>
        <w:rPr>
          <w:rFonts w:hint="eastAsia" w:ascii="仿宋" w:hAnsi="仿宋" w:eastAsia="仿宋" w:cs="仿宋"/>
          <w:color w:val="000000" w:themeColor="text1"/>
          <w:sz w:val="24"/>
          <w:szCs w:val="24"/>
          <w:u w:val="single"/>
          <w14:textFill>
            <w14:solidFill>
              <w14:schemeClr w14:val="tx1"/>
            </w14:solidFill>
          </w14:textFill>
        </w:rPr>
        <w:t>杨女士</w:t>
      </w:r>
    </w:p>
    <w:p w14:paraId="114045CC">
      <w:pPr>
        <w:spacing w:line="360" w:lineRule="auto"/>
        <w:ind w:firstLine="638" w:firstLineChars="266"/>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color w:val="000000" w:themeColor="text1"/>
          <w:sz w:val="24"/>
          <w:szCs w:val="24"/>
          <w:u w:val="single"/>
          <w14:textFill>
            <w14:solidFill>
              <w14:schemeClr w14:val="tx1"/>
            </w14:solidFill>
          </w14:textFill>
        </w:rPr>
        <w:t xml:space="preserve">0513-68508522   </w:t>
      </w:r>
    </w:p>
    <w:p w14:paraId="225B5E8A">
      <w:pPr>
        <w:spacing w:line="360" w:lineRule="auto"/>
        <w:ind w:firstLine="720" w:firstLineChars="3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4.软件维护人员</w:t>
      </w:r>
    </w:p>
    <w:p w14:paraId="6B4699FA">
      <w:pPr>
        <w:spacing w:line="360" w:lineRule="auto"/>
        <w:ind w:firstLine="720" w:firstLineChars="30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p>
    <w:bookmarkEnd w:id="55"/>
    <w:bookmarkEnd w:id="56"/>
    <w:p w14:paraId="55794840">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八、其他</w:t>
      </w:r>
    </w:p>
    <w:p w14:paraId="77B21525">
      <w:pPr>
        <w:tabs>
          <w:tab w:val="left" w:pos="900"/>
        </w:tabs>
        <w:spacing w:line="560" w:lineRule="exact"/>
        <w:ind w:firstLine="480" w:firstLineChars="20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 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7D65E808">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6C677348">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有关本次磋商的事项若存在变动或修改，敬请及时关注如东县公共资源交易中心在“江苏政府采购网”发布的更正公告。</w:t>
      </w:r>
    </w:p>
    <w:p w14:paraId="1329D7FA">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3. 本次磋商不收取磋商保证金。</w:t>
      </w:r>
    </w:p>
    <w:p w14:paraId="1201070C">
      <w:pPr>
        <w:snapToGrid w:val="0"/>
        <w:spacing w:before="120" w:after="120"/>
        <w:rPr>
          <w:rFonts w:ascii="仿宋" w:hAnsi="仿宋" w:eastAsia="仿宋" w:cs="仿宋"/>
          <w:color w:val="000000" w:themeColor="text1"/>
          <w:sz w:val="24"/>
          <w:szCs w:val="24"/>
          <w14:textFill>
            <w14:solidFill>
              <w14:schemeClr w14:val="tx1"/>
            </w14:solidFill>
          </w14:textFill>
        </w:rPr>
      </w:pPr>
    </w:p>
    <w:p w14:paraId="4BD45582">
      <w:pPr>
        <w:keepNext/>
        <w:keepLines/>
        <w:spacing w:before="145" w:beforeLines="50" w:after="145" w:afterLines="50" w:line="360" w:lineRule="auto"/>
        <w:jc w:val="center"/>
        <w:outlineLvl w:val="0"/>
        <w:rPr>
          <w:rFonts w:ascii="黑体" w:hAnsi="黑体" w:eastAsia="黑体" w:cs="黑体"/>
          <w:b/>
          <w:bCs/>
          <w:sz w:val="32"/>
          <w:szCs w:val="32"/>
        </w:rPr>
      </w:pPr>
      <w:bookmarkStart w:id="59" w:name="_Toc120614211"/>
      <w:r>
        <w:rPr>
          <w:rFonts w:hint="eastAsia" w:ascii="仿宋" w:hAnsi="仿宋" w:eastAsia="仿宋" w:cs="仿宋"/>
          <w:b/>
          <w:sz w:val="28"/>
          <w:szCs w:val="28"/>
        </w:rPr>
        <w:br w:type="page"/>
      </w:r>
      <w:bookmarkStart w:id="60" w:name="_Toc16207"/>
      <w:bookmarkStart w:id="61" w:name="_Toc5341"/>
      <w:bookmarkStart w:id="62" w:name="_Toc5468"/>
      <w:r>
        <w:rPr>
          <w:rFonts w:hint="eastAsia" w:ascii="仿宋" w:hAnsi="仿宋" w:eastAsia="仿宋" w:cs="仿宋"/>
          <w:b/>
          <w:bCs/>
          <w:sz w:val="44"/>
          <w:szCs w:val="44"/>
        </w:rPr>
        <w:t xml:space="preserve">第二章  </w:t>
      </w:r>
      <w:bookmarkEnd w:id="13"/>
      <w:bookmarkEnd w:id="14"/>
      <w:bookmarkEnd w:id="15"/>
      <w:bookmarkEnd w:id="16"/>
      <w:bookmarkEnd w:id="17"/>
      <w:bookmarkEnd w:id="59"/>
      <w:r>
        <w:rPr>
          <w:rFonts w:hint="eastAsia" w:ascii="仿宋" w:hAnsi="仿宋" w:eastAsia="仿宋" w:cs="仿宋"/>
          <w:b/>
          <w:bCs/>
          <w:sz w:val="44"/>
          <w:szCs w:val="44"/>
        </w:rPr>
        <w:t>供应商须知</w:t>
      </w:r>
      <w:bookmarkEnd w:id="60"/>
      <w:bookmarkEnd w:id="61"/>
      <w:bookmarkEnd w:id="62"/>
    </w:p>
    <w:p w14:paraId="1487FB40">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63" w:name="_Toc513029203"/>
      <w:bookmarkStart w:id="64" w:name="_Toc20823275"/>
      <w:bookmarkStart w:id="65" w:name="_Toc16938519"/>
      <w:bookmarkStart w:id="66" w:name="_Toc120614214"/>
      <w:r>
        <w:rPr>
          <w:rFonts w:hint="eastAsia" w:ascii="仿宋" w:hAnsi="仿宋" w:eastAsia="仿宋" w:cs="仿宋"/>
          <w:b/>
          <w:bCs/>
          <w:sz w:val="32"/>
          <w:szCs w:val="32"/>
        </w:rPr>
        <w:t>一、总则</w:t>
      </w:r>
      <w:bookmarkEnd w:id="63"/>
      <w:bookmarkEnd w:id="64"/>
      <w:bookmarkEnd w:id="65"/>
      <w:bookmarkEnd w:id="66"/>
    </w:p>
    <w:p w14:paraId="67A31CF4">
      <w:pPr>
        <w:spacing w:line="500" w:lineRule="exact"/>
        <w:ind w:left="480"/>
        <w:rPr>
          <w:rFonts w:ascii="仿宋" w:hAnsi="仿宋" w:eastAsia="仿宋" w:cs="仿宋"/>
          <w:b/>
          <w:bCs/>
          <w:sz w:val="28"/>
          <w:szCs w:val="28"/>
        </w:rPr>
      </w:pPr>
      <w:bookmarkStart w:id="67" w:name="_Hlt16619475"/>
      <w:bookmarkEnd w:id="67"/>
      <w:bookmarkStart w:id="68" w:name="_Toc458694821"/>
      <w:bookmarkStart w:id="69" w:name="_Toc16938520"/>
      <w:bookmarkStart w:id="70" w:name="_Toc20823276"/>
      <w:bookmarkStart w:id="71" w:name="_Toc513029204"/>
      <w:r>
        <w:rPr>
          <w:rFonts w:hint="eastAsia" w:ascii="仿宋" w:hAnsi="仿宋" w:eastAsia="仿宋" w:cs="仿宋"/>
          <w:b/>
          <w:bCs/>
          <w:sz w:val="28"/>
          <w:szCs w:val="28"/>
        </w:rPr>
        <w:t>1</w:t>
      </w:r>
      <w:bookmarkEnd w:id="68"/>
      <w:r>
        <w:rPr>
          <w:rFonts w:hint="eastAsia" w:ascii="仿宋" w:hAnsi="仿宋" w:eastAsia="仿宋" w:cs="仿宋"/>
          <w:b/>
          <w:bCs/>
          <w:sz w:val="28"/>
          <w:szCs w:val="28"/>
        </w:rPr>
        <w:t>、采购方式</w:t>
      </w:r>
      <w:bookmarkEnd w:id="69"/>
      <w:bookmarkEnd w:id="70"/>
      <w:bookmarkEnd w:id="71"/>
    </w:p>
    <w:p w14:paraId="3D41C56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1.1 本次政府采购活动采取竞争性磋商(以下简称磋商)方式，本磋商文件仅适用于磋商公告中所述项目。</w:t>
      </w:r>
    </w:p>
    <w:p w14:paraId="77C8EE93">
      <w:pPr>
        <w:keepNext/>
        <w:keepLines/>
        <w:ind w:firstLine="422" w:firstLineChars="150"/>
        <w:outlineLvl w:val="3"/>
        <w:rPr>
          <w:rFonts w:ascii="仿宋" w:hAnsi="仿宋" w:eastAsia="仿宋" w:cs="仿宋"/>
          <w:b/>
          <w:bCs/>
          <w:sz w:val="28"/>
          <w:szCs w:val="28"/>
        </w:rPr>
      </w:pPr>
      <w:bookmarkStart w:id="72" w:name="_Toc20823277"/>
      <w:bookmarkStart w:id="73" w:name="_Toc513029205"/>
      <w:bookmarkStart w:id="74" w:name="_Toc16938521"/>
      <w:r>
        <w:rPr>
          <w:rFonts w:hint="eastAsia" w:ascii="仿宋" w:hAnsi="仿宋" w:eastAsia="仿宋" w:cs="仿宋"/>
          <w:b/>
          <w:bCs/>
          <w:sz w:val="28"/>
          <w:szCs w:val="28"/>
        </w:rPr>
        <w:t>2、合格的</w:t>
      </w:r>
      <w:bookmarkEnd w:id="72"/>
      <w:bookmarkEnd w:id="73"/>
      <w:bookmarkEnd w:id="74"/>
      <w:r>
        <w:rPr>
          <w:rFonts w:hint="eastAsia" w:ascii="仿宋" w:hAnsi="仿宋" w:eastAsia="仿宋" w:cs="仿宋"/>
          <w:b/>
          <w:bCs/>
          <w:sz w:val="28"/>
          <w:szCs w:val="28"/>
        </w:rPr>
        <w:t>供应商</w:t>
      </w:r>
    </w:p>
    <w:p w14:paraId="699894BE">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30DC2973">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1E29E9B4">
      <w:pPr>
        <w:keepNext/>
        <w:keepLines/>
        <w:ind w:firstLine="422" w:firstLineChars="150"/>
        <w:outlineLvl w:val="3"/>
        <w:rPr>
          <w:rFonts w:ascii="仿宋" w:hAnsi="仿宋" w:eastAsia="仿宋" w:cs="仿宋"/>
          <w:b/>
          <w:bCs/>
          <w:sz w:val="28"/>
          <w:szCs w:val="28"/>
        </w:rPr>
      </w:pPr>
      <w:bookmarkStart w:id="75" w:name="_Toc16938522"/>
      <w:bookmarkStart w:id="76" w:name="_Toc20823278"/>
      <w:bookmarkStart w:id="77" w:name="_Toc513029206"/>
      <w:r>
        <w:rPr>
          <w:rFonts w:hint="eastAsia" w:ascii="仿宋" w:hAnsi="仿宋" w:eastAsia="仿宋" w:cs="仿宋"/>
          <w:b/>
          <w:bCs/>
          <w:sz w:val="28"/>
          <w:szCs w:val="28"/>
        </w:rPr>
        <w:t>3、适用法律</w:t>
      </w:r>
      <w:bookmarkEnd w:id="75"/>
      <w:bookmarkEnd w:id="76"/>
      <w:bookmarkEnd w:id="77"/>
      <w:r>
        <w:rPr>
          <w:rFonts w:hint="eastAsia" w:ascii="仿宋" w:hAnsi="仿宋" w:eastAsia="仿宋" w:cs="仿宋"/>
          <w:b/>
          <w:bCs/>
          <w:sz w:val="28"/>
          <w:szCs w:val="28"/>
        </w:rPr>
        <w:t>和标准</w:t>
      </w:r>
    </w:p>
    <w:p w14:paraId="2B2BE1B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3.1 本次招标及由此产生的合同受中华人民共和国有关的法律法规制约和保护。</w:t>
      </w:r>
    </w:p>
    <w:p w14:paraId="273B455F">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rPr>
        <w:t>3.2 在本项目政府采购活动过程中，如果所执行的标准有更新的，按照最新标准执行。</w:t>
      </w:r>
    </w:p>
    <w:p w14:paraId="32F4C770">
      <w:pPr>
        <w:keepNext/>
        <w:keepLines/>
        <w:ind w:firstLine="422" w:firstLineChars="150"/>
        <w:outlineLvl w:val="3"/>
        <w:rPr>
          <w:rFonts w:ascii="仿宋" w:hAnsi="仿宋" w:eastAsia="仿宋" w:cs="仿宋"/>
          <w:b/>
          <w:bCs/>
          <w:sz w:val="28"/>
          <w:szCs w:val="28"/>
        </w:rPr>
      </w:pPr>
      <w:bookmarkStart w:id="78" w:name="_Toc462564067"/>
      <w:bookmarkStart w:id="79" w:name="_Toc513029207"/>
      <w:bookmarkStart w:id="80" w:name="_Toc20823279"/>
      <w:bookmarkStart w:id="81" w:name="_Toc16938523"/>
      <w:r>
        <w:rPr>
          <w:rFonts w:hint="eastAsia" w:ascii="仿宋" w:hAnsi="仿宋" w:eastAsia="仿宋" w:cs="仿宋"/>
          <w:b/>
          <w:bCs/>
          <w:sz w:val="28"/>
          <w:szCs w:val="28"/>
        </w:rPr>
        <w:t>4、磋商费用</w:t>
      </w:r>
      <w:bookmarkEnd w:id="78"/>
      <w:bookmarkEnd w:id="79"/>
      <w:bookmarkEnd w:id="80"/>
      <w:bookmarkEnd w:id="81"/>
    </w:p>
    <w:p w14:paraId="06410C2C">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供应商应自行承担所有与参加本次磋商有关的费用，无论磋商过程中的做法和结果如何，如东县公共资源交易中心（以下简称交易中心）在任何情况下均无义务和责任承担这些费用。</w:t>
      </w:r>
    </w:p>
    <w:p w14:paraId="271A29A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4.2本次磋商交易中心和采购人不收取标书工本费与成交服务费。</w:t>
      </w:r>
    </w:p>
    <w:p w14:paraId="4C78630F">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5、磋商文件的约束力</w:t>
      </w:r>
    </w:p>
    <w:p w14:paraId="33DC28A5">
      <w:pPr>
        <w:spacing w:line="480" w:lineRule="exact"/>
        <w:ind w:firstLine="480" w:firstLineChars="20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39270EA1">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82" w:name="_Toc120614215"/>
      <w:bookmarkStart w:id="83" w:name="_Toc16938525"/>
      <w:bookmarkStart w:id="84" w:name="_Toc513029209"/>
      <w:bookmarkStart w:id="85" w:name="_Toc20823281"/>
      <w:r>
        <w:rPr>
          <w:rFonts w:hint="eastAsia" w:ascii="仿宋" w:hAnsi="仿宋" w:eastAsia="仿宋" w:cs="仿宋"/>
          <w:b/>
          <w:bCs/>
          <w:sz w:val="32"/>
          <w:szCs w:val="32"/>
        </w:rPr>
        <w:t>二、</w:t>
      </w:r>
      <w:bookmarkEnd w:id="82"/>
      <w:bookmarkEnd w:id="83"/>
      <w:bookmarkEnd w:id="84"/>
      <w:bookmarkEnd w:id="85"/>
      <w:r>
        <w:rPr>
          <w:rFonts w:hint="eastAsia" w:ascii="仿宋" w:hAnsi="仿宋" w:eastAsia="仿宋" w:cs="仿宋"/>
          <w:b/>
          <w:bCs/>
          <w:sz w:val="32"/>
          <w:szCs w:val="32"/>
        </w:rPr>
        <w:t>磋商文件</w:t>
      </w:r>
    </w:p>
    <w:p w14:paraId="3E119AB7">
      <w:pPr>
        <w:keepNext/>
        <w:keepLines/>
        <w:ind w:firstLine="422" w:firstLineChars="150"/>
        <w:outlineLvl w:val="3"/>
        <w:rPr>
          <w:rFonts w:ascii="仿宋" w:hAnsi="仿宋" w:eastAsia="仿宋" w:cs="仿宋"/>
          <w:b/>
          <w:bCs/>
          <w:sz w:val="28"/>
          <w:szCs w:val="28"/>
        </w:rPr>
      </w:pPr>
      <w:bookmarkStart w:id="86" w:name="_Toc16938526"/>
      <w:bookmarkStart w:id="87" w:name="_Toc20823282"/>
      <w:bookmarkStart w:id="88" w:name="_Toc513029210"/>
      <w:r>
        <w:rPr>
          <w:rFonts w:hint="eastAsia" w:ascii="仿宋" w:hAnsi="仿宋" w:eastAsia="仿宋" w:cs="仿宋"/>
          <w:b/>
          <w:bCs/>
          <w:sz w:val="28"/>
          <w:szCs w:val="28"/>
        </w:rPr>
        <w:t>6、磋商文件构成</w:t>
      </w:r>
      <w:bookmarkEnd w:id="86"/>
      <w:bookmarkEnd w:id="87"/>
      <w:bookmarkEnd w:id="88"/>
    </w:p>
    <w:p w14:paraId="4B3B5D2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0F2F11AA">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（1）磋商邀请</w:t>
      </w:r>
    </w:p>
    <w:p w14:paraId="56051F98">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（2）供应商须知</w:t>
      </w:r>
    </w:p>
    <w:p w14:paraId="55D08180">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（3）合同文本</w:t>
      </w:r>
    </w:p>
    <w:p w14:paraId="51EAD7F7">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（4）采购需求</w:t>
      </w:r>
    </w:p>
    <w:p w14:paraId="7E915F20">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（5）评审方法与评审标准</w:t>
      </w:r>
    </w:p>
    <w:p w14:paraId="647C9D72">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（6）响应文件格式</w:t>
      </w:r>
    </w:p>
    <w:p w14:paraId="19A69A1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请仔细检查磋商文件是否齐全，如有缺漏请立即与交易中心联系解决。</w:t>
      </w:r>
    </w:p>
    <w:p w14:paraId="4BCA4077">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878437E">
      <w:pPr>
        <w:keepNext/>
        <w:keepLines/>
        <w:ind w:firstLine="422" w:firstLineChars="150"/>
        <w:outlineLvl w:val="3"/>
        <w:rPr>
          <w:rFonts w:ascii="仿宋" w:hAnsi="仿宋" w:eastAsia="仿宋" w:cs="仿宋"/>
          <w:b/>
          <w:bCs/>
          <w:sz w:val="28"/>
          <w:szCs w:val="28"/>
        </w:rPr>
      </w:pPr>
      <w:bookmarkStart w:id="89" w:name="_Toc16938527"/>
      <w:bookmarkStart w:id="90" w:name="_Toc513029211"/>
      <w:bookmarkStart w:id="91" w:name="_Toc462564070"/>
      <w:bookmarkStart w:id="92" w:name="_Toc20823283"/>
      <w:r>
        <w:rPr>
          <w:rFonts w:hint="eastAsia" w:ascii="仿宋" w:hAnsi="仿宋" w:eastAsia="仿宋" w:cs="仿宋"/>
          <w:b/>
          <w:bCs/>
          <w:sz w:val="28"/>
          <w:szCs w:val="28"/>
        </w:rPr>
        <w:t>7、磋商文件的澄清</w:t>
      </w:r>
      <w:bookmarkEnd w:id="89"/>
      <w:bookmarkEnd w:id="90"/>
      <w:bookmarkEnd w:id="91"/>
      <w:bookmarkEnd w:id="92"/>
    </w:p>
    <w:p w14:paraId="55DCA3AD">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5D835DD6">
      <w:pPr>
        <w:keepNext/>
        <w:keepLines/>
        <w:ind w:firstLine="422" w:firstLineChars="150"/>
        <w:outlineLvl w:val="3"/>
        <w:rPr>
          <w:rFonts w:ascii="仿宋" w:hAnsi="仿宋" w:eastAsia="仿宋" w:cs="仿宋"/>
          <w:b/>
          <w:bCs/>
          <w:sz w:val="28"/>
          <w:szCs w:val="28"/>
        </w:rPr>
      </w:pPr>
      <w:bookmarkStart w:id="93" w:name="_Toc20823284"/>
      <w:bookmarkStart w:id="94" w:name="_Toc16938528"/>
      <w:bookmarkStart w:id="95" w:name="_Toc462564071"/>
      <w:bookmarkStart w:id="96" w:name="_Toc513029212"/>
      <w:r>
        <w:rPr>
          <w:rFonts w:hint="eastAsia" w:ascii="仿宋" w:hAnsi="仿宋" w:eastAsia="仿宋" w:cs="仿宋"/>
          <w:b/>
          <w:bCs/>
          <w:sz w:val="28"/>
          <w:szCs w:val="28"/>
        </w:rPr>
        <w:t>8、磋商文件的澄清和修改</w:t>
      </w:r>
      <w:bookmarkEnd w:id="93"/>
      <w:bookmarkEnd w:id="94"/>
      <w:bookmarkEnd w:id="95"/>
      <w:bookmarkEnd w:id="96"/>
    </w:p>
    <w:p w14:paraId="31A24728">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p>
    <w:p w14:paraId="7F1C8AB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2616C357">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97" w:name="_Toc513029213"/>
      <w:bookmarkStart w:id="98" w:name="_Toc120614216"/>
      <w:bookmarkStart w:id="99" w:name="_Toc20823285"/>
      <w:bookmarkStart w:id="100" w:name="_Toc462564072"/>
      <w:bookmarkStart w:id="101" w:name="_Toc16938529"/>
      <w:r>
        <w:rPr>
          <w:rFonts w:hint="eastAsia" w:ascii="仿宋" w:hAnsi="仿宋" w:eastAsia="仿宋" w:cs="仿宋"/>
          <w:b/>
          <w:bCs/>
          <w:sz w:val="32"/>
          <w:szCs w:val="32"/>
        </w:rPr>
        <w:t>三、响应文件的编制</w:t>
      </w:r>
      <w:bookmarkEnd w:id="97"/>
      <w:bookmarkEnd w:id="98"/>
      <w:bookmarkEnd w:id="99"/>
      <w:bookmarkEnd w:id="100"/>
      <w:bookmarkEnd w:id="101"/>
    </w:p>
    <w:p w14:paraId="6274297C">
      <w:pPr>
        <w:keepNext/>
        <w:keepLines/>
        <w:ind w:firstLine="422" w:firstLineChars="150"/>
        <w:outlineLvl w:val="3"/>
        <w:rPr>
          <w:rFonts w:ascii="仿宋" w:hAnsi="仿宋" w:eastAsia="仿宋" w:cs="仿宋"/>
          <w:b/>
          <w:bCs/>
          <w:sz w:val="28"/>
          <w:szCs w:val="28"/>
        </w:rPr>
      </w:pPr>
      <w:bookmarkStart w:id="102" w:name="_Toc16938530"/>
      <w:bookmarkStart w:id="103" w:name="_Toc513029214"/>
      <w:bookmarkStart w:id="104" w:name="_Toc462564073"/>
      <w:bookmarkStart w:id="105" w:name="_Toc20823286"/>
      <w:r>
        <w:rPr>
          <w:rFonts w:hint="eastAsia" w:ascii="仿宋" w:hAnsi="仿宋" w:eastAsia="仿宋" w:cs="仿宋"/>
          <w:b/>
          <w:bCs/>
          <w:sz w:val="28"/>
          <w:szCs w:val="28"/>
        </w:rPr>
        <w:t>9、响应文件的语言及度量衡单位</w:t>
      </w:r>
      <w:bookmarkEnd w:id="102"/>
      <w:bookmarkEnd w:id="103"/>
      <w:bookmarkEnd w:id="104"/>
      <w:bookmarkEnd w:id="105"/>
    </w:p>
    <w:p w14:paraId="41C73B5F">
      <w:pPr>
        <w:spacing w:line="500" w:lineRule="exact"/>
        <w:ind w:firstLine="480" w:firstLineChars="200"/>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供应商提交的响应文件以及供应商与交易中心及采购人就有关磋商的所有来往通知、函件和文件均应使用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67A20049">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7E8CE4F6">
      <w:pPr>
        <w:keepNext/>
        <w:keepLines/>
        <w:ind w:firstLine="422" w:firstLineChars="150"/>
        <w:outlineLvl w:val="3"/>
        <w:rPr>
          <w:rFonts w:ascii="仿宋" w:hAnsi="仿宋" w:eastAsia="仿宋" w:cs="仿宋"/>
          <w:b/>
          <w:bCs/>
          <w:sz w:val="28"/>
          <w:szCs w:val="28"/>
        </w:rPr>
      </w:pPr>
      <w:bookmarkStart w:id="106" w:name="_Toc513029215"/>
      <w:bookmarkStart w:id="107" w:name="_Toc20823287"/>
      <w:bookmarkStart w:id="108" w:name="_Toc462564074"/>
      <w:bookmarkStart w:id="109" w:name="_Toc16938531"/>
      <w:r>
        <w:rPr>
          <w:rFonts w:hint="eastAsia" w:ascii="仿宋" w:hAnsi="仿宋" w:eastAsia="仿宋" w:cs="仿宋"/>
          <w:b/>
          <w:bCs/>
          <w:sz w:val="28"/>
          <w:szCs w:val="28"/>
        </w:rPr>
        <w:t>10、响应文件构成</w:t>
      </w:r>
      <w:bookmarkEnd w:id="106"/>
      <w:bookmarkEnd w:id="107"/>
      <w:bookmarkEnd w:id="108"/>
      <w:bookmarkEnd w:id="109"/>
    </w:p>
    <w:p w14:paraId="08016EBB">
      <w:pPr>
        <w:pStyle w:val="3"/>
        <w:ind w:firstLine="480" w:firstLineChars="20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  响应文件格式”要求编写响应文件。</w:t>
      </w:r>
    </w:p>
    <w:p w14:paraId="470A955B">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4EF39B18">
      <w:pPr>
        <w:keepNext/>
        <w:keepLines/>
        <w:spacing w:line="500" w:lineRule="exact"/>
        <w:ind w:firstLine="422" w:firstLineChars="150"/>
        <w:outlineLvl w:val="3"/>
        <w:rPr>
          <w:rFonts w:ascii="仿宋" w:hAnsi="仿宋" w:eastAsia="仿宋" w:cs="仿宋"/>
          <w:b/>
          <w:bCs/>
          <w:sz w:val="28"/>
          <w:szCs w:val="28"/>
        </w:rPr>
      </w:pPr>
      <w:bookmarkStart w:id="110" w:name="_Hlt26668975"/>
      <w:bookmarkEnd w:id="110"/>
      <w:bookmarkStart w:id="111" w:name="_Hlt26670360"/>
      <w:bookmarkEnd w:id="111"/>
      <w:bookmarkStart w:id="112" w:name="_Hlt26954838"/>
      <w:bookmarkEnd w:id="112"/>
      <w:bookmarkStart w:id="113" w:name="_Toc513029219"/>
      <w:bookmarkStart w:id="114" w:name="_Toc14577357"/>
      <w:bookmarkStart w:id="115" w:name="_Toc49090509"/>
      <w:bookmarkStart w:id="116" w:name="_Toc49090507"/>
      <w:bookmarkStart w:id="117" w:name="_Toc513029216"/>
      <w:bookmarkStart w:id="118" w:name="_Toc14577354"/>
      <w:bookmarkStart w:id="119" w:name="_Toc49090508"/>
      <w:bookmarkStart w:id="120" w:name="_Toc14577355"/>
      <w:r>
        <w:rPr>
          <w:rFonts w:hint="eastAsia" w:ascii="仿宋" w:hAnsi="仿宋" w:eastAsia="仿宋" w:cs="仿宋"/>
          <w:b/>
          <w:bCs/>
          <w:sz w:val="28"/>
          <w:szCs w:val="28"/>
        </w:rPr>
        <w:t>11、证明磋商响应标的符合磋商文件规定的文件</w:t>
      </w:r>
      <w:bookmarkEnd w:id="113"/>
      <w:bookmarkEnd w:id="114"/>
      <w:bookmarkEnd w:id="115"/>
    </w:p>
    <w:bookmarkEnd w:id="116"/>
    <w:bookmarkEnd w:id="117"/>
    <w:bookmarkEnd w:id="118"/>
    <w:p w14:paraId="33F4479E">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3C01DFD4">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p>
    <w:bookmarkEnd w:id="119"/>
    <w:bookmarkEnd w:id="120"/>
    <w:p w14:paraId="04E6AA6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12、分项报价表</w:t>
      </w:r>
    </w:p>
    <w:p w14:paraId="4635AFF9">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57CC9B82">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37D4E884">
      <w:pPr>
        <w:keepNext/>
        <w:keepLines/>
        <w:spacing w:line="500" w:lineRule="exact"/>
        <w:ind w:firstLine="422" w:firstLineChars="150"/>
        <w:outlineLvl w:val="3"/>
        <w:rPr>
          <w:rFonts w:ascii="仿宋" w:hAnsi="仿宋" w:eastAsia="仿宋" w:cs="仿宋"/>
          <w:b/>
          <w:bCs/>
          <w:sz w:val="28"/>
          <w:szCs w:val="28"/>
        </w:rPr>
      </w:pPr>
      <w:bookmarkStart w:id="121" w:name="_Hlt26954846"/>
      <w:bookmarkEnd w:id="121"/>
      <w:bookmarkStart w:id="122" w:name="_Hlt26670482"/>
      <w:bookmarkEnd w:id="122"/>
      <w:bookmarkStart w:id="123" w:name="_Hlt26670486"/>
      <w:bookmarkEnd w:id="123"/>
      <w:bookmarkStart w:id="124" w:name="_Hlt26954731"/>
      <w:bookmarkEnd w:id="124"/>
      <w:bookmarkStart w:id="125" w:name="_Hlt26954848"/>
      <w:bookmarkEnd w:id="125"/>
      <w:r>
        <w:rPr>
          <w:rFonts w:hint="eastAsia" w:ascii="仿宋" w:hAnsi="仿宋" w:eastAsia="仿宋" w:cs="仿宋"/>
          <w:b/>
          <w:bCs/>
          <w:sz w:val="28"/>
          <w:szCs w:val="28"/>
        </w:rPr>
        <w:t>13、技术要求响应及偏离表、商务要求响应及偏离表</w:t>
      </w:r>
    </w:p>
    <w:p w14:paraId="2ACF0450">
      <w:pPr>
        <w:spacing w:line="500" w:lineRule="exact"/>
        <w:ind w:firstLine="480" w:firstLineChars="200"/>
        <w:rPr>
          <w:rFonts w:ascii="仿宋" w:hAnsi="仿宋" w:eastAsia="仿宋" w:cs="仿宋"/>
          <w:color w:val="FF0000"/>
          <w:highlight w:val="yellow"/>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49E363F4">
      <w:pPr>
        <w:autoSpaceDE w:val="0"/>
        <w:autoSpaceDN w:val="0"/>
        <w:adjustRightInd w:val="0"/>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03D8B4D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352BF762">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3A2C9B0C">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7ABAD70E">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5C991354">
      <w:pPr>
        <w:keepNext/>
        <w:keepLines/>
        <w:spacing w:line="500" w:lineRule="exact"/>
        <w:ind w:firstLine="422" w:firstLineChars="150"/>
        <w:outlineLvl w:val="3"/>
        <w:rPr>
          <w:rFonts w:ascii="仿宋" w:hAnsi="仿宋" w:eastAsia="仿宋" w:cs="仿宋"/>
          <w:b/>
          <w:bCs/>
          <w:sz w:val="28"/>
          <w:szCs w:val="28"/>
        </w:rPr>
      </w:pPr>
      <w:bookmarkStart w:id="126" w:name="_Toc49090510"/>
      <w:bookmarkStart w:id="127" w:name="_Toc14577359"/>
      <w:r>
        <w:rPr>
          <w:rFonts w:hint="eastAsia" w:ascii="仿宋" w:hAnsi="仿宋" w:eastAsia="仿宋" w:cs="仿宋"/>
          <w:b/>
          <w:bCs/>
          <w:sz w:val="28"/>
          <w:szCs w:val="28"/>
        </w:rPr>
        <w:t>15、磋商响应函</w:t>
      </w:r>
    </w:p>
    <w:p w14:paraId="60BAA901">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p>
    <w:bookmarkEnd w:id="126"/>
    <w:bookmarkEnd w:id="127"/>
    <w:p w14:paraId="44B447B4">
      <w:pPr>
        <w:keepNext/>
        <w:keepLines/>
        <w:spacing w:line="500" w:lineRule="exact"/>
        <w:ind w:firstLine="422" w:firstLineChars="150"/>
        <w:outlineLvl w:val="3"/>
        <w:rPr>
          <w:rFonts w:ascii="仿宋" w:hAnsi="仿宋" w:eastAsia="仿宋" w:cs="仿宋"/>
          <w:b/>
          <w:bCs/>
          <w:sz w:val="28"/>
          <w:szCs w:val="28"/>
        </w:rPr>
      </w:pPr>
      <w:bookmarkStart w:id="128" w:name="_Toc49090511"/>
      <w:bookmarkStart w:id="129" w:name="_Toc14577360"/>
      <w:r>
        <w:rPr>
          <w:rFonts w:hint="eastAsia" w:ascii="仿宋" w:hAnsi="仿宋" w:eastAsia="仿宋" w:cs="仿宋"/>
          <w:b/>
          <w:bCs/>
          <w:sz w:val="28"/>
          <w:szCs w:val="28"/>
        </w:rPr>
        <w:t>16、磋商有效期</w:t>
      </w:r>
      <w:bookmarkEnd w:id="128"/>
      <w:bookmarkEnd w:id="129"/>
    </w:p>
    <w:p w14:paraId="47486553">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16.1磋商有效期为交易中心规定的提交响应文件截止之日后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089B723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17、磋商有效期的延长</w:t>
      </w:r>
    </w:p>
    <w:p w14:paraId="4B48C52F">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26DBCFF2">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30" w:name="_Hlt26954852"/>
      <w:bookmarkEnd w:id="130"/>
      <w:bookmarkStart w:id="131" w:name="_Hlt26954739"/>
      <w:bookmarkEnd w:id="131"/>
      <w:bookmarkStart w:id="132" w:name="_Toc16938540"/>
      <w:bookmarkStart w:id="133" w:name="_Toc20823296"/>
      <w:bookmarkStart w:id="134" w:name="_Toc120614217"/>
      <w:bookmarkStart w:id="135" w:name="_Toc513029224"/>
      <w:r>
        <w:rPr>
          <w:rFonts w:hint="eastAsia" w:ascii="仿宋" w:hAnsi="仿宋" w:eastAsia="仿宋" w:cs="仿宋"/>
          <w:b/>
          <w:bCs/>
          <w:sz w:val="32"/>
          <w:szCs w:val="32"/>
        </w:rPr>
        <w:t>四、响应文件的递交</w:t>
      </w:r>
      <w:bookmarkEnd w:id="132"/>
      <w:bookmarkEnd w:id="133"/>
      <w:bookmarkEnd w:id="134"/>
      <w:bookmarkEnd w:id="135"/>
    </w:p>
    <w:p w14:paraId="7F5F23EA">
      <w:pPr>
        <w:keepNext/>
        <w:keepLines/>
        <w:spacing w:line="500" w:lineRule="exact"/>
        <w:ind w:firstLine="422" w:firstLineChars="150"/>
        <w:outlineLvl w:val="3"/>
        <w:rPr>
          <w:rFonts w:ascii="仿宋" w:hAnsi="仿宋" w:eastAsia="仿宋" w:cs="仿宋"/>
          <w:b/>
          <w:bCs/>
          <w:sz w:val="28"/>
          <w:szCs w:val="28"/>
        </w:rPr>
      </w:pPr>
      <w:bookmarkStart w:id="136" w:name="_Toc16938541"/>
      <w:bookmarkStart w:id="137" w:name="_Toc462564084"/>
      <w:bookmarkStart w:id="138" w:name="_Toc513029225"/>
      <w:bookmarkStart w:id="139" w:name="_Toc20823297"/>
      <w:r>
        <w:rPr>
          <w:rFonts w:hint="eastAsia" w:ascii="仿宋" w:hAnsi="仿宋" w:eastAsia="仿宋" w:cs="仿宋"/>
          <w:b/>
          <w:bCs/>
          <w:sz w:val="28"/>
          <w:szCs w:val="28"/>
        </w:rPr>
        <w:t>18、电子磋商</w:t>
      </w:r>
      <w:bookmarkEnd w:id="136"/>
      <w:bookmarkEnd w:id="137"/>
      <w:bookmarkEnd w:id="138"/>
      <w:bookmarkEnd w:id="139"/>
      <w:r>
        <w:rPr>
          <w:rFonts w:hint="eastAsia" w:ascii="仿宋" w:hAnsi="仿宋" w:eastAsia="仿宋" w:cs="仿宋"/>
          <w:b/>
          <w:bCs/>
          <w:sz w:val="28"/>
          <w:szCs w:val="28"/>
        </w:rPr>
        <w:t>响应文件的递交</w:t>
      </w:r>
    </w:p>
    <w:p w14:paraId="02699521">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40" w:name="_Toc513029226"/>
      <w:bookmarkStart w:id="141" w:name="_Toc20823298"/>
      <w:bookmarkStart w:id="142" w:name="_Toc16938542"/>
    </w:p>
    <w:p w14:paraId="06A6F40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19、提交响应文件截止时间</w:t>
      </w:r>
      <w:bookmarkEnd w:id="140"/>
      <w:bookmarkEnd w:id="141"/>
      <w:bookmarkEnd w:id="142"/>
    </w:p>
    <w:p w14:paraId="7D1C403E">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30D70E8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供应商应充分考虑到网络环境、网络带宽等风险因素，如因供应商自身原因造成的电子响应文件上传不成功的按照本磋商文件第二章第26.8.2条规定做无效响应处理。</w:t>
      </w:r>
    </w:p>
    <w:p w14:paraId="5AC609BB">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p>
    <w:p w14:paraId="44102028">
      <w:pPr>
        <w:keepNext/>
        <w:keepLines/>
        <w:spacing w:line="500" w:lineRule="exact"/>
        <w:ind w:firstLine="422" w:firstLineChars="150"/>
        <w:outlineLvl w:val="3"/>
        <w:rPr>
          <w:rFonts w:ascii="仿宋" w:hAnsi="仿宋" w:eastAsia="仿宋" w:cs="仿宋"/>
          <w:b/>
          <w:bCs/>
          <w:sz w:val="28"/>
          <w:szCs w:val="28"/>
        </w:rPr>
      </w:pPr>
      <w:bookmarkStart w:id="143" w:name="_Toc513029227"/>
      <w:bookmarkStart w:id="144" w:name="_Toc16938543"/>
      <w:bookmarkStart w:id="145" w:name="_Toc20823299"/>
      <w:r>
        <w:rPr>
          <w:rFonts w:hint="eastAsia" w:ascii="仿宋" w:hAnsi="仿宋" w:eastAsia="仿宋" w:cs="仿宋"/>
          <w:b/>
          <w:bCs/>
          <w:sz w:val="28"/>
          <w:szCs w:val="28"/>
        </w:rPr>
        <w:t>20、响应文件</w:t>
      </w:r>
      <w:bookmarkEnd w:id="143"/>
      <w:bookmarkEnd w:id="144"/>
      <w:bookmarkEnd w:id="145"/>
      <w:r>
        <w:rPr>
          <w:rFonts w:hint="eastAsia" w:ascii="仿宋" w:hAnsi="仿宋" w:eastAsia="仿宋" w:cs="仿宋"/>
          <w:b/>
          <w:bCs/>
          <w:sz w:val="28"/>
          <w:szCs w:val="28"/>
        </w:rPr>
        <w:t>的拒收</w:t>
      </w:r>
    </w:p>
    <w:p w14:paraId="7E1C2E24">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20.1 交易中心拒绝接收在其规定的提交响应文件截止时间后上传的任何电子响应文件。</w:t>
      </w:r>
    </w:p>
    <w:p w14:paraId="1154F6BF">
      <w:pPr>
        <w:keepNext/>
        <w:keepLines/>
        <w:spacing w:line="500" w:lineRule="exact"/>
        <w:ind w:firstLine="422" w:firstLineChars="150"/>
        <w:outlineLvl w:val="3"/>
        <w:rPr>
          <w:rFonts w:ascii="仿宋" w:hAnsi="仿宋" w:eastAsia="仿宋" w:cs="仿宋"/>
          <w:b/>
          <w:bCs/>
          <w:sz w:val="28"/>
          <w:szCs w:val="28"/>
        </w:rPr>
      </w:pPr>
      <w:bookmarkStart w:id="146" w:name="_Toc16938544"/>
      <w:bookmarkStart w:id="147" w:name="_Toc20823300"/>
      <w:bookmarkStart w:id="148" w:name="_Toc513029228"/>
      <w:r>
        <w:rPr>
          <w:rFonts w:hint="eastAsia" w:ascii="仿宋" w:hAnsi="仿宋" w:eastAsia="仿宋" w:cs="仿宋"/>
          <w:b/>
          <w:bCs/>
          <w:sz w:val="28"/>
          <w:szCs w:val="28"/>
        </w:rPr>
        <w:t>21、响应文件的撤回和修改</w:t>
      </w:r>
      <w:bookmarkEnd w:id="146"/>
      <w:bookmarkEnd w:id="147"/>
      <w:bookmarkEnd w:id="148"/>
    </w:p>
    <w:p w14:paraId="0B151B0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21.1响应文件的撤回</w:t>
      </w:r>
    </w:p>
    <w:p w14:paraId="631839D6">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21.1.1 电子响应文件的撤回</w:t>
      </w:r>
    </w:p>
    <w:p w14:paraId="76128780">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6D6853C7">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1B3E9D02">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21.2响应文件的修改</w:t>
      </w:r>
    </w:p>
    <w:p w14:paraId="2EA6FC8E">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0625A0E8">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16F66809">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789AB191">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49" w:name="_Toc20823301"/>
      <w:bookmarkStart w:id="150" w:name="_Toc16938545"/>
      <w:bookmarkStart w:id="151" w:name="_Toc120614218"/>
      <w:bookmarkStart w:id="152" w:name="_Toc513029229"/>
      <w:r>
        <w:rPr>
          <w:rFonts w:hint="eastAsia" w:ascii="仿宋" w:hAnsi="仿宋" w:eastAsia="仿宋" w:cs="仿宋"/>
          <w:b/>
          <w:bCs/>
          <w:sz w:val="32"/>
          <w:szCs w:val="32"/>
        </w:rPr>
        <w:t>五、响应文件的解密与评审</w:t>
      </w:r>
      <w:bookmarkEnd w:id="149"/>
      <w:bookmarkEnd w:id="150"/>
      <w:bookmarkEnd w:id="151"/>
      <w:bookmarkEnd w:id="152"/>
    </w:p>
    <w:p w14:paraId="535625F8">
      <w:pPr>
        <w:keepNext/>
        <w:keepLines/>
        <w:spacing w:line="500" w:lineRule="exact"/>
        <w:ind w:firstLine="422" w:firstLineChars="150"/>
        <w:outlineLvl w:val="3"/>
        <w:rPr>
          <w:rFonts w:ascii="仿宋" w:hAnsi="仿宋" w:eastAsia="仿宋" w:cs="仿宋"/>
          <w:b/>
          <w:bCs/>
          <w:sz w:val="28"/>
          <w:szCs w:val="28"/>
        </w:rPr>
      </w:pPr>
      <w:bookmarkStart w:id="153" w:name="_Toc513029230"/>
      <w:bookmarkStart w:id="154" w:name="_Toc16938546"/>
      <w:bookmarkStart w:id="155" w:name="_Toc20823302"/>
      <w:r>
        <w:rPr>
          <w:rFonts w:hint="eastAsia" w:ascii="仿宋" w:hAnsi="仿宋" w:eastAsia="仿宋" w:cs="仿宋"/>
          <w:b/>
          <w:bCs/>
          <w:sz w:val="28"/>
          <w:szCs w:val="28"/>
        </w:rPr>
        <w:t>22、</w:t>
      </w:r>
      <w:bookmarkEnd w:id="153"/>
      <w:bookmarkEnd w:id="154"/>
      <w:bookmarkEnd w:id="155"/>
      <w:r>
        <w:rPr>
          <w:rFonts w:hint="eastAsia" w:ascii="仿宋" w:hAnsi="仿宋" w:eastAsia="仿宋" w:cs="仿宋"/>
          <w:b/>
          <w:bCs/>
          <w:sz w:val="28"/>
          <w:szCs w:val="28"/>
        </w:rPr>
        <w:t>响应文件解密</w:t>
      </w:r>
    </w:p>
    <w:p w14:paraId="3A7E053E">
      <w:pPr>
        <w:spacing w:line="500" w:lineRule="exact"/>
        <w:ind w:firstLine="360" w:firstLineChars="15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14AC089E">
      <w:pPr>
        <w:keepNext/>
        <w:keepLines/>
        <w:spacing w:line="500" w:lineRule="exact"/>
        <w:ind w:firstLine="422" w:firstLineChars="150"/>
        <w:outlineLvl w:val="3"/>
        <w:rPr>
          <w:rFonts w:ascii="仿宋" w:hAnsi="仿宋" w:eastAsia="仿宋" w:cs="仿宋"/>
          <w:b/>
          <w:bCs/>
          <w:sz w:val="28"/>
          <w:szCs w:val="28"/>
        </w:rPr>
      </w:pPr>
      <w:bookmarkStart w:id="156" w:name="_Toc16938547"/>
      <w:bookmarkStart w:id="157" w:name="_Toc513029231"/>
      <w:bookmarkStart w:id="158" w:name="_Toc20823303"/>
      <w:r>
        <w:rPr>
          <w:rFonts w:hint="eastAsia" w:ascii="仿宋" w:hAnsi="仿宋" w:eastAsia="仿宋" w:cs="仿宋"/>
          <w:b/>
          <w:bCs/>
          <w:sz w:val="28"/>
          <w:szCs w:val="28"/>
        </w:rPr>
        <w:t>23、磋商小组</w:t>
      </w:r>
    </w:p>
    <w:p w14:paraId="408FD53D">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p>
    <w:p w14:paraId="557CDC5A">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p>
    <w:p w14:paraId="0AF3AE2B">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24、评审过程的保密与公正</w:t>
      </w:r>
    </w:p>
    <w:bookmarkEnd w:id="156"/>
    <w:bookmarkEnd w:id="157"/>
    <w:bookmarkEnd w:id="158"/>
    <w:p w14:paraId="525210C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磋商小组、采购人和交易中心工作人员、相关监督人员等与评审工作有关的人员，对评审情况以及在评审过程中获悉的国家秘密、商业秘密负有保密责任。</w:t>
      </w:r>
    </w:p>
    <w:p w14:paraId="08DD843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75DC538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在项目评审期间，交易中心将设专门人员与供应商联系。</w:t>
      </w:r>
    </w:p>
    <w:p w14:paraId="43AD9F6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24.4 交易中心和磋商小组不向未成交的供应商解释未成交原因，也不公布评审过程中的相关细节。</w:t>
      </w:r>
    </w:p>
    <w:p w14:paraId="6C0F27A4">
      <w:pPr>
        <w:keepNext/>
        <w:keepLines/>
        <w:spacing w:line="500" w:lineRule="exact"/>
        <w:ind w:firstLine="422" w:firstLineChars="150"/>
        <w:outlineLvl w:val="3"/>
        <w:rPr>
          <w:rFonts w:ascii="仿宋" w:hAnsi="仿宋" w:eastAsia="仿宋" w:cs="仿宋"/>
          <w:b/>
          <w:bCs/>
          <w:sz w:val="28"/>
          <w:szCs w:val="28"/>
        </w:rPr>
      </w:pPr>
      <w:bookmarkStart w:id="159" w:name="_Toc20823304"/>
      <w:bookmarkStart w:id="160" w:name="_Toc16938548"/>
      <w:bookmarkStart w:id="161" w:name="_Toc513029232"/>
      <w:r>
        <w:rPr>
          <w:rFonts w:hint="eastAsia" w:ascii="仿宋" w:hAnsi="仿宋" w:eastAsia="仿宋" w:cs="仿宋"/>
          <w:b/>
          <w:bCs/>
          <w:sz w:val="28"/>
          <w:szCs w:val="28"/>
        </w:rPr>
        <w:t>25、评审过程中的澄清</w:t>
      </w:r>
      <w:bookmarkEnd w:id="159"/>
      <w:bookmarkEnd w:id="160"/>
      <w:bookmarkEnd w:id="161"/>
    </w:p>
    <w:p w14:paraId="2F652DE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CF2D9B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3D923F1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0BE6FE9B">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p>
    <w:p w14:paraId="2074726E">
      <w:pPr>
        <w:keepNext/>
        <w:keepLines/>
        <w:spacing w:line="500" w:lineRule="exact"/>
        <w:ind w:firstLine="422" w:firstLineChars="150"/>
        <w:outlineLvl w:val="3"/>
        <w:rPr>
          <w:rFonts w:ascii="仿宋" w:hAnsi="仿宋" w:eastAsia="仿宋" w:cs="仿宋"/>
          <w:b/>
          <w:bCs/>
          <w:sz w:val="28"/>
          <w:szCs w:val="28"/>
        </w:rPr>
      </w:pPr>
      <w:bookmarkStart w:id="162" w:name="_Toc513029233"/>
      <w:bookmarkStart w:id="163" w:name="_Toc20823305"/>
      <w:bookmarkStart w:id="164" w:name="_Toc16938549"/>
      <w:r>
        <w:rPr>
          <w:rFonts w:hint="eastAsia" w:ascii="仿宋" w:hAnsi="仿宋" w:eastAsia="仿宋" w:cs="仿宋"/>
          <w:b/>
          <w:bCs/>
          <w:sz w:val="28"/>
          <w:szCs w:val="28"/>
        </w:rPr>
        <w:t>26、对响应文件的审</w:t>
      </w:r>
      <w:bookmarkEnd w:id="162"/>
      <w:bookmarkEnd w:id="163"/>
      <w:bookmarkEnd w:id="164"/>
      <w:r>
        <w:rPr>
          <w:rFonts w:hint="eastAsia" w:ascii="仿宋" w:hAnsi="仿宋" w:eastAsia="仿宋" w:cs="仿宋"/>
          <w:b/>
          <w:bCs/>
          <w:sz w:val="28"/>
          <w:szCs w:val="28"/>
        </w:rPr>
        <w:t>查</w:t>
      </w:r>
    </w:p>
    <w:p w14:paraId="57C0956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2B78DC2A">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6AE5090D">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磋商小组在进行资格审查的同时，将在“信用中国”网站（www.creditchina.gov.cn）查询供应商的信用记录，以确定供应商是否具备磋商资格,查询结果留存并归档。</w:t>
      </w:r>
    </w:p>
    <w:p w14:paraId="7399461B">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46CDD994">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39F5E438">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023F1FF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17D226B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D9AB0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26.3如果响应文件实质上没有响应磋商文件的要求，磋商小组将按无效响应处理，供应商不得通过修改或撤销不合要求的偏离或保留而使其成为实质性响应的文件。</w:t>
      </w:r>
    </w:p>
    <w:p w14:paraId="63661C4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5F90F09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（1）响应文件中磋商报价表内容与响应文件中相应内容不一致的，以磋商报价表为准。</w:t>
      </w:r>
    </w:p>
    <w:p w14:paraId="2871B0C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5C711D4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420ACEC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40A0FEE2">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7EB003C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56AD36F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02A52A3C">
      <w:pPr>
        <w:spacing w:line="400" w:lineRule="exact"/>
        <w:ind w:firstLine="420"/>
        <w:rPr>
          <w:rFonts w:ascii="仿宋" w:hAnsi="仿宋" w:eastAsia="仿宋" w:cs="仿宋"/>
          <w:b/>
          <w:bCs/>
          <w:color w:val="000000"/>
          <w:sz w:val="24"/>
          <w:szCs w:val="21"/>
        </w:rPr>
      </w:pPr>
      <w:r>
        <w:rPr>
          <w:rFonts w:hint="eastAsia" w:ascii="仿宋" w:hAnsi="仿宋" w:eastAsia="仿宋" w:cs="仿宋"/>
          <w:b/>
          <w:bCs/>
          <w:color w:val="000000"/>
          <w:sz w:val="24"/>
          <w:szCs w:val="21"/>
        </w:rPr>
        <w:t>26.7.异常低价审查</w:t>
      </w:r>
    </w:p>
    <w:p w14:paraId="1CA259B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26.7.1评标过程中出现下列情形之一的，磋商小组应当启动异常低价投标审查程序：</w:t>
      </w:r>
    </w:p>
    <w:p w14:paraId="517846C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（1）投标（响应）报价低于全部通过符合性审查供应商投标（响应）报价平均值50%的，即投标（响应）报价&lt;全部通过符合性审查供应商投标（响应）报价平均值×50%；</w:t>
      </w:r>
    </w:p>
    <w:p w14:paraId="45B96E7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（2）投标（响应）报价低于通过符合性审查的次低报价供应商投标（响应）报价50%的，即投标（响应）报价&lt;通过符合性审查的次低报价供应商投标（响应）报价×50%；</w:t>
      </w:r>
    </w:p>
    <w:p w14:paraId="59F9DB4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（3）投标（响应）报价低于采购项目最高限价45%的，即投标（响应）报价&lt;采购项目最高限价×45%；</w:t>
      </w:r>
    </w:p>
    <w:p w14:paraId="58FC6E8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（4）磋商小组基于专业判断，认为供应商报价过低，有可能影响产品质量或者不能诚信履约的其他情形。</w:t>
      </w:r>
    </w:p>
    <w:p w14:paraId="409977D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9614B4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磋商小组依据专业经验，参考同类项目中标（成交）价格、类似产品市场价格水平、行业人工费用标准、国家有关部门指导行业协会    发布的行业平均成本等情况，对报价合理性进行判断。投标（响应）供应商不能提供书面说明、证明材料，或者提供的书面说明、证明材料不能证明其报价合理性的，磋商小组应当将其作为无效投标（响应）处理。</w:t>
      </w:r>
    </w:p>
    <w:p w14:paraId="53A2B4D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CB4882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异常低价投标（响应）审查的启动原因、审查意见和审查结果应当在评审报告中记录，并随供应商提供的相关书面说明及证明材料，以及磋商小组有关互联网浏览、查询历史一并归档。</w:t>
      </w:r>
    </w:p>
    <w:p w14:paraId="73A9EDCA">
      <w:pPr>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26.8出现下列情形之一的，作无效响应处理。</w:t>
      </w:r>
    </w:p>
    <w:p w14:paraId="7708A82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26.8.1供应商在“苏采云系统”规定的时间内未成功解密电子响应文件的。</w:t>
      </w:r>
    </w:p>
    <w:p w14:paraId="22805E7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26.8.2供应商未按照磋商文件要求上传电子响应文件的,或上传的文件打不开的。</w:t>
      </w:r>
    </w:p>
    <w:p w14:paraId="628F135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26.8.3</w:t>
      </w:r>
      <w:r>
        <w:rPr>
          <w:rFonts w:hint="eastAsia" w:ascii="仿宋" w:hAnsi="仿宋" w:eastAsia="仿宋" w:cs="仿宋"/>
          <w:bCs/>
          <w:sz w:val="24"/>
          <w:szCs w:val="21"/>
        </w:rPr>
        <w:t>供应商同一分包提交两个（含两个）以上不同的响应文件或者响应报价的。</w:t>
      </w:r>
    </w:p>
    <w:p w14:paraId="2CAB759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p>
    <w:p w14:paraId="1FB6E6F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p>
    <w:p w14:paraId="0FDED9A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26.8.6未通过符合性审查的。</w:t>
      </w:r>
    </w:p>
    <w:p w14:paraId="39754831">
      <w:pPr>
        <w:spacing w:line="500" w:lineRule="exact"/>
        <w:ind w:firstLine="480" w:firstLineChars="200"/>
        <w:rPr>
          <w:rFonts w:ascii="仿宋" w:hAnsi="仿宋" w:eastAsia="仿宋" w:cs="仿宋"/>
          <w:i/>
          <w:iCs/>
          <w:sz w:val="24"/>
          <w:szCs w:val="24"/>
          <w:u w:val="single"/>
        </w:rPr>
      </w:pPr>
      <w:r>
        <w:rPr>
          <w:rFonts w:hint="eastAsia" w:ascii="仿宋" w:hAnsi="仿宋" w:eastAsia="仿宋" w:cs="仿宋"/>
          <w:sz w:val="24"/>
          <w:szCs w:val="24"/>
        </w:rPr>
        <w:t>26.8.7不符合法律、法规和磋商文件中规定的实质性要求的</w:t>
      </w:r>
      <w:r>
        <w:rPr>
          <w:rFonts w:hint="eastAsia" w:ascii="仿宋" w:hAnsi="仿宋" w:eastAsia="仿宋" w:cs="仿宋"/>
          <w:i/>
          <w:iCs/>
          <w:sz w:val="24"/>
          <w:szCs w:val="24"/>
          <w:u w:val="single"/>
        </w:rPr>
        <w:t>（本磋商文件中斜体且有下划线部分为实质性要求）。</w:t>
      </w:r>
    </w:p>
    <w:p w14:paraId="0FE5642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1AE4BC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26.8.9响应文件含有采购人不能接受的附加条件的。</w:t>
      </w:r>
    </w:p>
    <w:p w14:paraId="1153978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508829F9">
      <w:pPr>
        <w:spacing w:line="500" w:lineRule="exact"/>
        <w:ind w:firstLine="480" w:firstLineChars="200"/>
        <w:rPr>
          <w:rFonts w:ascii="方正魏碑_GBK" w:hAnsi="方正魏碑_GBK" w:eastAsia="方正魏碑_GBK" w:cs="方正魏碑_GBK"/>
          <w:bCs/>
          <w:sz w:val="28"/>
          <w:szCs w:val="28"/>
        </w:rPr>
      </w:pPr>
      <w:r>
        <w:rPr>
          <w:rFonts w:hint="eastAsia" w:ascii="仿宋" w:hAnsi="仿宋" w:eastAsia="仿宋" w:cs="仿宋"/>
          <w:sz w:val="24"/>
          <w:szCs w:val="21"/>
        </w:rPr>
        <w:t>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p>
    <w:p w14:paraId="52AD776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26.8.12 采购文件未按照采购文件要求加盖CA电子公章的。</w:t>
      </w:r>
    </w:p>
    <w:p w14:paraId="3B7A01D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26.8.13 供应商所投标产品不符合采购文件中所列国家强制性标准的。</w:t>
      </w:r>
    </w:p>
    <w:p w14:paraId="5B02412F">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26.8.14未在规定时间内提交最后报价的，视作无效响应处理。</w:t>
      </w:r>
    </w:p>
    <w:p w14:paraId="64E638EC">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26.8.15不同供应商的响应文件经系统查询Mac地址或标书制作工具客户端标识码一致的（并移送政府采购监管部门进行处理）。</w:t>
      </w:r>
    </w:p>
    <w:p w14:paraId="770153D8">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4"/>
        </w:rPr>
        <w:t>26.8.16其他法律、法规及本采购文件规定的属无效响应的情形。</w:t>
      </w:r>
    </w:p>
    <w:p w14:paraId="4EEF4844">
      <w:pPr>
        <w:spacing w:line="500" w:lineRule="exact"/>
        <w:ind w:firstLine="480" w:firstLineChars="200"/>
        <w:rPr>
          <w:rFonts w:ascii="仿宋" w:hAnsi="仿宋" w:eastAsia="仿宋" w:cs="仿宋"/>
          <w:sz w:val="24"/>
          <w:szCs w:val="21"/>
        </w:rPr>
      </w:pPr>
      <w:bookmarkStart w:id="165" w:name="_Toc513029234"/>
      <w:bookmarkStart w:id="166" w:name="_Toc16938550"/>
      <w:bookmarkStart w:id="167" w:name="_Toc20823306"/>
      <w:r>
        <w:rPr>
          <w:rFonts w:hint="eastAsia" w:ascii="仿宋" w:hAnsi="仿宋" w:eastAsia="仿宋" w:cs="仿宋"/>
          <w:sz w:val="24"/>
          <w:szCs w:val="21"/>
        </w:rPr>
        <w:t>26.9供应商在项目评审全过程中应保持通讯畅通，并安排专人与交易中心及磋商小组联系。</w:t>
      </w:r>
    </w:p>
    <w:p w14:paraId="525908E2">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27、</w:t>
      </w:r>
      <w:bookmarkEnd w:id="165"/>
      <w:bookmarkEnd w:id="166"/>
      <w:bookmarkEnd w:id="167"/>
      <w:r>
        <w:rPr>
          <w:rFonts w:hint="eastAsia" w:ascii="仿宋" w:hAnsi="仿宋" w:eastAsia="仿宋" w:cs="仿宋"/>
          <w:b/>
          <w:bCs/>
          <w:sz w:val="28"/>
          <w:szCs w:val="28"/>
        </w:rPr>
        <w:t>磋商程序及评审方法和评审标准</w:t>
      </w:r>
    </w:p>
    <w:p w14:paraId="73BFD27F">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27.1磋商程序</w:t>
      </w:r>
    </w:p>
    <w:p w14:paraId="03F58051">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879EDF3">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D6CFC8B">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04C06D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D150C5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0BCBA7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6FE899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 评审方法和评审标准</w:t>
      </w:r>
    </w:p>
    <w:p w14:paraId="1B9FCCD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2ABB468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7E6C7F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27.2.2评审标准</w:t>
      </w:r>
    </w:p>
    <w:p w14:paraId="58DAA75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见本磋商文件第五章规定。</w:t>
      </w:r>
    </w:p>
    <w:p w14:paraId="5974E8B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27.3采购活动终止的情况</w:t>
      </w:r>
    </w:p>
    <w:p w14:paraId="32C9BB9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4FF5461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413ABD1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011BE00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30E99D7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68" w:name="_Toc16938551"/>
      <w:bookmarkStart w:id="169" w:name="_Toc20823307"/>
      <w:bookmarkStart w:id="170" w:name="_Toc120614219"/>
      <w:bookmarkStart w:id="171" w:name="_Toc513029235"/>
    </w:p>
    <w:p w14:paraId="54A7B60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27.3.5因重大变故，采购任务取消的。</w:t>
      </w:r>
    </w:p>
    <w:p w14:paraId="7449CE5F">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080EAFE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28EA455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3DC40ED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0900FE03">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w:t>
      </w:r>
      <w:bookmarkEnd w:id="168"/>
      <w:bookmarkEnd w:id="169"/>
      <w:bookmarkEnd w:id="170"/>
      <w:bookmarkEnd w:id="171"/>
      <w:r>
        <w:rPr>
          <w:rFonts w:hint="eastAsia" w:ascii="仿宋" w:hAnsi="仿宋" w:eastAsia="仿宋" w:cs="仿宋"/>
          <w:b/>
          <w:bCs/>
          <w:sz w:val="32"/>
          <w:szCs w:val="32"/>
        </w:rPr>
        <w:t>成交</w:t>
      </w:r>
    </w:p>
    <w:p w14:paraId="372D392D">
      <w:pPr>
        <w:keepNext/>
        <w:keepLines/>
        <w:ind w:firstLine="422" w:firstLineChars="150"/>
        <w:outlineLvl w:val="3"/>
        <w:rPr>
          <w:rFonts w:ascii="仿宋" w:hAnsi="仿宋" w:eastAsia="仿宋" w:cs="仿宋"/>
          <w:b/>
          <w:bCs/>
          <w:sz w:val="28"/>
          <w:szCs w:val="28"/>
        </w:rPr>
      </w:pPr>
      <w:bookmarkStart w:id="172" w:name="_Toc513029238"/>
      <w:bookmarkStart w:id="173" w:name="_Toc20823310"/>
      <w:bookmarkStart w:id="174" w:name="_Toc16938554"/>
      <w:r>
        <w:rPr>
          <w:rFonts w:hint="eastAsia" w:ascii="仿宋" w:hAnsi="仿宋" w:eastAsia="仿宋" w:cs="仿宋"/>
          <w:b/>
          <w:bCs/>
          <w:sz w:val="28"/>
          <w:szCs w:val="28"/>
        </w:rPr>
        <w:t>28、</w:t>
      </w:r>
      <w:bookmarkEnd w:id="172"/>
      <w:r>
        <w:rPr>
          <w:rFonts w:hint="eastAsia" w:ascii="仿宋" w:hAnsi="仿宋" w:eastAsia="仿宋" w:cs="仿宋"/>
          <w:b/>
          <w:bCs/>
          <w:sz w:val="28"/>
          <w:szCs w:val="28"/>
        </w:rPr>
        <w:t>确定</w:t>
      </w:r>
      <w:bookmarkEnd w:id="173"/>
      <w:bookmarkEnd w:id="174"/>
      <w:r>
        <w:rPr>
          <w:rFonts w:hint="eastAsia" w:ascii="仿宋" w:hAnsi="仿宋" w:eastAsia="仿宋" w:cs="仿宋"/>
          <w:b/>
          <w:bCs/>
          <w:sz w:val="28"/>
          <w:szCs w:val="28"/>
        </w:rPr>
        <w:t>成交单位</w:t>
      </w:r>
    </w:p>
    <w:p w14:paraId="68F46614">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AD92D8A">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EE8BF01">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非单一产品采购项目，磋商文件中将载明其中的核心产品。多家供应商提供的核心产品品牌型号相同的，按前款规定处理。</w:t>
      </w:r>
    </w:p>
    <w:p w14:paraId="2CF62A4D">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28.2采购人在评标报告确定的成交候选人名单中按顺序确定成交供应商。确定成交供应商之日起2个工作日内，交易中心将在“江苏政府采购网”发布成交结果公告，公告期限为1个工作日。</w:t>
      </w:r>
    </w:p>
    <w:p w14:paraId="776E31D9">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1E1050CA">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48620F8A">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28.3.2与评审专家、采购人、其他供应商或者交易中心工作人员恶意串通的。</w:t>
      </w:r>
    </w:p>
    <w:p w14:paraId="68C65A06">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28.3.3向评审专家、采购人或交易中心工作人员行贿或者提供其他不正当利益的。</w:t>
      </w:r>
    </w:p>
    <w:p w14:paraId="1AC66C53">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409CD7FC">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4F363409">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3B059701">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22CA9422">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6F1F9E26">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4B6F806A">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2F9FC9AC">
      <w:pPr>
        <w:spacing w:line="440" w:lineRule="exact"/>
        <w:ind w:firstLine="480" w:firstLineChars="20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5387C9D6">
      <w:pPr>
        <w:keepNext/>
        <w:keepLines/>
        <w:ind w:firstLine="422" w:firstLineChars="150"/>
        <w:outlineLvl w:val="3"/>
        <w:rPr>
          <w:rFonts w:ascii="仿宋" w:hAnsi="仿宋" w:eastAsia="仿宋" w:cs="仿宋"/>
          <w:b/>
          <w:bCs/>
          <w:sz w:val="28"/>
          <w:szCs w:val="28"/>
        </w:rPr>
      </w:pPr>
      <w:bookmarkStart w:id="175" w:name="_Toc200451960"/>
      <w:r>
        <w:rPr>
          <w:rFonts w:hint="eastAsia" w:ascii="仿宋" w:hAnsi="仿宋" w:eastAsia="仿宋" w:cs="仿宋"/>
          <w:b/>
          <w:bCs/>
          <w:sz w:val="28"/>
          <w:szCs w:val="28"/>
        </w:rPr>
        <w:t>29、质疑处理</w:t>
      </w:r>
      <w:bookmarkEnd w:id="175"/>
    </w:p>
    <w:p w14:paraId="58C956E4">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3DF674D6">
      <w:pPr>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p>
    <w:p w14:paraId="6B788178">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29.2.1</w:t>
      </w:r>
      <w:r>
        <w:rPr>
          <w:rFonts w:hint="eastAsia" w:ascii="仿宋" w:hAnsi="仿宋" w:eastAsia="仿宋" w:cs="仿宋"/>
          <w:kern w:val="0"/>
          <w:sz w:val="24"/>
          <w:szCs w:val="24"/>
        </w:rPr>
        <w:t>对可以质疑的采购文件提出质疑的，为收到采购文件之日或者采购文件公告期限届满之日。</w:t>
      </w:r>
    </w:p>
    <w:p w14:paraId="499F53D2">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29.2.2</w:t>
      </w:r>
      <w:r>
        <w:rPr>
          <w:rFonts w:hint="eastAsia" w:ascii="仿宋" w:hAnsi="仿宋" w:eastAsia="仿宋" w:cs="仿宋"/>
          <w:kern w:val="0"/>
          <w:sz w:val="24"/>
          <w:szCs w:val="24"/>
        </w:rPr>
        <w:t>对采购过程提出质疑的，为各采购程序环节结束之日。</w:t>
      </w:r>
    </w:p>
    <w:p w14:paraId="62C26A9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29.2.3</w:t>
      </w:r>
      <w:r>
        <w:rPr>
          <w:rFonts w:hint="eastAsia" w:ascii="仿宋" w:hAnsi="仿宋" w:eastAsia="仿宋" w:cs="仿宋"/>
          <w:kern w:val="0"/>
          <w:sz w:val="24"/>
          <w:szCs w:val="24"/>
        </w:rPr>
        <w:t>对成交结果提出质疑的，为成交结果公告期限届满之日。</w:t>
      </w:r>
    </w:p>
    <w:p w14:paraId="0C618A02">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kern w:val="0"/>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5B4AD516">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29.3质疑函必须按照本磋商文件中《质疑函范本》（附件13）要求的格式和内容进行填写。供应商如组成联合体参加磋商，则《质疑函范本》中要求签字、盖章、加盖公章之处，联合体各方均须按要求签字、盖章、加盖公章。</w:t>
      </w:r>
    </w:p>
    <w:p w14:paraId="3BE04B8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p>
    <w:p w14:paraId="0D48B4D4">
      <w:pPr>
        <w:snapToGrid w:val="0"/>
        <w:spacing w:line="480" w:lineRule="exact"/>
        <w:ind w:firstLine="482" w:firstLineChars="200"/>
        <w:rPr>
          <w:rFonts w:ascii="仿宋" w:hAnsi="仿宋" w:eastAsia="仿宋" w:cs="仿宋"/>
          <w:sz w:val="24"/>
          <w:szCs w:val="24"/>
        </w:rPr>
      </w:pPr>
      <w:r>
        <w:rPr>
          <w:rFonts w:hint="eastAsia" w:ascii="仿宋" w:hAnsi="仿宋" w:eastAsia="仿宋" w:cs="仿宋"/>
          <w:b/>
          <w:bCs/>
          <w:sz w:val="24"/>
          <w:szCs w:val="24"/>
        </w:rPr>
        <w:t>采购人及交易中心只接收以纸质原件形式送达的质疑</w:t>
      </w:r>
      <w:r>
        <w:rPr>
          <w:rFonts w:hint="eastAsia" w:ascii="仿宋" w:hAnsi="仿宋" w:eastAsia="仿宋" w:cs="仿宋"/>
          <w:sz w:val="24"/>
          <w:szCs w:val="24"/>
        </w:rPr>
        <w:t>,建议供应商尽量通过邮寄方式提交质疑（</w:t>
      </w:r>
      <w:r>
        <w:rPr>
          <w:rFonts w:hint="eastAsia" w:ascii="仿宋" w:hAnsi="仿宋" w:eastAsia="仿宋" w:cs="仿宋"/>
          <w:b/>
          <w:bCs/>
          <w:color w:val="FF0000"/>
          <w:sz w:val="24"/>
          <w:szCs w:val="24"/>
        </w:rPr>
        <w:t>采购人和交易中心不接受无快递运单号的快递</w:t>
      </w:r>
      <w:r>
        <w:rPr>
          <w:rFonts w:hint="eastAsia" w:ascii="仿宋" w:hAnsi="仿宋" w:eastAsia="仿宋" w:cs="仿宋"/>
          <w:sz w:val="24"/>
          <w:szCs w:val="24"/>
        </w:rPr>
        <w:t>）。</w:t>
      </w:r>
    </w:p>
    <w:p w14:paraId="2C028729">
      <w:pPr>
        <w:snapToGrid w:val="0"/>
        <w:spacing w:line="480" w:lineRule="exact"/>
        <w:ind w:firstLine="480" w:firstLineChars="200"/>
      </w:pPr>
      <w:r>
        <w:rPr>
          <w:rFonts w:hint="eastAsia" w:ascii="仿宋" w:hAnsi="仿宋" w:eastAsia="仿宋" w:cs="仿宋"/>
          <w:sz w:val="24"/>
          <w:szCs w:val="24"/>
        </w:rPr>
        <w:t>采购人质疑接收人及联系方式，见本磋商文件第一章。</w:t>
      </w:r>
    </w:p>
    <w:p w14:paraId="70AEC79E">
      <w:pPr>
        <w:snapToGrid w:val="0"/>
        <w:spacing w:line="48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交易中心质疑受理部门及联系方式，见本磋商文件第一章。</w:t>
      </w:r>
    </w:p>
    <w:p w14:paraId="2271787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 以下情形的质疑不予受理</w:t>
      </w:r>
    </w:p>
    <w:p w14:paraId="56A0BBAC">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61FC6FE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29.5.2 超出政府采购法定期限的质疑。</w:t>
      </w:r>
    </w:p>
    <w:p w14:paraId="31E18EBB">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2E2BE3C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277E8FFB">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11C2454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p>
    <w:p w14:paraId="0535CF5E">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30、成交通知书</w:t>
      </w:r>
    </w:p>
    <w:p w14:paraId="1BC03A7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9F1C7E9">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3B62D2E6">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76" w:name="_Toc120614220"/>
      <w:bookmarkStart w:id="177" w:name="_Toc20823308"/>
      <w:bookmarkStart w:id="178" w:name="_Toc16938552"/>
      <w:bookmarkStart w:id="179" w:name="_Toc513029236"/>
      <w:r>
        <w:rPr>
          <w:rFonts w:hint="eastAsia" w:ascii="仿宋" w:hAnsi="仿宋" w:eastAsia="仿宋" w:cs="仿宋"/>
          <w:b/>
          <w:bCs/>
          <w:sz w:val="32"/>
          <w:szCs w:val="32"/>
        </w:rPr>
        <w:t>七、授予合同</w:t>
      </w:r>
      <w:bookmarkEnd w:id="176"/>
    </w:p>
    <w:bookmarkEnd w:id="177"/>
    <w:bookmarkEnd w:id="178"/>
    <w:bookmarkEnd w:id="179"/>
    <w:p w14:paraId="78900D6A">
      <w:pPr>
        <w:keepNext/>
        <w:keepLines/>
        <w:ind w:firstLine="562" w:firstLineChars="200"/>
        <w:outlineLvl w:val="3"/>
        <w:rPr>
          <w:rFonts w:ascii="仿宋" w:hAnsi="仿宋" w:eastAsia="仿宋" w:cs="仿宋"/>
          <w:b/>
          <w:bCs/>
          <w:sz w:val="28"/>
          <w:szCs w:val="28"/>
        </w:rPr>
      </w:pPr>
      <w:bookmarkStart w:id="180" w:name="_Toc20823309"/>
      <w:bookmarkStart w:id="181" w:name="_Toc513029237"/>
      <w:bookmarkStart w:id="182" w:name="_Toc16938553"/>
      <w:r>
        <w:rPr>
          <w:rFonts w:hint="eastAsia" w:ascii="仿宋" w:hAnsi="仿宋" w:eastAsia="仿宋" w:cs="仿宋"/>
          <w:b/>
          <w:bCs/>
          <w:sz w:val="28"/>
          <w:szCs w:val="28"/>
        </w:rPr>
        <w:t>31. 签订合同</w:t>
      </w:r>
    </w:p>
    <w:p w14:paraId="5E9F7440">
      <w:pPr>
        <w:snapToGrid w:val="0"/>
        <w:spacing w:line="480" w:lineRule="exact"/>
        <w:ind w:firstLine="600" w:firstLineChars="25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b/>
          <w:bCs/>
          <w:sz w:val="24"/>
          <w:szCs w:val="24"/>
        </w:rPr>
        <w:t>交易中心和采购人各提供一份纸质版响应文件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6A003533">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19F703AC">
      <w:pPr>
        <w:snapToGrid w:val="0"/>
        <w:spacing w:line="500" w:lineRule="exact"/>
        <w:ind w:firstLine="600" w:firstLineChars="25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3808CBA3">
      <w:pPr>
        <w:keepNext/>
        <w:keepLines/>
        <w:spacing w:line="500" w:lineRule="exact"/>
        <w:ind w:firstLine="562" w:firstLineChars="200"/>
        <w:outlineLvl w:val="3"/>
        <w:rPr>
          <w:rFonts w:ascii="仿宋" w:hAnsi="仿宋" w:eastAsia="仿宋" w:cs="仿宋"/>
          <w:b/>
          <w:bCs/>
          <w:sz w:val="28"/>
          <w:szCs w:val="28"/>
        </w:rPr>
      </w:pPr>
      <w:r>
        <w:rPr>
          <w:rFonts w:hint="eastAsia" w:ascii="仿宋" w:hAnsi="仿宋" w:eastAsia="仿宋" w:cs="仿宋"/>
          <w:b/>
          <w:bCs/>
          <w:sz w:val="28"/>
          <w:szCs w:val="28"/>
        </w:rPr>
        <w:t>32、货物和服务的追加、减少和添购。</w:t>
      </w:r>
    </w:p>
    <w:bookmarkEnd w:id="180"/>
    <w:bookmarkEnd w:id="181"/>
    <w:bookmarkEnd w:id="182"/>
    <w:p w14:paraId="63054234">
      <w:pPr>
        <w:snapToGrid w:val="0"/>
        <w:spacing w:line="500" w:lineRule="exact"/>
        <w:ind w:firstLine="480" w:firstLineChars="200"/>
        <w:rPr>
          <w:rFonts w:ascii="仿宋" w:hAnsi="仿宋" w:eastAsia="仿宋" w:cs="仿宋"/>
          <w:sz w:val="24"/>
          <w:szCs w:val="24"/>
        </w:rPr>
      </w:pPr>
      <w:bookmarkStart w:id="183" w:name="_Toc16938558"/>
      <w:bookmarkStart w:id="184" w:name="_Toc513029242"/>
      <w:bookmarkStart w:id="185" w:name="_Toc479757207"/>
      <w:bookmarkStart w:id="186" w:name="_Toc120614221"/>
      <w:bookmarkStart w:id="187" w:name="_Toc20823314"/>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00975F8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61162C39">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33、政府采购履约资金扶持政策</w:t>
      </w:r>
    </w:p>
    <w:p w14:paraId="587F1F72">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78ED3CAA">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BD89329">
      <w:pPr>
        <w:spacing w:line="480" w:lineRule="exact"/>
        <w:ind w:firstLine="480" w:firstLineChars="200"/>
        <w:rPr>
          <w:rFonts w:ascii="仿宋" w:hAnsi="仿宋" w:eastAsia="仿宋" w:cs="仿宋"/>
          <w:sz w:val="24"/>
          <w:szCs w:val="24"/>
          <w:highlight w:val="yellow"/>
        </w:rPr>
      </w:pPr>
    </w:p>
    <w:p w14:paraId="1BFDE472">
      <w:pPr>
        <w:spacing w:line="480" w:lineRule="exact"/>
        <w:ind w:firstLine="480" w:firstLineChars="200"/>
        <w:rPr>
          <w:rFonts w:ascii="仿宋" w:hAnsi="仿宋" w:eastAsia="仿宋" w:cs="仿宋"/>
          <w:sz w:val="24"/>
          <w:szCs w:val="24"/>
          <w:highlight w:val="yellow"/>
        </w:rPr>
      </w:pPr>
    </w:p>
    <w:p w14:paraId="0A64C383">
      <w:pPr>
        <w:spacing w:line="480" w:lineRule="exact"/>
        <w:ind w:firstLine="480" w:firstLineChars="200"/>
        <w:rPr>
          <w:rFonts w:ascii="仿宋" w:hAnsi="仿宋" w:eastAsia="仿宋" w:cs="仿宋"/>
          <w:sz w:val="24"/>
          <w:szCs w:val="24"/>
        </w:rPr>
      </w:pPr>
    </w:p>
    <w:p w14:paraId="5CF2E77D">
      <w:pPr>
        <w:keepNext/>
        <w:ind w:firstLine="2640" w:firstLineChars="600"/>
        <w:outlineLvl w:val="0"/>
        <w:rPr>
          <w:rFonts w:ascii="仿宋" w:hAnsi="仿宋" w:eastAsia="仿宋" w:cs="仿宋"/>
          <w:bCs/>
          <w:sz w:val="44"/>
          <w:szCs w:val="28"/>
        </w:rPr>
      </w:pPr>
      <w:r>
        <w:rPr>
          <w:rFonts w:hint="eastAsia" w:ascii="仿宋" w:hAnsi="仿宋" w:eastAsia="仿宋" w:cs="仿宋"/>
          <w:bCs/>
          <w:sz w:val="44"/>
          <w:szCs w:val="28"/>
        </w:rPr>
        <w:br w:type="page"/>
      </w:r>
      <w:bookmarkStart w:id="188" w:name="_Toc9490"/>
      <w:bookmarkStart w:id="189" w:name="_Toc20527"/>
      <w:bookmarkStart w:id="190" w:name="_Toc23575"/>
      <w:r>
        <w:rPr>
          <w:rFonts w:hint="eastAsia" w:ascii="仿宋" w:hAnsi="仿宋" w:eastAsia="仿宋" w:cs="仿宋"/>
          <w:b/>
          <w:sz w:val="44"/>
          <w:szCs w:val="28"/>
        </w:rPr>
        <w:t>第三章  合同</w:t>
      </w:r>
      <w:bookmarkEnd w:id="183"/>
      <w:bookmarkEnd w:id="184"/>
      <w:bookmarkEnd w:id="185"/>
      <w:bookmarkEnd w:id="186"/>
      <w:bookmarkEnd w:id="187"/>
      <w:r>
        <w:rPr>
          <w:rFonts w:hint="eastAsia" w:ascii="仿宋" w:hAnsi="仿宋" w:eastAsia="仿宋" w:cs="仿宋"/>
          <w:b/>
          <w:sz w:val="44"/>
          <w:szCs w:val="28"/>
        </w:rPr>
        <w:t>文本</w:t>
      </w:r>
      <w:bookmarkEnd w:id="188"/>
      <w:bookmarkEnd w:id="189"/>
      <w:bookmarkEnd w:id="190"/>
    </w:p>
    <w:p w14:paraId="46E3A8EA">
      <w:pPr>
        <w:spacing w:line="500" w:lineRule="exact"/>
        <w:ind w:firstLine="480" w:firstLineChars="200"/>
        <w:rPr>
          <w:rFonts w:ascii="仿宋" w:hAnsi="仿宋" w:eastAsia="仿宋" w:cs="仿宋"/>
          <w:b/>
          <w:sz w:val="24"/>
          <w:szCs w:val="21"/>
          <w:highlight w:val="cyan"/>
        </w:rPr>
      </w:pPr>
      <w:bookmarkStart w:id="191" w:name="_Toc20823315"/>
      <w:bookmarkStart w:id="192" w:name="_Toc513029243"/>
      <w:bookmarkStart w:id="193" w:name="_Toc16938559"/>
      <w:r>
        <w:rPr>
          <w:rFonts w:hint="eastAsia" w:ascii="仿宋" w:hAnsi="仿宋" w:eastAsia="仿宋" w:cs="仿宋"/>
          <w:bCs/>
          <w:sz w:val="24"/>
          <w:szCs w:val="21"/>
        </w:rPr>
        <w:t>以下为成交后签定本项目合同的通用条款，成交供应商不得提出实质性的修改。</w:t>
      </w:r>
    </w:p>
    <w:p w14:paraId="2847F9B8">
      <w:pPr>
        <w:spacing w:line="500" w:lineRule="exact"/>
        <w:ind w:firstLine="480" w:firstLineChars="200"/>
        <w:rPr>
          <w:rFonts w:ascii="仿宋" w:hAnsi="仿宋" w:eastAsia="仿宋" w:cs="仿宋"/>
          <w:bCs/>
          <w:sz w:val="24"/>
          <w:szCs w:val="21"/>
        </w:rPr>
      </w:pPr>
    </w:p>
    <w:p w14:paraId="367F2E8B">
      <w:pPr>
        <w:snapToGrid w:val="0"/>
        <w:spacing w:before="145" w:beforeLines="50" w:after="145" w:afterLines="50" w:line="500" w:lineRule="exact"/>
        <w:jc w:val="center"/>
        <w:outlineLvl w:val="0"/>
        <w:rPr>
          <w:rFonts w:ascii="黑体" w:hAnsi="黑体" w:eastAsia="黑体" w:cs="黑体"/>
          <w:b/>
          <w:bCs/>
          <w:sz w:val="32"/>
          <w:szCs w:val="32"/>
        </w:rPr>
      </w:pPr>
      <w:bookmarkStart w:id="194" w:name="_Toc22069"/>
      <w:bookmarkStart w:id="195" w:name="_Toc6917"/>
      <w:bookmarkStart w:id="196" w:name="_Toc23391"/>
      <w:r>
        <w:rPr>
          <w:rFonts w:hint="eastAsia" w:ascii="仿宋" w:hAnsi="仿宋" w:eastAsia="仿宋" w:cs="仿宋"/>
          <w:b/>
          <w:bCs/>
          <w:sz w:val="32"/>
          <w:szCs w:val="32"/>
        </w:rPr>
        <w:t>江苏省政府采购合同（合同编号）</w:t>
      </w:r>
      <w:bookmarkEnd w:id="194"/>
      <w:bookmarkEnd w:id="195"/>
      <w:bookmarkEnd w:id="196"/>
    </w:p>
    <w:p w14:paraId="26567818">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如东县掘港高级中学新建微格教室项目</w:t>
      </w:r>
      <w:r>
        <w:rPr>
          <w:rFonts w:hint="eastAsia" w:ascii="仿宋" w:hAnsi="仿宋" w:eastAsia="仿宋" w:cs="仿宋"/>
          <w:sz w:val="24"/>
          <w:szCs w:val="24"/>
        </w:rPr>
        <w:t xml:space="preserve">                                </w:t>
      </w:r>
    </w:p>
    <w:p w14:paraId="63FD477D">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05C8FE7C">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甲方：（买方）</w:t>
      </w:r>
      <w:r>
        <w:rPr>
          <w:rFonts w:hint="eastAsia" w:ascii="仿宋" w:hAnsi="仿宋" w:eastAsia="仿宋" w:cs="仿宋"/>
          <w:sz w:val="24"/>
          <w:szCs w:val="24"/>
          <w:u w:val="single"/>
        </w:rPr>
        <w:t>如东县掘港高级中学</w:t>
      </w:r>
    </w:p>
    <w:p w14:paraId="3B1DE401">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乙方：（卖方）_</w:t>
      </w:r>
      <w:r>
        <w:rPr>
          <w:rFonts w:hint="eastAsia" w:ascii="仿宋" w:hAnsi="仿宋" w:eastAsia="仿宋" w:cs="仿宋"/>
          <w:sz w:val="24"/>
          <w:szCs w:val="24"/>
          <w:u w:val="single"/>
        </w:rPr>
        <w:t>****</w:t>
      </w:r>
    </w:p>
    <w:p w14:paraId="45EF770D">
      <w:pPr>
        <w:snapToGrid w:val="0"/>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p>
    <w:p w14:paraId="1084C4B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02A97CA7">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rPr>
        <w:t>如东县掘港高级中学新建微格教室项目</w:t>
      </w:r>
    </w:p>
    <w:p w14:paraId="41956020">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达到采购文件要求</w:t>
      </w:r>
    </w:p>
    <w:p w14:paraId="5500E7E0">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详见采购文件需求清单</w:t>
      </w:r>
    </w:p>
    <w:p w14:paraId="5C8943E9">
      <w:pPr>
        <w:snapToGrid w:val="0"/>
        <w:spacing w:before="120" w:after="120" w:line="500" w:lineRule="exact"/>
        <w:ind w:firstLine="480" w:firstLineChars="200"/>
        <w:rPr>
          <w:rFonts w:ascii="仿宋" w:hAnsi="仿宋" w:eastAsia="仿宋" w:cs="仿宋"/>
          <w:sz w:val="24"/>
          <w:szCs w:val="24"/>
          <w:highlight w:val="red"/>
        </w:rPr>
      </w:pPr>
      <w:r>
        <w:rPr>
          <w:rFonts w:hint="eastAsia" w:ascii="仿宋" w:hAnsi="仿宋" w:eastAsia="仿宋" w:cs="仿宋"/>
          <w:sz w:val="24"/>
          <w:szCs w:val="24"/>
        </w:rPr>
        <w:t>1.4 履行时间（期限）：</w:t>
      </w:r>
      <w:r>
        <w:rPr>
          <w:rFonts w:hint="eastAsia" w:ascii="仿宋" w:hAnsi="仿宋" w:eastAsia="仿宋" w:cs="仿宋"/>
          <w:sz w:val="24"/>
          <w:szCs w:val="24"/>
          <w:u w:val="single"/>
        </w:rPr>
        <w:t>自合同签订之日起30日内完工</w:t>
      </w:r>
    </w:p>
    <w:p w14:paraId="53664E5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rPr>
        <w:t>如东县掘港高级中学</w:t>
      </w:r>
    </w:p>
    <w:p w14:paraId="14EB2CF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按采购文件执行</w:t>
      </w:r>
    </w:p>
    <w:p w14:paraId="3633E989">
      <w:pPr>
        <w:snapToGrid w:val="0"/>
        <w:spacing w:before="120" w:after="120" w:line="500" w:lineRule="exact"/>
        <w:ind w:firstLine="480" w:firstLineChars="200"/>
        <w:rPr>
          <w:rFonts w:ascii="仿宋" w:hAnsi="仿宋" w:eastAsia="仿宋" w:cs="仿宋"/>
          <w:sz w:val="24"/>
          <w:szCs w:val="24"/>
          <w:highlight w:val="cyan"/>
        </w:rPr>
      </w:pPr>
      <w:r>
        <w:rPr>
          <w:rFonts w:hint="eastAsia" w:ascii="仿宋" w:hAnsi="仿宋" w:eastAsia="仿宋" w:cs="仿宋"/>
          <w:sz w:val="24"/>
          <w:szCs w:val="24"/>
        </w:rPr>
        <w:t>1.7 包装方式：</w:t>
      </w:r>
      <w:r>
        <w:rPr>
          <w:rFonts w:hint="eastAsia" w:ascii="仿宋" w:hAnsi="仿宋" w:eastAsia="仿宋" w:cs="仿宋"/>
          <w:sz w:val="24"/>
          <w:szCs w:val="24"/>
          <w:u w:val="single"/>
        </w:rPr>
        <w:t>原厂全新未拆封包装</w:t>
      </w:r>
    </w:p>
    <w:p w14:paraId="47E16430">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470D1DF3">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u w:val="single"/>
        </w:rPr>
        <w:t>****</w:t>
      </w:r>
      <w:r>
        <w:rPr>
          <w:rFonts w:hint="eastAsia" w:ascii="仿宋" w:hAnsi="仿宋" w:eastAsia="仿宋" w:cs="仿宋"/>
          <w:sz w:val="24"/>
          <w:szCs w:val="24"/>
        </w:rPr>
        <w:t>元（</w:t>
      </w:r>
      <w:r>
        <w:rPr>
          <w:rFonts w:hint="eastAsia" w:ascii="仿宋" w:hAnsi="仿宋" w:eastAsia="仿宋" w:cs="仿宋"/>
          <w:sz w:val="24"/>
          <w:szCs w:val="24"/>
          <w:u w:val="single"/>
        </w:rPr>
        <w:t>****</w:t>
      </w:r>
      <w:r>
        <w:rPr>
          <w:rFonts w:hint="eastAsia" w:ascii="仿宋" w:hAnsi="仿宋" w:eastAsia="仿宋" w:cs="仿宋"/>
          <w:sz w:val="24"/>
          <w:szCs w:val="24"/>
        </w:rPr>
        <w:t>元）人民币。</w:t>
      </w:r>
    </w:p>
    <w:p w14:paraId="206AA79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6B1593B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6ECB3568">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257BC5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58DA4BC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61FFF882">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7BEB6FE1">
      <w:pPr>
        <w:snapToGrid w:val="0"/>
        <w:spacing w:before="120" w:after="120" w:line="500" w:lineRule="exact"/>
        <w:ind w:left="239" w:leftChars="114" w:firstLine="480" w:firstLineChars="20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5E60F58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1131FD8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6.1 乙方交纳人民币</w:t>
      </w:r>
      <w:r>
        <w:rPr>
          <w:rFonts w:hint="eastAsia" w:ascii="仿宋" w:hAnsi="仿宋" w:eastAsia="仿宋" w:cs="仿宋"/>
          <w:sz w:val="24"/>
          <w:szCs w:val="24"/>
          <w:u w:val="single"/>
        </w:rPr>
        <w:t>项目成交价的5%</w:t>
      </w:r>
      <w:r>
        <w:rPr>
          <w:rFonts w:hint="eastAsia" w:ascii="仿宋" w:hAnsi="仿宋" w:eastAsia="仿宋" w:cs="仿宋"/>
          <w:sz w:val="24"/>
          <w:szCs w:val="24"/>
        </w:rPr>
        <w:t>元作为本合同的履约保证金。</w:t>
      </w:r>
    </w:p>
    <w:p w14:paraId="5AAA5D7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6861E26A">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6.2.1履约保证金退还方式：</w:t>
      </w:r>
      <w:r>
        <w:rPr>
          <w:rFonts w:hint="eastAsia" w:ascii="仿宋" w:hAnsi="仿宋" w:eastAsia="仿宋" w:cs="仿宋"/>
          <w:sz w:val="24"/>
          <w:szCs w:val="24"/>
          <w:u w:val="single"/>
        </w:rPr>
        <w:t xml:space="preserve">按缴纳方式退还  </w:t>
      </w:r>
      <w:r>
        <w:rPr>
          <w:rFonts w:hint="eastAsia" w:ascii="仿宋" w:hAnsi="仿宋" w:eastAsia="仿宋" w:cs="仿宋"/>
          <w:sz w:val="24"/>
          <w:szCs w:val="24"/>
        </w:rPr>
        <w:t xml:space="preserve">    </w:t>
      </w:r>
    </w:p>
    <w:p w14:paraId="0C238F1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验收合格后一次性退还</w:t>
      </w:r>
      <w:r>
        <w:rPr>
          <w:rFonts w:hint="eastAsia" w:ascii="仿宋" w:hAnsi="仿宋" w:eastAsia="仿宋" w:cs="仿宋"/>
          <w:sz w:val="24"/>
          <w:szCs w:val="24"/>
        </w:rPr>
        <w:t xml:space="preserve">。  </w:t>
      </w:r>
    </w:p>
    <w:p w14:paraId="1F12F13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6.2.3履约保证金退还条件：乙方全部履约合同义务，经甲方验收合格无质量、进度等问题的，甲方一次性退还履约保证金，甲方若逾期退还履约保证金的，按照逾期部分的每日0.05%支付违约金。  </w:t>
      </w:r>
    </w:p>
    <w:p w14:paraId="48FAADA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7AC5304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1BF6DBB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34810C3C">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487184EF">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6BC4725B">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7.2乙方不得将合同标的分包给他人履行。</w:t>
      </w:r>
    </w:p>
    <w:p w14:paraId="68A20E6D">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6C5EE76F">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4D92B569">
      <w:pPr>
        <w:snapToGrid w:val="0"/>
        <w:spacing w:before="120" w:after="120"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6DEADD0B">
      <w:pPr>
        <w:snapToGrid w:val="0"/>
        <w:spacing w:line="500" w:lineRule="exact"/>
        <w:ind w:firstLine="480" w:firstLineChars="200"/>
        <w:rPr>
          <w:rFonts w:ascii="仿宋" w:hAnsi="仿宋" w:eastAsia="仿宋" w:cs="仿宋"/>
          <w:sz w:val="24"/>
          <w:szCs w:val="24"/>
        </w:rPr>
      </w:pPr>
      <w:r>
        <w:rPr>
          <w:rFonts w:hint="eastAsia" w:ascii="仿宋" w:hAnsi="仿宋" w:eastAsia="仿宋" w:cs="仿宋"/>
          <w:bCs/>
          <w:sz w:val="24"/>
          <w:szCs w:val="24"/>
          <w:lang w:bidi="ar"/>
        </w:rPr>
        <w:t>8</w:t>
      </w:r>
      <w:r>
        <w:rPr>
          <w:rFonts w:ascii="仿宋" w:hAnsi="仿宋" w:eastAsia="仿宋" w:cs="仿宋"/>
          <w:bCs/>
          <w:sz w:val="24"/>
          <w:szCs w:val="24"/>
          <w:lang w:bidi="ar"/>
        </w:rPr>
        <w:t>.1.1</w:t>
      </w:r>
      <w:r>
        <w:rPr>
          <w:rFonts w:hint="eastAsia" w:ascii="仿宋" w:hAnsi="仿宋" w:eastAsia="仿宋" w:cs="仿宋"/>
          <w:bCs/>
          <w:sz w:val="24"/>
          <w:szCs w:val="24"/>
          <w:lang w:bidi="ar"/>
        </w:rPr>
        <w:t>项目完成且验收合格后支付至合同价款的100%，</w:t>
      </w:r>
      <w:r>
        <w:rPr>
          <w:rFonts w:hint="eastAsia" w:ascii="仿宋" w:hAnsi="仿宋" w:eastAsia="仿宋" w:cs="仿宋"/>
          <w:b/>
          <w:bCs/>
          <w:kern w:val="0"/>
          <w:sz w:val="24"/>
          <w:szCs w:val="24"/>
          <w:lang w:val="zh-CN"/>
        </w:rPr>
        <w:t>采购人应在验收合格收到发票后</w:t>
      </w:r>
      <w:r>
        <w:rPr>
          <w:rFonts w:hint="eastAsia" w:ascii="仿宋" w:hAnsi="仿宋" w:eastAsia="仿宋" w:cs="仿宋"/>
          <w:b/>
          <w:bCs/>
          <w:kern w:val="0"/>
          <w:sz w:val="24"/>
          <w:szCs w:val="24"/>
        </w:rPr>
        <w:t>10个工作日内将资金支付到成交供应商账户。</w:t>
      </w:r>
    </w:p>
    <w:p w14:paraId="304C9E72">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九、税费</w:t>
      </w:r>
    </w:p>
    <w:p w14:paraId="54EBD41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16D1D76C">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56AA3EA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10.1 甲方依法组织履约验收工作。</w:t>
      </w:r>
    </w:p>
    <w:p w14:paraId="71B2304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0472B4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26E37F2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6131707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F1E58B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27EB390">
      <w:pPr>
        <w:snapToGrid w:val="0"/>
        <w:spacing w:before="120" w:after="120" w:line="500" w:lineRule="exact"/>
        <w:rPr>
          <w:rFonts w:ascii="仿宋" w:hAnsi="仿宋" w:eastAsia="仿宋" w:cs="仿宋"/>
          <w:sz w:val="24"/>
          <w:szCs w:val="24"/>
          <w:highlight w:val="cyan"/>
        </w:rPr>
      </w:pPr>
      <w:r>
        <w:rPr>
          <w:rFonts w:hint="eastAsia" w:ascii="仿宋" w:hAnsi="仿宋" w:eastAsia="仿宋" w:cs="仿宋"/>
          <w:b/>
          <w:bCs/>
          <w:sz w:val="32"/>
          <w:szCs w:val="32"/>
        </w:rPr>
        <w:t>十一、货物的包装、发运及运输</w:t>
      </w:r>
    </w:p>
    <w:p w14:paraId="233DD025">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2451B28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11.2 使用说明书、质量检验证明书、随配附件和工具以及清单一并附于货物内。</w:t>
      </w:r>
    </w:p>
    <w:p w14:paraId="340AE27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11.3 乙方在货物发运手续办理完毕后</w:t>
      </w:r>
      <w:r>
        <w:rPr>
          <w:rFonts w:hint="eastAsia" w:ascii="仿宋" w:hAnsi="仿宋" w:eastAsia="仿宋" w:cs="仿宋"/>
          <w:sz w:val="24"/>
          <w:szCs w:val="24"/>
          <w:u w:val="single"/>
        </w:rPr>
        <w:t>24</w:t>
      </w:r>
      <w:r>
        <w:rPr>
          <w:rFonts w:hint="eastAsia" w:ascii="仿宋" w:hAnsi="仿宋" w:eastAsia="仿宋" w:cs="仿宋"/>
          <w:sz w:val="24"/>
          <w:szCs w:val="24"/>
        </w:rPr>
        <w:t>小时内或货到甲方</w:t>
      </w:r>
      <w:r>
        <w:rPr>
          <w:rFonts w:hint="eastAsia" w:ascii="仿宋" w:hAnsi="仿宋" w:eastAsia="仿宋" w:cs="仿宋"/>
          <w:sz w:val="24"/>
          <w:szCs w:val="24"/>
          <w:u w:val="single"/>
        </w:rPr>
        <w:t>24</w:t>
      </w:r>
      <w:r>
        <w:rPr>
          <w:rFonts w:hint="eastAsia" w:ascii="仿宋" w:hAnsi="仿宋" w:eastAsia="仿宋" w:cs="仿宋"/>
          <w:sz w:val="24"/>
          <w:szCs w:val="24"/>
        </w:rPr>
        <w:t>小时前通知甲方，以准备接货。</w:t>
      </w:r>
    </w:p>
    <w:p w14:paraId="633941C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11.4 货物在交付甲方前发生的风险均由乙方负责。</w:t>
      </w:r>
    </w:p>
    <w:p w14:paraId="4C6B610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11.5 货物在规定的交付期限内由乙方送达甲方指定的地点视为交付，乙方同时需通知甲方货物已送达。</w:t>
      </w:r>
    </w:p>
    <w:p w14:paraId="11AA60E9">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十二、违约责任</w:t>
      </w:r>
    </w:p>
    <w:p w14:paraId="410C010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5%</w:t>
      </w:r>
      <w:r>
        <w:rPr>
          <w:rFonts w:hint="eastAsia" w:ascii="仿宋" w:hAnsi="仿宋" w:eastAsia="仿宋" w:cs="仿宋"/>
          <w:sz w:val="24"/>
          <w:szCs w:val="24"/>
        </w:rPr>
        <w:t>的违约金。</w:t>
      </w:r>
    </w:p>
    <w:p w14:paraId="65D0387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12.2 甲方无故逾期验收和办理合同款项支付手续的,甲方应按逾期付款总额</w:t>
      </w:r>
      <w:r>
        <w:rPr>
          <w:rFonts w:hint="eastAsia" w:ascii="仿宋" w:hAnsi="仿宋" w:eastAsia="仿宋" w:cs="仿宋"/>
          <w:sz w:val="24"/>
          <w:szCs w:val="24"/>
          <w:u w:val="single"/>
        </w:rPr>
        <w:t xml:space="preserve">3‰    </w:t>
      </w:r>
      <w:r>
        <w:rPr>
          <w:rFonts w:hint="eastAsia" w:ascii="仿宋" w:hAnsi="仿宋" w:eastAsia="仿宋" w:cs="仿宋"/>
          <w:sz w:val="24"/>
          <w:szCs w:val="24"/>
        </w:rPr>
        <w:t>每日向乙方支付违约金。</w:t>
      </w:r>
    </w:p>
    <w:p w14:paraId="367D3A9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12.3 未能在规定的工期内完成施工任务的，每推迟一天采购人有权以每天扣除履约保证金总额的1%进行处罚 ；超过规定的工期5天的，采购人有权与成交供应商解除合同关系，并按照施工量及集成施工进度与成交供应商按实结算，并按照规定处以罚金，直至履约保证金扣除完毕。，如造成甲方损失超过违约金的，超出部分由乙方继续承担赔偿责任。 </w:t>
      </w:r>
    </w:p>
    <w:p w14:paraId="6FC665D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748E469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十三、不可抗力事件处理</w:t>
      </w:r>
    </w:p>
    <w:p w14:paraId="216CEA8B">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368B332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12C9619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120</w:t>
      </w:r>
      <w:r>
        <w:rPr>
          <w:rFonts w:hint="eastAsia" w:ascii="仿宋" w:hAnsi="仿宋" w:eastAsia="仿宋" w:cs="仿宋"/>
          <w:sz w:val="24"/>
          <w:szCs w:val="24"/>
        </w:rPr>
        <w:t>天以上，双方应通过友好协商，确定是否继续履行合同。</w:t>
      </w:r>
    </w:p>
    <w:p w14:paraId="1CBF3C8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十四、解决争议的方法</w:t>
      </w:r>
    </w:p>
    <w:p w14:paraId="54C8C63C">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5F74F0FF">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十五、合同生效及其它</w:t>
      </w:r>
    </w:p>
    <w:p w14:paraId="2235D31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77351EF5">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18BE17E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15.3 本合同正本一式</w:t>
      </w:r>
      <w:r>
        <w:rPr>
          <w:rFonts w:hint="eastAsia" w:ascii="仿宋" w:hAnsi="仿宋" w:eastAsia="仿宋" w:cs="仿宋"/>
          <w:sz w:val="24"/>
          <w:szCs w:val="24"/>
          <w:u w:val="single"/>
        </w:rPr>
        <w:t>八</w:t>
      </w:r>
      <w:r>
        <w:rPr>
          <w:rFonts w:hint="eastAsia" w:ascii="仿宋" w:hAnsi="仿宋" w:eastAsia="仿宋" w:cs="仿宋"/>
          <w:sz w:val="24"/>
          <w:szCs w:val="24"/>
        </w:rPr>
        <w:t>份，具有同等法律效力。</w:t>
      </w:r>
    </w:p>
    <w:p w14:paraId="594ECF7A">
      <w:pPr>
        <w:snapToGrid w:val="0"/>
        <w:spacing w:before="120" w:after="120" w:line="500" w:lineRule="exact"/>
        <w:ind w:left="480" w:hanging="480" w:hangingChars="200"/>
        <w:rPr>
          <w:rFonts w:ascii="仿宋" w:hAnsi="仿宋" w:eastAsia="仿宋" w:cs="仿宋"/>
          <w:sz w:val="24"/>
          <w:szCs w:val="24"/>
        </w:rPr>
      </w:pPr>
      <w:r>
        <w:rPr>
          <w:rFonts w:hint="eastAsia" w:ascii="仿宋" w:hAnsi="仿宋" w:eastAsia="仿宋" w:cs="仿宋"/>
          <w:sz w:val="24"/>
          <w:szCs w:val="24"/>
        </w:rPr>
        <w:t xml:space="preserve">  </w:t>
      </w:r>
    </w:p>
    <w:p w14:paraId="72D12BAE">
      <w:pPr>
        <w:snapToGrid w:val="0"/>
        <w:spacing w:before="120" w:after="120" w:line="500" w:lineRule="exact"/>
        <w:ind w:left="480" w:hanging="480" w:hangingChars="200"/>
        <w:rPr>
          <w:rFonts w:ascii="仿宋" w:hAnsi="仿宋" w:eastAsia="仿宋" w:cs="仿宋"/>
          <w:sz w:val="24"/>
          <w:szCs w:val="24"/>
        </w:rPr>
      </w:pPr>
    </w:p>
    <w:p w14:paraId="0137EC48">
      <w:pPr>
        <w:snapToGrid w:val="0"/>
        <w:spacing w:before="120" w:after="120" w:line="0" w:lineRule="atLeast"/>
        <w:rPr>
          <w:rFonts w:ascii="仿宋" w:hAnsi="仿宋" w:eastAsia="仿宋" w:cs="仿宋"/>
          <w:sz w:val="24"/>
          <w:szCs w:val="24"/>
        </w:rPr>
      </w:pPr>
    </w:p>
    <w:p w14:paraId="44E3FA75">
      <w:pPr>
        <w:snapToGrid w:val="0"/>
        <w:spacing w:before="120" w:after="120" w:line="0" w:lineRule="atLeast"/>
        <w:ind w:left="479" w:leftChars="114" w:hanging="240" w:hangingChars="100"/>
        <w:rPr>
          <w:rFonts w:ascii="仿宋" w:hAnsi="仿宋" w:eastAsia="仿宋" w:cs="仿宋"/>
          <w:sz w:val="24"/>
          <w:szCs w:val="24"/>
        </w:rPr>
      </w:pPr>
      <w:r>
        <w:rPr>
          <w:rFonts w:hint="eastAsia" w:ascii="仿宋" w:hAnsi="仿宋" w:eastAsia="仿宋" w:cs="仿宋"/>
          <w:sz w:val="24"/>
          <w:szCs w:val="24"/>
        </w:rPr>
        <w:t xml:space="preserve"> 甲方：                        乙方： </w:t>
      </w:r>
    </w:p>
    <w:p w14:paraId="36DE8BA3">
      <w:pPr>
        <w:snapToGrid w:val="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p>
    <w:p w14:paraId="7C08B591">
      <w:pPr>
        <w:snapToGrid w:val="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798D5E80">
      <w:pPr>
        <w:snapToGrid w:val="0"/>
        <w:spacing w:before="120" w:after="120" w:line="0" w:lineRule="atLeast"/>
        <w:ind w:firstLine="240" w:firstLineChars="100"/>
        <w:rPr>
          <w:rFonts w:ascii="仿宋" w:hAnsi="仿宋" w:eastAsia="仿宋" w:cs="仿宋"/>
          <w:szCs w:val="21"/>
        </w:rPr>
      </w:pPr>
      <w:r>
        <w:rPr>
          <w:rFonts w:hint="eastAsia" w:ascii="仿宋" w:hAnsi="仿宋" w:eastAsia="仿宋" w:cs="仿宋"/>
          <w:sz w:val="24"/>
          <w:szCs w:val="24"/>
        </w:rPr>
        <w:t xml:space="preserve">联系电话：                    联系电话：          </w:t>
      </w:r>
    </w:p>
    <w:p w14:paraId="68CD9118">
      <w:pPr>
        <w:spacing w:line="500" w:lineRule="exact"/>
        <w:ind w:firstLine="420" w:firstLineChars="200"/>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bookmarkEnd w:id="191"/>
    <w:bookmarkEnd w:id="192"/>
    <w:bookmarkEnd w:id="193"/>
    <w:p w14:paraId="7F535DAF">
      <w:pPr>
        <w:snapToGrid w:val="0"/>
        <w:spacing w:before="120" w:after="120" w:line="0" w:lineRule="atLeast"/>
        <w:jc w:val="center"/>
        <w:outlineLvl w:val="0"/>
        <w:rPr>
          <w:rFonts w:ascii="仿宋" w:hAnsi="仿宋" w:eastAsia="仿宋" w:cs="仿宋"/>
          <w:b/>
          <w:sz w:val="44"/>
          <w:szCs w:val="21"/>
        </w:rPr>
      </w:pPr>
      <w:bookmarkStart w:id="197" w:name="_Hlt16619369"/>
      <w:bookmarkEnd w:id="197"/>
      <w:bookmarkStart w:id="198" w:name="_Hlt16619350"/>
      <w:bookmarkStart w:id="199" w:name="_Toc120614244"/>
      <w:bookmarkStart w:id="200" w:name="_Toc16938590"/>
      <w:bookmarkStart w:id="201" w:name="_Toc20823346"/>
      <w:bookmarkStart w:id="202" w:name="_Toc479757211"/>
      <w:bookmarkStart w:id="203" w:name="_Toc462564139"/>
      <w:r>
        <w:rPr>
          <w:rFonts w:hint="eastAsia" w:ascii="仿宋" w:hAnsi="仿宋" w:eastAsia="仿宋" w:cs="仿宋"/>
          <w:bCs/>
          <w:sz w:val="24"/>
          <w:szCs w:val="24"/>
        </w:rPr>
        <w:br w:type="page"/>
      </w:r>
      <w:bookmarkStart w:id="204" w:name="_Toc14539"/>
      <w:bookmarkStart w:id="205" w:name="_Toc20693"/>
      <w:bookmarkStart w:id="206" w:name="_Toc16952"/>
      <w:r>
        <w:rPr>
          <w:rFonts w:hint="eastAsia" w:ascii="仿宋" w:hAnsi="仿宋" w:eastAsia="仿宋" w:cs="仿宋"/>
          <w:b/>
          <w:sz w:val="44"/>
          <w:szCs w:val="21"/>
        </w:rPr>
        <w:t>第</w:t>
      </w:r>
      <w:bookmarkEnd w:id="198"/>
      <w:r>
        <w:rPr>
          <w:rFonts w:hint="eastAsia" w:ascii="仿宋" w:hAnsi="仿宋" w:eastAsia="仿宋" w:cs="仿宋"/>
          <w:b/>
          <w:sz w:val="44"/>
          <w:szCs w:val="21"/>
        </w:rPr>
        <w:t>四章 采购需求</w:t>
      </w:r>
      <w:bookmarkEnd w:id="199"/>
      <w:bookmarkEnd w:id="200"/>
      <w:bookmarkEnd w:id="201"/>
      <w:bookmarkEnd w:id="204"/>
      <w:bookmarkEnd w:id="205"/>
      <w:bookmarkEnd w:id="206"/>
      <w:bookmarkStart w:id="207" w:name="_Toc26554093"/>
      <w:bookmarkStart w:id="208" w:name="_Toc49090575"/>
    </w:p>
    <w:p w14:paraId="4B198635">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供应商在制作响应文件时仔细研究项目需求说明。项目需求包括技术要求和商务要求:</w:t>
      </w:r>
    </w:p>
    <w:p w14:paraId="00014BC0">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技术要求是指对采购标的功能和质量要求，包括性能、材料、结构、外观、安全，或者服务内容和标准等,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Cs/>
          <w:sz w:val="28"/>
          <w:szCs w:val="28"/>
        </w:rPr>
        <w:t>。</w:t>
      </w:r>
    </w:p>
    <w:p w14:paraId="0E7638F5">
      <w:pPr>
        <w:spacing w:line="500" w:lineRule="exact"/>
        <w:ind w:firstLine="560" w:firstLineChars="200"/>
        <w:rPr>
          <w:rFonts w:ascii="仿宋" w:hAnsi="仿宋" w:eastAsia="仿宋" w:cs="仿宋"/>
          <w:bCs/>
          <w:sz w:val="28"/>
          <w:szCs w:val="28"/>
        </w:rPr>
      </w:pPr>
    </w:p>
    <w:p w14:paraId="4ABD19FE">
      <w:pPr>
        <w:spacing w:line="500" w:lineRule="exact"/>
        <w:ind w:firstLine="560" w:firstLineChars="200"/>
        <w:rPr>
          <w:rFonts w:ascii="仿宋" w:hAnsi="仿宋" w:eastAsia="仿宋" w:cs="仿宋"/>
          <w:b/>
          <w:i/>
          <w:iCs/>
          <w:sz w:val="28"/>
          <w:szCs w:val="28"/>
        </w:rPr>
      </w:pPr>
      <w:r>
        <w:rPr>
          <w:rFonts w:hint="eastAsia" w:ascii="仿宋" w:hAnsi="仿宋" w:eastAsia="仿宋" w:cs="仿宋"/>
          <w:bCs/>
          <w:sz w:val="28"/>
          <w:szCs w:val="28"/>
        </w:rPr>
        <w:t>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
          <w:i/>
          <w:iCs/>
          <w:sz w:val="28"/>
          <w:szCs w:val="28"/>
        </w:rPr>
        <w:t>。</w:t>
      </w:r>
    </w:p>
    <w:p w14:paraId="25E8915A">
      <w:pPr>
        <w:pStyle w:val="26"/>
        <w:numPr>
          <w:ilvl w:val="0"/>
          <w:numId w:val="2"/>
        </w:numPr>
        <w:adjustRightInd w:val="0"/>
        <w:snapToGrid w:val="0"/>
        <w:spacing w:line="500" w:lineRule="exact"/>
        <w:ind w:firstLineChars="0"/>
        <w:rPr>
          <w:rFonts w:ascii="黑体" w:hAnsi="黑体" w:eastAsia="黑体" w:cs="黑体"/>
          <w:b/>
          <w:bCs/>
          <w:sz w:val="28"/>
          <w:szCs w:val="28"/>
        </w:rPr>
      </w:pPr>
      <w:r>
        <w:rPr>
          <w:rFonts w:hint="eastAsia" w:ascii="仿宋" w:hAnsi="仿宋" w:eastAsia="仿宋" w:cs="仿宋"/>
          <w:b/>
          <w:bCs/>
          <w:sz w:val="32"/>
          <w:szCs w:val="32"/>
        </w:rPr>
        <w:t>其内容包含：</w:t>
      </w:r>
    </w:p>
    <w:p w14:paraId="67B16CB3">
      <w:pPr>
        <w:numPr>
          <w:ilvl w:val="0"/>
          <w:numId w:val="3"/>
        </w:num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采购标的需实现的功能或者目标，以及为落实政府采购政策需满足的要求；</w:t>
      </w:r>
    </w:p>
    <w:p w14:paraId="59419BA6">
      <w:pPr>
        <w:spacing w:line="440" w:lineRule="exact"/>
        <w:ind w:firstLine="480" w:firstLineChars="200"/>
        <w:rPr>
          <w:rFonts w:ascii="仿宋" w:hAnsi="仿宋" w:eastAsia="仿宋" w:cs="仿宋"/>
          <w:b/>
          <w:bCs/>
          <w:sz w:val="24"/>
          <w:szCs w:val="24"/>
        </w:rPr>
      </w:pPr>
      <w:r>
        <w:rPr>
          <w:rFonts w:hint="eastAsia" w:ascii="仿宋" w:hAnsi="仿宋" w:eastAsia="仿宋" w:cs="仿宋"/>
          <w:kern w:val="0"/>
          <w:sz w:val="24"/>
          <w:szCs w:val="24"/>
          <w:lang w:bidi="ar"/>
        </w:rPr>
        <w:t>新建一间技术先进、功能完备、支撑线上线下混合式教学模式改革的智慧教室，一间精品录播教室，实现教学内容数字化、教学互动精准化、教学管理智能化。本部分严格依据《中华人民共和国政府采购法》及最新政策要求，明确供应商及产品需满足的政策性条件，确保政府采购政策落地见效。</w:t>
      </w:r>
      <w:r>
        <w:rPr>
          <w:rFonts w:hint="eastAsia" w:ascii="仿宋" w:hAnsi="仿宋" w:eastAsia="仿宋" w:cs="仿宋"/>
          <w:b/>
          <w:bCs/>
          <w:color w:val="FF0000"/>
          <w:sz w:val="24"/>
          <w:szCs w:val="24"/>
        </w:rPr>
        <w:t>项目采购的计算机终端、服务器、操作系统及数据库须为信创产品，符合中国信息安全测评中心相关测评公告要求（见https://www.itsec.gov.cn/aqkkcp/cpgg/）； 项目中建设的信息系统，须符合信创要求，满足龙芯、C86、ARM三条路线要求。</w:t>
      </w:r>
    </w:p>
    <w:p w14:paraId="21967D44">
      <w:pPr>
        <w:numPr>
          <w:ilvl w:val="0"/>
          <w:numId w:val="3"/>
        </w:num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采购标的需执行的国家相关标准、行业标准、地方标准或者其他标准、规范；</w:t>
      </w:r>
    </w:p>
    <w:p w14:paraId="703E6FF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GB/T36447-2018《多媒体教学环境设计要求》</w:t>
      </w:r>
    </w:p>
    <w:p w14:paraId="62C97E4F">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w:t>
      </w:r>
      <w:r>
        <w:rPr>
          <w:rFonts w:ascii="仿宋" w:hAnsi="仿宋" w:eastAsia="仿宋" w:cs="仿宋"/>
          <w:kern w:val="0"/>
          <w:sz w:val="24"/>
          <w:szCs w:val="24"/>
          <w:lang w:bidi="ar"/>
        </w:rPr>
        <w:t>/T</w:t>
      </w:r>
      <w:r>
        <w:rPr>
          <w:rFonts w:hint="eastAsia" w:ascii="仿宋" w:hAnsi="仿宋" w:eastAsia="仿宋" w:cs="仿宋"/>
          <w:kern w:val="0"/>
          <w:sz w:val="24"/>
          <w:szCs w:val="24"/>
          <w:lang w:bidi="ar"/>
        </w:rPr>
        <w:t>4706.1-20</w:t>
      </w:r>
      <w:r>
        <w:rPr>
          <w:rFonts w:ascii="仿宋" w:hAnsi="仿宋" w:eastAsia="仿宋" w:cs="仿宋"/>
          <w:kern w:val="0"/>
          <w:sz w:val="24"/>
          <w:szCs w:val="24"/>
          <w:lang w:bidi="ar"/>
        </w:rPr>
        <w:t>24</w:t>
      </w:r>
      <w:r>
        <w:rPr>
          <w:rFonts w:hint="eastAsia" w:ascii="仿宋" w:hAnsi="仿宋" w:eastAsia="仿宋" w:cs="仿宋"/>
          <w:kern w:val="0"/>
          <w:sz w:val="24"/>
          <w:szCs w:val="24"/>
          <w:lang w:bidi="ar"/>
        </w:rPr>
        <w:t>《家用和类似用途电器的安全第1部分通用要求》</w:t>
      </w:r>
    </w:p>
    <w:p w14:paraId="364FE5C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GB/T9813-20</w:t>
      </w:r>
      <w:r>
        <w:rPr>
          <w:rFonts w:ascii="仿宋" w:hAnsi="仿宋" w:eastAsia="仿宋" w:cs="仿宋"/>
          <w:kern w:val="0"/>
          <w:sz w:val="24"/>
          <w:szCs w:val="24"/>
          <w:lang w:bidi="ar"/>
        </w:rPr>
        <w:t>16</w:t>
      </w:r>
      <w:r>
        <w:rPr>
          <w:rFonts w:hint="eastAsia" w:ascii="仿宋" w:hAnsi="仿宋" w:eastAsia="仿宋" w:cs="仿宋"/>
          <w:kern w:val="0"/>
          <w:sz w:val="24"/>
          <w:szCs w:val="24"/>
          <w:lang w:bidi="ar"/>
        </w:rPr>
        <w:t>《计算机通用规范》</w:t>
      </w:r>
    </w:p>
    <w:p w14:paraId="54EDEC3F">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GB4943.1-2022《音视频、信息技术和通信技术设备 第1部分：安全要求》</w:t>
      </w:r>
    </w:p>
    <w:p w14:paraId="65D38D7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T/JYBZ 002-2018 《教育用音视频录播系统》</w:t>
      </w:r>
    </w:p>
    <w:p w14:paraId="76A331C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GYJ26-86《有线广播录、播音室声学设计规范和技术用房技术要求》</w:t>
      </w:r>
    </w:p>
    <w:p w14:paraId="35ED60B2">
      <w:pPr>
        <w:widowControl/>
        <w:ind w:firstLine="480"/>
        <w:jc w:val="left"/>
        <w:rPr>
          <w:rFonts w:ascii="仿宋" w:hAnsi="仿宋" w:eastAsia="仿宋" w:cs="仿宋"/>
          <w:sz w:val="24"/>
          <w:szCs w:val="24"/>
        </w:rPr>
      </w:pPr>
      <w:r>
        <w:rPr>
          <w:rFonts w:ascii="仿宋" w:hAnsi="仿宋" w:eastAsia="仿宋" w:cs="仿宋"/>
          <w:kern w:val="0"/>
          <w:sz w:val="24"/>
          <w:szCs w:val="24"/>
          <w:lang w:bidi="ar"/>
        </w:rPr>
        <w:t>DB32/T 5016-2025</w:t>
      </w:r>
      <w:r>
        <w:rPr>
          <w:rFonts w:hint="eastAsia" w:ascii="仿宋" w:hAnsi="仿宋" w:eastAsia="仿宋" w:cs="仿宋"/>
          <w:kern w:val="0"/>
          <w:sz w:val="24"/>
          <w:szCs w:val="24"/>
          <w:lang w:bidi="ar"/>
        </w:rPr>
        <w:t>《中小学智慧校园建设规范》</w:t>
      </w:r>
    </w:p>
    <w:p w14:paraId="5F9FBA30">
      <w:pPr>
        <w:spacing w:line="500" w:lineRule="exact"/>
        <w:ind w:firstLine="480"/>
        <w:rPr>
          <w:rFonts w:ascii="仿宋" w:hAnsi="仿宋" w:eastAsia="仿宋" w:cs="仿宋"/>
          <w:b/>
          <w:bCs/>
          <w:sz w:val="24"/>
          <w:szCs w:val="24"/>
        </w:rPr>
      </w:pPr>
      <w:r>
        <w:rPr>
          <w:rFonts w:hint="eastAsia" w:ascii="仿宋" w:hAnsi="仿宋" w:eastAsia="仿宋" w:cs="仿宋"/>
          <w:kern w:val="0"/>
          <w:sz w:val="24"/>
          <w:szCs w:val="24"/>
          <w:lang w:bidi="ar"/>
        </w:rPr>
        <w:t>如上述规范及规定不能覆盖全部的工作内容，则应遵循国家相关的最新规范及规定。如现行标准有变化，以现行最新标准为准。</w:t>
      </w:r>
    </w:p>
    <w:p w14:paraId="292FD475">
      <w:pPr>
        <w:adjustRightInd w:val="0"/>
        <w:snapToGrid w:val="0"/>
        <w:spacing w:line="500" w:lineRule="exact"/>
        <w:rPr>
          <w:rFonts w:ascii="黑体" w:hAnsi="黑体" w:eastAsia="黑体" w:cs="黑体"/>
          <w:sz w:val="28"/>
          <w:szCs w:val="28"/>
        </w:rPr>
      </w:pPr>
      <w:r>
        <w:rPr>
          <w:rFonts w:hint="eastAsia" w:ascii="仿宋" w:hAnsi="仿宋" w:eastAsia="仿宋" w:cs="仿宋"/>
          <w:b/>
          <w:bCs/>
          <w:sz w:val="24"/>
          <w:szCs w:val="24"/>
        </w:rPr>
        <w:t>（三）采购标的需满足的质量、安全、技术规格、物理特性等要求；</w:t>
      </w:r>
    </w:p>
    <w:tbl>
      <w:tblPr>
        <w:tblStyle w:val="14"/>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54"/>
      </w:tblGrid>
      <w:tr w14:paraId="3A6F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413" w:type="dxa"/>
            <w:tcBorders>
              <w:tl2br w:val="nil"/>
              <w:tr2bl w:val="nil"/>
            </w:tcBorders>
            <w:shd w:val="clear" w:color="auto" w:fill="auto"/>
            <w:vAlign w:val="center"/>
          </w:tcPr>
          <w:p w14:paraId="59CC700A">
            <w:pPr>
              <w:widowControl/>
              <w:jc w:val="center"/>
              <w:rPr>
                <w:rFonts w:ascii="宋体" w:hAnsi="宋体" w:cs="宋体"/>
                <w:b/>
                <w:bCs/>
                <w:kern w:val="0"/>
                <w:sz w:val="22"/>
              </w:rPr>
            </w:pPr>
            <w:r>
              <w:rPr>
                <w:rFonts w:hint="eastAsia" w:ascii="宋体" w:hAnsi="宋体" w:cs="宋体"/>
                <w:b/>
                <w:bCs/>
                <w:kern w:val="0"/>
                <w:sz w:val="22"/>
              </w:rPr>
              <w:t>名称</w:t>
            </w:r>
          </w:p>
        </w:tc>
        <w:tc>
          <w:tcPr>
            <w:tcW w:w="7654" w:type="dxa"/>
            <w:tcBorders>
              <w:tl2br w:val="nil"/>
              <w:tr2bl w:val="nil"/>
            </w:tcBorders>
            <w:shd w:val="clear" w:color="auto" w:fill="auto"/>
            <w:vAlign w:val="center"/>
          </w:tcPr>
          <w:p w14:paraId="16CDE591">
            <w:pPr>
              <w:widowControl/>
              <w:jc w:val="center"/>
              <w:rPr>
                <w:rFonts w:ascii="宋体" w:hAnsi="宋体" w:cs="宋体"/>
                <w:b/>
                <w:bCs/>
                <w:kern w:val="0"/>
                <w:sz w:val="22"/>
              </w:rPr>
            </w:pPr>
            <w:r>
              <w:rPr>
                <w:rFonts w:hint="eastAsia" w:ascii="宋体" w:hAnsi="宋体" w:cs="宋体"/>
                <w:b/>
                <w:bCs/>
                <w:kern w:val="0"/>
                <w:sz w:val="22"/>
              </w:rPr>
              <w:t>技术参数要求</w:t>
            </w:r>
          </w:p>
        </w:tc>
      </w:tr>
      <w:tr w14:paraId="6AF49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F8716CD">
            <w:pPr>
              <w:widowControl/>
              <w:jc w:val="center"/>
              <w:rPr>
                <w:rFonts w:ascii="宋体" w:hAnsi="宋体" w:cs="宋体"/>
                <w:kern w:val="0"/>
                <w:sz w:val="22"/>
              </w:rPr>
            </w:pPr>
            <w:r>
              <w:rPr>
                <w:rFonts w:hint="eastAsia" w:ascii="宋体" w:hAnsi="宋体" w:cs="宋体"/>
                <w:kern w:val="0"/>
                <w:sz w:val="22"/>
              </w:rPr>
              <w:t>4K录播一体机</w:t>
            </w:r>
          </w:p>
        </w:tc>
        <w:tc>
          <w:tcPr>
            <w:tcW w:w="7654" w:type="dxa"/>
            <w:tcBorders>
              <w:tl2br w:val="nil"/>
              <w:tr2bl w:val="nil"/>
            </w:tcBorders>
            <w:shd w:val="clear" w:color="000000" w:fill="FFFFFF"/>
            <w:vAlign w:val="center"/>
          </w:tcPr>
          <w:p w14:paraId="2D510821">
            <w:pPr>
              <w:widowControl/>
              <w:jc w:val="left"/>
              <w:rPr>
                <w:rFonts w:ascii="宋体" w:hAnsi="宋体" w:cs="宋体"/>
                <w:kern w:val="0"/>
                <w:sz w:val="22"/>
              </w:rPr>
            </w:pPr>
            <w:r>
              <w:rPr>
                <w:rFonts w:hint="eastAsia" w:ascii="宋体" w:hAnsi="宋体" w:cs="宋体"/>
                <w:kern w:val="0"/>
                <w:sz w:val="22"/>
              </w:rPr>
              <w:t>1.为保证师生画面及电脑画面采集与呈现，需具备≥6路视频采集（包括至少4路SDI，2路HDMI）和≥2路视频输出（包括至少2路HDMI）接口；</w:t>
            </w:r>
            <w:r>
              <w:rPr>
                <w:rFonts w:hint="eastAsia" w:ascii="宋体" w:hAnsi="宋体" w:cs="宋体"/>
                <w:kern w:val="0"/>
                <w:sz w:val="22"/>
              </w:rPr>
              <w:br w:type="textWrapping"/>
            </w:r>
            <w:r>
              <w:rPr>
                <w:rFonts w:hint="eastAsia" w:ascii="宋体" w:hAnsi="宋体" w:cs="宋体"/>
                <w:kern w:val="0"/>
                <w:sz w:val="22"/>
              </w:rPr>
              <w:t>2.为保证教室内教师与学生声音采集与扩声，需具备≥6路音频独立采集和≥2路音频独立输出接口；</w:t>
            </w:r>
            <w:r>
              <w:rPr>
                <w:rFonts w:hint="eastAsia" w:ascii="宋体" w:hAnsi="宋体" w:cs="宋体"/>
                <w:kern w:val="0"/>
                <w:sz w:val="22"/>
              </w:rPr>
              <w:br w:type="textWrapping"/>
            </w:r>
            <w:r>
              <w:rPr>
                <w:rFonts w:hint="eastAsia" w:ascii="宋体" w:hAnsi="宋体" w:cs="宋体"/>
                <w:kern w:val="0"/>
                <w:sz w:val="22"/>
              </w:rPr>
              <w:t>3.▲为保证设备连通性，需具备≥4路RJ45网口且支持POE，保证设备能够接入网络，并预留≥1路独立网络调试口；</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4.▲为保证对教室内现有设备及新建设备的控制，需具备≥6路控制接口，实现对教室内中控面板、摄像机、投影、幕布、灯光等进行控制，实现统一集中管控；</w:t>
            </w:r>
            <w:r>
              <w:rPr>
                <w:rFonts w:hint="eastAsia" w:ascii="宋体" w:hAnsi="宋体" w:cs="宋体"/>
                <w:b/>
                <w:bCs/>
                <w:kern w:val="0"/>
                <w:sz w:val="22"/>
              </w:rPr>
              <w:t>（响应时提供权威机构检测报告扫描件佐证）</w:t>
            </w:r>
            <w:r>
              <w:rPr>
                <w:rFonts w:hint="eastAsia" w:ascii="宋体" w:hAnsi="宋体" w:cs="宋体"/>
                <w:kern w:val="0"/>
                <w:sz w:val="22"/>
              </w:rPr>
              <w:br w:type="textWrapping"/>
            </w:r>
            <w:r>
              <w:rPr>
                <w:rFonts w:hint="eastAsia" w:ascii="宋体" w:hAnsi="宋体" w:cs="宋体"/>
                <w:kern w:val="0"/>
                <w:sz w:val="22"/>
              </w:rPr>
              <w:t>5.为保证设备使用的灵活性，接入键盘鼠标等，即可实现对主机的控制，需具备≥2路USB接口，同时支持U盘进行存储拷贝；</w:t>
            </w:r>
            <w:r>
              <w:rPr>
                <w:rFonts w:hint="eastAsia" w:ascii="宋体" w:hAnsi="宋体" w:cs="宋体"/>
                <w:kern w:val="0"/>
                <w:sz w:val="22"/>
              </w:rPr>
              <w:br w:type="textWrapping"/>
            </w:r>
            <w:r>
              <w:rPr>
                <w:rFonts w:hint="eastAsia" w:ascii="宋体" w:hAnsi="宋体" w:cs="宋体"/>
                <w:kern w:val="0"/>
                <w:sz w:val="22"/>
              </w:rPr>
              <w:t>6.支持控制录播开始、暂停、停止，支持显示录制时间；</w:t>
            </w:r>
            <w:r>
              <w:rPr>
                <w:rFonts w:hint="eastAsia" w:ascii="宋体" w:hAnsi="宋体" w:cs="宋体"/>
                <w:kern w:val="0"/>
                <w:sz w:val="22"/>
              </w:rPr>
              <w:br w:type="textWrapping"/>
            </w:r>
            <w:r>
              <w:rPr>
                <w:rFonts w:hint="eastAsia" w:ascii="宋体" w:hAnsi="宋体" w:cs="宋体"/>
                <w:kern w:val="0"/>
                <w:sz w:val="22"/>
              </w:rPr>
              <w:t>7.支持显示教室基本信息，包括主题、主讲、教室、课程、存储总量及剩余存储量；</w:t>
            </w:r>
            <w:r>
              <w:rPr>
                <w:rFonts w:hint="eastAsia" w:ascii="宋体" w:hAnsi="宋体" w:cs="宋体"/>
                <w:kern w:val="0"/>
                <w:sz w:val="22"/>
              </w:rPr>
              <w:br w:type="textWrapping"/>
            </w:r>
            <w:r>
              <w:rPr>
                <w:rFonts w:hint="eastAsia" w:ascii="宋体" w:hAnsi="宋体" w:cs="宋体"/>
                <w:kern w:val="0"/>
                <w:sz w:val="22"/>
              </w:rPr>
              <w:t>8.▲支持≥11路导播通道显示，显示画面包括教师全景、学生全景、教师特写、学生特写、教学电脑画面、远程互动画面、板书画面等其他素材；</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9.支持手动导播自动导播切换，支持资源模式电影模式切换，支持≥5路资源模式及≥1路电影模式同时录制；</w:t>
            </w:r>
            <w:r>
              <w:rPr>
                <w:rFonts w:hint="eastAsia" w:ascii="宋体" w:hAnsi="宋体" w:cs="宋体"/>
                <w:kern w:val="0"/>
                <w:sz w:val="22"/>
              </w:rPr>
              <w:br w:type="textWrapping"/>
            </w:r>
            <w:r>
              <w:rPr>
                <w:rFonts w:hint="eastAsia" w:ascii="宋体" w:hAnsi="宋体" w:cs="宋体"/>
                <w:kern w:val="0"/>
                <w:sz w:val="22"/>
              </w:rPr>
              <w:t>10.支持对摄像机云台控制，至少包括推拉焦、上下左右转动，控制速度可以进行设置快、中、慢。</w:t>
            </w:r>
          </w:p>
        </w:tc>
      </w:tr>
      <w:tr w14:paraId="6BFA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075DB42">
            <w:pPr>
              <w:widowControl/>
              <w:jc w:val="center"/>
              <w:rPr>
                <w:rFonts w:ascii="宋体" w:hAnsi="宋体" w:cs="宋体"/>
                <w:kern w:val="0"/>
                <w:sz w:val="22"/>
              </w:rPr>
            </w:pPr>
            <w:r>
              <w:rPr>
                <w:rFonts w:hint="eastAsia" w:ascii="宋体" w:hAnsi="宋体" w:cs="宋体"/>
                <w:kern w:val="0"/>
                <w:sz w:val="22"/>
              </w:rPr>
              <w:t>4K高清录播系统</w:t>
            </w:r>
          </w:p>
        </w:tc>
        <w:tc>
          <w:tcPr>
            <w:tcW w:w="7654" w:type="dxa"/>
            <w:tcBorders>
              <w:tl2br w:val="nil"/>
              <w:tr2bl w:val="nil"/>
            </w:tcBorders>
            <w:shd w:val="clear" w:color="000000" w:fill="FFFFFF"/>
            <w:vAlign w:val="center"/>
          </w:tcPr>
          <w:p w14:paraId="37984659">
            <w:pPr>
              <w:widowControl/>
              <w:jc w:val="left"/>
              <w:rPr>
                <w:rFonts w:ascii="宋体" w:hAnsi="宋体" w:cs="宋体"/>
                <w:kern w:val="0"/>
                <w:sz w:val="22"/>
              </w:rPr>
            </w:pPr>
            <w:r>
              <w:rPr>
                <w:rFonts w:hint="eastAsia" w:ascii="宋体" w:hAnsi="宋体" w:cs="宋体"/>
                <w:kern w:val="0"/>
                <w:sz w:val="22"/>
              </w:rPr>
              <w:t>1.支持预置位控制，快速调用预置位、设置预置位。</w:t>
            </w:r>
            <w:r>
              <w:rPr>
                <w:rFonts w:hint="eastAsia" w:ascii="宋体" w:hAnsi="宋体" w:cs="宋体"/>
                <w:kern w:val="0"/>
                <w:sz w:val="22"/>
              </w:rPr>
              <w:br w:type="textWrapping"/>
            </w:r>
            <w:r>
              <w:rPr>
                <w:rFonts w:hint="eastAsia" w:ascii="宋体" w:hAnsi="宋体" w:cs="宋体"/>
                <w:kern w:val="0"/>
                <w:sz w:val="22"/>
              </w:rPr>
              <w:t>2.支持视频模版配置，至少包括画中画、二分屏、三分屏、四分屏、画旁画，每路视频均可选择配置某一路通道的画面，其中画中画可以配置画面位置及画面大小。</w:t>
            </w:r>
            <w:r>
              <w:rPr>
                <w:rFonts w:hint="eastAsia" w:ascii="宋体" w:hAnsi="宋体" w:cs="宋体"/>
                <w:kern w:val="0"/>
                <w:sz w:val="22"/>
              </w:rPr>
              <w:br w:type="textWrapping"/>
            </w:r>
            <w:r>
              <w:rPr>
                <w:rFonts w:hint="eastAsia" w:ascii="宋体" w:hAnsi="宋体" w:cs="宋体"/>
                <w:kern w:val="0"/>
                <w:sz w:val="22"/>
              </w:rPr>
              <w:t>3.支持呼叫功能，支持互动协议H.323、SIP，支持添加呼叫地址、速率，支持推流、断开及呼叫、挂断。支持选择接听方式，自动接听、自动挂断、手动接听。</w:t>
            </w:r>
            <w:r>
              <w:rPr>
                <w:rFonts w:hint="eastAsia" w:ascii="宋体" w:hAnsi="宋体" w:cs="宋体"/>
                <w:kern w:val="0"/>
                <w:sz w:val="22"/>
              </w:rPr>
              <w:br w:type="textWrapping"/>
            </w:r>
            <w:r>
              <w:rPr>
                <w:rFonts w:hint="eastAsia" w:ascii="宋体" w:hAnsi="宋体" w:cs="宋体"/>
                <w:kern w:val="0"/>
                <w:sz w:val="22"/>
              </w:rPr>
              <w:t>4.▲支持在远程互动课堂过程中突然发生意外断电时，待电源恢复后，无需任何操作即可自动回到原来的互动课堂中。</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5.支持查看主机录制文件，点击文件即可播放课程视频，支持对文件手动上传、下载、重命名、删除等操作。支持对录制文件进行搜索，查看文件上传状态。</w:t>
            </w:r>
            <w:r>
              <w:rPr>
                <w:rFonts w:hint="eastAsia" w:ascii="宋体" w:hAnsi="宋体" w:cs="宋体"/>
                <w:kern w:val="0"/>
                <w:sz w:val="22"/>
              </w:rPr>
              <w:br w:type="textWrapping"/>
            </w:r>
            <w:r>
              <w:rPr>
                <w:rFonts w:hint="eastAsia" w:ascii="宋体" w:hAnsi="宋体" w:cs="宋体"/>
                <w:kern w:val="0"/>
                <w:sz w:val="22"/>
              </w:rPr>
              <w:t>6.▲支持智能中控设置，支持添加智能设备；支持物联外设设置，支持配置录播控制、音量控制、物联控制、视频信号、教学画面。</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7.支持片段录制，录制时长支持设置0.5h，1h，2h，4h。</w:t>
            </w:r>
            <w:r>
              <w:rPr>
                <w:rFonts w:hint="eastAsia" w:ascii="宋体" w:hAnsi="宋体" w:cs="宋体"/>
                <w:kern w:val="0"/>
                <w:sz w:val="22"/>
              </w:rPr>
              <w:br w:type="textWrapping"/>
            </w:r>
            <w:r>
              <w:rPr>
                <w:rFonts w:hint="eastAsia" w:ascii="宋体" w:hAnsi="宋体" w:cs="宋体"/>
                <w:kern w:val="0"/>
                <w:sz w:val="22"/>
              </w:rPr>
              <w:t>8.为保证课件上传的自主性及安全性，支持FTP及SFTP上传协议，填写上传地址、路径。支持选择上传方式，包括手动上传、立即上传、定时上传，支持上传资源模式。</w:t>
            </w:r>
            <w:r>
              <w:rPr>
                <w:rFonts w:hint="eastAsia" w:ascii="宋体" w:hAnsi="宋体" w:cs="宋体"/>
                <w:kern w:val="0"/>
                <w:sz w:val="22"/>
              </w:rPr>
              <w:br w:type="textWrapping"/>
            </w:r>
            <w:r>
              <w:rPr>
                <w:rFonts w:hint="eastAsia" w:ascii="宋体" w:hAnsi="宋体" w:cs="宋体"/>
                <w:kern w:val="0"/>
                <w:sz w:val="22"/>
              </w:rPr>
              <w:t>9.支持设备重启后继续录制。</w:t>
            </w:r>
            <w:r>
              <w:rPr>
                <w:rFonts w:hint="eastAsia" w:ascii="宋体" w:hAnsi="宋体" w:cs="宋体"/>
                <w:kern w:val="0"/>
                <w:sz w:val="22"/>
              </w:rPr>
              <w:br w:type="textWrapping"/>
            </w:r>
            <w:r>
              <w:rPr>
                <w:rFonts w:hint="eastAsia" w:ascii="宋体" w:hAnsi="宋体" w:cs="宋体"/>
                <w:kern w:val="0"/>
                <w:sz w:val="22"/>
              </w:rPr>
              <w:t>10.▲音频处理设置，支持对主机音频通道进行音频处理，包括ANR语音降噪、EQ 均衡、AGC自动增益、AEC回声抑制、HPF高通滤波。</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11.教师跟踪需与导播联动，可基于预设规则，根据教师所处讲台、学生区域及师生互动状态，自动切换教师特写、学生全景或特写画面，实现跟踪与画面切换的无缝协同。</w:t>
            </w:r>
            <w:r>
              <w:rPr>
                <w:rFonts w:hint="eastAsia" w:ascii="宋体" w:hAnsi="宋体" w:cs="宋体"/>
                <w:kern w:val="0"/>
                <w:sz w:val="22"/>
              </w:rPr>
              <w:br w:type="textWrapping"/>
            </w:r>
            <w:r>
              <w:rPr>
                <w:rFonts w:hint="eastAsia" w:ascii="宋体" w:hAnsi="宋体" w:cs="宋体"/>
                <w:kern w:val="0"/>
                <w:sz w:val="22"/>
              </w:rPr>
              <w:t>12.学生跟踪需与导播适配，能识别学生起立状态，单生起立自动切换至该生特写，多生同时起立优先切换学生全景后按发言顺序切换单生特写，学生坐下后可根据教师位置及教学状态回切至教师跟踪画面或电脑画面；</w:t>
            </w:r>
            <w:r>
              <w:rPr>
                <w:rFonts w:hint="eastAsia" w:ascii="宋体" w:hAnsi="宋体" w:cs="宋体"/>
                <w:kern w:val="0"/>
                <w:sz w:val="22"/>
              </w:rPr>
              <w:br w:type="textWrapping"/>
            </w:r>
            <w:r>
              <w:rPr>
                <w:rFonts w:hint="eastAsia" w:ascii="宋体" w:hAnsi="宋体" w:cs="宋体"/>
                <w:kern w:val="0"/>
                <w:sz w:val="22"/>
              </w:rPr>
              <w:t>13.需支持自定义导播规则与模板，可自主设定画面切换触发条件、优先级规则、画面停留时长及切换频率等参数，适配不同教学场景及管理需求。</w:t>
            </w:r>
          </w:p>
        </w:tc>
      </w:tr>
      <w:tr w14:paraId="0C57C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E78BCDE">
            <w:pPr>
              <w:widowControl/>
              <w:jc w:val="center"/>
              <w:rPr>
                <w:rFonts w:ascii="宋体" w:hAnsi="宋体" w:cs="宋体"/>
                <w:kern w:val="0"/>
                <w:sz w:val="22"/>
              </w:rPr>
            </w:pPr>
            <w:r>
              <w:rPr>
                <w:rFonts w:hint="eastAsia" w:ascii="宋体" w:hAnsi="宋体" w:cs="宋体"/>
                <w:kern w:val="0"/>
                <w:sz w:val="22"/>
              </w:rPr>
              <w:t>行为分析语音识别</w:t>
            </w:r>
          </w:p>
        </w:tc>
        <w:tc>
          <w:tcPr>
            <w:tcW w:w="7654" w:type="dxa"/>
            <w:tcBorders>
              <w:tl2br w:val="nil"/>
              <w:tr2bl w:val="nil"/>
            </w:tcBorders>
            <w:shd w:val="clear" w:color="000000" w:fill="FFFFFF"/>
            <w:vAlign w:val="center"/>
          </w:tcPr>
          <w:p w14:paraId="003260DF">
            <w:pPr>
              <w:widowControl/>
              <w:jc w:val="left"/>
              <w:rPr>
                <w:rFonts w:ascii="宋体" w:hAnsi="宋体" w:cs="宋体"/>
                <w:kern w:val="0"/>
                <w:sz w:val="22"/>
              </w:rPr>
            </w:pPr>
            <w:r>
              <w:rPr>
                <w:rFonts w:hint="eastAsia" w:ascii="宋体" w:hAnsi="宋体" w:cs="宋体"/>
                <w:kern w:val="0"/>
                <w:sz w:val="22"/>
              </w:rPr>
              <w:t>1.语音转写：要求基于语音语义识别完成课堂音频的文字转换，实现课堂教学过程语音全纪录，要求平台上可输出整节课的文字字幕。实现字幕与视频进度关联，通过点击字幕同步播放对应进度的视频；</w:t>
            </w:r>
            <w:r>
              <w:rPr>
                <w:rFonts w:hint="eastAsia" w:ascii="宋体" w:hAnsi="宋体" w:cs="宋体"/>
                <w:kern w:val="0"/>
                <w:sz w:val="22"/>
              </w:rPr>
              <w:br w:type="textWrapping"/>
            </w:r>
            <w:r>
              <w:rPr>
                <w:rFonts w:hint="eastAsia" w:ascii="宋体" w:hAnsi="宋体" w:cs="宋体"/>
                <w:kern w:val="0"/>
                <w:sz w:val="22"/>
              </w:rPr>
              <w:t>2.中英互译：支持视频课件的中英文翻译，支持中英文字幕实时切换；</w:t>
            </w:r>
            <w:r>
              <w:rPr>
                <w:rFonts w:hint="eastAsia" w:ascii="宋体" w:hAnsi="宋体" w:cs="宋体"/>
                <w:kern w:val="0"/>
                <w:sz w:val="22"/>
              </w:rPr>
              <w:br w:type="textWrapping"/>
            </w:r>
            <w:r>
              <w:rPr>
                <w:rFonts w:hint="eastAsia" w:ascii="宋体" w:hAnsi="宋体" w:cs="宋体"/>
                <w:kern w:val="0"/>
                <w:sz w:val="22"/>
              </w:rPr>
              <w:t>3.字幕设置：支持调整字幕字号大小，字号支持12px～60px可调；支持字幕颜色、位置、透明度设置；</w:t>
            </w:r>
            <w:r>
              <w:rPr>
                <w:rFonts w:hint="eastAsia" w:ascii="宋体" w:hAnsi="宋体" w:cs="宋体"/>
                <w:kern w:val="0"/>
                <w:sz w:val="22"/>
              </w:rPr>
              <w:br w:type="textWrapping"/>
            </w:r>
            <w:r>
              <w:rPr>
                <w:rFonts w:hint="eastAsia" w:ascii="宋体" w:hAnsi="宋体" w:cs="宋体"/>
                <w:kern w:val="0"/>
                <w:sz w:val="22"/>
              </w:rPr>
              <w:t>4.字幕管理：支持字幕文档管理，能够手动矫正所识别的字幕，支持再次识别字幕；</w:t>
            </w:r>
            <w:r>
              <w:rPr>
                <w:rFonts w:hint="eastAsia" w:ascii="宋体" w:hAnsi="宋体" w:cs="宋体"/>
                <w:kern w:val="0"/>
                <w:sz w:val="22"/>
              </w:rPr>
              <w:br w:type="textWrapping"/>
            </w:r>
            <w:r>
              <w:rPr>
                <w:rFonts w:hint="eastAsia" w:ascii="宋体" w:hAnsi="宋体" w:cs="宋体"/>
                <w:kern w:val="0"/>
                <w:sz w:val="22"/>
              </w:rPr>
              <w:t>5.敏感词管理：支持设置敏感词功能，支持自定义敏感词，支持根据需求实时添加、删除敏感词，支持设置敏感词属性，支持敏感词索引；</w:t>
            </w:r>
            <w:r>
              <w:rPr>
                <w:rFonts w:hint="eastAsia" w:ascii="宋体" w:hAnsi="宋体" w:cs="宋体"/>
                <w:kern w:val="0"/>
                <w:sz w:val="22"/>
              </w:rPr>
              <w:br w:type="textWrapping"/>
            </w:r>
            <w:r>
              <w:rPr>
                <w:rFonts w:hint="eastAsia" w:ascii="宋体" w:hAnsi="宋体" w:cs="宋体"/>
                <w:kern w:val="0"/>
                <w:sz w:val="22"/>
              </w:rPr>
              <w:t>6.敏感词屏蔽：支持敏感词屏蔽功能，语音转写时可自动屏蔽设置好的敏感词。</w:t>
            </w:r>
          </w:p>
        </w:tc>
      </w:tr>
      <w:tr w14:paraId="7429A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E00BB95">
            <w:pPr>
              <w:widowControl/>
              <w:jc w:val="center"/>
              <w:rPr>
                <w:rFonts w:ascii="宋体" w:hAnsi="宋体" w:cs="宋体"/>
                <w:kern w:val="0"/>
                <w:sz w:val="22"/>
              </w:rPr>
            </w:pPr>
            <w:r>
              <w:rPr>
                <w:rFonts w:hint="eastAsia" w:ascii="宋体" w:hAnsi="宋体" w:cs="宋体"/>
                <w:kern w:val="0"/>
                <w:sz w:val="22"/>
              </w:rPr>
              <w:t>4K超高清摄像机</w:t>
            </w:r>
          </w:p>
        </w:tc>
        <w:tc>
          <w:tcPr>
            <w:tcW w:w="7654" w:type="dxa"/>
            <w:tcBorders>
              <w:tl2br w:val="nil"/>
              <w:tr2bl w:val="nil"/>
            </w:tcBorders>
            <w:shd w:val="clear" w:color="000000" w:fill="FFFFFF"/>
            <w:vAlign w:val="center"/>
          </w:tcPr>
          <w:p w14:paraId="784DA189">
            <w:pPr>
              <w:widowControl/>
              <w:jc w:val="left"/>
              <w:rPr>
                <w:rFonts w:ascii="宋体" w:hAnsi="宋体" w:cs="宋体"/>
                <w:kern w:val="0"/>
                <w:sz w:val="22"/>
              </w:rPr>
            </w:pPr>
            <w:r>
              <w:rPr>
                <w:rFonts w:hint="eastAsia" w:ascii="宋体" w:hAnsi="宋体" w:cs="宋体"/>
                <w:kern w:val="0"/>
                <w:sz w:val="22"/>
              </w:rPr>
              <w:t>1.需支持≥1/2.8英寸CMOS图像传感器；有效像素需支持≥800万像素；</w:t>
            </w:r>
            <w:r>
              <w:rPr>
                <w:rFonts w:hint="eastAsia" w:ascii="宋体" w:hAnsi="宋体" w:cs="宋体"/>
                <w:kern w:val="0"/>
                <w:sz w:val="22"/>
              </w:rPr>
              <w:br w:type="textWrapping"/>
            </w:r>
            <w:r>
              <w:rPr>
                <w:rFonts w:hint="eastAsia" w:ascii="宋体" w:hAnsi="宋体" w:cs="宋体"/>
                <w:kern w:val="0"/>
                <w:sz w:val="22"/>
              </w:rPr>
              <w:t>2.光学变焦需支持≥20倍、需支持≥15倍数字变焦；</w:t>
            </w:r>
            <w:r>
              <w:rPr>
                <w:rFonts w:hint="eastAsia" w:ascii="宋体" w:hAnsi="宋体" w:cs="宋体"/>
                <w:kern w:val="0"/>
                <w:sz w:val="22"/>
              </w:rPr>
              <w:br w:type="textWrapping"/>
            </w:r>
            <w:r>
              <w:rPr>
                <w:rFonts w:hint="eastAsia" w:ascii="宋体" w:hAnsi="宋体" w:cs="宋体"/>
                <w:kern w:val="0"/>
                <w:sz w:val="22"/>
              </w:rPr>
              <w:t>3.视场角：≥6.5°～≥70°；需支持≥255个预置位；</w:t>
            </w:r>
            <w:r>
              <w:rPr>
                <w:rFonts w:hint="eastAsia" w:ascii="宋体" w:hAnsi="宋体" w:cs="宋体"/>
                <w:kern w:val="0"/>
                <w:sz w:val="22"/>
              </w:rPr>
              <w:br w:type="textWrapping"/>
            </w:r>
            <w:r>
              <w:rPr>
                <w:rFonts w:hint="eastAsia" w:ascii="宋体" w:hAnsi="宋体" w:cs="宋体"/>
                <w:kern w:val="0"/>
                <w:sz w:val="22"/>
              </w:rPr>
              <w:t>4.高清视频输出帧率：4KP30及向下兼容；</w:t>
            </w:r>
            <w:r>
              <w:rPr>
                <w:rFonts w:hint="eastAsia" w:ascii="宋体" w:hAnsi="宋体" w:cs="宋体"/>
                <w:kern w:val="0"/>
                <w:sz w:val="22"/>
              </w:rPr>
              <w:br w:type="textWrapping"/>
            </w:r>
            <w:r>
              <w:rPr>
                <w:rFonts w:hint="eastAsia" w:ascii="宋体" w:hAnsi="宋体" w:cs="宋体"/>
                <w:kern w:val="0"/>
                <w:sz w:val="22"/>
              </w:rPr>
              <w:t>5.支持网络输出，网络视频压缩：H.265、H.264，音频压缩：AAC；</w:t>
            </w:r>
            <w:r>
              <w:rPr>
                <w:rFonts w:hint="eastAsia" w:ascii="宋体" w:hAnsi="宋体" w:cs="宋体"/>
                <w:kern w:val="0"/>
                <w:sz w:val="22"/>
              </w:rPr>
              <w:br w:type="textWrapping"/>
            </w:r>
            <w:r>
              <w:rPr>
                <w:rFonts w:hint="eastAsia" w:ascii="宋体" w:hAnsi="宋体" w:cs="宋体"/>
                <w:kern w:val="0"/>
                <w:sz w:val="22"/>
              </w:rPr>
              <w:t>6.支持双码流视频输出，支持多级别视频质量配置；</w:t>
            </w:r>
            <w:r>
              <w:rPr>
                <w:rFonts w:hint="eastAsia" w:ascii="宋体" w:hAnsi="宋体" w:cs="宋体"/>
                <w:kern w:val="0"/>
                <w:sz w:val="22"/>
              </w:rPr>
              <w:br w:type="textWrapping"/>
            </w:r>
            <w:r>
              <w:rPr>
                <w:rFonts w:hint="eastAsia" w:ascii="宋体" w:hAnsi="宋体" w:cs="宋体"/>
                <w:kern w:val="0"/>
                <w:sz w:val="22"/>
              </w:rPr>
              <w:t>7.支持多种视频输出方式，包括但不限于3G-SDI、HDMI、网络、USB3.0视频输出；</w:t>
            </w:r>
            <w:r>
              <w:rPr>
                <w:rFonts w:hint="eastAsia" w:ascii="宋体" w:hAnsi="宋体" w:cs="宋体"/>
                <w:kern w:val="0"/>
                <w:sz w:val="22"/>
              </w:rPr>
              <w:br w:type="textWrapping"/>
            </w:r>
            <w:r>
              <w:rPr>
                <w:rFonts w:hint="eastAsia" w:ascii="宋体" w:hAnsi="宋体" w:cs="宋体"/>
                <w:kern w:val="0"/>
                <w:sz w:val="22"/>
              </w:rPr>
              <w:t>8.音频输出：需支持HDMI、SDI、LAN、USB3.0音频输出，需支持AAC、MP3、G.711A音频压缩格式；</w:t>
            </w:r>
            <w:r>
              <w:rPr>
                <w:rFonts w:hint="eastAsia" w:ascii="宋体" w:hAnsi="宋体" w:cs="宋体"/>
                <w:kern w:val="0"/>
                <w:sz w:val="22"/>
              </w:rPr>
              <w:br w:type="textWrapping"/>
            </w:r>
            <w:r>
              <w:rPr>
                <w:rFonts w:hint="eastAsia" w:ascii="宋体" w:hAnsi="宋体" w:cs="宋体"/>
                <w:kern w:val="0"/>
                <w:sz w:val="22"/>
              </w:rPr>
              <w:t>9.音视频接口：支持≥1路HDMI，≥1路SDI；支持≥1路双声道3.5mm的音频采集接口；</w:t>
            </w:r>
            <w:r>
              <w:rPr>
                <w:rFonts w:hint="eastAsia" w:ascii="宋体" w:hAnsi="宋体" w:cs="宋体"/>
                <w:kern w:val="0"/>
                <w:sz w:val="22"/>
              </w:rPr>
              <w:br w:type="textWrapping"/>
            </w:r>
            <w:r>
              <w:rPr>
                <w:rFonts w:hint="eastAsia" w:ascii="宋体" w:hAnsi="宋体" w:cs="宋体"/>
                <w:kern w:val="0"/>
                <w:sz w:val="22"/>
              </w:rPr>
              <w:t>10.网络接口：支持≥1路RJ45网口，10/100M自适应以太网口，支持POE供电；</w:t>
            </w:r>
            <w:r>
              <w:rPr>
                <w:rFonts w:hint="eastAsia" w:ascii="宋体" w:hAnsi="宋体" w:cs="宋体"/>
                <w:kern w:val="0"/>
                <w:sz w:val="22"/>
              </w:rPr>
              <w:br w:type="textWrapping"/>
            </w:r>
            <w:r>
              <w:rPr>
                <w:rFonts w:hint="eastAsia" w:ascii="宋体" w:hAnsi="宋体" w:cs="宋体"/>
                <w:kern w:val="0"/>
                <w:sz w:val="22"/>
              </w:rPr>
              <w:t>11.USB接口：支持≥1路USB3.0接口，需同时支持UVC（视频通讯协议）及UAC（音频通讯协议）；</w:t>
            </w:r>
            <w:r>
              <w:rPr>
                <w:rFonts w:hint="eastAsia" w:ascii="宋体" w:hAnsi="宋体" w:cs="宋体"/>
                <w:kern w:val="0"/>
                <w:sz w:val="22"/>
              </w:rPr>
              <w:br w:type="textWrapping"/>
            </w:r>
            <w:r>
              <w:rPr>
                <w:rFonts w:hint="eastAsia" w:ascii="宋体" w:hAnsi="宋体" w:cs="宋体"/>
                <w:kern w:val="0"/>
                <w:sz w:val="22"/>
              </w:rPr>
              <w:t>12.通讯接口：支持≥1路RS232IN，≥1路RS232OUT，≥1路RS422需兼容RS485；</w:t>
            </w:r>
          </w:p>
        </w:tc>
      </w:tr>
      <w:tr w14:paraId="0728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E68B367">
            <w:pPr>
              <w:widowControl/>
              <w:jc w:val="center"/>
              <w:rPr>
                <w:rFonts w:ascii="宋体" w:hAnsi="宋体" w:cs="宋体"/>
                <w:kern w:val="0"/>
                <w:sz w:val="22"/>
              </w:rPr>
            </w:pPr>
            <w:r>
              <w:rPr>
                <w:rFonts w:hint="eastAsia" w:ascii="宋体" w:hAnsi="宋体" w:cs="宋体"/>
                <w:kern w:val="0"/>
                <w:sz w:val="22"/>
              </w:rPr>
              <w:t>智能分析主机</w:t>
            </w:r>
          </w:p>
        </w:tc>
        <w:tc>
          <w:tcPr>
            <w:tcW w:w="7654" w:type="dxa"/>
            <w:tcBorders>
              <w:tl2br w:val="nil"/>
              <w:tr2bl w:val="nil"/>
            </w:tcBorders>
            <w:shd w:val="clear" w:color="000000" w:fill="FFFFFF"/>
            <w:vAlign w:val="center"/>
          </w:tcPr>
          <w:p w14:paraId="3B962266">
            <w:pPr>
              <w:widowControl/>
              <w:jc w:val="left"/>
              <w:rPr>
                <w:rFonts w:ascii="宋体" w:hAnsi="宋体" w:cs="宋体"/>
                <w:kern w:val="0"/>
                <w:sz w:val="22"/>
              </w:rPr>
            </w:pPr>
            <w:r>
              <w:rPr>
                <w:rFonts w:hint="eastAsia" w:ascii="宋体" w:hAnsi="宋体" w:cs="宋体"/>
                <w:kern w:val="0"/>
                <w:sz w:val="22"/>
              </w:rPr>
              <w:t>1.支持全自动智能拟人化拍摄，教师、学生无需佩戴任何跟踪设备，无需安装外接元器件、感应设备，跟踪拍摄全程无需人工干涉；采用内置图像定位算法，减少教室布线及设备连接故障点；</w:t>
            </w:r>
            <w:r>
              <w:rPr>
                <w:rFonts w:hint="eastAsia" w:ascii="宋体" w:hAnsi="宋体" w:cs="宋体"/>
                <w:kern w:val="0"/>
                <w:sz w:val="22"/>
              </w:rPr>
              <w:br w:type="textWrapping"/>
            </w:r>
            <w:r>
              <w:rPr>
                <w:rFonts w:hint="eastAsia" w:ascii="宋体" w:hAnsi="宋体" w:cs="宋体"/>
                <w:kern w:val="0"/>
                <w:sz w:val="22"/>
              </w:rPr>
              <w:t>2.设备采用嵌入式1U标准设计，内置Linux 操作系统，非PC架构；支持 7*24 小时工作；需配备千兆RJ45网络接口，支持Web页面管理，可通过网络远程管理设备；</w:t>
            </w:r>
            <w:r>
              <w:rPr>
                <w:rFonts w:hint="eastAsia" w:ascii="宋体" w:hAnsi="宋体" w:cs="宋体"/>
                <w:kern w:val="0"/>
                <w:sz w:val="22"/>
              </w:rPr>
              <w:br w:type="textWrapping"/>
            </w:r>
            <w:r>
              <w:rPr>
                <w:rFonts w:hint="eastAsia" w:ascii="宋体" w:hAnsi="宋体" w:cs="宋体"/>
                <w:kern w:val="0"/>
                <w:sz w:val="22"/>
              </w:rPr>
              <w:t>3.支持通过标准RTSP协议从网络摄像机获取视频信号，用于教师跟踪、学生定位算法分析；</w:t>
            </w:r>
            <w:r>
              <w:rPr>
                <w:rFonts w:hint="eastAsia" w:ascii="宋体" w:hAnsi="宋体" w:cs="宋体"/>
                <w:kern w:val="0"/>
                <w:sz w:val="22"/>
              </w:rPr>
              <w:br w:type="textWrapping"/>
            </w:r>
            <w:r>
              <w:rPr>
                <w:rFonts w:hint="eastAsia" w:ascii="宋体" w:hAnsi="宋体" w:cs="宋体"/>
                <w:kern w:val="0"/>
                <w:sz w:val="22"/>
              </w:rPr>
              <w:t>4.支持教师区、学生区、板书区多应用场景模块化智能分析，联动多机位云台摄像机实现自动化拟人摄像；</w:t>
            </w:r>
          </w:p>
        </w:tc>
      </w:tr>
      <w:tr w14:paraId="24F2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E0CB332">
            <w:pPr>
              <w:widowControl/>
              <w:jc w:val="center"/>
              <w:rPr>
                <w:rFonts w:ascii="宋体" w:hAnsi="宋体" w:cs="宋体"/>
                <w:kern w:val="0"/>
                <w:sz w:val="22"/>
              </w:rPr>
            </w:pPr>
            <w:r>
              <w:rPr>
                <w:rFonts w:hint="eastAsia" w:ascii="宋体" w:hAnsi="宋体" w:cs="宋体"/>
                <w:kern w:val="0"/>
                <w:sz w:val="22"/>
              </w:rPr>
              <w:t>图像跟踪系统</w:t>
            </w:r>
          </w:p>
        </w:tc>
        <w:tc>
          <w:tcPr>
            <w:tcW w:w="7654" w:type="dxa"/>
            <w:tcBorders>
              <w:tl2br w:val="nil"/>
              <w:tr2bl w:val="nil"/>
            </w:tcBorders>
            <w:shd w:val="clear" w:color="000000" w:fill="FFFFFF"/>
            <w:vAlign w:val="center"/>
          </w:tcPr>
          <w:p w14:paraId="69F4199B">
            <w:pPr>
              <w:widowControl/>
              <w:jc w:val="left"/>
              <w:rPr>
                <w:rFonts w:ascii="宋体" w:hAnsi="宋体" w:cs="宋体"/>
                <w:kern w:val="0"/>
                <w:sz w:val="22"/>
              </w:rPr>
            </w:pPr>
            <w:r>
              <w:rPr>
                <w:rFonts w:hint="eastAsia" w:ascii="宋体" w:hAnsi="宋体" w:cs="宋体"/>
                <w:kern w:val="0"/>
                <w:sz w:val="22"/>
              </w:rPr>
              <w:t>1.支持教师人脸识别开启SOT伴随式跟踪模式，锁定教师目标后伴随移动跟踪，保持目标画面最佳比例，适配讲台内/走下讲台场景；具备抗干扰能力，多目标环境下不丢失已锁定目标；</w:t>
            </w:r>
            <w:r>
              <w:rPr>
                <w:rFonts w:hint="eastAsia" w:ascii="宋体" w:hAnsi="宋体" w:cs="宋体"/>
                <w:kern w:val="0"/>
                <w:sz w:val="22"/>
              </w:rPr>
              <w:br w:type="textWrapping"/>
            </w:r>
            <w:r>
              <w:rPr>
                <w:rFonts w:hint="eastAsia" w:ascii="宋体" w:hAnsi="宋体" w:cs="宋体"/>
                <w:kern w:val="0"/>
                <w:sz w:val="22"/>
              </w:rPr>
              <w:t>2.需支持学生AI跟踪定位，可根据站立学生数量自动调整跟踪策略；</w:t>
            </w:r>
            <w:r>
              <w:rPr>
                <w:rFonts w:hint="eastAsia" w:ascii="宋体" w:hAnsi="宋体" w:cs="宋体"/>
                <w:kern w:val="0"/>
                <w:sz w:val="22"/>
              </w:rPr>
              <w:br w:type="textWrapping"/>
            </w:r>
            <w:r>
              <w:rPr>
                <w:rFonts w:hint="eastAsia" w:ascii="宋体" w:hAnsi="宋体" w:cs="宋体"/>
                <w:kern w:val="0"/>
                <w:sz w:val="22"/>
              </w:rPr>
              <w:t>3.需支持教师站立、走动、巡视、板书、互动行为统计，按时间节点在Web端实时呈现行为时序图表；</w:t>
            </w:r>
            <w:r>
              <w:rPr>
                <w:rFonts w:hint="eastAsia" w:ascii="宋体" w:hAnsi="宋体" w:cs="宋体"/>
                <w:kern w:val="0"/>
                <w:sz w:val="22"/>
              </w:rPr>
              <w:br w:type="textWrapping"/>
            </w:r>
            <w:r>
              <w:rPr>
                <w:rFonts w:hint="eastAsia" w:ascii="宋体" w:hAnsi="宋体" w:cs="宋体"/>
                <w:kern w:val="0"/>
                <w:sz w:val="22"/>
              </w:rPr>
              <w:t>4.▲支持学生、教师AI人脸识别考勤，支持手动开启/停止识别，可配置人脸识别阈值、动态特征分数等参数；</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5.配合管理平台支持考勤时长自定义，可设定课前提前、课后延后考勤时间；支持按课表时间自动考勤，按课程记录与显示考勤数据；</w:t>
            </w:r>
            <w:r>
              <w:rPr>
                <w:rFonts w:hint="eastAsia" w:ascii="宋体" w:hAnsi="宋体" w:cs="宋体"/>
                <w:kern w:val="0"/>
                <w:sz w:val="22"/>
              </w:rPr>
              <w:br w:type="textWrapping"/>
            </w:r>
            <w:r>
              <w:rPr>
                <w:rFonts w:hint="eastAsia" w:ascii="宋体" w:hAnsi="宋体" w:cs="宋体"/>
                <w:kern w:val="0"/>
                <w:sz w:val="22"/>
              </w:rPr>
              <w:t>6.任课教师可查看授课期间、每日学生考勤记录；考勤统计（包括但不限于签到、迟到、早退等）支持Web端、移动端呈现；</w:t>
            </w:r>
            <w:r>
              <w:rPr>
                <w:rFonts w:hint="eastAsia" w:ascii="宋体" w:hAnsi="宋体" w:cs="宋体"/>
                <w:kern w:val="0"/>
                <w:sz w:val="22"/>
              </w:rPr>
              <w:br w:type="textWrapping"/>
            </w:r>
            <w:r>
              <w:rPr>
                <w:rFonts w:hint="eastAsia" w:ascii="宋体" w:hAnsi="宋体" w:cs="宋体"/>
                <w:kern w:val="0"/>
                <w:sz w:val="22"/>
              </w:rPr>
              <w:t>7.支持单个学生考勤维度查询（包括但不限于考勤次数、出勤次数、缺勤次数、出勤率），通过Web端可查看单个学生每课堂考勤详情；</w:t>
            </w:r>
            <w:r>
              <w:rPr>
                <w:rFonts w:hint="eastAsia" w:ascii="宋体" w:hAnsi="宋体" w:cs="宋体"/>
                <w:kern w:val="0"/>
                <w:sz w:val="22"/>
              </w:rPr>
              <w:br w:type="textWrapping"/>
            </w:r>
            <w:r>
              <w:rPr>
                <w:rFonts w:hint="eastAsia" w:ascii="宋体" w:hAnsi="宋体" w:cs="宋体"/>
                <w:kern w:val="0"/>
                <w:sz w:val="22"/>
              </w:rPr>
              <w:t>8.▲支持对课堂上学生举手、站立、趴桌子、向后看等行为识别；支持对课堂中出现的异常行为进行实时统计，支持在Web端呈现异常行为统计详情；</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9.支持课堂学情分析功能，维度包括前排就坐率、抬头率、空座率；</w:t>
            </w:r>
            <w:r>
              <w:rPr>
                <w:rFonts w:hint="eastAsia" w:ascii="宋体" w:hAnsi="宋体" w:cs="宋体"/>
                <w:kern w:val="0"/>
                <w:sz w:val="22"/>
              </w:rPr>
              <w:br w:type="textWrapping"/>
            </w:r>
            <w:r>
              <w:rPr>
                <w:rFonts w:hint="eastAsia" w:ascii="宋体" w:hAnsi="宋体" w:cs="宋体"/>
                <w:kern w:val="0"/>
                <w:sz w:val="22"/>
              </w:rPr>
              <w:t>10.Web端支持呈现单课程数据：应到人数、实到人数、到课率、前排就座率、课堂抓拍；11.学情分析结果在web端支持多种展示方式，包括曲线图形式显示，曲线高低节点实现抬头率数据对比，形成教室数据分析与学生数据分析；</w:t>
            </w:r>
            <w:r>
              <w:rPr>
                <w:rFonts w:hint="eastAsia" w:ascii="宋体" w:hAnsi="宋体" w:cs="宋体"/>
                <w:kern w:val="0"/>
                <w:sz w:val="22"/>
              </w:rPr>
              <w:br w:type="textWrapping"/>
            </w:r>
            <w:r>
              <w:rPr>
                <w:rFonts w:hint="eastAsia" w:ascii="宋体" w:hAnsi="宋体" w:cs="宋体"/>
                <w:kern w:val="0"/>
                <w:sz w:val="22"/>
              </w:rPr>
              <w:t>12.支持视频预监，可预览教师、学生景别；支持景别切换功能；</w:t>
            </w:r>
            <w:r>
              <w:rPr>
                <w:rFonts w:hint="eastAsia" w:ascii="宋体" w:hAnsi="宋体" w:cs="宋体"/>
                <w:kern w:val="0"/>
                <w:sz w:val="22"/>
              </w:rPr>
              <w:br w:type="textWrapping"/>
            </w:r>
            <w:r>
              <w:rPr>
                <w:rFonts w:hint="eastAsia" w:ascii="宋体" w:hAnsi="宋体" w:cs="宋体"/>
                <w:kern w:val="0"/>
                <w:sz w:val="22"/>
              </w:rPr>
              <w:t>13.配合导播规则，实现教学过程全自动4—5机位画面切换，教师全景1路、教师特写1路、学生全景1路、学生特写1路、板书画面1路；</w:t>
            </w:r>
            <w:r>
              <w:rPr>
                <w:rFonts w:hint="eastAsia" w:ascii="宋体" w:hAnsi="宋体" w:cs="宋体"/>
                <w:kern w:val="0"/>
                <w:sz w:val="22"/>
              </w:rPr>
              <w:br w:type="textWrapping"/>
            </w:r>
            <w:r>
              <w:rPr>
                <w:rFonts w:hint="eastAsia" w:ascii="宋体" w:hAnsi="宋体" w:cs="宋体"/>
                <w:kern w:val="0"/>
                <w:sz w:val="22"/>
              </w:rPr>
              <w:t>14.需支持有课表模式：教师进入教室，人脸识别启动跟踪，切换教师特写；教师离开教室切换教师全景。学生站立先切换学生全景，特写到位后切换学生特写；学生坐下后切换回教师特写；</w:t>
            </w:r>
          </w:p>
        </w:tc>
      </w:tr>
      <w:tr w14:paraId="29B5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B06B3C3">
            <w:pPr>
              <w:widowControl/>
              <w:jc w:val="center"/>
              <w:rPr>
                <w:rFonts w:ascii="宋体" w:hAnsi="宋体" w:cs="宋体"/>
                <w:kern w:val="0"/>
                <w:sz w:val="22"/>
              </w:rPr>
            </w:pPr>
            <w:r>
              <w:rPr>
                <w:rFonts w:hint="eastAsia" w:ascii="宋体" w:hAnsi="宋体" w:cs="宋体"/>
                <w:kern w:val="0"/>
                <w:sz w:val="22"/>
              </w:rPr>
              <w:t>屏幕采集系统</w:t>
            </w:r>
          </w:p>
        </w:tc>
        <w:tc>
          <w:tcPr>
            <w:tcW w:w="7654" w:type="dxa"/>
            <w:tcBorders>
              <w:tl2br w:val="nil"/>
              <w:tr2bl w:val="nil"/>
            </w:tcBorders>
            <w:shd w:val="clear" w:color="000000" w:fill="FFFFFF"/>
            <w:vAlign w:val="center"/>
          </w:tcPr>
          <w:p w14:paraId="5AAEF702">
            <w:pPr>
              <w:widowControl/>
              <w:jc w:val="left"/>
              <w:rPr>
                <w:rFonts w:ascii="宋体" w:hAnsi="宋体" w:cs="宋体"/>
                <w:kern w:val="0"/>
                <w:sz w:val="22"/>
              </w:rPr>
            </w:pPr>
            <w:r>
              <w:rPr>
                <w:rFonts w:hint="eastAsia" w:ascii="宋体" w:hAnsi="宋体" w:cs="宋体"/>
                <w:kern w:val="0"/>
                <w:sz w:val="22"/>
              </w:rPr>
              <w:t>1.▲屏幕采集系统要能够实现对教师授课电脑的单屏幕采集，双屏幕采集和双屏分开同时采集功能。</w:t>
            </w:r>
            <w:r>
              <w:rPr>
                <w:rFonts w:hint="eastAsia" w:ascii="宋体" w:hAnsi="宋体" w:cs="宋体"/>
                <w:b/>
                <w:bCs/>
                <w:kern w:val="0"/>
                <w:sz w:val="22"/>
              </w:rPr>
              <w:t>（响应时提供软件界面截图佐证）</w:t>
            </w:r>
          </w:p>
          <w:p w14:paraId="2C7A49C4">
            <w:pPr>
              <w:widowControl/>
              <w:jc w:val="left"/>
              <w:rPr>
                <w:rFonts w:ascii="宋体" w:hAnsi="宋体" w:cs="宋体"/>
                <w:kern w:val="0"/>
                <w:sz w:val="22"/>
              </w:rPr>
            </w:pPr>
            <w:r>
              <w:rPr>
                <w:rFonts w:hint="eastAsia" w:ascii="宋体" w:hAnsi="宋体" w:cs="宋体"/>
                <w:kern w:val="0"/>
                <w:sz w:val="22"/>
              </w:rPr>
              <w:t>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p>
          <w:p w14:paraId="1F14DBCD">
            <w:pPr>
              <w:widowControl/>
              <w:jc w:val="left"/>
              <w:rPr>
                <w:rFonts w:ascii="宋体" w:hAnsi="宋体" w:cs="宋体"/>
                <w:kern w:val="0"/>
                <w:sz w:val="22"/>
              </w:rPr>
            </w:pPr>
            <w:r>
              <w:rPr>
                <w:rFonts w:hint="eastAsia" w:ascii="宋体" w:hAnsi="宋体" w:cs="宋体"/>
                <w:kern w:val="0"/>
                <w:sz w:val="22"/>
              </w:rPr>
              <w:t>3.支持软件采集老师计算机屏幕内容，采集方式支持支持1920x1080分辨率及以上，最大支持3840x1200分辨率，采集帧率达到30帧每秒，最终生成课件老师计算机屏幕部分达到高清，无失真现象。</w:t>
            </w:r>
          </w:p>
          <w:p w14:paraId="77226E06">
            <w:pPr>
              <w:widowControl/>
              <w:jc w:val="left"/>
              <w:rPr>
                <w:rFonts w:ascii="宋体" w:hAnsi="宋体" w:cs="宋体"/>
                <w:kern w:val="0"/>
                <w:sz w:val="22"/>
              </w:rPr>
            </w:pPr>
            <w:r>
              <w:rPr>
                <w:rFonts w:hint="eastAsia" w:ascii="宋体" w:hAnsi="宋体" w:cs="宋体"/>
                <w:kern w:val="0"/>
                <w:sz w:val="22"/>
              </w:rPr>
              <w:t>4.支持设置观看采集的子码流的分辨率、码流和帧率。</w:t>
            </w:r>
          </w:p>
        </w:tc>
      </w:tr>
      <w:tr w14:paraId="7390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1D9053E">
            <w:pPr>
              <w:widowControl/>
              <w:jc w:val="center"/>
              <w:rPr>
                <w:rFonts w:ascii="宋体" w:hAnsi="宋体" w:cs="宋体"/>
                <w:kern w:val="0"/>
                <w:sz w:val="22"/>
              </w:rPr>
            </w:pPr>
            <w:r>
              <w:rPr>
                <w:rFonts w:hint="eastAsia" w:ascii="宋体" w:hAnsi="宋体" w:cs="宋体"/>
                <w:kern w:val="0"/>
                <w:sz w:val="22"/>
              </w:rPr>
              <w:t>小组讨论终端</w:t>
            </w:r>
          </w:p>
        </w:tc>
        <w:tc>
          <w:tcPr>
            <w:tcW w:w="7654" w:type="dxa"/>
            <w:tcBorders>
              <w:tl2br w:val="nil"/>
              <w:tr2bl w:val="nil"/>
            </w:tcBorders>
            <w:shd w:val="clear" w:color="000000" w:fill="FFFFFF"/>
            <w:vAlign w:val="center"/>
          </w:tcPr>
          <w:p w14:paraId="359B5A80">
            <w:pPr>
              <w:widowControl/>
              <w:jc w:val="left"/>
              <w:rPr>
                <w:rFonts w:ascii="宋体" w:hAnsi="宋体"/>
                <w:kern w:val="0"/>
                <w:sz w:val="22"/>
              </w:rPr>
            </w:pPr>
            <w:r>
              <w:rPr>
                <w:rFonts w:hint="eastAsia" w:ascii="宋体" w:hAnsi="宋体"/>
                <w:kern w:val="0"/>
                <w:sz w:val="22"/>
              </w:rPr>
              <w:t>一、整体设计</w:t>
            </w:r>
          </w:p>
          <w:p w14:paraId="7ECC77A9">
            <w:pPr>
              <w:widowControl/>
              <w:jc w:val="left"/>
              <w:rPr>
                <w:rFonts w:ascii="宋体" w:hAnsi="宋体"/>
                <w:kern w:val="0"/>
                <w:sz w:val="22"/>
              </w:rPr>
            </w:pPr>
            <w:r>
              <w:rPr>
                <w:rFonts w:hint="eastAsia" w:ascii="宋体" w:hAnsi="宋体"/>
                <w:kern w:val="0"/>
                <w:sz w:val="22"/>
              </w:rPr>
              <w:t>1.整机采用边框与背板一体化冲压成型结构，上左右三边边框与背板非拼接组装结构，连接处无拼缝。整机左、右、下三边框皆具备磁吸功能，边框任意位置可吸附具备磁吸功能的书写笔。</w:t>
            </w:r>
          </w:p>
          <w:p w14:paraId="2C5EAD07">
            <w:pPr>
              <w:widowControl/>
              <w:jc w:val="left"/>
              <w:rPr>
                <w:rFonts w:ascii="宋体" w:hAnsi="宋体"/>
                <w:kern w:val="0"/>
                <w:sz w:val="22"/>
              </w:rPr>
            </w:pPr>
            <w:r>
              <w:rPr>
                <w:rFonts w:hint="eastAsia" w:ascii="宋体" w:hAnsi="宋体"/>
                <w:kern w:val="0"/>
                <w:sz w:val="22"/>
              </w:rPr>
              <w:t>2.屏幕采用≥75英寸液晶显示器，采</w:t>
            </w:r>
            <w:r>
              <w:rPr>
                <w:rFonts w:hint="eastAsia" w:ascii="微软雅黑" w:hAnsi="微软雅黑" w:eastAsia="微软雅黑" w:cs="微软雅黑"/>
                <w:kern w:val="0"/>
                <w:sz w:val="22"/>
              </w:rPr>
              <w:t>⽤</w:t>
            </w:r>
            <w:r>
              <w:rPr>
                <w:rFonts w:hint="eastAsia" w:ascii="宋体" w:hAnsi="宋体"/>
                <w:kern w:val="0"/>
                <w:sz w:val="22"/>
              </w:rPr>
              <w:t>LED液晶A规屏，显示</w:t>
            </w:r>
            <w:r>
              <w:rPr>
                <w:rFonts w:hint="eastAsia" w:ascii="微软雅黑" w:hAnsi="微软雅黑" w:eastAsia="微软雅黑" w:cs="微软雅黑"/>
                <w:kern w:val="0"/>
                <w:sz w:val="22"/>
              </w:rPr>
              <w:t>⽐</w:t>
            </w:r>
            <w:r>
              <w:rPr>
                <w:rFonts w:hint="eastAsia" w:ascii="宋体" w:hAnsi="宋体" w:cs="宋体"/>
                <w:kern w:val="0"/>
                <w:sz w:val="22"/>
              </w:rPr>
              <w:t>例</w:t>
            </w:r>
            <w:r>
              <w:rPr>
                <w:rFonts w:hint="eastAsia" w:ascii="宋体" w:hAnsi="宋体"/>
                <w:kern w:val="0"/>
                <w:sz w:val="22"/>
              </w:rPr>
              <w:t>16:9。显示分辨率3840*2160，可视</w:t>
            </w:r>
            <w:r>
              <w:rPr>
                <w:rFonts w:hint="eastAsia" w:ascii="微软雅黑" w:hAnsi="微软雅黑" w:eastAsia="微软雅黑" w:cs="微软雅黑"/>
                <w:kern w:val="0"/>
                <w:sz w:val="22"/>
              </w:rPr>
              <w:t>⻆</w:t>
            </w:r>
            <w:r>
              <w:rPr>
                <w:rFonts w:hint="eastAsia" w:ascii="宋体" w:hAnsi="宋体" w:cs="宋体"/>
                <w:kern w:val="0"/>
                <w:sz w:val="22"/>
              </w:rPr>
              <w:t>度≥</w:t>
            </w:r>
            <w:r>
              <w:rPr>
                <w:rFonts w:hint="eastAsia" w:ascii="宋体" w:hAnsi="宋体"/>
                <w:kern w:val="0"/>
                <w:sz w:val="22"/>
              </w:rPr>
              <w:t>178°。</w:t>
            </w:r>
          </w:p>
          <w:p w14:paraId="1C797FA5">
            <w:pPr>
              <w:widowControl/>
              <w:jc w:val="left"/>
              <w:rPr>
                <w:rFonts w:ascii="宋体" w:hAnsi="宋体"/>
                <w:kern w:val="0"/>
                <w:sz w:val="22"/>
              </w:rPr>
            </w:pPr>
            <w:r>
              <w:rPr>
                <w:rFonts w:hint="eastAsia" w:ascii="宋体" w:hAnsi="宋体"/>
                <w:kern w:val="0"/>
                <w:sz w:val="22"/>
              </w:rPr>
              <w:t>3.侧置输入接口具备≥2路HDMI、1路RS232（RJ45形态）、1路USB接口，1路音频输出、1路触控USB输出；前置输入接口≥3路USB接口（包含1路Type-C、2路USB）。</w:t>
            </w:r>
          </w:p>
          <w:p w14:paraId="1331EBBE">
            <w:pPr>
              <w:widowControl/>
              <w:jc w:val="left"/>
              <w:rPr>
                <w:rFonts w:ascii="宋体" w:hAnsi="宋体"/>
                <w:kern w:val="0"/>
                <w:sz w:val="22"/>
              </w:rPr>
            </w:pPr>
            <w:r>
              <w:rPr>
                <w:rFonts w:hint="eastAsia" w:ascii="宋体" w:hAnsi="宋体"/>
                <w:kern w:val="0"/>
                <w:sz w:val="22"/>
              </w:rPr>
              <w:t>4.整机采用红外触控技术，Windows系统和Android系统均支持≥50点触控及书写划线。</w:t>
            </w:r>
          </w:p>
          <w:p w14:paraId="2B222A58">
            <w:pPr>
              <w:widowControl/>
              <w:jc w:val="left"/>
              <w:rPr>
                <w:rFonts w:ascii="宋体" w:hAnsi="宋体"/>
                <w:kern w:val="0"/>
                <w:sz w:val="22"/>
              </w:rPr>
            </w:pPr>
            <w:r>
              <w:rPr>
                <w:rFonts w:hint="eastAsia" w:ascii="宋体" w:hAnsi="宋体"/>
                <w:kern w:val="0"/>
                <w:sz w:val="22"/>
              </w:rPr>
              <w:t>5.整机嵌入式系统版本≥Android 15，主频≥1.6GHz。</w:t>
            </w:r>
          </w:p>
          <w:p w14:paraId="0AC1779A">
            <w:pPr>
              <w:widowControl/>
              <w:jc w:val="left"/>
              <w:rPr>
                <w:rFonts w:ascii="宋体" w:hAnsi="宋体"/>
                <w:kern w:val="0"/>
                <w:sz w:val="22"/>
              </w:rPr>
            </w:pPr>
            <w:r>
              <w:rPr>
                <w:rFonts w:hint="eastAsia" w:ascii="宋体" w:hAnsi="宋体"/>
                <w:kern w:val="0"/>
                <w:sz w:val="22"/>
              </w:rPr>
              <w:t>6.整机设备内置2.2声道扬声器，前朝向发声，12W高音扬声器2个，上朝向30W中低音扬声器2个，最大功率≥84W，全部扬声器无需打开背板即可单独拆卸。</w:t>
            </w:r>
          </w:p>
          <w:p w14:paraId="365D561C">
            <w:pPr>
              <w:widowControl/>
              <w:jc w:val="left"/>
              <w:rPr>
                <w:rFonts w:ascii="宋体" w:hAnsi="宋体"/>
                <w:kern w:val="0"/>
                <w:sz w:val="22"/>
              </w:rPr>
            </w:pPr>
            <w:r>
              <w:rPr>
                <w:rFonts w:hint="eastAsia" w:ascii="宋体" w:hAnsi="宋体"/>
                <w:kern w:val="0"/>
                <w:sz w:val="22"/>
              </w:rPr>
              <w:t>7.整机内置非独立外扩展的4阵列麦克风，可用于对教室环境音频进行采集，麦克风拾音距离≥12米。</w:t>
            </w:r>
          </w:p>
          <w:p w14:paraId="5636914D">
            <w:pPr>
              <w:widowControl/>
              <w:jc w:val="left"/>
              <w:rPr>
                <w:rFonts w:ascii="宋体" w:hAnsi="宋体"/>
                <w:kern w:val="0"/>
                <w:sz w:val="22"/>
              </w:rPr>
            </w:pPr>
            <w:r>
              <w:rPr>
                <w:rFonts w:hint="eastAsia" w:ascii="宋体" w:hAnsi="宋体"/>
                <w:kern w:val="0"/>
                <w:sz w:val="22"/>
              </w:rPr>
              <w:t>8.整机听力模式下具备AI人声语言增强功能，支持三挡强弱调节。</w:t>
            </w:r>
          </w:p>
          <w:p w14:paraId="0A9310A2">
            <w:pPr>
              <w:widowControl/>
              <w:jc w:val="left"/>
              <w:rPr>
                <w:rFonts w:ascii="宋体" w:hAnsi="宋体"/>
                <w:kern w:val="0"/>
                <w:sz w:val="22"/>
              </w:rPr>
            </w:pPr>
            <w:r>
              <w:rPr>
                <w:rFonts w:hint="eastAsia" w:ascii="宋体" w:hAnsi="宋体"/>
                <w:kern w:val="0"/>
                <w:sz w:val="22"/>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484D27AA">
            <w:pPr>
              <w:widowControl/>
              <w:jc w:val="left"/>
              <w:rPr>
                <w:rFonts w:ascii="宋体" w:hAnsi="宋体"/>
                <w:kern w:val="0"/>
                <w:sz w:val="22"/>
              </w:rPr>
            </w:pPr>
            <w:r>
              <w:rPr>
                <w:rFonts w:hint="eastAsia" w:ascii="宋体" w:hAnsi="宋体"/>
                <w:kern w:val="0"/>
                <w:sz w:val="22"/>
              </w:rPr>
              <w:t>10.整机上边框内置非独立摄像头，采用一体化集成设计，</w:t>
            </w:r>
            <w:r>
              <w:rPr>
                <w:rFonts w:hint="eastAsia" w:ascii="微软雅黑" w:hAnsi="微软雅黑" w:eastAsia="微软雅黑" w:cs="微软雅黑"/>
                <w:kern w:val="0"/>
                <w:sz w:val="22"/>
              </w:rPr>
              <w:t>⽀</w:t>
            </w:r>
            <w:r>
              <w:rPr>
                <w:rFonts w:hint="eastAsia" w:ascii="宋体" w:hAnsi="宋体" w:cs="宋体"/>
                <w:kern w:val="0"/>
                <w:sz w:val="22"/>
              </w:rPr>
              <w:t>持输出</w:t>
            </w:r>
            <w:r>
              <w:rPr>
                <w:rFonts w:hint="eastAsia" w:ascii="宋体" w:hAnsi="宋体"/>
                <w:kern w:val="0"/>
                <w:sz w:val="22"/>
              </w:rPr>
              <w:t>4:3、16:9</w:t>
            </w:r>
            <w:r>
              <w:rPr>
                <w:rFonts w:hint="eastAsia" w:ascii="微软雅黑" w:hAnsi="微软雅黑" w:eastAsia="微软雅黑" w:cs="微软雅黑"/>
                <w:kern w:val="0"/>
                <w:sz w:val="22"/>
              </w:rPr>
              <w:t>⽐</w:t>
            </w:r>
            <w:r>
              <w:rPr>
                <w:rFonts w:hint="eastAsia" w:ascii="宋体" w:hAnsi="宋体" w:cs="宋体"/>
                <w:kern w:val="0"/>
                <w:sz w:val="22"/>
              </w:rPr>
              <w:t>例的图</w:t>
            </w:r>
            <w:r>
              <w:rPr>
                <w:rFonts w:hint="eastAsia" w:ascii="微软雅黑" w:hAnsi="微软雅黑" w:eastAsia="微软雅黑" w:cs="微软雅黑"/>
                <w:kern w:val="0"/>
                <w:sz w:val="22"/>
              </w:rPr>
              <w:t>⽚</w:t>
            </w:r>
            <w:r>
              <w:rPr>
                <w:rFonts w:hint="eastAsia" w:ascii="宋体" w:hAnsi="宋体"/>
                <w:kern w:val="0"/>
                <w:sz w:val="22"/>
              </w:rPr>
              <w:t>和视频，支持拍摄＞1600 万像素数的照片和视频，支持输出 4k 分辨率的视频。</w:t>
            </w:r>
          </w:p>
          <w:p w14:paraId="13680E1A">
            <w:pPr>
              <w:widowControl/>
              <w:jc w:val="left"/>
              <w:rPr>
                <w:rFonts w:ascii="宋体" w:hAnsi="宋体"/>
                <w:kern w:val="0"/>
                <w:sz w:val="22"/>
              </w:rPr>
            </w:pPr>
            <w:r>
              <w:rPr>
                <w:rFonts w:hint="eastAsia" w:ascii="宋体" w:hAnsi="宋体"/>
                <w:kern w:val="0"/>
                <w:sz w:val="22"/>
              </w:rPr>
              <w:t>11.整机内置双WiFi6无线网卡（不接受外接），在Android和Windows系统下，可实现Wi-Fi无线上网连接、AP无线热点发射。Wi-Fi制式支持IEEE 802.11 a/b/g/n/ac/ax；支持版本Wi-Fi6。</w:t>
            </w:r>
          </w:p>
          <w:p w14:paraId="128D1096">
            <w:pPr>
              <w:widowControl/>
              <w:jc w:val="left"/>
              <w:rPr>
                <w:rFonts w:ascii="宋体" w:hAnsi="宋体"/>
                <w:kern w:val="0"/>
                <w:sz w:val="22"/>
              </w:rPr>
            </w:pPr>
            <w:r>
              <w:rPr>
                <w:rFonts w:hint="eastAsia" w:ascii="宋体" w:hAnsi="宋体"/>
                <w:kern w:val="0"/>
                <w:sz w:val="22"/>
              </w:rPr>
              <w:t>12.整机内置超声波发射单元，可主动发射超声波信号，信号频率范围包含 18kHz～22kHz，满足课堂声源智能定位跟踪应用要求。智能手机和笔记本电脑接收超声波信号后可以自动识别附近投屏设备，点击对应设备即可完成投屏操作。</w:t>
            </w:r>
          </w:p>
          <w:p w14:paraId="7EAAE90D">
            <w:pPr>
              <w:widowControl/>
              <w:jc w:val="left"/>
              <w:rPr>
                <w:rFonts w:ascii="宋体" w:hAnsi="宋体"/>
                <w:kern w:val="0"/>
                <w:sz w:val="22"/>
              </w:rPr>
            </w:pPr>
            <w:r>
              <w:rPr>
                <w:rFonts w:hint="eastAsia" w:ascii="宋体" w:hAnsi="宋体"/>
                <w:kern w:val="0"/>
                <w:sz w:val="22"/>
              </w:rPr>
              <w:t>13.整机配套教学应用APP可通过wifi直连技术，近场发现附近教学大屏设备，无需扫码、账号密码输入步骤，即可直接连接并登录教学大屏设备，基于统一身份认证机制可实现其他教学软件免登录操作。</w:t>
            </w:r>
          </w:p>
          <w:p w14:paraId="490DD7E5">
            <w:pPr>
              <w:widowControl/>
              <w:jc w:val="left"/>
              <w:rPr>
                <w:rFonts w:ascii="宋体" w:hAnsi="宋体"/>
                <w:kern w:val="0"/>
                <w:sz w:val="22"/>
              </w:rPr>
            </w:pPr>
            <w:r>
              <w:rPr>
                <w:rFonts w:hint="eastAsia" w:ascii="宋体" w:hAnsi="宋体"/>
                <w:kern w:val="0"/>
                <w:sz w:val="22"/>
              </w:rPr>
              <w:t>14.整机Windows通道支持文件传输应用，支持通过扫码、超声、wifi直连三种方式与手机进行握手连接，实现文件传输功能。</w:t>
            </w:r>
          </w:p>
          <w:p w14:paraId="2B4E9942">
            <w:pPr>
              <w:widowControl/>
              <w:jc w:val="left"/>
              <w:rPr>
                <w:rFonts w:ascii="宋体" w:hAnsi="宋体"/>
                <w:kern w:val="0"/>
                <w:sz w:val="22"/>
              </w:rPr>
            </w:pPr>
            <w:r>
              <w:rPr>
                <w:rFonts w:hint="eastAsia" w:ascii="宋体" w:hAnsi="宋体"/>
                <w:kern w:val="0"/>
                <w:sz w:val="22"/>
              </w:rPr>
              <w:t>15.整机内置AR授课工具，支持对视频展台所采集的画面中叠加动态的3D 模型。</w:t>
            </w:r>
          </w:p>
          <w:p w14:paraId="25F14979">
            <w:pPr>
              <w:widowControl/>
              <w:jc w:val="left"/>
              <w:rPr>
                <w:rFonts w:ascii="宋体" w:hAnsi="宋体"/>
                <w:kern w:val="0"/>
                <w:sz w:val="22"/>
              </w:rPr>
            </w:pPr>
            <w:r>
              <w:rPr>
                <w:rFonts w:hint="eastAsia" w:ascii="宋体" w:hAnsi="宋体"/>
                <w:kern w:val="0"/>
                <w:sz w:val="22"/>
              </w:rPr>
              <w:t>二、插拔式电脑模块：</w:t>
            </w:r>
          </w:p>
          <w:p w14:paraId="03F38A9C">
            <w:pPr>
              <w:widowControl/>
              <w:jc w:val="left"/>
              <w:rPr>
                <w:rFonts w:ascii="宋体" w:hAnsi="宋体"/>
                <w:kern w:val="0"/>
                <w:sz w:val="22"/>
              </w:rPr>
            </w:pPr>
            <w:r>
              <w:rPr>
                <w:rFonts w:hint="eastAsia" w:ascii="宋体" w:hAnsi="宋体"/>
                <w:kern w:val="0"/>
                <w:sz w:val="22"/>
              </w:rPr>
              <w:t>1、采用按压式卡扣，无需工具即可快速拆卸电脑模块。</w:t>
            </w:r>
          </w:p>
          <w:p w14:paraId="1BEBBD74">
            <w:pPr>
              <w:widowControl/>
              <w:jc w:val="left"/>
              <w:rPr>
                <w:rFonts w:ascii="宋体" w:hAnsi="宋体"/>
                <w:kern w:val="0"/>
                <w:sz w:val="22"/>
              </w:rPr>
            </w:pPr>
            <w:r>
              <w:rPr>
                <w:rFonts w:hint="eastAsia" w:ascii="宋体" w:hAnsi="宋体"/>
                <w:kern w:val="0"/>
                <w:sz w:val="22"/>
              </w:rPr>
              <w:t>2、PC模块和整机的连接采用万兆级接口，传输速率≥10Gbps。</w:t>
            </w:r>
          </w:p>
          <w:p w14:paraId="3651E598">
            <w:pPr>
              <w:widowControl/>
              <w:jc w:val="left"/>
              <w:rPr>
                <w:rFonts w:ascii="宋体" w:hAnsi="宋体"/>
                <w:kern w:val="0"/>
                <w:sz w:val="22"/>
              </w:rPr>
            </w:pPr>
            <w:r>
              <w:rPr>
                <w:rFonts w:hint="eastAsia" w:ascii="宋体" w:hAnsi="宋体"/>
                <w:kern w:val="0"/>
                <w:sz w:val="22"/>
              </w:rPr>
              <w:t>3、电脑模块CPU要求：主频≥2.0GHz，8核心十二线程；配置要求：不低于 DDR4 8GB内存，256GB SSD硬盘；接口要求：≥1路HDMI，≥3路USB。</w:t>
            </w:r>
          </w:p>
          <w:p w14:paraId="4A780916">
            <w:pPr>
              <w:widowControl/>
              <w:jc w:val="left"/>
              <w:rPr>
                <w:rFonts w:ascii="宋体" w:hAnsi="宋体"/>
                <w:kern w:val="0"/>
                <w:sz w:val="22"/>
              </w:rPr>
            </w:pPr>
            <w:r>
              <w:rPr>
                <w:rFonts w:hint="eastAsia" w:ascii="宋体" w:hAnsi="宋体"/>
                <w:kern w:val="0"/>
                <w:sz w:val="22"/>
              </w:rPr>
              <w:t>三、备授课功能：</w:t>
            </w:r>
          </w:p>
          <w:p w14:paraId="20C28C9E">
            <w:pPr>
              <w:widowControl/>
              <w:jc w:val="left"/>
              <w:rPr>
                <w:rFonts w:ascii="宋体" w:hAnsi="宋体"/>
                <w:kern w:val="0"/>
                <w:sz w:val="22"/>
              </w:rPr>
            </w:pPr>
            <w:r>
              <w:rPr>
                <w:rFonts w:hint="eastAsia" w:ascii="宋体" w:hAnsi="宋体"/>
                <w:kern w:val="0"/>
                <w:sz w:val="22"/>
              </w:rPr>
              <w:t>1.为教师提供可扩展的云存储空间≥100T。</w:t>
            </w:r>
          </w:p>
          <w:p w14:paraId="513EEDAD">
            <w:pPr>
              <w:widowControl/>
              <w:jc w:val="left"/>
              <w:rPr>
                <w:rFonts w:ascii="宋体" w:hAnsi="宋体"/>
                <w:kern w:val="0"/>
                <w:sz w:val="22"/>
              </w:rPr>
            </w:pPr>
            <w:r>
              <w:rPr>
                <w:rFonts w:hint="eastAsia" w:ascii="宋体" w:hAnsi="宋体"/>
                <w:kern w:val="0"/>
                <w:sz w:val="22"/>
              </w:rPr>
              <w:t>2.支持分组管理云课件，用户可自定义分组名称，并根据需要将课件分类管理。</w:t>
            </w:r>
          </w:p>
          <w:p w14:paraId="0209D370">
            <w:pPr>
              <w:widowControl/>
              <w:jc w:val="left"/>
              <w:rPr>
                <w:rFonts w:ascii="宋体" w:hAnsi="宋体"/>
                <w:kern w:val="0"/>
                <w:sz w:val="22"/>
              </w:rPr>
            </w:pPr>
            <w:r>
              <w:rPr>
                <w:rFonts w:hint="eastAsia" w:ascii="宋体" w:hAnsi="宋体"/>
                <w:kern w:val="0"/>
                <w:sz w:val="22"/>
              </w:rPr>
              <w:t>3.支持点对点分享云课件，用户可在软件中直接将课件发送给其它用户，同时也可以在软件中直接接收并打开其它用户分享的课件。</w:t>
            </w:r>
          </w:p>
          <w:p w14:paraId="25F14283">
            <w:pPr>
              <w:widowControl/>
              <w:jc w:val="left"/>
              <w:rPr>
                <w:rFonts w:ascii="宋体" w:hAnsi="宋体"/>
                <w:kern w:val="0"/>
                <w:sz w:val="22"/>
              </w:rPr>
            </w:pPr>
            <w:r>
              <w:rPr>
                <w:rFonts w:hint="eastAsia" w:ascii="宋体" w:hAnsi="宋体"/>
                <w:kern w:val="0"/>
                <w:sz w:val="22"/>
              </w:rPr>
              <w:t>4.支持多人在选择书写工具的状态下同时书写和擦除，互不影响，方便不同学生在屏幕上同时书写。</w:t>
            </w:r>
          </w:p>
          <w:p w14:paraId="2C069730">
            <w:pPr>
              <w:widowControl/>
              <w:jc w:val="left"/>
              <w:rPr>
                <w:rFonts w:ascii="宋体" w:hAnsi="宋体"/>
                <w:kern w:val="0"/>
                <w:sz w:val="22"/>
              </w:rPr>
            </w:pPr>
            <w:r>
              <w:rPr>
                <w:rFonts w:hint="eastAsia" w:ascii="宋体" w:hAnsi="宋体"/>
                <w:kern w:val="0"/>
                <w:sz w:val="22"/>
              </w:rPr>
              <w:t>5.支持创建互动分类游戏，系统需提供不少于10种游戏模板，直接选择并输入相应内容即可轻松生成互动分类游戏，提升课堂趣味性。</w:t>
            </w:r>
          </w:p>
          <w:p w14:paraId="4BE5530D">
            <w:pPr>
              <w:widowControl/>
              <w:jc w:val="left"/>
              <w:rPr>
                <w:rFonts w:ascii="宋体" w:hAnsi="宋体"/>
                <w:kern w:val="0"/>
                <w:sz w:val="22"/>
              </w:rPr>
            </w:pPr>
            <w:r>
              <w:rPr>
                <w:rFonts w:hint="eastAsia" w:ascii="宋体" w:hAnsi="宋体"/>
                <w:kern w:val="0"/>
                <w:sz w:val="22"/>
              </w:rPr>
              <w:t>6.提供思维导图、鱼骨图及组织结构图编辑功能，可轻松增删或拖拽编辑内容节点，并支持在节点上插入图片、音频、视频、网页链接、课件页面链接。支持思维导图逐级、逐个节点展开，并可任意缩放，满足不同演示需求。</w:t>
            </w:r>
          </w:p>
          <w:p w14:paraId="6E8C115D">
            <w:pPr>
              <w:widowControl/>
              <w:jc w:val="left"/>
              <w:rPr>
                <w:rFonts w:ascii="宋体" w:hAnsi="宋体"/>
                <w:kern w:val="0"/>
                <w:sz w:val="22"/>
              </w:rPr>
            </w:pPr>
            <w:r>
              <w:rPr>
                <w:rFonts w:hint="eastAsia" w:ascii="宋体" w:hAnsi="宋体"/>
                <w:kern w:val="0"/>
                <w:sz w:val="22"/>
              </w:rPr>
              <w:t>7.支持任意对象自定义路径动画设置，可绘制任意的移动轨迹并让对象沿着轨迹路径进行移动，可单独设置该动画通过翻页或单击对象本身进行触发。</w:t>
            </w:r>
          </w:p>
          <w:p w14:paraId="140CEB3E">
            <w:pPr>
              <w:widowControl/>
              <w:jc w:val="left"/>
              <w:rPr>
                <w:rFonts w:ascii="宋体" w:hAnsi="宋体"/>
                <w:kern w:val="0"/>
                <w:sz w:val="22"/>
              </w:rPr>
            </w:pPr>
            <w:r>
              <w:rPr>
                <w:rFonts w:hint="eastAsia" w:ascii="宋体" w:hAnsi="宋体"/>
                <w:kern w:val="0"/>
                <w:sz w:val="22"/>
              </w:rPr>
              <w:t>8.提供不少于30个物理及化学三维实验视频，覆盖常用经典教学实验。</w:t>
            </w:r>
          </w:p>
          <w:p w14:paraId="443DBB4A">
            <w:pPr>
              <w:widowControl/>
              <w:jc w:val="left"/>
              <w:rPr>
                <w:rFonts w:ascii="宋体" w:hAnsi="宋体"/>
                <w:kern w:val="0"/>
                <w:sz w:val="22"/>
              </w:rPr>
            </w:pPr>
            <w:r>
              <w:rPr>
                <w:rFonts w:hint="eastAsia" w:ascii="宋体" w:hAnsi="宋体"/>
                <w:kern w:val="0"/>
                <w:sz w:val="22"/>
              </w:rPr>
              <w:t>9.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p>
          <w:p w14:paraId="5F659E15">
            <w:pPr>
              <w:widowControl/>
              <w:jc w:val="left"/>
              <w:rPr>
                <w:rFonts w:ascii="宋体" w:hAnsi="宋体"/>
                <w:kern w:val="0"/>
                <w:sz w:val="22"/>
              </w:rPr>
            </w:pPr>
            <w:r>
              <w:rPr>
                <w:rFonts w:hint="eastAsia" w:ascii="宋体" w:hAnsi="宋体"/>
                <w:kern w:val="0"/>
                <w:sz w:val="22"/>
              </w:rPr>
              <w:t>四：直播课堂功能：</w:t>
            </w:r>
          </w:p>
          <w:p w14:paraId="22153F98">
            <w:pPr>
              <w:widowControl/>
              <w:jc w:val="left"/>
              <w:rPr>
                <w:rFonts w:ascii="宋体" w:hAnsi="宋体"/>
                <w:kern w:val="0"/>
                <w:sz w:val="22"/>
              </w:rPr>
            </w:pPr>
            <w:r>
              <w:rPr>
                <w:rFonts w:hint="eastAsia" w:ascii="宋体" w:hAnsi="宋体"/>
                <w:kern w:val="0"/>
                <w:sz w:val="22"/>
              </w:rPr>
              <w:t>1.支持一键开课，教师可通过一键开课生成海报，学生可通过扫描海报微信二维码加入直播课堂，无需额外安装APP。</w:t>
            </w:r>
          </w:p>
          <w:p w14:paraId="177860EB">
            <w:pPr>
              <w:widowControl/>
              <w:jc w:val="left"/>
              <w:rPr>
                <w:rFonts w:ascii="宋体" w:hAnsi="宋体"/>
                <w:kern w:val="0"/>
                <w:sz w:val="22"/>
              </w:rPr>
            </w:pPr>
            <w:r>
              <w:rPr>
                <w:rFonts w:hint="eastAsia" w:ascii="宋体" w:hAnsi="宋体"/>
                <w:kern w:val="0"/>
                <w:sz w:val="22"/>
              </w:rPr>
              <w:t>2.支持远程课件互动，教师可指定授权学生远程互动，并且互动学生可在课件画面进行书写、移动、擦除、参与远程互动，操作内容实时同步给班级其他学生，且可支持最少五位学生同时参与远程互动。</w:t>
            </w:r>
          </w:p>
          <w:p w14:paraId="30486447">
            <w:pPr>
              <w:widowControl/>
              <w:jc w:val="left"/>
              <w:rPr>
                <w:rFonts w:ascii="宋体" w:hAnsi="宋体"/>
                <w:kern w:val="0"/>
                <w:sz w:val="22"/>
              </w:rPr>
            </w:pPr>
            <w:r>
              <w:rPr>
                <w:rFonts w:hint="eastAsia" w:ascii="宋体" w:hAnsi="宋体"/>
                <w:kern w:val="0"/>
                <w:sz w:val="22"/>
              </w:rPr>
              <w:t>3.课堂奖励工具：直播过程中可向学生发放奖杯，学生在线学习获得的奖杯数量累积统计。</w:t>
            </w:r>
          </w:p>
          <w:p w14:paraId="148A7E9F">
            <w:pPr>
              <w:widowControl/>
              <w:jc w:val="left"/>
              <w:rPr>
                <w:rFonts w:ascii="宋体" w:hAnsi="宋体"/>
                <w:kern w:val="0"/>
                <w:sz w:val="22"/>
              </w:rPr>
            </w:pPr>
            <w:r>
              <w:rPr>
                <w:rFonts w:hint="eastAsia" w:ascii="宋体" w:hAnsi="宋体"/>
                <w:kern w:val="0"/>
                <w:sz w:val="22"/>
              </w:rPr>
              <w:t>4.远程考勤管理：直播课程结束后，后台自动统计报名学生名单和学生学习清单。</w:t>
            </w:r>
          </w:p>
          <w:p w14:paraId="6A1BE928">
            <w:pPr>
              <w:widowControl/>
              <w:jc w:val="left"/>
              <w:rPr>
                <w:rFonts w:ascii="宋体" w:hAnsi="宋体"/>
                <w:kern w:val="0"/>
                <w:sz w:val="22"/>
              </w:rPr>
            </w:pPr>
            <w:r>
              <w:rPr>
                <w:rFonts w:hint="eastAsia" w:ascii="宋体" w:hAnsi="宋体"/>
                <w:kern w:val="0"/>
                <w:sz w:val="22"/>
              </w:rPr>
              <w:t>5.课程回放：课程结束后自动生成直播回放，报名课程的学生可反复学习；回放课程自动保存在云端，支持人工删除。</w:t>
            </w:r>
          </w:p>
          <w:p w14:paraId="1FAFB889">
            <w:pPr>
              <w:widowControl/>
              <w:jc w:val="left"/>
              <w:rPr>
                <w:rFonts w:ascii="宋体" w:hAnsi="宋体"/>
                <w:kern w:val="0"/>
                <w:sz w:val="22"/>
              </w:rPr>
            </w:pPr>
            <w:r>
              <w:rPr>
                <w:rFonts w:hint="eastAsia" w:ascii="宋体" w:hAnsi="宋体"/>
                <w:kern w:val="0"/>
                <w:sz w:val="22"/>
              </w:rPr>
              <w:t>五、微课功能：</w:t>
            </w:r>
          </w:p>
          <w:p w14:paraId="3938446B">
            <w:pPr>
              <w:widowControl/>
              <w:jc w:val="left"/>
              <w:rPr>
                <w:rFonts w:ascii="宋体" w:hAnsi="宋体"/>
                <w:kern w:val="0"/>
                <w:sz w:val="22"/>
              </w:rPr>
            </w:pPr>
            <w:r>
              <w:rPr>
                <w:rFonts w:hint="eastAsia" w:ascii="宋体" w:hAnsi="宋体"/>
                <w:kern w:val="0"/>
                <w:sz w:val="22"/>
              </w:rPr>
              <w:t>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p>
          <w:p w14:paraId="0A353B4F">
            <w:pPr>
              <w:widowControl/>
              <w:jc w:val="left"/>
              <w:rPr>
                <w:rFonts w:ascii="宋体" w:hAnsi="宋体"/>
                <w:kern w:val="0"/>
                <w:sz w:val="22"/>
              </w:rPr>
            </w:pPr>
            <w:r>
              <w:rPr>
                <w:rFonts w:hint="eastAsia" w:ascii="宋体" w:hAnsi="宋体"/>
                <w:kern w:val="0"/>
                <w:sz w:val="22"/>
              </w:rPr>
              <w:t>2.支持选择云端课件录制、本地文件录制、模板录制三种模式，录制的微课内容存储于云端，本地文件录制模式支持不少3种文件格式，模板录制模式提供至少5种模板类型。</w:t>
            </w:r>
          </w:p>
          <w:p w14:paraId="3B8AC506">
            <w:pPr>
              <w:widowControl/>
              <w:jc w:val="left"/>
              <w:rPr>
                <w:rFonts w:ascii="宋体" w:hAnsi="宋体"/>
                <w:kern w:val="0"/>
                <w:sz w:val="22"/>
              </w:rPr>
            </w:pPr>
            <w:r>
              <w:rPr>
                <w:rFonts w:hint="eastAsia" w:ascii="宋体" w:hAnsi="宋体"/>
                <w:kern w:val="0"/>
                <w:sz w:val="22"/>
              </w:rPr>
              <w:t>3.支持回收微课的观看结果，辅助教师分析学情。支持查看微课整体数据，包括：观看次数、观看人数、点赞次数、完课率、平均观看时长等信息。</w:t>
            </w:r>
          </w:p>
          <w:p w14:paraId="4A4CDF22">
            <w:pPr>
              <w:widowControl/>
              <w:jc w:val="left"/>
              <w:rPr>
                <w:rFonts w:ascii="宋体" w:hAnsi="宋体"/>
                <w:kern w:val="0"/>
                <w:sz w:val="22"/>
              </w:rPr>
            </w:pPr>
            <w:r>
              <w:rPr>
                <w:rFonts w:hint="eastAsia" w:ascii="宋体" w:hAnsi="宋体"/>
                <w:kern w:val="0"/>
                <w:sz w:val="22"/>
              </w:rPr>
              <w:t>4.支持查看每个观看者的详细观看结果，包括：学生姓名、观看时长、观看次数、互动参与度、答题正确率等信息。</w:t>
            </w:r>
          </w:p>
          <w:p w14:paraId="31B9E75E">
            <w:pPr>
              <w:widowControl/>
              <w:jc w:val="left"/>
              <w:rPr>
                <w:rFonts w:ascii="宋体" w:hAnsi="宋体"/>
                <w:kern w:val="0"/>
                <w:sz w:val="22"/>
              </w:rPr>
            </w:pPr>
            <w:r>
              <w:rPr>
                <w:rFonts w:hint="eastAsia" w:ascii="宋体" w:hAnsi="宋体"/>
                <w:kern w:val="0"/>
                <w:sz w:val="22"/>
              </w:rPr>
              <w:t>六、集体备课：</w:t>
            </w:r>
          </w:p>
          <w:p w14:paraId="795DDB21">
            <w:pPr>
              <w:widowControl/>
              <w:jc w:val="left"/>
              <w:rPr>
                <w:rFonts w:ascii="宋体" w:hAnsi="宋体"/>
                <w:kern w:val="0"/>
                <w:sz w:val="22"/>
              </w:rPr>
            </w:pPr>
            <w:r>
              <w:rPr>
                <w:rFonts w:hint="eastAsia" w:ascii="宋体" w:hAnsi="宋体"/>
                <w:kern w:val="0"/>
                <w:sz w:val="22"/>
              </w:rPr>
              <w:t>1.发起集备：支持选择教案、课件资源上传发起集备研讨，支持设置多重访问权限，通过手机号搜索即可邀请外校老师，可用于跨校教研场景。</w:t>
            </w:r>
          </w:p>
          <w:p w14:paraId="06E7E9E9">
            <w:pPr>
              <w:widowControl/>
              <w:jc w:val="left"/>
              <w:rPr>
                <w:rFonts w:ascii="宋体" w:hAnsi="宋体"/>
                <w:kern w:val="0"/>
                <w:sz w:val="22"/>
              </w:rPr>
            </w:pPr>
            <w:r>
              <w:rPr>
                <w:rFonts w:hint="eastAsia" w:ascii="宋体" w:hAnsi="宋体"/>
                <w:kern w:val="0"/>
                <w:sz w:val="22"/>
              </w:rPr>
              <w:t>2.稿件编辑：完成本次研讨后，主备人可直接进入编辑页面编辑课件/教案，发布新稿件后，备课组进入下一轮打磨更新稿件后会给参备老师实时同步教研动态。</w:t>
            </w:r>
          </w:p>
          <w:p w14:paraId="155292EC">
            <w:pPr>
              <w:rPr>
                <w:szCs w:val="21"/>
              </w:rPr>
            </w:pPr>
            <w:r>
              <w:rPr>
                <w:rFonts w:hint="eastAsia" w:ascii="宋体" w:hAnsi="宋体"/>
                <w:kern w:val="0"/>
                <w:sz w:val="22"/>
              </w:rPr>
              <w:t>3.生成集备报告：支持生成集备报告，报告生成后，参备人可查看具体报告内容和下载集备报告。报告内包含集备信息、数据统计、研讨记录的具体内容。</w:t>
            </w:r>
          </w:p>
          <w:p w14:paraId="4092FD46">
            <w:pPr>
              <w:widowControl/>
              <w:jc w:val="left"/>
              <w:rPr>
                <w:rFonts w:ascii="宋体" w:hAnsi="宋体" w:cs="宋体"/>
                <w:kern w:val="0"/>
                <w:sz w:val="22"/>
              </w:rPr>
            </w:pPr>
          </w:p>
        </w:tc>
      </w:tr>
      <w:tr w14:paraId="47A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FCBC2A4">
            <w:pPr>
              <w:widowControl/>
              <w:jc w:val="center"/>
              <w:rPr>
                <w:rFonts w:ascii="宋体" w:hAnsi="宋体" w:cs="宋体"/>
                <w:kern w:val="0"/>
                <w:sz w:val="22"/>
              </w:rPr>
            </w:pPr>
            <w:r>
              <w:rPr>
                <w:rFonts w:hint="eastAsia" w:ascii="宋体" w:hAnsi="宋体" w:cs="宋体"/>
                <w:kern w:val="0"/>
                <w:sz w:val="22"/>
              </w:rPr>
              <w:t>智慧讲桌</w:t>
            </w:r>
          </w:p>
        </w:tc>
        <w:tc>
          <w:tcPr>
            <w:tcW w:w="7654" w:type="dxa"/>
            <w:tcBorders>
              <w:tl2br w:val="nil"/>
              <w:tr2bl w:val="nil"/>
            </w:tcBorders>
            <w:shd w:val="clear" w:color="000000" w:fill="FFFFFF"/>
            <w:vAlign w:val="center"/>
          </w:tcPr>
          <w:p w14:paraId="4ED052A9">
            <w:pPr>
              <w:widowControl/>
              <w:jc w:val="left"/>
              <w:rPr>
                <w:rFonts w:ascii="宋体" w:hAnsi="宋体" w:cs="宋体"/>
                <w:kern w:val="0"/>
                <w:sz w:val="22"/>
              </w:rPr>
            </w:pPr>
            <w:r>
              <w:rPr>
                <w:rFonts w:hint="eastAsia" w:ascii="宋体" w:hAnsi="宋体" w:cs="宋体"/>
                <w:kern w:val="0"/>
                <w:sz w:val="22"/>
              </w:rPr>
              <w:t>1.桌板前部具备多层板弯曲而成的木色高围挡设计，表面喷漆。高度≥100mm；</w:t>
            </w:r>
            <w:r>
              <w:rPr>
                <w:rFonts w:hint="eastAsia" w:ascii="宋体" w:hAnsi="宋体" w:cs="宋体"/>
                <w:kern w:val="0"/>
                <w:sz w:val="22"/>
              </w:rPr>
              <w:br w:type="textWrapping"/>
            </w:r>
            <w:r>
              <w:rPr>
                <w:rFonts w:hint="eastAsia" w:ascii="宋体" w:hAnsi="宋体" w:cs="宋体"/>
                <w:kern w:val="0"/>
                <w:sz w:val="22"/>
              </w:rPr>
              <w:t>2.桌板尺寸至少1424mm×710mm，桌面需采用PVC直封边；</w:t>
            </w:r>
            <w:r>
              <w:rPr>
                <w:rFonts w:hint="eastAsia" w:ascii="宋体" w:hAnsi="宋体" w:cs="宋体"/>
                <w:kern w:val="0"/>
                <w:sz w:val="22"/>
              </w:rPr>
              <w:br w:type="textWrapping"/>
            </w:r>
            <w:r>
              <w:rPr>
                <w:rFonts w:hint="eastAsia" w:ascii="宋体" w:hAnsi="宋体" w:cs="宋体"/>
                <w:kern w:val="0"/>
                <w:sz w:val="22"/>
              </w:rPr>
              <w:t>3.桌架需采用优质钢材，表面处理选用静电喷涂技术；</w:t>
            </w:r>
            <w:r>
              <w:rPr>
                <w:rFonts w:hint="eastAsia" w:ascii="宋体" w:hAnsi="宋体" w:cs="宋体"/>
                <w:kern w:val="0"/>
                <w:sz w:val="22"/>
              </w:rPr>
              <w:br w:type="textWrapping"/>
            </w:r>
            <w:r>
              <w:rPr>
                <w:rFonts w:hint="eastAsia" w:ascii="宋体" w:hAnsi="宋体" w:cs="宋体"/>
                <w:kern w:val="0"/>
                <w:sz w:val="22"/>
              </w:rPr>
              <w:t>4.桌面前部具备有完整平面，可自由粘贴校徽LOGO；</w:t>
            </w:r>
            <w:r>
              <w:rPr>
                <w:rFonts w:hint="eastAsia" w:ascii="宋体" w:hAnsi="宋体" w:cs="宋体"/>
                <w:kern w:val="0"/>
                <w:sz w:val="22"/>
              </w:rPr>
              <w:br w:type="textWrapping"/>
            </w:r>
            <w:r>
              <w:rPr>
                <w:rFonts w:hint="eastAsia" w:ascii="宋体" w:hAnsi="宋体" w:cs="宋体"/>
                <w:kern w:val="0"/>
                <w:sz w:val="22"/>
              </w:rPr>
              <w:t>5.讲桌设计有机柜设备安装支架，安装数量≥8U，前后门都可以打开方便维护；</w:t>
            </w:r>
            <w:r>
              <w:rPr>
                <w:rFonts w:hint="eastAsia" w:ascii="宋体" w:hAnsi="宋体" w:cs="宋体"/>
                <w:kern w:val="0"/>
                <w:sz w:val="22"/>
              </w:rPr>
              <w:br w:type="textWrapping"/>
            </w:r>
            <w:r>
              <w:rPr>
                <w:rFonts w:hint="eastAsia" w:ascii="宋体" w:hAnsi="宋体" w:cs="宋体"/>
                <w:kern w:val="0"/>
                <w:sz w:val="22"/>
              </w:rPr>
              <w:t>6.桌面上至少需具备1个以上万能5孔220V电源插座、1个以上的USB接口，1路笔记本电脑的标准HDMI输入接口；</w:t>
            </w:r>
            <w:r>
              <w:rPr>
                <w:rFonts w:hint="eastAsia" w:ascii="宋体" w:hAnsi="宋体" w:cs="宋体"/>
                <w:kern w:val="0"/>
                <w:sz w:val="22"/>
              </w:rPr>
              <w:br w:type="textWrapping"/>
            </w:r>
            <w:r>
              <w:rPr>
                <w:rFonts w:hint="eastAsia" w:ascii="宋体" w:hAnsi="宋体" w:cs="宋体"/>
                <w:kern w:val="0"/>
                <w:sz w:val="22"/>
              </w:rPr>
              <w:t>7.老师接触位置为木质桌面，采用E0级免漆板，环保耐磨，厚度 ≥ 25mm；</w:t>
            </w:r>
            <w:r>
              <w:rPr>
                <w:rFonts w:hint="eastAsia" w:ascii="宋体" w:hAnsi="宋体" w:cs="宋体"/>
                <w:kern w:val="0"/>
                <w:sz w:val="22"/>
              </w:rPr>
              <w:br w:type="textWrapping"/>
            </w:r>
            <w:r>
              <w:rPr>
                <w:rFonts w:hint="eastAsia" w:ascii="宋体" w:hAnsi="宋体" w:cs="宋体"/>
                <w:kern w:val="0"/>
                <w:sz w:val="22"/>
              </w:rPr>
              <w:t>8.桌面边缘具有塑料杯托放置水杯；</w:t>
            </w:r>
            <w:r>
              <w:rPr>
                <w:rFonts w:hint="eastAsia" w:ascii="宋体" w:hAnsi="宋体" w:cs="宋体"/>
                <w:kern w:val="0"/>
                <w:sz w:val="22"/>
              </w:rPr>
              <w:br w:type="textWrapping"/>
            </w:r>
            <w:r>
              <w:rPr>
                <w:rFonts w:hint="eastAsia" w:ascii="宋体" w:hAnsi="宋体" w:cs="宋体"/>
                <w:kern w:val="0"/>
                <w:sz w:val="22"/>
              </w:rPr>
              <w:t>9.显示器支架调节：显示器支架具有轨道可整体抽出，方便教师操作屏幕；显示器支架可支持电动翻转，可翻转角度≥15°，同时显示器支架底座设计键鼠收纳空间，用于存放键鼠设备；</w:t>
            </w:r>
            <w:r>
              <w:rPr>
                <w:rFonts w:hint="eastAsia" w:ascii="宋体" w:hAnsi="宋体" w:cs="宋体"/>
                <w:kern w:val="0"/>
                <w:sz w:val="22"/>
              </w:rPr>
              <w:br w:type="textWrapping"/>
            </w:r>
            <w:r>
              <w:rPr>
                <w:rFonts w:hint="eastAsia" w:ascii="宋体" w:hAnsi="宋体" w:cs="宋体"/>
                <w:kern w:val="0"/>
                <w:sz w:val="22"/>
              </w:rPr>
              <w:t>10.讲桌需具备电动升降结构，桌面离地总高度不小于700mm~1200mm；</w:t>
            </w:r>
            <w:r>
              <w:rPr>
                <w:rFonts w:hint="eastAsia" w:ascii="宋体" w:hAnsi="宋体" w:cs="宋体"/>
                <w:kern w:val="0"/>
                <w:sz w:val="22"/>
              </w:rPr>
              <w:br w:type="textWrapping"/>
            </w:r>
            <w:r>
              <w:rPr>
                <w:rFonts w:hint="eastAsia" w:ascii="宋体" w:hAnsi="宋体" w:cs="宋体"/>
                <w:kern w:val="0"/>
                <w:sz w:val="22"/>
              </w:rPr>
              <w:t>11.讲桌下部具有储物空间，可供教师临时存放书本、书包等用品；</w:t>
            </w:r>
            <w:r>
              <w:rPr>
                <w:rFonts w:hint="eastAsia" w:ascii="宋体" w:hAnsi="宋体" w:cs="宋体"/>
                <w:kern w:val="0"/>
                <w:sz w:val="22"/>
              </w:rPr>
              <w:br w:type="textWrapping"/>
            </w:r>
            <w:r>
              <w:rPr>
                <w:rFonts w:hint="eastAsia" w:ascii="宋体" w:hAnsi="宋体" w:cs="宋体"/>
                <w:kern w:val="0"/>
                <w:sz w:val="22"/>
              </w:rPr>
              <w:t>12.讲桌需预留第三方中控安装位置以及安装支架，支持第三方中控接入讲桌。</w:t>
            </w:r>
          </w:p>
        </w:tc>
      </w:tr>
      <w:tr w14:paraId="0C8E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C59E8E3">
            <w:pPr>
              <w:widowControl/>
              <w:jc w:val="center"/>
              <w:rPr>
                <w:rFonts w:ascii="宋体" w:hAnsi="宋体" w:cs="宋体"/>
                <w:kern w:val="0"/>
                <w:sz w:val="22"/>
              </w:rPr>
            </w:pPr>
            <w:r>
              <w:rPr>
                <w:rFonts w:hint="eastAsia" w:ascii="宋体" w:hAnsi="宋体" w:cs="宋体"/>
                <w:kern w:val="0"/>
                <w:sz w:val="22"/>
              </w:rPr>
              <w:t>多屏协作模块</w:t>
            </w:r>
          </w:p>
        </w:tc>
        <w:tc>
          <w:tcPr>
            <w:tcW w:w="7654" w:type="dxa"/>
            <w:tcBorders>
              <w:tl2br w:val="nil"/>
              <w:tr2bl w:val="nil"/>
            </w:tcBorders>
            <w:shd w:val="clear" w:color="000000" w:fill="FFFFFF"/>
            <w:vAlign w:val="center"/>
          </w:tcPr>
          <w:p w14:paraId="77234C91">
            <w:pPr>
              <w:widowControl/>
              <w:jc w:val="left"/>
              <w:rPr>
                <w:rFonts w:ascii="宋体" w:hAnsi="宋体" w:cs="宋体"/>
                <w:kern w:val="0"/>
                <w:sz w:val="22"/>
              </w:rPr>
            </w:pPr>
            <w:r>
              <w:rPr>
                <w:rFonts w:hint="eastAsia" w:ascii="宋体" w:hAnsi="宋体" w:cs="宋体"/>
                <w:kern w:val="0"/>
                <w:sz w:val="22"/>
              </w:rPr>
              <w:t>一、硬件指标：</w:t>
            </w:r>
            <w:r>
              <w:rPr>
                <w:rFonts w:hint="eastAsia" w:ascii="宋体" w:hAnsi="宋体" w:cs="宋体"/>
                <w:kern w:val="0"/>
                <w:sz w:val="22"/>
              </w:rPr>
              <w:br w:type="textWrapping"/>
            </w:r>
            <w:r>
              <w:rPr>
                <w:rFonts w:hint="eastAsia" w:ascii="宋体" w:hAnsi="宋体" w:cs="宋体"/>
                <w:kern w:val="0"/>
                <w:sz w:val="22"/>
              </w:rPr>
              <w:t>1.整机需采用嵌入式架构，控制屏整体需采用≥20英寸一体化设计，莫氏硬度≥7级；</w:t>
            </w:r>
            <w:r>
              <w:rPr>
                <w:rFonts w:hint="eastAsia" w:ascii="宋体" w:hAnsi="宋体" w:cs="宋体"/>
                <w:kern w:val="0"/>
                <w:sz w:val="22"/>
              </w:rPr>
              <w:br w:type="textWrapping"/>
            </w:r>
            <w:r>
              <w:rPr>
                <w:rFonts w:hint="eastAsia" w:ascii="宋体" w:hAnsi="宋体" w:cs="宋体"/>
                <w:kern w:val="0"/>
                <w:sz w:val="22"/>
              </w:rPr>
              <w:t>2.控制屏需经过防眩光处理，能够在阳光、日光灯等强光变化时正常使用，屏幕通过零贴合或更好的贴合工艺进行贴合，不得使用框贴工艺，避免后期粉尘、水汽进入屏幕内部影响设备寿命；</w:t>
            </w:r>
            <w:r>
              <w:rPr>
                <w:rFonts w:hint="eastAsia" w:ascii="宋体" w:hAnsi="宋体" w:cs="宋体"/>
                <w:kern w:val="0"/>
                <w:sz w:val="22"/>
              </w:rPr>
              <w:br w:type="textWrapping"/>
            </w:r>
            <w:r>
              <w:rPr>
                <w:rFonts w:hint="eastAsia" w:ascii="宋体" w:hAnsi="宋体" w:cs="宋体"/>
                <w:kern w:val="0"/>
                <w:sz w:val="22"/>
              </w:rPr>
              <w:t>▲3.支持≥2路HDMI输入，支持≥3路HDMI输出，最高分辨率支持1920*1080@60fps；支持同时输入输出多种信号源，实现多源切换展示，增强课堂教学的互动性和多样性；</w:t>
            </w:r>
            <w:r>
              <w:rPr>
                <w:rFonts w:hint="eastAsia" w:ascii="宋体" w:hAnsi="宋体" w:cs="宋体"/>
                <w:b/>
                <w:bCs/>
                <w:kern w:val="0"/>
                <w:sz w:val="22"/>
              </w:rPr>
              <w:t>（响应时提供权威机构检测报告扫描件佐证）</w:t>
            </w:r>
            <w:r>
              <w:rPr>
                <w:rFonts w:hint="eastAsia" w:ascii="宋体" w:hAnsi="宋体" w:cs="宋体"/>
                <w:kern w:val="0"/>
                <w:sz w:val="22"/>
              </w:rPr>
              <w:br w:type="textWrapping"/>
            </w:r>
            <w:r>
              <w:rPr>
                <w:rFonts w:hint="eastAsia" w:ascii="宋体" w:hAnsi="宋体" w:cs="宋体"/>
                <w:kern w:val="0"/>
                <w:sz w:val="22"/>
              </w:rPr>
              <w:t>4. HDMI接口需支持音频采集功能，可以将音频剥离至HDMI或者3.5耳机接口独立输出；</w:t>
            </w:r>
            <w:r>
              <w:rPr>
                <w:rFonts w:hint="eastAsia" w:ascii="宋体" w:hAnsi="宋体" w:cs="宋体"/>
                <w:kern w:val="0"/>
                <w:sz w:val="22"/>
              </w:rPr>
              <w:br w:type="textWrapping"/>
            </w:r>
            <w:r>
              <w:rPr>
                <w:rFonts w:hint="eastAsia" w:ascii="宋体" w:hAnsi="宋体" w:cs="宋体"/>
                <w:kern w:val="0"/>
                <w:sz w:val="22"/>
              </w:rPr>
              <w:t>▲5.支持≥5路USB接口（连接如U盘、鼠标、键盘，控制等多种设备），需支持信号触摸及大屏幕反向控制功能；支持≥1路串口控制；</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6.需支持≥1路音频输出，支持≥1路RJ45接口，需支持DHCP。</w:t>
            </w:r>
            <w:r>
              <w:rPr>
                <w:rFonts w:hint="eastAsia" w:ascii="宋体" w:hAnsi="宋体" w:cs="宋体"/>
                <w:kern w:val="0"/>
                <w:sz w:val="22"/>
              </w:rPr>
              <w:br w:type="textWrapping"/>
            </w:r>
            <w:r>
              <w:rPr>
                <w:rFonts w:hint="eastAsia" w:ascii="宋体" w:hAnsi="宋体" w:cs="宋体"/>
                <w:kern w:val="0"/>
                <w:sz w:val="22"/>
              </w:rPr>
              <w:t>二、系统功能：</w:t>
            </w:r>
            <w:r>
              <w:rPr>
                <w:rFonts w:hint="eastAsia" w:ascii="宋体" w:hAnsi="宋体" w:cs="宋体"/>
                <w:kern w:val="0"/>
                <w:sz w:val="22"/>
              </w:rPr>
              <w:br w:type="textWrapping"/>
            </w:r>
            <w:r>
              <w:rPr>
                <w:rFonts w:hint="eastAsia" w:ascii="宋体" w:hAnsi="宋体" w:cs="宋体"/>
                <w:kern w:val="0"/>
                <w:sz w:val="22"/>
              </w:rPr>
              <w:t>▲1.支持多种登录操作，如账号密码、扫码等登录方式，支持自动关联课表时间进行设备登录等；</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2.支持系统登录后，自动关键教室多媒体设备一键开启等指令，简化老师等不必要的操作；</w:t>
            </w:r>
            <w:r>
              <w:rPr>
                <w:rFonts w:hint="eastAsia" w:ascii="宋体" w:hAnsi="宋体" w:cs="宋体"/>
                <w:kern w:val="0"/>
                <w:sz w:val="22"/>
              </w:rPr>
              <w:br w:type="textWrapping"/>
            </w:r>
            <w:r>
              <w:rPr>
                <w:rFonts w:hint="eastAsia" w:ascii="宋体" w:hAnsi="宋体" w:cs="宋体"/>
                <w:kern w:val="0"/>
                <w:sz w:val="22"/>
              </w:rPr>
              <w:t>3.支持对第三方应用程序调用，如腾讯会议、雨课堂等，可以通过控制屏快速调用进行打开；</w:t>
            </w:r>
            <w:r>
              <w:rPr>
                <w:rFonts w:hint="eastAsia" w:ascii="宋体" w:hAnsi="宋体" w:cs="宋体"/>
                <w:kern w:val="0"/>
                <w:sz w:val="22"/>
              </w:rPr>
              <w:br w:type="textWrapping"/>
            </w:r>
            <w:r>
              <w:rPr>
                <w:rFonts w:hint="eastAsia" w:ascii="宋体" w:hAnsi="宋体" w:cs="宋体"/>
                <w:kern w:val="0"/>
                <w:sz w:val="22"/>
              </w:rPr>
              <w:t>4.支持检测信号源插拔，识别到信号源接入后，系统自动进行切换；支持可视化资源视图切换，对教室内信号切换、双屏应用、以及多屏研讨教室应用提供便捷操作；</w:t>
            </w:r>
            <w:r>
              <w:rPr>
                <w:rFonts w:hint="eastAsia" w:ascii="宋体" w:hAnsi="宋体" w:cs="宋体"/>
                <w:kern w:val="0"/>
                <w:sz w:val="22"/>
              </w:rPr>
              <w:br w:type="textWrapping"/>
            </w:r>
            <w:r>
              <w:rPr>
                <w:rFonts w:hint="eastAsia" w:ascii="宋体" w:hAnsi="宋体" w:cs="宋体"/>
                <w:kern w:val="0"/>
                <w:sz w:val="22"/>
              </w:rPr>
              <w:t>5.支持系统菜单栏与授课电脑信号一体化显示，且授课电脑信号无遮挡、无覆盖情况；</w:t>
            </w:r>
            <w:r>
              <w:rPr>
                <w:rFonts w:hint="eastAsia" w:ascii="宋体" w:hAnsi="宋体" w:cs="宋体"/>
                <w:kern w:val="0"/>
                <w:sz w:val="22"/>
              </w:rPr>
              <w:br w:type="textWrapping"/>
            </w:r>
            <w:r>
              <w:rPr>
                <w:rFonts w:hint="eastAsia" w:ascii="宋体" w:hAnsi="宋体" w:cs="宋体"/>
                <w:kern w:val="0"/>
                <w:sz w:val="22"/>
              </w:rPr>
              <w:t>6.需支持录播主机画面预览功能，支持≥5英寸图像显示界面；支持对录制的开启与课件下载等功能；系统可对教室内物联设备进行控制，支持控制界面可编程；</w:t>
            </w:r>
            <w:r>
              <w:rPr>
                <w:rFonts w:hint="eastAsia" w:ascii="宋体" w:hAnsi="宋体" w:cs="宋体"/>
                <w:kern w:val="0"/>
                <w:sz w:val="22"/>
              </w:rPr>
              <w:br w:type="textWrapping"/>
            </w:r>
            <w:r>
              <w:rPr>
                <w:rFonts w:hint="eastAsia" w:ascii="宋体" w:hAnsi="宋体" w:cs="宋体"/>
                <w:kern w:val="0"/>
                <w:sz w:val="22"/>
              </w:rPr>
              <w:t>7.支持对远程会议进行操作和管理，通过控制屏可以一键发起会议及会议管理功能。</w:t>
            </w:r>
            <w:r>
              <w:rPr>
                <w:rFonts w:hint="eastAsia" w:ascii="宋体" w:hAnsi="宋体" w:cs="宋体"/>
                <w:kern w:val="0"/>
                <w:sz w:val="22"/>
              </w:rPr>
              <w:br w:type="textWrapping"/>
            </w:r>
            <w:r>
              <w:rPr>
                <w:rFonts w:hint="eastAsia" w:ascii="宋体" w:hAnsi="宋体" w:cs="宋体"/>
                <w:kern w:val="0"/>
                <w:sz w:val="22"/>
              </w:rPr>
              <w:t>三、基础教学工具：</w:t>
            </w:r>
            <w:r>
              <w:rPr>
                <w:rFonts w:hint="eastAsia" w:ascii="宋体" w:hAnsi="宋体" w:cs="宋体"/>
                <w:kern w:val="0"/>
                <w:sz w:val="22"/>
              </w:rPr>
              <w:br w:type="textWrapping"/>
            </w:r>
            <w:r>
              <w:rPr>
                <w:rFonts w:hint="eastAsia" w:ascii="宋体" w:hAnsi="宋体" w:cs="宋体"/>
                <w:kern w:val="0"/>
                <w:sz w:val="22"/>
              </w:rPr>
              <w:t>▲1. 支持笔记本教学，智慧屏可同步显示笔记本电脑画面及触摸控制，在笔记本教学时无需安装任何软件，需支持批注、黑板、投屏、考勤签到、课堂互动、小组屏幕广播、录播课堂和多媒体设备控制等；</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2.支持批注功能，支持批注笔迹粗细、颜色调整，支持笔迹撤销、恢复等操作；批注内容与授课内容同步显示至投影画面中，并同步保存至课堂资料中；支持褪色笔功能；</w:t>
            </w:r>
            <w:r>
              <w:rPr>
                <w:rFonts w:hint="eastAsia" w:ascii="宋体" w:hAnsi="宋体" w:cs="宋体"/>
                <w:kern w:val="0"/>
                <w:sz w:val="22"/>
              </w:rPr>
              <w:br w:type="textWrapping"/>
            </w:r>
            <w:r>
              <w:rPr>
                <w:rFonts w:hint="eastAsia" w:ascii="宋体" w:hAnsi="宋体" w:cs="宋体"/>
                <w:kern w:val="0"/>
                <w:sz w:val="22"/>
              </w:rPr>
              <w:t>3. 支持电子白板功能，支持选择书写笔的≥5种粗细及≥20种颜色，支持选择擦除及一键清屏，支持撤销和恢复功能；支持更换电子白板的背景；支持书写内容的放大和缩小功能，放大比例支持可达≥300%；支持对书写内容或书写范围额进行任意移动；</w:t>
            </w:r>
            <w:r>
              <w:rPr>
                <w:rFonts w:hint="eastAsia" w:ascii="宋体" w:hAnsi="宋体" w:cs="宋体"/>
                <w:kern w:val="0"/>
                <w:sz w:val="22"/>
              </w:rPr>
              <w:br w:type="textWrapping"/>
            </w:r>
            <w:r>
              <w:rPr>
                <w:rFonts w:hint="eastAsia" w:ascii="宋体" w:hAnsi="宋体" w:cs="宋体"/>
                <w:kern w:val="0"/>
                <w:sz w:val="22"/>
              </w:rPr>
              <w:t>4.支持分享电子板书或批注，快速生成电子板书的二维码，学生通过扫码即可获得全部板书的图片，支持将图片转发给朋友、收藏、保存等功能；</w:t>
            </w:r>
            <w:r>
              <w:rPr>
                <w:rFonts w:hint="eastAsia" w:ascii="宋体" w:hAnsi="宋体" w:cs="宋体"/>
                <w:kern w:val="0"/>
                <w:sz w:val="22"/>
              </w:rPr>
              <w:br w:type="textWrapping"/>
            </w:r>
            <w:r>
              <w:rPr>
                <w:rFonts w:hint="eastAsia" w:ascii="宋体" w:hAnsi="宋体" w:cs="宋体"/>
                <w:kern w:val="0"/>
                <w:sz w:val="22"/>
              </w:rPr>
              <w:t>5. 支持移动终端无线投屏功能，支持鸿蒙、安卓、IOS、Windows等系统原生投屏；在投屏过程中无需任何辅助设备与第三方应用，确保了在使用过程中的便利性；</w:t>
            </w:r>
            <w:r>
              <w:rPr>
                <w:rFonts w:hint="eastAsia" w:ascii="宋体" w:hAnsi="宋体" w:cs="宋体"/>
                <w:kern w:val="0"/>
                <w:sz w:val="22"/>
              </w:rPr>
              <w:br w:type="textWrapping"/>
            </w:r>
            <w:r>
              <w:rPr>
                <w:rFonts w:hint="eastAsia" w:ascii="宋体" w:hAnsi="宋体" w:cs="宋体"/>
                <w:kern w:val="0"/>
                <w:sz w:val="22"/>
              </w:rPr>
              <w:t>四、课堂互动功能：</w:t>
            </w:r>
            <w:r>
              <w:rPr>
                <w:rFonts w:hint="eastAsia" w:ascii="宋体" w:hAnsi="宋体" w:cs="宋体"/>
                <w:kern w:val="0"/>
                <w:sz w:val="22"/>
              </w:rPr>
              <w:br w:type="textWrapping"/>
            </w:r>
            <w:r>
              <w:rPr>
                <w:rFonts w:hint="eastAsia" w:ascii="宋体" w:hAnsi="宋体" w:cs="宋体"/>
                <w:kern w:val="0"/>
                <w:sz w:val="22"/>
              </w:rPr>
              <w:t>▲1.内置签到功能，快速调取签到动态二维码，学生扫码即可完成签到。支持查看教师考勤、应到人数、实到人数、缺勤人数、迟到早退人数、请假人数。支持手动修改出勤状态。支持统计本节课的出勤率及自修人数；</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2.根据课堂进度可进行快速再次考勤，支持查看历次考勤数据，考勤数据支持与教学平台对接，实现考勤数据上报至教学平台；</w:t>
            </w:r>
            <w:r>
              <w:rPr>
                <w:rFonts w:hint="eastAsia" w:ascii="宋体" w:hAnsi="宋体" w:cs="宋体"/>
                <w:kern w:val="0"/>
                <w:sz w:val="22"/>
              </w:rPr>
              <w:br w:type="textWrapping"/>
            </w:r>
            <w:r>
              <w:rPr>
                <w:rFonts w:hint="eastAsia" w:ascii="宋体" w:hAnsi="宋体" w:cs="宋体"/>
                <w:kern w:val="0"/>
                <w:sz w:val="22"/>
              </w:rPr>
              <w:t xml:space="preserve">3.支持下发测验题，测验提醒包括单选、多选、判断、简答；所有题型均支持设置测验得分。支持实时显示测验时间及已答/未答人数。测验结束可查每个选项的选择率及答题人数； </w:t>
            </w:r>
            <w:r>
              <w:rPr>
                <w:rFonts w:hint="eastAsia" w:ascii="宋体" w:hAnsi="宋体" w:cs="宋体"/>
                <w:kern w:val="0"/>
                <w:sz w:val="22"/>
              </w:rPr>
              <w:br w:type="textWrapping"/>
            </w:r>
            <w:r>
              <w:rPr>
                <w:rFonts w:hint="eastAsia" w:ascii="宋体" w:hAnsi="宋体" w:cs="宋体"/>
                <w:kern w:val="0"/>
                <w:sz w:val="22"/>
              </w:rPr>
              <w:t>4.支持弹幕突出显示功能，弹幕内容在老师屏幕上实时滚动显示，教师支持控制弹幕显示开关等；</w:t>
            </w:r>
            <w:r>
              <w:rPr>
                <w:rFonts w:hint="eastAsia" w:ascii="宋体" w:hAnsi="宋体" w:cs="宋体"/>
                <w:kern w:val="0"/>
                <w:sz w:val="22"/>
              </w:rPr>
              <w:br w:type="textWrapping"/>
            </w:r>
            <w:r>
              <w:rPr>
                <w:rFonts w:hint="eastAsia" w:ascii="宋体" w:hAnsi="宋体" w:cs="宋体"/>
                <w:kern w:val="0"/>
                <w:sz w:val="22"/>
              </w:rPr>
              <w:t>5.学生支持通过照片墙显示功能上传个人作业，教师端在控制屏中可以进行全屏及缩略图显示；</w:t>
            </w:r>
            <w:r>
              <w:rPr>
                <w:rFonts w:hint="eastAsia" w:ascii="宋体" w:hAnsi="宋体" w:cs="宋体"/>
                <w:kern w:val="0"/>
                <w:sz w:val="22"/>
              </w:rPr>
              <w:br w:type="textWrapping"/>
            </w:r>
            <w:r>
              <w:rPr>
                <w:rFonts w:hint="eastAsia" w:ascii="宋体" w:hAnsi="宋体" w:cs="宋体"/>
                <w:kern w:val="0"/>
                <w:sz w:val="22"/>
              </w:rPr>
              <w:t>6.支持分组教学工具，可以针对课表学生、到课学生进行分小组学习；支持自定义设置小组个数和小组得分；</w:t>
            </w:r>
            <w:r>
              <w:rPr>
                <w:rFonts w:hint="eastAsia" w:ascii="宋体" w:hAnsi="宋体" w:cs="宋体"/>
                <w:kern w:val="0"/>
                <w:sz w:val="22"/>
              </w:rPr>
              <w:br w:type="textWrapping"/>
            </w:r>
            <w:r>
              <w:rPr>
                <w:rFonts w:hint="eastAsia" w:ascii="宋体" w:hAnsi="宋体" w:cs="宋体"/>
                <w:kern w:val="0"/>
                <w:sz w:val="22"/>
              </w:rPr>
              <w:t>7.教师课前在云平台中上传教学资源，课堂中支持在线浏览上传的资源进行学习；</w:t>
            </w:r>
            <w:r>
              <w:rPr>
                <w:rFonts w:hint="eastAsia" w:ascii="宋体" w:hAnsi="宋体" w:cs="宋体"/>
                <w:kern w:val="0"/>
                <w:sz w:val="22"/>
              </w:rPr>
              <w:br w:type="textWrapping"/>
            </w:r>
            <w:r>
              <w:rPr>
                <w:rFonts w:hint="eastAsia" w:ascii="宋体" w:hAnsi="宋体" w:cs="宋体"/>
                <w:kern w:val="0"/>
                <w:sz w:val="22"/>
              </w:rPr>
              <w:t>8.互动抢答功能，当老师线上提问时，点击抢答按钮，学生端实时弹出抢答弹窗，进行抢答；通过学生名单，支持随机挑选功能，系统即可随机选人答题，被系统选中的学生端需有弹窗提示；</w:t>
            </w:r>
            <w:r>
              <w:rPr>
                <w:rFonts w:hint="eastAsia" w:ascii="宋体" w:hAnsi="宋体" w:cs="宋体"/>
                <w:kern w:val="0"/>
                <w:sz w:val="22"/>
              </w:rPr>
              <w:br w:type="textWrapping"/>
            </w:r>
            <w:r>
              <w:rPr>
                <w:rFonts w:hint="eastAsia" w:ascii="宋体" w:hAnsi="宋体" w:cs="宋体"/>
                <w:kern w:val="0"/>
                <w:sz w:val="22"/>
              </w:rPr>
              <w:t>9.支持互动答题卡功能，学生端可进行线上答题；课后教师通过个人主页能够查看答题详情。</w:t>
            </w:r>
            <w:r>
              <w:rPr>
                <w:rFonts w:hint="eastAsia" w:ascii="宋体" w:hAnsi="宋体" w:cs="宋体"/>
                <w:kern w:val="0"/>
                <w:sz w:val="22"/>
              </w:rPr>
              <w:br w:type="textWrapping"/>
            </w:r>
            <w:r>
              <w:rPr>
                <w:rFonts w:hint="eastAsia" w:ascii="宋体" w:hAnsi="宋体" w:cs="宋体"/>
                <w:kern w:val="0"/>
                <w:sz w:val="22"/>
              </w:rPr>
              <w:t>10.课后需自动生成课堂报告，内容包含考勤详情、互动得分、板书\批注内容、学生作业、弹幕讨论详情、线上观看人数、个人观看时长等数据；</w:t>
            </w:r>
            <w:r>
              <w:rPr>
                <w:rFonts w:hint="eastAsia" w:ascii="宋体" w:hAnsi="宋体" w:cs="宋体"/>
                <w:kern w:val="0"/>
                <w:sz w:val="22"/>
              </w:rPr>
              <w:br w:type="textWrapping"/>
            </w:r>
            <w:r>
              <w:rPr>
                <w:rFonts w:hint="eastAsia" w:ascii="宋体" w:hAnsi="宋体" w:cs="宋体"/>
                <w:kern w:val="0"/>
                <w:sz w:val="22"/>
              </w:rPr>
              <w:t>11.支持笔记本、台式机同时分别显示到双投影中，为老师授课提供多样化的体验；</w:t>
            </w:r>
            <w:r>
              <w:rPr>
                <w:rFonts w:hint="eastAsia" w:ascii="宋体" w:hAnsi="宋体" w:cs="宋体"/>
                <w:kern w:val="0"/>
                <w:sz w:val="22"/>
              </w:rPr>
              <w:br w:type="textWrapping"/>
            </w:r>
            <w:r>
              <w:rPr>
                <w:rFonts w:hint="eastAsia" w:ascii="宋体" w:hAnsi="宋体" w:cs="宋体"/>
                <w:kern w:val="0"/>
                <w:sz w:val="22"/>
              </w:rPr>
              <w:t>12.双屏同显功能，支持台式机和电子黑板双屏教学，一屏显示授课电脑画面，另外一屏显示电子黑板画面，形成边教学边辅导式应用；支持每个教学大屏的单独控制；</w:t>
            </w:r>
            <w:r>
              <w:rPr>
                <w:rFonts w:hint="eastAsia" w:ascii="宋体" w:hAnsi="宋体" w:cs="宋体"/>
                <w:kern w:val="0"/>
                <w:sz w:val="22"/>
              </w:rPr>
              <w:br w:type="textWrapping"/>
            </w:r>
            <w:r>
              <w:rPr>
                <w:rFonts w:hint="eastAsia" w:ascii="宋体" w:hAnsi="宋体" w:cs="宋体"/>
                <w:kern w:val="0"/>
                <w:sz w:val="22"/>
              </w:rPr>
              <w:t xml:space="preserve">13.支持屏幕广播功能，可将授课电脑信号无遮挡、无损失的广播至小组端；支持小组示范功能，选择任意一个小组后，支持镜像显示至其他小组屏中；支持小组对比功能，选择任意两个小组进对比后，可在其他小组屏上显示两个小组的屏幕内容。 </w:t>
            </w:r>
          </w:p>
        </w:tc>
      </w:tr>
      <w:tr w14:paraId="5379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A72780E">
            <w:pPr>
              <w:widowControl/>
              <w:jc w:val="center"/>
              <w:rPr>
                <w:rFonts w:ascii="宋体" w:hAnsi="宋体" w:cs="宋体"/>
                <w:kern w:val="0"/>
                <w:sz w:val="22"/>
              </w:rPr>
            </w:pPr>
            <w:r>
              <w:rPr>
                <w:rFonts w:hint="eastAsia" w:ascii="宋体" w:hAnsi="宋体" w:cs="宋体"/>
                <w:kern w:val="0"/>
                <w:sz w:val="22"/>
              </w:rPr>
              <w:t>教学评价服务</w:t>
            </w:r>
          </w:p>
        </w:tc>
        <w:tc>
          <w:tcPr>
            <w:tcW w:w="7654" w:type="dxa"/>
            <w:tcBorders>
              <w:tl2br w:val="nil"/>
              <w:tr2bl w:val="nil"/>
            </w:tcBorders>
            <w:shd w:val="clear" w:color="000000" w:fill="FFFFFF"/>
            <w:vAlign w:val="center"/>
          </w:tcPr>
          <w:p w14:paraId="07B4B78D">
            <w:pPr>
              <w:widowControl/>
              <w:jc w:val="left"/>
              <w:rPr>
                <w:rFonts w:ascii="宋体" w:hAnsi="宋体" w:cs="宋体"/>
                <w:kern w:val="0"/>
                <w:sz w:val="22"/>
              </w:rPr>
            </w:pPr>
            <w:r>
              <w:rPr>
                <w:rFonts w:hint="eastAsia" w:ascii="宋体" w:hAnsi="宋体" w:cs="宋体"/>
                <w:kern w:val="0"/>
                <w:sz w:val="22"/>
              </w:rPr>
              <w:t>支持全学段全学科基于智能pc和移动端布置作业、批改作业、做作业、查看作业分析等功能。</w:t>
            </w:r>
            <w:r>
              <w:rPr>
                <w:rFonts w:hint="eastAsia" w:ascii="宋体" w:hAnsi="宋体" w:cs="宋体"/>
                <w:kern w:val="0"/>
                <w:sz w:val="22"/>
              </w:rPr>
              <w:br w:type="textWrapping"/>
            </w:r>
            <w:r>
              <w:rPr>
                <w:rFonts w:hint="eastAsia" w:ascii="宋体" w:hAnsi="宋体" w:cs="宋体"/>
                <w:kern w:val="0"/>
                <w:sz w:val="22"/>
              </w:rPr>
              <w:t>1.同步作业</w:t>
            </w:r>
            <w:r>
              <w:rPr>
                <w:rFonts w:hint="eastAsia" w:ascii="宋体" w:hAnsi="宋体" w:cs="宋体"/>
                <w:kern w:val="0"/>
                <w:sz w:val="22"/>
              </w:rPr>
              <w:br w:type="textWrapping"/>
            </w:r>
            <w:r>
              <w:rPr>
                <w:rFonts w:hint="eastAsia" w:ascii="宋体" w:hAnsi="宋体" w:cs="宋体"/>
                <w:kern w:val="0"/>
                <w:sz w:val="22"/>
              </w:rPr>
              <w:t>（1）支持移动端和pc端布置同步作业；支持按题型（包括单选题、多选题、判断题、填空题、简答题等），支持根据教材版本、册别、章节进行筛选，选择预置的题库资源，布置同步作业；</w:t>
            </w:r>
            <w:r>
              <w:rPr>
                <w:rFonts w:hint="eastAsia" w:ascii="宋体" w:hAnsi="宋体" w:cs="宋体"/>
                <w:kern w:val="0"/>
                <w:sz w:val="22"/>
              </w:rPr>
              <w:br w:type="textWrapping"/>
            </w:r>
            <w:r>
              <w:rPr>
                <w:rFonts w:hint="eastAsia" w:ascii="宋体" w:hAnsi="宋体" w:cs="宋体"/>
                <w:kern w:val="0"/>
                <w:sz w:val="22"/>
              </w:rPr>
              <w:t>（2）支持根据知识点和精品套卷进行选题，布置阶段性巩固复习；</w:t>
            </w:r>
            <w:r>
              <w:rPr>
                <w:rFonts w:hint="eastAsia" w:ascii="宋体" w:hAnsi="宋体" w:cs="宋体"/>
                <w:kern w:val="0"/>
                <w:sz w:val="22"/>
              </w:rPr>
              <w:br w:type="textWrapping"/>
            </w:r>
            <w:r>
              <w:rPr>
                <w:rFonts w:hint="eastAsia" w:ascii="宋体" w:hAnsi="宋体" w:cs="宋体"/>
                <w:kern w:val="0"/>
                <w:sz w:val="22"/>
              </w:rPr>
              <w:t>（3）支持申请制作电子版校本教辅，支持根据章节选择教辅习题</w:t>
            </w:r>
            <w:r>
              <w:rPr>
                <w:rFonts w:hint="eastAsia" w:ascii="宋体" w:hAnsi="宋体" w:cs="宋体"/>
                <w:kern w:val="0"/>
                <w:sz w:val="22"/>
              </w:rPr>
              <w:br w:type="textWrapping"/>
            </w:r>
            <w:r>
              <w:rPr>
                <w:rFonts w:hint="eastAsia" w:ascii="宋体" w:hAnsi="宋体" w:cs="宋体"/>
                <w:kern w:val="0"/>
                <w:sz w:val="22"/>
              </w:rPr>
              <w:t>2、自由作业</w:t>
            </w:r>
            <w:r>
              <w:rPr>
                <w:rFonts w:hint="eastAsia" w:ascii="宋体" w:hAnsi="宋体" w:cs="宋体"/>
                <w:kern w:val="0"/>
                <w:sz w:val="22"/>
              </w:rPr>
              <w:br w:type="textWrapping"/>
            </w:r>
            <w:r>
              <w:rPr>
                <w:rFonts w:hint="eastAsia" w:ascii="宋体" w:hAnsi="宋体" w:cs="宋体"/>
                <w:kern w:val="0"/>
                <w:sz w:val="22"/>
              </w:rPr>
              <w:t>（1）支持老师自由选择书面和口头作业发送给学生，并制定电子答题卡供学生作答提交；</w:t>
            </w:r>
            <w:r>
              <w:rPr>
                <w:rFonts w:hint="eastAsia" w:ascii="宋体" w:hAnsi="宋体" w:cs="宋体"/>
                <w:kern w:val="0"/>
                <w:sz w:val="22"/>
              </w:rPr>
              <w:br w:type="textWrapping"/>
            </w:r>
            <w:r>
              <w:rPr>
                <w:rFonts w:hint="eastAsia" w:ascii="宋体" w:hAnsi="宋体" w:cs="宋体"/>
                <w:kern w:val="0"/>
                <w:sz w:val="22"/>
              </w:rPr>
              <w:t>（2）支持老师把自由选择的作业定时或立即发送至学生端，并可保存到草稿箱作业支持再次编辑、删除和发送；</w:t>
            </w:r>
            <w:r>
              <w:rPr>
                <w:rFonts w:hint="eastAsia" w:ascii="宋体" w:hAnsi="宋体" w:cs="宋体"/>
                <w:kern w:val="0"/>
                <w:sz w:val="22"/>
              </w:rPr>
              <w:br w:type="textWrapping"/>
            </w:r>
            <w:r>
              <w:rPr>
                <w:rFonts w:hint="eastAsia" w:ascii="宋体" w:hAnsi="宋体" w:cs="宋体"/>
                <w:kern w:val="0"/>
                <w:sz w:val="22"/>
              </w:rPr>
              <w:t>3、校本作业</w:t>
            </w:r>
            <w:r>
              <w:rPr>
                <w:rFonts w:hint="eastAsia" w:ascii="宋体" w:hAnsi="宋体" w:cs="宋体"/>
                <w:kern w:val="0"/>
                <w:sz w:val="22"/>
              </w:rPr>
              <w:br w:type="textWrapping"/>
            </w:r>
            <w:r>
              <w:rPr>
                <w:rFonts w:hint="eastAsia" w:ascii="宋体" w:hAnsi="宋体" w:cs="宋体"/>
                <w:kern w:val="0"/>
                <w:sz w:val="22"/>
              </w:rPr>
              <w:t>（1）支持学校和老师把校本的作业上传到作业平台布置给学生；</w:t>
            </w:r>
            <w:r>
              <w:rPr>
                <w:rFonts w:hint="eastAsia" w:ascii="宋体" w:hAnsi="宋体" w:cs="宋体"/>
                <w:kern w:val="0"/>
                <w:sz w:val="22"/>
              </w:rPr>
              <w:br w:type="textWrapping"/>
            </w:r>
            <w:r>
              <w:rPr>
                <w:rFonts w:hint="eastAsia" w:ascii="宋体" w:hAnsi="宋体" w:cs="宋体"/>
                <w:kern w:val="0"/>
                <w:sz w:val="22"/>
              </w:rPr>
              <w:t>（2）支持老师立即或定时发送作业，支持再次编辑、删除和转发；</w:t>
            </w:r>
            <w:r>
              <w:rPr>
                <w:rFonts w:hint="eastAsia" w:ascii="宋体" w:hAnsi="宋体" w:cs="宋体"/>
                <w:kern w:val="0"/>
                <w:sz w:val="22"/>
              </w:rPr>
              <w:br w:type="textWrapping"/>
            </w:r>
            <w:r>
              <w:rPr>
                <w:rFonts w:hint="eastAsia" w:ascii="宋体" w:hAnsi="宋体" w:cs="宋体"/>
                <w:kern w:val="0"/>
                <w:sz w:val="22"/>
              </w:rPr>
              <w:t>（3）已发送作业支持再次编辑、删除和转发；</w:t>
            </w:r>
            <w:r>
              <w:rPr>
                <w:rFonts w:hint="eastAsia" w:ascii="宋体" w:hAnsi="宋体" w:cs="宋体"/>
                <w:kern w:val="0"/>
                <w:sz w:val="22"/>
              </w:rPr>
              <w:br w:type="textWrapping"/>
            </w:r>
            <w:r>
              <w:rPr>
                <w:rFonts w:hint="eastAsia" w:ascii="宋体" w:hAnsi="宋体" w:cs="宋体"/>
                <w:kern w:val="0"/>
                <w:sz w:val="22"/>
              </w:rPr>
              <w:t>4、作业批改：支持客观题自动批改，主观题批注批改。</w:t>
            </w:r>
            <w:r>
              <w:rPr>
                <w:rFonts w:hint="eastAsia" w:ascii="宋体" w:hAnsi="宋体" w:cs="宋体"/>
                <w:kern w:val="0"/>
                <w:sz w:val="22"/>
              </w:rPr>
              <w:br w:type="textWrapping"/>
            </w:r>
            <w:r>
              <w:rPr>
                <w:rFonts w:hint="eastAsia" w:ascii="宋体" w:hAnsi="宋体" w:cs="宋体"/>
                <w:kern w:val="0"/>
                <w:sz w:val="22"/>
              </w:rPr>
              <w:t>（1）支持按学生、按题目查看学生提交的答案，支持对答案进行批注，并支持批注笔迹的保存、撤销、擦除等，支持对学生提交的图片进行放大、缩小和旋转。</w:t>
            </w:r>
            <w:r>
              <w:rPr>
                <w:rFonts w:hint="eastAsia" w:ascii="宋体" w:hAnsi="宋体" w:cs="宋体"/>
                <w:kern w:val="0"/>
                <w:sz w:val="22"/>
              </w:rPr>
              <w:br w:type="textWrapping"/>
            </w:r>
            <w:r>
              <w:rPr>
                <w:rFonts w:hint="eastAsia" w:ascii="宋体" w:hAnsi="宋体" w:cs="宋体"/>
                <w:kern w:val="0"/>
                <w:sz w:val="22"/>
              </w:rPr>
              <w:t xml:space="preserve">（2）支持快速赋分，也可直接点击软键盘，赋予当前批改的题目分值；  </w:t>
            </w:r>
            <w:r>
              <w:rPr>
                <w:rFonts w:hint="eastAsia" w:ascii="宋体" w:hAnsi="宋体" w:cs="宋体"/>
                <w:kern w:val="0"/>
                <w:sz w:val="22"/>
              </w:rPr>
              <w:br w:type="textWrapping"/>
            </w:r>
            <w:r>
              <w:rPr>
                <w:rFonts w:hint="eastAsia" w:ascii="宋体" w:hAnsi="宋体" w:cs="宋体"/>
                <w:kern w:val="0"/>
                <w:sz w:val="22"/>
              </w:rPr>
              <w:t xml:space="preserve">（3）支持批改后自动保存当前批改题目的分值、笔迹等；   </w:t>
            </w:r>
            <w:r>
              <w:rPr>
                <w:rFonts w:hint="eastAsia" w:ascii="宋体" w:hAnsi="宋体" w:cs="宋体"/>
                <w:kern w:val="0"/>
                <w:sz w:val="22"/>
              </w:rPr>
              <w:br w:type="textWrapping"/>
            </w:r>
            <w:r>
              <w:rPr>
                <w:rFonts w:hint="eastAsia" w:ascii="宋体" w:hAnsi="宋体" w:cs="宋体"/>
                <w:kern w:val="0"/>
                <w:sz w:val="22"/>
              </w:rPr>
              <w:t xml:space="preserve">（4）支持对典型题目和优秀答案进行标识，并自动归集到学情分析中，便于老师课上进行讲解； </w:t>
            </w:r>
            <w:r>
              <w:rPr>
                <w:rFonts w:hint="eastAsia" w:ascii="宋体" w:hAnsi="宋体" w:cs="宋体"/>
                <w:kern w:val="0"/>
                <w:sz w:val="22"/>
              </w:rPr>
              <w:br w:type="textWrapping"/>
            </w:r>
            <w:r>
              <w:rPr>
                <w:rFonts w:hint="eastAsia" w:ascii="宋体" w:hAnsi="宋体" w:cs="宋体"/>
                <w:kern w:val="0"/>
                <w:sz w:val="22"/>
              </w:rPr>
              <w:t>（5）支持老师对学生错题设置为订正，发送至学生端要求学生进行二次作答，学生提交后，支持老师进行二次检查；</w:t>
            </w:r>
            <w:r>
              <w:rPr>
                <w:rFonts w:hint="eastAsia" w:ascii="宋体" w:hAnsi="宋体" w:cs="宋体"/>
                <w:kern w:val="0"/>
                <w:sz w:val="22"/>
              </w:rPr>
              <w:br w:type="textWrapping"/>
            </w:r>
            <w:r>
              <w:rPr>
                <w:rFonts w:hint="eastAsia" w:ascii="宋体" w:hAnsi="宋体" w:cs="宋体"/>
                <w:kern w:val="0"/>
                <w:sz w:val="22"/>
              </w:rPr>
              <w:t>（6）支持按人或按题快速预览学生的作答详情；</w:t>
            </w:r>
            <w:r>
              <w:rPr>
                <w:rFonts w:hint="eastAsia" w:ascii="宋体" w:hAnsi="宋体" w:cs="宋体"/>
                <w:kern w:val="0"/>
                <w:sz w:val="22"/>
              </w:rPr>
              <w:br w:type="textWrapping"/>
            </w:r>
            <w:r>
              <w:rPr>
                <w:rFonts w:hint="eastAsia" w:ascii="宋体" w:hAnsi="宋体" w:cs="宋体"/>
                <w:kern w:val="0"/>
                <w:sz w:val="22"/>
              </w:rPr>
              <w:t>5、错题本</w:t>
            </w:r>
            <w:r>
              <w:rPr>
                <w:rFonts w:hint="eastAsia" w:ascii="宋体" w:hAnsi="宋体" w:cs="宋体"/>
                <w:kern w:val="0"/>
                <w:sz w:val="22"/>
              </w:rPr>
              <w:br w:type="textWrapping"/>
            </w:r>
            <w:r>
              <w:rPr>
                <w:rFonts w:hint="eastAsia" w:ascii="宋体" w:hAnsi="宋体" w:cs="宋体"/>
                <w:kern w:val="0"/>
                <w:sz w:val="22"/>
              </w:rPr>
              <w:t>（1）题库错题支持按学科自动归集，无须手抄整理。</w:t>
            </w:r>
            <w:r>
              <w:rPr>
                <w:rFonts w:hint="eastAsia" w:ascii="宋体" w:hAnsi="宋体" w:cs="宋体"/>
                <w:kern w:val="0"/>
                <w:sz w:val="22"/>
              </w:rPr>
              <w:br w:type="textWrapping"/>
            </w:r>
            <w:r>
              <w:rPr>
                <w:rFonts w:hint="eastAsia" w:ascii="宋体" w:hAnsi="宋体" w:cs="宋体"/>
                <w:kern w:val="0"/>
                <w:sz w:val="22"/>
              </w:rPr>
              <w:t>（2）同一道错题支持汇聚多次作答记录，支持学生复习，查看答题解析详解。</w:t>
            </w:r>
            <w:r>
              <w:rPr>
                <w:rFonts w:hint="eastAsia" w:ascii="宋体" w:hAnsi="宋体" w:cs="宋体"/>
                <w:kern w:val="0"/>
                <w:sz w:val="22"/>
              </w:rPr>
              <w:br w:type="textWrapping"/>
            </w:r>
            <w:r>
              <w:rPr>
                <w:rFonts w:hint="eastAsia" w:ascii="宋体" w:hAnsi="宋体" w:cs="宋体"/>
                <w:kern w:val="0"/>
                <w:sz w:val="22"/>
              </w:rPr>
              <w:t>（3）错题支持大数据精准推送举一反三巩固练习。</w:t>
            </w:r>
            <w:r>
              <w:rPr>
                <w:rFonts w:hint="eastAsia" w:ascii="宋体" w:hAnsi="宋体" w:cs="宋体"/>
                <w:kern w:val="0"/>
                <w:sz w:val="22"/>
              </w:rPr>
              <w:br w:type="textWrapping"/>
            </w:r>
            <w:r>
              <w:rPr>
                <w:rFonts w:hint="eastAsia" w:ascii="宋体" w:hAnsi="宋体" w:cs="宋体"/>
                <w:kern w:val="0"/>
                <w:sz w:val="22"/>
              </w:rPr>
              <w:t>（4）已掌握的错题支持设置为已掌握。</w:t>
            </w:r>
            <w:r>
              <w:rPr>
                <w:rFonts w:hint="eastAsia" w:ascii="宋体" w:hAnsi="宋体" w:cs="宋体"/>
                <w:kern w:val="0"/>
                <w:sz w:val="22"/>
              </w:rPr>
              <w:br w:type="textWrapping"/>
            </w:r>
            <w:r>
              <w:rPr>
                <w:rFonts w:hint="eastAsia" w:ascii="宋体" w:hAnsi="宋体" w:cs="宋体"/>
                <w:kern w:val="0"/>
                <w:sz w:val="22"/>
              </w:rPr>
              <w:t>6、班级学情分析：支持查看每一次作业的学情分析报告，包括班级分析报告和个人分析报告。</w:t>
            </w:r>
            <w:r>
              <w:rPr>
                <w:rFonts w:hint="eastAsia" w:ascii="宋体" w:hAnsi="宋体" w:cs="宋体"/>
                <w:kern w:val="0"/>
                <w:sz w:val="22"/>
              </w:rPr>
              <w:br w:type="textWrapping"/>
            </w:r>
            <w:r>
              <w:rPr>
                <w:rFonts w:hint="eastAsia" w:ascii="宋体" w:hAnsi="宋体" w:cs="宋体"/>
                <w:kern w:val="0"/>
                <w:sz w:val="22"/>
              </w:rPr>
              <w:t>（1）班级分析报告：支持查看班级的概览、成绩分析、提交分析、学生排名，概览包括平均分、最高分、最低分、平均用时、提交人数等，支持查看全班的作业成绩分布，优秀、良好、及格和不及格的占比情况，支持查看提交人数和姓名详情。</w:t>
            </w:r>
            <w:r>
              <w:rPr>
                <w:rFonts w:hint="eastAsia" w:ascii="宋体" w:hAnsi="宋体" w:cs="宋体"/>
                <w:kern w:val="0"/>
                <w:sz w:val="22"/>
              </w:rPr>
              <w:br w:type="textWrapping"/>
            </w:r>
            <w:r>
              <w:rPr>
                <w:rFonts w:hint="eastAsia" w:ascii="宋体" w:hAnsi="宋体" w:cs="宋体"/>
                <w:kern w:val="0"/>
                <w:sz w:val="22"/>
              </w:rPr>
              <w:t>（2）答题情况分析：支持查看每道题目的得分率及统计分析，客观题支持查看每个选项的占比和作答学生列表，主观题支持查看各分数段的占比和作答学生列表。</w:t>
            </w:r>
            <w:r>
              <w:rPr>
                <w:rFonts w:hint="eastAsia" w:ascii="宋体" w:hAnsi="宋体" w:cs="宋体"/>
                <w:kern w:val="0"/>
                <w:sz w:val="22"/>
              </w:rPr>
              <w:br w:type="textWrapping"/>
            </w:r>
            <w:r>
              <w:rPr>
                <w:rFonts w:hint="eastAsia" w:ascii="宋体" w:hAnsi="宋体" w:cs="宋体"/>
                <w:kern w:val="0"/>
                <w:sz w:val="22"/>
              </w:rPr>
              <w:t>7、作业讲评</w:t>
            </w:r>
            <w:r>
              <w:rPr>
                <w:rFonts w:hint="eastAsia" w:ascii="宋体" w:hAnsi="宋体" w:cs="宋体"/>
                <w:kern w:val="0"/>
                <w:sz w:val="22"/>
              </w:rPr>
              <w:br w:type="textWrapping"/>
            </w:r>
            <w:r>
              <w:rPr>
                <w:rFonts w:hint="eastAsia" w:ascii="宋体" w:hAnsi="宋体" w:cs="宋体"/>
                <w:kern w:val="0"/>
                <w:sz w:val="22"/>
              </w:rPr>
              <w:t xml:space="preserve">（1）支持课上直接在课堂教学工具菜单栏中调取作业讲评，可查看每一次作业的学情分析报告并进行题目讲解； </w:t>
            </w:r>
            <w:r>
              <w:rPr>
                <w:rFonts w:hint="eastAsia" w:ascii="宋体" w:hAnsi="宋体" w:cs="宋体"/>
                <w:kern w:val="0"/>
                <w:sz w:val="22"/>
              </w:rPr>
              <w:br w:type="textWrapping"/>
            </w:r>
            <w:r>
              <w:rPr>
                <w:rFonts w:hint="eastAsia" w:ascii="宋体" w:hAnsi="宋体" w:cs="宋体"/>
                <w:kern w:val="0"/>
                <w:sz w:val="22"/>
              </w:rPr>
              <w:t>（1）学情分析报告：支持查看班级的概览、成绩分析、提交分析、学生提交详情等，概览包括平均分、最高分、最低分、平均用时等，支持查看全班的作业成绩分布，优秀、良好、合格和不合格的占比情况，支持查看班级提交详情。</w:t>
            </w:r>
            <w:r>
              <w:rPr>
                <w:rFonts w:hint="eastAsia" w:ascii="宋体" w:hAnsi="宋体" w:cs="宋体"/>
                <w:kern w:val="0"/>
                <w:sz w:val="22"/>
              </w:rPr>
              <w:br w:type="textWrapping"/>
            </w:r>
            <w:r>
              <w:rPr>
                <w:rFonts w:hint="eastAsia" w:ascii="宋体" w:hAnsi="宋体" w:cs="宋体"/>
                <w:kern w:val="0"/>
                <w:sz w:val="22"/>
              </w:rPr>
              <w:t>（2）答题情况分析：支持查看每道题目的得分率及统计分析，支持通过答题概览快速定位题目进行讲解，客观题支持查看每个选项的占比和作答学生列表，主观题支持查看各分数段的占比和作答学生列表，支持点击查看学生作答详情，设置优秀和典型。</w:t>
            </w:r>
            <w:r>
              <w:rPr>
                <w:rFonts w:hint="eastAsia" w:ascii="宋体" w:hAnsi="宋体" w:cs="宋体"/>
                <w:kern w:val="0"/>
                <w:sz w:val="22"/>
              </w:rPr>
              <w:br w:type="textWrapping"/>
            </w:r>
            <w:r>
              <w:rPr>
                <w:rFonts w:hint="eastAsia" w:ascii="宋体" w:hAnsi="宋体" w:cs="宋体"/>
                <w:kern w:val="0"/>
                <w:sz w:val="22"/>
              </w:rPr>
              <w:t>（3）精准讲评：支持教师根据单题得分率开展课堂针对性练习，并支持对具体单题实现举一反三的功能。</w:t>
            </w:r>
          </w:p>
        </w:tc>
      </w:tr>
      <w:tr w14:paraId="7037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469D755">
            <w:pPr>
              <w:widowControl/>
              <w:jc w:val="center"/>
              <w:rPr>
                <w:rFonts w:ascii="宋体" w:hAnsi="宋体" w:cs="宋体"/>
                <w:kern w:val="0"/>
                <w:sz w:val="22"/>
              </w:rPr>
            </w:pPr>
            <w:r>
              <w:rPr>
                <w:rFonts w:hint="eastAsia" w:ascii="宋体" w:hAnsi="宋体" w:cs="宋体"/>
                <w:kern w:val="0"/>
                <w:sz w:val="22"/>
              </w:rPr>
              <w:t>未来教室应用系统</w:t>
            </w:r>
          </w:p>
        </w:tc>
        <w:tc>
          <w:tcPr>
            <w:tcW w:w="7654" w:type="dxa"/>
            <w:tcBorders>
              <w:tl2br w:val="nil"/>
              <w:tr2bl w:val="nil"/>
            </w:tcBorders>
            <w:shd w:val="clear" w:color="000000" w:fill="FFFFFF"/>
            <w:vAlign w:val="center"/>
          </w:tcPr>
          <w:p w14:paraId="77C72D70">
            <w:pPr>
              <w:widowControl/>
              <w:jc w:val="left"/>
              <w:rPr>
                <w:rFonts w:ascii="宋体" w:hAnsi="宋体" w:cs="宋体"/>
                <w:kern w:val="0"/>
                <w:sz w:val="22"/>
              </w:rPr>
            </w:pPr>
            <w:r>
              <w:rPr>
                <w:rFonts w:hint="eastAsia" w:ascii="宋体" w:hAnsi="宋体" w:cs="宋体"/>
                <w:kern w:val="0"/>
                <w:sz w:val="22"/>
              </w:rPr>
              <w:t>一、智能授课</w:t>
            </w:r>
            <w:r>
              <w:rPr>
                <w:rFonts w:hint="eastAsia" w:ascii="宋体" w:hAnsi="宋体" w:cs="宋体"/>
                <w:kern w:val="0"/>
                <w:sz w:val="22"/>
              </w:rPr>
              <w:br w:type="textWrapping"/>
            </w:r>
            <w:r>
              <w:rPr>
                <w:rFonts w:hint="eastAsia" w:ascii="宋体" w:hAnsi="宋体" w:cs="宋体"/>
                <w:kern w:val="0"/>
                <w:sz w:val="22"/>
              </w:rPr>
              <w:t>1.课本授课：</w:t>
            </w:r>
            <w:r>
              <w:rPr>
                <w:rFonts w:hint="eastAsia" w:ascii="宋体" w:hAnsi="宋体" w:cs="宋体"/>
                <w:kern w:val="0"/>
                <w:sz w:val="22"/>
              </w:rPr>
              <w:br w:type="textWrapping"/>
            </w:r>
            <w:r>
              <w:rPr>
                <w:rFonts w:hint="eastAsia" w:ascii="宋体" w:hAnsi="宋体" w:cs="宋体"/>
                <w:kern w:val="0"/>
                <w:sz w:val="22"/>
              </w:rPr>
              <w:t>（1）支持电子化教材授课，将统一教材、教辅资料、校本教材、经典阅读等资源按学科、年级、册别、出版社等进行归类,供教师根据教学需求自行筛选或搜索使用；经典阅读支持按国别和分类进行整理，用于拓展阅读教学；</w:t>
            </w:r>
            <w:r>
              <w:rPr>
                <w:rFonts w:hint="eastAsia" w:ascii="宋体" w:hAnsi="宋体" w:cs="宋体"/>
                <w:kern w:val="0"/>
                <w:sz w:val="22"/>
              </w:rPr>
              <w:br w:type="textWrapping"/>
            </w:r>
            <w:r>
              <w:rPr>
                <w:rFonts w:hint="eastAsia" w:ascii="宋体" w:hAnsi="宋体" w:cs="宋体"/>
                <w:kern w:val="0"/>
                <w:sz w:val="22"/>
              </w:rPr>
              <w:t>（2）课本同步资源：电子教材配套的教学资源支持一键下载并与教材内的知识点相关联，资源自动内置于教材知识点对应位置并支持自由拖动；支持按资源名称快捷搜索相关资源，并能实现资源的导入与编辑；资源类型包含：教案、课件、导学案、素材、微课、习题、试卷、课例等，资源格式支持PPT、Word、PDF、图片、音频、微课、Excel等；</w:t>
            </w:r>
            <w:r>
              <w:rPr>
                <w:rFonts w:hint="eastAsia" w:ascii="宋体" w:hAnsi="宋体" w:cs="宋体"/>
                <w:kern w:val="0"/>
                <w:sz w:val="22"/>
              </w:rPr>
              <w:br w:type="textWrapping"/>
            </w:r>
            <w:r>
              <w:rPr>
                <w:rFonts w:hint="eastAsia" w:ascii="宋体" w:hAnsi="宋体" w:cs="宋体"/>
                <w:kern w:val="0"/>
                <w:sz w:val="22"/>
              </w:rPr>
              <w:t>（3）授课课本支持单、双页模式，支持下拉浏览，可放大至400%清晰标注，教师可根据课本目录快速定位到教学章节；</w:t>
            </w:r>
            <w:r>
              <w:rPr>
                <w:rFonts w:hint="eastAsia" w:ascii="宋体" w:hAnsi="宋体" w:cs="宋体"/>
                <w:kern w:val="0"/>
                <w:sz w:val="22"/>
              </w:rPr>
              <w:br w:type="textWrapping"/>
            </w:r>
            <w:r>
              <w:rPr>
                <w:rFonts w:hint="eastAsia" w:ascii="宋体" w:hAnsi="宋体" w:cs="宋体"/>
                <w:kern w:val="0"/>
                <w:sz w:val="22"/>
              </w:rPr>
              <w:t>（4）书架管理：支持教师自行导入课本，教师可编辑自己书架的课本对课本进行删除；</w:t>
            </w:r>
            <w:r>
              <w:rPr>
                <w:rFonts w:hint="eastAsia" w:ascii="宋体" w:hAnsi="宋体" w:cs="宋体"/>
                <w:kern w:val="0"/>
                <w:sz w:val="22"/>
              </w:rPr>
              <w:br w:type="textWrapping"/>
            </w:r>
            <w:r>
              <w:rPr>
                <w:rFonts w:hint="eastAsia" w:ascii="宋体" w:hAnsi="宋体" w:cs="宋体"/>
                <w:kern w:val="0"/>
                <w:sz w:val="22"/>
              </w:rPr>
              <w:t>（5）课本点读：语文、英语、音乐学科课本支持全文和单句点读，并支持自定义调节播放进度条，营造标准语言环境；</w:t>
            </w:r>
            <w:r>
              <w:rPr>
                <w:rFonts w:hint="eastAsia" w:ascii="宋体" w:hAnsi="宋体" w:cs="宋体"/>
                <w:kern w:val="0"/>
                <w:sz w:val="22"/>
              </w:rPr>
              <w:br w:type="textWrapping"/>
            </w:r>
            <w:r>
              <w:rPr>
                <w:rFonts w:hint="eastAsia" w:ascii="宋体" w:hAnsi="宋体" w:cs="宋体"/>
                <w:kern w:val="0"/>
                <w:sz w:val="22"/>
              </w:rPr>
              <w:t>2.白板授课：提供多学科主题模板（黑板、白板、拼音田字格、田字格、米字格、四线格、坐标系、小方格、数学本、练习簿、日字格、五线谱、篮球场、足球场等）,并可在白板任意位置进行书写、批注、擦除、拖动等；笔迹支持选中移动、中英文识别、修改颜色、置顶、复制与删除；插入图片或截图到白板中，支持切换图片的锁定状态，即拖动板书内容时图片可以和板书同步移动或缩放；支持可以将图片位置和大小固定，不随板书内容进行移动或缩放，以适应不同的教学场景；支持多个图片同时分别处于锁定和解锁状态；支持将文档（PPT、word、Pdf）插入白板授课，插入白板后的文档类资源支持拖动、翻页、缩放，书写笔迹跟随移动，且支持保存，再次打开时，笔迹仍然保留；支持将视频插入白板授课；白板内容均支持保存，跨终端调取云板书；</w:t>
            </w:r>
            <w:r>
              <w:rPr>
                <w:rFonts w:hint="eastAsia" w:ascii="宋体" w:hAnsi="宋体" w:cs="宋体"/>
                <w:kern w:val="0"/>
                <w:sz w:val="22"/>
              </w:rPr>
              <w:br w:type="textWrapping"/>
            </w:r>
            <w:r>
              <w:rPr>
                <w:rFonts w:hint="eastAsia" w:ascii="宋体" w:hAnsi="宋体" w:cs="宋体"/>
                <w:kern w:val="0"/>
                <w:sz w:val="22"/>
              </w:rPr>
              <w:t>3.课件授课：支持一键调取本机、个人网盘与学校网盘内的教学课件，并实现教学课件文档的手势识别（多级放大、滑动翻页等），支持查看课件缩略图进行快速定位，播放过程中可实现自由批注，当页书写笔迹内容与当页课件内容同步跟随；</w:t>
            </w:r>
            <w:r>
              <w:rPr>
                <w:rFonts w:hint="eastAsia" w:ascii="宋体" w:hAnsi="宋体" w:cs="宋体"/>
                <w:kern w:val="0"/>
                <w:sz w:val="22"/>
              </w:rPr>
              <w:br w:type="textWrapping"/>
            </w:r>
            <w:r>
              <w:rPr>
                <w:rFonts w:hint="eastAsia" w:ascii="宋体" w:hAnsi="宋体" w:cs="宋体"/>
                <w:kern w:val="0"/>
                <w:sz w:val="22"/>
              </w:rPr>
              <w:t>4.讲评授课：支持一键调取作业、考试报告、题库资源等进行讲评，可在线查看班级全体、学生个体每题的答题情况，并通过答题概览快速定位题目进行讲解；客观题可查看每个选项的作答人数和作答学生列表，主观题可查看各分数段的得分人数和作答学生列表，点击查看学生作答详情，并可对优秀和典型答题进行展示、讲评和分享；支持讲评的同时根据学生的作业/考试的得分率进行针对性练习、举一反三等；</w:t>
            </w:r>
            <w:r>
              <w:rPr>
                <w:rFonts w:hint="eastAsia" w:ascii="宋体" w:hAnsi="宋体" w:cs="宋体"/>
                <w:kern w:val="0"/>
                <w:sz w:val="22"/>
              </w:rPr>
              <w:br w:type="textWrapping"/>
            </w:r>
            <w:r>
              <w:rPr>
                <w:rFonts w:hint="eastAsia" w:ascii="宋体" w:hAnsi="宋体" w:cs="宋体"/>
                <w:kern w:val="0"/>
                <w:sz w:val="22"/>
              </w:rPr>
              <w:t>5.移动授课：支持任意Windows/Android/iOS移动终端移动投屏授课，远程授权大屏登录个人账号、PPT推送、PPT遥控、调用白板、批注讲解、拍照讲解、实物展台、文本编辑实施同步、镜像同屏等；</w:t>
            </w:r>
            <w:r>
              <w:rPr>
                <w:rFonts w:hint="eastAsia" w:ascii="宋体" w:hAnsi="宋体" w:cs="宋体"/>
                <w:kern w:val="0"/>
                <w:sz w:val="22"/>
              </w:rPr>
              <w:br w:type="textWrapping"/>
            </w:r>
            <w:r>
              <w:rPr>
                <w:rFonts w:hint="eastAsia" w:ascii="宋体" w:hAnsi="宋体" w:cs="宋体"/>
                <w:kern w:val="0"/>
                <w:sz w:val="22"/>
              </w:rPr>
              <w:t>（1）拍照讲解：支持将学生作业、试卷等纸质内容进行拍照对比讲评，并实现多张图片同屏展现，并对展现内容进行原笔迹手写批注、图片旋转等；</w:t>
            </w:r>
            <w:r>
              <w:rPr>
                <w:rFonts w:hint="eastAsia" w:ascii="宋体" w:hAnsi="宋体" w:cs="宋体"/>
                <w:kern w:val="0"/>
                <w:sz w:val="22"/>
              </w:rPr>
              <w:br w:type="textWrapping"/>
            </w:r>
            <w:r>
              <w:rPr>
                <w:rFonts w:hint="eastAsia" w:ascii="宋体" w:hAnsi="宋体" w:cs="宋体"/>
                <w:kern w:val="0"/>
                <w:sz w:val="22"/>
              </w:rPr>
              <w:t>（2）实物展台：支持移动实物展台功能，配合教师移动终端拍摄各类学科实验、答题过程等实时视频并进行投屏显示；</w:t>
            </w:r>
            <w:r>
              <w:rPr>
                <w:rFonts w:hint="eastAsia" w:ascii="宋体" w:hAnsi="宋体" w:cs="宋体"/>
                <w:kern w:val="0"/>
                <w:sz w:val="22"/>
              </w:rPr>
              <w:br w:type="textWrapping"/>
            </w:r>
            <w:r>
              <w:rPr>
                <w:rFonts w:hint="eastAsia" w:ascii="宋体" w:hAnsi="宋体" w:cs="宋体"/>
                <w:kern w:val="0"/>
                <w:sz w:val="22"/>
              </w:rPr>
              <w:t>（3）多屏交互：支持教师一键将Windows/Android/iOS等移动设备上的授课内容（课件、作业、图片、板书等）同屏至学生终端，学生可自由对同屏内容进行放大、缩小、批注与收藏；</w:t>
            </w:r>
            <w:r>
              <w:rPr>
                <w:rFonts w:hint="eastAsia" w:ascii="宋体" w:hAnsi="宋体" w:cs="宋体"/>
                <w:kern w:val="0"/>
                <w:sz w:val="22"/>
              </w:rPr>
              <w:br w:type="textWrapping"/>
            </w:r>
            <w:r>
              <w:rPr>
                <w:rFonts w:hint="eastAsia" w:ascii="宋体" w:hAnsi="宋体" w:cs="宋体"/>
                <w:kern w:val="0"/>
                <w:sz w:val="22"/>
              </w:rPr>
              <w:t>（4）多端教学：同时提供Windows/iOS/Android移动端工具，满足多端教学需求，iOS与Android移动端工具支持微课录制、课件查询、布置作业、批改作业、教学评价、云考试等功能；</w:t>
            </w:r>
            <w:r>
              <w:rPr>
                <w:rFonts w:hint="eastAsia" w:ascii="宋体" w:hAnsi="宋体" w:cs="宋体"/>
                <w:kern w:val="0"/>
                <w:sz w:val="22"/>
              </w:rPr>
              <w:br w:type="textWrapping"/>
            </w:r>
            <w:r>
              <w:rPr>
                <w:rFonts w:hint="eastAsia" w:ascii="宋体" w:hAnsi="宋体" w:cs="宋体"/>
                <w:kern w:val="0"/>
                <w:sz w:val="22"/>
              </w:rPr>
              <w:t>6.教学书写：提供三种笔形、四种粗细的画笔，画笔颜色支持按色调、饱和度等进行自定义调整，支持任意教学环境下（白板、讲解、视频、PDF等）进行全屏原笔迹书写，笔迹流畅无延迟并自带笔锋，完美高度还原粉笔书写体验与效果；</w:t>
            </w:r>
            <w:r>
              <w:rPr>
                <w:rFonts w:hint="eastAsia" w:ascii="宋体" w:hAnsi="宋体" w:cs="宋体"/>
                <w:kern w:val="0"/>
                <w:sz w:val="22"/>
              </w:rPr>
              <w:br w:type="textWrapping"/>
            </w:r>
            <w:r>
              <w:rPr>
                <w:rFonts w:hint="eastAsia" w:ascii="宋体" w:hAnsi="宋体" w:cs="宋体"/>
                <w:kern w:val="0"/>
                <w:sz w:val="22"/>
              </w:rPr>
              <w:t>7.授课工具：提供板擦（区域擦除、撤销、恢复、清空等，板擦大小可自由调整）、聚焦、拍照、展台、放大镜、计时、录制视频、微课剪辑、幕布等基础教学工具；聚焦功能支持图像增强、文字识别、高亮显示等，支持插入白板进行完整讲演或聚焦多个进行对比讲评；计时功能支持设置倒计时、正计时、时钟、提醒时间、响铃音量等，多场景满足教师授课需求，并支持全屏显示和一键重置；幕布功能实现拖动黑色幕布遮盖的部分，可以在板书内容固定不动的情况下调整幕布遮盖的位置；也可以拖动幕布擦除后展露出的板书，在幕布位置固定不动的情况下，调整展露出的板书内容；</w:t>
            </w:r>
            <w:r>
              <w:rPr>
                <w:rFonts w:hint="eastAsia" w:ascii="宋体" w:hAnsi="宋体" w:cs="宋体"/>
                <w:kern w:val="0"/>
                <w:sz w:val="22"/>
              </w:rPr>
              <w:br w:type="textWrapping"/>
            </w:r>
            <w:r>
              <w:rPr>
                <w:rFonts w:hint="eastAsia" w:ascii="宋体" w:hAnsi="宋体" w:cs="宋体"/>
                <w:kern w:val="0"/>
                <w:sz w:val="22"/>
              </w:rPr>
              <w:t>8.基础学科工具：提供多学科的学科工具，包括通用工具、语文、数学、英语、化学、物理、音乐、体育等学科工具，如扫码传图、诗词卡片、拼音卡片、尺规、平面图形、立体图形、函数工具、算盘、计数器、数小棒、数学动图、仿真实验、构图助手、动态数学教学工具、立体截面、英文词典、字母卡片、报听写、物理器材、化学器材、音乐大师、运动等；</w:t>
            </w:r>
            <w:r>
              <w:rPr>
                <w:rFonts w:hint="eastAsia" w:ascii="宋体" w:hAnsi="宋体" w:cs="宋体"/>
                <w:kern w:val="0"/>
                <w:sz w:val="22"/>
              </w:rPr>
              <w:br w:type="textWrapping"/>
            </w:r>
            <w:r>
              <w:rPr>
                <w:rFonts w:hint="eastAsia" w:ascii="宋体" w:hAnsi="宋体" w:cs="宋体"/>
                <w:kern w:val="0"/>
                <w:sz w:val="22"/>
              </w:rPr>
              <w:t>▲（1）扫码传图支持使用微信扫描软件内置的二维码传输图片至大屏，支持对图片进行批注，支持将图片插入白板，支持上传多张图片对比讲解，上传的图片会自动保存至个人网盘；</w:t>
            </w:r>
            <w:r>
              <w:rPr>
                <w:rFonts w:hint="eastAsia" w:ascii="宋体" w:hAnsi="宋体" w:cs="宋体"/>
                <w:b/>
                <w:bCs/>
                <w:kern w:val="0"/>
                <w:sz w:val="22"/>
              </w:rPr>
              <w:t>（响应时提供软件截图佐证）</w:t>
            </w:r>
            <w:r>
              <w:rPr>
                <w:rFonts w:hint="eastAsia" w:ascii="宋体" w:hAnsi="宋体" w:cs="宋体"/>
                <w:kern w:val="0"/>
                <w:sz w:val="22"/>
              </w:rPr>
              <w:br w:type="textWrapping"/>
            </w:r>
            <w:r>
              <w:rPr>
                <w:rFonts w:hint="eastAsia" w:ascii="宋体" w:hAnsi="宋体" w:cs="宋体"/>
                <w:kern w:val="0"/>
                <w:sz w:val="22"/>
              </w:rPr>
              <w:t>（2）尺规包括直角三角板、等腰直角三角板、量角器、直尺和圆规，尺规作图和平面图形支持角度和长度的数字标注，支持任意图形的自由缩放、大小调整，支持设置边框线条类型和颜色、设置图形填充颜色及透明度，支持对图形的任意拖动、复制、旋转、置顶、删除等功能；</w:t>
            </w:r>
            <w:r>
              <w:rPr>
                <w:rFonts w:hint="eastAsia" w:ascii="宋体" w:hAnsi="宋体" w:cs="宋体"/>
                <w:kern w:val="0"/>
                <w:sz w:val="22"/>
              </w:rPr>
              <w:br w:type="textWrapping"/>
            </w:r>
            <w:r>
              <w:rPr>
                <w:rFonts w:hint="eastAsia" w:ascii="宋体" w:hAnsi="宋体" w:cs="宋体"/>
                <w:kern w:val="0"/>
                <w:sz w:val="22"/>
              </w:rPr>
              <w:t>（3）立体图形支持多种展开模式，并支持大小调节、颜色填充、旋转、删除、复制等操作；</w:t>
            </w:r>
            <w:r>
              <w:rPr>
                <w:rFonts w:hint="eastAsia" w:ascii="宋体" w:hAnsi="宋体" w:cs="宋体"/>
                <w:kern w:val="0"/>
                <w:sz w:val="22"/>
              </w:rPr>
              <w:br w:type="textWrapping"/>
            </w:r>
            <w:r>
              <w:rPr>
                <w:rFonts w:hint="eastAsia" w:ascii="宋体" w:hAnsi="宋体" w:cs="宋体"/>
                <w:kern w:val="0"/>
                <w:sz w:val="22"/>
              </w:rPr>
              <w:t>（4）平面图形支持教师画线、画图、标注、填充颜色等，为方便教师课堂教学，支持设置连续画线；</w:t>
            </w:r>
            <w:r>
              <w:rPr>
                <w:rFonts w:hint="eastAsia" w:ascii="宋体" w:hAnsi="宋体" w:cs="宋体"/>
                <w:kern w:val="0"/>
                <w:sz w:val="22"/>
              </w:rPr>
              <w:br w:type="textWrapping"/>
            </w:r>
            <w:r>
              <w:rPr>
                <w:rFonts w:hint="eastAsia" w:ascii="宋体" w:hAnsi="宋体" w:cs="宋体"/>
                <w:kern w:val="0"/>
                <w:sz w:val="22"/>
              </w:rPr>
              <w:t>（5）化学仪器包括加热、计量、分离、收集、干燥等，物理仪器包括磁学、电学、光学、力学、热学、声学等；</w:t>
            </w:r>
            <w:r>
              <w:rPr>
                <w:rFonts w:hint="eastAsia" w:ascii="宋体" w:hAnsi="宋体" w:cs="宋体"/>
                <w:kern w:val="0"/>
                <w:sz w:val="22"/>
              </w:rPr>
              <w:br w:type="textWrapping"/>
            </w:r>
            <w:r>
              <w:rPr>
                <w:rFonts w:hint="eastAsia" w:ascii="宋体" w:hAnsi="宋体" w:cs="宋体"/>
                <w:kern w:val="0"/>
                <w:sz w:val="22"/>
              </w:rPr>
              <w:t>（6）函数工具包括一次函数、二次函数、幂函数、指数函数、对数函数、三角函数等；</w:t>
            </w:r>
            <w:r>
              <w:rPr>
                <w:rFonts w:hint="eastAsia" w:ascii="宋体" w:hAnsi="宋体" w:cs="宋体"/>
                <w:kern w:val="0"/>
                <w:sz w:val="22"/>
              </w:rPr>
              <w:br w:type="textWrapping"/>
            </w:r>
            <w:r>
              <w:rPr>
                <w:rFonts w:hint="eastAsia" w:ascii="宋体" w:hAnsi="宋体" w:cs="宋体"/>
                <w:kern w:val="0"/>
                <w:sz w:val="22"/>
              </w:rPr>
              <w:t>（7）报听写支持按需选择不同学段、教材、章节的单词进行考察，支持设置听写顺序、听写内容中文显示、朗读次数、书写时间等；</w:t>
            </w:r>
            <w:r>
              <w:rPr>
                <w:rFonts w:hint="eastAsia" w:ascii="宋体" w:hAnsi="宋体" w:cs="宋体"/>
                <w:kern w:val="0"/>
                <w:sz w:val="22"/>
              </w:rPr>
              <w:br w:type="textWrapping"/>
            </w:r>
            <w:r>
              <w:rPr>
                <w:rFonts w:hint="eastAsia" w:ascii="宋体" w:hAnsi="宋体" w:cs="宋体"/>
                <w:kern w:val="0"/>
                <w:sz w:val="22"/>
              </w:rPr>
              <w:t>（8）英文词典：支持键盘输入和手写英文单词搜索出对应的单词的释义、读音、音标、例句、同反义词、词根词缀等，支持任意界面下的手写单词进行划词搜索，支持生成单词卡插入白板中，方便教师讲解；</w:t>
            </w:r>
            <w:r>
              <w:rPr>
                <w:rFonts w:hint="eastAsia" w:ascii="宋体" w:hAnsi="宋体" w:cs="宋体"/>
                <w:kern w:val="0"/>
                <w:sz w:val="22"/>
              </w:rPr>
              <w:br w:type="textWrapping"/>
            </w:r>
            <w:r>
              <w:rPr>
                <w:rFonts w:hint="eastAsia" w:ascii="宋体" w:hAnsi="宋体" w:cs="宋体"/>
                <w:kern w:val="0"/>
                <w:sz w:val="22"/>
              </w:rPr>
              <w:t>（9）数学动态画板：支持自建画板、校本画板和网络画板并附带搜索工具，所绘制的函数及图形支持本地保存、云端保存、插入白板、批量生成外链进行分享等；</w:t>
            </w:r>
            <w:r>
              <w:rPr>
                <w:rFonts w:hint="eastAsia" w:ascii="宋体" w:hAnsi="宋体" w:cs="宋体"/>
                <w:kern w:val="0"/>
                <w:sz w:val="22"/>
              </w:rPr>
              <w:br w:type="textWrapping"/>
            </w:r>
            <w:r>
              <w:rPr>
                <w:rFonts w:hint="eastAsia" w:ascii="宋体" w:hAnsi="宋体" w:cs="宋体"/>
                <w:kern w:val="0"/>
                <w:sz w:val="22"/>
              </w:rPr>
              <w:t>▲9.学科资源应用：支持一键调取科学可视化资源，支持按教科书版本和知识模块进行筛选；知识模块包括：高中数学（集合与常用逻辑用语、不等式、函数、导数、积分、三角函数与解三角形、平面向量、数列、立体几何、平面解析几何、计数原理与统计概率）、高中物理（力与运动、电与磁、原子物理、动量与能量）、高中化学（无机化学、实验化学、结构化学、化学反应原理、有机化学）、高中地理（自然地理、人文地理、区域地理）、高中生物（分子与细胞、遗传与进化、稳态与调节、生物与环境、生物技术与工程）等；</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10.智能云白板：</w:t>
            </w:r>
            <w:r>
              <w:rPr>
                <w:rFonts w:hint="eastAsia" w:ascii="宋体" w:hAnsi="宋体" w:cs="宋体"/>
                <w:kern w:val="0"/>
                <w:sz w:val="22"/>
              </w:rPr>
              <w:br w:type="textWrapping"/>
            </w:r>
            <w:r>
              <w:rPr>
                <w:rFonts w:hint="eastAsia" w:ascii="宋体" w:hAnsi="宋体" w:cs="宋体"/>
                <w:kern w:val="0"/>
                <w:sz w:val="22"/>
              </w:rPr>
              <w:t>（1）支持将教师板书同步保存至云端，并按时间、班级等条件进行归档，支持跨终端调取复用以及再次编辑修改（非JPG格式与PDF格式）；</w:t>
            </w:r>
            <w:r>
              <w:rPr>
                <w:rFonts w:hint="eastAsia" w:ascii="宋体" w:hAnsi="宋体" w:cs="宋体"/>
                <w:kern w:val="0"/>
                <w:sz w:val="22"/>
              </w:rPr>
              <w:br w:type="textWrapping"/>
            </w:r>
            <w:r>
              <w:rPr>
                <w:rFonts w:hint="eastAsia" w:ascii="宋体" w:hAnsi="宋体" w:cs="宋体"/>
                <w:kern w:val="0"/>
                <w:sz w:val="22"/>
              </w:rPr>
              <w:t>（2）支持将板书分享给学科组教师、校本资源，支持一键生成分享二维码、链接，分享至微信\QQ；所分享的板书不仅支持查看其内容，同时可打开查看插入的文档、视频等富媒体资源；</w:t>
            </w:r>
            <w:r>
              <w:rPr>
                <w:rFonts w:hint="eastAsia" w:ascii="宋体" w:hAnsi="宋体" w:cs="宋体"/>
                <w:kern w:val="0"/>
                <w:sz w:val="22"/>
              </w:rPr>
              <w:br w:type="textWrapping"/>
            </w:r>
            <w:r>
              <w:rPr>
                <w:rFonts w:hint="eastAsia" w:ascii="宋体" w:hAnsi="宋体" w:cs="宋体"/>
                <w:kern w:val="0"/>
                <w:sz w:val="22"/>
              </w:rPr>
              <w:t>（3）云端存储的板书内容可同步删除或批量导出至本地；支持导入图片格式文件至云白板，方便教学资源跨终端携带；</w:t>
            </w:r>
            <w:r>
              <w:rPr>
                <w:rFonts w:hint="eastAsia" w:ascii="宋体" w:hAnsi="宋体" w:cs="宋体"/>
                <w:kern w:val="0"/>
                <w:sz w:val="22"/>
              </w:rPr>
              <w:br w:type="textWrapping"/>
            </w:r>
            <w:r>
              <w:rPr>
                <w:rFonts w:hint="eastAsia" w:ascii="宋体" w:hAnsi="宋体" w:cs="宋体"/>
                <w:kern w:val="0"/>
                <w:sz w:val="22"/>
              </w:rPr>
              <w:t xml:space="preserve">11.智能工具：基于即时手写智能识别的智能工具板，可实现中英文智能转写、智能搜索、图形识别与函数识别等功能，所有板书记录可同步保存至云白板； </w:t>
            </w:r>
            <w:r>
              <w:rPr>
                <w:rFonts w:hint="eastAsia" w:ascii="宋体" w:hAnsi="宋体" w:cs="宋体"/>
                <w:kern w:val="0"/>
                <w:sz w:val="22"/>
              </w:rPr>
              <w:br w:type="textWrapping"/>
            </w:r>
            <w:r>
              <w:rPr>
                <w:rFonts w:hint="eastAsia" w:ascii="宋体" w:hAnsi="宋体" w:cs="宋体"/>
                <w:kern w:val="0"/>
                <w:sz w:val="22"/>
              </w:rPr>
              <w:t>（1）中英文智能转写：支持将手写的中英文字词自动识别并转写为标准印刷体，字体大小可无级放大，并支持在线直接搜索和删除的功能；支持对中文生字的手写识别并可实现读音、笔顺、描红、笔画、结构、部首、组词，支持米字格显示，通过字卡实现标准化教学；支持对英文单词的手写识别，并可更换字体显示，支持四线格显示，便捷教学；</w:t>
            </w:r>
            <w:r>
              <w:rPr>
                <w:rFonts w:hint="eastAsia" w:ascii="宋体" w:hAnsi="宋体" w:cs="宋体"/>
                <w:kern w:val="0"/>
                <w:sz w:val="22"/>
              </w:rPr>
              <w:br w:type="textWrapping"/>
            </w:r>
            <w:r>
              <w:rPr>
                <w:rFonts w:hint="eastAsia" w:ascii="宋体" w:hAnsi="宋体" w:cs="宋体"/>
                <w:kern w:val="0"/>
                <w:sz w:val="22"/>
              </w:rPr>
              <w:t>（2）智能搜索：支持画圈搜索手写的中英文字词，可实时触达互联网资源，快速实现课堂拓展讲解；</w:t>
            </w:r>
            <w:r>
              <w:rPr>
                <w:rFonts w:hint="eastAsia" w:ascii="宋体" w:hAnsi="宋体" w:cs="宋体"/>
                <w:kern w:val="0"/>
                <w:sz w:val="22"/>
              </w:rPr>
              <w:br w:type="textWrapping"/>
            </w:r>
            <w:r>
              <w:rPr>
                <w:rFonts w:hint="eastAsia" w:ascii="宋体" w:hAnsi="宋体" w:cs="宋体"/>
                <w:kern w:val="0"/>
                <w:sz w:val="22"/>
              </w:rPr>
              <w:t>（3）图形识别：支持将教师手写的图形自动识别为标准规范图形，并自由缩放、调整图形的比例大小，支持查看图形标注，设置边框线条和颜色，设置图形填充颜色，支持对图形的任意拖动、复制等功能，方便教师“以形助数”、直观讲解；</w:t>
            </w:r>
            <w:r>
              <w:rPr>
                <w:rFonts w:hint="eastAsia" w:ascii="宋体" w:hAnsi="宋体" w:cs="宋体"/>
                <w:kern w:val="0"/>
                <w:sz w:val="22"/>
              </w:rPr>
              <w:br w:type="textWrapping"/>
            </w:r>
            <w:r>
              <w:rPr>
                <w:rFonts w:hint="eastAsia" w:ascii="宋体" w:hAnsi="宋体" w:cs="宋体"/>
                <w:kern w:val="0"/>
                <w:sz w:val="22"/>
              </w:rPr>
              <w:t>▲（4）函数识别：支持将教师手写的函数公式自动识别并转换为匹配的函数图形，并可通过手势划词直接进行删除与修改，支持将相应的函数图形直接插入到白板内，方便教师进行二次讲解；</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12.课堂实录：支持任意授课界面下进行微课录制，录制区域全屏或自定义区域，电脑麦克风与扬声器双重录制声音，并可对画质选择、视频水印、时间提示、鼠标显示等信息进行调节，录制结束后自动生成MP4格式的文件，可一键分享至学生终端、微信/QQ、校本资源库，并选择立即播放或定时播放等；</w:t>
            </w:r>
            <w:r>
              <w:rPr>
                <w:rFonts w:hint="eastAsia" w:ascii="宋体" w:hAnsi="宋体" w:cs="宋体"/>
                <w:kern w:val="0"/>
                <w:sz w:val="22"/>
              </w:rPr>
              <w:br w:type="textWrapping"/>
            </w:r>
            <w:r>
              <w:rPr>
                <w:rFonts w:hint="eastAsia" w:ascii="宋体" w:hAnsi="宋体" w:cs="宋体"/>
                <w:kern w:val="0"/>
                <w:sz w:val="22"/>
              </w:rPr>
              <w:t>13.作业讲评与智能推送：支持一键调取作业、考试报告、题库资源等进行讲评，可在线查看班级全体、学生个体每题的答题情况，并通过答题概览快速定位题目进行讲解；客观题可查看每个选项的作答人数和作答学生列表，主观题可查看各分数段的得分人数和作答学生列表，点击查看学生作答详情，并可对优秀和典型答题进行展示、讲评和分享；支持讲评的同时根据学生的作业/考试的得分率进行针对性练习、举一反三等；</w:t>
            </w:r>
            <w:r>
              <w:rPr>
                <w:rFonts w:hint="eastAsia" w:ascii="宋体" w:hAnsi="宋体" w:cs="宋体"/>
                <w:kern w:val="0"/>
                <w:sz w:val="22"/>
              </w:rPr>
              <w:br w:type="textWrapping"/>
            </w:r>
            <w:r>
              <w:rPr>
                <w:rFonts w:hint="eastAsia" w:ascii="宋体" w:hAnsi="宋体" w:cs="宋体"/>
                <w:kern w:val="0"/>
                <w:sz w:val="22"/>
              </w:rPr>
              <w:t>14.窗口切换：支持任何界面一键返回桌面，支持一键自由切换最近打开的窗口；</w:t>
            </w:r>
            <w:r>
              <w:rPr>
                <w:rFonts w:hint="eastAsia" w:ascii="宋体" w:hAnsi="宋体" w:cs="宋体"/>
                <w:kern w:val="0"/>
                <w:sz w:val="22"/>
              </w:rPr>
              <w:br w:type="textWrapping"/>
            </w:r>
            <w:r>
              <w:rPr>
                <w:rFonts w:hint="eastAsia" w:ascii="宋体" w:hAnsi="宋体" w:cs="宋体"/>
                <w:kern w:val="0"/>
                <w:sz w:val="22"/>
              </w:rPr>
              <w:t>二、师生交互</w:t>
            </w:r>
            <w:r>
              <w:rPr>
                <w:rFonts w:hint="eastAsia" w:ascii="宋体" w:hAnsi="宋体" w:cs="宋体"/>
                <w:kern w:val="0"/>
                <w:sz w:val="22"/>
              </w:rPr>
              <w:br w:type="textWrapping"/>
            </w:r>
            <w:r>
              <w:rPr>
                <w:rFonts w:hint="eastAsia" w:ascii="宋体" w:hAnsi="宋体" w:cs="宋体"/>
                <w:kern w:val="0"/>
                <w:sz w:val="22"/>
              </w:rPr>
              <w:t>1.多屏协作交互：支持课堂实时互动，可根据需求选择全班练习或分组练习，互动方式包括提问、投票、抢答、随机、观点云、拍照上传、截屏发送、屏幕广播与授权学生投屏讲解、限时练等；互动题型包括选择题、判断题、填空题、主观题等；</w:t>
            </w:r>
            <w:r>
              <w:rPr>
                <w:rFonts w:hint="eastAsia" w:ascii="宋体" w:hAnsi="宋体" w:cs="宋体"/>
                <w:kern w:val="0"/>
                <w:sz w:val="22"/>
              </w:rPr>
              <w:br w:type="textWrapping"/>
            </w:r>
            <w:r>
              <w:rPr>
                <w:rFonts w:hint="eastAsia" w:ascii="宋体" w:hAnsi="宋体" w:cs="宋体"/>
                <w:kern w:val="0"/>
                <w:sz w:val="22"/>
              </w:rPr>
              <w:t>2.随堂检测：支持教师对任意授课界面进行截图，针对题面进行提问，并能实时获取班级答题报告，包括每道题的正确率，查看学生答题详情包括学生提交情况、学生答案等，对于作答表现良好的学生可以点赞鼓励；支持客观题小组分组答题、呈现分组答题报告，支持主观题对比讲解；支持将提问的各题型课前保存至草稿箱，在课中一键调取；</w:t>
            </w:r>
            <w:r>
              <w:rPr>
                <w:rFonts w:hint="eastAsia" w:ascii="宋体" w:hAnsi="宋体" w:cs="宋体"/>
                <w:kern w:val="0"/>
                <w:sz w:val="22"/>
              </w:rPr>
              <w:br w:type="textWrapping"/>
            </w:r>
            <w:r>
              <w:rPr>
                <w:rFonts w:hint="eastAsia" w:ascii="宋体" w:hAnsi="宋体" w:cs="宋体"/>
                <w:kern w:val="0"/>
                <w:sz w:val="22"/>
              </w:rPr>
              <w:t>3.观点云：学生以发送弹幕的形式进行讨论，充分发表看法；学生输入观点即可提交，大屏上实时呈现学生提交的观点，学生可以相互点赞，支持以倒计时或正计时两种方式设置答题时间；答题结束后支持以云图、排行榜、详情三种形式呈现观点报告，报告按钮可最小化，实现内容讲解与数据报告的场景切换。</w:t>
            </w:r>
            <w:r>
              <w:rPr>
                <w:rFonts w:hint="eastAsia" w:ascii="宋体" w:hAnsi="宋体" w:cs="宋体"/>
                <w:kern w:val="0"/>
                <w:sz w:val="22"/>
              </w:rPr>
              <w:br w:type="textWrapping"/>
            </w:r>
            <w:r>
              <w:rPr>
                <w:rFonts w:hint="eastAsia" w:ascii="宋体" w:hAnsi="宋体" w:cs="宋体"/>
                <w:kern w:val="0"/>
                <w:sz w:val="22"/>
              </w:rPr>
              <w:t>4.智能推送：支持教师将包括3D素材、互动微件、交互式资源（趣味分类、趣味素材、猜词游戏、连线题、翻翻卡、思维导图、超级分类、选词填空、趣味检测、选择题、判断题等）等交互式资源一键分享到学生端，学生可实现探究式、体验式学习，实时判断对错，并进行闯关答题；</w:t>
            </w:r>
            <w:r>
              <w:rPr>
                <w:rFonts w:hint="eastAsia" w:ascii="宋体" w:hAnsi="宋体" w:cs="宋体"/>
                <w:kern w:val="0"/>
                <w:sz w:val="22"/>
              </w:rPr>
              <w:br w:type="textWrapping"/>
            </w:r>
            <w:r>
              <w:rPr>
                <w:rFonts w:hint="eastAsia" w:ascii="宋体" w:hAnsi="宋体" w:cs="宋体"/>
                <w:kern w:val="0"/>
                <w:sz w:val="22"/>
              </w:rPr>
              <w:t>5.小组pk：支持小组对抗功能，分组人数与小组数量可自定义调整，教师可通过分组的答题情况对小组人员进行表扬或提醒；</w:t>
            </w:r>
            <w:r>
              <w:rPr>
                <w:rFonts w:hint="eastAsia" w:ascii="宋体" w:hAnsi="宋体" w:cs="宋体"/>
                <w:kern w:val="0"/>
                <w:sz w:val="22"/>
              </w:rPr>
              <w:br w:type="textWrapping"/>
            </w:r>
            <w:r>
              <w:rPr>
                <w:rFonts w:hint="eastAsia" w:ascii="宋体" w:hAnsi="宋体" w:cs="宋体"/>
                <w:kern w:val="0"/>
                <w:sz w:val="22"/>
              </w:rPr>
              <w:t>三、管理中心</w:t>
            </w:r>
            <w:r>
              <w:rPr>
                <w:rFonts w:hint="eastAsia" w:ascii="宋体" w:hAnsi="宋体" w:cs="宋体"/>
                <w:kern w:val="0"/>
                <w:sz w:val="22"/>
              </w:rPr>
              <w:br w:type="textWrapping"/>
            </w:r>
            <w:r>
              <w:rPr>
                <w:rFonts w:hint="eastAsia" w:ascii="宋体" w:hAnsi="宋体" w:cs="宋体"/>
                <w:kern w:val="0"/>
                <w:sz w:val="22"/>
              </w:rPr>
              <w:t>1.授课登录：支持教师通过个人账号、微信授权、二维码或第三方账号等方式进行身份识别快速登录授课；登录后，即时进入上课模式，并自动获取云端课件；支持课件云同步功能，课件上的所有修改、操作均可同步保存至云端；</w:t>
            </w:r>
            <w:r>
              <w:rPr>
                <w:rFonts w:hint="eastAsia" w:ascii="宋体" w:hAnsi="宋体" w:cs="宋体"/>
                <w:kern w:val="0"/>
                <w:sz w:val="22"/>
              </w:rPr>
              <w:br w:type="textWrapping"/>
            </w:r>
            <w:r>
              <w:rPr>
                <w:rFonts w:hint="eastAsia" w:ascii="宋体" w:hAnsi="宋体" w:cs="宋体"/>
                <w:kern w:val="0"/>
                <w:sz w:val="22"/>
              </w:rPr>
              <w:t>2.支持自定义侧边和底部工具栏，侧边可以配置白板、课本、课件、窗口模块；底部可配置互动、聚焦等；</w:t>
            </w:r>
            <w:r>
              <w:rPr>
                <w:rFonts w:hint="eastAsia" w:ascii="宋体" w:hAnsi="宋体" w:cs="宋体"/>
                <w:kern w:val="0"/>
                <w:sz w:val="22"/>
              </w:rPr>
              <w:br w:type="textWrapping"/>
            </w:r>
            <w:r>
              <w:rPr>
                <w:rFonts w:hint="eastAsia" w:ascii="宋体" w:hAnsi="宋体" w:cs="宋体"/>
                <w:kern w:val="0"/>
                <w:sz w:val="22"/>
              </w:rPr>
              <w:t>3.与教室的双屏和多屏系统实现互通，在教室应用系统可授权开启双屏互动、多屏互动等，多屏模式下支持主屏或小组屏设置，小组屏名称可自定义；</w:t>
            </w:r>
            <w:r>
              <w:rPr>
                <w:rFonts w:hint="eastAsia" w:ascii="宋体" w:hAnsi="宋体" w:cs="宋体"/>
                <w:kern w:val="0"/>
                <w:sz w:val="22"/>
              </w:rPr>
              <w:br w:type="textWrapping"/>
            </w:r>
            <w:r>
              <w:rPr>
                <w:rFonts w:hint="eastAsia" w:ascii="宋体" w:hAnsi="宋体" w:cs="宋体"/>
                <w:kern w:val="0"/>
                <w:sz w:val="22"/>
              </w:rPr>
              <w:t>4.本地备份存储路径可修改，并支持对下载课本、缓存定期清理、手动清理，释放大屏本地存储空间；</w:t>
            </w:r>
            <w:r>
              <w:rPr>
                <w:rFonts w:hint="eastAsia" w:ascii="宋体" w:hAnsi="宋体" w:cs="宋体"/>
                <w:kern w:val="0"/>
                <w:sz w:val="22"/>
              </w:rPr>
              <w:br w:type="textWrapping"/>
            </w:r>
            <w:r>
              <w:rPr>
                <w:rFonts w:hint="eastAsia" w:ascii="宋体" w:hAnsi="宋体" w:cs="宋体"/>
                <w:kern w:val="0"/>
                <w:sz w:val="22"/>
              </w:rPr>
              <w:t>5.支持设置是否开启多人书写、板书美颜级别（低、中、高）、是否开启手势板擦、超级白板等；支持设置节能模式，可自由设置设定时间内无人操作自动关机等功能；</w:t>
            </w:r>
          </w:p>
        </w:tc>
      </w:tr>
      <w:tr w14:paraId="6381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525D1E5">
            <w:pPr>
              <w:widowControl/>
              <w:jc w:val="center"/>
              <w:rPr>
                <w:rFonts w:ascii="宋体" w:hAnsi="宋体" w:cs="宋体"/>
                <w:kern w:val="0"/>
                <w:sz w:val="22"/>
              </w:rPr>
            </w:pPr>
            <w:r>
              <w:rPr>
                <w:rFonts w:hint="eastAsia" w:ascii="宋体" w:hAnsi="宋体" w:cs="宋体"/>
                <w:kern w:val="0"/>
                <w:sz w:val="22"/>
              </w:rPr>
              <w:t>教师端应用系统</w:t>
            </w:r>
          </w:p>
        </w:tc>
        <w:tc>
          <w:tcPr>
            <w:tcW w:w="7654" w:type="dxa"/>
            <w:tcBorders>
              <w:tl2br w:val="nil"/>
              <w:tr2bl w:val="nil"/>
            </w:tcBorders>
            <w:shd w:val="clear" w:color="000000" w:fill="FFFFFF"/>
            <w:vAlign w:val="center"/>
          </w:tcPr>
          <w:p w14:paraId="7F9DF23D">
            <w:pPr>
              <w:widowControl/>
              <w:jc w:val="left"/>
              <w:rPr>
                <w:rFonts w:ascii="宋体" w:hAnsi="宋体" w:cs="宋体"/>
                <w:kern w:val="0"/>
                <w:sz w:val="22"/>
              </w:rPr>
            </w:pPr>
            <w:r>
              <w:rPr>
                <w:rFonts w:hint="eastAsia" w:ascii="宋体" w:hAnsi="宋体" w:cs="宋体"/>
                <w:kern w:val="0"/>
                <w:sz w:val="22"/>
              </w:rPr>
              <w:t>一、智能备课</w:t>
            </w:r>
            <w:r>
              <w:rPr>
                <w:rFonts w:hint="eastAsia" w:ascii="宋体" w:hAnsi="宋体" w:cs="宋体"/>
                <w:kern w:val="0"/>
                <w:sz w:val="22"/>
              </w:rPr>
              <w:br w:type="textWrapping"/>
            </w:r>
            <w:r>
              <w:rPr>
                <w:rFonts w:hint="eastAsia" w:ascii="宋体" w:hAnsi="宋体" w:cs="宋体"/>
                <w:kern w:val="0"/>
                <w:sz w:val="22"/>
              </w:rPr>
              <w:t>1.备课桌面：提供教师专有的个人备课桌面，集成资源统一搜索引擎、个人备课工具、个人资源、校本资源、作业与考试中心、最新动态、学情分析等信息；</w:t>
            </w:r>
            <w:r>
              <w:rPr>
                <w:rFonts w:hint="eastAsia" w:ascii="宋体" w:hAnsi="宋体" w:cs="宋体"/>
                <w:kern w:val="0"/>
                <w:sz w:val="22"/>
              </w:rPr>
              <w:br w:type="textWrapping"/>
            </w:r>
            <w:r>
              <w:rPr>
                <w:rFonts w:hint="eastAsia" w:ascii="宋体" w:hAnsi="宋体" w:cs="宋体"/>
                <w:kern w:val="0"/>
                <w:sz w:val="22"/>
              </w:rPr>
              <w:t>2.备课中心：提供教师个人备课中心，可根据学段、学科、教材版本自动推送相关备课素材与课件，并同步提供对应的同步资源与校本资源；支持对备课资源进行统一管理，同时支持生成微信/QQ分享二维码进行分享；</w:t>
            </w:r>
            <w:r>
              <w:rPr>
                <w:rFonts w:hint="eastAsia" w:ascii="宋体" w:hAnsi="宋体" w:cs="宋体"/>
                <w:kern w:val="0"/>
                <w:sz w:val="22"/>
              </w:rPr>
              <w:br w:type="textWrapping"/>
            </w:r>
            <w:r>
              <w:rPr>
                <w:rFonts w:hint="eastAsia" w:ascii="宋体" w:hAnsi="宋体" w:cs="宋体"/>
                <w:kern w:val="0"/>
                <w:sz w:val="22"/>
              </w:rPr>
              <w:t>3.备课空间：提供教师个人备课网盘，空间不少于50G，并可按课件、微课、板书等内容进行归类；支持对网盘资源进行统一管理，如支持单个资源进行插入白板、重命名、移动到、删除等操作，支持批量编辑，支持对网盘资源进行一键下载、一键加入备课、一键分享到指定班级、学科组老师、校本资源库、支持生成微信/QQ分享二维码等功能；</w:t>
            </w:r>
            <w:r>
              <w:rPr>
                <w:rFonts w:hint="eastAsia" w:ascii="宋体" w:hAnsi="宋体" w:cs="宋体"/>
                <w:kern w:val="0"/>
                <w:sz w:val="22"/>
              </w:rPr>
              <w:br w:type="textWrapping"/>
            </w:r>
            <w:r>
              <w:rPr>
                <w:rFonts w:hint="eastAsia" w:ascii="宋体" w:hAnsi="宋体" w:cs="宋体"/>
                <w:kern w:val="0"/>
                <w:sz w:val="22"/>
              </w:rPr>
              <w:t>4.资源中心入口：提供体系化生态级资源中心，并提供同步资源、校本资源、题库资源、可视化资源等资源合集，教师可在设置好教材版本后自动推送相关资源，方便一键加入个人备课中心或下载后自由编辑；</w:t>
            </w:r>
            <w:r>
              <w:rPr>
                <w:rFonts w:hint="eastAsia" w:ascii="宋体" w:hAnsi="宋体" w:cs="宋体"/>
                <w:kern w:val="0"/>
                <w:sz w:val="22"/>
              </w:rPr>
              <w:br w:type="textWrapping"/>
            </w:r>
            <w:r>
              <w:rPr>
                <w:rFonts w:hint="eastAsia" w:ascii="宋体" w:hAnsi="宋体" w:cs="宋体"/>
                <w:kern w:val="0"/>
                <w:sz w:val="22"/>
              </w:rPr>
              <w:t>5.智能备课插件：提供基于原生PPT/WPS的智能备课插件，非自有格式或嵌套式的备课工具，课件默认输出格式为PPT/WPS的默认格式，非专有格式；</w:t>
            </w:r>
            <w:r>
              <w:rPr>
                <w:rFonts w:hint="eastAsia" w:ascii="宋体" w:hAnsi="宋体" w:cs="宋体"/>
                <w:kern w:val="0"/>
                <w:sz w:val="22"/>
              </w:rPr>
              <w:br w:type="textWrapping"/>
            </w:r>
            <w:r>
              <w:rPr>
                <w:rFonts w:hint="eastAsia" w:ascii="宋体" w:hAnsi="宋体" w:cs="宋体"/>
                <w:kern w:val="0"/>
                <w:sz w:val="22"/>
              </w:rPr>
              <w:t>6.特色资源导入：支持备课资源与备课插件的无缝结合，方便将图片、视频、互动微件、3D、题库等一键插入到原生PPT/WPS内,并能按学段、学科、资源类型、知识点、关键字等关键信息搜索资源；</w:t>
            </w:r>
            <w:r>
              <w:rPr>
                <w:rFonts w:hint="eastAsia" w:ascii="宋体" w:hAnsi="宋体" w:cs="宋体"/>
                <w:kern w:val="0"/>
                <w:sz w:val="22"/>
              </w:rPr>
              <w:br w:type="textWrapping"/>
            </w:r>
            <w:r>
              <w:rPr>
                <w:rFonts w:hint="eastAsia" w:ascii="宋体" w:hAnsi="宋体" w:cs="宋体"/>
                <w:kern w:val="0"/>
                <w:sz w:val="22"/>
              </w:rPr>
              <w:t>7.PPT资源导入：支持利用备课插件一键导入资源中心内同步资源与校本资源，实现各类PPT、音视频与文本类资源一键导入与替换；</w:t>
            </w:r>
            <w:r>
              <w:rPr>
                <w:rFonts w:hint="eastAsia" w:ascii="宋体" w:hAnsi="宋体" w:cs="宋体"/>
                <w:kern w:val="0"/>
                <w:sz w:val="22"/>
              </w:rPr>
              <w:br w:type="textWrapping"/>
            </w:r>
            <w:r>
              <w:rPr>
                <w:rFonts w:hint="eastAsia" w:ascii="宋体" w:hAnsi="宋体" w:cs="宋体"/>
                <w:kern w:val="0"/>
                <w:sz w:val="22"/>
              </w:rPr>
              <w:t>8.网络资源导入：支持一键引入互联网链接资源，搜索链接后可一键将页面插入至PPT内，并能够在ppt播放状态下进行页面二次跳转；</w:t>
            </w:r>
            <w:r>
              <w:rPr>
                <w:rFonts w:hint="eastAsia" w:ascii="宋体" w:hAnsi="宋体" w:cs="宋体"/>
                <w:kern w:val="0"/>
                <w:sz w:val="22"/>
              </w:rPr>
              <w:br w:type="textWrapping"/>
            </w:r>
            <w:r>
              <w:rPr>
                <w:rFonts w:hint="eastAsia" w:ascii="宋体" w:hAnsi="宋体" w:cs="宋体"/>
                <w:kern w:val="0"/>
                <w:sz w:val="22"/>
              </w:rPr>
              <w:t>▲9.课堂活动设计：提供多类型课堂活动模板，如趣味分类、超级分类、翻翻卡、双人PK、连线题、猜词游戏、趣味素材、选词填空、选择题、判断题、比较大小、趣味检测、趣味拼词、思维导图（思维导图支持多类型模板，如经典思维、逻辑结构、彩色枝丫、鱼尾逻辑、发散思维、组织结构、目录组织、鱼骨图、天盘图，支持插入链接、图片、音视频、总结，导出为本地文件）等；</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10.精准学情中心：支持教师将备课内容（课件、微课、板书、GGB等交互式资源等）一键分享至校本资源库、其他教师与学生，并即时查看学生预习情况，包括已学习人数与名单、未学习人数与名单、平均学习率、平均看懂率、平均学习次数、平均学习时长、看懂人数、未懂人数、未反馈人数等；</w:t>
            </w:r>
            <w:r>
              <w:rPr>
                <w:rFonts w:hint="eastAsia" w:ascii="宋体" w:hAnsi="宋体" w:cs="宋体"/>
                <w:kern w:val="0"/>
                <w:sz w:val="22"/>
              </w:rPr>
              <w:br w:type="textWrapping"/>
            </w:r>
            <w:r>
              <w:rPr>
                <w:rFonts w:hint="eastAsia" w:ascii="宋体" w:hAnsi="宋体" w:cs="宋体"/>
                <w:kern w:val="0"/>
                <w:sz w:val="22"/>
              </w:rPr>
              <w:t>11.协同备课：提供在线协同备课软件，可实现教研组在线多人协同备课，备课记录与修改轨迹实时保存与共享，并可在线查看相关协同记录；</w:t>
            </w:r>
            <w:r>
              <w:rPr>
                <w:rFonts w:hint="eastAsia" w:ascii="宋体" w:hAnsi="宋体" w:cs="宋体"/>
                <w:kern w:val="0"/>
                <w:sz w:val="22"/>
              </w:rPr>
              <w:br w:type="textWrapping"/>
            </w:r>
            <w:r>
              <w:rPr>
                <w:rFonts w:hint="eastAsia" w:ascii="宋体" w:hAnsi="宋体" w:cs="宋体"/>
                <w:kern w:val="0"/>
                <w:sz w:val="22"/>
              </w:rPr>
              <w:t>12.数据同步：支持备课资源同步更新，备课完成后将资源或课件一键同步上传至个人云盘（校本空间），保持数据同步，其中网盘存储的PPT类资源下载修改后支持自动同步云端。</w:t>
            </w:r>
            <w:r>
              <w:rPr>
                <w:rFonts w:hint="eastAsia" w:ascii="宋体" w:hAnsi="宋体" w:cs="宋体"/>
                <w:kern w:val="0"/>
                <w:sz w:val="22"/>
              </w:rPr>
              <w:br w:type="textWrapping"/>
            </w:r>
            <w:r>
              <w:rPr>
                <w:rFonts w:hint="eastAsia" w:ascii="宋体" w:hAnsi="宋体" w:cs="宋体"/>
                <w:kern w:val="0"/>
                <w:sz w:val="22"/>
              </w:rPr>
              <w:t>二、教学中心</w:t>
            </w:r>
            <w:r>
              <w:rPr>
                <w:rFonts w:hint="eastAsia" w:ascii="宋体" w:hAnsi="宋体" w:cs="宋体"/>
                <w:kern w:val="0"/>
                <w:sz w:val="22"/>
              </w:rPr>
              <w:br w:type="textWrapping"/>
            </w:r>
            <w:r>
              <w:rPr>
                <w:rFonts w:hint="eastAsia" w:ascii="宋体" w:hAnsi="宋体" w:cs="宋体"/>
                <w:kern w:val="0"/>
                <w:sz w:val="22"/>
              </w:rPr>
              <w:t>1.无线投屏：无需借助任何投屏器设备，实现Windows/Android/iOS移动设备无线投射到大屏上，完成登录账号、PPT遥控、PPT推送、镜像同屏、快捷输入、白板讲解、批注讲解、拍照讲解、实物展台等活动；</w:t>
            </w:r>
            <w:r>
              <w:rPr>
                <w:rFonts w:hint="eastAsia" w:ascii="宋体" w:hAnsi="宋体" w:cs="宋体"/>
                <w:kern w:val="0"/>
                <w:sz w:val="22"/>
              </w:rPr>
              <w:br w:type="textWrapping"/>
            </w:r>
            <w:r>
              <w:rPr>
                <w:rFonts w:hint="eastAsia" w:ascii="宋体" w:hAnsi="宋体" w:cs="宋体"/>
                <w:kern w:val="0"/>
                <w:sz w:val="22"/>
              </w:rPr>
              <w:t xml:space="preserve">2.拍照讲解：支持将学生作业、试卷、图片、成果、问题等纸质内容进行拍照对比讲评，并实现多张图片同屏展现，并对展现内容进行原笔迹手写批注、图片旋转等； </w:t>
            </w:r>
            <w:r>
              <w:rPr>
                <w:rFonts w:hint="eastAsia" w:ascii="宋体" w:hAnsi="宋体" w:cs="宋体"/>
                <w:kern w:val="0"/>
                <w:sz w:val="22"/>
              </w:rPr>
              <w:br w:type="textWrapping"/>
            </w:r>
            <w:r>
              <w:rPr>
                <w:rFonts w:hint="eastAsia" w:ascii="宋体" w:hAnsi="宋体" w:cs="宋体"/>
                <w:kern w:val="0"/>
                <w:sz w:val="22"/>
              </w:rPr>
              <w:t>3.实物展台：支持移动实物展台功能，配合教师移动终端拍摄学科实验、答题过程、小组讨论等实时视频，进行投屏显示；</w:t>
            </w:r>
            <w:r>
              <w:rPr>
                <w:rFonts w:hint="eastAsia" w:ascii="宋体" w:hAnsi="宋体" w:cs="宋体"/>
                <w:kern w:val="0"/>
                <w:sz w:val="22"/>
              </w:rPr>
              <w:br w:type="textWrapping"/>
            </w:r>
            <w:r>
              <w:rPr>
                <w:rFonts w:hint="eastAsia" w:ascii="宋体" w:hAnsi="宋体" w:cs="宋体"/>
                <w:kern w:val="0"/>
                <w:sz w:val="22"/>
              </w:rPr>
              <w:t>4.多屏交互：支持教师一键将Windows/Android/iOS等移动设备上收藏的授课内容（课件、作业、图片、板书等）同屏至学生终端，学生可自由对同屏内容进行放大、缩小、回看、批注与收藏；</w:t>
            </w:r>
            <w:r>
              <w:rPr>
                <w:rFonts w:hint="eastAsia" w:ascii="宋体" w:hAnsi="宋体" w:cs="宋体"/>
                <w:kern w:val="0"/>
                <w:sz w:val="22"/>
              </w:rPr>
              <w:br w:type="textWrapping"/>
            </w:r>
            <w:r>
              <w:rPr>
                <w:rFonts w:hint="eastAsia" w:ascii="宋体" w:hAnsi="宋体" w:cs="宋体"/>
                <w:kern w:val="0"/>
                <w:sz w:val="22"/>
              </w:rPr>
              <w:t>5.多端教学：同时提供Windows/iOS/Android移动端工具，满足多端教学需求，iOS与Android移动端工具提供微课录制、课件查询、布置作业、批改作业、教学评价、云考试等功能；</w:t>
            </w:r>
            <w:r>
              <w:rPr>
                <w:rFonts w:hint="eastAsia" w:ascii="宋体" w:hAnsi="宋体" w:cs="宋体"/>
                <w:kern w:val="0"/>
                <w:sz w:val="22"/>
              </w:rPr>
              <w:br w:type="textWrapping"/>
            </w:r>
            <w:r>
              <w:rPr>
                <w:rFonts w:hint="eastAsia" w:ascii="宋体" w:hAnsi="宋体" w:cs="宋体"/>
                <w:kern w:val="0"/>
                <w:sz w:val="22"/>
              </w:rPr>
              <w:t>三、互动中心</w:t>
            </w:r>
            <w:r>
              <w:rPr>
                <w:rFonts w:hint="eastAsia" w:ascii="宋体" w:hAnsi="宋体" w:cs="宋体"/>
                <w:kern w:val="0"/>
                <w:sz w:val="22"/>
              </w:rPr>
              <w:br w:type="textWrapping"/>
            </w:r>
            <w:r>
              <w:rPr>
                <w:rFonts w:hint="eastAsia" w:ascii="宋体" w:hAnsi="宋体" w:cs="宋体"/>
                <w:kern w:val="0"/>
                <w:sz w:val="22"/>
              </w:rPr>
              <w:t>1.教学互动：配合移动终端可实现任意场景下的教学互动，包括基于电子课本、PPT课件、交互课件、图片、拍照、截屏等任意素材进行提问、随机点名、抢答、截屏分享等课堂互动；</w:t>
            </w:r>
            <w:r>
              <w:rPr>
                <w:rFonts w:hint="eastAsia" w:ascii="宋体" w:hAnsi="宋体" w:cs="宋体"/>
                <w:kern w:val="0"/>
                <w:sz w:val="22"/>
              </w:rPr>
              <w:br w:type="textWrapping"/>
            </w:r>
            <w:r>
              <w:rPr>
                <w:rFonts w:hint="eastAsia" w:ascii="宋体" w:hAnsi="宋体" w:cs="宋体"/>
                <w:kern w:val="0"/>
                <w:sz w:val="22"/>
              </w:rPr>
              <w:t>2.互动题型：支持客观题（单选、多选、判断、填空）、主观题（简答）；</w:t>
            </w:r>
            <w:r>
              <w:rPr>
                <w:rFonts w:hint="eastAsia" w:ascii="宋体" w:hAnsi="宋体" w:cs="宋体"/>
                <w:kern w:val="0"/>
                <w:sz w:val="22"/>
              </w:rPr>
              <w:br w:type="textWrapping"/>
            </w:r>
            <w:r>
              <w:rPr>
                <w:rFonts w:hint="eastAsia" w:ascii="宋体" w:hAnsi="宋体" w:cs="宋体"/>
                <w:kern w:val="0"/>
                <w:sz w:val="22"/>
              </w:rPr>
              <w:t>3.学情反馈：支持教师即时查看互动结果、完成情况的动态反馈，并对结果进行数据分析，包括总人数、参与数，平均分、选项正确率、正确及错误学生的具体名单、分析饼状图（优秀、良好、合格、不合格等）；</w:t>
            </w:r>
            <w:r>
              <w:rPr>
                <w:rFonts w:hint="eastAsia" w:ascii="宋体" w:hAnsi="宋体" w:cs="宋体"/>
                <w:kern w:val="0"/>
                <w:sz w:val="22"/>
              </w:rPr>
              <w:br w:type="textWrapping"/>
            </w:r>
            <w:r>
              <w:rPr>
                <w:rFonts w:hint="eastAsia" w:ascii="宋体" w:hAnsi="宋体" w:cs="宋体"/>
                <w:kern w:val="0"/>
                <w:sz w:val="22"/>
              </w:rPr>
              <w:t>4.分组教学：支持分组教学模式，可根据小组表现累计积分，营造良性竞争的课堂氛围；</w:t>
            </w:r>
            <w:r>
              <w:rPr>
                <w:rFonts w:hint="eastAsia" w:ascii="宋体" w:hAnsi="宋体" w:cs="宋体"/>
                <w:kern w:val="0"/>
                <w:sz w:val="22"/>
              </w:rPr>
              <w:br w:type="textWrapping"/>
            </w:r>
            <w:r>
              <w:rPr>
                <w:rFonts w:hint="eastAsia" w:ascii="宋体" w:hAnsi="宋体" w:cs="宋体"/>
                <w:kern w:val="0"/>
                <w:sz w:val="22"/>
              </w:rPr>
              <w:t>5.微课录制：支持任意授课场景/界面下进行微课录制，录制区域全屏或自定义区域，电脑麦克风与扬声器双重录制声音，并可对画质选择、视频水印、时间提示、鼠标显示等信息进行调节，录制结束后自动生成MP4格式的文件，可一键分享至学生终端、微信/QQ、校本资源库，并选择立即播放或定时播放等；</w:t>
            </w:r>
            <w:r>
              <w:rPr>
                <w:rFonts w:hint="eastAsia" w:ascii="宋体" w:hAnsi="宋体" w:cs="宋体"/>
                <w:kern w:val="0"/>
                <w:sz w:val="22"/>
              </w:rPr>
              <w:br w:type="textWrapping"/>
            </w:r>
            <w:r>
              <w:rPr>
                <w:rFonts w:hint="eastAsia" w:ascii="宋体" w:hAnsi="宋体" w:cs="宋体"/>
                <w:kern w:val="0"/>
                <w:sz w:val="22"/>
              </w:rPr>
              <w:t>四、学情中心</w:t>
            </w:r>
            <w:r>
              <w:rPr>
                <w:rFonts w:hint="eastAsia" w:ascii="宋体" w:hAnsi="宋体" w:cs="宋体"/>
                <w:kern w:val="0"/>
                <w:sz w:val="22"/>
              </w:rPr>
              <w:br w:type="textWrapping"/>
            </w:r>
            <w:r>
              <w:rPr>
                <w:rFonts w:hint="eastAsia" w:ascii="宋体" w:hAnsi="宋体" w:cs="宋体"/>
                <w:kern w:val="0"/>
                <w:sz w:val="22"/>
              </w:rPr>
              <w:t>▲1.教学总览：支持教师查看个人的教学总览，包括课件总数、微课总数、课堂互动次数、作业次数、答疑总数、评价总数等，并能按时段分析教师个人的活跃趋势、教学行为分布、教学资源建设、学生活跃趋势、学生行为分布、作业人均总用时、作业平均得分率等；</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2.教学投入：支持按年级、学科、时段分析学校的整体教学投入情况，并分析相关授课数、互动数、课件分享数、微课分享数、布置作业数、批改作业数、探究学习数、评价数与答疑数等；</w:t>
            </w:r>
            <w:r>
              <w:rPr>
                <w:rFonts w:hint="eastAsia" w:ascii="宋体" w:hAnsi="宋体" w:cs="宋体"/>
                <w:kern w:val="0"/>
                <w:sz w:val="22"/>
              </w:rPr>
              <w:br w:type="textWrapping"/>
            </w:r>
            <w:r>
              <w:rPr>
                <w:rFonts w:hint="eastAsia" w:ascii="宋体" w:hAnsi="宋体" w:cs="宋体"/>
                <w:kern w:val="0"/>
                <w:sz w:val="22"/>
              </w:rPr>
              <w:t>3.班级学情：支持查看班级整体学情数据，包括学习投入分析（班级概览、课堂互动类型分布、资源学习整体情况、作业完成情况、作业提交时间分布等）、学业水平分析（班级概览、薄弱知识点分布情况、单个学生的学情分析等）、综合评价分析（班级概览、学生评价分析、学生学情趋势等）等；</w:t>
            </w:r>
            <w:r>
              <w:rPr>
                <w:rFonts w:hint="eastAsia" w:ascii="宋体" w:hAnsi="宋体" w:cs="宋体"/>
                <w:kern w:val="0"/>
                <w:sz w:val="22"/>
              </w:rPr>
              <w:br w:type="textWrapping"/>
            </w:r>
            <w:r>
              <w:rPr>
                <w:rFonts w:hint="eastAsia" w:ascii="宋体" w:hAnsi="宋体" w:cs="宋体"/>
                <w:kern w:val="0"/>
                <w:sz w:val="22"/>
              </w:rPr>
              <w:t>▲4.学生学情：支持查看学生个人的学情数据，包括基础学情数据（课件学习、微课学习、作业学习、答疑次数等）、综合评价趋势图、学生被点评的实时动态、学生个人学情趋势图、学生个人知识点掌握情况及与班级对比、学生个人错题本等；</w:t>
            </w:r>
            <w:r>
              <w:rPr>
                <w:rFonts w:hint="eastAsia" w:ascii="宋体" w:hAnsi="宋体" w:cs="宋体"/>
                <w:b/>
                <w:bCs/>
                <w:kern w:val="0"/>
                <w:sz w:val="22"/>
              </w:rPr>
              <w:t>（响应时软件截图佐证）</w:t>
            </w:r>
          </w:p>
        </w:tc>
      </w:tr>
      <w:tr w14:paraId="2EE8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144D61B">
            <w:pPr>
              <w:widowControl/>
              <w:jc w:val="center"/>
              <w:rPr>
                <w:rFonts w:ascii="宋体" w:hAnsi="宋体" w:cs="宋体"/>
                <w:kern w:val="0"/>
                <w:sz w:val="22"/>
              </w:rPr>
            </w:pPr>
            <w:r>
              <w:rPr>
                <w:rFonts w:hint="eastAsia" w:ascii="宋体" w:hAnsi="宋体" w:cs="宋体"/>
                <w:kern w:val="0"/>
                <w:sz w:val="22"/>
              </w:rPr>
              <w:t>学生端应用系统</w:t>
            </w:r>
          </w:p>
        </w:tc>
        <w:tc>
          <w:tcPr>
            <w:tcW w:w="7654" w:type="dxa"/>
            <w:tcBorders>
              <w:tl2br w:val="nil"/>
              <w:tr2bl w:val="nil"/>
            </w:tcBorders>
            <w:shd w:val="clear" w:color="000000" w:fill="FFFFFF"/>
            <w:vAlign w:val="center"/>
          </w:tcPr>
          <w:p w14:paraId="38C1EAA3">
            <w:pPr>
              <w:widowControl/>
              <w:jc w:val="left"/>
              <w:rPr>
                <w:rFonts w:ascii="宋体" w:hAnsi="宋体" w:cs="宋体"/>
                <w:kern w:val="0"/>
                <w:sz w:val="22"/>
              </w:rPr>
            </w:pPr>
            <w:r>
              <w:rPr>
                <w:rFonts w:hint="eastAsia" w:ascii="宋体" w:hAnsi="宋体" w:cs="宋体"/>
                <w:kern w:val="0"/>
                <w:sz w:val="22"/>
              </w:rPr>
              <w:t>一.同步学习</w:t>
            </w:r>
            <w:r>
              <w:rPr>
                <w:rFonts w:hint="eastAsia" w:ascii="宋体" w:hAnsi="宋体" w:cs="宋体"/>
                <w:kern w:val="0"/>
                <w:sz w:val="22"/>
              </w:rPr>
              <w:br w:type="textWrapping"/>
            </w:r>
            <w:r>
              <w:rPr>
                <w:rFonts w:hint="eastAsia" w:ascii="宋体" w:hAnsi="宋体" w:cs="宋体"/>
                <w:kern w:val="0"/>
                <w:sz w:val="22"/>
              </w:rPr>
              <w:t>1.消息通知：支持在线接收教师发送的各类学习通知，包括学习通告、作业通知、学习材料分享等，并提供在线沟通功能，可与教师进行一对一专项沟通辅导；</w:t>
            </w:r>
            <w:r>
              <w:rPr>
                <w:rFonts w:hint="eastAsia" w:ascii="宋体" w:hAnsi="宋体" w:cs="宋体"/>
                <w:kern w:val="0"/>
                <w:sz w:val="22"/>
              </w:rPr>
              <w:br w:type="textWrapping"/>
            </w:r>
            <w:r>
              <w:rPr>
                <w:rFonts w:hint="eastAsia" w:ascii="宋体" w:hAnsi="宋体" w:cs="宋体"/>
                <w:kern w:val="0"/>
                <w:sz w:val="22"/>
              </w:rPr>
              <w:t>2.课堂互动：支持一键加入班级，进行课堂互动，同步接收教师端发送的互动习题,包括选择题、判断题、填空题和主观题等，答题后可实时呈现答题报告；</w:t>
            </w:r>
            <w:r>
              <w:rPr>
                <w:rFonts w:hint="eastAsia" w:ascii="宋体" w:hAnsi="宋体" w:cs="宋体"/>
                <w:kern w:val="0"/>
                <w:sz w:val="22"/>
              </w:rPr>
              <w:br w:type="textWrapping"/>
            </w:r>
            <w:r>
              <w:rPr>
                <w:rFonts w:hint="eastAsia" w:ascii="宋体" w:hAnsi="宋体" w:cs="宋体"/>
                <w:kern w:val="0"/>
                <w:sz w:val="22"/>
              </w:rPr>
              <w:t>3.智能交互：支持同步接收教师一键推送的互动微件、三维动画等资源（非静态图片、FLASH或视频），并实现自由旋转、缩放显示、截屏保存，方便对知识点的快速掌握；</w:t>
            </w:r>
            <w:r>
              <w:rPr>
                <w:rFonts w:hint="eastAsia" w:ascii="宋体" w:hAnsi="宋体" w:cs="宋体"/>
                <w:kern w:val="0"/>
                <w:sz w:val="22"/>
              </w:rPr>
              <w:br w:type="textWrapping"/>
            </w:r>
            <w:r>
              <w:rPr>
                <w:rFonts w:hint="eastAsia" w:ascii="宋体" w:hAnsi="宋体" w:cs="宋体"/>
                <w:kern w:val="0"/>
                <w:sz w:val="22"/>
              </w:rPr>
              <w:t>4.课堂笔记：支持学生收藏教师推送或分享的课件形成课堂笔记，课堂笔记可按时间轴、学科、学段进行排序，学生可自由添加或删除个人课堂笔记；</w:t>
            </w:r>
            <w:r>
              <w:rPr>
                <w:rFonts w:hint="eastAsia" w:ascii="宋体" w:hAnsi="宋体" w:cs="宋体"/>
                <w:kern w:val="0"/>
                <w:sz w:val="22"/>
              </w:rPr>
              <w:br w:type="textWrapping"/>
            </w:r>
            <w:r>
              <w:rPr>
                <w:rFonts w:hint="eastAsia" w:ascii="宋体" w:hAnsi="宋体" w:cs="宋体"/>
                <w:kern w:val="0"/>
                <w:sz w:val="22"/>
              </w:rPr>
              <w:t>二.同步练习</w:t>
            </w:r>
            <w:r>
              <w:rPr>
                <w:rFonts w:hint="eastAsia" w:ascii="宋体" w:hAnsi="宋体" w:cs="宋体"/>
                <w:kern w:val="0"/>
                <w:sz w:val="22"/>
              </w:rPr>
              <w:br w:type="textWrapping"/>
            </w:r>
            <w:r>
              <w:rPr>
                <w:rFonts w:hint="eastAsia" w:ascii="宋体" w:hAnsi="宋体" w:cs="宋体"/>
                <w:kern w:val="0"/>
                <w:sz w:val="22"/>
              </w:rPr>
              <w:t>1.在线练习：支持在线练习功能，学生可查看教师下发的课后作业，并支持勾选、拍照、输入文本的方式提交答案；答题后，支持保留答题记录，方便继续答题；</w:t>
            </w:r>
            <w:r>
              <w:rPr>
                <w:rFonts w:hint="eastAsia" w:ascii="宋体" w:hAnsi="宋体" w:cs="宋体"/>
                <w:kern w:val="0"/>
                <w:sz w:val="22"/>
              </w:rPr>
              <w:br w:type="textWrapping"/>
            </w:r>
            <w:r>
              <w:rPr>
                <w:rFonts w:hint="eastAsia" w:ascii="宋体" w:hAnsi="宋体" w:cs="宋体"/>
                <w:kern w:val="0"/>
                <w:sz w:val="22"/>
              </w:rPr>
              <w:t>2.作业报告：支持查看作业报告功能，学生可查看作业完成的整体情况以及答案和正确答案对比、题目解析，并支持查看教师对学生答案的批注；支持在线查看优秀学生的答题详情；</w:t>
            </w:r>
            <w:r>
              <w:rPr>
                <w:rFonts w:hint="eastAsia" w:ascii="宋体" w:hAnsi="宋体" w:cs="宋体"/>
                <w:kern w:val="0"/>
                <w:sz w:val="22"/>
              </w:rPr>
              <w:br w:type="textWrapping"/>
            </w:r>
            <w:r>
              <w:rPr>
                <w:rFonts w:hint="eastAsia" w:ascii="宋体" w:hAnsi="宋体" w:cs="宋体"/>
                <w:kern w:val="0"/>
                <w:sz w:val="22"/>
              </w:rPr>
              <w:t>3.学习评价：支持查看个人的学习评价信息，包括课堂评价实录、评价维度分析（受表扬/待改进）、学科评价分析等信息；</w:t>
            </w:r>
            <w:r>
              <w:rPr>
                <w:rFonts w:hint="eastAsia" w:ascii="宋体" w:hAnsi="宋体" w:cs="宋体"/>
                <w:kern w:val="0"/>
                <w:sz w:val="22"/>
              </w:rPr>
              <w:br w:type="textWrapping"/>
            </w:r>
            <w:r>
              <w:rPr>
                <w:rFonts w:hint="eastAsia" w:ascii="宋体" w:hAnsi="宋体" w:cs="宋体"/>
                <w:kern w:val="0"/>
                <w:sz w:val="22"/>
              </w:rPr>
              <w:t>4.错题集录：支持错题自动汇聚，对于答错的题目，自动分学科归纳至错题本，可查看错题题面、我的答案和正确答案对比、知识、难度和题目解析等；支持智能推送错题对应知识和难度的试题，对应学习资源，以及其它同学的优秀答题结果；提供错题导出功能；</w:t>
            </w:r>
            <w:r>
              <w:rPr>
                <w:rFonts w:hint="eastAsia" w:ascii="宋体" w:hAnsi="宋体" w:cs="宋体"/>
                <w:kern w:val="0"/>
                <w:sz w:val="22"/>
              </w:rPr>
              <w:br w:type="textWrapping"/>
            </w:r>
            <w:r>
              <w:rPr>
                <w:rFonts w:hint="eastAsia" w:ascii="宋体" w:hAnsi="宋体" w:cs="宋体"/>
                <w:kern w:val="0"/>
                <w:sz w:val="22"/>
              </w:rPr>
              <w:t>三.自主学习</w:t>
            </w:r>
            <w:r>
              <w:rPr>
                <w:rFonts w:hint="eastAsia" w:ascii="宋体" w:hAnsi="宋体" w:cs="宋体"/>
                <w:kern w:val="0"/>
                <w:sz w:val="22"/>
              </w:rPr>
              <w:br w:type="textWrapping"/>
            </w:r>
            <w:r>
              <w:rPr>
                <w:rFonts w:hint="eastAsia" w:ascii="宋体" w:hAnsi="宋体" w:cs="宋体"/>
                <w:kern w:val="0"/>
                <w:sz w:val="22"/>
              </w:rPr>
              <w:t>1.移动学习：支持教师发布的网络课程，学生按需选择课程，学生可随时查看进行预习和复习，实现学生在线查看和离线查看教师发布的教案、学案、课件、音视频学习资料；</w:t>
            </w:r>
            <w:r>
              <w:rPr>
                <w:rFonts w:hint="eastAsia" w:ascii="宋体" w:hAnsi="宋体" w:cs="宋体"/>
                <w:kern w:val="0"/>
                <w:sz w:val="22"/>
              </w:rPr>
              <w:br w:type="textWrapping"/>
            </w:r>
            <w:r>
              <w:rPr>
                <w:rFonts w:hint="eastAsia" w:ascii="宋体" w:hAnsi="宋体" w:cs="宋体"/>
                <w:kern w:val="0"/>
                <w:sz w:val="22"/>
              </w:rPr>
              <w:t xml:space="preserve">2.自主学习：支持在线点播教师发送的微课资源、查看相关课件、板书等复习资料，并可实现对相关资源的收藏、评价、点赞、下载等功能，实现处处可学、时时能学； </w:t>
            </w:r>
            <w:r>
              <w:rPr>
                <w:rFonts w:hint="eastAsia" w:ascii="宋体" w:hAnsi="宋体" w:cs="宋体"/>
                <w:kern w:val="0"/>
                <w:sz w:val="22"/>
              </w:rPr>
              <w:br w:type="textWrapping"/>
            </w:r>
            <w:r>
              <w:rPr>
                <w:rFonts w:hint="eastAsia" w:ascii="宋体" w:hAnsi="宋体" w:cs="宋体"/>
                <w:kern w:val="0"/>
                <w:sz w:val="22"/>
              </w:rPr>
              <w:t>▲3.思维拓展：支持学生进行思维拓展，提供配套的编辑与播放工具，该工具支持插入文字、形状、图片、表格、图标、视频、符号等常规元素；内部无缝集成可视化交互式资源，覆盖数学、物理、化学、生物、地理等学科，包括图片、视频、微件、3D等素材，支持全景式播放与分镜头切换等功能；</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▲4.学习探究：支持利用终端设备直接扫描纸质版教材内的AR、互动微件、视频等资源图标后即时获取数字化资源并进行自由翻转、交互展现、缩放显示、拍照截屏等功能；</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四.终端管控</w:t>
            </w:r>
            <w:r>
              <w:rPr>
                <w:rFonts w:hint="eastAsia" w:ascii="宋体" w:hAnsi="宋体" w:cs="宋体"/>
                <w:kern w:val="0"/>
                <w:sz w:val="22"/>
              </w:rPr>
              <w:br w:type="textWrapping"/>
            </w:r>
            <w:r>
              <w:rPr>
                <w:rFonts w:hint="eastAsia" w:ascii="宋体" w:hAnsi="宋体" w:cs="宋体"/>
                <w:kern w:val="0"/>
                <w:sz w:val="22"/>
              </w:rPr>
              <w:t>1.终端管控：（1）学生端操作受控：上课时，教师可以通过教师端严格控制学生的操作，包括禁止学生端的HOME键、返回键等的操作；（2）支持校级个性化管控服务，支持以学校为单位的网址白名单、应用白名单管理，以及设备功能管控服务（包括蓝牙开关、WLAN开关、摄像头等）；</w:t>
            </w:r>
            <w:r>
              <w:rPr>
                <w:rFonts w:hint="eastAsia" w:ascii="宋体" w:hAnsi="宋体" w:cs="宋体"/>
                <w:kern w:val="0"/>
                <w:sz w:val="22"/>
              </w:rPr>
              <w:br w:type="textWrapping"/>
            </w:r>
            <w:r>
              <w:rPr>
                <w:rFonts w:hint="eastAsia" w:ascii="宋体" w:hAnsi="宋体" w:cs="宋体"/>
                <w:kern w:val="0"/>
                <w:sz w:val="22"/>
              </w:rPr>
              <w:t>2.家校互联：提供家长微信小程序，家长绑定学生账号后，可实时观看学生的在校行为表现，如最近表现、课堂评价、学科评价等；支持家长在线观看教师分享的复习资料（导学案、教案）、课堂板书、微课视频；支持家长在线观看学生的课后作业数据（作业记录、作答详情、得分情况、批改详情、优秀作答等）。</w:t>
            </w:r>
          </w:p>
        </w:tc>
      </w:tr>
      <w:tr w14:paraId="2EB7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827C7EE">
            <w:pPr>
              <w:widowControl/>
              <w:jc w:val="center"/>
              <w:rPr>
                <w:rFonts w:ascii="宋体" w:hAnsi="宋体" w:cs="宋体"/>
                <w:kern w:val="0"/>
                <w:sz w:val="22"/>
              </w:rPr>
            </w:pPr>
            <w:r>
              <w:rPr>
                <w:rFonts w:hint="eastAsia" w:ascii="宋体" w:hAnsi="宋体" w:cs="宋体"/>
                <w:kern w:val="0"/>
                <w:sz w:val="22"/>
              </w:rPr>
              <w:t>教师移动学习终端</w:t>
            </w:r>
          </w:p>
        </w:tc>
        <w:tc>
          <w:tcPr>
            <w:tcW w:w="7654" w:type="dxa"/>
            <w:tcBorders>
              <w:tl2br w:val="nil"/>
              <w:tr2bl w:val="nil"/>
            </w:tcBorders>
            <w:shd w:val="clear" w:color="000000" w:fill="FFFFFF"/>
            <w:vAlign w:val="center"/>
          </w:tcPr>
          <w:p w14:paraId="03EAF366">
            <w:pPr>
              <w:widowControl/>
              <w:jc w:val="left"/>
              <w:rPr>
                <w:rFonts w:ascii="宋体" w:hAnsi="宋体"/>
                <w:kern w:val="0"/>
                <w:sz w:val="22"/>
              </w:rPr>
            </w:pPr>
            <w:r>
              <w:rPr>
                <w:rFonts w:hint="eastAsia" w:ascii="宋体" w:hAnsi="宋体"/>
                <w:kern w:val="0"/>
                <w:sz w:val="22"/>
              </w:rPr>
              <w:t>1.国产芯片，≥8核，至少4个单核最高主频≥2.0GHz；</w:t>
            </w:r>
          </w:p>
          <w:p w14:paraId="1CFA5CD1">
            <w:pPr>
              <w:widowControl/>
              <w:jc w:val="left"/>
              <w:rPr>
                <w:rFonts w:ascii="宋体" w:hAnsi="宋体"/>
                <w:kern w:val="0"/>
                <w:sz w:val="22"/>
              </w:rPr>
            </w:pPr>
            <w:r>
              <w:rPr>
                <w:rFonts w:hint="eastAsia" w:ascii="宋体" w:hAnsi="宋体"/>
                <w:kern w:val="0"/>
                <w:sz w:val="22"/>
              </w:rPr>
              <w:t>2.Android 11及以上或Harmony 3.0及以上，国产操作系统；</w:t>
            </w:r>
          </w:p>
          <w:p w14:paraId="2F866341">
            <w:pPr>
              <w:widowControl/>
              <w:jc w:val="left"/>
              <w:rPr>
                <w:rFonts w:ascii="宋体" w:hAnsi="宋体"/>
                <w:kern w:val="0"/>
                <w:sz w:val="22"/>
              </w:rPr>
            </w:pPr>
            <w:r>
              <w:rPr>
                <w:rFonts w:hint="eastAsia" w:ascii="宋体" w:hAnsi="宋体"/>
                <w:kern w:val="0"/>
                <w:sz w:val="22"/>
              </w:rPr>
              <w:t>3.屏幕尺寸不小于 11 英寸，屏幕显示分辨率不低于1920*1200，10 点触控电容屏，最大屏幕亮度值≥400nits</w:t>
            </w:r>
            <w:r>
              <w:rPr>
                <w:rFonts w:hint="eastAsia" w:ascii="宋体" w:hAnsi="宋体"/>
                <w:kern w:val="0"/>
                <w:sz w:val="22"/>
              </w:rPr>
              <w:br w:type="textWrapping"/>
            </w:r>
            <w:r>
              <w:rPr>
                <w:rFonts w:hint="eastAsia" w:ascii="宋体" w:hAnsi="宋体"/>
                <w:kern w:val="0"/>
                <w:sz w:val="22"/>
              </w:rPr>
              <w:t>4.内存不小于8G，机身存储不小于128G；</w:t>
            </w:r>
            <w:r>
              <w:rPr>
                <w:rFonts w:hint="eastAsia" w:ascii="宋体" w:hAnsi="宋体"/>
                <w:kern w:val="0"/>
                <w:sz w:val="22"/>
              </w:rPr>
              <w:br w:type="textWrapping"/>
            </w:r>
            <w:r>
              <w:rPr>
                <w:rFonts w:hint="eastAsia" w:ascii="宋体" w:hAnsi="宋体"/>
                <w:kern w:val="0"/>
                <w:sz w:val="22"/>
              </w:rPr>
              <w:t>5.前置摄像头≥500 万像素，后置摄像头≥800 万像素，支持自动对焦；</w:t>
            </w:r>
            <w:r>
              <w:rPr>
                <w:rFonts w:hint="eastAsia" w:ascii="宋体" w:hAnsi="宋体"/>
                <w:kern w:val="0"/>
                <w:sz w:val="22"/>
              </w:rPr>
              <w:br w:type="textWrapping"/>
            </w:r>
            <w:r>
              <w:rPr>
                <w:rFonts w:hint="eastAsia" w:ascii="宋体" w:hAnsi="宋体"/>
                <w:kern w:val="0"/>
                <w:sz w:val="22"/>
              </w:rPr>
              <w:t>6.支持802.11 a/b/g/n/ac无线协议；支持蓝牙5.1协议并向下兼容；</w:t>
            </w:r>
          </w:p>
          <w:p w14:paraId="04EED449">
            <w:pPr>
              <w:rPr>
                <w:szCs w:val="21"/>
              </w:rPr>
            </w:pPr>
            <w:r>
              <w:rPr>
                <w:rFonts w:hint="eastAsia" w:ascii="宋体" w:hAnsi="宋体"/>
                <w:kern w:val="0"/>
                <w:sz w:val="22"/>
              </w:rPr>
              <w:t>7.内置麦克风≥1个，内置扬声器≥4个；</w:t>
            </w:r>
          </w:p>
          <w:p w14:paraId="7ABBDB3D">
            <w:pPr>
              <w:widowControl/>
              <w:jc w:val="left"/>
              <w:rPr>
                <w:rFonts w:ascii="宋体" w:hAnsi="宋体" w:cs="宋体"/>
                <w:kern w:val="0"/>
                <w:sz w:val="22"/>
              </w:rPr>
            </w:pPr>
          </w:p>
        </w:tc>
      </w:tr>
      <w:tr w14:paraId="5D3A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1CFC8C80">
            <w:pPr>
              <w:widowControl/>
              <w:jc w:val="center"/>
              <w:rPr>
                <w:rFonts w:ascii="宋体" w:hAnsi="宋体" w:cs="宋体"/>
                <w:kern w:val="0"/>
                <w:sz w:val="22"/>
              </w:rPr>
            </w:pPr>
            <w:r>
              <w:rPr>
                <w:rFonts w:hint="eastAsia" w:ascii="宋体" w:hAnsi="宋体" w:cs="宋体"/>
                <w:kern w:val="0"/>
                <w:sz w:val="22"/>
              </w:rPr>
              <w:t>学生移动学习终端</w:t>
            </w:r>
          </w:p>
        </w:tc>
        <w:tc>
          <w:tcPr>
            <w:tcW w:w="7654" w:type="dxa"/>
            <w:tcBorders>
              <w:tl2br w:val="nil"/>
              <w:tr2bl w:val="nil"/>
            </w:tcBorders>
            <w:shd w:val="clear" w:color="000000" w:fill="FFFFFF"/>
            <w:vAlign w:val="center"/>
          </w:tcPr>
          <w:p w14:paraId="01041E93">
            <w:pPr>
              <w:widowControl/>
              <w:jc w:val="left"/>
              <w:rPr>
                <w:rFonts w:ascii="宋体" w:hAnsi="宋体"/>
                <w:kern w:val="0"/>
                <w:sz w:val="22"/>
              </w:rPr>
            </w:pPr>
            <w:r>
              <w:rPr>
                <w:rFonts w:hint="eastAsia" w:ascii="宋体" w:hAnsi="宋体"/>
                <w:kern w:val="0"/>
                <w:sz w:val="22"/>
              </w:rPr>
              <w:t>1. 国产芯片，≥8核，至少4个单核最高主频≥2.0GHz；</w:t>
            </w:r>
          </w:p>
          <w:p w14:paraId="55F75DB0">
            <w:pPr>
              <w:widowControl/>
              <w:jc w:val="left"/>
              <w:rPr>
                <w:rFonts w:ascii="宋体" w:hAnsi="宋体"/>
                <w:kern w:val="0"/>
                <w:sz w:val="22"/>
              </w:rPr>
            </w:pPr>
            <w:r>
              <w:rPr>
                <w:rFonts w:hint="eastAsia" w:ascii="宋体" w:hAnsi="宋体"/>
                <w:kern w:val="0"/>
                <w:sz w:val="22"/>
              </w:rPr>
              <w:t>2.Android 11及以上或Harmony 3.0及以上，国产操作系统；</w:t>
            </w:r>
          </w:p>
          <w:p w14:paraId="7C935F33">
            <w:pPr>
              <w:widowControl/>
              <w:jc w:val="left"/>
              <w:rPr>
                <w:rFonts w:ascii="宋体" w:hAnsi="宋体"/>
                <w:kern w:val="0"/>
                <w:sz w:val="22"/>
              </w:rPr>
            </w:pPr>
            <w:r>
              <w:rPr>
                <w:rFonts w:hint="eastAsia" w:ascii="宋体" w:hAnsi="宋体"/>
                <w:kern w:val="0"/>
                <w:sz w:val="22"/>
              </w:rPr>
              <w:t>3.屏幕尺寸不小于 11 英寸，屏幕显示分辨率不低于1920*1200，10 点触控电容屏，最大屏幕亮度值≥400nits</w:t>
            </w:r>
            <w:r>
              <w:rPr>
                <w:rFonts w:hint="eastAsia" w:ascii="宋体" w:hAnsi="宋体"/>
                <w:kern w:val="0"/>
                <w:sz w:val="22"/>
              </w:rPr>
              <w:br w:type="textWrapping"/>
            </w:r>
            <w:r>
              <w:rPr>
                <w:rFonts w:hint="eastAsia" w:ascii="宋体" w:hAnsi="宋体"/>
                <w:kern w:val="0"/>
                <w:sz w:val="22"/>
              </w:rPr>
              <w:t>4.内存不小于8G，机身存储不小于128G；</w:t>
            </w:r>
            <w:r>
              <w:rPr>
                <w:rFonts w:hint="eastAsia" w:ascii="宋体" w:hAnsi="宋体"/>
                <w:kern w:val="0"/>
                <w:sz w:val="22"/>
              </w:rPr>
              <w:br w:type="textWrapping"/>
            </w:r>
            <w:r>
              <w:rPr>
                <w:rFonts w:hint="eastAsia" w:ascii="宋体" w:hAnsi="宋体"/>
                <w:kern w:val="0"/>
                <w:sz w:val="22"/>
              </w:rPr>
              <w:t>5.前置摄像头≥500 万像素，后置摄像头≥800 万像素，支持自动对焦；</w:t>
            </w:r>
            <w:r>
              <w:rPr>
                <w:rFonts w:hint="eastAsia" w:ascii="宋体" w:hAnsi="宋体"/>
                <w:kern w:val="0"/>
                <w:sz w:val="22"/>
              </w:rPr>
              <w:br w:type="textWrapping"/>
            </w:r>
            <w:r>
              <w:rPr>
                <w:rFonts w:hint="eastAsia" w:ascii="宋体" w:hAnsi="宋体"/>
                <w:kern w:val="0"/>
                <w:sz w:val="22"/>
              </w:rPr>
              <w:t>6.支持802.11 a/b/g/n/ac无线协议；支持蓝牙5.1协议并向下兼容；</w:t>
            </w:r>
          </w:p>
          <w:p w14:paraId="2F3779F6">
            <w:pPr>
              <w:rPr>
                <w:szCs w:val="21"/>
              </w:rPr>
            </w:pPr>
            <w:r>
              <w:rPr>
                <w:rFonts w:hint="eastAsia" w:ascii="宋体" w:hAnsi="宋体"/>
                <w:kern w:val="0"/>
                <w:sz w:val="22"/>
              </w:rPr>
              <w:t>7.内置麦克风≥1个，内置扬声器≥4个；</w:t>
            </w:r>
          </w:p>
          <w:p w14:paraId="33B70184">
            <w:pPr>
              <w:widowControl/>
              <w:jc w:val="left"/>
              <w:rPr>
                <w:rFonts w:ascii="宋体" w:hAnsi="宋体" w:cs="宋体"/>
                <w:kern w:val="0"/>
                <w:sz w:val="22"/>
              </w:rPr>
            </w:pPr>
          </w:p>
        </w:tc>
      </w:tr>
      <w:tr w14:paraId="7C18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5BF5EF7">
            <w:pPr>
              <w:widowControl/>
              <w:jc w:val="center"/>
              <w:rPr>
                <w:rFonts w:ascii="宋体" w:hAnsi="宋体" w:cs="宋体"/>
                <w:kern w:val="0"/>
                <w:sz w:val="22"/>
              </w:rPr>
            </w:pPr>
            <w:r>
              <w:rPr>
                <w:rFonts w:hint="eastAsia" w:ascii="宋体" w:hAnsi="宋体" w:cs="宋体"/>
                <w:kern w:val="0"/>
                <w:sz w:val="22"/>
              </w:rPr>
              <w:t>智能云盒</w:t>
            </w:r>
          </w:p>
        </w:tc>
        <w:tc>
          <w:tcPr>
            <w:tcW w:w="7654" w:type="dxa"/>
            <w:tcBorders>
              <w:tl2br w:val="nil"/>
              <w:tr2bl w:val="nil"/>
            </w:tcBorders>
            <w:shd w:val="clear" w:color="000000" w:fill="FFFFFF"/>
            <w:vAlign w:val="center"/>
          </w:tcPr>
          <w:p w14:paraId="0F5A4D67">
            <w:pPr>
              <w:widowControl/>
              <w:jc w:val="left"/>
              <w:rPr>
                <w:rFonts w:ascii="宋体" w:hAnsi="宋体" w:cs="宋体"/>
                <w:kern w:val="0"/>
                <w:sz w:val="22"/>
              </w:rPr>
            </w:pPr>
            <w:r>
              <w:rPr>
                <w:rFonts w:hint="eastAsia" w:ascii="宋体" w:hAnsi="宋体" w:cs="宋体"/>
                <w:kern w:val="0"/>
                <w:sz w:val="22"/>
              </w:rPr>
              <w:t xml:space="preserve">1.工作频段：双频段设计，工作频段为2.4GHz + 5GHz，同时支持802.11a/n/ac（5.15~5.35GHz）和802.11b/g/n（2.4GHz-2.483GHz）； </w:t>
            </w:r>
            <w:r>
              <w:rPr>
                <w:rFonts w:hint="eastAsia" w:ascii="宋体" w:hAnsi="宋体" w:cs="宋体"/>
                <w:kern w:val="0"/>
                <w:sz w:val="22"/>
              </w:rPr>
              <w:br w:type="textWrapping"/>
            </w:r>
            <w:r>
              <w:rPr>
                <w:rFonts w:hint="eastAsia" w:ascii="宋体" w:hAnsi="宋体" w:cs="宋体"/>
                <w:kern w:val="0"/>
                <w:sz w:val="22"/>
              </w:rPr>
              <w:t>2.协商速率：5GHz≥866Mbps，2.4GHz≥300Mbps，整机无线并发最高接入速率≥1.167Gbps；</w:t>
            </w:r>
            <w:r>
              <w:rPr>
                <w:rFonts w:hint="eastAsia" w:ascii="宋体" w:hAnsi="宋体" w:cs="宋体"/>
                <w:kern w:val="0"/>
                <w:sz w:val="22"/>
              </w:rPr>
              <w:br w:type="textWrapping"/>
            </w:r>
            <w:r>
              <w:rPr>
                <w:rFonts w:hint="eastAsia" w:ascii="宋体" w:hAnsi="宋体" w:cs="宋体"/>
                <w:kern w:val="0"/>
                <w:sz w:val="22"/>
              </w:rPr>
              <w:t>3.设备吞度量：支持双串流MIMO 2x2:2，2.4G频段可提供300Mbps吞吐量，5G频段可提供867Mbps吞吐量；</w:t>
            </w:r>
            <w:r>
              <w:rPr>
                <w:rFonts w:hint="eastAsia" w:ascii="宋体" w:hAnsi="宋体" w:cs="宋体"/>
                <w:kern w:val="0"/>
                <w:sz w:val="22"/>
              </w:rPr>
              <w:br w:type="textWrapping"/>
            </w:r>
            <w:r>
              <w:rPr>
                <w:rFonts w:hint="eastAsia" w:ascii="宋体" w:hAnsi="宋体" w:cs="宋体"/>
                <w:kern w:val="0"/>
                <w:sz w:val="22"/>
              </w:rPr>
              <w:t>4.天线阵列：内置智能天线，支持智能Wi-Fi自适应天线阵列技术、自动干扰抑制、动态极化分集和波束成形技术，极大提高网络覆盖能力及可靠性；</w:t>
            </w:r>
            <w:r>
              <w:rPr>
                <w:rFonts w:hint="eastAsia" w:ascii="宋体" w:hAnsi="宋体" w:cs="宋体"/>
                <w:kern w:val="0"/>
                <w:sz w:val="22"/>
              </w:rPr>
              <w:br w:type="textWrapping"/>
            </w:r>
            <w:r>
              <w:rPr>
                <w:rFonts w:hint="eastAsia" w:ascii="宋体" w:hAnsi="宋体" w:cs="宋体"/>
                <w:kern w:val="0"/>
                <w:sz w:val="22"/>
              </w:rPr>
              <w:t>5.用户接入：支持128个终端同时接入，支持不低于75个终端同时稳定接入（同时在线播放高清视频无卡顿）；</w:t>
            </w:r>
          </w:p>
        </w:tc>
      </w:tr>
      <w:tr w14:paraId="3888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B30B7CE">
            <w:pPr>
              <w:widowControl/>
              <w:jc w:val="center"/>
              <w:rPr>
                <w:rFonts w:ascii="宋体" w:hAnsi="宋体" w:cs="宋体"/>
                <w:kern w:val="0"/>
                <w:sz w:val="22"/>
              </w:rPr>
            </w:pPr>
            <w:r>
              <w:rPr>
                <w:rFonts w:hint="eastAsia" w:ascii="宋体" w:hAnsi="宋体" w:cs="宋体"/>
                <w:kern w:val="0"/>
                <w:sz w:val="22"/>
              </w:rPr>
              <w:t>移动充电车</w:t>
            </w:r>
          </w:p>
        </w:tc>
        <w:tc>
          <w:tcPr>
            <w:tcW w:w="7654" w:type="dxa"/>
            <w:tcBorders>
              <w:tl2br w:val="nil"/>
              <w:tr2bl w:val="nil"/>
            </w:tcBorders>
            <w:shd w:val="clear" w:color="000000" w:fill="FFFFFF"/>
            <w:vAlign w:val="center"/>
          </w:tcPr>
          <w:p w14:paraId="5C57B3D7">
            <w:pPr>
              <w:widowControl/>
              <w:jc w:val="left"/>
              <w:rPr>
                <w:rFonts w:ascii="宋体" w:hAnsi="宋体" w:cs="宋体"/>
                <w:kern w:val="0"/>
                <w:sz w:val="22"/>
              </w:rPr>
            </w:pPr>
            <w:r>
              <w:rPr>
                <w:rFonts w:hint="eastAsia" w:ascii="宋体" w:hAnsi="宋体" w:cs="宋体"/>
                <w:kern w:val="0"/>
                <w:sz w:val="22"/>
              </w:rPr>
              <w:t>1.支持 60 台移动终端同时充电；材质：主体采用镀锌板材质局部采用冷轧钢板；</w:t>
            </w:r>
            <w:r>
              <w:rPr>
                <w:rFonts w:hint="eastAsia" w:ascii="宋体" w:hAnsi="宋体" w:cs="宋体"/>
                <w:kern w:val="0"/>
                <w:sz w:val="22"/>
              </w:rPr>
              <w:br w:type="textWrapping"/>
            </w:r>
            <w:r>
              <w:rPr>
                <w:rFonts w:hint="eastAsia" w:ascii="宋体" w:hAnsi="宋体" w:cs="宋体"/>
                <w:kern w:val="0"/>
                <w:sz w:val="22"/>
              </w:rPr>
              <w:t>2.实现安全要求：电源开关需设有高压强电保险、漏电保护器、电路板保险多重保护；</w:t>
            </w:r>
            <w:r>
              <w:rPr>
                <w:rFonts w:hint="eastAsia" w:ascii="宋体" w:hAnsi="宋体" w:cs="宋体"/>
                <w:kern w:val="0"/>
                <w:sz w:val="22"/>
              </w:rPr>
              <w:br w:type="textWrapping"/>
            </w:r>
            <w:r>
              <w:rPr>
                <w:rFonts w:hint="eastAsia" w:ascii="宋体" w:hAnsi="宋体" w:cs="宋体"/>
                <w:kern w:val="0"/>
                <w:sz w:val="22"/>
              </w:rPr>
              <w:t>3.超静音减震万向轮及刹车轮，方便柜体移动。</w:t>
            </w:r>
          </w:p>
        </w:tc>
      </w:tr>
      <w:tr w14:paraId="3DA1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5594BB3">
            <w:pPr>
              <w:widowControl/>
              <w:jc w:val="center"/>
              <w:rPr>
                <w:rFonts w:ascii="宋体" w:hAnsi="宋体" w:cs="宋体"/>
                <w:kern w:val="0"/>
                <w:sz w:val="22"/>
              </w:rPr>
            </w:pPr>
            <w:r>
              <w:rPr>
                <w:rFonts w:hint="eastAsia" w:ascii="宋体" w:hAnsi="宋体" w:cs="宋体"/>
                <w:kern w:val="0"/>
                <w:sz w:val="22"/>
              </w:rPr>
              <w:t>指向性话筒</w:t>
            </w:r>
          </w:p>
        </w:tc>
        <w:tc>
          <w:tcPr>
            <w:tcW w:w="7654" w:type="dxa"/>
            <w:tcBorders>
              <w:tl2br w:val="nil"/>
              <w:tr2bl w:val="nil"/>
            </w:tcBorders>
            <w:shd w:val="clear" w:color="000000" w:fill="FFFFFF"/>
            <w:vAlign w:val="center"/>
          </w:tcPr>
          <w:p w14:paraId="51C1D91A">
            <w:pPr>
              <w:widowControl/>
              <w:jc w:val="left"/>
              <w:rPr>
                <w:rFonts w:ascii="宋体" w:hAnsi="宋体" w:cs="宋体"/>
                <w:kern w:val="0"/>
                <w:sz w:val="22"/>
              </w:rPr>
            </w:pPr>
            <w:r>
              <w:rPr>
                <w:rFonts w:hint="eastAsia" w:ascii="宋体" w:hAnsi="宋体" w:cs="宋体"/>
                <w:kern w:val="0"/>
                <w:sz w:val="22"/>
              </w:rPr>
              <w:t>1.频率响应：100Hz～18KHz；</w:t>
            </w:r>
            <w:r>
              <w:rPr>
                <w:rFonts w:hint="eastAsia" w:ascii="宋体" w:hAnsi="宋体" w:cs="宋体"/>
                <w:kern w:val="0"/>
                <w:sz w:val="22"/>
              </w:rPr>
              <w:br w:type="textWrapping"/>
            </w:r>
            <w:r>
              <w:rPr>
                <w:rFonts w:hint="eastAsia" w:ascii="宋体" w:hAnsi="宋体" w:cs="宋体"/>
                <w:kern w:val="0"/>
                <w:sz w:val="22"/>
              </w:rPr>
              <w:t>2.灵敏度：-40dB±3 dB （re 0dB=1V/Pa@1kHz）；</w:t>
            </w:r>
            <w:r>
              <w:rPr>
                <w:rFonts w:hint="eastAsia" w:ascii="宋体" w:hAnsi="宋体" w:cs="宋体"/>
                <w:kern w:val="0"/>
                <w:sz w:val="22"/>
              </w:rPr>
              <w:br w:type="textWrapping"/>
            </w:r>
            <w:r>
              <w:rPr>
                <w:rFonts w:hint="eastAsia" w:ascii="宋体" w:hAnsi="宋体" w:cs="宋体"/>
                <w:kern w:val="0"/>
                <w:sz w:val="22"/>
              </w:rPr>
              <w:t>3.指向特性：超心型 ≤135°；</w:t>
            </w:r>
            <w:r>
              <w:rPr>
                <w:rFonts w:hint="eastAsia" w:ascii="宋体" w:hAnsi="宋体" w:cs="宋体"/>
                <w:kern w:val="0"/>
                <w:sz w:val="22"/>
              </w:rPr>
              <w:br w:type="textWrapping"/>
            </w:r>
            <w:r>
              <w:rPr>
                <w:rFonts w:hint="eastAsia" w:ascii="宋体" w:hAnsi="宋体" w:cs="宋体"/>
                <w:kern w:val="0"/>
                <w:sz w:val="22"/>
              </w:rPr>
              <w:t>4.输出阻抗：200Ω±30%；</w:t>
            </w:r>
            <w:r>
              <w:rPr>
                <w:rFonts w:hint="eastAsia" w:ascii="宋体" w:hAnsi="宋体" w:cs="宋体"/>
                <w:kern w:val="0"/>
                <w:sz w:val="22"/>
              </w:rPr>
              <w:br w:type="textWrapping"/>
            </w:r>
            <w:r>
              <w:rPr>
                <w:rFonts w:hint="eastAsia" w:ascii="宋体" w:hAnsi="宋体" w:cs="宋体"/>
                <w:kern w:val="0"/>
                <w:sz w:val="22"/>
              </w:rPr>
              <w:t>5.输出幅度：Max 300mV；</w:t>
            </w:r>
            <w:r>
              <w:rPr>
                <w:rFonts w:hint="eastAsia" w:ascii="宋体" w:hAnsi="宋体" w:cs="宋体"/>
                <w:kern w:val="0"/>
                <w:sz w:val="22"/>
              </w:rPr>
              <w:br w:type="textWrapping"/>
            </w:r>
            <w:r>
              <w:rPr>
                <w:rFonts w:hint="eastAsia" w:ascii="宋体" w:hAnsi="宋体" w:cs="宋体"/>
                <w:kern w:val="0"/>
                <w:sz w:val="22"/>
              </w:rPr>
              <w:t>6.最大承受声压：110dB SPL（A计权@1KHz，THD≤1%）；</w:t>
            </w:r>
            <w:r>
              <w:rPr>
                <w:rFonts w:hint="eastAsia" w:ascii="宋体" w:hAnsi="宋体" w:cs="宋体"/>
                <w:kern w:val="0"/>
                <w:sz w:val="22"/>
              </w:rPr>
              <w:br w:type="textWrapping"/>
            </w:r>
            <w:r>
              <w:rPr>
                <w:rFonts w:hint="eastAsia" w:ascii="宋体" w:hAnsi="宋体" w:cs="宋体"/>
                <w:kern w:val="0"/>
                <w:sz w:val="22"/>
              </w:rPr>
              <w:t>7.动态范围；76dB（A）；</w:t>
            </w:r>
            <w:r>
              <w:rPr>
                <w:rFonts w:hint="eastAsia" w:ascii="宋体" w:hAnsi="宋体" w:cs="宋体"/>
                <w:kern w:val="0"/>
                <w:sz w:val="22"/>
              </w:rPr>
              <w:br w:type="textWrapping"/>
            </w:r>
            <w:r>
              <w:rPr>
                <w:rFonts w:hint="eastAsia" w:ascii="宋体" w:hAnsi="宋体" w:cs="宋体"/>
                <w:kern w:val="0"/>
                <w:sz w:val="22"/>
              </w:rPr>
              <w:t>8.信噪比：60dB（A)（re 94dBSPL=1Pa@1KHz)；</w:t>
            </w:r>
            <w:r>
              <w:rPr>
                <w:rFonts w:hint="eastAsia" w:ascii="宋体" w:hAnsi="宋体" w:cs="宋体"/>
                <w:kern w:val="0"/>
                <w:sz w:val="22"/>
              </w:rPr>
              <w:br w:type="textWrapping"/>
            </w:r>
            <w:r>
              <w:rPr>
                <w:rFonts w:hint="eastAsia" w:ascii="宋体" w:hAnsi="宋体" w:cs="宋体"/>
                <w:kern w:val="0"/>
                <w:sz w:val="22"/>
              </w:rPr>
              <w:t>9.幻象供电：直流48V；</w:t>
            </w:r>
            <w:r>
              <w:rPr>
                <w:rFonts w:hint="eastAsia" w:ascii="宋体" w:hAnsi="宋体" w:cs="宋体"/>
                <w:kern w:val="0"/>
                <w:sz w:val="22"/>
              </w:rPr>
              <w:br w:type="textWrapping"/>
            </w:r>
            <w:r>
              <w:rPr>
                <w:rFonts w:hint="eastAsia" w:ascii="宋体" w:hAnsi="宋体" w:cs="宋体"/>
                <w:kern w:val="0"/>
                <w:sz w:val="22"/>
              </w:rPr>
              <w:t>10.输出连接器：外置式3针卡侬公头XLR-3-12C；</w:t>
            </w:r>
          </w:p>
        </w:tc>
      </w:tr>
      <w:tr w14:paraId="7D3B8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5426E31">
            <w:pPr>
              <w:widowControl/>
              <w:jc w:val="center"/>
              <w:rPr>
                <w:rFonts w:ascii="宋体" w:hAnsi="宋体" w:cs="宋体"/>
                <w:kern w:val="0"/>
                <w:sz w:val="22"/>
              </w:rPr>
            </w:pPr>
            <w:r>
              <w:rPr>
                <w:rFonts w:hint="eastAsia" w:ascii="宋体" w:hAnsi="宋体" w:cs="宋体"/>
                <w:kern w:val="0"/>
                <w:sz w:val="22"/>
              </w:rPr>
              <w:t>数字音频矩阵</w:t>
            </w:r>
          </w:p>
        </w:tc>
        <w:tc>
          <w:tcPr>
            <w:tcW w:w="7654" w:type="dxa"/>
            <w:tcBorders>
              <w:tl2br w:val="nil"/>
              <w:tr2bl w:val="nil"/>
            </w:tcBorders>
            <w:shd w:val="clear" w:color="000000" w:fill="FFFFFF"/>
            <w:vAlign w:val="center"/>
          </w:tcPr>
          <w:p w14:paraId="3BE55AE1">
            <w:pPr>
              <w:widowControl/>
              <w:jc w:val="left"/>
              <w:rPr>
                <w:rFonts w:ascii="宋体" w:hAnsi="宋体" w:cs="宋体"/>
                <w:kern w:val="0"/>
                <w:sz w:val="22"/>
              </w:rPr>
            </w:pPr>
            <w:r>
              <w:rPr>
                <w:rFonts w:hint="eastAsia" w:ascii="宋体" w:hAnsi="宋体" w:cs="宋体"/>
                <w:kern w:val="0"/>
                <w:sz w:val="22"/>
              </w:rPr>
              <w:t>1.信号处理：主机采用4核高速DSP处理芯片，64bit处理内核，主频≥1GHz,最大主频1.3GHz，最快信号处理延时≦8ms；支持48KHz采样率；支持≥24KHz带宽处理噪声抑制和回声消除功能。</w:t>
            </w:r>
            <w:r>
              <w:rPr>
                <w:rFonts w:hint="eastAsia" w:ascii="宋体" w:hAnsi="宋体" w:cs="宋体"/>
                <w:kern w:val="0"/>
                <w:sz w:val="22"/>
              </w:rPr>
              <w:br w:type="textWrapping"/>
            </w:r>
            <w:r>
              <w:rPr>
                <w:rFonts w:hint="eastAsia" w:ascii="宋体" w:hAnsi="宋体" w:cs="宋体"/>
                <w:kern w:val="0"/>
                <w:sz w:val="22"/>
              </w:rPr>
              <w:t>2.音频输入/输出：16路音频通道输入，16路音频通道输出。</w:t>
            </w:r>
            <w:r>
              <w:rPr>
                <w:rFonts w:hint="eastAsia" w:ascii="宋体" w:hAnsi="宋体" w:cs="宋体"/>
                <w:kern w:val="0"/>
                <w:sz w:val="22"/>
              </w:rPr>
              <w:br w:type="textWrapping"/>
            </w:r>
            <w:r>
              <w:rPr>
                <w:rFonts w:hint="eastAsia" w:ascii="宋体" w:hAnsi="宋体" w:cs="宋体"/>
                <w:kern w:val="0"/>
                <w:sz w:val="22"/>
              </w:rPr>
              <w:t>3.麦克风输入：8路48V幻象供电的麦克风输入，幻象供电可软件开关。</w:t>
            </w:r>
            <w:r>
              <w:rPr>
                <w:rFonts w:hint="eastAsia" w:ascii="宋体" w:hAnsi="宋体" w:cs="宋体"/>
                <w:kern w:val="0"/>
                <w:sz w:val="22"/>
              </w:rPr>
              <w:br w:type="textWrapping"/>
            </w:r>
            <w:r>
              <w:rPr>
                <w:rFonts w:hint="eastAsia" w:ascii="宋体" w:hAnsi="宋体" w:cs="宋体"/>
                <w:kern w:val="0"/>
                <w:sz w:val="22"/>
              </w:rPr>
              <w:t>4.模拟音频输入：6路差分信号输入</w:t>
            </w:r>
            <w:r>
              <w:rPr>
                <w:rFonts w:hint="eastAsia" w:ascii="宋体" w:hAnsi="宋体" w:cs="宋体"/>
                <w:kern w:val="0"/>
                <w:sz w:val="22"/>
              </w:rPr>
              <w:br w:type="textWrapping"/>
            </w:r>
            <w:r>
              <w:rPr>
                <w:rFonts w:hint="eastAsia" w:ascii="宋体" w:hAnsi="宋体" w:cs="宋体"/>
                <w:kern w:val="0"/>
                <w:sz w:val="22"/>
              </w:rPr>
              <w:t>5.模拟音频输出：10路差分信号输出</w:t>
            </w:r>
            <w:r>
              <w:rPr>
                <w:rFonts w:hint="eastAsia" w:ascii="宋体" w:hAnsi="宋体" w:cs="宋体"/>
                <w:kern w:val="0"/>
                <w:sz w:val="22"/>
              </w:rPr>
              <w:br w:type="textWrapping"/>
            </w:r>
            <w:r>
              <w:rPr>
                <w:rFonts w:hint="eastAsia" w:ascii="宋体" w:hAnsi="宋体" w:cs="宋体"/>
                <w:kern w:val="0"/>
                <w:sz w:val="22"/>
              </w:rPr>
              <w:t>6.增益调节：支持麦克风ADC增益0到35dB可调；支持DAC输出增益0到127等级可调；支持噪声抑制有0到18等级可调，混响抑制0到4级可调，扩声还原度0到10级可调。</w:t>
            </w:r>
            <w:r>
              <w:rPr>
                <w:rFonts w:hint="eastAsia" w:ascii="宋体" w:hAnsi="宋体" w:cs="宋体"/>
                <w:kern w:val="0"/>
                <w:sz w:val="22"/>
              </w:rPr>
              <w:br w:type="textWrapping"/>
            </w:r>
            <w:r>
              <w:rPr>
                <w:rFonts w:ascii="宋体" w:hAnsi="宋体" w:cs="宋体"/>
                <w:kern w:val="0"/>
                <w:sz w:val="22"/>
              </w:rPr>
              <w:t>7</w:t>
            </w:r>
            <w:r>
              <w:rPr>
                <w:rFonts w:hint="eastAsia" w:ascii="宋体" w:hAnsi="宋体" w:cs="宋体"/>
                <w:kern w:val="0"/>
                <w:sz w:val="22"/>
              </w:rPr>
              <w:t>.反馈抑制（AFC）：反馈抑制效果器支持控制开关，并且支持16段自适应频率滤波器；反馈抑制频率可手动调整；反馈抑制效果器可有效提升传声增益幅度：≥15dB。</w:t>
            </w:r>
            <w:r>
              <w:rPr>
                <w:rFonts w:hint="eastAsia" w:ascii="宋体" w:hAnsi="宋体" w:cs="宋体"/>
                <w:kern w:val="0"/>
                <w:sz w:val="22"/>
              </w:rPr>
              <w:br w:type="textWrapping"/>
            </w:r>
            <w:r>
              <w:rPr>
                <w:rFonts w:ascii="宋体" w:hAnsi="宋体" w:cs="宋体"/>
                <w:kern w:val="0"/>
                <w:sz w:val="22"/>
              </w:rPr>
              <w:t>8</w:t>
            </w:r>
            <w:r>
              <w:rPr>
                <w:rFonts w:hint="eastAsia" w:ascii="宋体" w:hAnsi="宋体" w:cs="宋体"/>
                <w:kern w:val="0"/>
                <w:sz w:val="22"/>
              </w:rPr>
              <w:t>.自动增益控制（AGC）：增益控制幅度-24dB到24dB可调，并可开关自动增益控制功能。</w:t>
            </w:r>
            <w:r>
              <w:rPr>
                <w:rFonts w:hint="eastAsia" w:ascii="宋体" w:hAnsi="宋体" w:cs="宋体"/>
                <w:kern w:val="0"/>
                <w:sz w:val="22"/>
              </w:rPr>
              <w:br w:type="textWrapping"/>
            </w:r>
            <w:r>
              <w:rPr>
                <w:rFonts w:ascii="宋体" w:hAnsi="宋体" w:cs="宋体"/>
                <w:kern w:val="0"/>
                <w:sz w:val="22"/>
              </w:rPr>
              <w:t>9</w:t>
            </w:r>
            <w:r>
              <w:rPr>
                <w:rFonts w:hint="eastAsia" w:ascii="宋体" w:hAnsi="宋体" w:cs="宋体"/>
                <w:kern w:val="0"/>
                <w:sz w:val="22"/>
              </w:rPr>
              <w:t>.AI智能降噪（ANS）：内置AI智能降噪算法，有效降低和滤除教室内常见稳态噪声，同时还可有效降低和滤除教室内瞬态噪声。</w:t>
            </w:r>
            <w:r>
              <w:rPr>
                <w:rFonts w:hint="eastAsia" w:ascii="宋体" w:hAnsi="宋体" w:cs="宋体"/>
                <w:kern w:val="0"/>
                <w:sz w:val="22"/>
              </w:rPr>
              <w:br w:type="textWrapping"/>
            </w:r>
            <w:r>
              <w:rPr>
                <w:rFonts w:ascii="宋体" w:hAnsi="宋体" w:cs="宋体"/>
                <w:kern w:val="0"/>
                <w:sz w:val="22"/>
              </w:rPr>
              <w:t>10</w:t>
            </w:r>
            <w:r>
              <w:rPr>
                <w:rFonts w:hint="eastAsia" w:ascii="宋体" w:hAnsi="宋体" w:cs="宋体"/>
                <w:kern w:val="0"/>
                <w:sz w:val="22"/>
              </w:rPr>
              <w:t>.设备调音：主机软件可根据现场需求，分别支持反馈抑制调音、手持麦扩声调音和AEC调音功能。</w:t>
            </w:r>
            <w:r>
              <w:rPr>
                <w:rFonts w:hint="eastAsia" w:ascii="宋体" w:hAnsi="宋体" w:cs="宋体"/>
                <w:kern w:val="0"/>
                <w:sz w:val="22"/>
              </w:rPr>
              <w:br w:type="textWrapping"/>
            </w:r>
            <w:r>
              <w:rPr>
                <w:rFonts w:ascii="宋体" w:hAnsi="宋体" w:cs="宋体"/>
                <w:kern w:val="0"/>
                <w:sz w:val="22"/>
              </w:rPr>
              <w:t>11</w:t>
            </w:r>
            <w:r>
              <w:rPr>
                <w:rFonts w:hint="eastAsia" w:ascii="宋体" w:hAnsi="宋体" w:cs="宋体"/>
                <w:kern w:val="0"/>
                <w:sz w:val="22"/>
              </w:rPr>
              <w:t>.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p>
        </w:tc>
      </w:tr>
      <w:tr w14:paraId="5CF5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11D4A45">
            <w:pPr>
              <w:widowControl/>
              <w:jc w:val="center"/>
              <w:rPr>
                <w:rFonts w:ascii="宋体" w:hAnsi="宋体" w:cs="宋体"/>
                <w:kern w:val="0"/>
                <w:sz w:val="22"/>
              </w:rPr>
            </w:pPr>
            <w:r>
              <w:rPr>
                <w:rFonts w:hint="eastAsia" w:ascii="宋体" w:hAnsi="宋体" w:cs="宋体"/>
                <w:kern w:val="0"/>
                <w:sz w:val="22"/>
              </w:rPr>
              <w:t>无线话筒（带领夹）</w:t>
            </w:r>
          </w:p>
        </w:tc>
        <w:tc>
          <w:tcPr>
            <w:tcW w:w="7654" w:type="dxa"/>
            <w:tcBorders>
              <w:tl2br w:val="nil"/>
              <w:tr2bl w:val="nil"/>
            </w:tcBorders>
            <w:shd w:val="clear" w:color="000000" w:fill="FFFFFF"/>
            <w:vAlign w:val="center"/>
          </w:tcPr>
          <w:p w14:paraId="0061426F">
            <w:pPr>
              <w:widowControl/>
              <w:jc w:val="left"/>
              <w:rPr>
                <w:rFonts w:ascii="宋体" w:hAnsi="宋体" w:cs="宋体"/>
                <w:kern w:val="0"/>
                <w:sz w:val="22"/>
              </w:rPr>
            </w:pPr>
            <w:r>
              <w:rPr>
                <w:rFonts w:hint="eastAsia" w:ascii="宋体" w:hAnsi="宋体" w:cs="宋体"/>
                <w:kern w:val="0"/>
                <w:sz w:val="22"/>
              </w:rPr>
              <w:t>一拖二U段无线麦克风，一手持一腰包</w:t>
            </w:r>
            <w:r>
              <w:rPr>
                <w:rFonts w:hint="eastAsia" w:ascii="宋体" w:hAnsi="宋体" w:cs="宋体"/>
                <w:kern w:val="0"/>
                <w:sz w:val="22"/>
              </w:rPr>
              <w:br w:type="textWrapping"/>
            </w:r>
            <w:r>
              <w:rPr>
                <w:rFonts w:hint="eastAsia" w:ascii="宋体" w:hAnsi="宋体" w:cs="宋体"/>
                <w:kern w:val="0"/>
                <w:sz w:val="22"/>
              </w:rPr>
              <w:t>一、接收机</w:t>
            </w:r>
            <w:r>
              <w:rPr>
                <w:rFonts w:hint="eastAsia" w:ascii="宋体" w:hAnsi="宋体" w:cs="宋体"/>
                <w:kern w:val="0"/>
                <w:sz w:val="22"/>
              </w:rPr>
              <w:br w:type="textWrapping"/>
            </w:r>
            <w:r>
              <w:rPr>
                <w:rFonts w:hint="eastAsia" w:ascii="宋体" w:hAnsi="宋体" w:cs="宋体"/>
                <w:kern w:val="0"/>
                <w:sz w:val="22"/>
              </w:rPr>
              <w:t>1.主机标准机架式安装，需采用UHF高频段传输</w:t>
            </w:r>
            <w:r>
              <w:rPr>
                <w:rFonts w:hint="eastAsia" w:ascii="宋体" w:hAnsi="宋体" w:cs="宋体"/>
                <w:kern w:val="0"/>
                <w:sz w:val="22"/>
              </w:rPr>
              <w:br w:type="textWrapping"/>
            </w:r>
            <w:r>
              <w:rPr>
                <w:rFonts w:hint="eastAsia" w:ascii="宋体" w:hAnsi="宋体" w:cs="宋体"/>
                <w:kern w:val="0"/>
                <w:sz w:val="22"/>
              </w:rPr>
              <w:t>2.频率范围：</w:t>
            </w:r>
            <w:r>
              <w:t xml:space="preserve"> 630～698MHz</w:t>
            </w:r>
            <w:r>
              <w:rPr>
                <w:rFonts w:hint="eastAsia" w:ascii="宋体" w:hAnsi="宋体" w:cs="宋体"/>
                <w:kern w:val="0"/>
                <w:sz w:val="22"/>
              </w:rPr>
              <w:t>可调</w:t>
            </w:r>
            <w:r>
              <w:rPr>
                <w:rFonts w:hint="eastAsia" w:ascii="宋体" w:hAnsi="宋体" w:cs="宋体"/>
                <w:kern w:val="0"/>
                <w:sz w:val="22"/>
              </w:rPr>
              <w:br w:type="textWrapping"/>
            </w:r>
            <w:r>
              <w:rPr>
                <w:rFonts w:hint="eastAsia" w:ascii="宋体" w:hAnsi="宋体" w:cs="宋体"/>
                <w:kern w:val="0"/>
                <w:sz w:val="22"/>
              </w:rPr>
              <w:t>3.信道数量：200</w:t>
            </w:r>
            <w:r>
              <w:rPr>
                <w:rFonts w:hint="eastAsia" w:ascii="宋体" w:hAnsi="宋体" w:cs="宋体"/>
                <w:kern w:val="0"/>
                <w:sz w:val="22"/>
              </w:rPr>
              <w:br w:type="textWrapping"/>
            </w:r>
            <w:r>
              <w:rPr>
                <w:rFonts w:hint="eastAsia" w:ascii="宋体" w:hAnsi="宋体" w:cs="宋体"/>
                <w:kern w:val="0"/>
                <w:sz w:val="22"/>
              </w:rPr>
              <w:t>4.频率生成方式：PLL锁相环频率合成</w:t>
            </w:r>
            <w:r>
              <w:rPr>
                <w:rFonts w:hint="eastAsia" w:ascii="宋体" w:hAnsi="宋体" w:cs="宋体"/>
                <w:kern w:val="0"/>
                <w:sz w:val="22"/>
              </w:rPr>
              <w:br w:type="textWrapping"/>
            </w:r>
            <w:r>
              <w:rPr>
                <w:rFonts w:hint="eastAsia" w:ascii="宋体" w:hAnsi="宋体" w:cs="宋体"/>
                <w:kern w:val="0"/>
                <w:sz w:val="22"/>
              </w:rPr>
              <w:t>5.接收方式：超外差二次变频</w:t>
            </w:r>
            <w:r>
              <w:rPr>
                <w:rFonts w:hint="eastAsia" w:ascii="宋体" w:hAnsi="宋体" w:cs="宋体"/>
                <w:kern w:val="0"/>
                <w:sz w:val="22"/>
              </w:rPr>
              <w:br w:type="textWrapping"/>
            </w:r>
            <w:r>
              <w:rPr>
                <w:rFonts w:hint="eastAsia" w:ascii="宋体" w:hAnsi="宋体" w:cs="宋体"/>
                <w:kern w:val="0"/>
                <w:sz w:val="22"/>
              </w:rPr>
              <w:t>6.导频方式：数字导频</w:t>
            </w:r>
            <w:r>
              <w:rPr>
                <w:rFonts w:hint="eastAsia" w:ascii="宋体" w:hAnsi="宋体" w:cs="宋体"/>
                <w:kern w:val="0"/>
                <w:sz w:val="22"/>
              </w:rPr>
              <w:br w:type="textWrapping"/>
            </w:r>
            <w:r>
              <w:rPr>
                <w:rFonts w:hint="eastAsia" w:ascii="宋体" w:hAnsi="宋体" w:cs="宋体"/>
                <w:kern w:val="0"/>
                <w:sz w:val="22"/>
              </w:rPr>
              <w:t>5.接收灵敏度：-96dBm</w:t>
            </w:r>
            <w:r>
              <w:rPr>
                <w:rFonts w:hint="eastAsia" w:ascii="宋体" w:hAnsi="宋体" w:cs="宋体"/>
                <w:kern w:val="0"/>
                <w:sz w:val="22"/>
              </w:rPr>
              <w:br w:type="textWrapping"/>
            </w:r>
            <w:r>
              <w:rPr>
                <w:rFonts w:hint="eastAsia" w:ascii="宋体" w:hAnsi="宋体" w:cs="宋体"/>
                <w:kern w:val="0"/>
                <w:sz w:val="22"/>
              </w:rPr>
              <w:t>6.音频响应：30Hz-18KHz</w:t>
            </w:r>
            <w:r>
              <w:rPr>
                <w:rFonts w:hint="eastAsia" w:ascii="宋体" w:hAnsi="宋体" w:cs="宋体"/>
                <w:kern w:val="0"/>
                <w:sz w:val="22"/>
              </w:rPr>
              <w:br w:type="textWrapping"/>
            </w:r>
            <w:r>
              <w:rPr>
                <w:rFonts w:hint="eastAsia" w:ascii="宋体" w:hAnsi="宋体" w:cs="宋体"/>
                <w:kern w:val="0"/>
                <w:sz w:val="22"/>
              </w:rPr>
              <w:t>7.谐波失真：≤0.5%</w:t>
            </w:r>
            <w:r>
              <w:rPr>
                <w:rFonts w:hint="eastAsia" w:ascii="宋体" w:hAnsi="宋体" w:cs="宋体"/>
                <w:kern w:val="0"/>
                <w:sz w:val="22"/>
              </w:rPr>
              <w:br w:type="textWrapping"/>
            </w:r>
            <w:r>
              <w:rPr>
                <w:rFonts w:hint="eastAsia" w:ascii="宋体" w:hAnsi="宋体" w:cs="宋体"/>
                <w:kern w:val="0"/>
                <w:sz w:val="22"/>
              </w:rPr>
              <w:t>8.音频输出方式：平衡、非平衡</w:t>
            </w:r>
            <w:r>
              <w:rPr>
                <w:rFonts w:hint="eastAsia" w:ascii="宋体" w:hAnsi="宋体" w:cs="宋体"/>
                <w:kern w:val="0"/>
                <w:sz w:val="22"/>
              </w:rPr>
              <w:br w:type="textWrapping"/>
            </w:r>
            <w:r>
              <w:rPr>
                <w:rFonts w:hint="eastAsia" w:ascii="宋体" w:hAnsi="宋体" w:cs="宋体"/>
                <w:kern w:val="0"/>
                <w:sz w:val="22"/>
              </w:rPr>
              <w:t>9.音频输出阻抗：600Ω±10%</w:t>
            </w:r>
            <w:r>
              <w:rPr>
                <w:rFonts w:hint="eastAsia" w:ascii="宋体" w:hAnsi="宋体" w:cs="宋体"/>
                <w:kern w:val="0"/>
                <w:sz w:val="22"/>
              </w:rPr>
              <w:br w:type="textWrapping"/>
            </w:r>
            <w:r>
              <w:rPr>
                <w:rFonts w:hint="eastAsia" w:ascii="宋体" w:hAnsi="宋体" w:cs="宋体"/>
                <w:kern w:val="0"/>
                <w:sz w:val="22"/>
              </w:rPr>
              <w:t>10.综合失真度：＜0.5% @1KHz</w:t>
            </w:r>
            <w:r>
              <w:rPr>
                <w:rFonts w:hint="eastAsia" w:ascii="宋体" w:hAnsi="宋体" w:cs="宋体"/>
                <w:kern w:val="0"/>
                <w:sz w:val="22"/>
              </w:rPr>
              <w:br w:type="textWrapping"/>
            </w:r>
            <w:r>
              <w:rPr>
                <w:rFonts w:hint="eastAsia" w:ascii="宋体" w:hAnsi="宋体" w:cs="宋体"/>
                <w:kern w:val="0"/>
                <w:sz w:val="22"/>
              </w:rPr>
              <w:t>11.工作电源：DC 12V/1A</w:t>
            </w:r>
            <w:r>
              <w:rPr>
                <w:rFonts w:hint="eastAsia" w:ascii="宋体" w:hAnsi="宋体" w:cs="宋体"/>
                <w:kern w:val="0"/>
                <w:sz w:val="22"/>
              </w:rPr>
              <w:br w:type="textWrapping"/>
            </w:r>
            <w:r>
              <w:rPr>
                <w:rFonts w:hint="eastAsia" w:ascii="宋体" w:hAnsi="宋体" w:cs="宋体"/>
                <w:kern w:val="0"/>
                <w:sz w:val="22"/>
              </w:rPr>
              <w:t>二、手持麦</w:t>
            </w:r>
            <w:r>
              <w:rPr>
                <w:rFonts w:hint="eastAsia" w:ascii="宋体" w:hAnsi="宋体" w:cs="宋体"/>
                <w:kern w:val="0"/>
                <w:sz w:val="22"/>
              </w:rPr>
              <w:br w:type="textWrapping"/>
            </w:r>
            <w:r>
              <w:rPr>
                <w:rFonts w:hint="eastAsia" w:ascii="宋体" w:hAnsi="宋体" w:cs="宋体"/>
                <w:kern w:val="0"/>
                <w:sz w:val="22"/>
              </w:rPr>
              <w:t>1.工作电源：2 * AA（1.2V或1.5V）</w:t>
            </w:r>
            <w:r>
              <w:rPr>
                <w:rFonts w:hint="eastAsia" w:ascii="宋体" w:hAnsi="宋体" w:cs="宋体"/>
                <w:kern w:val="0"/>
                <w:sz w:val="22"/>
              </w:rPr>
              <w:br w:type="textWrapping"/>
            </w:r>
            <w:r>
              <w:rPr>
                <w:rFonts w:hint="eastAsia" w:ascii="宋体" w:hAnsi="宋体" w:cs="宋体"/>
                <w:kern w:val="0"/>
                <w:sz w:val="22"/>
              </w:rPr>
              <w:t>2.工作频率：</w:t>
            </w:r>
            <w:r>
              <w:t>630～698MHz</w:t>
            </w:r>
            <w:r>
              <w:rPr>
                <w:rFonts w:hint="eastAsia" w:ascii="宋体" w:hAnsi="宋体" w:cs="宋体"/>
                <w:kern w:val="0"/>
                <w:sz w:val="22"/>
              </w:rPr>
              <w:t xml:space="preserve"> </w:t>
            </w:r>
            <w:r>
              <w:rPr>
                <w:rFonts w:hint="eastAsia" w:ascii="宋体" w:hAnsi="宋体" w:cs="宋体"/>
                <w:kern w:val="0"/>
                <w:sz w:val="22"/>
              </w:rPr>
              <w:br w:type="textWrapping"/>
            </w:r>
            <w:r>
              <w:rPr>
                <w:rFonts w:hint="eastAsia" w:ascii="宋体" w:hAnsi="宋体" w:cs="宋体"/>
                <w:kern w:val="0"/>
                <w:sz w:val="22"/>
              </w:rPr>
              <w:t>3.频率稳定度：±1 ppm</w:t>
            </w:r>
            <w:r>
              <w:rPr>
                <w:rFonts w:hint="eastAsia" w:ascii="宋体" w:hAnsi="宋体" w:cs="宋体"/>
                <w:kern w:val="0"/>
                <w:sz w:val="22"/>
              </w:rPr>
              <w:br w:type="textWrapping"/>
            </w:r>
            <w:r>
              <w:rPr>
                <w:rFonts w:hint="eastAsia" w:ascii="宋体" w:hAnsi="宋体" w:cs="宋体"/>
                <w:kern w:val="0"/>
                <w:sz w:val="22"/>
              </w:rPr>
              <w:t>4.最大发射功率：10dBm</w:t>
            </w:r>
            <w:r>
              <w:rPr>
                <w:rFonts w:hint="eastAsia" w:ascii="宋体" w:hAnsi="宋体" w:cs="宋体"/>
                <w:kern w:val="0"/>
                <w:sz w:val="22"/>
              </w:rPr>
              <w:br w:type="textWrapping"/>
            </w:r>
            <w:r>
              <w:rPr>
                <w:rFonts w:hint="eastAsia" w:ascii="宋体" w:hAnsi="宋体" w:cs="宋体"/>
                <w:kern w:val="0"/>
                <w:sz w:val="22"/>
              </w:rPr>
              <w:t>5.调制方式：FM</w:t>
            </w:r>
            <w:r>
              <w:rPr>
                <w:rFonts w:hint="eastAsia" w:ascii="宋体" w:hAnsi="宋体" w:cs="宋体"/>
                <w:kern w:val="0"/>
                <w:sz w:val="22"/>
              </w:rPr>
              <w:br w:type="textWrapping"/>
            </w:r>
            <w:r>
              <w:rPr>
                <w:rFonts w:hint="eastAsia" w:ascii="宋体" w:hAnsi="宋体" w:cs="宋体"/>
                <w:kern w:val="0"/>
                <w:sz w:val="22"/>
              </w:rPr>
              <w:t>6.频率生成方式：PLL锁相环频率合成</w:t>
            </w:r>
            <w:r>
              <w:rPr>
                <w:rFonts w:hint="eastAsia" w:ascii="宋体" w:hAnsi="宋体" w:cs="宋体"/>
                <w:kern w:val="0"/>
                <w:sz w:val="22"/>
              </w:rPr>
              <w:br w:type="textWrapping"/>
            </w:r>
            <w:r>
              <w:rPr>
                <w:rFonts w:hint="eastAsia" w:ascii="宋体" w:hAnsi="宋体" w:cs="宋体"/>
                <w:kern w:val="0"/>
                <w:sz w:val="22"/>
              </w:rPr>
              <w:t>7.话筒类型：高保真动圈式</w:t>
            </w:r>
            <w:r>
              <w:rPr>
                <w:rFonts w:hint="eastAsia" w:ascii="宋体" w:hAnsi="宋体" w:cs="宋体"/>
                <w:kern w:val="0"/>
                <w:sz w:val="22"/>
              </w:rPr>
              <w:br w:type="textWrapping"/>
            </w:r>
            <w:r>
              <w:rPr>
                <w:rFonts w:hint="eastAsia" w:ascii="宋体" w:hAnsi="宋体" w:cs="宋体"/>
                <w:kern w:val="0"/>
                <w:sz w:val="22"/>
              </w:rPr>
              <w:t>8.话筒灵敏度：-53dB @ 1KHz</w:t>
            </w:r>
            <w:r>
              <w:rPr>
                <w:rFonts w:hint="eastAsia" w:ascii="宋体" w:hAnsi="宋体" w:cs="宋体"/>
                <w:kern w:val="0"/>
                <w:sz w:val="22"/>
              </w:rPr>
              <w:br w:type="textWrapping"/>
            </w:r>
            <w:r>
              <w:rPr>
                <w:rFonts w:hint="eastAsia" w:ascii="宋体" w:hAnsi="宋体" w:cs="宋体"/>
                <w:kern w:val="0"/>
                <w:sz w:val="22"/>
              </w:rPr>
              <w:t>9.频率响应：30Hz-18KHz</w:t>
            </w:r>
            <w:r>
              <w:rPr>
                <w:rFonts w:hint="eastAsia" w:ascii="宋体" w:hAnsi="宋体" w:cs="宋体"/>
                <w:kern w:val="0"/>
                <w:sz w:val="22"/>
              </w:rPr>
              <w:br w:type="textWrapping"/>
            </w:r>
            <w:r>
              <w:rPr>
                <w:rFonts w:hint="eastAsia" w:ascii="宋体" w:hAnsi="宋体" w:cs="宋体"/>
                <w:kern w:val="0"/>
                <w:sz w:val="22"/>
              </w:rPr>
              <w:t>10.拾音极性：心型指向性</w:t>
            </w:r>
            <w:r>
              <w:rPr>
                <w:rFonts w:hint="eastAsia" w:ascii="宋体" w:hAnsi="宋体" w:cs="宋体"/>
                <w:kern w:val="0"/>
                <w:sz w:val="22"/>
              </w:rPr>
              <w:br w:type="textWrapping"/>
            </w:r>
            <w:r>
              <w:rPr>
                <w:rFonts w:hint="eastAsia" w:ascii="宋体" w:hAnsi="宋体" w:cs="宋体"/>
                <w:kern w:val="0"/>
                <w:sz w:val="22"/>
              </w:rPr>
              <w:t>11.拾音方式：动圈式</w:t>
            </w:r>
            <w:r>
              <w:rPr>
                <w:rFonts w:hint="eastAsia" w:ascii="宋体" w:hAnsi="宋体" w:cs="宋体"/>
                <w:kern w:val="0"/>
                <w:sz w:val="22"/>
              </w:rPr>
              <w:br w:type="textWrapping"/>
            </w:r>
            <w:r>
              <w:rPr>
                <w:rFonts w:hint="eastAsia" w:ascii="宋体" w:hAnsi="宋体" w:cs="宋体"/>
                <w:kern w:val="0"/>
                <w:sz w:val="22"/>
              </w:rPr>
              <w:t>三、腰包</w:t>
            </w:r>
            <w:r>
              <w:rPr>
                <w:rFonts w:hint="eastAsia" w:ascii="宋体" w:hAnsi="宋体" w:cs="宋体"/>
                <w:kern w:val="0"/>
                <w:sz w:val="22"/>
              </w:rPr>
              <w:br w:type="textWrapping"/>
            </w:r>
            <w:r>
              <w:rPr>
                <w:rFonts w:hint="eastAsia" w:ascii="宋体" w:hAnsi="宋体" w:cs="宋体"/>
                <w:kern w:val="0"/>
                <w:sz w:val="22"/>
              </w:rPr>
              <w:t>1.工作电源：两节AA电池或镍氢充电电池</w:t>
            </w:r>
            <w:r>
              <w:rPr>
                <w:rFonts w:hint="eastAsia" w:ascii="宋体" w:hAnsi="宋体" w:cs="宋体"/>
                <w:kern w:val="0"/>
                <w:sz w:val="22"/>
              </w:rPr>
              <w:br w:type="textWrapping"/>
            </w:r>
            <w:r>
              <w:rPr>
                <w:rFonts w:hint="eastAsia" w:ascii="宋体" w:hAnsi="宋体" w:cs="宋体"/>
                <w:kern w:val="0"/>
                <w:sz w:val="22"/>
              </w:rPr>
              <w:t>2.电池使用时间：8小时</w:t>
            </w:r>
            <w:r>
              <w:rPr>
                <w:rFonts w:hint="eastAsia" w:ascii="宋体" w:hAnsi="宋体" w:cs="宋体"/>
                <w:kern w:val="0"/>
                <w:sz w:val="22"/>
              </w:rPr>
              <w:br w:type="textWrapping"/>
            </w:r>
            <w:r>
              <w:rPr>
                <w:rFonts w:hint="eastAsia" w:ascii="宋体" w:hAnsi="宋体" w:cs="宋体"/>
                <w:kern w:val="0"/>
                <w:sz w:val="22"/>
              </w:rPr>
              <w:t>3.工作频率：</w:t>
            </w:r>
            <w:r>
              <w:t>630～698MHz</w:t>
            </w:r>
            <w:r>
              <w:rPr>
                <w:rFonts w:hint="eastAsia" w:ascii="宋体" w:hAnsi="宋体" w:cs="宋体"/>
                <w:kern w:val="0"/>
                <w:sz w:val="22"/>
              </w:rPr>
              <w:t xml:space="preserve"> </w:t>
            </w:r>
            <w:r>
              <w:rPr>
                <w:rFonts w:hint="eastAsia" w:ascii="宋体" w:hAnsi="宋体" w:cs="宋体"/>
                <w:kern w:val="0"/>
                <w:sz w:val="22"/>
              </w:rPr>
              <w:br w:type="textWrapping"/>
            </w:r>
            <w:r>
              <w:rPr>
                <w:rFonts w:hint="eastAsia" w:ascii="宋体" w:hAnsi="宋体" w:cs="宋体"/>
                <w:kern w:val="0"/>
                <w:sz w:val="22"/>
              </w:rPr>
              <w:t>4.最大发射功率：10 dBm</w:t>
            </w:r>
            <w:r>
              <w:rPr>
                <w:rFonts w:hint="eastAsia" w:ascii="宋体" w:hAnsi="宋体" w:cs="宋体"/>
                <w:kern w:val="0"/>
                <w:sz w:val="22"/>
              </w:rPr>
              <w:br w:type="textWrapping"/>
            </w:r>
            <w:r>
              <w:rPr>
                <w:rFonts w:hint="eastAsia" w:ascii="宋体" w:hAnsi="宋体" w:cs="宋体"/>
                <w:kern w:val="0"/>
                <w:sz w:val="22"/>
              </w:rPr>
              <w:t>5.音频频率响应：60 ~ 20 KHz</w:t>
            </w:r>
          </w:p>
        </w:tc>
      </w:tr>
      <w:tr w14:paraId="6C96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D446606">
            <w:pPr>
              <w:widowControl/>
              <w:jc w:val="center"/>
              <w:rPr>
                <w:rFonts w:ascii="宋体" w:hAnsi="宋体" w:cs="宋体"/>
                <w:kern w:val="0"/>
                <w:sz w:val="22"/>
              </w:rPr>
            </w:pPr>
            <w:r>
              <w:rPr>
                <w:rFonts w:hint="eastAsia" w:ascii="宋体" w:hAnsi="宋体" w:cs="宋体"/>
                <w:kern w:val="0"/>
                <w:sz w:val="22"/>
              </w:rPr>
              <w:t>功放</w:t>
            </w:r>
          </w:p>
        </w:tc>
        <w:tc>
          <w:tcPr>
            <w:tcW w:w="7654" w:type="dxa"/>
            <w:tcBorders>
              <w:tl2br w:val="nil"/>
              <w:tr2bl w:val="nil"/>
            </w:tcBorders>
            <w:shd w:val="clear" w:color="000000" w:fill="FFFFFF"/>
            <w:vAlign w:val="center"/>
          </w:tcPr>
          <w:p w14:paraId="3D24F2CC">
            <w:pPr>
              <w:widowControl/>
              <w:jc w:val="left"/>
              <w:rPr>
                <w:rFonts w:ascii="宋体" w:hAnsi="宋体" w:cs="宋体"/>
                <w:kern w:val="0"/>
                <w:sz w:val="22"/>
              </w:rPr>
            </w:pPr>
            <w:r>
              <w:rPr>
                <w:rFonts w:hint="eastAsia" w:ascii="宋体" w:hAnsi="宋体" w:cs="宋体"/>
                <w:kern w:val="0"/>
                <w:sz w:val="22"/>
              </w:rPr>
              <w:t xml:space="preserve">1.额定功率：立体声2×60W/8Ω </w:t>
            </w:r>
            <w:r>
              <w:rPr>
                <w:rFonts w:hint="eastAsia" w:ascii="宋体" w:hAnsi="宋体" w:cs="宋体"/>
                <w:kern w:val="0"/>
                <w:sz w:val="22"/>
              </w:rPr>
              <w:br w:type="textWrapping"/>
            </w:r>
            <w:r>
              <w:rPr>
                <w:rFonts w:hint="eastAsia" w:ascii="宋体" w:hAnsi="宋体" w:cs="宋体"/>
                <w:kern w:val="0"/>
                <w:sz w:val="22"/>
              </w:rPr>
              <w:t xml:space="preserve">2.频率响应：20Hz-20KHz  +1/-3dB </w:t>
            </w:r>
            <w:r>
              <w:rPr>
                <w:rFonts w:hint="eastAsia" w:ascii="宋体" w:hAnsi="宋体" w:cs="宋体"/>
                <w:kern w:val="0"/>
                <w:sz w:val="22"/>
              </w:rPr>
              <w:br w:type="textWrapping"/>
            </w:r>
            <w:r>
              <w:rPr>
                <w:rFonts w:hint="eastAsia" w:ascii="宋体" w:hAnsi="宋体" w:cs="宋体"/>
                <w:kern w:val="0"/>
                <w:sz w:val="22"/>
              </w:rPr>
              <w:t xml:space="preserve">3.额定输入灵敏度：线路 -12dB±1dB 话筒 -34dB±1dB </w:t>
            </w:r>
            <w:r>
              <w:rPr>
                <w:rFonts w:hint="eastAsia" w:ascii="宋体" w:hAnsi="宋体" w:cs="宋体"/>
                <w:kern w:val="0"/>
                <w:sz w:val="22"/>
              </w:rPr>
              <w:br w:type="textWrapping"/>
            </w:r>
            <w:r>
              <w:rPr>
                <w:rFonts w:hint="eastAsia" w:ascii="宋体" w:hAnsi="宋体" w:cs="宋体"/>
                <w:kern w:val="0"/>
                <w:sz w:val="22"/>
              </w:rPr>
              <w:t>4.失真度：0.5%</w:t>
            </w:r>
            <w:r>
              <w:rPr>
                <w:rFonts w:hint="eastAsia" w:ascii="宋体" w:hAnsi="宋体" w:cs="宋体"/>
                <w:kern w:val="0"/>
                <w:sz w:val="22"/>
              </w:rPr>
              <w:br w:type="textWrapping"/>
            </w:r>
            <w:r>
              <w:rPr>
                <w:rFonts w:hint="eastAsia" w:ascii="宋体" w:hAnsi="宋体" w:cs="宋体"/>
                <w:kern w:val="0"/>
                <w:sz w:val="22"/>
              </w:rPr>
              <w:t>5.信噪比（话筒关闭、音调平直）：80dB</w:t>
            </w:r>
            <w:r>
              <w:rPr>
                <w:rFonts w:hint="eastAsia" w:ascii="宋体" w:hAnsi="宋体" w:cs="宋体"/>
                <w:kern w:val="0"/>
                <w:sz w:val="22"/>
              </w:rPr>
              <w:br w:type="textWrapping"/>
            </w:r>
            <w:r>
              <w:rPr>
                <w:rFonts w:hint="eastAsia" w:ascii="宋体" w:hAnsi="宋体" w:cs="宋体"/>
                <w:kern w:val="0"/>
                <w:sz w:val="22"/>
              </w:rPr>
              <w:t>6.额定电源电压：交流220V /50Hz</w:t>
            </w:r>
          </w:p>
        </w:tc>
      </w:tr>
      <w:tr w14:paraId="1FAD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CD3C6C9">
            <w:pPr>
              <w:widowControl/>
              <w:jc w:val="center"/>
              <w:rPr>
                <w:rFonts w:ascii="宋体" w:hAnsi="宋体" w:cs="宋体"/>
                <w:kern w:val="0"/>
                <w:sz w:val="22"/>
              </w:rPr>
            </w:pPr>
            <w:r>
              <w:rPr>
                <w:rFonts w:hint="eastAsia" w:ascii="宋体" w:hAnsi="宋体" w:cs="宋体"/>
                <w:kern w:val="0"/>
                <w:sz w:val="22"/>
              </w:rPr>
              <w:t>音箱</w:t>
            </w:r>
          </w:p>
        </w:tc>
        <w:tc>
          <w:tcPr>
            <w:tcW w:w="7654" w:type="dxa"/>
            <w:tcBorders>
              <w:tl2br w:val="nil"/>
              <w:tr2bl w:val="nil"/>
            </w:tcBorders>
            <w:shd w:val="clear" w:color="000000" w:fill="FFFFFF"/>
            <w:vAlign w:val="center"/>
          </w:tcPr>
          <w:p w14:paraId="497639B2">
            <w:pPr>
              <w:widowControl/>
              <w:jc w:val="left"/>
              <w:rPr>
                <w:rFonts w:ascii="宋体" w:hAnsi="宋体" w:cs="宋体"/>
                <w:kern w:val="0"/>
                <w:sz w:val="22"/>
              </w:rPr>
            </w:pPr>
            <w:r>
              <w:rPr>
                <w:rFonts w:hint="eastAsia" w:ascii="宋体" w:hAnsi="宋体" w:cs="宋体"/>
                <w:kern w:val="0"/>
                <w:sz w:val="22"/>
              </w:rPr>
              <w:t>1.额定/峰值功率：60W/120W</w:t>
            </w:r>
            <w:r>
              <w:rPr>
                <w:rFonts w:hint="eastAsia" w:ascii="宋体" w:hAnsi="宋体" w:cs="宋体"/>
                <w:kern w:val="0"/>
                <w:sz w:val="22"/>
              </w:rPr>
              <w:br w:type="textWrapping"/>
            </w:r>
            <w:r>
              <w:rPr>
                <w:rFonts w:hint="eastAsia" w:ascii="宋体" w:hAnsi="宋体" w:cs="宋体"/>
                <w:kern w:val="0"/>
                <w:sz w:val="22"/>
              </w:rPr>
              <w:t>2.额定阻抗：8Ω</w:t>
            </w:r>
            <w:r>
              <w:rPr>
                <w:rFonts w:hint="eastAsia" w:ascii="宋体" w:hAnsi="宋体" w:cs="宋体"/>
                <w:kern w:val="0"/>
                <w:sz w:val="22"/>
              </w:rPr>
              <w:br w:type="textWrapping"/>
            </w:r>
            <w:r>
              <w:rPr>
                <w:rFonts w:hint="eastAsia" w:ascii="宋体" w:hAnsi="宋体" w:cs="宋体"/>
                <w:kern w:val="0"/>
                <w:sz w:val="22"/>
              </w:rPr>
              <w:t>3.特性灵敏度：88dB /w/m</w:t>
            </w:r>
            <w:r>
              <w:rPr>
                <w:rFonts w:hint="eastAsia" w:ascii="宋体" w:hAnsi="宋体" w:cs="宋体"/>
                <w:kern w:val="0"/>
                <w:sz w:val="22"/>
              </w:rPr>
              <w:br w:type="textWrapping"/>
            </w:r>
            <w:r>
              <w:rPr>
                <w:rFonts w:hint="eastAsia" w:ascii="宋体" w:hAnsi="宋体" w:cs="宋体"/>
                <w:kern w:val="0"/>
                <w:sz w:val="22"/>
              </w:rPr>
              <w:t>4.输出声压级：113dB/W/m(Continues)， 120dB/W/m(Peak)</w:t>
            </w:r>
            <w:r>
              <w:rPr>
                <w:rFonts w:hint="eastAsia" w:ascii="宋体" w:hAnsi="宋体" w:cs="宋体"/>
                <w:kern w:val="0"/>
                <w:sz w:val="22"/>
              </w:rPr>
              <w:br w:type="textWrapping"/>
            </w:r>
            <w:r>
              <w:rPr>
                <w:rFonts w:hint="eastAsia" w:ascii="宋体" w:hAnsi="宋体" w:cs="宋体"/>
                <w:kern w:val="0"/>
                <w:sz w:val="22"/>
              </w:rPr>
              <w:t>5.额定频率范围（-3dB）：80Hz－18KHz</w:t>
            </w:r>
            <w:r>
              <w:rPr>
                <w:rFonts w:hint="eastAsia" w:ascii="宋体" w:hAnsi="宋体" w:cs="宋体"/>
                <w:kern w:val="0"/>
                <w:sz w:val="22"/>
              </w:rPr>
              <w:br w:type="textWrapping"/>
            </w:r>
            <w:r>
              <w:rPr>
                <w:rFonts w:hint="eastAsia" w:ascii="宋体" w:hAnsi="宋体" w:cs="宋体"/>
                <w:kern w:val="0"/>
                <w:sz w:val="22"/>
              </w:rPr>
              <w:t xml:space="preserve">6.辐射角度（H×V）：90°×50° </w:t>
            </w:r>
            <w:r>
              <w:rPr>
                <w:rFonts w:hint="eastAsia" w:ascii="宋体" w:hAnsi="宋体" w:cs="宋体"/>
                <w:kern w:val="0"/>
                <w:sz w:val="22"/>
              </w:rPr>
              <w:br w:type="textWrapping"/>
            </w:r>
            <w:r>
              <w:rPr>
                <w:rFonts w:hint="eastAsia" w:ascii="宋体" w:hAnsi="宋体" w:cs="宋体"/>
                <w:kern w:val="0"/>
                <w:sz w:val="22"/>
              </w:rPr>
              <w:t>7.扬声器单元：LF：6.5"×1，HF：2"×1</w:t>
            </w:r>
          </w:p>
        </w:tc>
      </w:tr>
      <w:tr w14:paraId="6205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15992B3B">
            <w:pPr>
              <w:widowControl/>
              <w:jc w:val="center"/>
              <w:rPr>
                <w:rFonts w:ascii="宋体" w:hAnsi="宋体" w:cs="宋体"/>
                <w:kern w:val="0"/>
                <w:sz w:val="22"/>
              </w:rPr>
            </w:pPr>
            <w:r>
              <w:rPr>
                <w:rFonts w:hint="eastAsia" w:ascii="宋体" w:hAnsi="宋体" w:cs="宋体"/>
                <w:kern w:val="0"/>
                <w:sz w:val="22"/>
              </w:rPr>
              <w:t>智能中控屏</w:t>
            </w:r>
          </w:p>
        </w:tc>
        <w:tc>
          <w:tcPr>
            <w:tcW w:w="7654" w:type="dxa"/>
            <w:tcBorders>
              <w:tl2br w:val="nil"/>
              <w:tr2bl w:val="nil"/>
            </w:tcBorders>
            <w:shd w:val="clear" w:color="000000" w:fill="FFFFFF"/>
            <w:vAlign w:val="center"/>
          </w:tcPr>
          <w:p w14:paraId="72F7E6EE">
            <w:pPr>
              <w:widowControl/>
              <w:jc w:val="left"/>
              <w:rPr>
                <w:rFonts w:ascii="宋体" w:hAnsi="宋体" w:cs="宋体"/>
                <w:kern w:val="0"/>
                <w:sz w:val="22"/>
              </w:rPr>
            </w:pPr>
            <w:r>
              <w:rPr>
                <w:rFonts w:hint="eastAsia" w:ascii="宋体" w:hAnsi="宋体" w:cs="宋体"/>
                <w:kern w:val="0"/>
                <w:sz w:val="22"/>
              </w:rPr>
              <w:t>1.整机采用≥8英寸液晶触控屏，支持≥10点触摸，可实现放大缩小图片等多点触摸功能；</w:t>
            </w:r>
          </w:p>
          <w:p w14:paraId="789E91A2">
            <w:pPr>
              <w:widowControl/>
              <w:jc w:val="left"/>
              <w:rPr>
                <w:rFonts w:ascii="宋体" w:hAnsi="宋体" w:cs="宋体"/>
                <w:kern w:val="0"/>
                <w:sz w:val="22"/>
              </w:rPr>
            </w:pPr>
            <w:r>
              <w:rPr>
                <w:rFonts w:hint="eastAsia" w:ascii="宋体" w:hAnsi="宋体" w:cs="宋体"/>
                <w:kern w:val="0"/>
                <w:sz w:val="22"/>
              </w:rPr>
              <w:t>2.支持≥2路USB接口、支持≥1路网络接口（需支持POE供电和网络通讯）；需支持有线网络连接及5GHZ无线网络，支持网络速度自适应；</w:t>
            </w:r>
          </w:p>
          <w:p w14:paraId="6BB37714">
            <w:pPr>
              <w:widowControl/>
              <w:jc w:val="left"/>
              <w:rPr>
                <w:rFonts w:ascii="宋体" w:hAnsi="宋体" w:cs="宋体"/>
                <w:kern w:val="0"/>
                <w:sz w:val="22"/>
              </w:rPr>
            </w:pPr>
            <w:r>
              <w:rPr>
                <w:rFonts w:hint="eastAsia" w:ascii="宋体" w:hAnsi="宋体" w:cs="宋体"/>
                <w:kern w:val="0"/>
                <w:sz w:val="22"/>
              </w:rPr>
              <w:t>3.控制终端支持对录播主机画面预览，具备≥3英寸图像显示界面，支持导播图像实时同步显示功能；</w:t>
            </w:r>
          </w:p>
          <w:p w14:paraId="7525818C">
            <w:pPr>
              <w:widowControl/>
              <w:jc w:val="left"/>
              <w:rPr>
                <w:rFonts w:ascii="宋体" w:hAnsi="宋体" w:cs="宋体"/>
                <w:kern w:val="0"/>
                <w:sz w:val="22"/>
              </w:rPr>
            </w:pPr>
            <w:r>
              <w:rPr>
                <w:rFonts w:hint="eastAsia" w:ascii="宋体" w:hAnsi="宋体" w:cs="宋体"/>
                <w:kern w:val="0"/>
                <w:sz w:val="22"/>
              </w:rPr>
              <w:t>4.控制终端支持对直录制进行开始录制、停止录制、暂停录制、通道切换等功能，支持通过控制终端在线预览课件，支持通过U盘拷贝课件；</w:t>
            </w:r>
          </w:p>
          <w:p w14:paraId="377C1BC0">
            <w:pPr>
              <w:widowControl/>
              <w:jc w:val="left"/>
              <w:rPr>
                <w:rFonts w:ascii="宋体" w:hAnsi="宋体" w:cs="宋体"/>
                <w:kern w:val="0"/>
                <w:sz w:val="22"/>
              </w:rPr>
            </w:pPr>
            <w:r>
              <w:rPr>
                <w:rFonts w:hint="eastAsia" w:ascii="宋体" w:hAnsi="宋体" w:cs="宋体"/>
                <w:kern w:val="0"/>
                <w:sz w:val="22"/>
              </w:rPr>
              <w:t>5.支持教师画面、学生画面、教学内容等导播通道画面的快速切换；</w:t>
            </w:r>
          </w:p>
          <w:p w14:paraId="53B98654">
            <w:pPr>
              <w:widowControl/>
              <w:jc w:val="left"/>
              <w:rPr>
                <w:rFonts w:ascii="宋体" w:hAnsi="宋体" w:cs="宋体"/>
                <w:kern w:val="0"/>
                <w:sz w:val="22"/>
              </w:rPr>
            </w:pPr>
            <w:r>
              <w:rPr>
                <w:rFonts w:hint="eastAsia" w:ascii="宋体" w:hAnsi="宋体" w:cs="宋体"/>
                <w:kern w:val="0"/>
                <w:sz w:val="22"/>
              </w:rPr>
              <w:t>6.支持视频会议、远程互动的发起、管控及关闭功能，控制终端可一键发起会议及进行互动管理；</w:t>
            </w:r>
          </w:p>
          <w:p w14:paraId="4643639C">
            <w:pPr>
              <w:widowControl/>
              <w:jc w:val="left"/>
              <w:rPr>
                <w:rFonts w:ascii="宋体" w:hAnsi="宋体" w:cs="宋体"/>
                <w:kern w:val="0"/>
                <w:sz w:val="22"/>
              </w:rPr>
            </w:pPr>
            <w:r>
              <w:rPr>
                <w:rFonts w:hint="eastAsia" w:ascii="宋体" w:hAnsi="宋体" w:cs="宋体"/>
                <w:kern w:val="0"/>
                <w:sz w:val="22"/>
              </w:rPr>
              <w:t>7.支持以一间教室为主讲教室，与多间远程听课教室互动，首次连接成功后无需重新设置教室信息；在创建互动课堂时，支持自定义课堂名称、多教室之间轮询时间、模式切换、互动类型等信息；</w:t>
            </w:r>
          </w:p>
          <w:p w14:paraId="5D1E24F9">
            <w:pPr>
              <w:widowControl/>
              <w:jc w:val="left"/>
              <w:rPr>
                <w:rFonts w:ascii="宋体" w:hAnsi="宋体" w:cs="宋体"/>
                <w:kern w:val="0"/>
                <w:sz w:val="22"/>
              </w:rPr>
            </w:pPr>
            <w:r>
              <w:rPr>
                <w:rFonts w:hint="eastAsia" w:ascii="宋体" w:hAnsi="宋体" w:cs="宋体"/>
                <w:kern w:val="0"/>
                <w:sz w:val="22"/>
              </w:rPr>
              <w:t>8.▲在互动过程中支持对听讲教室进行发言控制，支持允许对讲、允许发言两种互动功能，在允许对讲功能中，其他听讲教室自动切换到发言教室的画面；在允许发言的场景中，其他听讲教室仅能听到发言的声音；</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9.在互动过程中支持临时加入、删除互动教室，并支持延长互动时长；</w:t>
            </w:r>
          </w:p>
          <w:p w14:paraId="5FBCB152">
            <w:pPr>
              <w:widowControl/>
              <w:jc w:val="left"/>
              <w:rPr>
                <w:rFonts w:ascii="宋体" w:hAnsi="宋体" w:cs="宋体"/>
                <w:kern w:val="0"/>
                <w:sz w:val="22"/>
              </w:rPr>
            </w:pPr>
            <w:r>
              <w:rPr>
                <w:rFonts w:hint="eastAsia" w:ascii="宋体" w:hAnsi="宋体" w:cs="宋体"/>
                <w:kern w:val="0"/>
                <w:sz w:val="22"/>
              </w:rPr>
              <w:t>10.支持教学多媒体设备接入，配合录播主机可控制教室内投影、幕布、窗帘、灯光、电视等物联设备，可控制投影机、高拍仪等设备的开启与关闭；</w:t>
            </w:r>
          </w:p>
          <w:p w14:paraId="5D39E29B">
            <w:pPr>
              <w:widowControl/>
              <w:jc w:val="left"/>
              <w:rPr>
                <w:rFonts w:ascii="宋体" w:hAnsi="宋体" w:cs="宋体"/>
                <w:kern w:val="0"/>
                <w:sz w:val="22"/>
              </w:rPr>
            </w:pPr>
            <w:r>
              <w:rPr>
                <w:rFonts w:hint="eastAsia" w:ascii="宋体" w:hAnsi="宋体" w:cs="宋体"/>
                <w:kern w:val="0"/>
                <w:sz w:val="22"/>
              </w:rPr>
              <w:t>11.▲支持物联配置功能，可自定义新建命令按键、按键名称、桌面背景图片；支持自定义组合键，实现一键开始和一键关闭功能；控制界面可编程，按钮样式、位置、名称均可自定义；</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12.支持微信扫描功能，通过微信扫码可自动将录制课件与老师信息关联上传到平台；</w:t>
            </w:r>
          </w:p>
          <w:p w14:paraId="131DF246">
            <w:pPr>
              <w:widowControl/>
              <w:jc w:val="left"/>
              <w:rPr>
                <w:rFonts w:ascii="宋体" w:hAnsi="宋体" w:cs="宋体"/>
                <w:kern w:val="0"/>
                <w:sz w:val="22"/>
              </w:rPr>
            </w:pPr>
            <w:r>
              <w:rPr>
                <w:rFonts w:hint="eastAsia" w:ascii="宋体" w:hAnsi="宋体" w:cs="宋体"/>
                <w:kern w:val="0"/>
                <w:sz w:val="22"/>
              </w:rPr>
              <w:t>13.升级功能：支持本地升级、在线升级以及远程升级，便于系统维护；</w:t>
            </w:r>
          </w:p>
          <w:p w14:paraId="7622B89F">
            <w:pPr>
              <w:widowControl/>
              <w:jc w:val="left"/>
              <w:rPr>
                <w:rFonts w:ascii="宋体" w:hAnsi="宋体" w:cs="宋体"/>
                <w:kern w:val="0"/>
                <w:sz w:val="22"/>
              </w:rPr>
            </w:pPr>
            <w:r>
              <w:rPr>
                <w:rFonts w:hint="eastAsia" w:ascii="宋体" w:hAnsi="宋体" w:cs="宋体"/>
                <w:kern w:val="0"/>
                <w:sz w:val="22"/>
              </w:rPr>
              <w:t>14.协议支持：发送命令协议支持RS232串口协议、TCP协议、UDP协议。</w:t>
            </w:r>
          </w:p>
        </w:tc>
      </w:tr>
      <w:tr w14:paraId="7835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4A9F480">
            <w:pPr>
              <w:widowControl/>
              <w:jc w:val="center"/>
              <w:rPr>
                <w:rFonts w:ascii="宋体" w:hAnsi="宋体" w:cs="宋体"/>
                <w:kern w:val="0"/>
                <w:sz w:val="22"/>
              </w:rPr>
            </w:pPr>
            <w:r>
              <w:rPr>
                <w:rFonts w:hint="eastAsia" w:ascii="宋体" w:hAnsi="宋体" w:cs="宋体"/>
                <w:kern w:val="0"/>
                <w:sz w:val="22"/>
              </w:rPr>
              <w:t>导播键盘</w:t>
            </w:r>
          </w:p>
        </w:tc>
        <w:tc>
          <w:tcPr>
            <w:tcW w:w="7654" w:type="dxa"/>
            <w:tcBorders>
              <w:tl2br w:val="nil"/>
              <w:tr2bl w:val="nil"/>
            </w:tcBorders>
            <w:shd w:val="clear" w:color="000000" w:fill="FFFFFF"/>
            <w:vAlign w:val="center"/>
          </w:tcPr>
          <w:p w14:paraId="62551BEF">
            <w:pPr>
              <w:widowControl/>
              <w:jc w:val="left"/>
              <w:rPr>
                <w:rFonts w:ascii="宋体" w:hAnsi="宋体" w:cs="宋体"/>
                <w:kern w:val="0"/>
                <w:sz w:val="22"/>
              </w:rPr>
            </w:pPr>
            <w:r>
              <w:rPr>
                <w:rFonts w:hint="eastAsia" w:ascii="宋体" w:hAnsi="宋体" w:cs="宋体"/>
                <w:kern w:val="0"/>
                <w:sz w:val="22"/>
              </w:rPr>
              <w:t>1.需支持控制接口：≥1路RS232</w:t>
            </w:r>
            <w:r>
              <w:rPr>
                <w:rFonts w:hint="eastAsia" w:ascii="宋体" w:hAnsi="宋体" w:cs="宋体"/>
                <w:kern w:val="0"/>
                <w:sz w:val="22"/>
              </w:rPr>
              <w:br w:type="textWrapping"/>
            </w:r>
            <w:r>
              <w:rPr>
                <w:rFonts w:hint="eastAsia" w:ascii="宋体" w:hAnsi="宋体" w:cs="宋体"/>
                <w:kern w:val="0"/>
                <w:sz w:val="22"/>
              </w:rPr>
              <w:t>2.需支持≥8路主播通道功能，支持≥8路备播通道功能；</w:t>
            </w:r>
            <w:r>
              <w:rPr>
                <w:rFonts w:hint="eastAsia" w:ascii="宋体" w:hAnsi="宋体" w:cs="宋体"/>
                <w:kern w:val="0"/>
                <w:sz w:val="22"/>
              </w:rPr>
              <w:br w:type="textWrapping"/>
            </w:r>
            <w:r>
              <w:rPr>
                <w:rFonts w:hint="eastAsia" w:ascii="宋体" w:hAnsi="宋体" w:cs="宋体"/>
                <w:kern w:val="0"/>
                <w:sz w:val="22"/>
              </w:rPr>
              <w:t>3.需支持≥8种转场特效无缝切换；</w:t>
            </w:r>
            <w:r>
              <w:rPr>
                <w:rFonts w:hint="eastAsia" w:ascii="宋体" w:hAnsi="宋体" w:cs="宋体"/>
                <w:kern w:val="0"/>
                <w:sz w:val="22"/>
              </w:rPr>
              <w:br w:type="textWrapping"/>
            </w:r>
            <w:r>
              <w:rPr>
                <w:rFonts w:hint="eastAsia" w:ascii="宋体" w:hAnsi="宋体" w:cs="宋体"/>
                <w:kern w:val="0"/>
                <w:sz w:val="22"/>
              </w:rPr>
              <w:t>4.需支持≥5种视频模板叠加切换功能；</w:t>
            </w:r>
            <w:r>
              <w:rPr>
                <w:rFonts w:hint="eastAsia" w:ascii="宋体" w:hAnsi="宋体" w:cs="宋体"/>
                <w:kern w:val="0"/>
                <w:sz w:val="22"/>
              </w:rPr>
              <w:br w:type="textWrapping"/>
            </w:r>
            <w:r>
              <w:rPr>
                <w:rFonts w:hint="eastAsia" w:ascii="宋体" w:hAnsi="宋体" w:cs="宋体"/>
                <w:kern w:val="0"/>
                <w:sz w:val="22"/>
              </w:rPr>
              <w:t>5.需支持≥9个摄像机预置位设置和调用；</w:t>
            </w:r>
            <w:r>
              <w:rPr>
                <w:rFonts w:hint="eastAsia" w:ascii="宋体" w:hAnsi="宋体" w:cs="宋体"/>
                <w:kern w:val="0"/>
                <w:sz w:val="22"/>
              </w:rPr>
              <w:br w:type="textWrapping"/>
            </w:r>
            <w:r>
              <w:rPr>
                <w:rFonts w:hint="eastAsia" w:ascii="宋体" w:hAnsi="宋体" w:cs="宋体"/>
                <w:kern w:val="0"/>
                <w:sz w:val="22"/>
              </w:rPr>
              <w:t>6.支持1个四维控制摇杆，人体工程学设计，手感舒适；</w:t>
            </w:r>
            <w:r>
              <w:rPr>
                <w:rFonts w:hint="eastAsia" w:ascii="宋体" w:hAnsi="宋体" w:cs="宋体"/>
                <w:kern w:val="0"/>
                <w:sz w:val="22"/>
              </w:rPr>
              <w:br w:type="textWrapping"/>
            </w:r>
            <w:r>
              <w:rPr>
                <w:rFonts w:hint="eastAsia" w:ascii="宋体" w:hAnsi="宋体" w:cs="宋体"/>
                <w:kern w:val="0"/>
                <w:sz w:val="22"/>
              </w:rPr>
              <w:t>7.需支持≥2英寸高亮度 OLED 屏幕显示，按键需支持自动背光；</w:t>
            </w:r>
          </w:p>
        </w:tc>
      </w:tr>
      <w:tr w14:paraId="592A3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D58CA93">
            <w:pPr>
              <w:widowControl/>
              <w:jc w:val="center"/>
              <w:rPr>
                <w:rFonts w:ascii="宋体" w:hAnsi="宋体" w:cs="宋体"/>
                <w:kern w:val="0"/>
                <w:sz w:val="22"/>
              </w:rPr>
            </w:pPr>
            <w:r>
              <w:rPr>
                <w:rFonts w:hint="eastAsia" w:ascii="宋体" w:hAnsi="宋体" w:cs="宋体"/>
                <w:kern w:val="0"/>
                <w:sz w:val="22"/>
              </w:rPr>
              <w:t>时序电源控制器</w:t>
            </w:r>
          </w:p>
        </w:tc>
        <w:tc>
          <w:tcPr>
            <w:tcW w:w="7654" w:type="dxa"/>
            <w:tcBorders>
              <w:tl2br w:val="nil"/>
              <w:tr2bl w:val="nil"/>
            </w:tcBorders>
            <w:shd w:val="clear" w:color="000000" w:fill="FFFFFF"/>
            <w:vAlign w:val="center"/>
          </w:tcPr>
          <w:p w14:paraId="3B52EF26">
            <w:pPr>
              <w:widowControl/>
              <w:jc w:val="left"/>
              <w:rPr>
                <w:rFonts w:ascii="宋体" w:hAnsi="宋体" w:cs="宋体"/>
                <w:kern w:val="0"/>
                <w:sz w:val="22"/>
              </w:rPr>
            </w:pPr>
            <w:r>
              <w:rPr>
                <w:rFonts w:hint="eastAsia" w:ascii="宋体" w:hAnsi="宋体" w:cs="宋体"/>
                <w:kern w:val="0"/>
                <w:sz w:val="22"/>
              </w:rPr>
              <w:t>1.支持≥2英寸彩色液晶智能显示窗，支持实时显示当前电压、日期时间，通道开关状态；</w:t>
            </w:r>
            <w:r>
              <w:rPr>
                <w:rFonts w:hint="eastAsia" w:ascii="宋体" w:hAnsi="宋体" w:cs="宋体"/>
                <w:kern w:val="0"/>
                <w:sz w:val="22"/>
              </w:rPr>
              <w:br w:type="textWrapping"/>
            </w:r>
            <w:r>
              <w:rPr>
                <w:rFonts w:hint="eastAsia" w:ascii="宋体" w:hAnsi="宋体" w:cs="宋体"/>
                <w:kern w:val="0"/>
                <w:sz w:val="22"/>
              </w:rPr>
              <w:t>2.支持定时开关机功能，支持内置时钟芯片，可根据日期时间设定，无需人为操作；</w:t>
            </w:r>
            <w:r>
              <w:rPr>
                <w:rFonts w:hint="eastAsia" w:ascii="宋体" w:hAnsi="宋体" w:cs="宋体"/>
                <w:kern w:val="0"/>
                <w:sz w:val="22"/>
              </w:rPr>
              <w:br w:type="textWrapping"/>
            </w:r>
            <w:r>
              <w:rPr>
                <w:rFonts w:hint="eastAsia" w:ascii="宋体" w:hAnsi="宋体" w:cs="宋体"/>
                <w:kern w:val="0"/>
                <w:sz w:val="22"/>
              </w:rPr>
              <w:t>3.支持≥6路通道输出，每路可一键单独开启或关闭；</w:t>
            </w:r>
            <w:r>
              <w:rPr>
                <w:rFonts w:hint="eastAsia" w:ascii="宋体" w:hAnsi="宋体" w:cs="宋体"/>
                <w:kern w:val="0"/>
                <w:sz w:val="22"/>
              </w:rPr>
              <w:br w:type="textWrapping"/>
            </w:r>
            <w:r>
              <w:rPr>
                <w:rFonts w:hint="eastAsia" w:ascii="宋体" w:hAnsi="宋体" w:cs="宋体"/>
                <w:kern w:val="0"/>
                <w:sz w:val="22"/>
              </w:rPr>
              <w:t>4.支持每路延时开启和关闭时间可自由设置；</w:t>
            </w:r>
            <w:r>
              <w:rPr>
                <w:rFonts w:hint="eastAsia" w:ascii="宋体" w:hAnsi="宋体" w:cs="宋体"/>
                <w:kern w:val="0"/>
                <w:sz w:val="22"/>
              </w:rPr>
              <w:br w:type="textWrapping"/>
            </w:r>
            <w:r>
              <w:rPr>
                <w:rFonts w:hint="eastAsia" w:ascii="宋体" w:hAnsi="宋体" w:cs="宋体"/>
                <w:kern w:val="0"/>
                <w:sz w:val="22"/>
              </w:rPr>
              <w:t>5.支持≥9组以上设备开关场景数据保存/调用；</w:t>
            </w:r>
            <w:r>
              <w:rPr>
                <w:rFonts w:hint="eastAsia" w:ascii="宋体" w:hAnsi="宋体" w:cs="宋体"/>
                <w:kern w:val="0"/>
                <w:sz w:val="22"/>
              </w:rPr>
              <w:br w:type="textWrapping"/>
            </w:r>
            <w:r>
              <w:rPr>
                <w:rFonts w:hint="eastAsia" w:ascii="宋体" w:hAnsi="宋体" w:cs="宋体"/>
                <w:kern w:val="0"/>
                <w:sz w:val="22"/>
              </w:rPr>
              <w:t>6.支持特设欠压、超压检测及报警功能，总功率6000W，单路功率2000W；</w:t>
            </w:r>
            <w:r>
              <w:rPr>
                <w:rFonts w:hint="eastAsia" w:ascii="宋体" w:hAnsi="宋体" w:cs="宋体"/>
                <w:kern w:val="0"/>
                <w:sz w:val="22"/>
              </w:rPr>
              <w:br w:type="textWrapping"/>
            </w:r>
            <w:r>
              <w:rPr>
                <w:rFonts w:hint="eastAsia" w:ascii="宋体" w:hAnsi="宋体" w:cs="宋体"/>
                <w:kern w:val="0"/>
                <w:sz w:val="22"/>
              </w:rPr>
              <w:t>7.支持多台设备级联控制，级联状态可自动检测及设置；</w:t>
            </w:r>
            <w:r>
              <w:rPr>
                <w:rFonts w:hint="eastAsia" w:ascii="宋体" w:hAnsi="宋体" w:cs="宋体"/>
                <w:kern w:val="0"/>
                <w:sz w:val="22"/>
              </w:rPr>
              <w:br w:type="textWrapping"/>
            </w:r>
            <w:r>
              <w:rPr>
                <w:rFonts w:hint="eastAsia" w:ascii="宋体" w:hAnsi="宋体" w:cs="宋体"/>
                <w:kern w:val="0"/>
                <w:sz w:val="22"/>
              </w:rPr>
              <w:t>8.支持RS232接口，支持外部中央控制设备控制；</w:t>
            </w:r>
            <w:r>
              <w:rPr>
                <w:rFonts w:hint="eastAsia" w:ascii="宋体" w:hAnsi="宋体" w:cs="宋体"/>
                <w:kern w:val="0"/>
                <w:sz w:val="22"/>
              </w:rPr>
              <w:br w:type="textWrapping"/>
            </w:r>
            <w:r>
              <w:rPr>
                <w:rFonts w:hint="eastAsia" w:ascii="宋体" w:hAnsi="宋体" w:cs="宋体"/>
                <w:kern w:val="0"/>
                <w:sz w:val="22"/>
              </w:rPr>
              <w:t>9.支持实现远程集中控制；</w:t>
            </w:r>
            <w:r>
              <w:rPr>
                <w:rFonts w:hint="eastAsia" w:ascii="宋体" w:hAnsi="宋体" w:cs="宋体"/>
                <w:kern w:val="0"/>
                <w:sz w:val="22"/>
              </w:rPr>
              <w:br w:type="textWrapping"/>
            </w:r>
            <w:r>
              <w:rPr>
                <w:rFonts w:hint="eastAsia" w:ascii="宋体" w:hAnsi="宋体" w:cs="宋体"/>
                <w:kern w:val="0"/>
                <w:sz w:val="22"/>
              </w:rPr>
              <w:t>10.支持面板Lock锁定功能，防止人为误操作；</w:t>
            </w:r>
            <w:r>
              <w:rPr>
                <w:rFonts w:hint="eastAsia" w:ascii="宋体" w:hAnsi="宋体" w:cs="宋体"/>
                <w:kern w:val="0"/>
                <w:sz w:val="22"/>
              </w:rPr>
              <w:br w:type="textWrapping"/>
            </w:r>
            <w:r>
              <w:rPr>
                <w:rFonts w:hint="eastAsia" w:ascii="宋体" w:hAnsi="宋体" w:cs="宋体"/>
                <w:kern w:val="0"/>
                <w:sz w:val="22"/>
              </w:rPr>
              <w:t>11.每路动作延时时间：0-999s；</w:t>
            </w:r>
            <w:r>
              <w:rPr>
                <w:rFonts w:hint="eastAsia" w:ascii="宋体" w:hAnsi="宋体" w:cs="宋体"/>
                <w:kern w:val="0"/>
                <w:sz w:val="22"/>
              </w:rPr>
              <w:br w:type="textWrapping"/>
            </w:r>
            <w:r>
              <w:rPr>
                <w:rFonts w:hint="eastAsia" w:ascii="宋体" w:hAnsi="宋体" w:cs="宋体"/>
                <w:kern w:val="0"/>
                <w:sz w:val="22"/>
              </w:rPr>
              <w:t>12.电源输出接口：支持≥6路多功能插座；</w:t>
            </w:r>
            <w:r>
              <w:rPr>
                <w:rFonts w:hint="eastAsia" w:ascii="宋体" w:hAnsi="宋体" w:cs="宋体"/>
                <w:kern w:val="0"/>
                <w:sz w:val="22"/>
              </w:rPr>
              <w:br w:type="textWrapping"/>
            </w:r>
            <w:r>
              <w:rPr>
                <w:rFonts w:hint="eastAsia" w:ascii="宋体" w:hAnsi="宋体" w:cs="宋体"/>
                <w:kern w:val="0"/>
                <w:sz w:val="22"/>
              </w:rPr>
              <w:t>13.支持单路额定输出电流：15A；</w:t>
            </w:r>
            <w:r>
              <w:rPr>
                <w:rFonts w:hint="eastAsia" w:ascii="宋体" w:hAnsi="宋体" w:cs="宋体"/>
                <w:kern w:val="0"/>
                <w:sz w:val="22"/>
              </w:rPr>
              <w:br w:type="textWrapping"/>
            </w:r>
            <w:r>
              <w:rPr>
                <w:rFonts w:hint="eastAsia" w:ascii="宋体" w:hAnsi="宋体" w:cs="宋体"/>
                <w:kern w:val="0"/>
                <w:sz w:val="22"/>
              </w:rPr>
              <w:t>14.支持额定总输出电流：30A；</w:t>
            </w:r>
            <w:r>
              <w:rPr>
                <w:rFonts w:hint="eastAsia" w:ascii="宋体" w:hAnsi="宋体" w:cs="宋体"/>
                <w:kern w:val="0"/>
                <w:sz w:val="22"/>
              </w:rPr>
              <w:br w:type="textWrapping"/>
            </w:r>
            <w:r>
              <w:rPr>
                <w:rFonts w:hint="eastAsia" w:ascii="宋体" w:hAnsi="宋体" w:cs="宋体"/>
                <w:kern w:val="0"/>
                <w:sz w:val="22"/>
              </w:rPr>
              <w:t>15.控制输入：支持≥1路RS232串口；</w:t>
            </w:r>
          </w:p>
        </w:tc>
      </w:tr>
      <w:tr w14:paraId="62DC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865CE59">
            <w:pPr>
              <w:widowControl/>
              <w:jc w:val="center"/>
              <w:rPr>
                <w:rFonts w:ascii="宋体" w:hAnsi="宋体" w:cs="宋体"/>
                <w:kern w:val="0"/>
                <w:sz w:val="22"/>
              </w:rPr>
            </w:pPr>
            <w:r>
              <w:rPr>
                <w:rFonts w:hint="eastAsia" w:ascii="宋体" w:hAnsi="宋体" w:cs="宋体"/>
                <w:kern w:val="0"/>
                <w:sz w:val="22"/>
              </w:rPr>
              <w:t>资源管理平台应用系统</w:t>
            </w:r>
          </w:p>
        </w:tc>
        <w:tc>
          <w:tcPr>
            <w:tcW w:w="7654" w:type="dxa"/>
            <w:tcBorders>
              <w:tl2br w:val="nil"/>
              <w:tr2bl w:val="nil"/>
            </w:tcBorders>
            <w:shd w:val="clear" w:color="000000" w:fill="FFFFFF"/>
            <w:vAlign w:val="center"/>
          </w:tcPr>
          <w:p w14:paraId="15845202">
            <w:pPr>
              <w:widowControl/>
              <w:numPr>
                <w:ilvl w:val="0"/>
                <w:numId w:val="4"/>
              </w:numPr>
              <w:jc w:val="left"/>
              <w:rPr>
                <w:rFonts w:ascii="宋体" w:hAnsi="宋体"/>
                <w:b/>
                <w:bCs/>
                <w:kern w:val="0"/>
                <w:sz w:val="22"/>
              </w:rPr>
            </w:pPr>
            <w:r>
              <w:rPr>
                <w:rFonts w:hint="eastAsia" w:ascii="宋体" w:hAnsi="宋体"/>
                <w:kern w:val="0"/>
                <w:sz w:val="22"/>
              </w:rPr>
              <w:t>直录播资源管理</w:t>
            </w:r>
            <w:r>
              <w:rPr>
                <w:rFonts w:hint="eastAsia" w:ascii="宋体" w:hAnsi="宋体"/>
                <w:kern w:val="0"/>
                <w:sz w:val="22"/>
              </w:rPr>
              <w:br w:type="textWrapping"/>
            </w:r>
            <w:r>
              <w:rPr>
                <w:rFonts w:hint="eastAsia" w:ascii="宋体" w:hAnsi="宋体"/>
                <w:kern w:val="0"/>
                <w:sz w:val="22"/>
              </w:rPr>
              <w:t>1.支持通过公众号提醒或短信提醒等方式向教师推送上课通知；</w:t>
            </w:r>
            <w:r>
              <w:rPr>
                <w:rFonts w:hint="eastAsia" w:ascii="宋体" w:hAnsi="宋体"/>
                <w:kern w:val="0"/>
                <w:sz w:val="22"/>
              </w:rPr>
              <w:br w:type="textWrapping"/>
            </w:r>
            <w:r>
              <w:rPr>
                <w:rFonts w:hint="eastAsia" w:ascii="宋体" w:hAnsi="宋体"/>
                <w:kern w:val="0"/>
                <w:sz w:val="22"/>
              </w:rPr>
              <w:t xml:space="preserve">2.支持按照学科、学期进行录播课程分类；支持按照时间、主讲教师、课程标题等进行资源查看； </w:t>
            </w:r>
            <w:r>
              <w:rPr>
                <w:rFonts w:hint="eastAsia" w:ascii="宋体" w:hAnsi="宋体"/>
                <w:kern w:val="0"/>
                <w:sz w:val="22"/>
              </w:rPr>
              <w:br w:type="textWrapping"/>
            </w:r>
            <w:r>
              <w:rPr>
                <w:rFonts w:hint="eastAsia" w:ascii="宋体" w:hAnsi="宋体"/>
                <w:kern w:val="0"/>
                <w:sz w:val="22"/>
              </w:rPr>
              <w:t xml:space="preserve">3.支持根据个人需求，灵活定制课程录制策略，支持是否开启录制、录制画面选择，视频评论是否开启，支持课程加密； </w:t>
            </w:r>
            <w:r>
              <w:rPr>
                <w:rFonts w:hint="eastAsia" w:ascii="宋体" w:hAnsi="宋体"/>
                <w:kern w:val="0"/>
                <w:sz w:val="22"/>
              </w:rPr>
              <w:br w:type="textWrapping"/>
            </w:r>
            <w:r>
              <w:rPr>
                <w:rFonts w:hint="eastAsia" w:ascii="宋体" w:hAnsi="宋体"/>
                <w:kern w:val="0"/>
                <w:sz w:val="22"/>
              </w:rPr>
              <w:t>4.支持查询直播课程，可以按照时间、标题查找直播课程进行观看；</w:t>
            </w:r>
            <w:r>
              <w:rPr>
                <w:rFonts w:hint="eastAsia" w:ascii="宋体" w:hAnsi="宋体"/>
                <w:kern w:val="0"/>
                <w:sz w:val="22"/>
              </w:rPr>
              <w:br w:type="textWrapping"/>
            </w:r>
            <w:r>
              <w:rPr>
                <w:rFonts w:hint="eastAsia" w:ascii="宋体" w:hAnsi="宋体"/>
                <w:kern w:val="0"/>
                <w:sz w:val="22"/>
              </w:rPr>
              <w:t xml:space="preserve">5.支持按照多种维度进行直播课程排序与筛选，如：正在直播、即将开始、直播回放、最热直播课、最新直播课等； </w:t>
            </w:r>
            <w:r>
              <w:rPr>
                <w:rFonts w:hint="eastAsia" w:ascii="宋体" w:hAnsi="宋体"/>
                <w:kern w:val="0"/>
                <w:sz w:val="22"/>
              </w:rPr>
              <w:br w:type="textWrapping"/>
            </w:r>
            <w:r>
              <w:rPr>
                <w:rFonts w:hint="eastAsia" w:ascii="宋体" w:hAnsi="宋体"/>
                <w:kern w:val="0"/>
                <w:sz w:val="22"/>
              </w:rPr>
              <w:t>6.支持通过二维码、QQ、微博或微信等多种方式一键分享；</w:t>
            </w:r>
            <w:r>
              <w:rPr>
                <w:rFonts w:hint="eastAsia" w:ascii="宋体" w:hAnsi="宋体"/>
                <w:kern w:val="0"/>
                <w:sz w:val="22"/>
              </w:rPr>
              <w:br w:type="textWrapping"/>
            </w:r>
            <w:r>
              <w:rPr>
                <w:rFonts w:hint="eastAsia" w:ascii="宋体" w:hAnsi="宋体"/>
                <w:kern w:val="0"/>
                <w:sz w:val="22"/>
              </w:rPr>
              <w:t>7.▲支持多路视频观看模式，可自由切换四分屏、三分屏、两分屏、单画面模式，可通过鼠标拖拽画面的方式自定义调整布局；</w:t>
            </w:r>
            <w:r>
              <w:rPr>
                <w:rFonts w:hint="eastAsia" w:ascii="宋体" w:hAnsi="宋体"/>
                <w:b/>
                <w:bCs/>
                <w:kern w:val="0"/>
                <w:sz w:val="22"/>
              </w:rPr>
              <w:t>（响应时提供权威机构检测报告扫描件佐证）</w:t>
            </w:r>
          </w:p>
          <w:p w14:paraId="0D45D660">
            <w:pPr>
              <w:widowControl/>
              <w:numPr>
                <w:ilvl w:val="0"/>
                <w:numId w:val="4"/>
              </w:numPr>
              <w:jc w:val="left"/>
              <w:rPr>
                <w:rFonts w:ascii="宋体" w:hAnsi="宋体"/>
                <w:b/>
                <w:bCs/>
                <w:kern w:val="0"/>
                <w:sz w:val="22"/>
              </w:rPr>
            </w:pPr>
            <w:r>
              <w:rPr>
                <w:rFonts w:hint="eastAsia" w:ascii="宋体" w:hAnsi="宋体"/>
                <w:kern w:val="0"/>
                <w:sz w:val="22"/>
              </w:rPr>
              <w:t>8.支持弹幕功能，支持观看人数的统计，支持在线签到、查看在线学生名单、在线答题等互动功能；</w:t>
            </w:r>
            <w:r>
              <w:rPr>
                <w:rFonts w:hint="eastAsia" w:ascii="宋体" w:hAnsi="宋体"/>
                <w:kern w:val="0"/>
                <w:sz w:val="22"/>
              </w:rPr>
              <w:br w:type="textWrapping"/>
            </w:r>
            <w:r>
              <w:rPr>
                <w:rFonts w:hint="eastAsia" w:ascii="宋体" w:hAnsi="宋体"/>
                <w:kern w:val="0"/>
                <w:sz w:val="22"/>
              </w:rPr>
              <w:t>9.支持设置直播课程观看密码；</w:t>
            </w:r>
            <w:r>
              <w:rPr>
                <w:rFonts w:hint="eastAsia" w:ascii="宋体" w:hAnsi="宋体"/>
                <w:kern w:val="0"/>
                <w:sz w:val="22"/>
              </w:rPr>
              <w:br w:type="textWrapping"/>
            </w:r>
            <w:r>
              <w:rPr>
                <w:rFonts w:hint="eastAsia" w:ascii="宋体" w:hAnsi="宋体"/>
                <w:kern w:val="0"/>
                <w:sz w:val="22"/>
              </w:rPr>
              <w:t>10.支持根据服务器承载能力或活动需求设定在线观看直播的最大人数；</w:t>
            </w:r>
            <w:r>
              <w:rPr>
                <w:rFonts w:hint="eastAsia" w:ascii="宋体" w:hAnsi="宋体"/>
                <w:kern w:val="0"/>
                <w:sz w:val="22"/>
              </w:rPr>
              <w:br w:type="textWrapping"/>
            </w:r>
            <w:r>
              <w:rPr>
                <w:rFonts w:hint="eastAsia" w:ascii="宋体" w:hAnsi="宋体"/>
                <w:kern w:val="0"/>
                <w:sz w:val="22"/>
              </w:rPr>
              <w:t>11.为提高资源的有效利用和检索便利性，支持按照教学资源的不同属性进行分类；</w:t>
            </w:r>
            <w:r>
              <w:rPr>
                <w:rFonts w:hint="eastAsia" w:ascii="宋体" w:hAnsi="宋体"/>
                <w:kern w:val="0"/>
                <w:sz w:val="22"/>
              </w:rPr>
              <w:br w:type="textWrapping"/>
            </w:r>
            <w:r>
              <w:rPr>
                <w:rFonts w:hint="eastAsia" w:ascii="宋体" w:hAnsi="宋体"/>
                <w:kern w:val="0"/>
                <w:sz w:val="22"/>
              </w:rPr>
              <w:t xml:space="preserve">12.支持对资源状态进行修改，如公开、不公开等； </w:t>
            </w:r>
            <w:r>
              <w:rPr>
                <w:rFonts w:hint="eastAsia" w:ascii="宋体" w:hAnsi="宋体"/>
                <w:kern w:val="0"/>
                <w:sz w:val="22"/>
              </w:rPr>
              <w:br w:type="textWrapping"/>
            </w:r>
            <w:r>
              <w:rPr>
                <w:rFonts w:hint="eastAsia" w:ascii="宋体" w:hAnsi="宋体"/>
                <w:kern w:val="0"/>
                <w:sz w:val="22"/>
              </w:rPr>
              <w:t xml:space="preserve">13.支持对视频资源进行处理和优化，可进行在线编辑制作，具有剪切、删除、合成、添加片头片尾等功能； </w:t>
            </w:r>
            <w:r>
              <w:rPr>
                <w:rFonts w:hint="eastAsia" w:ascii="宋体" w:hAnsi="宋体"/>
                <w:kern w:val="0"/>
                <w:sz w:val="22"/>
              </w:rPr>
              <w:br w:type="textWrapping"/>
            </w:r>
            <w:r>
              <w:rPr>
                <w:rFonts w:hint="eastAsia" w:ascii="宋体" w:hAnsi="宋体"/>
                <w:kern w:val="0"/>
                <w:sz w:val="22"/>
              </w:rPr>
              <w:t>14.支持上传标准格式教学文档，并支持关联对应的视频资源；</w:t>
            </w:r>
            <w:r>
              <w:rPr>
                <w:rFonts w:hint="eastAsia" w:ascii="宋体" w:hAnsi="宋体"/>
                <w:kern w:val="0"/>
                <w:sz w:val="22"/>
              </w:rPr>
              <w:br w:type="textWrapping"/>
            </w:r>
            <w:r>
              <w:rPr>
                <w:rFonts w:hint="eastAsia" w:ascii="宋体" w:hAnsi="宋体"/>
                <w:kern w:val="0"/>
                <w:sz w:val="22"/>
              </w:rPr>
              <w:t>15.支持上传本地视频、第三方视频的地址，支持自动提取视频地址中的资源；</w:t>
            </w:r>
            <w:r>
              <w:rPr>
                <w:rFonts w:hint="eastAsia" w:ascii="宋体" w:hAnsi="宋体"/>
                <w:kern w:val="0"/>
                <w:sz w:val="22"/>
              </w:rPr>
              <w:br w:type="textWrapping"/>
            </w:r>
            <w:r>
              <w:rPr>
                <w:rFonts w:hint="eastAsia" w:ascii="宋体" w:hAnsi="宋体"/>
                <w:kern w:val="0"/>
                <w:sz w:val="22"/>
              </w:rPr>
              <w:t>16.为确保资源在有限存储空间内高效保存，支持设置存储上限阈值，达到设定阈值后自动删除时间最早的视频资源，也可设置定期删除机制；</w:t>
            </w:r>
            <w:r>
              <w:rPr>
                <w:rFonts w:hint="eastAsia" w:ascii="宋体" w:hAnsi="宋体"/>
                <w:kern w:val="0"/>
                <w:sz w:val="22"/>
              </w:rPr>
              <w:br w:type="textWrapping"/>
            </w:r>
            <w:r>
              <w:rPr>
                <w:rFonts w:hint="eastAsia" w:ascii="宋体" w:hAnsi="宋体"/>
                <w:kern w:val="0"/>
                <w:sz w:val="22"/>
              </w:rPr>
              <w:t>二、平台管理</w:t>
            </w:r>
            <w:r>
              <w:rPr>
                <w:rFonts w:hint="eastAsia" w:ascii="宋体" w:hAnsi="宋体"/>
                <w:kern w:val="0"/>
                <w:sz w:val="22"/>
              </w:rPr>
              <w:br w:type="textWrapping"/>
            </w:r>
            <w:r>
              <w:rPr>
                <w:rFonts w:hint="eastAsia" w:ascii="宋体" w:hAnsi="宋体"/>
                <w:kern w:val="0"/>
                <w:sz w:val="22"/>
              </w:rPr>
              <w:t>1.角色管理：支持学校管理员创建角色，并为角色进行权限设定；包含功能操作权限和数据范围权限；支持查询角色下的用户列表；</w:t>
            </w:r>
            <w:r>
              <w:rPr>
                <w:rFonts w:hint="eastAsia" w:ascii="宋体" w:hAnsi="宋体"/>
                <w:kern w:val="0"/>
                <w:sz w:val="22"/>
              </w:rPr>
              <w:br w:type="textWrapping"/>
            </w:r>
            <w:r>
              <w:rPr>
                <w:rFonts w:hint="eastAsia" w:ascii="宋体" w:hAnsi="宋体"/>
                <w:kern w:val="0"/>
                <w:sz w:val="22"/>
              </w:rPr>
              <w:t>2.用户管理：支持修改用户角色，支持不同的权限；</w:t>
            </w:r>
            <w:r>
              <w:rPr>
                <w:rFonts w:hint="eastAsia" w:ascii="宋体" w:hAnsi="宋体"/>
                <w:kern w:val="0"/>
                <w:sz w:val="22"/>
              </w:rPr>
              <w:br w:type="textWrapping"/>
            </w:r>
            <w:r>
              <w:rPr>
                <w:rFonts w:hint="eastAsia" w:ascii="宋体" w:hAnsi="宋体"/>
                <w:kern w:val="0"/>
                <w:sz w:val="22"/>
              </w:rPr>
              <w:t>3.师生管理：支持对师生信息的管理维护，如基本信息、登录密码、所属班级、学科、组织结构等信息填写，支持通过Excel导入教师信息；</w:t>
            </w:r>
            <w:r>
              <w:rPr>
                <w:rFonts w:hint="eastAsia" w:ascii="宋体" w:hAnsi="宋体"/>
                <w:kern w:val="0"/>
                <w:sz w:val="22"/>
              </w:rPr>
              <w:br w:type="textWrapping"/>
            </w:r>
            <w:r>
              <w:rPr>
                <w:rFonts w:hint="eastAsia" w:ascii="宋体" w:hAnsi="宋体"/>
                <w:kern w:val="0"/>
                <w:sz w:val="22"/>
              </w:rPr>
              <w:t>4.教室管理：支持对教室信息的管理与维护，包含教室名称、所属教学楼及楼层等；支持教室信息的导入功能；</w:t>
            </w:r>
            <w:r>
              <w:rPr>
                <w:rFonts w:hint="eastAsia" w:ascii="宋体" w:hAnsi="宋体"/>
                <w:kern w:val="0"/>
                <w:sz w:val="22"/>
              </w:rPr>
              <w:br w:type="textWrapping"/>
            </w:r>
            <w:r>
              <w:rPr>
                <w:rFonts w:hint="eastAsia" w:ascii="宋体" w:hAnsi="宋体"/>
                <w:kern w:val="0"/>
                <w:sz w:val="22"/>
              </w:rPr>
              <w:t>5.班级管理：支持新建班级，包含班级所属年级以及班级的学生名单；</w:t>
            </w:r>
            <w:r>
              <w:rPr>
                <w:rFonts w:hint="eastAsia" w:ascii="宋体" w:hAnsi="宋体"/>
                <w:kern w:val="0"/>
                <w:sz w:val="22"/>
              </w:rPr>
              <w:br w:type="textWrapping"/>
            </w:r>
            <w:r>
              <w:rPr>
                <w:rFonts w:hint="eastAsia" w:ascii="宋体" w:hAnsi="宋体"/>
                <w:kern w:val="0"/>
                <w:sz w:val="22"/>
              </w:rPr>
              <w:t>6.组织机构管理：支持信息创建、修改、编辑、删除等操作；</w:t>
            </w:r>
            <w:r>
              <w:rPr>
                <w:rFonts w:hint="eastAsia" w:ascii="宋体" w:hAnsi="宋体"/>
                <w:kern w:val="0"/>
                <w:sz w:val="22"/>
              </w:rPr>
              <w:br w:type="textWrapping"/>
            </w:r>
            <w:r>
              <w:rPr>
                <w:rFonts w:hint="eastAsia" w:ascii="宋体" w:hAnsi="宋体"/>
                <w:kern w:val="0"/>
                <w:sz w:val="22"/>
              </w:rPr>
              <w:t>7.课程管理：支持课程的信息管理维护，包含填写课程名称、年级、课程属性、课程状态等；支持课程封面上传；支持填写课程简介；</w:t>
            </w:r>
            <w:r>
              <w:rPr>
                <w:rFonts w:hint="eastAsia" w:ascii="宋体" w:hAnsi="宋体"/>
                <w:kern w:val="0"/>
                <w:sz w:val="22"/>
              </w:rPr>
              <w:br w:type="textWrapping"/>
            </w:r>
            <w:r>
              <w:rPr>
                <w:rFonts w:hint="eastAsia" w:ascii="宋体" w:hAnsi="宋体"/>
                <w:kern w:val="0"/>
                <w:sz w:val="22"/>
              </w:rPr>
              <w:t>8.存储管理：视频资源储存地址信息，对存储的资源进行统一管理，实时查看存储空间剩余容量；</w:t>
            </w:r>
            <w:r>
              <w:rPr>
                <w:rFonts w:hint="eastAsia" w:ascii="宋体" w:hAnsi="宋体"/>
                <w:kern w:val="0"/>
                <w:sz w:val="22"/>
              </w:rPr>
              <w:br w:type="textWrapping"/>
            </w:r>
            <w:r>
              <w:rPr>
                <w:rFonts w:hint="eastAsia" w:ascii="宋体" w:hAnsi="宋体"/>
                <w:kern w:val="0"/>
                <w:sz w:val="22"/>
              </w:rPr>
              <w:t>9.评课管理：支持评课权限管理，支持教师评分类别管理；支持学生评分类别管理；</w:t>
            </w:r>
            <w:r>
              <w:rPr>
                <w:rFonts w:hint="eastAsia" w:ascii="宋体" w:hAnsi="宋体"/>
                <w:kern w:val="0"/>
                <w:sz w:val="22"/>
              </w:rPr>
              <w:br w:type="textWrapping"/>
            </w:r>
            <w:r>
              <w:rPr>
                <w:rFonts w:hint="eastAsia" w:ascii="宋体" w:hAnsi="宋体"/>
                <w:kern w:val="0"/>
                <w:sz w:val="22"/>
              </w:rPr>
              <w:t>10.公告管理：支持发布系统公告；创建公告类别，编写公告内容；</w:t>
            </w:r>
            <w:r>
              <w:rPr>
                <w:rFonts w:hint="eastAsia" w:ascii="宋体" w:hAnsi="宋体"/>
                <w:kern w:val="0"/>
                <w:sz w:val="22"/>
              </w:rPr>
              <w:br w:type="textWrapping"/>
            </w:r>
            <w:r>
              <w:rPr>
                <w:rFonts w:hint="eastAsia" w:ascii="宋体" w:hAnsi="宋体"/>
                <w:kern w:val="0"/>
                <w:sz w:val="22"/>
              </w:rPr>
              <w:t>11.存储管理：支持存储空间的新建与删除功能，支持将已有的存储服务器进行绑定，可设置存储服务器共享功能；</w:t>
            </w:r>
            <w:r>
              <w:rPr>
                <w:rFonts w:hint="eastAsia" w:ascii="宋体" w:hAnsi="宋体"/>
                <w:kern w:val="0"/>
                <w:sz w:val="22"/>
              </w:rPr>
              <w:br w:type="textWrapping"/>
            </w:r>
            <w:r>
              <w:rPr>
                <w:rFonts w:hint="eastAsia" w:ascii="宋体" w:hAnsi="宋体"/>
                <w:kern w:val="0"/>
                <w:sz w:val="22"/>
              </w:rPr>
              <w:t>三、个人空间</w:t>
            </w:r>
            <w:r>
              <w:rPr>
                <w:rFonts w:hint="eastAsia" w:ascii="宋体" w:hAnsi="宋体"/>
                <w:kern w:val="0"/>
                <w:sz w:val="22"/>
              </w:rPr>
              <w:br w:type="textWrapping"/>
            </w:r>
            <w:r>
              <w:rPr>
                <w:rFonts w:hint="eastAsia" w:ascii="宋体" w:hAnsi="宋体"/>
                <w:kern w:val="0"/>
                <w:sz w:val="22"/>
              </w:rPr>
              <w:t>1.支持教师个人主页功能，支持查看教师所在的学校、职称、简介、课程、所属班级学生信息等相关数据；</w:t>
            </w:r>
            <w:r>
              <w:rPr>
                <w:rFonts w:hint="eastAsia" w:ascii="宋体" w:hAnsi="宋体"/>
                <w:kern w:val="0"/>
                <w:sz w:val="22"/>
              </w:rPr>
              <w:br w:type="textWrapping"/>
            </w:r>
            <w:r>
              <w:rPr>
                <w:rFonts w:hint="eastAsia" w:ascii="宋体" w:hAnsi="宋体"/>
                <w:kern w:val="0"/>
                <w:sz w:val="22"/>
              </w:rPr>
              <w:t xml:space="preserve">2.支持查看每学期课程的详细报告，支持查看访问总人数、直录播课程建设、课程完成度统计，支持查看单个学科的师生出勤详情、行为分析数据与课程评价统计数据，并进行数据展示； </w:t>
            </w:r>
            <w:r>
              <w:rPr>
                <w:rFonts w:hint="eastAsia" w:ascii="宋体" w:hAnsi="宋体"/>
                <w:kern w:val="0"/>
                <w:sz w:val="22"/>
              </w:rPr>
              <w:br w:type="textWrapping"/>
            </w:r>
            <w:r>
              <w:rPr>
                <w:rFonts w:hint="eastAsia" w:ascii="宋体" w:hAnsi="宋体"/>
                <w:kern w:val="0"/>
                <w:sz w:val="22"/>
              </w:rPr>
              <w:t>3.支持查看本学期所有课表信息；</w:t>
            </w:r>
            <w:r>
              <w:rPr>
                <w:rFonts w:hint="eastAsia" w:ascii="宋体" w:hAnsi="宋体"/>
                <w:kern w:val="0"/>
                <w:sz w:val="22"/>
              </w:rPr>
              <w:br w:type="textWrapping"/>
            </w:r>
            <w:r>
              <w:rPr>
                <w:rFonts w:hint="eastAsia" w:ascii="宋体" w:hAnsi="宋体"/>
                <w:kern w:val="0"/>
                <w:sz w:val="22"/>
              </w:rPr>
              <w:t>4.支持查看班级学生名单，支持统计单个学生本学期的直录播观看时长、互动详情等信息；</w:t>
            </w:r>
            <w:r>
              <w:rPr>
                <w:rFonts w:hint="eastAsia" w:ascii="宋体" w:hAnsi="宋体"/>
                <w:kern w:val="0"/>
                <w:sz w:val="22"/>
              </w:rPr>
              <w:br w:type="textWrapping"/>
            </w:r>
            <w:r>
              <w:rPr>
                <w:rFonts w:hint="eastAsia" w:ascii="宋体" w:hAnsi="宋体"/>
                <w:kern w:val="0"/>
                <w:sz w:val="22"/>
              </w:rPr>
              <w:t>5.▲支持按照每学期、标题、课程、主讲等多种维度查看每个学生直录播课程的首次观看时间、最后观看时间、观看进度、总观看时长、观看次数等历史记录；</w:t>
            </w:r>
            <w:r>
              <w:rPr>
                <w:rFonts w:hint="eastAsia" w:ascii="宋体" w:hAnsi="宋体"/>
                <w:b/>
                <w:bCs/>
                <w:kern w:val="0"/>
                <w:sz w:val="22"/>
              </w:rPr>
              <w:t>（响应时提供功能界面截图佐证）</w:t>
            </w:r>
            <w:r>
              <w:rPr>
                <w:rFonts w:hint="eastAsia" w:ascii="宋体" w:hAnsi="宋体"/>
                <w:b/>
                <w:bCs/>
                <w:kern w:val="0"/>
                <w:sz w:val="22"/>
              </w:rPr>
              <w:br w:type="textWrapping"/>
            </w:r>
            <w:r>
              <w:rPr>
                <w:rFonts w:hint="eastAsia" w:ascii="宋体" w:hAnsi="宋体"/>
                <w:kern w:val="0"/>
                <w:sz w:val="22"/>
              </w:rPr>
              <w:t>四、数据统计</w:t>
            </w:r>
            <w:r>
              <w:rPr>
                <w:rFonts w:hint="eastAsia" w:ascii="宋体" w:hAnsi="宋体"/>
                <w:kern w:val="0"/>
                <w:sz w:val="22"/>
              </w:rPr>
              <w:br w:type="textWrapping"/>
            </w:r>
            <w:r>
              <w:rPr>
                <w:rFonts w:hint="eastAsia" w:ascii="宋体" w:hAnsi="宋体"/>
                <w:kern w:val="0"/>
                <w:sz w:val="22"/>
              </w:rPr>
              <w:t>1.直播点播统计：支持查看每个直播、点播观看详情、观看名单、状态时长、观看量等，并支持导出全部统计数据；</w:t>
            </w:r>
            <w:r>
              <w:rPr>
                <w:rFonts w:hint="eastAsia" w:ascii="宋体" w:hAnsi="宋体"/>
                <w:kern w:val="0"/>
                <w:sz w:val="22"/>
              </w:rPr>
              <w:br w:type="textWrapping"/>
            </w:r>
            <w:r>
              <w:rPr>
                <w:rFonts w:hint="eastAsia" w:ascii="宋体" w:hAnsi="宋体"/>
                <w:kern w:val="0"/>
                <w:sz w:val="22"/>
              </w:rPr>
              <w:t>2.平台访问统计：支持查看平台访问日志，访问账号、IP、时间等，并且可以导出全部统计数据；</w:t>
            </w:r>
            <w:r>
              <w:rPr>
                <w:rFonts w:hint="eastAsia" w:ascii="宋体" w:hAnsi="宋体"/>
                <w:kern w:val="0"/>
                <w:sz w:val="22"/>
              </w:rPr>
              <w:br w:type="textWrapping"/>
            </w:r>
            <w:r>
              <w:rPr>
                <w:rFonts w:hint="eastAsia" w:ascii="宋体" w:hAnsi="宋体"/>
                <w:kern w:val="0"/>
                <w:sz w:val="22"/>
              </w:rPr>
              <w:t>3.教室运行状态：支持显示教室的运行状态，支持查看每个教室的直录播时长；支持实时检测教师画面、学生画面、屏幕画面、全景画面的录制状态；</w:t>
            </w:r>
            <w:r>
              <w:rPr>
                <w:rFonts w:hint="eastAsia" w:ascii="宋体" w:hAnsi="宋体"/>
                <w:kern w:val="0"/>
                <w:sz w:val="22"/>
              </w:rPr>
              <w:br w:type="textWrapping"/>
            </w:r>
            <w:r>
              <w:rPr>
                <w:rFonts w:hint="eastAsia" w:ascii="宋体" w:hAnsi="宋体"/>
                <w:kern w:val="0"/>
                <w:sz w:val="22"/>
              </w:rPr>
              <w:t>4.▲平台访问统计：支持查看用户访问平台的具体数据，包括但不限于登录ID、姓名、IP地址、访问设备类型、每次访问的具体时间与时长等详细信息；所有数据支持以表格形式导出，方便进行进一步的数据分析、存档和报告制作；支持统计用户累计登录次数，以及当日登录次数的数据展示，帮助管理者了解用户活跃度及使用习惯；</w:t>
            </w:r>
            <w:r>
              <w:rPr>
                <w:rFonts w:hint="eastAsia" w:ascii="宋体" w:hAnsi="宋体"/>
                <w:b/>
                <w:bCs/>
                <w:kern w:val="0"/>
                <w:sz w:val="22"/>
              </w:rPr>
              <w:t xml:space="preserve"> （响应时提供功能界面截图佐证）</w:t>
            </w:r>
            <w:r>
              <w:rPr>
                <w:rFonts w:hint="eastAsia" w:ascii="宋体" w:hAnsi="宋体"/>
                <w:b/>
                <w:bCs/>
                <w:kern w:val="0"/>
                <w:sz w:val="22"/>
              </w:rPr>
              <w:br w:type="textWrapping"/>
            </w:r>
            <w:r>
              <w:rPr>
                <w:rFonts w:hint="eastAsia" w:ascii="宋体" w:hAnsi="宋体"/>
                <w:kern w:val="0"/>
                <w:sz w:val="22"/>
              </w:rPr>
              <w:t>5.巡课统计：支持查看教师的累次巡课次数、累计巡课时长、当日巡课次数、当日巡课时长、所用巡课终端等信息；支持查看单个教师的巡课日志；支持导出巡课记录；</w:t>
            </w:r>
            <w:r>
              <w:rPr>
                <w:rFonts w:hint="eastAsia" w:ascii="宋体" w:hAnsi="宋体"/>
                <w:kern w:val="0"/>
                <w:sz w:val="22"/>
              </w:rPr>
              <w:br w:type="textWrapping"/>
            </w:r>
            <w:r>
              <w:rPr>
                <w:rFonts w:hint="eastAsia" w:ascii="宋体" w:hAnsi="宋体"/>
                <w:kern w:val="0"/>
                <w:sz w:val="22"/>
              </w:rPr>
              <w:t>6.数据推送：为方便教师及时获取和管理教学数据，支持将各类教学数据通过邮箱、公众号等渠道周期性推送至教师，教师可以随时获取最新的教学数据，有效提升教学质量与效率；</w:t>
            </w:r>
            <w:r>
              <w:rPr>
                <w:rFonts w:hint="eastAsia" w:ascii="宋体" w:hAnsi="宋体"/>
                <w:kern w:val="0"/>
                <w:sz w:val="22"/>
              </w:rPr>
              <w:br w:type="textWrapping"/>
            </w:r>
            <w:r>
              <w:rPr>
                <w:rFonts w:hint="eastAsia" w:ascii="宋体" w:hAnsi="宋体"/>
                <w:kern w:val="0"/>
                <w:sz w:val="22"/>
              </w:rPr>
              <w:t>五、数字化数据统计</w:t>
            </w:r>
            <w:r>
              <w:rPr>
                <w:rFonts w:hint="eastAsia" w:ascii="宋体" w:hAnsi="宋体"/>
                <w:kern w:val="0"/>
                <w:sz w:val="22"/>
              </w:rPr>
              <w:br w:type="textWrapping"/>
            </w:r>
            <w:r>
              <w:rPr>
                <w:rFonts w:hint="eastAsia" w:ascii="宋体" w:hAnsi="宋体"/>
                <w:kern w:val="0"/>
                <w:sz w:val="22"/>
              </w:rPr>
              <w:t>1.考勤统计：支持以视图表的方式显示每节课师生考勤分析内容；</w:t>
            </w:r>
            <w:r>
              <w:rPr>
                <w:rFonts w:hint="eastAsia" w:ascii="宋体" w:hAnsi="宋体"/>
                <w:kern w:val="0"/>
                <w:sz w:val="22"/>
              </w:rPr>
              <w:br w:type="textWrapping"/>
            </w:r>
            <w:r>
              <w:rPr>
                <w:rFonts w:hint="eastAsia" w:ascii="宋体" w:hAnsi="宋体"/>
                <w:kern w:val="0"/>
                <w:sz w:val="22"/>
              </w:rPr>
              <w:t>2.学生考勤：为便于教务人员精准了解学生出勤动态，支持按课表查看学生考勤详情；支持查看单节课的考勤详情；支持以报表的形式导出考勤数据；</w:t>
            </w:r>
            <w:r>
              <w:rPr>
                <w:rFonts w:hint="eastAsia" w:ascii="宋体" w:hAnsi="宋体"/>
                <w:kern w:val="0"/>
                <w:sz w:val="22"/>
              </w:rPr>
              <w:br w:type="textWrapping"/>
            </w:r>
            <w:r>
              <w:rPr>
                <w:rFonts w:hint="eastAsia" w:ascii="宋体" w:hAnsi="宋体"/>
                <w:kern w:val="0"/>
                <w:sz w:val="22"/>
              </w:rPr>
              <w:t>3.教师考勤：为便于学校对教师的日常表现进行量化评价，支持查看每个课程的考勤详情；</w:t>
            </w:r>
            <w:r>
              <w:rPr>
                <w:rFonts w:hint="eastAsia" w:ascii="宋体" w:hAnsi="宋体"/>
                <w:kern w:val="0"/>
                <w:sz w:val="22"/>
              </w:rPr>
              <w:br w:type="textWrapping"/>
            </w:r>
            <w:r>
              <w:rPr>
                <w:rFonts w:hint="eastAsia" w:ascii="宋体" w:hAnsi="宋体"/>
                <w:kern w:val="0"/>
                <w:sz w:val="22"/>
              </w:rPr>
              <w:t>4.教学异常预警：支持查看所有教师的出勤状态与得分，支持实时显示每个课程的早退时长与迟到时长；为保证数据的准确性与公正性，支持对课堂进行全程录像存储，并支持便捷的课堂回放功能；</w:t>
            </w:r>
            <w:r>
              <w:rPr>
                <w:rFonts w:hint="eastAsia" w:ascii="宋体" w:hAnsi="宋体"/>
                <w:kern w:val="0"/>
                <w:sz w:val="22"/>
              </w:rPr>
              <w:br w:type="textWrapping"/>
            </w:r>
            <w:r>
              <w:rPr>
                <w:rFonts w:hint="eastAsia" w:ascii="宋体" w:hAnsi="宋体"/>
                <w:kern w:val="0"/>
                <w:sz w:val="22"/>
              </w:rPr>
              <w:t>5.行为分析结果显示：支持统计并呈现学生的行为数据；支持统计并呈现教师的行为数据；支持课程回放；</w:t>
            </w:r>
            <w:r>
              <w:rPr>
                <w:rFonts w:hint="eastAsia" w:ascii="宋体" w:hAnsi="宋体"/>
                <w:kern w:val="0"/>
                <w:sz w:val="22"/>
              </w:rPr>
              <w:br w:type="textWrapping"/>
            </w:r>
            <w:r>
              <w:rPr>
                <w:rFonts w:hint="eastAsia" w:ascii="宋体" w:hAnsi="宋体"/>
                <w:kern w:val="0"/>
                <w:sz w:val="22"/>
              </w:rPr>
              <w:t>六、巡课</w:t>
            </w:r>
            <w:r>
              <w:rPr>
                <w:rFonts w:hint="eastAsia" w:ascii="宋体" w:hAnsi="宋体"/>
                <w:kern w:val="0"/>
                <w:sz w:val="22"/>
              </w:rPr>
              <w:br w:type="textWrapping"/>
            </w:r>
            <w:r>
              <w:rPr>
                <w:rFonts w:hint="eastAsia" w:ascii="宋体" w:hAnsi="宋体"/>
                <w:kern w:val="0"/>
                <w:sz w:val="22"/>
              </w:rPr>
              <w:t>1.巡课权限设置：支持分权限分配管理，支持按不同校区、教学楼、课程观看巡课；筛选巡课：可进行开课教室的筛选；</w:t>
            </w:r>
            <w:r>
              <w:rPr>
                <w:rFonts w:hint="eastAsia" w:ascii="宋体" w:hAnsi="宋体"/>
                <w:kern w:val="0"/>
                <w:sz w:val="22"/>
              </w:rPr>
              <w:br w:type="textWrapping"/>
            </w:r>
            <w:r>
              <w:rPr>
                <w:rFonts w:hint="eastAsia" w:ascii="宋体" w:hAnsi="宋体"/>
                <w:kern w:val="0"/>
                <w:sz w:val="22"/>
              </w:rPr>
              <w:t>2.巡课检索：支持教室列表查看，按照教室名称、主讲教师、课程信息等条件查看；</w:t>
            </w:r>
            <w:r>
              <w:rPr>
                <w:rFonts w:hint="eastAsia" w:ascii="宋体" w:hAnsi="宋体"/>
                <w:kern w:val="0"/>
                <w:sz w:val="22"/>
              </w:rPr>
              <w:br w:type="textWrapping"/>
            </w:r>
            <w:r>
              <w:rPr>
                <w:rFonts w:hint="eastAsia" w:ascii="宋体" w:hAnsi="宋体"/>
                <w:kern w:val="0"/>
                <w:sz w:val="22"/>
              </w:rPr>
              <w:t>3.巡课方式：根据用户个人使用习惯，支持四分屏、三分屏、二分屏、单画面多种巡课模式，其中每个分屏窗口可以独立全屏幕观看；</w:t>
            </w:r>
            <w:r>
              <w:rPr>
                <w:rFonts w:hint="eastAsia" w:ascii="宋体" w:hAnsi="宋体"/>
                <w:kern w:val="0"/>
                <w:sz w:val="22"/>
              </w:rPr>
              <w:br w:type="textWrapping"/>
            </w:r>
            <w:r>
              <w:rPr>
                <w:rFonts w:hint="eastAsia" w:ascii="宋体" w:hAnsi="宋体"/>
                <w:kern w:val="0"/>
                <w:sz w:val="22"/>
              </w:rPr>
              <w:t>4.巡课水印：支持水印功能，可以防止视频被非法录制或窃取；</w:t>
            </w:r>
            <w:r>
              <w:rPr>
                <w:rFonts w:hint="eastAsia" w:ascii="宋体" w:hAnsi="宋体"/>
                <w:kern w:val="0"/>
                <w:sz w:val="22"/>
              </w:rPr>
              <w:br w:type="textWrapping"/>
            </w:r>
            <w:r>
              <w:rPr>
                <w:rFonts w:hint="eastAsia" w:ascii="宋体" w:hAnsi="宋体"/>
                <w:kern w:val="0"/>
                <w:sz w:val="22"/>
              </w:rPr>
              <w:t>5.一键分享：支持上课教室一键分享功能，被分享用户支持临时观看当前教室上课画面；</w:t>
            </w:r>
            <w:r>
              <w:rPr>
                <w:rFonts w:hint="eastAsia" w:ascii="宋体" w:hAnsi="宋体"/>
                <w:kern w:val="0"/>
                <w:sz w:val="22"/>
              </w:rPr>
              <w:br w:type="textWrapping"/>
            </w:r>
            <w:r>
              <w:rPr>
                <w:rFonts w:hint="eastAsia" w:ascii="宋体" w:hAnsi="宋体"/>
                <w:kern w:val="0"/>
                <w:sz w:val="22"/>
              </w:rPr>
              <w:t>6.课表显示：支持在巡课界面查阅当前教室本周的课表信息；</w:t>
            </w:r>
            <w:r>
              <w:rPr>
                <w:rFonts w:hint="eastAsia" w:ascii="宋体" w:hAnsi="宋体"/>
                <w:kern w:val="0"/>
                <w:sz w:val="22"/>
              </w:rPr>
              <w:br w:type="textWrapping"/>
            </w:r>
            <w:r>
              <w:rPr>
                <w:rFonts w:hint="eastAsia" w:ascii="宋体" w:hAnsi="宋体"/>
                <w:kern w:val="0"/>
                <w:sz w:val="22"/>
              </w:rPr>
              <w:t>7.远程控制：支持与前端教室中云台摄像机进行联动，配合云台摄像机支持远程对讲功能；</w:t>
            </w:r>
            <w:r>
              <w:rPr>
                <w:rFonts w:hint="eastAsia" w:ascii="宋体" w:hAnsi="宋体"/>
                <w:kern w:val="0"/>
                <w:sz w:val="22"/>
              </w:rPr>
              <w:br w:type="textWrapping"/>
            </w:r>
            <w:r>
              <w:rPr>
                <w:rFonts w:hint="eastAsia" w:ascii="宋体" w:hAnsi="宋体"/>
                <w:kern w:val="0"/>
                <w:sz w:val="22"/>
              </w:rPr>
              <w:t>8.支持在巡课过程中快速进行评课活动，支持打分评课与打点评课；评课结束后支持快速生成评价报告，满足管理者实时反馈与指导需求；</w:t>
            </w:r>
            <w:r>
              <w:rPr>
                <w:rFonts w:hint="eastAsia" w:ascii="宋体" w:hAnsi="宋体"/>
                <w:kern w:val="0"/>
                <w:sz w:val="22"/>
              </w:rPr>
              <w:br w:type="textWrapping"/>
            </w:r>
            <w:r>
              <w:rPr>
                <w:rFonts w:hint="eastAsia" w:ascii="宋体" w:hAnsi="宋体"/>
                <w:kern w:val="0"/>
                <w:sz w:val="22"/>
              </w:rPr>
              <w:t>9.▲数据排序：支持以实时电视墙（同时显示16间以上教室画面）的形式在网页端进行AI分析数据排序呈现；支持巡课线路选择，可以选择教师画面、学生画面、电脑画面按需呈现；</w:t>
            </w:r>
            <w:r>
              <w:rPr>
                <w:rFonts w:hint="eastAsia" w:ascii="宋体" w:hAnsi="宋体"/>
                <w:b/>
                <w:bCs/>
                <w:kern w:val="0"/>
                <w:sz w:val="22"/>
              </w:rPr>
              <w:t>（响应时提供权威机构检测报告扫描件佐证）</w:t>
            </w:r>
            <w:r>
              <w:rPr>
                <w:rFonts w:hint="eastAsia" w:ascii="宋体" w:hAnsi="宋体"/>
                <w:b/>
                <w:bCs/>
                <w:kern w:val="0"/>
                <w:sz w:val="22"/>
              </w:rPr>
              <w:br w:type="textWrapping"/>
            </w:r>
            <w:r>
              <w:rPr>
                <w:rFonts w:hint="eastAsia" w:ascii="宋体" w:hAnsi="宋体"/>
                <w:kern w:val="0"/>
                <w:sz w:val="22"/>
              </w:rPr>
              <w:t>10.教室排序：支持以多种AI分析维度进行教室排序，包括但不限于学生行为分析、教师行为分析、教师出勤、精准出勤率、教室权重等多种维度，方便管理者快速查看数据异常的教室；</w:t>
            </w:r>
            <w:r>
              <w:rPr>
                <w:rFonts w:hint="eastAsia" w:ascii="宋体" w:hAnsi="宋体"/>
                <w:kern w:val="0"/>
                <w:sz w:val="22"/>
              </w:rPr>
              <w:br w:type="textWrapping"/>
            </w:r>
            <w:r>
              <w:rPr>
                <w:rFonts w:hint="eastAsia" w:ascii="宋体" w:hAnsi="宋体"/>
                <w:kern w:val="0"/>
                <w:sz w:val="22"/>
              </w:rPr>
              <w:t>11.▲支持同个课程不同师生之间的课堂数据对比，课堂数据包括但不限于直播录制节次、教学资源、师生课堂行为分析、教师信息化应用统计等数据；</w:t>
            </w:r>
            <w:r>
              <w:rPr>
                <w:rFonts w:hint="eastAsia" w:ascii="宋体" w:hAnsi="宋体"/>
                <w:b/>
                <w:bCs/>
                <w:kern w:val="0"/>
                <w:sz w:val="22"/>
              </w:rPr>
              <w:t>（响应时提供权威机构检测报告扫描件佐证）</w:t>
            </w:r>
          </w:p>
          <w:p w14:paraId="5724C522">
            <w:pPr>
              <w:rPr>
                <w:b/>
                <w:bCs/>
                <w:szCs w:val="21"/>
              </w:rPr>
            </w:pPr>
            <w:r>
              <w:rPr>
                <w:rFonts w:hint="eastAsia" w:ascii="宋体" w:hAnsi="宋体"/>
                <w:kern w:val="0"/>
                <w:sz w:val="22"/>
              </w:rPr>
              <w:t>七、AI督导预警管理</w:t>
            </w:r>
            <w:r>
              <w:rPr>
                <w:rFonts w:hint="eastAsia" w:cs="Calibri"/>
                <w:b/>
                <w:bCs/>
              </w:rPr>
              <w:t>(</w:t>
            </w:r>
            <w:r>
              <w:rPr>
                <w:rFonts w:hint="eastAsia" w:ascii="宋体" w:hAnsi="宋体"/>
                <w:b/>
                <w:bCs/>
              </w:rPr>
              <w:t>响应时提供以下功能的视频演示佐证</w:t>
            </w:r>
            <w:r>
              <w:rPr>
                <w:rFonts w:hint="eastAsia" w:cs="Calibri"/>
                <w:b/>
                <w:bCs/>
              </w:rPr>
              <w:t>)</w:t>
            </w:r>
          </w:p>
          <w:p w14:paraId="40C903C9">
            <w:r>
              <w:rPr>
                <w:rFonts w:hint="eastAsia" w:cs="Calibri"/>
              </w:rPr>
              <w:t xml:space="preserve">1. </w:t>
            </w:r>
            <w:r>
              <w:rPr>
                <w:rFonts w:hint="eastAsia" w:ascii="宋体" w:hAnsi="宋体"/>
              </w:rPr>
              <w:t>课堂预警功能：按时间线展示本节课所有</w:t>
            </w:r>
            <w:r>
              <w:rPr>
                <w:rFonts w:hint="eastAsia" w:cs="Calibri"/>
              </w:rPr>
              <w:t>AI</w:t>
            </w:r>
            <w:r>
              <w:rPr>
                <w:rFonts w:hint="eastAsia" w:ascii="宋体" w:hAnsi="宋体"/>
              </w:rPr>
              <w:t>识别到的课堂异常预警，按预警类型用不同颜色区分，每个预警显示标记时间、持续时长，点击“查看视频”可直接跳转到预警发生的对应时间点，查看异常发生时的课堂画面。</w:t>
            </w:r>
          </w:p>
          <w:p w14:paraId="4BF7C24F">
            <w:r>
              <w:rPr>
                <w:rFonts w:hint="eastAsia" w:cs="Calibri"/>
              </w:rPr>
              <w:t xml:space="preserve">2. </w:t>
            </w:r>
            <w:r>
              <w:rPr>
                <w:rFonts w:hint="eastAsia" w:ascii="宋体" w:hAnsi="宋体"/>
              </w:rPr>
              <w:t>语音转写功能：自动将整节课教师与学生的语音实时转写为文字，自动提取课程核心知识点标签，支持关键词搜索快速定位内容；自动生成课堂全文摘要，总结本节课讲解的核心内容；标注语音转写准确率。</w:t>
            </w:r>
          </w:p>
          <w:p w14:paraId="3C06E9B4">
            <w:r>
              <w:rPr>
                <w:rFonts w:hint="eastAsia" w:cs="Calibri"/>
              </w:rPr>
              <w:t xml:space="preserve">3. </w:t>
            </w:r>
            <w:r>
              <w:rPr>
                <w:rFonts w:hint="eastAsia" w:ascii="宋体" w:hAnsi="宋体"/>
              </w:rPr>
              <w:t>督导评课功能：支持</w:t>
            </w:r>
            <w:r>
              <w:rPr>
                <w:rFonts w:hint="eastAsia" w:cs="Calibri"/>
              </w:rPr>
              <w:t>AI</w:t>
            </w:r>
            <w:r>
              <w:rPr>
                <w:rFonts w:hint="eastAsia" w:ascii="宋体" w:hAnsi="宋体"/>
              </w:rPr>
              <w:t>自动评课与人工督导评课双维度评分，可根据课程类型选择理论课</w:t>
            </w:r>
            <w:r>
              <w:rPr>
                <w:rFonts w:hint="eastAsia" w:cs="Calibri"/>
              </w:rPr>
              <w:t>/</w:t>
            </w:r>
            <w:r>
              <w:rPr>
                <w:rFonts w:hint="eastAsia" w:ascii="宋体" w:hAnsi="宋体"/>
              </w:rPr>
              <w:t>实践课等不同评课模板；分别展示督导总分与</w:t>
            </w:r>
            <w:r>
              <w:rPr>
                <w:rFonts w:hint="eastAsia" w:cs="Calibri"/>
              </w:rPr>
              <w:t>AI</w:t>
            </w:r>
            <w:r>
              <w:rPr>
                <w:rFonts w:hint="eastAsia" w:ascii="宋体" w:hAnsi="宋体"/>
              </w:rPr>
              <w:t>总分，支持一键查看完整评课报告；按评课维度（教师素养与态度、教学内容与设计、教学方法与艺术、教学资源与信息化等）分项展示督导打分与</w:t>
            </w:r>
            <w:r>
              <w:rPr>
                <w:rFonts w:hint="eastAsia" w:cs="Calibri"/>
              </w:rPr>
              <w:t>AI</w:t>
            </w:r>
            <w:r>
              <w:rPr>
                <w:rFonts w:hint="eastAsia" w:ascii="宋体" w:hAnsi="宋体"/>
              </w:rPr>
              <w:t>打分，支持人工修改调整评分。</w:t>
            </w:r>
          </w:p>
          <w:p w14:paraId="535760FB">
            <w:r>
              <w:rPr>
                <w:rFonts w:hint="eastAsia" w:cs="Calibri"/>
              </w:rPr>
              <w:t xml:space="preserve">4. </w:t>
            </w:r>
            <w:r>
              <w:rPr>
                <w:rFonts w:hint="eastAsia" w:ascii="宋体" w:hAnsi="宋体"/>
              </w:rPr>
              <w:t>知识点思维导图功能：自动生成本节课知识点思维导图，按课程核心模块分类梳理二级、三级知识点，用不同颜色区分知识模块，支持查看完整课程知识图谱，直观展示整门课程的知识结构体系。</w:t>
            </w:r>
          </w:p>
          <w:p w14:paraId="6DF99DFA">
            <w:r>
              <w:rPr>
                <w:rFonts w:hint="eastAsia" w:cs="Calibri"/>
              </w:rPr>
              <w:t>5.</w:t>
            </w:r>
            <w:r>
              <w:rPr>
                <w:rFonts w:hint="eastAsia" w:ascii="宋体" w:hAnsi="宋体"/>
              </w:rPr>
              <w:t>支持单节课的多画面同步回放，支持切换主显示画面，提供播放</w:t>
            </w:r>
            <w:r>
              <w:rPr>
                <w:rFonts w:hint="eastAsia" w:cs="Calibri"/>
              </w:rPr>
              <w:t>/</w:t>
            </w:r>
            <w:r>
              <w:rPr>
                <w:rFonts w:hint="eastAsia" w:ascii="宋体" w:hAnsi="宋体"/>
              </w:rPr>
              <w:t>暂停、进度条拖动、全屏等标准播放控制功能。</w:t>
            </w:r>
          </w:p>
          <w:p w14:paraId="2A00E57E">
            <w:pPr>
              <w:widowControl/>
              <w:jc w:val="left"/>
              <w:rPr>
                <w:rFonts w:ascii="宋体" w:hAnsi="宋体" w:cs="宋体"/>
                <w:kern w:val="0"/>
                <w:sz w:val="22"/>
              </w:rPr>
            </w:pPr>
          </w:p>
        </w:tc>
      </w:tr>
      <w:tr w14:paraId="7C45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CBD908E">
            <w:pPr>
              <w:widowControl/>
              <w:jc w:val="center"/>
              <w:rPr>
                <w:rFonts w:ascii="宋体" w:hAnsi="宋体" w:cs="宋体"/>
                <w:kern w:val="0"/>
                <w:sz w:val="22"/>
              </w:rPr>
            </w:pPr>
            <w:r>
              <w:rPr>
                <w:rFonts w:hint="eastAsia" w:ascii="宋体" w:hAnsi="宋体" w:cs="宋体"/>
                <w:kern w:val="0"/>
                <w:sz w:val="22"/>
              </w:rPr>
              <w:t>直点播终端</w:t>
            </w:r>
          </w:p>
        </w:tc>
        <w:tc>
          <w:tcPr>
            <w:tcW w:w="7654" w:type="dxa"/>
            <w:tcBorders>
              <w:tl2br w:val="nil"/>
              <w:tr2bl w:val="nil"/>
            </w:tcBorders>
            <w:shd w:val="clear" w:color="000000" w:fill="FFFFFF"/>
            <w:vAlign w:val="center"/>
          </w:tcPr>
          <w:p w14:paraId="51B280E4">
            <w:pPr>
              <w:widowControl/>
              <w:jc w:val="left"/>
              <w:rPr>
                <w:rFonts w:ascii="宋体" w:hAnsi="宋体" w:cs="宋体"/>
                <w:kern w:val="0"/>
                <w:sz w:val="22"/>
              </w:rPr>
            </w:pPr>
            <w:r>
              <w:rPr>
                <w:rFonts w:hint="eastAsia" w:ascii="宋体" w:hAnsi="宋体" w:cs="宋体"/>
                <w:kern w:val="0"/>
                <w:sz w:val="22"/>
              </w:rPr>
              <w:t>1.需采用服务器级处理器；</w:t>
            </w:r>
            <w:r>
              <w:rPr>
                <w:rFonts w:hint="eastAsia" w:ascii="宋体" w:hAnsi="宋体" w:cs="宋体"/>
                <w:kern w:val="0"/>
                <w:sz w:val="22"/>
              </w:rPr>
              <w:br w:type="textWrapping"/>
            </w:r>
            <w:r>
              <w:rPr>
                <w:rFonts w:hint="eastAsia" w:ascii="宋体" w:hAnsi="宋体" w:cs="宋体"/>
                <w:kern w:val="0"/>
                <w:sz w:val="22"/>
              </w:rPr>
              <w:t>2.单颗处理器核心数≥10核，线程数≥20线程；处理器基准主频≥2.3GHz；</w:t>
            </w:r>
            <w:r>
              <w:rPr>
                <w:rFonts w:hint="eastAsia" w:ascii="宋体" w:hAnsi="宋体" w:cs="宋体"/>
                <w:kern w:val="0"/>
                <w:sz w:val="22"/>
              </w:rPr>
              <w:br w:type="textWrapping"/>
            </w:r>
            <w:r>
              <w:rPr>
                <w:rFonts w:hint="eastAsia" w:ascii="宋体" w:hAnsi="宋体" w:cs="宋体"/>
                <w:kern w:val="0"/>
                <w:sz w:val="22"/>
              </w:rPr>
              <w:t xml:space="preserve">3.配套原厂同系列服务器专用主板，与处理器、内存、存储组件完全兼容适配，保障系统长期稳定运行；  </w:t>
            </w:r>
            <w:r>
              <w:rPr>
                <w:rFonts w:hint="eastAsia" w:ascii="宋体" w:hAnsi="宋体" w:cs="宋体"/>
                <w:kern w:val="0"/>
                <w:sz w:val="22"/>
              </w:rPr>
              <w:br w:type="textWrapping"/>
            </w:r>
            <w:r>
              <w:rPr>
                <w:rFonts w:hint="eastAsia" w:ascii="宋体" w:hAnsi="宋体" w:cs="宋体"/>
                <w:kern w:val="0"/>
                <w:sz w:val="22"/>
              </w:rPr>
              <w:t xml:space="preserve">4.支持≥1个PCI-E 3.0 x16插槽；提供≥3个PCI-E 3.0 x8插槽；    </w:t>
            </w:r>
            <w:r>
              <w:rPr>
                <w:rFonts w:hint="eastAsia" w:ascii="宋体" w:hAnsi="宋体" w:cs="宋体"/>
                <w:kern w:val="0"/>
                <w:sz w:val="22"/>
              </w:rPr>
              <w:br w:type="textWrapping"/>
            </w:r>
            <w:r>
              <w:rPr>
                <w:rFonts w:hint="eastAsia" w:ascii="宋体" w:hAnsi="宋体" w:cs="宋体"/>
                <w:kern w:val="0"/>
                <w:sz w:val="22"/>
              </w:rPr>
              <w:t>5.支持≥1个PCI-E 3.0 x4（x8插槽形态）插槽； 提供≥1个PCI-E 2.0 x4（x8插槽形态）插槽；</w:t>
            </w:r>
            <w:r>
              <w:rPr>
                <w:rFonts w:hint="eastAsia" w:ascii="宋体" w:hAnsi="宋体" w:cs="宋体"/>
                <w:kern w:val="0"/>
                <w:sz w:val="22"/>
              </w:rPr>
              <w:br w:type="textWrapping"/>
            </w:r>
            <w:r>
              <w:rPr>
                <w:rFonts w:hint="eastAsia" w:ascii="宋体" w:hAnsi="宋体" w:cs="宋体"/>
                <w:kern w:val="0"/>
                <w:sz w:val="22"/>
              </w:rPr>
              <w:t xml:space="preserve">6.存储接口：提供≥10个SATA 3.0接口，向下兼容SATA 2.0协议，支持企业级硬盘接入；  </w:t>
            </w:r>
            <w:r>
              <w:rPr>
                <w:rFonts w:hint="eastAsia" w:ascii="宋体" w:hAnsi="宋体" w:cs="宋体"/>
                <w:kern w:val="0"/>
                <w:sz w:val="22"/>
              </w:rPr>
              <w:br w:type="textWrapping"/>
            </w:r>
            <w:r>
              <w:rPr>
                <w:rFonts w:hint="eastAsia" w:ascii="宋体" w:hAnsi="宋体" w:cs="宋体"/>
                <w:kern w:val="0"/>
                <w:sz w:val="22"/>
              </w:rPr>
              <w:t xml:space="preserve">7.支持≥2个USB3.0接口、≥2个USB2.0接口；   </w:t>
            </w:r>
            <w:r>
              <w:rPr>
                <w:rFonts w:hint="eastAsia" w:ascii="宋体" w:hAnsi="宋体" w:cs="宋体"/>
                <w:kern w:val="0"/>
                <w:sz w:val="22"/>
              </w:rPr>
              <w:br w:type="textWrapping"/>
            </w:r>
            <w:r>
              <w:rPr>
                <w:rFonts w:hint="eastAsia" w:ascii="宋体" w:hAnsi="宋体" w:cs="宋体"/>
                <w:kern w:val="0"/>
                <w:sz w:val="22"/>
              </w:rPr>
              <w:t>8.支持≥2个RJ45千兆以太网电口，支持网络冗余、链路聚合功能；</w:t>
            </w:r>
            <w:r>
              <w:rPr>
                <w:rFonts w:hint="eastAsia" w:ascii="宋体" w:hAnsi="宋体" w:cs="宋体"/>
                <w:kern w:val="0"/>
                <w:sz w:val="22"/>
              </w:rPr>
              <w:br w:type="textWrapping"/>
            </w:r>
            <w:r>
              <w:rPr>
                <w:rFonts w:hint="eastAsia" w:ascii="宋体" w:hAnsi="宋体" w:cs="宋体"/>
                <w:kern w:val="0"/>
                <w:sz w:val="22"/>
              </w:rPr>
              <w:t>9.标配DDR4服务器级内存，额定容量≥16GB；</w:t>
            </w:r>
            <w:r>
              <w:rPr>
                <w:rFonts w:hint="eastAsia" w:ascii="宋体" w:hAnsi="宋体" w:cs="宋体"/>
                <w:kern w:val="0"/>
                <w:sz w:val="22"/>
              </w:rPr>
              <w:br w:type="textWrapping"/>
            </w:r>
            <w:r>
              <w:rPr>
                <w:rFonts w:hint="eastAsia" w:ascii="宋体" w:hAnsi="宋体" w:cs="宋体"/>
                <w:kern w:val="0"/>
                <w:sz w:val="22"/>
              </w:rPr>
              <w:t>10.整机内存最大扩展容量≥64GB，单条内存最大支持容量≥16GB；</w:t>
            </w:r>
            <w:r>
              <w:rPr>
                <w:rFonts w:hint="eastAsia" w:ascii="宋体" w:hAnsi="宋体" w:cs="宋体"/>
                <w:kern w:val="0"/>
                <w:sz w:val="22"/>
              </w:rPr>
              <w:br w:type="textWrapping"/>
            </w:r>
            <w:r>
              <w:rPr>
                <w:rFonts w:hint="eastAsia" w:ascii="宋体" w:hAnsi="宋体" w:cs="宋体"/>
                <w:kern w:val="0"/>
                <w:sz w:val="22"/>
              </w:rPr>
              <w:t>11.标配企业级SATA硬盘4块，单块额定容量≥4TB，支持7×24小时连续运行；</w:t>
            </w:r>
            <w:r>
              <w:rPr>
                <w:rFonts w:hint="eastAsia" w:ascii="宋体" w:hAnsi="宋体" w:cs="宋体"/>
                <w:kern w:val="0"/>
                <w:sz w:val="22"/>
              </w:rPr>
              <w:br w:type="textWrapping"/>
            </w:r>
            <w:r>
              <w:rPr>
                <w:rFonts w:hint="eastAsia" w:ascii="宋体" w:hAnsi="宋体" w:cs="宋体"/>
                <w:kern w:val="0"/>
                <w:sz w:val="22"/>
              </w:rPr>
              <w:t>12.整机提供≥4个3.5英寸热插拔SATA硬盘位，最大可支持4块3.5英寸企业级SATA硬盘，支持硬盘热插拔更换，无需停机操作；</w:t>
            </w:r>
            <w:r>
              <w:rPr>
                <w:rFonts w:hint="eastAsia" w:ascii="宋体" w:hAnsi="宋体" w:cs="宋体"/>
                <w:kern w:val="0"/>
                <w:sz w:val="22"/>
              </w:rPr>
              <w:br w:type="textWrapping"/>
            </w:r>
            <w:r>
              <w:rPr>
                <w:rFonts w:hint="eastAsia" w:ascii="宋体" w:hAnsi="宋体" w:cs="宋体"/>
                <w:kern w:val="0"/>
                <w:sz w:val="22"/>
              </w:rPr>
              <w:t>13.标配服务器专用电源，额定输出功率≥350W；</w:t>
            </w:r>
            <w:r>
              <w:rPr>
                <w:rFonts w:hint="eastAsia" w:ascii="宋体" w:hAnsi="宋体" w:cs="宋体"/>
                <w:kern w:val="0"/>
                <w:sz w:val="22"/>
              </w:rPr>
              <w:br w:type="textWrapping"/>
            </w:r>
            <w:r>
              <w:rPr>
                <w:rFonts w:hint="eastAsia" w:ascii="宋体" w:hAnsi="宋体" w:cs="宋体"/>
                <w:kern w:val="0"/>
                <w:sz w:val="22"/>
              </w:rPr>
              <w:t>14.电源转换效率≥80PLUS金牌级标准，具备过流、过压、过热、短路、雷击浪涌等全方位保护功能，适配机房供电环境；</w:t>
            </w:r>
            <w:r>
              <w:rPr>
                <w:rFonts w:hint="eastAsia" w:ascii="宋体" w:hAnsi="宋体" w:cs="宋体"/>
                <w:kern w:val="0"/>
                <w:sz w:val="22"/>
              </w:rPr>
              <w:br w:type="textWrapping"/>
            </w:r>
            <w:r>
              <w:rPr>
                <w:rFonts w:hint="eastAsia" w:ascii="宋体" w:hAnsi="宋体" w:cs="宋体"/>
                <w:kern w:val="0"/>
                <w:sz w:val="22"/>
              </w:rPr>
              <w:t>15.采用标准1U机架式服务器机箱，需适配标准服务器机柜；6.2 机箱结构支持最大≥4块SATA接口3.5英寸企业级硬盘，具备良好的防尘、抗震性能。</w:t>
            </w:r>
          </w:p>
        </w:tc>
      </w:tr>
      <w:tr w14:paraId="4B89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BD2FE30">
            <w:pPr>
              <w:widowControl/>
              <w:jc w:val="center"/>
              <w:rPr>
                <w:rFonts w:ascii="宋体" w:hAnsi="宋体" w:cs="宋体"/>
                <w:kern w:val="0"/>
                <w:sz w:val="22"/>
              </w:rPr>
            </w:pPr>
            <w:r>
              <w:rPr>
                <w:rFonts w:hint="eastAsia" w:ascii="宋体" w:hAnsi="宋体" w:cs="宋体"/>
                <w:kern w:val="0"/>
                <w:sz w:val="22"/>
              </w:rPr>
              <w:t>千兆交换机</w:t>
            </w:r>
          </w:p>
        </w:tc>
        <w:tc>
          <w:tcPr>
            <w:tcW w:w="7654" w:type="dxa"/>
            <w:tcBorders>
              <w:tl2br w:val="nil"/>
              <w:tr2bl w:val="nil"/>
            </w:tcBorders>
            <w:shd w:val="clear" w:color="000000" w:fill="FFFFFF"/>
            <w:vAlign w:val="center"/>
          </w:tcPr>
          <w:p w14:paraId="5456AF2E">
            <w:pPr>
              <w:widowControl/>
              <w:jc w:val="left"/>
              <w:rPr>
                <w:rFonts w:ascii="宋体" w:hAnsi="宋体" w:cs="宋体"/>
                <w:kern w:val="0"/>
                <w:sz w:val="22"/>
              </w:rPr>
            </w:pPr>
            <w:r>
              <w:rPr>
                <w:rFonts w:hint="eastAsia" w:ascii="宋体" w:hAnsi="宋体" w:cs="宋体"/>
                <w:kern w:val="0"/>
                <w:sz w:val="22"/>
              </w:rPr>
              <w:t>1.接口：≥24口千兆+≥2千兆光口。</w:t>
            </w:r>
            <w:r>
              <w:rPr>
                <w:rFonts w:hint="eastAsia" w:ascii="宋体" w:hAnsi="宋体" w:cs="宋体"/>
                <w:kern w:val="0"/>
                <w:sz w:val="22"/>
              </w:rPr>
              <w:br w:type="textWrapping"/>
            </w:r>
            <w:r>
              <w:rPr>
                <w:rFonts w:hint="eastAsia" w:ascii="宋体" w:hAnsi="宋体" w:cs="宋体"/>
                <w:kern w:val="0"/>
                <w:sz w:val="22"/>
              </w:rPr>
              <w:t>2.可靠性：企业级防雷电路，内置专业高耐压电源。</w:t>
            </w:r>
            <w:r>
              <w:rPr>
                <w:rFonts w:hint="eastAsia" w:ascii="宋体" w:hAnsi="宋体" w:cs="宋体"/>
                <w:kern w:val="0"/>
                <w:sz w:val="22"/>
              </w:rPr>
              <w:br w:type="textWrapping"/>
            </w:r>
            <w:r>
              <w:rPr>
                <w:rFonts w:hint="eastAsia" w:ascii="宋体" w:hAnsi="宋体" w:cs="宋体"/>
                <w:kern w:val="0"/>
                <w:sz w:val="22"/>
              </w:rPr>
              <w:t>3.供电：支持POE+供电370W，单端口＞30W.</w:t>
            </w:r>
          </w:p>
        </w:tc>
      </w:tr>
      <w:tr w14:paraId="48D1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E4414F3">
            <w:pPr>
              <w:widowControl/>
              <w:jc w:val="center"/>
              <w:rPr>
                <w:rFonts w:ascii="宋体" w:hAnsi="宋体" w:cs="宋体"/>
                <w:kern w:val="0"/>
                <w:sz w:val="22"/>
              </w:rPr>
            </w:pPr>
            <w:r>
              <w:rPr>
                <w:rFonts w:hint="eastAsia" w:ascii="宋体" w:hAnsi="宋体" w:cs="宋体"/>
                <w:kern w:val="0"/>
                <w:sz w:val="22"/>
              </w:rPr>
              <w:t>机柜</w:t>
            </w:r>
          </w:p>
        </w:tc>
        <w:tc>
          <w:tcPr>
            <w:tcW w:w="7654" w:type="dxa"/>
            <w:tcBorders>
              <w:tl2br w:val="nil"/>
              <w:tr2bl w:val="nil"/>
            </w:tcBorders>
            <w:shd w:val="clear" w:color="000000" w:fill="FFFFFF"/>
            <w:vAlign w:val="center"/>
          </w:tcPr>
          <w:p w14:paraId="04ED5760">
            <w:pPr>
              <w:widowControl/>
              <w:jc w:val="left"/>
              <w:rPr>
                <w:rFonts w:ascii="宋体" w:hAnsi="宋体" w:cs="宋体"/>
                <w:kern w:val="0"/>
                <w:sz w:val="22"/>
              </w:rPr>
            </w:pPr>
            <w:r>
              <w:rPr>
                <w:rFonts w:hint="eastAsia" w:ascii="宋体" w:hAnsi="宋体" w:cs="宋体"/>
                <w:kern w:val="0"/>
                <w:sz w:val="22"/>
              </w:rPr>
              <w:t>1.标准服务器机柜，采用SPCC优质冷轧钢板，脱脂、磷化、静电喷涂，支持脚轮移动。</w:t>
            </w:r>
            <w:r>
              <w:rPr>
                <w:rFonts w:hint="eastAsia" w:ascii="宋体" w:hAnsi="宋体" w:cs="宋体"/>
                <w:kern w:val="0"/>
                <w:sz w:val="22"/>
              </w:rPr>
              <w:br w:type="textWrapping"/>
            </w:r>
            <w:r>
              <w:rPr>
                <w:rFonts w:hint="eastAsia" w:ascii="宋体" w:hAnsi="宋体" w:cs="宋体"/>
                <w:kern w:val="0"/>
                <w:sz w:val="22"/>
              </w:rPr>
              <w:t>2.具有≥1个托盘，≥1个散热风扇，机架式≥6口电源插座。</w:t>
            </w:r>
            <w:r>
              <w:rPr>
                <w:rFonts w:hint="eastAsia" w:ascii="宋体" w:hAnsi="宋体" w:cs="宋体"/>
                <w:kern w:val="0"/>
                <w:sz w:val="22"/>
              </w:rPr>
              <w:br w:type="textWrapping"/>
            </w:r>
            <w:r>
              <w:rPr>
                <w:rFonts w:hint="eastAsia" w:ascii="宋体" w:hAnsi="宋体" w:cs="宋体"/>
                <w:kern w:val="0"/>
                <w:sz w:val="22"/>
              </w:rPr>
              <w:t>3.机柜尺寸≥1200mm*900mm*600mm，容量</w:t>
            </w:r>
            <w:r>
              <w:rPr>
                <w:rFonts w:ascii="宋体" w:hAnsi="宋体" w:cs="宋体"/>
                <w:kern w:val="0"/>
                <w:sz w:val="22"/>
              </w:rPr>
              <w:t>22</w:t>
            </w:r>
            <w:r>
              <w:rPr>
                <w:rFonts w:hint="eastAsia" w:ascii="宋体" w:hAnsi="宋体" w:cs="宋体"/>
                <w:kern w:val="0"/>
                <w:sz w:val="22"/>
              </w:rPr>
              <w:t>U。</w:t>
            </w:r>
            <w:r>
              <w:rPr>
                <w:rFonts w:hint="eastAsia" w:ascii="宋体" w:hAnsi="宋体" w:cs="宋体"/>
                <w:kern w:val="0"/>
                <w:sz w:val="22"/>
              </w:rPr>
              <w:br w:type="textWrapping"/>
            </w:r>
            <w:r>
              <w:rPr>
                <w:rFonts w:hint="eastAsia" w:ascii="宋体" w:hAnsi="宋体" w:cs="宋体"/>
                <w:kern w:val="0"/>
                <w:sz w:val="22"/>
              </w:rPr>
              <w:t>4.承重800Kg。</w:t>
            </w:r>
          </w:p>
        </w:tc>
      </w:tr>
      <w:tr w14:paraId="64B7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AD14063">
            <w:pPr>
              <w:widowControl/>
              <w:jc w:val="center"/>
              <w:rPr>
                <w:rFonts w:ascii="宋体" w:hAnsi="宋体" w:cs="宋体"/>
                <w:kern w:val="0"/>
                <w:sz w:val="22"/>
              </w:rPr>
            </w:pPr>
            <w:r>
              <w:rPr>
                <w:rFonts w:hint="eastAsia" w:ascii="宋体" w:hAnsi="宋体" w:cs="宋体"/>
                <w:kern w:val="0"/>
                <w:sz w:val="22"/>
              </w:rPr>
              <w:t>LED时钟</w:t>
            </w:r>
          </w:p>
        </w:tc>
        <w:tc>
          <w:tcPr>
            <w:tcW w:w="7654" w:type="dxa"/>
            <w:tcBorders>
              <w:tl2br w:val="nil"/>
              <w:tr2bl w:val="nil"/>
            </w:tcBorders>
            <w:shd w:val="clear" w:color="000000" w:fill="FFFFFF"/>
            <w:vAlign w:val="center"/>
          </w:tcPr>
          <w:p w14:paraId="688814E2">
            <w:pPr>
              <w:widowControl/>
              <w:jc w:val="left"/>
              <w:rPr>
                <w:rFonts w:ascii="宋体" w:hAnsi="宋体" w:cs="宋体"/>
                <w:kern w:val="0"/>
                <w:sz w:val="22"/>
              </w:rPr>
            </w:pPr>
            <w:r>
              <w:rPr>
                <w:rFonts w:hint="eastAsia" w:ascii="宋体" w:hAnsi="宋体" w:cs="宋体"/>
                <w:kern w:val="0"/>
                <w:sz w:val="22"/>
              </w:rPr>
              <w:t>1.非录制状态显示时间；</w:t>
            </w:r>
            <w:r>
              <w:rPr>
                <w:rFonts w:hint="eastAsia" w:ascii="宋体" w:hAnsi="宋体" w:cs="宋体"/>
                <w:kern w:val="0"/>
                <w:sz w:val="22"/>
              </w:rPr>
              <w:br w:type="textWrapping"/>
            </w:r>
            <w:r>
              <w:rPr>
                <w:rFonts w:hint="eastAsia" w:ascii="宋体" w:hAnsi="宋体" w:cs="宋体"/>
                <w:kern w:val="0"/>
                <w:sz w:val="22"/>
              </w:rPr>
              <w:t>2.需支持录制状态时显示计时信息，与录播系统无缝联动。</w:t>
            </w:r>
          </w:p>
        </w:tc>
      </w:tr>
      <w:tr w14:paraId="024E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F5F3291">
            <w:pPr>
              <w:widowControl/>
              <w:jc w:val="center"/>
              <w:rPr>
                <w:rFonts w:ascii="宋体" w:hAnsi="宋体" w:cs="宋体"/>
                <w:kern w:val="0"/>
                <w:sz w:val="22"/>
              </w:rPr>
            </w:pPr>
            <w:r>
              <w:rPr>
                <w:rFonts w:hint="eastAsia" w:ascii="宋体" w:hAnsi="宋体" w:cs="宋体"/>
                <w:kern w:val="0"/>
                <w:sz w:val="22"/>
              </w:rPr>
              <w:t>返看终端</w:t>
            </w:r>
          </w:p>
        </w:tc>
        <w:tc>
          <w:tcPr>
            <w:tcW w:w="7654" w:type="dxa"/>
            <w:tcBorders>
              <w:tl2br w:val="nil"/>
              <w:tr2bl w:val="nil"/>
            </w:tcBorders>
            <w:shd w:val="clear" w:color="000000" w:fill="FFFFFF"/>
            <w:vAlign w:val="center"/>
          </w:tcPr>
          <w:p w14:paraId="1ED73057">
            <w:pPr>
              <w:widowControl/>
              <w:jc w:val="left"/>
              <w:rPr>
                <w:rFonts w:ascii="宋体" w:hAnsi="宋体" w:cs="宋体"/>
                <w:kern w:val="0"/>
                <w:sz w:val="22"/>
              </w:rPr>
            </w:pPr>
            <w:r>
              <w:rPr>
                <w:rFonts w:hint="eastAsia" w:ascii="宋体" w:hAnsi="宋体" w:cs="宋体"/>
                <w:kern w:val="0"/>
                <w:sz w:val="22"/>
              </w:rPr>
              <w:t>1.屏幕尺寸：≥55英寸</w:t>
            </w:r>
            <w:r>
              <w:rPr>
                <w:rFonts w:hint="eastAsia" w:ascii="宋体" w:hAnsi="宋体" w:cs="宋体"/>
                <w:kern w:val="0"/>
                <w:sz w:val="22"/>
              </w:rPr>
              <w:br w:type="textWrapping"/>
            </w:r>
            <w:r>
              <w:rPr>
                <w:rFonts w:hint="eastAsia" w:ascii="宋体" w:hAnsi="宋体" w:cs="宋体"/>
                <w:kern w:val="0"/>
                <w:sz w:val="22"/>
              </w:rPr>
              <w:t>2.屏幕分辨率：超高清4K</w:t>
            </w:r>
            <w:r>
              <w:rPr>
                <w:rFonts w:hint="eastAsia" w:ascii="宋体" w:hAnsi="宋体" w:cs="宋体"/>
                <w:kern w:val="0"/>
                <w:sz w:val="22"/>
              </w:rPr>
              <w:br w:type="textWrapping"/>
            </w:r>
            <w:r>
              <w:rPr>
                <w:rFonts w:hint="eastAsia" w:ascii="宋体" w:hAnsi="宋体" w:cs="宋体"/>
                <w:kern w:val="0"/>
                <w:sz w:val="22"/>
              </w:rPr>
              <w:t>3.支持HDMI接口</w:t>
            </w:r>
          </w:p>
        </w:tc>
      </w:tr>
      <w:tr w14:paraId="306D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F8B8AF2">
            <w:pPr>
              <w:widowControl/>
              <w:jc w:val="center"/>
              <w:rPr>
                <w:rFonts w:ascii="宋体" w:hAnsi="宋体" w:cs="宋体"/>
                <w:kern w:val="0"/>
                <w:sz w:val="22"/>
              </w:rPr>
            </w:pPr>
            <w:r>
              <w:rPr>
                <w:rFonts w:hint="eastAsia" w:ascii="宋体" w:hAnsi="宋体" w:cs="宋体"/>
                <w:kern w:val="0"/>
                <w:sz w:val="22"/>
              </w:rPr>
              <w:t>壁挂支架</w:t>
            </w:r>
          </w:p>
        </w:tc>
        <w:tc>
          <w:tcPr>
            <w:tcW w:w="7654" w:type="dxa"/>
            <w:tcBorders>
              <w:tl2br w:val="nil"/>
              <w:tr2bl w:val="nil"/>
            </w:tcBorders>
            <w:shd w:val="clear" w:color="000000" w:fill="FFFFFF"/>
            <w:vAlign w:val="center"/>
          </w:tcPr>
          <w:p w14:paraId="10B8794A">
            <w:pPr>
              <w:widowControl/>
              <w:jc w:val="left"/>
              <w:rPr>
                <w:rFonts w:ascii="宋体" w:hAnsi="宋体" w:cs="宋体"/>
                <w:kern w:val="0"/>
                <w:sz w:val="22"/>
              </w:rPr>
            </w:pPr>
            <w:r>
              <w:rPr>
                <w:rFonts w:hint="eastAsia" w:ascii="宋体" w:hAnsi="宋体" w:cs="宋体"/>
                <w:kern w:val="0"/>
                <w:sz w:val="22"/>
              </w:rPr>
              <w:t>1.产品尺寸≥长735mm 宽225mm 高2mm</w:t>
            </w:r>
            <w:r>
              <w:rPr>
                <w:rFonts w:hint="eastAsia" w:ascii="宋体" w:hAnsi="宋体" w:cs="宋体"/>
                <w:kern w:val="0"/>
                <w:sz w:val="22"/>
              </w:rPr>
              <w:br w:type="textWrapping"/>
            </w:r>
            <w:r>
              <w:rPr>
                <w:rFonts w:hint="eastAsia" w:ascii="宋体" w:hAnsi="宋体" w:cs="宋体"/>
                <w:kern w:val="0"/>
                <w:sz w:val="22"/>
              </w:rPr>
              <w:t>2.配件类别:简易贴墙壁挂架</w:t>
            </w:r>
            <w:r>
              <w:rPr>
                <w:rFonts w:hint="eastAsia" w:ascii="宋体" w:hAnsi="宋体" w:cs="宋体"/>
                <w:kern w:val="0"/>
                <w:sz w:val="22"/>
              </w:rPr>
              <w:br w:type="textWrapping"/>
            </w:r>
            <w:r>
              <w:rPr>
                <w:rFonts w:hint="eastAsia" w:ascii="宋体" w:hAnsi="宋体" w:cs="宋体"/>
                <w:kern w:val="0"/>
                <w:sz w:val="22"/>
              </w:rPr>
              <w:t>3.适配屏幕尺寸:≥55英寸</w:t>
            </w:r>
          </w:p>
        </w:tc>
      </w:tr>
      <w:tr w14:paraId="19E0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DE21088">
            <w:pPr>
              <w:widowControl/>
              <w:jc w:val="center"/>
              <w:rPr>
                <w:rFonts w:ascii="宋体" w:hAnsi="宋体" w:cs="宋体"/>
                <w:kern w:val="0"/>
                <w:sz w:val="22"/>
              </w:rPr>
            </w:pPr>
            <w:r>
              <w:rPr>
                <w:rFonts w:hint="eastAsia" w:ascii="宋体" w:hAnsi="宋体" w:cs="宋体"/>
                <w:kern w:val="0"/>
                <w:sz w:val="22"/>
              </w:rPr>
              <w:t>移动摄制终端</w:t>
            </w:r>
          </w:p>
        </w:tc>
        <w:tc>
          <w:tcPr>
            <w:tcW w:w="7654" w:type="dxa"/>
            <w:tcBorders>
              <w:tl2br w:val="nil"/>
              <w:tr2bl w:val="nil"/>
            </w:tcBorders>
            <w:shd w:val="clear" w:color="000000" w:fill="FFFFFF"/>
            <w:vAlign w:val="center"/>
          </w:tcPr>
          <w:p w14:paraId="440102A8">
            <w:pPr>
              <w:widowControl/>
              <w:jc w:val="left"/>
              <w:rPr>
                <w:rFonts w:ascii="宋体" w:hAnsi="宋体" w:cs="宋体"/>
                <w:kern w:val="0"/>
                <w:sz w:val="22"/>
              </w:rPr>
            </w:pPr>
            <w:r>
              <w:rPr>
                <w:rFonts w:hint="eastAsia" w:ascii="宋体" w:hAnsi="宋体" w:cs="宋体"/>
                <w:kern w:val="0"/>
                <w:sz w:val="22"/>
              </w:rPr>
              <w:t>1.传感器尺寸：全画幅</w:t>
            </w:r>
            <w:r>
              <w:rPr>
                <w:rFonts w:hint="eastAsia" w:ascii="宋体" w:hAnsi="宋体" w:cs="宋体"/>
                <w:kern w:val="0"/>
                <w:sz w:val="22"/>
              </w:rPr>
              <w:br w:type="textWrapping"/>
            </w:r>
            <w:r>
              <w:rPr>
                <w:rFonts w:hint="eastAsia" w:ascii="宋体" w:hAnsi="宋体" w:cs="宋体"/>
                <w:kern w:val="0"/>
                <w:sz w:val="22"/>
              </w:rPr>
              <w:t>2.语言:英语、中文、日语</w:t>
            </w:r>
            <w:r>
              <w:rPr>
                <w:rFonts w:hint="eastAsia" w:ascii="宋体" w:hAnsi="宋体" w:cs="宋体"/>
                <w:kern w:val="0"/>
                <w:sz w:val="22"/>
              </w:rPr>
              <w:br w:type="textWrapping"/>
            </w:r>
            <w:r>
              <w:rPr>
                <w:rFonts w:hint="eastAsia" w:ascii="宋体" w:hAnsi="宋体" w:cs="宋体"/>
                <w:kern w:val="0"/>
                <w:sz w:val="22"/>
              </w:rPr>
              <w:t>3.接口：HDMI、NFC、Wi-Fi</w:t>
            </w:r>
            <w:r>
              <w:rPr>
                <w:rFonts w:hint="eastAsia" w:ascii="宋体" w:hAnsi="宋体" w:cs="宋体"/>
                <w:kern w:val="0"/>
                <w:sz w:val="22"/>
              </w:rPr>
              <w:br w:type="textWrapping"/>
            </w:r>
            <w:r>
              <w:rPr>
                <w:rFonts w:hint="eastAsia" w:ascii="宋体" w:hAnsi="宋体" w:cs="宋体"/>
                <w:kern w:val="0"/>
                <w:sz w:val="22"/>
              </w:rPr>
              <w:t>4.传感器类型：CMOS</w:t>
            </w:r>
            <w:r>
              <w:rPr>
                <w:rFonts w:hint="eastAsia" w:ascii="宋体" w:hAnsi="宋体" w:cs="宋体"/>
                <w:kern w:val="0"/>
                <w:sz w:val="22"/>
              </w:rPr>
              <w:br w:type="textWrapping"/>
            </w:r>
            <w:r>
              <w:rPr>
                <w:rFonts w:hint="eastAsia" w:ascii="宋体" w:hAnsi="宋体" w:cs="宋体"/>
                <w:kern w:val="0"/>
                <w:sz w:val="22"/>
              </w:rPr>
              <w:t>5.有效像素：≥</w:t>
            </w:r>
            <w:r>
              <w:rPr>
                <w:rFonts w:ascii="宋体" w:hAnsi="宋体" w:cs="宋体"/>
                <w:kern w:val="0"/>
                <w:sz w:val="22"/>
              </w:rPr>
              <w:t>4500</w:t>
            </w:r>
            <w:r>
              <w:rPr>
                <w:rFonts w:hint="eastAsia" w:ascii="宋体" w:hAnsi="宋体" w:cs="宋体"/>
                <w:kern w:val="0"/>
                <w:sz w:val="22"/>
              </w:rPr>
              <w:t>万</w:t>
            </w:r>
            <w:r>
              <w:rPr>
                <w:rFonts w:hint="eastAsia" w:ascii="宋体" w:hAnsi="宋体" w:cs="宋体"/>
                <w:kern w:val="0"/>
                <w:sz w:val="22"/>
              </w:rPr>
              <w:br w:type="textWrapping"/>
            </w:r>
            <w:r>
              <w:rPr>
                <w:rFonts w:hint="eastAsia" w:ascii="宋体" w:hAnsi="宋体" w:cs="宋体"/>
                <w:kern w:val="0"/>
                <w:sz w:val="22"/>
              </w:rPr>
              <w:t>6.取景器类型：电子取景器</w:t>
            </w:r>
            <w:r>
              <w:rPr>
                <w:rFonts w:hint="eastAsia" w:ascii="宋体" w:hAnsi="宋体" w:cs="宋体"/>
                <w:kern w:val="0"/>
                <w:sz w:val="22"/>
              </w:rPr>
              <w:br w:type="textWrapping"/>
            </w:r>
            <w:r>
              <w:rPr>
                <w:rFonts w:hint="eastAsia" w:ascii="宋体" w:hAnsi="宋体" w:cs="宋体"/>
                <w:kern w:val="0"/>
                <w:sz w:val="22"/>
              </w:rPr>
              <w:t>7.液晶屏类型：触摸屏</w:t>
            </w:r>
            <w:r>
              <w:rPr>
                <w:rFonts w:hint="eastAsia" w:ascii="宋体" w:hAnsi="宋体" w:cs="宋体"/>
                <w:kern w:val="0"/>
                <w:sz w:val="22"/>
              </w:rPr>
              <w:br w:type="textWrapping"/>
            </w:r>
            <w:r>
              <w:rPr>
                <w:rFonts w:hint="eastAsia" w:ascii="宋体" w:hAnsi="宋体" w:cs="宋体"/>
                <w:kern w:val="0"/>
                <w:sz w:val="22"/>
              </w:rPr>
              <w:t>8.标准ISO感光度：ISO 100-102400</w:t>
            </w:r>
            <w:r>
              <w:rPr>
                <w:rFonts w:hint="eastAsia" w:ascii="宋体" w:hAnsi="宋体" w:cs="宋体"/>
                <w:kern w:val="0"/>
                <w:sz w:val="22"/>
              </w:rPr>
              <w:br w:type="textWrapping"/>
            </w:r>
            <w:r>
              <w:rPr>
                <w:rFonts w:hint="eastAsia" w:ascii="宋体" w:hAnsi="宋体" w:cs="宋体"/>
                <w:kern w:val="0"/>
                <w:sz w:val="22"/>
              </w:rPr>
              <w:t>9.功能：遥控拍摄 延时拍摄</w:t>
            </w:r>
            <w:r>
              <w:rPr>
                <w:rFonts w:hint="eastAsia" w:ascii="宋体" w:hAnsi="宋体" w:cs="宋体"/>
                <w:kern w:val="0"/>
                <w:sz w:val="22"/>
              </w:rPr>
              <w:br w:type="textWrapping"/>
            </w:r>
            <w:r>
              <w:rPr>
                <w:rFonts w:hint="eastAsia" w:ascii="宋体" w:hAnsi="宋体" w:cs="宋体"/>
                <w:kern w:val="0"/>
                <w:sz w:val="22"/>
              </w:rPr>
              <w:t>10.存储介质：</w:t>
            </w:r>
            <w:r>
              <w:rPr>
                <w:rFonts w:ascii="宋体" w:hAnsi="宋体" w:cs="宋体"/>
                <w:kern w:val="0"/>
                <w:sz w:val="22"/>
              </w:rPr>
              <w:t>CFexpress</w:t>
            </w:r>
            <w:r>
              <w:rPr>
                <w:rFonts w:hint="eastAsia" w:ascii="宋体" w:hAnsi="宋体" w:cs="宋体"/>
                <w:kern w:val="0"/>
                <w:sz w:val="22"/>
              </w:rPr>
              <w:t>卡 SD卡 SDXC卡 SDHC卡</w:t>
            </w:r>
            <w:r>
              <w:rPr>
                <w:rFonts w:hint="eastAsia" w:ascii="宋体" w:hAnsi="宋体" w:cs="宋体"/>
                <w:kern w:val="0"/>
                <w:sz w:val="22"/>
              </w:rPr>
              <w:br w:type="textWrapping"/>
            </w:r>
            <w:r>
              <w:rPr>
                <w:rFonts w:hint="eastAsia" w:ascii="宋体" w:hAnsi="宋体" w:cs="宋体"/>
                <w:kern w:val="0"/>
                <w:sz w:val="22"/>
              </w:rPr>
              <w:t>11.视频拍摄能力：</w:t>
            </w:r>
            <w:r>
              <w:rPr>
                <w:rFonts w:hint="eastAsia" w:asciiTheme="minorEastAsia" w:hAnsiTheme="minorEastAsia" w:eastAsiaTheme="minorEastAsia" w:cstheme="minorEastAsia"/>
                <w:sz w:val="18"/>
                <w:szCs w:val="18"/>
              </w:rPr>
              <w:t>8K超高清</w:t>
            </w:r>
            <w:r>
              <w:rPr>
                <w:rFonts w:hint="eastAsia" w:ascii="宋体" w:hAnsi="宋体" w:cs="宋体"/>
                <w:kern w:val="0"/>
                <w:sz w:val="22"/>
              </w:rPr>
              <w:br w:type="textWrapping"/>
            </w:r>
            <w:r>
              <w:rPr>
                <w:rFonts w:hint="eastAsia" w:ascii="宋体" w:hAnsi="宋体" w:cs="宋体"/>
                <w:kern w:val="0"/>
                <w:sz w:val="22"/>
              </w:rPr>
              <w:t>12.支持WIFI6E/6、蓝牙、2.5GBase-T有线等任意两种连接</w:t>
            </w:r>
          </w:p>
        </w:tc>
      </w:tr>
      <w:tr w14:paraId="29C1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242A7B0">
            <w:pPr>
              <w:widowControl/>
              <w:jc w:val="center"/>
              <w:rPr>
                <w:rFonts w:ascii="宋体" w:hAnsi="宋体" w:cs="宋体"/>
                <w:kern w:val="0"/>
                <w:sz w:val="22"/>
              </w:rPr>
            </w:pPr>
            <w:r>
              <w:rPr>
                <w:rFonts w:hint="eastAsia" w:ascii="宋体" w:hAnsi="宋体" w:cs="宋体"/>
                <w:kern w:val="0"/>
                <w:sz w:val="22"/>
              </w:rPr>
              <w:t>移动摄制终端原装电池及充电套装</w:t>
            </w:r>
          </w:p>
        </w:tc>
        <w:tc>
          <w:tcPr>
            <w:tcW w:w="7654" w:type="dxa"/>
            <w:tcBorders>
              <w:tl2br w:val="nil"/>
              <w:tr2bl w:val="nil"/>
            </w:tcBorders>
            <w:shd w:val="clear" w:color="000000" w:fill="FFFFFF"/>
            <w:vAlign w:val="center"/>
          </w:tcPr>
          <w:p w14:paraId="2AE14951">
            <w:pPr>
              <w:widowControl/>
              <w:jc w:val="left"/>
              <w:rPr>
                <w:rFonts w:ascii="宋体" w:hAnsi="宋体" w:cs="宋体"/>
                <w:kern w:val="0"/>
                <w:sz w:val="22"/>
              </w:rPr>
            </w:pPr>
            <w:r>
              <w:rPr>
                <w:rFonts w:hint="eastAsia" w:ascii="宋体" w:hAnsi="宋体" w:cs="宋体"/>
                <w:kern w:val="0"/>
                <w:sz w:val="22"/>
              </w:rPr>
              <w:t>1.电池容量：≥1865mAh</w:t>
            </w:r>
            <w:r>
              <w:rPr>
                <w:rFonts w:hint="eastAsia" w:ascii="宋体" w:hAnsi="宋体" w:cs="宋体"/>
                <w:kern w:val="0"/>
                <w:sz w:val="22"/>
              </w:rPr>
              <w:br w:type="textWrapping"/>
            </w:r>
            <w:r>
              <w:rPr>
                <w:rFonts w:hint="eastAsia" w:ascii="宋体" w:hAnsi="宋体" w:cs="宋体"/>
                <w:kern w:val="0"/>
                <w:sz w:val="22"/>
              </w:rPr>
              <w:t>2.电池电压：7.2V</w:t>
            </w:r>
            <w:r>
              <w:rPr>
                <w:rFonts w:hint="eastAsia" w:ascii="宋体" w:hAnsi="宋体" w:cs="宋体"/>
                <w:kern w:val="0"/>
                <w:sz w:val="22"/>
              </w:rPr>
              <w:br w:type="textWrapping"/>
            </w:r>
            <w:r>
              <w:rPr>
                <w:rFonts w:hint="eastAsia" w:ascii="宋体" w:hAnsi="宋体" w:cs="宋体"/>
                <w:kern w:val="0"/>
                <w:sz w:val="22"/>
              </w:rPr>
              <w:t>3.输出电压:AC 100-240V(50/60Hz)/DC 8.4V、1200mA</w:t>
            </w:r>
            <w:r>
              <w:rPr>
                <w:rFonts w:hint="eastAsia" w:ascii="宋体" w:hAnsi="宋体" w:cs="宋体"/>
                <w:kern w:val="0"/>
                <w:sz w:val="22"/>
              </w:rPr>
              <w:br w:type="textWrapping"/>
            </w:r>
            <w:r>
              <w:rPr>
                <w:rFonts w:hint="eastAsia" w:ascii="宋体" w:hAnsi="宋体" w:cs="宋体"/>
                <w:kern w:val="0"/>
                <w:sz w:val="22"/>
              </w:rPr>
              <w:t>4.配套原装充电器</w:t>
            </w:r>
          </w:p>
        </w:tc>
      </w:tr>
      <w:tr w14:paraId="3569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2C0ED87">
            <w:pPr>
              <w:widowControl/>
              <w:jc w:val="center"/>
              <w:rPr>
                <w:rFonts w:ascii="宋体" w:hAnsi="宋体" w:cs="宋体"/>
                <w:kern w:val="0"/>
                <w:sz w:val="22"/>
              </w:rPr>
            </w:pPr>
            <w:r>
              <w:rPr>
                <w:rFonts w:hint="eastAsia" w:ascii="宋体" w:hAnsi="宋体" w:cs="宋体"/>
                <w:kern w:val="0"/>
                <w:sz w:val="22"/>
              </w:rPr>
              <w:t>高速内存卡</w:t>
            </w:r>
          </w:p>
        </w:tc>
        <w:tc>
          <w:tcPr>
            <w:tcW w:w="7654" w:type="dxa"/>
            <w:tcBorders>
              <w:tl2br w:val="nil"/>
              <w:tr2bl w:val="nil"/>
            </w:tcBorders>
            <w:shd w:val="clear" w:color="000000" w:fill="FFFFFF"/>
            <w:vAlign w:val="center"/>
          </w:tcPr>
          <w:p w14:paraId="56213917">
            <w:pPr>
              <w:widowControl/>
              <w:jc w:val="left"/>
              <w:rPr>
                <w:rFonts w:ascii="宋体" w:hAnsi="宋体" w:cs="宋体"/>
                <w:kern w:val="0"/>
                <w:sz w:val="22"/>
              </w:rPr>
            </w:pPr>
            <w:r>
              <w:rPr>
                <w:rFonts w:hint="eastAsia" w:ascii="宋体" w:hAnsi="宋体" w:cs="宋体"/>
                <w:kern w:val="0"/>
                <w:sz w:val="22"/>
              </w:rPr>
              <w:t>1.容量：≥128GB</w:t>
            </w:r>
            <w:r>
              <w:rPr>
                <w:rFonts w:hint="eastAsia" w:ascii="宋体" w:hAnsi="宋体" w:cs="宋体"/>
                <w:kern w:val="0"/>
                <w:sz w:val="22"/>
              </w:rPr>
              <w:br w:type="textWrapping"/>
            </w:r>
            <w:r>
              <w:rPr>
                <w:rFonts w:hint="eastAsia" w:ascii="宋体" w:hAnsi="宋体" w:cs="宋体"/>
                <w:kern w:val="0"/>
                <w:sz w:val="22"/>
              </w:rPr>
              <w:t>2.类型：SD卡</w:t>
            </w:r>
            <w:r>
              <w:rPr>
                <w:rFonts w:hint="eastAsia" w:ascii="宋体" w:hAnsi="宋体" w:cs="宋体"/>
                <w:kern w:val="0"/>
                <w:sz w:val="22"/>
              </w:rPr>
              <w:br w:type="textWrapping"/>
            </w:r>
            <w:r>
              <w:rPr>
                <w:rFonts w:hint="eastAsia" w:ascii="宋体" w:hAnsi="宋体" w:cs="宋体"/>
                <w:kern w:val="0"/>
                <w:sz w:val="22"/>
              </w:rPr>
              <w:t>3.读取速度：≥200MB/s</w:t>
            </w:r>
            <w:r>
              <w:rPr>
                <w:rFonts w:hint="eastAsia" w:ascii="宋体" w:hAnsi="宋体" w:cs="宋体"/>
                <w:kern w:val="0"/>
                <w:sz w:val="22"/>
              </w:rPr>
              <w:br w:type="textWrapping"/>
            </w:r>
            <w:r>
              <w:rPr>
                <w:rFonts w:hint="eastAsia" w:ascii="宋体" w:hAnsi="宋体" w:cs="宋体"/>
                <w:kern w:val="0"/>
                <w:sz w:val="22"/>
              </w:rPr>
              <w:t>4.写入速度：≥90MB/s</w:t>
            </w:r>
            <w:r>
              <w:rPr>
                <w:rFonts w:hint="eastAsia" w:ascii="宋体" w:hAnsi="宋体" w:cs="宋体"/>
                <w:kern w:val="0"/>
                <w:sz w:val="22"/>
              </w:rPr>
              <w:br w:type="textWrapping"/>
            </w:r>
            <w:r>
              <w:rPr>
                <w:rFonts w:hint="eastAsia" w:ascii="宋体" w:hAnsi="宋体" w:cs="宋体"/>
                <w:kern w:val="0"/>
                <w:sz w:val="22"/>
              </w:rPr>
              <w:t>5.速度：class10 U3 V30</w:t>
            </w:r>
          </w:p>
        </w:tc>
      </w:tr>
      <w:tr w14:paraId="0B52D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1373D1E">
            <w:pPr>
              <w:widowControl/>
              <w:jc w:val="center"/>
              <w:rPr>
                <w:rFonts w:ascii="宋体" w:hAnsi="宋体" w:cs="宋体"/>
                <w:kern w:val="0"/>
                <w:sz w:val="22"/>
              </w:rPr>
            </w:pPr>
            <w:r>
              <w:rPr>
                <w:rFonts w:hint="eastAsia" w:ascii="宋体" w:hAnsi="宋体" w:cs="宋体"/>
                <w:kern w:val="0"/>
                <w:sz w:val="22"/>
              </w:rPr>
              <w:t>读卡器</w:t>
            </w:r>
          </w:p>
        </w:tc>
        <w:tc>
          <w:tcPr>
            <w:tcW w:w="7654" w:type="dxa"/>
            <w:tcBorders>
              <w:tl2br w:val="nil"/>
              <w:tr2bl w:val="nil"/>
            </w:tcBorders>
            <w:shd w:val="clear" w:color="000000" w:fill="FFFFFF"/>
            <w:vAlign w:val="center"/>
          </w:tcPr>
          <w:p w14:paraId="7F03AFF7">
            <w:pPr>
              <w:widowControl/>
              <w:jc w:val="left"/>
              <w:rPr>
                <w:rFonts w:ascii="宋体" w:hAnsi="宋体" w:cs="宋体"/>
                <w:kern w:val="0"/>
                <w:sz w:val="22"/>
              </w:rPr>
            </w:pPr>
            <w:r>
              <w:rPr>
                <w:rFonts w:hint="eastAsia" w:ascii="宋体" w:hAnsi="宋体" w:cs="宋体"/>
                <w:kern w:val="0"/>
                <w:sz w:val="22"/>
              </w:rPr>
              <w:t>1.接口:USB3.0</w:t>
            </w:r>
            <w:r>
              <w:rPr>
                <w:rFonts w:hint="eastAsia" w:ascii="宋体" w:hAnsi="宋体" w:cs="宋体"/>
                <w:kern w:val="0"/>
                <w:sz w:val="22"/>
              </w:rPr>
              <w:br w:type="textWrapping"/>
            </w:r>
            <w:r>
              <w:rPr>
                <w:rFonts w:hint="eastAsia" w:ascii="宋体" w:hAnsi="宋体" w:cs="宋体"/>
                <w:kern w:val="0"/>
                <w:sz w:val="22"/>
              </w:rPr>
              <w:t>2.读取类型:多卡单读</w:t>
            </w:r>
            <w:r>
              <w:rPr>
                <w:rFonts w:hint="eastAsia" w:ascii="宋体" w:hAnsi="宋体" w:cs="宋体"/>
                <w:kern w:val="0"/>
                <w:sz w:val="22"/>
              </w:rPr>
              <w:br w:type="textWrapping"/>
            </w:r>
            <w:r>
              <w:rPr>
                <w:rFonts w:hint="eastAsia" w:ascii="宋体" w:hAnsi="宋体" w:cs="宋体"/>
                <w:kern w:val="0"/>
                <w:sz w:val="22"/>
              </w:rPr>
              <w:t>3.读取对象:TF卡 CF卡 SD卡 MS卡</w:t>
            </w:r>
          </w:p>
        </w:tc>
      </w:tr>
      <w:tr w14:paraId="4ED6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890D016">
            <w:pPr>
              <w:widowControl/>
              <w:jc w:val="center"/>
              <w:rPr>
                <w:rFonts w:ascii="宋体" w:hAnsi="宋体" w:cs="宋体"/>
                <w:kern w:val="0"/>
                <w:sz w:val="22"/>
              </w:rPr>
            </w:pPr>
            <w:r>
              <w:rPr>
                <w:rFonts w:hint="eastAsia" w:ascii="宋体" w:hAnsi="宋体" w:cs="宋体"/>
                <w:kern w:val="0"/>
                <w:sz w:val="22"/>
              </w:rPr>
              <w:t>移动摄制原配镜头1</w:t>
            </w:r>
          </w:p>
        </w:tc>
        <w:tc>
          <w:tcPr>
            <w:tcW w:w="7654" w:type="dxa"/>
            <w:tcBorders>
              <w:tl2br w:val="nil"/>
              <w:tr2bl w:val="nil"/>
            </w:tcBorders>
            <w:shd w:val="clear" w:color="000000" w:fill="FFFFFF"/>
            <w:vAlign w:val="center"/>
          </w:tcPr>
          <w:p w14:paraId="2A170619">
            <w:pPr>
              <w:widowControl/>
              <w:jc w:val="left"/>
              <w:rPr>
                <w:rFonts w:ascii="宋体" w:hAnsi="宋体" w:cs="宋体"/>
                <w:kern w:val="0"/>
                <w:sz w:val="22"/>
              </w:rPr>
            </w:pPr>
            <w:r>
              <w:rPr>
                <w:rFonts w:hint="eastAsia" w:ascii="宋体" w:hAnsi="宋体" w:cs="宋体"/>
                <w:kern w:val="0"/>
                <w:sz w:val="22"/>
              </w:rPr>
              <w:t>1.镜头类型：超广角变焦</w:t>
            </w:r>
            <w:r>
              <w:rPr>
                <w:rFonts w:hint="eastAsia" w:ascii="宋体" w:hAnsi="宋体" w:cs="宋体"/>
                <w:kern w:val="0"/>
                <w:sz w:val="22"/>
              </w:rPr>
              <w:br w:type="textWrapping"/>
            </w:r>
            <w:r>
              <w:rPr>
                <w:rFonts w:hint="eastAsia" w:ascii="宋体" w:hAnsi="宋体" w:cs="宋体"/>
                <w:kern w:val="0"/>
                <w:sz w:val="22"/>
              </w:rPr>
              <w:t>2.AF/MF切换：支持</w:t>
            </w:r>
          </w:p>
          <w:p w14:paraId="03B03641">
            <w:pPr>
              <w:widowControl/>
              <w:jc w:val="left"/>
              <w:rPr>
                <w:rFonts w:ascii="宋体" w:hAnsi="宋体" w:cs="宋体"/>
                <w:kern w:val="0"/>
                <w:sz w:val="22"/>
              </w:rPr>
            </w:pPr>
            <w:r>
              <w:rPr>
                <w:rFonts w:ascii="宋体" w:hAnsi="宋体" w:cs="宋体"/>
                <w:kern w:val="0"/>
                <w:sz w:val="22"/>
              </w:rPr>
              <w:t>3</w:t>
            </w:r>
            <w:r>
              <w:rPr>
                <w:rFonts w:hint="eastAsia" w:ascii="宋体" w:hAnsi="宋体" w:cs="宋体"/>
                <w:kern w:val="0"/>
                <w:sz w:val="22"/>
              </w:rPr>
              <w:t>.最大光圈：F2.8恒定</w:t>
            </w:r>
            <w:r>
              <w:rPr>
                <w:rFonts w:hint="eastAsia" w:ascii="宋体" w:hAnsi="宋体" w:cs="宋体"/>
                <w:kern w:val="0"/>
                <w:sz w:val="22"/>
              </w:rPr>
              <w:br w:type="textWrapping"/>
            </w:r>
            <w:r>
              <w:rPr>
                <w:rFonts w:ascii="宋体" w:hAnsi="宋体" w:cs="宋体"/>
                <w:kern w:val="0"/>
                <w:sz w:val="22"/>
              </w:rPr>
              <w:t>4</w:t>
            </w:r>
            <w:r>
              <w:rPr>
                <w:rFonts w:hint="eastAsia" w:ascii="宋体" w:hAnsi="宋体" w:cs="宋体"/>
                <w:kern w:val="0"/>
                <w:sz w:val="22"/>
              </w:rPr>
              <w:t>.滤镜直径：82mm</w:t>
            </w:r>
          </w:p>
        </w:tc>
      </w:tr>
      <w:tr w14:paraId="0920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A05AA99">
            <w:pPr>
              <w:widowControl/>
              <w:jc w:val="center"/>
              <w:rPr>
                <w:rFonts w:ascii="宋体" w:hAnsi="宋体" w:cs="宋体"/>
                <w:kern w:val="0"/>
                <w:sz w:val="22"/>
              </w:rPr>
            </w:pPr>
            <w:r>
              <w:rPr>
                <w:rFonts w:hint="eastAsia" w:ascii="宋体" w:hAnsi="宋体" w:cs="宋体"/>
                <w:kern w:val="0"/>
                <w:sz w:val="22"/>
              </w:rPr>
              <w:t>移动摄制原配镜头2</w:t>
            </w:r>
          </w:p>
        </w:tc>
        <w:tc>
          <w:tcPr>
            <w:tcW w:w="7654" w:type="dxa"/>
            <w:tcBorders>
              <w:tl2br w:val="nil"/>
              <w:tr2bl w:val="nil"/>
            </w:tcBorders>
            <w:shd w:val="clear" w:color="000000" w:fill="FFFFFF"/>
            <w:vAlign w:val="center"/>
          </w:tcPr>
          <w:p w14:paraId="1E8EB18A">
            <w:pPr>
              <w:widowControl/>
              <w:jc w:val="left"/>
              <w:rPr>
                <w:rFonts w:ascii="宋体" w:hAnsi="宋体" w:cs="宋体"/>
                <w:kern w:val="0"/>
                <w:sz w:val="22"/>
              </w:rPr>
            </w:pPr>
            <w:r>
              <w:rPr>
                <w:rFonts w:hint="eastAsia" w:ascii="宋体" w:hAnsi="宋体" w:cs="宋体"/>
                <w:kern w:val="0"/>
                <w:sz w:val="22"/>
              </w:rPr>
              <w:t>1.镜头类型：标准变焦</w:t>
            </w:r>
            <w:r>
              <w:rPr>
                <w:rFonts w:hint="eastAsia" w:ascii="宋体" w:hAnsi="宋体" w:cs="宋体"/>
                <w:kern w:val="0"/>
                <w:sz w:val="22"/>
              </w:rPr>
              <w:br w:type="textWrapping"/>
            </w:r>
            <w:r>
              <w:rPr>
                <w:rFonts w:hint="eastAsia" w:ascii="宋体" w:hAnsi="宋体" w:cs="宋体"/>
                <w:kern w:val="0"/>
                <w:sz w:val="22"/>
              </w:rPr>
              <w:t>2.AF/MF切换：支持</w:t>
            </w:r>
            <w:r>
              <w:rPr>
                <w:rFonts w:hint="eastAsia" w:ascii="宋体" w:hAnsi="宋体" w:cs="宋体"/>
                <w:kern w:val="0"/>
                <w:sz w:val="22"/>
              </w:rPr>
              <w:br w:type="textWrapping"/>
            </w:r>
            <w:r>
              <w:rPr>
                <w:rFonts w:hint="eastAsia" w:ascii="宋体" w:hAnsi="宋体" w:cs="宋体"/>
                <w:kern w:val="0"/>
                <w:sz w:val="22"/>
              </w:rPr>
              <w:t>3.最大光圈：F2.8恒定</w:t>
            </w:r>
          </w:p>
        </w:tc>
      </w:tr>
      <w:tr w14:paraId="046E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E3F050F">
            <w:pPr>
              <w:widowControl/>
              <w:jc w:val="center"/>
              <w:rPr>
                <w:rFonts w:ascii="宋体" w:hAnsi="宋体" w:cs="宋体"/>
                <w:kern w:val="0"/>
                <w:sz w:val="22"/>
              </w:rPr>
            </w:pPr>
            <w:r>
              <w:rPr>
                <w:rFonts w:hint="eastAsia" w:ascii="宋体" w:hAnsi="宋体" w:cs="宋体"/>
                <w:kern w:val="0"/>
                <w:sz w:val="22"/>
              </w:rPr>
              <w:t>三轴云台稳定器</w:t>
            </w:r>
          </w:p>
        </w:tc>
        <w:tc>
          <w:tcPr>
            <w:tcW w:w="7654" w:type="dxa"/>
            <w:tcBorders>
              <w:tl2br w:val="nil"/>
              <w:tr2bl w:val="nil"/>
            </w:tcBorders>
            <w:shd w:val="clear" w:color="000000" w:fill="FFFFFF"/>
            <w:vAlign w:val="center"/>
          </w:tcPr>
          <w:p w14:paraId="32FD30A9">
            <w:pPr>
              <w:widowControl/>
              <w:jc w:val="left"/>
              <w:rPr>
                <w:rFonts w:ascii="宋体" w:hAnsi="宋体" w:cs="宋体"/>
                <w:kern w:val="0"/>
                <w:sz w:val="22"/>
              </w:rPr>
            </w:pPr>
            <w:r>
              <w:rPr>
                <w:rFonts w:hint="eastAsia" w:ascii="宋体" w:hAnsi="宋体" w:cs="宋体"/>
                <w:kern w:val="0"/>
                <w:sz w:val="22"/>
              </w:rPr>
              <w:t>1.三轴防抖手持拍摄稳定器，负载重量不低于4.5 千克；</w:t>
            </w:r>
          </w:p>
          <w:p w14:paraId="22905D78">
            <w:pPr>
              <w:widowControl/>
              <w:jc w:val="left"/>
              <w:rPr>
                <w:rFonts w:ascii="宋体" w:hAnsi="宋体" w:cs="宋体"/>
                <w:kern w:val="0"/>
                <w:sz w:val="22"/>
              </w:rPr>
            </w:pPr>
            <w:r>
              <w:rPr>
                <w:rFonts w:hint="eastAsia" w:ascii="宋体" w:hAnsi="宋体" w:cs="宋体"/>
                <w:kern w:val="0"/>
                <w:sz w:val="22"/>
              </w:rPr>
              <w:t>2.OLED 触摸屏具有自动锁屏功能，拍摄时可避免误触。在锁屏状态下，屏幕还能以低亮度显示当前云台与摇杆模式，降低电量损耗；</w:t>
            </w:r>
          </w:p>
          <w:p w14:paraId="6F8F0C66">
            <w:pPr>
              <w:widowControl/>
              <w:jc w:val="left"/>
              <w:rPr>
                <w:rFonts w:ascii="宋体" w:hAnsi="宋体" w:cs="宋体"/>
                <w:kern w:val="0"/>
                <w:sz w:val="22"/>
              </w:rPr>
            </w:pPr>
            <w:r>
              <w:rPr>
                <w:rFonts w:hint="eastAsia" w:ascii="宋体" w:hAnsi="宋体" w:cs="宋体"/>
                <w:kern w:val="0"/>
                <w:sz w:val="22"/>
              </w:rPr>
              <w:t>3具备无线蓝牙直连，支持无线快门和无线变焦控制。当摇杆模式为变焦控制时，可通过摇杆进行 PZ 镜头电控变焦和清晰影像缩；</w:t>
            </w:r>
          </w:p>
          <w:p w14:paraId="250E6B69">
            <w:pPr>
              <w:widowControl/>
              <w:jc w:val="left"/>
              <w:rPr>
                <w:rFonts w:ascii="宋体" w:hAnsi="宋体" w:cs="宋体"/>
                <w:kern w:val="0"/>
                <w:sz w:val="22"/>
              </w:rPr>
            </w:pPr>
            <w:r>
              <w:rPr>
                <w:rFonts w:hint="eastAsia" w:ascii="宋体" w:hAnsi="宋体" w:cs="宋体"/>
                <w:kern w:val="0"/>
                <w:sz w:val="22"/>
              </w:rPr>
              <w:t>4.跟焦变焦双电机，支持远程控制；</w:t>
            </w:r>
          </w:p>
          <w:p w14:paraId="59195268">
            <w:pPr>
              <w:widowControl/>
              <w:jc w:val="left"/>
              <w:rPr>
                <w:rFonts w:ascii="宋体" w:hAnsi="宋体" w:cs="宋体"/>
                <w:kern w:val="0"/>
                <w:sz w:val="22"/>
              </w:rPr>
            </w:pPr>
            <w:r>
              <w:rPr>
                <w:rFonts w:hint="eastAsia" w:ascii="宋体" w:hAnsi="宋体" w:cs="宋体"/>
                <w:kern w:val="0"/>
                <w:sz w:val="22"/>
              </w:rPr>
              <w:t>5云台横版设计，便捷横竖拍切换；</w:t>
            </w:r>
          </w:p>
          <w:p w14:paraId="65317D96">
            <w:pPr>
              <w:widowControl/>
              <w:jc w:val="left"/>
              <w:rPr>
                <w:rFonts w:ascii="宋体" w:hAnsi="宋体" w:cs="宋体"/>
                <w:kern w:val="0"/>
                <w:sz w:val="22"/>
              </w:rPr>
            </w:pPr>
            <w:r>
              <w:rPr>
                <w:rFonts w:hint="eastAsia" w:ascii="宋体" w:hAnsi="宋体" w:cs="宋体"/>
                <w:kern w:val="0"/>
                <w:sz w:val="22"/>
              </w:rPr>
              <w:t>6.RSA 配件扩展接口／NATO 接口；</w:t>
            </w:r>
          </w:p>
          <w:p w14:paraId="2789E41E">
            <w:pPr>
              <w:widowControl/>
              <w:jc w:val="left"/>
              <w:rPr>
                <w:rFonts w:ascii="宋体" w:hAnsi="宋体" w:cs="宋体"/>
                <w:kern w:val="0"/>
                <w:sz w:val="22"/>
              </w:rPr>
            </w:pPr>
            <w:r>
              <w:rPr>
                <w:rFonts w:hint="eastAsia" w:ascii="宋体" w:hAnsi="宋体" w:cs="宋体"/>
                <w:kern w:val="0"/>
                <w:sz w:val="22"/>
              </w:rPr>
              <w:t>7.1/4"-20 安装孔；</w:t>
            </w:r>
          </w:p>
          <w:p w14:paraId="35831407">
            <w:pPr>
              <w:widowControl/>
              <w:jc w:val="left"/>
              <w:rPr>
                <w:rFonts w:ascii="宋体" w:hAnsi="宋体" w:cs="宋体"/>
                <w:kern w:val="0"/>
                <w:sz w:val="22"/>
              </w:rPr>
            </w:pPr>
            <w:r>
              <w:rPr>
                <w:rFonts w:hint="eastAsia" w:ascii="宋体" w:hAnsi="宋体" w:cs="宋体"/>
                <w:kern w:val="0"/>
                <w:sz w:val="22"/>
              </w:rPr>
              <w:t>8.冷靴接口；</w:t>
            </w:r>
          </w:p>
          <w:p w14:paraId="5849EF2F">
            <w:pPr>
              <w:widowControl/>
              <w:jc w:val="left"/>
              <w:rPr>
                <w:rFonts w:ascii="宋体" w:hAnsi="宋体" w:cs="宋体"/>
                <w:kern w:val="0"/>
                <w:sz w:val="22"/>
              </w:rPr>
            </w:pPr>
            <w:r>
              <w:rPr>
                <w:rFonts w:hint="eastAsia" w:ascii="宋体" w:hAnsi="宋体" w:cs="宋体"/>
                <w:kern w:val="0"/>
                <w:sz w:val="22"/>
              </w:rPr>
              <w:t>9.图传／LiDAR 测距器接口（USB-C）；</w:t>
            </w:r>
          </w:p>
          <w:p w14:paraId="1EDD629A">
            <w:pPr>
              <w:widowControl/>
              <w:jc w:val="left"/>
              <w:rPr>
                <w:rFonts w:ascii="宋体" w:hAnsi="宋体" w:cs="宋体"/>
                <w:kern w:val="0"/>
                <w:sz w:val="22"/>
              </w:rPr>
            </w:pPr>
            <w:r>
              <w:rPr>
                <w:rFonts w:hint="eastAsia" w:ascii="宋体" w:hAnsi="宋体" w:cs="宋体"/>
                <w:kern w:val="0"/>
                <w:sz w:val="22"/>
              </w:rPr>
              <w:t>10.RSS 相机快门控制接口（USB-C）；</w:t>
            </w:r>
          </w:p>
          <w:p w14:paraId="666E6221">
            <w:pPr>
              <w:widowControl/>
              <w:jc w:val="left"/>
              <w:rPr>
                <w:rFonts w:ascii="宋体" w:hAnsi="宋体" w:cs="宋体"/>
                <w:kern w:val="0"/>
                <w:sz w:val="22"/>
              </w:rPr>
            </w:pPr>
            <w:r>
              <w:rPr>
                <w:rFonts w:hint="eastAsia" w:ascii="宋体" w:hAnsi="宋体" w:cs="宋体"/>
                <w:kern w:val="0"/>
                <w:sz w:val="22"/>
              </w:rPr>
              <w:t>11.跟焦电机接口（USB-C）；</w:t>
            </w:r>
          </w:p>
          <w:p w14:paraId="19DC50B7">
            <w:pPr>
              <w:widowControl/>
              <w:jc w:val="left"/>
              <w:rPr>
                <w:rFonts w:ascii="宋体" w:hAnsi="宋体" w:cs="宋体"/>
                <w:kern w:val="0"/>
                <w:sz w:val="22"/>
              </w:rPr>
            </w:pPr>
            <w:r>
              <w:rPr>
                <w:rFonts w:hint="eastAsia" w:ascii="宋体" w:hAnsi="宋体" w:cs="宋体"/>
                <w:kern w:val="0"/>
                <w:sz w:val="22"/>
              </w:rPr>
              <w:t>12.电池容量：不小于1950 毫安时。</w:t>
            </w:r>
          </w:p>
        </w:tc>
      </w:tr>
      <w:tr w14:paraId="0CA6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983AFB9">
            <w:pPr>
              <w:widowControl/>
              <w:jc w:val="center"/>
              <w:rPr>
                <w:rFonts w:ascii="宋体" w:hAnsi="宋体" w:cs="宋体"/>
                <w:kern w:val="0"/>
                <w:sz w:val="22"/>
              </w:rPr>
            </w:pPr>
            <w:r>
              <w:rPr>
                <w:rFonts w:hint="eastAsia" w:ascii="宋体" w:hAnsi="宋体" w:cs="宋体"/>
                <w:kern w:val="0"/>
                <w:sz w:val="22"/>
              </w:rPr>
              <w:t>移动组合桌</w:t>
            </w:r>
          </w:p>
        </w:tc>
        <w:tc>
          <w:tcPr>
            <w:tcW w:w="7654" w:type="dxa"/>
            <w:tcBorders>
              <w:tl2br w:val="nil"/>
              <w:tr2bl w:val="nil"/>
            </w:tcBorders>
            <w:shd w:val="clear" w:color="000000" w:fill="FFFFFF"/>
            <w:vAlign w:val="center"/>
          </w:tcPr>
          <w:p w14:paraId="4E9EF12B">
            <w:pPr>
              <w:widowControl/>
              <w:jc w:val="left"/>
              <w:rPr>
                <w:rFonts w:ascii="宋体" w:hAnsi="宋体" w:cs="宋体"/>
                <w:kern w:val="0"/>
                <w:sz w:val="22"/>
              </w:rPr>
            </w:pPr>
            <w:r>
              <w:rPr>
                <w:rFonts w:hint="eastAsia" w:ascii="宋体" w:hAnsi="宋体" w:cs="宋体"/>
                <w:kern w:val="0"/>
                <w:sz w:val="22"/>
              </w:rPr>
              <w:t>尺寸：≥800*550*750 mm （扇形桌） 6拼直径≥1600mm；</w:t>
            </w:r>
            <w:r>
              <w:rPr>
                <w:rFonts w:hint="eastAsia" w:ascii="宋体" w:hAnsi="宋体" w:cs="宋体"/>
                <w:kern w:val="0"/>
                <w:sz w:val="22"/>
              </w:rPr>
              <w:br w:type="textWrapping"/>
            </w:r>
            <w:r>
              <w:rPr>
                <w:rFonts w:hint="eastAsia" w:ascii="宋体" w:hAnsi="宋体" w:cs="宋体"/>
                <w:kern w:val="0"/>
                <w:sz w:val="22"/>
              </w:rPr>
              <w:t>1.木板：采用国家E1环保标准级别面板≥25mm厚实木颗粒板</w:t>
            </w:r>
            <w:r>
              <w:rPr>
                <w:rFonts w:hint="eastAsia" w:ascii="宋体" w:hAnsi="宋体" w:cs="宋体"/>
                <w:kern w:val="0"/>
                <w:sz w:val="22"/>
              </w:rPr>
              <w:br w:type="textWrapping"/>
            </w:r>
            <w:r>
              <w:rPr>
                <w:rFonts w:hint="eastAsia" w:ascii="宋体" w:hAnsi="宋体" w:cs="宋体"/>
                <w:kern w:val="0"/>
                <w:sz w:val="22"/>
              </w:rPr>
              <w:t>2.脚架：前脚采用≥30*60MM蛋型壁厚≥1.2MM冷轧钢管，后脚采用≥25*50MM蛋型冷轧钢管（壁厚≥1.2MM)</w:t>
            </w:r>
            <w:r>
              <w:rPr>
                <w:rFonts w:hint="eastAsia" w:ascii="宋体" w:hAnsi="宋体" w:cs="宋体"/>
                <w:kern w:val="0"/>
                <w:sz w:val="22"/>
              </w:rPr>
              <w:br w:type="textWrapping"/>
            </w:r>
            <w:r>
              <w:rPr>
                <w:rFonts w:hint="eastAsia" w:ascii="宋体" w:hAnsi="宋体" w:cs="宋体"/>
                <w:kern w:val="0"/>
                <w:sz w:val="22"/>
              </w:rPr>
              <w:t>3.书网：采用优质圆形钢管</w:t>
            </w:r>
            <w:r>
              <w:rPr>
                <w:rFonts w:hint="eastAsia" w:ascii="宋体" w:hAnsi="宋体" w:cs="宋体"/>
                <w:kern w:val="0"/>
                <w:sz w:val="22"/>
              </w:rPr>
              <w:br w:type="textWrapping"/>
            </w:r>
            <w:r>
              <w:rPr>
                <w:rFonts w:hint="eastAsia" w:ascii="宋体" w:hAnsi="宋体" w:cs="宋体"/>
                <w:kern w:val="0"/>
                <w:sz w:val="22"/>
              </w:rPr>
              <w:t>4.上托：采用≥3.0MM壁厚优质冷轧钢板经冲压折弯工艺而成</w:t>
            </w:r>
            <w:r>
              <w:rPr>
                <w:rFonts w:hint="eastAsia" w:ascii="宋体" w:hAnsi="宋体" w:cs="宋体"/>
                <w:kern w:val="0"/>
                <w:sz w:val="22"/>
              </w:rPr>
              <w:br w:type="textWrapping"/>
            </w:r>
            <w:r>
              <w:rPr>
                <w:rFonts w:hint="eastAsia" w:ascii="宋体" w:hAnsi="宋体" w:cs="宋体"/>
                <w:kern w:val="0"/>
                <w:sz w:val="22"/>
              </w:rPr>
              <w:t>5.连接杆：采用φ50MM优质圆形冷轧钢管（壁厚≥1.2MM)</w:t>
            </w:r>
            <w:r>
              <w:rPr>
                <w:rFonts w:hint="eastAsia" w:ascii="宋体" w:hAnsi="宋体" w:cs="宋体"/>
                <w:kern w:val="0"/>
                <w:sz w:val="22"/>
              </w:rPr>
              <w:br w:type="textWrapping"/>
            </w:r>
            <w:r>
              <w:rPr>
                <w:rFonts w:hint="eastAsia" w:ascii="宋体" w:hAnsi="宋体" w:cs="宋体"/>
                <w:kern w:val="0"/>
                <w:sz w:val="22"/>
              </w:rPr>
              <w:t>6.台架整体表面采用高温静电酸洗磷化喷涂处理</w:t>
            </w:r>
            <w:r>
              <w:rPr>
                <w:rFonts w:hint="eastAsia" w:ascii="宋体" w:hAnsi="宋体" w:cs="宋体"/>
                <w:kern w:val="0"/>
                <w:sz w:val="22"/>
              </w:rPr>
              <w:br w:type="textWrapping"/>
            </w:r>
            <w:r>
              <w:rPr>
                <w:rFonts w:hint="eastAsia" w:ascii="宋体" w:hAnsi="宋体" w:cs="宋体"/>
                <w:kern w:val="0"/>
                <w:sz w:val="22"/>
              </w:rPr>
              <w:t>7.脚轮：采用φ50MM优质尼龙材质，万向带刹车轮</w:t>
            </w:r>
          </w:p>
        </w:tc>
      </w:tr>
      <w:tr w14:paraId="1BD5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F9E63ED">
            <w:pPr>
              <w:widowControl/>
              <w:jc w:val="center"/>
              <w:rPr>
                <w:rFonts w:ascii="宋体" w:hAnsi="宋体" w:cs="宋体"/>
                <w:kern w:val="0"/>
                <w:sz w:val="22"/>
              </w:rPr>
            </w:pPr>
            <w:r>
              <w:rPr>
                <w:rFonts w:hint="eastAsia" w:ascii="宋体" w:hAnsi="宋体" w:cs="宋体"/>
                <w:kern w:val="0"/>
                <w:sz w:val="22"/>
              </w:rPr>
              <w:t>学习椅</w:t>
            </w:r>
          </w:p>
        </w:tc>
        <w:tc>
          <w:tcPr>
            <w:tcW w:w="7654" w:type="dxa"/>
            <w:tcBorders>
              <w:tl2br w:val="nil"/>
              <w:tr2bl w:val="nil"/>
            </w:tcBorders>
            <w:shd w:val="clear" w:color="000000" w:fill="FFFFFF"/>
            <w:vAlign w:val="center"/>
          </w:tcPr>
          <w:p w14:paraId="53C0EA89">
            <w:pPr>
              <w:widowControl/>
              <w:jc w:val="left"/>
              <w:rPr>
                <w:rFonts w:ascii="宋体" w:hAnsi="宋体" w:cs="宋体"/>
                <w:kern w:val="0"/>
                <w:sz w:val="22"/>
              </w:rPr>
            </w:pPr>
            <w:r>
              <w:rPr>
                <w:rFonts w:hint="eastAsia" w:ascii="宋体" w:hAnsi="宋体" w:cs="宋体"/>
                <w:kern w:val="0"/>
                <w:sz w:val="22"/>
              </w:rPr>
              <w:t>尺寸：≥500mm*380mm*450mm±10mm，椅背高≥340mm；</w:t>
            </w:r>
            <w:r>
              <w:rPr>
                <w:rFonts w:hint="eastAsia" w:ascii="宋体" w:hAnsi="宋体" w:cs="宋体"/>
                <w:kern w:val="0"/>
                <w:sz w:val="22"/>
              </w:rPr>
              <w:br w:type="textWrapping"/>
            </w:r>
            <w:r>
              <w:rPr>
                <w:rFonts w:hint="eastAsia" w:ascii="宋体" w:hAnsi="宋体" w:cs="宋体"/>
                <w:kern w:val="0"/>
                <w:sz w:val="22"/>
              </w:rPr>
              <w:t>椅背：椅背：采用原生PP材料添加适量玻璃纤维，通过一次性注塑成型</w:t>
            </w:r>
            <w:r>
              <w:rPr>
                <w:rFonts w:hint="eastAsia" w:ascii="宋体" w:hAnsi="宋体" w:cs="宋体"/>
                <w:kern w:val="0"/>
                <w:sz w:val="22"/>
              </w:rPr>
              <w:br w:type="textWrapping"/>
            </w:r>
            <w:r>
              <w:rPr>
                <w:rFonts w:hint="eastAsia" w:ascii="宋体" w:hAnsi="宋体" w:cs="宋体"/>
                <w:kern w:val="0"/>
                <w:sz w:val="22"/>
              </w:rPr>
              <w:t>椅轮：采用PP全新塑料，一次性注塑成型，防滑，耐冲击，耐抗压，耐磨，静音，简洁美观。（可换固定脚垫）</w:t>
            </w:r>
            <w:r>
              <w:rPr>
                <w:rFonts w:hint="eastAsia" w:ascii="宋体" w:hAnsi="宋体" w:cs="宋体"/>
                <w:kern w:val="0"/>
                <w:sz w:val="22"/>
              </w:rPr>
              <w:br w:type="textWrapping"/>
            </w:r>
            <w:r>
              <w:rPr>
                <w:rFonts w:hint="eastAsia" w:ascii="宋体" w:hAnsi="宋体" w:cs="宋体"/>
                <w:kern w:val="0"/>
                <w:sz w:val="22"/>
              </w:rPr>
              <w:t>椅架：采用异型管≥32*18MM，壁厚≥1.5mm，经过高精密焊接技术，确保焊接表面波纹均匀，焊接处无夹渣、气孔、焊瘤，焊丝咬边和飞溅，无脱焊、虚焊和焊空的现象，确保椅架坚固耐用且外观优雅。</w:t>
            </w:r>
            <w:r>
              <w:rPr>
                <w:rFonts w:hint="eastAsia" w:ascii="宋体" w:hAnsi="宋体" w:cs="宋体"/>
                <w:kern w:val="0"/>
                <w:sz w:val="22"/>
              </w:rPr>
              <w:br w:type="textWrapping"/>
            </w:r>
            <w:r>
              <w:rPr>
                <w:rFonts w:hint="eastAsia" w:ascii="宋体" w:hAnsi="宋体" w:cs="宋体"/>
                <w:kern w:val="0"/>
                <w:sz w:val="22"/>
              </w:rPr>
              <w:t>扶手： 采用原生PP材料添加适量玻璃纤维，通过一次性注塑成型，扶手内置加强钢筋，使其更加坚固，既保证了舒适的坐感，又提供了更强的承重能力。</w:t>
            </w:r>
            <w:r>
              <w:rPr>
                <w:rFonts w:hint="eastAsia" w:ascii="宋体" w:hAnsi="宋体" w:cs="宋体"/>
                <w:kern w:val="0"/>
                <w:sz w:val="22"/>
              </w:rPr>
              <w:br w:type="textWrapping"/>
            </w:r>
            <w:r>
              <w:rPr>
                <w:rFonts w:hint="eastAsia" w:ascii="宋体" w:hAnsi="宋体" w:cs="宋体"/>
                <w:kern w:val="0"/>
                <w:sz w:val="22"/>
              </w:rPr>
              <w:t>椅子承重能力：能够承受150公斤的重物，不易发生破裂或变形。</w:t>
            </w:r>
          </w:p>
        </w:tc>
      </w:tr>
      <w:tr w14:paraId="6846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6E9EE48">
            <w:pPr>
              <w:widowControl/>
              <w:jc w:val="center"/>
              <w:rPr>
                <w:rFonts w:ascii="宋体" w:hAnsi="宋体" w:cs="宋体"/>
                <w:kern w:val="0"/>
                <w:sz w:val="22"/>
              </w:rPr>
            </w:pPr>
            <w:r>
              <w:rPr>
                <w:rFonts w:hint="eastAsia" w:ascii="宋体" w:hAnsi="宋体" w:cs="宋体"/>
                <w:kern w:val="0"/>
                <w:sz w:val="22"/>
              </w:rPr>
              <w:t>观摩椅</w:t>
            </w:r>
          </w:p>
        </w:tc>
        <w:tc>
          <w:tcPr>
            <w:tcW w:w="7654" w:type="dxa"/>
            <w:tcBorders>
              <w:tl2br w:val="nil"/>
              <w:tr2bl w:val="nil"/>
            </w:tcBorders>
            <w:shd w:val="clear" w:color="000000" w:fill="FFFFFF"/>
            <w:vAlign w:val="center"/>
          </w:tcPr>
          <w:p w14:paraId="4B9AC2C0">
            <w:pPr>
              <w:widowControl/>
              <w:jc w:val="left"/>
              <w:rPr>
                <w:rFonts w:ascii="宋体" w:hAnsi="宋体" w:cs="宋体"/>
                <w:kern w:val="0"/>
                <w:sz w:val="22"/>
              </w:rPr>
            </w:pPr>
            <w:r>
              <w:rPr>
                <w:rFonts w:hint="eastAsia" w:ascii="宋体" w:hAnsi="宋体" w:cs="宋体"/>
                <w:kern w:val="0"/>
                <w:sz w:val="22"/>
              </w:rPr>
              <w:t>尺寸：≥640*560*865Hmm；</w:t>
            </w:r>
            <w:r>
              <w:rPr>
                <w:rFonts w:hint="eastAsia" w:ascii="宋体" w:hAnsi="宋体" w:cs="宋体"/>
                <w:kern w:val="0"/>
                <w:sz w:val="22"/>
              </w:rPr>
              <w:br w:type="textWrapping"/>
            </w:r>
            <w:r>
              <w:rPr>
                <w:rFonts w:hint="eastAsia" w:ascii="宋体" w:hAnsi="宋体" w:cs="宋体"/>
                <w:kern w:val="0"/>
                <w:sz w:val="22"/>
              </w:rPr>
              <w:t>背架全新PA+玻纤，一体注塑成型，环保防火 ，舒适透气网，美观耐用靠背倾仰机构设计，</w:t>
            </w:r>
            <w:r>
              <w:rPr>
                <w:rFonts w:hint="eastAsia" w:ascii="宋体" w:hAnsi="宋体" w:cs="宋体"/>
                <w:kern w:val="0"/>
                <w:sz w:val="22"/>
              </w:rPr>
              <w:br w:type="textWrapping"/>
            </w:r>
            <w:r>
              <w:rPr>
                <w:rFonts w:hint="eastAsia" w:ascii="宋体" w:hAnsi="宋体" w:cs="宋体"/>
                <w:kern w:val="0"/>
                <w:sz w:val="22"/>
              </w:rPr>
              <w:t>有效缓解疲劳座垫采用防阻燃定型海绵，舒适透气T1.5mm定制异型管，喷涂支架，金属质感，</w:t>
            </w:r>
            <w:r>
              <w:rPr>
                <w:rFonts w:hint="eastAsia" w:ascii="宋体" w:hAnsi="宋体" w:cs="宋体"/>
                <w:kern w:val="0"/>
                <w:sz w:val="22"/>
              </w:rPr>
              <w:br w:type="textWrapping"/>
            </w:r>
            <w:r>
              <w:rPr>
                <w:rFonts w:hint="eastAsia" w:ascii="宋体" w:hAnsi="宋体" w:cs="宋体"/>
                <w:kern w:val="0"/>
                <w:sz w:val="22"/>
              </w:rPr>
              <w:t>稳固性强，可折叠收纳,PA固定脚垫灵活旋转写字板</w:t>
            </w:r>
          </w:p>
        </w:tc>
      </w:tr>
      <w:tr w14:paraId="165B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1F02EFFD">
            <w:pPr>
              <w:widowControl/>
              <w:jc w:val="center"/>
              <w:rPr>
                <w:rFonts w:ascii="宋体" w:hAnsi="宋体" w:cs="宋体"/>
                <w:kern w:val="0"/>
                <w:sz w:val="22"/>
              </w:rPr>
            </w:pPr>
            <w:r>
              <w:rPr>
                <w:rFonts w:hint="eastAsia" w:ascii="宋体" w:hAnsi="宋体" w:cs="宋体"/>
                <w:kern w:val="0"/>
                <w:sz w:val="22"/>
              </w:rPr>
              <w:t>导播终端</w:t>
            </w:r>
          </w:p>
        </w:tc>
        <w:tc>
          <w:tcPr>
            <w:tcW w:w="7654" w:type="dxa"/>
            <w:tcBorders>
              <w:tl2br w:val="nil"/>
              <w:tr2bl w:val="nil"/>
            </w:tcBorders>
            <w:shd w:val="clear" w:color="000000" w:fill="FFFFFF"/>
            <w:vAlign w:val="center"/>
          </w:tcPr>
          <w:p w14:paraId="3995721E">
            <w:pPr>
              <w:widowControl/>
              <w:jc w:val="left"/>
              <w:rPr>
                <w:rFonts w:ascii="宋体" w:hAnsi="宋体" w:cs="宋体"/>
                <w:kern w:val="0"/>
                <w:sz w:val="22"/>
              </w:rPr>
            </w:pPr>
            <w:r>
              <w:rPr>
                <w:rFonts w:hint="eastAsia" w:ascii="宋体" w:hAnsi="宋体" w:cs="宋体"/>
                <w:kern w:val="0"/>
                <w:sz w:val="22"/>
              </w:rPr>
              <w:t>海光3350（3.0Ghz）/ 8G /256G SSD/2G独显/23.8低蓝光显示器</w:t>
            </w:r>
          </w:p>
        </w:tc>
      </w:tr>
      <w:tr w14:paraId="270E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23A3BCB">
            <w:pPr>
              <w:widowControl/>
              <w:jc w:val="center"/>
              <w:rPr>
                <w:rFonts w:ascii="宋体" w:hAnsi="宋体" w:cs="宋体"/>
                <w:kern w:val="0"/>
                <w:sz w:val="22"/>
              </w:rPr>
            </w:pPr>
            <w:r>
              <w:rPr>
                <w:rFonts w:hint="eastAsia" w:ascii="宋体" w:hAnsi="宋体" w:cs="宋体"/>
                <w:kern w:val="0"/>
                <w:sz w:val="22"/>
              </w:rPr>
              <w:t>中控室操作台</w:t>
            </w:r>
          </w:p>
        </w:tc>
        <w:tc>
          <w:tcPr>
            <w:tcW w:w="7654" w:type="dxa"/>
            <w:tcBorders>
              <w:tl2br w:val="nil"/>
              <w:tr2bl w:val="nil"/>
            </w:tcBorders>
            <w:shd w:val="clear" w:color="000000" w:fill="FFFFFF"/>
            <w:vAlign w:val="center"/>
          </w:tcPr>
          <w:p w14:paraId="0D16F971">
            <w:pPr>
              <w:widowControl/>
              <w:jc w:val="left"/>
              <w:rPr>
                <w:rFonts w:ascii="宋体" w:hAnsi="宋体" w:cs="宋体"/>
                <w:kern w:val="0"/>
                <w:sz w:val="22"/>
              </w:rPr>
            </w:pPr>
            <w:r>
              <w:rPr>
                <w:rFonts w:hint="eastAsia" w:ascii="宋体" w:hAnsi="宋体" w:cs="宋体"/>
                <w:kern w:val="0"/>
                <w:sz w:val="22"/>
              </w:rPr>
              <w:t>1.尺寸≥1200mm*750mm*900mm</w:t>
            </w:r>
            <w:r>
              <w:rPr>
                <w:rFonts w:hint="eastAsia" w:ascii="宋体" w:hAnsi="宋体" w:cs="宋体"/>
                <w:kern w:val="0"/>
                <w:sz w:val="22"/>
              </w:rPr>
              <w:br w:type="textWrapping"/>
            </w:r>
            <w:r>
              <w:rPr>
                <w:rFonts w:hint="eastAsia" w:ascii="宋体" w:hAnsi="宋体" w:cs="宋体"/>
                <w:kern w:val="0"/>
                <w:sz w:val="22"/>
              </w:rPr>
              <w:t>2.台面材质：灰色铁质围边台面1.2mm冷轧钢板环保耐用。</w:t>
            </w:r>
            <w:r>
              <w:rPr>
                <w:rFonts w:hint="eastAsia" w:ascii="宋体" w:hAnsi="宋体" w:cs="宋体"/>
                <w:kern w:val="0"/>
                <w:sz w:val="22"/>
              </w:rPr>
              <w:br w:type="textWrapping"/>
            </w:r>
            <w:r>
              <w:rPr>
                <w:rFonts w:hint="eastAsia" w:ascii="宋体" w:hAnsi="宋体" w:cs="宋体"/>
                <w:kern w:val="0"/>
                <w:sz w:val="22"/>
              </w:rPr>
              <w:t>3.整体结构：侧板1.0mm冷轧钢板前框后框1.Omm冷轧钢板立粱厚度为1.0mm(全部采用环保冷轧钢板所制)</w:t>
            </w:r>
            <w:r>
              <w:rPr>
                <w:rFonts w:hint="eastAsia" w:ascii="宋体" w:hAnsi="宋体" w:cs="宋体"/>
                <w:kern w:val="0"/>
                <w:sz w:val="22"/>
              </w:rPr>
              <w:br w:type="textWrapping"/>
            </w:r>
            <w:r>
              <w:rPr>
                <w:rFonts w:hint="eastAsia" w:ascii="宋体" w:hAnsi="宋体" w:cs="宋体"/>
                <w:kern w:val="0"/>
                <w:sz w:val="22"/>
              </w:rPr>
              <w:t>4.表面处理：脱脂磷化静电喷涂,箱体采用符合SGS要求的环保塑粉</w:t>
            </w:r>
          </w:p>
        </w:tc>
      </w:tr>
      <w:tr w14:paraId="446D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ACDE6D7">
            <w:pPr>
              <w:widowControl/>
              <w:jc w:val="center"/>
              <w:rPr>
                <w:rFonts w:ascii="宋体" w:hAnsi="宋体" w:cs="宋体"/>
                <w:kern w:val="0"/>
                <w:sz w:val="22"/>
              </w:rPr>
            </w:pPr>
            <w:r>
              <w:rPr>
                <w:rFonts w:hint="eastAsia" w:ascii="宋体" w:hAnsi="宋体" w:cs="宋体"/>
                <w:kern w:val="0"/>
                <w:sz w:val="22"/>
              </w:rPr>
              <w:t>操作椅</w:t>
            </w:r>
          </w:p>
        </w:tc>
        <w:tc>
          <w:tcPr>
            <w:tcW w:w="7654" w:type="dxa"/>
            <w:tcBorders>
              <w:tl2br w:val="nil"/>
              <w:tr2bl w:val="nil"/>
            </w:tcBorders>
            <w:shd w:val="clear" w:color="000000" w:fill="FFFFFF"/>
            <w:vAlign w:val="center"/>
          </w:tcPr>
          <w:p w14:paraId="508493A7">
            <w:pPr>
              <w:widowControl/>
              <w:jc w:val="left"/>
              <w:rPr>
                <w:rFonts w:ascii="宋体" w:hAnsi="宋体" w:cs="宋体"/>
                <w:kern w:val="0"/>
                <w:sz w:val="22"/>
              </w:rPr>
            </w:pPr>
            <w:r>
              <w:rPr>
                <w:rFonts w:hint="eastAsia" w:ascii="宋体" w:hAnsi="宋体" w:cs="宋体"/>
                <w:kern w:val="0"/>
                <w:sz w:val="22"/>
              </w:rPr>
              <w:t>1.椅背：透气网布，背框采用高强度尼龙，S型设计；</w:t>
            </w:r>
            <w:r>
              <w:rPr>
                <w:rFonts w:hint="eastAsia" w:ascii="宋体" w:hAnsi="宋体" w:cs="宋体"/>
                <w:kern w:val="0"/>
                <w:sz w:val="22"/>
              </w:rPr>
              <w:br w:type="textWrapping"/>
            </w:r>
            <w:r>
              <w:rPr>
                <w:rFonts w:hint="eastAsia" w:ascii="宋体" w:hAnsi="宋体" w:cs="宋体"/>
                <w:kern w:val="0"/>
                <w:sz w:val="22"/>
              </w:rPr>
              <w:t>2.坐垫：透气网布，填充记忆海绵；</w:t>
            </w:r>
            <w:r>
              <w:rPr>
                <w:rFonts w:hint="eastAsia" w:ascii="宋体" w:hAnsi="宋体" w:cs="宋体"/>
                <w:kern w:val="0"/>
                <w:sz w:val="22"/>
              </w:rPr>
              <w:br w:type="textWrapping"/>
            </w:r>
            <w:r>
              <w:rPr>
                <w:rFonts w:hint="eastAsia" w:ascii="宋体" w:hAnsi="宋体" w:cs="宋体"/>
                <w:kern w:val="0"/>
                <w:sz w:val="22"/>
              </w:rPr>
              <w:t>3.框架：钢管材质，配套加固螺钉，人体工程学设计；</w:t>
            </w:r>
            <w:r>
              <w:rPr>
                <w:rFonts w:hint="eastAsia" w:ascii="宋体" w:hAnsi="宋体" w:cs="宋体"/>
                <w:kern w:val="0"/>
                <w:sz w:val="22"/>
              </w:rPr>
              <w:br w:type="textWrapping"/>
            </w:r>
            <w:r>
              <w:rPr>
                <w:rFonts w:hint="eastAsia" w:ascii="宋体" w:hAnsi="宋体" w:cs="宋体"/>
                <w:kern w:val="0"/>
                <w:sz w:val="22"/>
              </w:rPr>
              <w:t>4.扶手：PP塑料曲线形扶手设计；</w:t>
            </w:r>
            <w:r>
              <w:rPr>
                <w:rFonts w:hint="eastAsia" w:ascii="宋体" w:hAnsi="宋体" w:cs="宋体"/>
                <w:kern w:val="0"/>
                <w:sz w:val="22"/>
              </w:rPr>
              <w:br w:type="textWrapping"/>
            </w:r>
            <w:r>
              <w:rPr>
                <w:rFonts w:hint="eastAsia" w:ascii="宋体" w:hAnsi="宋体" w:cs="宋体"/>
                <w:kern w:val="0"/>
                <w:sz w:val="22"/>
              </w:rPr>
              <w:t>5.脚垫：高强度尼龙防滑垫。</w:t>
            </w:r>
          </w:p>
        </w:tc>
      </w:tr>
      <w:tr w14:paraId="144A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F6414F8">
            <w:pPr>
              <w:widowControl/>
              <w:jc w:val="center"/>
              <w:rPr>
                <w:rFonts w:ascii="宋体" w:hAnsi="宋体" w:cs="宋体"/>
                <w:kern w:val="0"/>
                <w:sz w:val="22"/>
              </w:rPr>
            </w:pPr>
            <w:r>
              <w:rPr>
                <w:rFonts w:hint="eastAsia" w:ascii="宋体" w:hAnsi="宋体" w:cs="宋体"/>
                <w:kern w:val="0"/>
                <w:sz w:val="22"/>
              </w:rPr>
              <w:t>系统集成</w:t>
            </w:r>
          </w:p>
        </w:tc>
        <w:tc>
          <w:tcPr>
            <w:tcW w:w="7654" w:type="dxa"/>
            <w:tcBorders>
              <w:tl2br w:val="nil"/>
              <w:tr2bl w:val="nil"/>
            </w:tcBorders>
            <w:shd w:val="clear" w:color="000000" w:fill="FFFFFF"/>
            <w:vAlign w:val="center"/>
          </w:tcPr>
          <w:p w14:paraId="6E1A0966">
            <w:pPr>
              <w:widowControl/>
              <w:jc w:val="left"/>
              <w:rPr>
                <w:rFonts w:ascii="宋体" w:hAnsi="宋体" w:cs="宋体"/>
                <w:kern w:val="0"/>
                <w:sz w:val="22"/>
              </w:rPr>
            </w:pPr>
            <w:r>
              <w:rPr>
                <w:rFonts w:hint="eastAsia" w:ascii="宋体" w:hAnsi="宋体" w:cs="宋体"/>
                <w:kern w:val="0"/>
                <w:sz w:val="22"/>
              </w:rPr>
              <w:t>包含所有设备的指定地点安装、调试、测试以及安装所需的所有配套线缆辅材、插线板、分配器等</w:t>
            </w:r>
          </w:p>
        </w:tc>
      </w:tr>
      <w:tr w14:paraId="1748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F7CD844">
            <w:pPr>
              <w:widowControl/>
              <w:jc w:val="center"/>
              <w:rPr>
                <w:rFonts w:ascii="宋体" w:hAnsi="宋体" w:cs="宋体"/>
                <w:kern w:val="0"/>
                <w:sz w:val="22"/>
              </w:rPr>
            </w:pPr>
            <w:r>
              <w:rPr>
                <w:rFonts w:hint="eastAsia" w:ascii="宋体" w:hAnsi="宋体" w:cs="宋体"/>
                <w:kern w:val="0"/>
                <w:sz w:val="22"/>
              </w:rPr>
              <w:t>文化布置</w:t>
            </w:r>
          </w:p>
        </w:tc>
        <w:tc>
          <w:tcPr>
            <w:tcW w:w="7654" w:type="dxa"/>
            <w:tcBorders>
              <w:tl2br w:val="nil"/>
              <w:tr2bl w:val="nil"/>
            </w:tcBorders>
            <w:shd w:val="clear" w:color="000000" w:fill="FFFFFF"/>
            <w:vAlign w:val="center"/>
          </w:tcPr>
          <w:p w14:paraId="4011765A">
            <w:pPr>
              <w:widowControl/>
              <w:jc w:val="left"/>
              <w:rPr>
                <w:rFonts w:ascii="宋体" w:hAnsi="宋体" w:cs="宋体"/>
                <w:kern w:val="0"/>
                <w:sz w:val="22"/>
              </w:rPr>
            </w:pPr>
            <w:r>
              <w:rPr>
                <w:rFonts w:hint="eastAsia" w:ascii="宋体" w:hAnsi="宋体" w:cs="宋体"/>
                <w:kern w:val="0"/>
                <w:sz w:val="22"/>
              </w:rPr>
              <w:t>根据学校要求定制，含教室所有窗户玻纤卷帘（玻纤含量≥30%）及单向可视观察窗的文创定制。</w:t>
            </w:r>
          </w:p>
        </w:tc>
      </w:tr>
      <w:tr w14:paraId="51A3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E99F4D0">
            <w:pPr>
              <w:widowControl/>
              <w:jc w:val="center"/>
              <w:rPr>
                <w:rFonts w:ascii="宋体" w:hAnsi="宋体" w:cs="宋体"/>
                <w:kern w:val="0"/>
                <w:sz w:val="22"/>
              </w:rPr>
            </w:pPr>
            <w:r>
              <w:rPr>
                <w:rFonts w:hint="eastAsia" w:ascii="宋体" w:hAnsi="宋体" w:cs="宋体"/>
                <w:kern w:val="0"/>
                <w:sz w:val="22"/>
              </w:rPr>
              <w:t>WIFI7接入点（含接入管理授权）</w:t>
            </w:r>
          </w:p>
        </w:tc>
        <w:tc>
          <w:tcPr>
            <w:tcW w:w="7654" w:type="dxa"/>
            <w:tcBorders>
              <w:tl2br w:val="nil"/>
              <w:tr2bl w:val="nil"/>
            </w:tcBorders>
            <w:shd w:val="clear" w:color="000000" w:fill="FFFFFF"/>
            <w:vAlign w:val="center"/>
          </w:tcPr>
          <w:p w14:paraId="73655551">
            <w:pPr>
              <w:widowControl/>
              <w:jc w:val="left"/>
              <w:rPr>
                <w:rFonts w:ascii="宋体" w:hAnsi="宋体" w:cs="宋体"/>
                <w:kern w:val="0"/>
                <w:sz w:val="22"/>
              </w:rPr>
            </w:pPr>
            <w:r>
              <w:rPr>
                <w:rFonts w:hint="eastAsia" w:ascii="宋体" w:hAnsi="宋体" w:cs="宋体"/>
                <w:kern w:val="0"/>
                <w:sz w:val="22"/>
              </w:rPr>
              <w:t>1.采用双射频设计，整机空间流≥4条，可工作在802.11a/b/g/n/ac/ac wave2/ax/be模式，整机协商速率≥3.57Gbps，支持2.4GHz、5GHz工作频段；</w:t>
            </w:r>
          </w:p>
          <w:p w14:paraId="4A8E8E05">
            <w:pPr>
              <w:widowControl/>
              <w:jc w:val="left"/>
              <w:rPr>
                <w:rFonts w:ascii="宋体" w:hAnsi="宋体" w:cs="宋体"/>
                <w:kern w:val="0"/>
                <w:sz w:val="22"/>
              </w:rPr>
            </w:pPr>
            <w:r>
              <w:rPr>
                <w:rFonts w:hint="eastAsia" w:ascii="宋体" w:hAnsi="宋体" w:cs="宋体"/>
                <w:kern w:val="0"/>
                <w:sz w:val="22"/>
              </w:rPr>
              <w:t>2.固化2.5G以太网电接口≥1个，支持802.3at/af供电；</w:t>
            </w:r>
          </w:p>
          <w:p w14:paraId="220B7E0F">
            <w:pPr>
              <w:widowControl/>
              <w:jc w:val="left"/>
              <w:rPr>
                <w:rFonts w:ascii="宋体" w:hAnsi="宋体" w:cs="宋体"/>
                <w:kern w:val="0"/>
                <w:sz w:val="22"/>
              </w:rPr>
            </w:pPr>
            <w:r>
              <w:rPr>
                <w:rFonts w:hint="eastAsia" w:ascii="宋体" w:hAnsi="宋体" w:cs="宋体"/>
                <w:kern w:val="0"/>
                <w:sz w:val="22"/>
              </w:rPr>
              <w:t>3.内置智能天线系统；</w:t>
            </w:r>
          </w:p>
          <w:p w14:paraId="31D337CC">
            <w:pPr>
              <w:widowControl/>
              <w:jc w:val="left"/>
              <w:rPr>
                <w:rFonts w:ascii="宋体" w:hAnsi="宋体" w:cs="宋体"/>
                <w:kern w:val="0"/>
                <w:sz w:val="22"/>
              </w:rPr>
            </w:pPr>
            <w:r>
              <w:rPr>
                <w:rFonts w:hint="eastAsia" w:ascii="宋体" w:hAnsi="宋体" w:cs="宋体"/>
                <w:kern w:val="0"/>
                <w:sz w:val="22"/>
              </w:rPr>
              <w:t>4.支持智能带宽限速，在流量未拥塞时，确保不同优先级SSID下的报文都可以自由通过，在流量拥塞时，确保每个SSID可以保持各自约定的最小带宽；</w:t>
            </w:r>
          </w:p>
          <w:p w14:paraId="639BA374">
            <w:pPr>
              <w:widowControl/>
              <w:jc w:val="left"/>
              <w:rPr>
                <w:rFonts w:ascii="宋体" w:hAnsi="宋体" w:cs="宋体"/>
                <w:kern w:val="0"/>
                <w:sz w:val="22"/>
              </w:rPr>
            </w:pPr>
            <w:r>
              <w:rPr>
                <w:rFonts w:hint="eastAsia" w:ascii="宋体" w:hAnsi="宋体" w:cs="宋体"/>
                <w:kern w:val="0"/>
                <w:sz w:val="22"/>
              </w:rPr>
              <w:t>5.支持64、128位WEP加密，WPA，802.11i和WAPI；</w:t>
            </w:r>
          </w:p>
          <w:p w14:paraId="2DC6BCBB">
            <w:pPr>
              <w:widowControl/>
              <w:jc w:val="left"/>
              <w:rPr>
                <w:rFonts w:ascii="宋体" w:hAnsi="宋体" w:cs="宋体"/>
                <w:kern w:val="0"/>
                <w:sz w:val="22"/>
              </w:rPr>
            </w:pPr>
            <w:r>
              <w:rPr>
                <w:rFonts w:hint="eastAsia" w:ascii="宋体" w:hAnsi="宋体" w:cs="宋体"/>
                <w:kern w:val="0"/>
                <w:sz w:val="22"/>
              </w:rPr>
              <w:t>6.支持虚拟AP(多SSID)之间的隔离，支持AP上二层转发抑制；</w:t>
            </w:r>
          </w:p>
          <w:p w14:paraId="6B6A0299">
            <w:pPr>
              <w:widowControl/>
              <w:jc w:val="left"/>
              <w:rPr>
                <w:rFonts w:ascii="宋体" w:hAnsi="宋体" w:cs="宋体"/>
                <w:kern w:val="0"/>
                <w:sz w:val="22"/>
              </w:rPr>
            </w:pPr>
            <w:r>
              <w:rPr>
                <w:rFonts w:hint="eastAsia" w:ascii="宋体" w:hAnsi="宋体" w:cs="宋体"/>
                <w:kern w:val="0"/>
                <w:sz w:val="22"/>
              </w:rPr>
              <w:t>7.要求被如东县现网无线控制器纳管，从而实现全网无线AP硬件统一管理、软件统一升级、配置统一下发、策略统一调整等。如果不满足，要求定制化开发，提供定制化开发承诺函并加盖投标人公章证明，定制化费用由投标人自行承担；</w:t>
            </w:r>
          </w:p>
        </w:tc>
      </w:tr>
      <w:tr w14:paraId="5CC0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A57C936">
            <w:pPr>
              <w:widowControl/>
              <w:jc w:val="center"/>
              <w:rPr>
                <w:rFonts w:ascii="宋体" w:hAnsi="宋体" w:cs="宋体"/>
                <w:kern w:val="0"/>
                <w:sz w:val="22"/>
              </w:rPr>
            </w:pPr>
            <w:r>
              <w:rPr>
                <w:rFonts w:hint="eastAsia" w:ascii="宋体" w:hAnsi="宋体" w:cs="宋体"/>
                <w:kern w:val="0"/>
                <w:sz w:val="22"/>
              </w:rPr>
              <w:t>POE交换机</w:t>
            </w:r>
          </w:p>
        </w:tc>
        <w:tc>
          <w:tcPr>
            <w:tcW w:w="7654" w:type="dxa"/>
            <w:tcBorders>
              <w:tl2br w:val="nil"/>
              <w:tr2bl w:val="nil"/>
            </w:tcBorders>
            <w:shd w:val="clear" w:color="000000" w:fill="FFFFFF"/>
            <w:vAlign w:val="center"/>
          </w:tcPr>
          <w:p w14:paraId="4F80211B">
            <w:pPr>
              <w:widowControl/>
              <w:jc w:val="left"/>
              <w:rPr>
                <w:rFonts w:ascii="宋体" w:hAnsi="宋体" w:cs="宋体"/>
                <w:kern w:val="0"/>
                <w:sz w:val="22"/>
              </w:rPr>
            </w:pPr>
            <w:r>
              <w:rPr>
                <w:rFonts w:hint="eastAsia" w:ascii="宋体" w:hAnsi="宋体" w:cs="宋体"/>
                <w:kern w:val="0"/>
                <w:sz w:val="22"/>
              </w:rPr>
              <w:t>1.交换容量≥672Gbps，包转发率≥108Mpps，整机提供≥8个千兆以太网电口，提供≥4个万兆以太网光口，整机POE输出功率≥125W；</w:t>
            </w:r>
          </w:p>
          <w:p w14:paraId="3A687598">
            <w:pPr>
              <w:widowControl/>
              <w:jc w:val="left"/>
              <w:rPr>
                <w:rFonts w:ascii="宋体" w:hAnsi="宋体" w:cs="宋体"/>
                <w:kern w:val="0"/>
                <w:sz w:val="22"/>
              </w:rPr>
            </w:pPr>
            <w:r>
              <w:rPr>
                <w:rFonts w:hint="eastAsia" w:ascii="宋体" w:hAnsi="宋体" w:cs="宋体"/>
                <w:kern w:val="0"/>
                <w:sz w:val="22"/>
              </w:rPr>
              <w:t>2.支持IPv4/IPv6静态路由，支持RIP/RIPng，OSPF</w:t>
            </w:r>
          </w:p>
          <w:p w14:paraId="1381CCCC">
            <w:pPr>
              <w:widowControl/>
              <w:jc w:val="left"/>
              <w:rPr>
                <w:rFonts w:ascii="宋体" w:hAnsi="宋体" w:cs="宋体"/>
                <w:kern w:val="0"/>
                <w:sz w:val="22"/>
              </w:rPr>
            </w:pPr>
            <w:r>
              <w:rPr>
                <w:rFonts w:hint="eastAsia" w:ascii="宋体" w:hAnsi="宋体" w:cs="宋体"/>
                <w:kern w:val="0"/>
                <w:sz w:val="22"/>
              </w:rPr>
              <w:t>3.支持多虚一技术(N:1)，可将多台物理设备虚拟化为1台逻辑设备</w:t>
            </w:r>
          </w:p>
          <w:p w14:paraId="28F1C163">
            <w:pPr>
              <w:widowControl/>
              <w:jc w:val="left"/>
              <w:rPr>
                <w:rFonts w:ascii="宋体" w:hAnsi="宋体" w:cs="宋体"/>
                <w:kern w:val="0"/>
                <w:sz w:val="22"/>
              </w:rPr>
            </w:pPr>
            <w:r>
              <w:rPr>
                <w:rFonts w:hint="eastAsia" w:ascii="宋体" w:hAnsi="宋体" w:cs="宋体"/>
                <w:kern w:val="0"/>
                <w:sz w:val="22"/>
              </w:rPr>
              <w:t>4.内置智能管理平台，组网拓扑可视及管理、设备列表可视，以图形化操作的方式，实现对网络的统一运维及管理；</w:t>
            </w:r>
          </w:p>
          <w:p w14:paraId="015A3EC5">
            <w:pPr>
              <w:widowControl/>
              <w:jc w:val="left"/>
              <w:rPr>
                <w:rFonts w:ascii="宋体" w:hAnsi="宋体" w:cs="宋体"/>
                <w:kern w:val="0"/>
                <w:sz w:val="22"/>
              </w:rPr>
            </w:pPr>
            <w:r>
              <w:rPr>
                <w:rFonts w:hint="eastAsia" w:ascii="宋体" w:hAnsi="宋体" w:cs="宋体"/>
                <w:kern w:val="0"/>
                <w:sz w:val="22"/>
              </w:rPr>
              <w:t>5.支持Telemetry技术，可通过GRPC协议将交换机的实时资源信息与告警信息上送至运维平台；</w:t>
            </w:r>
          </w:p>
          <w:p w14:paraId="414606AA">
            <w:pPr>
              <w:widowControl/>
              <w:jc w:val="left"/>
              <w:rPr>
                <w:rFonts w:ascii="宋体" w:hAnsi="宋体" w:cs="宋体"/>
                <w:kern w:val="0"/>
                <w:sz w:val="22"/>
              </w:rPr>
            </w:pPr>
            <w:r>
              <w:rPr>
                <w:rFonts w:hint="eastAsia" w:ascii="宋体" w:hAnsi="宋体" w:cs="宋体"/>
                <w:kern w:val="0"/>
                <w:sz w:val="22"/>
              </w:rPr>
              <w:t>6.支持本地端口镜像和远程端口镜像RSPAN；</w:t>
            </w:r>
          </w:p>
          <w:p w14:paraId="122373F2">
            <w:pPr>
              <w:widowControl/>
              <w:jc w:val="left"/>
              <w:rPr>
                <w:rFonts w:ascii="宋体" w:hAnsi="宋体" w:cs="宋体"/>
                <w:kern w:val="0"/>
                <w:sz w:val="22"/>
              </w:rPr>
            </w:pPr>
            <w:r>
              <w:rPr>
                <w:rFonts w:hint="eastAsia" w:ascii="宋体" w:hAnsi="宋体" w:cs="宋体"/>
                <w:kern w:val="0"/>
                <w:sz w:val="22"/>
              </w:rPr>
              <w:t>7.支持ERPS功能，能够快速阻断环路；支持STP、RSTP、MSTP，环网故障恢复时间短；</w:t>
            </w:r>
          </w:p>
          <w:p w14:paraId="761E836E">
            <w:pPr>
              <w:widowControl/>
              <w:jc w:val="left"/>
              <w:rPr>
                <w:rFonts w:ascii="宋体" w:hAnsi="宋体" w:cs="宋体"/>
                <w:kern w:val="0"/>
                <w:sz w:val="22"/>
              </w:rPr>
            </w:pPr>
            <w:r>
              <w:rPr>
                <w:rFonts w:hint="eastAsia" w:ascii="宋体" w:hAnsi="宋体" w:cs="宋体"/>
                <w:kern w:val="0"/>
                <w:sz w:val="22"/>
              </w:rPr>
              <w:t>8.支持基于第二层、第三层和第四层的ACL；</w:t>
            </w:r>
          </w:p>
        </w:tc>
      </w:tr>
      <w:tr w14:paraId="03FB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A1A55E5">
            <w:pPr>
              <w:widowControl/>
              <w:jc w:val="center"/>
              <w:rPr>
                <w:rFonts w:ascii="宋体" w:hAnsi="宋体" w:cs="宋体"/>
                <w:kern w:val="0"/>
                <w:sz w:val="22"/>
              </w:rPr>
            </w:pPr>
            <w:r>
              <w:rPr>
                <w:rFonts w:hint="eastAsia" w:ascii="宋体" w:hAnsi="宋体" w:cs="宋体"/>
                <w:kern w:val="0"/>
                <w:sz w:val="22"/>
                <w:lang w:bidi="ar"/>
              </w:rPr>
              <w:t>接入点位集成</w:t>
            </w:r>
          </w:p>
        </w:tc>
        <w:tc>
          <w:tcPr>
            <w:tcW w:w="7654" w:type="dxa"/>
            <w:tcBorders>
              <w:tl2br w:val="nil"/>
              <w:tr2bl w:val="nil"/>
            </w:tcBorders>
            <w:shd w:val="clear" w:color="000000" w:fill="FFFFFF"/>
            <w:vAlign w:val="center"/>
          </w:tcPr>
          <w:p w14:paraId="1FC2CC58">
            <w:pPr>
              <w:widowControl/>
              <w:jc w:val="left"/>
              <w:rPr>
                <w:rFonts w:ascii="宋体" w:hAnsi="宋体" w:cs="宋体"/>
                <w:kern w:val="0"/>
                <w:sz w:val="22"/>
              </w:rPr>
            </w:pPr>
            <w:r>
              <w:rPr>
                <w:rFonts w:hint="eastAsia" w:ascii="宋体" w:hAnsi="宋体" w:cs="宋体"/>
                <w:kern w:val="0"/>
                <w:sz w:val="22"/>
              </w:rPr>
              <w:t>包含指定区域的WIFI7接入点工勘、安装、调试、测试以及互联（万兆上联、千兆接入）所需的的所有配套线缆、链路模块及敷设辅材等。</w:t>
            </w:r>
          </w:p>
        </w:tc>
      </w:tr>
    </w:tbl>
    <w:p w14:paraId="20875AAF">
      <w:pPr>
        <w:spacing w:line="440" w:lineRule="exact"/>
        <w:rPr>
          <w:rFonts w:ascii="宋体" w:hAnsi="宋体" w:cs="宋体"/>
          <w:b/>
          <w:bCs/>
          <w:color w:val="000000"/>
          <w:sz w:val="24"/>
          <w:szCs w:val="24"/>
        </w:rPr>
      </w:pPr>
      <w:r>
        <w:rPr>
          <w:rFonts w:hint="eastAsia" w:ascii="宋体" w:hAnsi="宋体" w:cs="宋体"/>
          <w:b/>
          <w:bCs/>
          <w:color w:val="000000"/>
          <w:sz w:val="24"/>
          <w:szCs w:val="24"/>
        </w:rPr>
        <w:t>注：</w:t>
      </w:r>
    </w:p>
    <w:p w14:paraId="16A969C4">
      <w:pPr>
        <w:spacing w:line="440" w:lineRule="exact"/>
        <w:ind w:firstLine="422"/>
        <w:rPr>
          <w:rFonts w:ascii="宋体" w:hAnsi="宋体" w:cs="宋体"/>
          <w:b/>
          <w:bCs/>
          <w:i/>
          <w:iCs/>
          <w:color w:val="000000"/>
          <w:sz w:val="24"/>
          <w:szCs w:val="24"/>
          <w:u w:val="single"/>
        </w:rPr>
      </w:pPr>
      <w:r>
        <w:rPr>
          <w:rFonts w:hint="eastAsia" w:ascii="宋体" w:hAnsi="宋体" w:cs="宋体"/>
          <w:b/>
          <w:bCs/>
          <w:i/>
          <w:iCs/>
          <w:color w:val="000000"/>
          <w:sz w:val="24"/>
          <w:szCs w:val="24"/>
          <w:u w:val="single"/>
        </w:rPr>
        <w:t>1.为确保以上标“▲”项提供的佐证材料的真实性，中标单位须要在签订合同前提交佐证材料的原件，相关功能及演示内容需提供实物演示，给采购人审核，存在弄虚作假的，追究相关法律责任。</w:t>
      </w:r>
    </w:p>
    <w:p w14:paraId="084B81B9">
      <w:pPr>
        <w:spacing w:line="440" w:lineRule="exact"/>
        <w:ind w:firstLine="422"/>
        <w:rPr>
          <w:rFonts w:ascii="宋体" w:hAnsi="宋体" w:cs="宋体"/>
          <w:b/>
          <w:bCs/>
          <w:i/>
          <w:iCs/>
          <w:color w:val="000000"/>
          <w:sz w:val="24"/>
          <w:szCs w:val="24"/>
          <w:u w:val="single"/>
          <w:lang w:val="zh-CN"/>
        </w:rPr>
      </w:pPr>
      <w:r>
        <w:rPr>
          <w:rFonts w:hint="eastAsia" w:ascii="宋体" w:hAnsi="宋体" w:cs="宋体"/>
          <w:b/>
          <w:bCs/>
          <w:i/>
          <w:iCs/>
          <w:color w:val="000000"/>
          <w:sz w:val="24"/>
          <w:szCs w:val="24"/>
          <w:u w:val="single"/>
        </w:rPr>
        <w:t>2.如技术参数表中参数设定为固定值，均指该参数的最低要求，响应供应商可选择优于最低要求的产品进行响应。</w:t>
      </w:r>
    </w:p>
    <w:p w14:paraId="5F4EE688">
      <w:pPr>
        <w:adjustRightInd w:val="0"/>
        <w:snapToGrid w:val="0"/>
        <w:spacing w:line="500" w:lineRule="exact"/>
        <w:rPr>
          <w:rFonts w:ascii="仿宋" w:hAnsi="仿宋" w:eastAsia="仿宋" w:cs="仿宋"/>
          <w:b/>
          <w:bCs/>
          <w:sz w:val="24"/>
          <w:szCs w:val="24"/>
        </w:rPr>
      </w:pPr>
    </w:p>
    <w:p w14:paraId="209E2402">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（四）采购标的的数量、采购项目交付或者实施的时间和地点（货物类项目采购清单中必须列明主要标的、强制节能产品）；</w:t>
      </w:r>
    </w:p>
    <w:p w14:paraId="384B42D0">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1.采购标的的数量：</w:t>
      </w:r>
    </w:p>
    <w:tbl>
      <w:tblPr>
        <w:tblStyle w:val="14"/>
        <w:tblW w:w="8872" w:type="dxa"/>
        <w:tblInd w:w="93" w:type="dxa"/>
        <w:tblLayout w:type="fixed"/>
        <w:tblCellMar>
          <w:top w:w="0" w:type="dxa"/>
          <w:left w:w="108" w:type="dxa"/>
          <w:bottom w:w="0" w:type="dxa"/>
          <w:right w:w="108" w:type="dxa"/>
        </w:tblCellMar>
      </w:tblPr>
      <w:tblGrid>
        <w:gridCol w:w="1312"/>
        <w:gridCol w:w="3750"/>
        <w:gridCol w:w="1215"/>
        <w:gridCol w:w="729"/>
        <w:gridCol w:w="1866"/>
      </w:tblGrid>
      <w:tr w14:paraId="7EC4F71E">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vAlign w:val="center"/>
          </w:tcPr>
          <w:p w14:paraId="3B8DFCF4">
            <w:pPr>
              <w:widowControl/>
              <w:jc w:val="center"/>
              <w:textAlignment w:val="center"/>
              <w:rPr>
                <w:rFonts w:ascii="宋体" w:hAnsi="宋体" w:cs="宋体"/>
                <w:b/>
                <w:bCs/>
                <w:sz w:val="22"/>
              </w:rPr>
            </w:pPr>
            <w:r>
              <w:rPr>
                <w:rFonts w:hint="eastAsia" w:ascii="宋体" w:hAnsi="宋体" w:cs="宋体"/>
                <w:b/>
                <w:bCs/>
                <w:kern w:val="0"/>
                <w:sz w:val="22"/>
                <w:lang w:bidi="ar"/>
              </w:rPr>
              <w:t>序号</w:t>
            </w:r>
          </w:p>
        </w:tc>
        <w:tc>
          <w:tcPr>
            <w:tcW w:w="3750" w:type="dxa"/>
            <w:tcBorders>
              <w:top w:val="single" w:color="auto" w:sz="4" w:space="0"/>
              <w:left w:val="nil"/>
              <w:bottom w:val="single" w:color="auto" w:sz="4" w:space="0"/>
              <w:right w:val="single" w:color="auto" w:sz="4" w:space="0"/>
            </w:tcBorders>
            <w:shd w:val="clear" w:color="auto" w:fill="auto"/>
            <w:vAlign w:val="center"/>
          </w:tcPr>
          <w:p w14:paraId="2ACDCA45">
            <w:pPr>
              <w:widowControl/>
              <w:jc w:val="center"/>
              <w:textAlignment w:val="center"/>
              <w:rPr>
                <w:rFonts w:ascii="宋体" w:hAnsi="宋体" w:cs="宋体"/>
                <w:b/>
                <w:bCs/>
                <w:sz w:val="22"/>
              </w:rPr>
            </w:pPr>
            <w:r>
              <w:rPr>
                <w:rFonts w:hint="eastAsia" w:ascii="宋体" w:hAnsi="宋体" w:cs="宋体"/>
                <w:b/>
                <w:bCs/>
                <w:kern w:val="0"/>
                <w:sz w:val="22"/>
                <w:lang w:bidi="ar"/>
              </w:rPr>
              <w:t>名称</w:t>
            </w:r>
          </w:p>
        </w:tc>
        <w:tc>
          <w:tcPr>
            <w:tcW w:w="1215" w:type="dxa"/>
            <w:tcBorders>
              <w:top w:val="single" w:color="auto" w:sz="4" w:space="0"/>
              <w:left w:val="nil"/>
              <w:bottom w:val="single" w:color="auto" w:sz="4" w:space="0"/>
              <w:right w:val="single" w:color="auto" w:sz="4" w:space="0"/>
            </w:tcBorders>
            <w:shd w:val="clear" w:color="auto" w:fill="auto"/>
            <w:vAlign w:val="center"/>
          </w:tcPr>
          <w:p w14:paraId="4E302111">
            <w:pPr>
              <w:widowControl/>
              <w:jc w:val="center"/>
              <w:textAlignment w:val="center"/>
              <w:rPr>
                <w:rFonts w:ascii="宋体" w:hAnsi="宋体" w:cs="宋体"/>
                <w:b/>
                <w:bCs/>
                <w:sz w:val="22"/>
              </w:rPr>
            </w:pPr>
            <w:r>
              <w:rPr>
                <w:rFonts w:hint="eastAsia" w:ascii="宋体" w:hAnsi="宋体" w:cs="宋体"/>
                <w:b/>
                <w:bCs/>
                <w:kern w:val="0"/>
                <w:sz w:val="22"/>
                <w:lang w:bidi="ar"/>
              </w:rPr>
              <w:t>数量</w:t>
            </w:r>
          </w:p>
        </w:tc>
        <w:tc>
          <w:tcPr>
            <w:tcW w:w="729" w:type="dxa"/>
            <w:tcBorders>
              <w:top w:val="single" w:color="auto" w:sz="4" w:space="0"/>
              <w:left w:val="nil"/>
              <w:bottom w:val="single" w:color="auto" w:sz="4" w:space="0"/>
              <w:right w:val="single" w:color="auto" w:sz="4" w:space="0"/>
            </w:tcBorders>
            <w:shd w:val="clear" w:color="auto" w:fill="auto"/>
            <w:vAlign w:val="center"/>
          </w:tcPr>
          <w:p w14:paraId="15F5752E">
            <w:pPr>
              <w:widowControl/>
              <w:jc w:val="center"/>
              <w:textAlignment w:val="center"/>
              <w:rPr>
                <w:rFonts w:ascii="宋体" w:hAnsi="宋体" w:cs="宋体"/>
                <w:b/>
                <w:bCs/>
                <w:sz w:val="22"/>
              </w:rPr>
            </w:pPr>
            <w:r>
              <w:rPr>
                <w:rFonts w:hint="eastAsia" w:ascii="宋体" w:hAnsi="宋体" w:cs="宋体"/>
                <w:b/>
                <w:bCs/>
                <w:kern w:val="0"/>
                <w:sz w:val="22"/>
                <w:lang w:bidi="ar"/>
              </w:rPr>
              <w:t>单位</w:t>
            </w:r>
          </w:p>
        </w:tc>
        <w:tc>
          <w:tcPr>
            <w:tcW w:w="1866" w:type="dxa"/>
            <w:tcBorders>
              <w:top w:val="single" w:color="auto" w:sz="4" w:space="0"/>
              <w:left w:val="nil"/>
              <w:bottom w:val="single" w:color="auto" w:sz="4" w:space="0"/>
              <w:right w:val="single" w:color="auto" w:sz="4" w:space="0"/>
            </w:tcBorders>
            <w:shd w:val="clear" w:color="auto" w:fill="auto"/>
            <w:vAlign w:val="center"/>
          </w:tcPr>
          <w:p w14:paraId="66219BAE">
            <w:pPr>
              <w:widowControl/>
              <w:jc w:val="center"/>
              <w:textAlignment w:val="center"/>
              <w:rPr>
                <w:rFonts w:ascii="宋体" w:hAnsi="宋体" w:cs="宋体"/>
                <w:b/>
                <w:bCs/>
                <w:kern w:val="0"/>
                <w:sz w:val="22"/>
                <w:lang w:bidi="ar"/>
              </w:rPr>
            </w:pPr>
            <w:r>
              <w:rPr>
                <w:rFonts w:hint="eastAsia" w:ascii="宋体" w:hAnsi="宋体" w:cs="宋体"/>
                <w:b/>
                <w:bCs/>
                <w:kern w:val="0"/>
                <w:sz w:val="22"/>
                <w:lang w:bidi="ar"/>
              </w:rPr>
              <w:t>备注</w:t>
            </w:r>
          </w:p>
        </w:tc>
      </w:tr>
      <w:tr w14:paraId="3FE8204D">
        <w:tblPrEx>
          <w:tblCellMar>
            <w:top w:w="0" w:type="dxa"/>
            <w:left w:w="108" w:type="dxa"/>
            <w:bottom w:w="0" w:type="dxa"/>
            <w:right w:w="108" w:type="dxa"/>
          </w:tblCellMar>
        </w:tblPrEx>
        <w:trPr>
          <w:trHeight w:val="285" w:hRule="atLeast"/>
        </w:trPr>
        <w:tc>
          <w:tcPr>
            <w:tcW w:w="8872" w:type="dxa"/>
            <w:gridSpan w:val="5"/>
            <w:tcBorders>
              <w:top w:val="nil"/>
              <w:left w:val="single" w:color="auto" w:sz="4" w:space="0"/>
              <w:bottom w:val="single" w:color="auto" w:sz="4" w:space="0"/>
              <w:right w:val="single" w:color="auto" w:sz="4" w:space="0"/>
            </w:tcBorders>
            <w:shd w:val="clear" w:color="auto" w:fill="auto"/>
            <w:noWrap/>
            <w:vAlign w:val="center"/>
          </w:tcPr>
          <w:p w14:paraId="5F83C639">
            <w:pPr>
              <w:widowControl/>
              <w:jc w:val="left"/>
              <w:textAlignment w:val="center"/>
              <w:rPr>
                <w:rFonts w:ascii="宋体" w:hAnsi="宋体" w:cs="宋体"/>
                <w:kern w:val="0"/>
                <w:sz w:val="22"/>
                <w:lang w:bidi="ar"/>
              </w:rPr>
            </w:pPr>
            <w:r>
              <w:rPr>
                <w:rFonts w:hint="eastAsia" w:ascii="宋体" w:hAnsi="宋体" w:cs="宋体"/>
                <w:kern w:val="0"/>
                <w:sz w:val="22"/>
                <w:lang w:bidi="ar"/>
              </w:rPr>
              <w:t>一、智慧教室</w:t>
            </w:r>
          </w:p>
        </w:tc>
      </w:tr>
      <w:tr w14:paraId="7341114D">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A8DE11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3750" w:type="dxa"/>
            <w:tcBorders>
              <w:top w:val="nil"/>
              <w:left w:val="nil"/>
              <w:bottom w:val="single" w:color="auto" w:sz="4" w:space="0"/>
              <w:right w:val="single" w:color="auto" w:sz="4" w:space="0"/>
            </w:tcBorders>
            <w:shd w:val="clear" w:color="auto" w:fill="auto"/>
            <w:vAlign w:val="center"/>
          </w:tcPr>
          <w:p w14:paraId="183B9A7C">
            <w:pPr>
              <w:widowControl/>
              <w:jc w:val="center"/>
              <w:textAlignment w:val="center"/>
              <w:rPr>
                <w:rFonts w:ascii="宋体" w:hAnsi="宋体" w:cs="宋体"/>
                <w:sz w:val="22"/>
              </w:rPr>
            </w:pPr>
            <w:r>
              <w:rPr>
                <w:rFonts w:hint="eastAsia" w:ascii="宋体" w:hAnsi="宋体" w:cs="宋体"/>
                <w:kern w:val="0"/>
                <w:sz w:val="22"/>
                <w:lang w:bidi="ar"/>
              </w:rPr>
              <w:t>4K录播一体机</w:t>
            </w:r>
          </w:p>
        </w:tc>
        <w:tc>
          <w:tcPr>
            <w:tcW w:w="1215" w:type="dxa"/>
            <w:tcBorders>
              <w:top w:val="nil"/>
              <w:left w:val="nil"/>
              <w:bottom w:val="single" w:color="auto" w:sz="4" w:space="0"/>
              <w:right w:val="single" w:color="auto" w:sz="4" w:space="0"/>
            </w:tcBorders>
            <w:shd w:val="clear" w:color="auto" w:fill="auto"/>
            <w:vAlign w:val="center"/>
          </w:tcPr>
          <w:p w14:paraId="7D7AA2A4">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2504BB2">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3A65DE3D">
            <w:pPr>
              <w:widowControl/>
              <w:textAlignment w:val="center"/>
              <w:rPr>
                <w:rFonts w:ascii="宋体" w:hAnsi="宋体" w:cs="宋体"/>
                <w:kern w:val="0"/>
                <w:sz w:val="22"/>
                <w:lang w:bidi="ar"/>
              </w:rPr>
            </w:pPr>
            <w:r>
              <w:rPr>
                <w:rFonts w:hint="eastAsia" w:ascii="宋体" w:hAnsi="宋体" w:cs="宋体"/>
                <w:kern w:val="0"/>
                <w:sz w:val="22"/>
                <w:lang w:bidi="ar"/>
              </w:rPr>
              <w:t>工业（主要标的）</w:t>
            </w:r>
          </w:p>
        </w:tc>
      </w:tr>
      <w:tr w14:paraId="7278A4E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E045934">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3750" w:type="dxa"/>
            <w:tcBorders>
              <w:top w:val="nil"/>
              <w:left w:val="nil"/>
              <w:bottom w:val="single" w:color="auto" w:sz="4" w:space="0"/>
              <w:right w:val="single" w:color="auto" w:sz="4" w:space="0"/>
            </w:tcBorders>
            <w:shd w:val="clear" w:color="auto" w:fill="auto"/>
            <w:vAlign w:val="center"/>
          </w:tcPr>
          <w:p w14:paraId="2FF9C6F1">
            <w:pPr>
              <w:widowControl/>
              <w:jc w:val="center"/>
              <w:textAlignment w:val="center"/>
              <w:rPr>
                <w:rFonts w:ascii="宋体" w:hAnsi="宋体" w:cs="宋体"/>
                <w:sz w:val="22"/>
              </w:rPr>
            </w:pPr>
            <w:r>
              <w:rPr>
                <w:rFonts w:hint="eastAsia" w:ascii="宋体" w:hAnsi="宋体" w:cs="宋体"/>
                <w:kern w:val="0"/>
                <w:sz w:val="22"/>
                <w:lang w:bidi="ar"/>
              </w:rPr>
              <w:t>4K高清录播系统</w:t>
            </w:r>
          </w:p>
        </w:tc>
        <w:tc>
          <w:tcPr>
            <w:tcW w:w="1215" w:type="dxa"/>
            <w:tcBorders>
              <w:top w:val="nil"/>
              <w:left w:val="nil"/>
              <w:bottom w:val="single" w:color="auto" w:sz="4" w:space="0"/>
              <w:right w:val="single" w:color="auto" w:sz="4" w:space="0"/>
            </w:tcBorders>
            <w:shd w:val="clear" w:color="auto" w:fill="auto"/>
            <w:vAlign w:val="center"/>
          </w:tcPr>
          <w:p w14:paraId="13CADD0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FBF279D">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95C3BC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7B94452">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39C0903">
            <w:pPr>
              <w:widowControl/>
              <w:jc w:val="center"/>
              <w:textAlignment w:val="center"/>
              <w:rPr>
                <w:rFonts w:ascii="宋体" w:hAnsi="宋体" w:cs="宋体"/>
                <w:color w:val="000000"/>
                <w:sz w:val="22"/>
              </w:rPr>
            </w:pPr>
            <w:r>
              <w:rPr>
                <w:rFonts w:hint="eastAsia" w:ascii="宋体" w:hAnsi="宋体" w:cs="宋体"/>
                <w:color w:val="000000"/>
                <w:kern w:val="0"/>
                <w:sz w:val="22"/>
                <w:lang w:bidi="ar"/>
              </w:rPr>
              <w:t>3</w:t>
            </w:r>
          </w:p>
        </w:tc>
        <w:tc>
          <w:tcPr>
            <w:tcW w:w="3750" w:type="dxa"/>
            <w:tcBorders>
              <w:top w:val="nil"/>
              <w:left w:val="nil"/>
              <w:bottom w:val="single" w:color="auto" w:sz="4" w:space="0"/>
              <w:right w:val="single" w:color="auto" w:sz="4" w:space="0"/>
            </w:tcBorders>
            <w:shd w:val="clear" w:color="auto" w:fill="auto"/>
            <w:vAlign w:val="center"/>
          </w:tcPr>
          <w:p w14:paraId="40891BD1">
            <w:pPr>
              <w:widowControl/>
              <w:jc w:val="center"/>
              <w:textAlignment w:val="center"/>
              <w:rPr>
                <w:rFonts w:ascii="宋体" w:hAnsi="宋体" w:cs="宋体"/>
                <w:sz w:val="22"/>
              </w:rPr>
            </w:pPr>
            <w:r>
              <w:rPr>
                <w:rFonts w:hint="eastAsia" w:ascii="宋体" w:hAnsi="宋体" w:cs="宋体"/>
                <w:kern w:val="0"/>
                <w:sz w:val="22"/>
                <w:lang w:bidi="ar"/>
              </w:rPr>
              <w:t>行为分析语音识别</w:t>
            </w:r>
          </w:p>
        </w:tc>
        <w:tc>
          <w:tcPr>
            <w:tcW w:w="1215" w:type="dxa"/>
            <w:tcBorders>
              <w:top w:val="nil"/>
              <w:left w:val="nil"/>
              <w:bottom w:val="single" w:color="auto" w:sz="4" w:space="0"/>
              <w:right w:val="single" w:color="auto" w:sz="4" w:space="0"/>
            </w:tcBorders>
            <w:shd w:val="clear" w:color="auto" w:fill="auto"/>
            <w:vAlign w:val="center"/>
          </w:tcPr>
          <w:p w14:paraId="7BB62DA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8EE0E82">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55AD97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29AE32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CD56996">
            <w:pPr>
              <w:widowControl/>
              <w:jc w:val="center"/>
              <w:textAlignment w:val="center"/>
              <w:rPr>
                <w:rFonts w:ascii="宋体" w:hAnsi="宋体" w:cs="宋体"/>
                <w:color w:val="000000"/>
                <w:sz w:val="22"/>
              </w:rPr>
            </w:pPr>
            <w:r>
              <w:rPr>
                <w:rFonts w:hint="eastAsia" w:ascii="宋体" w:hAnsi="宋体" w:cs="宋体"/>
                <w:color w:val="000000"/>
                <w:kern w:val="0"/>
                <w:sz w:val="22"/>
                <w:lang w:bidi="ar"/>
              </w:rPr>
              <w:t>4</w:t>
            </w:r>
          </w:p>
        </w:tc>
        <w:tc>
          <w:tcPr>
            <w:tcW w:w="3750" w:type="dxa"/>
            <w:tcBorders>
              <w:top w:val="nil"/>
              <w:left w:val="nil"/>
              <w:bottom w:val="single" w:color="auto" w:sz="4" w:space="0"/>
              <w:right w:val="single" w:color="auto" w:sz="4" w:space="0"/>
            </w:tcBorders>
            <w:shd w:val="clear" w:color="auto" w:fill="auto"/>
            <w:vAlign w:val="center"/>
          </w:tcPr>
          <w:p w14:paraId="231F16C6">
            <w:pPr>
              <w:widowControl/>
              <w:jc w:val="center"/>
              <w:textAlignment w:val="center"/>
              <w:rPr>
                <w:rFonts w:ascii="宋体" w:hAnsi="宋体" w:cs="宋体"/>
                <w:sz w:val="22"/>
              </w:rPr>
            </w:pPr>
            <w:r>
              <w:rPr>
                <w:rFonts w:hint="eastAsia" w:ascii="宋体" w:hAnsi="宋体" w:cs="宋体"/>
                <w:kern w:val="0"/>
                <w:sz w:val="22"/>
                <w:lang w:bidi="ar"/>
              </w:rPr>
              <w:t>4K超高清摄像机</w:t>
            </w:r>
          </w:p>
        </w:tc>
        <w:tc>
          <w:tcPr>
            <w:tcW w:w="1215" w:type="dxa"/>
            <w:tcBorders>
              <w:top w:val="nil"/>
              <w:left w:val="nil"/>
              <w:bottom w:val="single" w:color="auto" w:sz="4" w:space="0"/>
              <w:right w:val="single" w:color="auto" w:sz="4" w:space="0"/>
            </w:tcBorders>
            <w:shd w:val="clear" w:color="auto" w:fill="auto"/>
            <w:vAlign w:val="center"/>
          </w:tcPr>
          <w:p w14:paraId="333944CC">
            <w:pPr>
              <w:widowControl/>
              <w:jc w:val="center"/>
              <w:textAlignment w:val="center"/>
              <w:rPr>
                <w:rFonts w:ascii="宋体" w:hAnsi="宋体" w:cs="宋体"/>
                <w:color w:val="000000"/>
                <w:sz w:val="22"/>
              </w:rPr>
            </w:pPr>
            <w:r>
              <w:rPr>
                <w:rFonts w:hint="eastAsia" w:ascii="宋体" w:hAnsi="宋体" w:cs="宋体"/>
                <w:color w:val="000000"/>
                <w:kern w:val="0"/>
                <w:sz w:val="22"/>
                <w:lang w:bidi="ar"/>
              </w:rPr>
              <w:t>4</w:t>
            </w:r>
          </w:p>
        </w:tc>
        <w:tc>
          <w:tcPr>
            <w:tcW w:w="729" w:type="dxa"/>
            <w:tcBorders>
              <w:top w:val="nil"/>
              <w:left w:val="nil"/>
              <w:bottom w:val="single" w:color="auto" w:sz="4" w:space="0"/>
              <w:right w:val="single" w:color="auto" w:sz="4" w:space="0"/>
            </w:tcBorders>
            <w:shd w:val="clear" w:color="auto" w:fill="auto"/>
            <w:vAlign w:val="center"/>
          </w:tcPr>
          <w:p w14:paraId="69140FA0">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102D17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98552A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374BBDE">
            <w:pPr>
              <w:widowControl/>
              <w:jc w:val="center"/>
              <w:textAlignment w:val="center"/>
              <w:rPr>
                <w:rFonts w:ascii="宋体" w:hAnsi="宋体" w:cs="宋体"/>
                <w:color w:val="000000"/>
                <w:sz w:val="22"/>
              </w:rPr>
            </w:pPr>
            <w:r>
              <w:rPr>
                <w:rFonts w:hint="eastAsia" w:ascii="宋体" w:hAnsi="宋体" w:cs="宋体"/>
                <w:color w:val="000000"/>
                <w:kern w:val="0"/>
                <w:sz w:val="22"/>
                <w:lang w:bidi="ar"/>
              </w:rPr>
              <w:t>5</w:t>
            </w:r>
          </w:p>
        </w:tc>
        <w:tc>
          <w:tcPr>
            <w:tcW w:w="3750" w:type="dxa"/>
            <w:tcBorders>
              <w:top w:val="nil"/>
              <w:left w:val="nil"/>
              <w:bottom w:val="single" w:color="auto" w:sz="4" w:space="0"/>
              <w:right w:val="single" w:color="auto" w:sz="4" w:space="0"/>
            </w:tcBorders>
            <w:shd w:val="clear" w:color="auto" w:fill="auto"/>
            <w:vAlign w:val="center"/>
          </w:tcPr>
          <w:p w14:paraId="07EFA6A2">
            <w:pPr>
              <w:widowControl/>
              <w:jc w:val="center"/>
              <w:textAlignment w:val="center"/>
              <w:rPr>
                <w:rFonts w:ascii="宋体" w:hAnsi="宋体" w:cs="宋体"/>
                <w:sz w:val="22"/>
              </w:rPr>
            </w:pPr>
            <w:r>
              <w:rPr>
                <w:rFonts w:hint="eastAsia" w:ascii="宋体" w:hAnsi="宋体" w:cs="宋体"/>
                <w:kern w:val="0"/>
                <w:sz w:val="22"/>
                <w:lang w:bidi="ar"/>
              </w:rPr>
              <w:t>智能分析主机</w:t>
            </w:r>
          </w:p>
        </w:tc>
        <w:tc>
          <w:tcPr>
            <w:tcW w:w="1215" w:type="dxa"/>
            <w:tcBorders>
              <w:top w:val="nil"/>
              <w:left w:val="nil"/>
              <w:bottom w:val="single" w:color="auto" w:sz="4" w:space="0"/>
              <w:right w:val="single" w:color="auto" w:sz="4" w:space="0"/>
            </w:tcBorders>
            <w:shd w:val="clear" w:color="auto" w:fill="auto"/>
            <w:vAlign w:val="center"/>
          </w:tcPr>
          <w:p w14:paraId="0A09F6D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5C2584B">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3D57896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8EDA9D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413AB05">
            <w:pPr>
              <w:widowControl/>
              <w:jc w:val="center"/>
              <w:textAlignment w:val="center"/>
              <w:rPr>
                <w:rFonts w:ascii="宋体" w:hAnsi="宋体" w:cs="宋体"/>
                <w:color w:val="000000"/>
                <w:sz w:val="22"/>
              </w:rPr>
            </w:pPr>
            <w:r>
              <w:rPr>
                <w:rFonts w:hint="eastAsia" w:ascii="宋体" w:hAnsi="宋体" w:cs="宋体"/>
                <w:color w:val="000000"/>
                <w:kern w:val="0"/>
                <w:sz w:val="22"/>
                <w:lang w:bidi="ar"/>
              </w:rPr>
              <w:t>6</w:t>
            </w:r>
          </w:p>
        </w:tc>
        <w:tc>
          <w:tcPr>
            <w:tcW w:w="3750" w:type="dxa"/>
            <w:tcBorders>
              <w:top w:val="nil"/>
              <w:left w:val="nil"/>
              <w:bottom w:val="single" w:color="auto" w:sz="4" w:space="0"/>
              <w:right w:val="single" w:color="auto" w:sz="4" w:space="0"/>
            </w:tcBorders>
            <w:shd w:val="clear" w:color="auto" w:fill="auto"/>
            <w:vAlign w:val="center"/>
          </w:tcPr>
          <w:p w14:paraId="638D97E2">
            <w:pPr>
              <w:widowControl/>
              <w:jc w:val="center"/>
              <w:textAlignment w:val="center"/>
              <w:rPr>
                <w:rFonts w:ascii="宋体" w:hAnsi="宋体" w:cs="宋体"/>
                <w:sz w:val="22"/>
              </w:rPr>
            </w:pPr>
            <w:r>
              <w:rPr>
                <w:rFonts w:hint="eastAsia" w:ascii="宋体" w:hAnsi="宋体" w:cs="宋体"/>
                <w:kern w:val="0"/>
                <w:sz w:val="22"/>
                <w:lang w:bidi="ar"/>
              </w:rPr>
              <w:t>图像跟踪系统</w:t>
            </w:r>
          </w:p>
        </w:tc>
        <w:tc>
          <w:tcPr>
            <w:tcW w:w="1215" w:type="dxa"/>
            <w:tcBorders>
              <w:top w:val="nil"/>
              <w:left w:val="nil"/>
              <w:bottom w:val="single" w:color="auto" w:sz="4" w:space="0"/>
              <w:right w:val="single" w:color="auto" w:sz="4" w:space="0"/>
            </w:tcBorders>
            <w:shd w:val="clear" w:color="auto" w:fill="auto"/>
            <w:vAlign w:val="center"/>
          </w:tcPr>
          <w:p w14:paraId="22EF77C6">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64C60F0">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7CEE8097">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3429FC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73E6811">
            <w:pPr>
              <w:widowControl/>
              <w:jc w:val="center"/>
              <w:textAlignment w:val="center"/>
              <w:rPr>
                <w:rFonts w:ascii="宋体" w:hAnsi="宋体" w:cs="宋体"/>
                <w:color w:val="000000"/>
                <w:sz w:val="22"/>
              </w:rPr>
            </w:pPr>
            <w:r>
              <w:rPr>
                <w:rFonts w:hint="eastAsia" w:ascii="宋体" w:hAnsi="宋体" w:cs="宋体"/>
                <w:color w:val="000000"/>
                <w:kern w:val="0"/>
                <w:sz w:val="22"/>
                <w:lang w:bidi="ar"/>
              </w:rPr>
              <w:t>7</w:t>
            </w:r>
          </w:p>
        </w:tc>
        <w:tc>
          <w:tcPr>
            <w:tcW w:w="3750" w:type="dxa"/>
            <w:tcBorders>
              <w:top w:val="nil"/>
              <w:left w:val="nil"/>
              <w:bottom w:val="single" w:color="auto" w:sz="4" w:space="0"/>
              <w:right w:val="single" w:color="auto" w:sz="4" w:space="0"/>
            </w:tcBorders>
            <w:shd w:val="clear" w:color="auto" w:fill="auto"/>
            <w:vAlign w:val="center"/>
          </w:tcPr>
          <w:p w14:paraId="36917D5C">
            <w:pPr>
              <w:widowControl/>
              <w:jc w:val="center"/>
              <w:textAlignment w:val="center"/>
              <w:rPr>
                <w:rFonts w:ascii="宋体" w:hAnsi="宋体" w:cs="宋体"/>
                <w:kern w:val="0"/>
                <w:sz w:val="22"/>
                <w:lang w:bidi="ar"/>
              </w:rPr>
            </w:pPr>
            <w:r>
              <w:rPr>
                <w:rFonts w:hint="eastAsia" w:ascii="宋体" w:hAnsi="宋体" w:cs="宋体"/>
                <w:kern w:val="0"/>
                <w:sz w:val="22"/>
                <w:lang w:bidi="ar"/>
              </w:rPr>
              <w:t>屏幕采集系统</w:t>
            </w:r>
          </w:p>
        </w:tc>
        <w:tc>
          <w:tcPr>
            <w:tcW w:w="1215" w:type="dxa"/>
            <w:tcBorders>
              <w:top w:val="nil"/>
              <w:left w:val="nil"/>
              <w:bottom w:val="single" w:color="auto" w:sz="4" w:space="0"/>
              <w:right w:val="single" w:color="auto" w:sz="4" w:space="0"/>
            </w:tcBorders>
            <w:shd w:val="clear" w:color="auto" w:fill="auto"/>
            <w:vAlign w:val="center"/>
          </w:tcPr>
          <w:p w14:paraId="0F048FF5">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1CCAF82">
            <w:pPr>
              <w:widowControl/>
              <w:jc w:val="center"/>
              <w:textAlignment w:val="center"/>
              <w:rPr>
                <w:rFonts w:ascii="宋体" w:hAnsi="宋体" w:cs="宋体"/>
                <w:kern w:val="0"/>
                <w:sz w:val="22"/>
                <w:lang w:bidi="ar"/>
              </w:rPr>
            </w:pPr>
            <w:r>
              <w:rPr>
                <w:rFonts w:hint="eastAsia" w:ascii="宋体" w:hAnsi="宋体" w:cs="宋体"/>
                <w:kern w:val="0"/>
                <w:sz w:val="22"/>
                <w:lang w:bidi="ar"/>
              </w:rPr>
              <w:t>套</w:t>
            </w:r>
          </w:p>
        </w:tc>
        <w:tc>
          <w:tcPr>
            <w:tcW w:w="1866" w:type="dxa"/>
            <w:tcBorders>
              <w:top w:val="single" w:color="auto" w:sz="4" w:space="0"/>
              <w:left w:val="nil"/>
              <w:bottom w:val="single" w:color="auto" w:sz="4" w:space="0"/>
              <w:right w:val="single" w:color="auto" w:sz="4" w:space="0"/>
            </w:tcBorders>
            <w:shd w:val="clear" w:color="auto" w:fill="auto"/>
            <w:vAlign w:val="center"/>
          </w:tcPr>
          <w:p w14:paraId="3A7C9314">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3DA53B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3B9E277">
            <w:pPr>
              <w:widowControl/>
              <w:jc w:val="center"/>
              <w:textAlignment w:val="center"/>
              <w:rPr>
                <w:rFonts w:ascii="宋体" w:hAnsi="宋体" w:cs="宋体"/>
                <w:color w:val="000000"/>
                <w:sz w:val="22"/>
              </w:rPr>
            </w:pPr>
            <w:r>
              <w:rPr>
                <w:rFonts w:hint="eastAsia" w:ascii="宋体" w:hAnsi="宋体" w:cs="宋体"/>
                <w:color w:val="000000"/>
                <w:kern w:val="0"/>
                <w:sz w:val="22"/>
                <w:lang w:bidi="ar"/>
              </w:rPr>
              <w:t>8</w:t>
            </w:r>
          </w:p>
        </w:tc>
        <w:tc>
          <w:tcPr>
            <w:tcW w:w="3750" w:type="dxa"/>
            <w:tcBorders>
              <w:top w:val="nil"/>
              <w:left w:val="nil"/>
              <w:bottom w:val="single" w:color="auto" w:sz="4" w:space="0"/>
              <w:right w:val="single" w:color="auto" w:sz="4" w:space="0"/>
            </w:tcBorders>
            <w:shd w:val="clear" w:color="auto" w:fill="auto"/>
            <w:vAlign w:val="center"/>
          </w:tcPr>
          <w:p w14:paraId="5F5E48C9">
            <w:pPr>
              <w:widowControl/>
              <w:jc w:val="center"/>
              <w:textAlignment w:val="center"/>
              <w:rPr>
                <w:rFonts w:ascii="宋体" w:hAnsi="宋体" w:cs="宋体"/>
                <w:sz w:val="22"/>
              </w:rPr>
            </w:pPr>
            <w:r>
              <w:rPr>
                <w:rFonts w:hint="eastAsia" w:ascii="宋体" w:hAnsi="宋体" w:cs="宋体"/>
                <w:kern w:val="0"/>
                <w:sz w:val="22"/>
                <w:lang w:bidi="ar"/>
              </w:rPr>
              <w:t>小组讨论终端</w:t>
            </w:r>
          </w:p>
        </w:tc>
        <w:tc>
          <w:tcPr>
            <w:tcW w:w="1215" w:type="dxa"/>
            <w:tcBorders>
              <w:top w:val="nil"/>
              <w:left w:val="nil"/>
              <w:bottom w:val="single" w:color="auto" w:sz="4" w:space="0"/>
              <w:right w:val="single" w:color="auto" w:sz="4" w:space="0"/>
            </w:tcBorders>
            <w:shd w:val="clear" w:color="auto" w:fill="auto"/>
            <w:vAlign w:val="center"/>
          </w:tcPr>
          <w:p w14:paraId="1FB8DCBB">
            <w:pPr>
              <w:widowControl/>
              <w:jc w:val="center"/>
              <w:textAlignment w:val="center"/>
              <w:rPr>
                <w:rFonts w:ascii="宋体" w:hAnsi="宋体" w:cs="宋体"/>
                <w:sz w:val="22"/>
              </w:rPr>
            </w:pPr>
            <w:r>
              <w:rPr>
                <w:rFonts w:hint="eastAsia" w:ascii="宋体" w:hAnsi="宋体" w:cs="宋体"/>
                <w:kern w:val="0"/>
                <w:sz w:val="22"/>
                <w:lang w:bidi="ar"/>
              </w:rPr>
              <w:t>4</w:t>
            </w:r>
          </w:p>
        </w:tc>
        <w:tc>
          <w:tcPr>
            <w:tcW w:w="729" w:type="dxa"/>
            <w:tcBorders>
              <w:top w:val="nil"/>
              <w:left w:val="nil"/>
              <w:bottom w:val="single" w:color="auto" w:sz="4" w:space="0"/>
              <w:right w:val="single" w:color="auto" w:sz="4" w:space="0"/>
            </w:tcBorders>
            <w:shd w:val="clear" w:color="auto" w:fill="auto"/>
            <w:vAlign w:val="center"/>
          </w:tcPr>
          <w:p w14:paraId="7AB3A113">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4CC2FE9C">
            <w:pPr>
              <w:widowControl/>
              <w:jc w:val="center"/>
              <w:textAlignment w:val="center"/>
              <w:rPr>
                <w:rFonts w:ascii="宋体" w:hAnsi="宋体" w:cs="宋体"/>
                <w:kern w:val="0"/>
                <w:sz w:val="22"/>
                <w:lang w:bidi="ar"/>
              </w:rPr>
            </w:pPr>
            <w:r>
              <w:rPr>
                <w:rFonts w:hint="eastAsia" w:ascii="宋体" w:hAnsi="宋体" w:cs="宋体"/>
                <w:kern w:val="0"/>
                <w:sz w:val="22"/>
                <w:lang w:bidi="ar"/>
              </w:rPr>
              <w:t>工业（强制节能产品）</w:t>
            </w:r>
          </w:p>
        </w:tc>
      </w:tr>
      <w:tr w14:paraId="01746C2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1BAA8A0">
            <w:pPr>
              <w:widowControl/>
              <w:jc w:val="center"/>
              <w:textAlignment w:val="center"/>
              <w:rPr>
                <w:rFonts w:ascii="宋体" w:hAnsi="宋体" w:cs="宋体"/>
                <w:color w:val="000000"/>
                <w:sz w:val="22"/>
              </w:rPr>
            </w:pPr>
            <w:r>
              <w:rPr>
                <w:rFonts w:hint="eastAsia" w:ascii="宋体" w:hAnsi="宋体" w:cs="宋体"/>
                <w:color w:val="000000"/>
                <w:kern w:val="0"/>
                <w:sz w:val="22"/>
                <w:lang w:bidi="ar"/>
              </w:rPr>
              <w:t>9</w:t>
            </w:r>
          </w:p>
        </w:tc>
        <w:tc>
          <w:tcPr>
            <w:tcW w:w="3750" w:type="dxa"/>
            <w:tcBorders>
              <w:top w:val="nil"/>
              <w:left w:val="nil"/>
              <w:bottom w:val="single" w:color="auto" w:sz="4" w:space="0"/>
              <w:right w:val="single" w:color="auto" w:sz="4" w:space="0"/>
            </w:tcBorders>
            <w:shd w:val="clear" w:color="auto" w:fill="auto"/>
            <w:vAlign w:val="center"/>
          </w:tcPr>
          <w:p w14:paraId="44C1C6E7">
            <w:pPr>
              <w:widowControl/>
              <w:jc w:val="center"/>
              <w:textAlignment w:val="center"/>
              <w:rPr>
                <w:rFonts w:ascii="宋体" w:hAnsi="宋体" w:cs="宋体"/>
                <w:sz w:val="22"/>
              </w:rPr>
            </w:pPr>
            <w:r>
              <w:rPr>
                <w:rFonts w:hint="eastAsia" w:ascii="宋体" w:hAnsi="宋体" w:cs="宋体"/>
                <w:kern w:val="0"/>
                <w:sz w:val="22"/>
                <w:lang w:bidi="ar"/>
              </w:rPr>
              <w:t>智慧讲桌</w:t>
            </w:r>
          </w:p>
        </w:tc>
        <w:tc>
          <w:tcPr>
            <w:tcW w:w="1215" w:type="dxa"/>
            <w:tcBorders>
              <w:top w:val="nil"/>
              <w:left w:val="nil"/>
              <w:bottom w:val="single" w:color="auto" w:sz="4" w:space="0"/>
              <w:right w:val="single" w:color="auto" w:sz="4" w:space="0"/>
            </w:tcBorders>
            <w:shd w:val="clear" w:color="auto" w:fill="auto"/>
            <w:vAlign w:val="center"/>
          </w:tcPr>
          <w:p w14:paraId="02822AF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A0A623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82090E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1532D0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045830A">
            <w:pPr>
              <w:widowControl/>
              <w:jc w:val="center"/>
              <w:textAlignment w:val="center"/>
              <w:rPr>
                <w:rFonts w:ascii="宋体" w:hAnsi="宋体" w:cs="宋体"/>
                <w:color w:val="000000"/>
                <w:sz w:val="22"/>
              </w:rPr>
            </w:pPr>
            <w:r>
              <w:rPr>
                <w:rFonts w:hint="eastAsia" w:ascii="宋体" w:hAnsi="宋体" w:cs="宋体"/>
                <w:color w:val="000000"/>
                <w:kern w:val="0"/>
                <w:sz w:val="22"/>
                <w:lang w:bidi="ar"/>
              </w:rPr>
              <w:t>10</w:t>
            </w:r>
          </w:p>
        </w:tc>
        <w:tc>
          <w:tcPr>
            <w:tcW w:w="3750" w:type="dxa"/>
            <w:tcBorders>
              <w:top w:val="nil"/>
              <w:left w:val="nil"/>
              <w:bottom w:val="single" w:color="auto" w:sz="4" w:space="0"/>
              <w:right w:val="single" w:color="auto" w:sz="4" w:space="0"/>
            </w:tcBorders>
            <w:shd w:val="clear" w:color="auto" w:fill="auto"/>
            <w:vAlign w:val="center"/>
          </w:tcPr>
          <w:p w14:paraId="31338C0D">
            <w:pPr>
              <w:widowControl/>
              <w:jc w:val="center"/>
              <w:textAlignment w:val="center"/>
              <w:rPr>
                <w:rFonts w:ascii="宋体" w:hAnsi="宋体" w:cs="宋体"/>
                <w:sz w:val="22"/>
              </w:rPr>
            </w:pPr>
            <w:r>
              <w:rPr>
                <w:rFonts w:hint="eastAsia" w:ascii="宋体" w:hAnsi="宋体" w:cs="宋体"/>
                <w:kern w:val="0"/>
                <w:sz w:val="22"/>
                <w:lang w:bidi="ar"/>
              </w:rPr>
              <w:t>多屏协作模块</w:t>
            </w:r>
          </w:p>
        </w:tc>
        <w:tc>
          <w:tcPr>
            <w:tcW w:w="1215" w:type="dxa"/>
            <w:tcBorders>
              <w:top w:val="nil"/>
              <w:left w:val="nil"/>
              <w:bottom w:val="single" w:color="auto" w:sz="4" w:space="0"/>
              <w:right w:val="single" w:color="auto" w:sz="4" w:space="0"/>
            </w:tcBorders>
            <w:shd w:val="clear" w:color="auto" w:fill="auto"/>
            <w:vAlign w:val="center"/>
          </w:tcPr>
          <w:p w14:paraId="2D5E6EC5">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6620C68">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B64646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E8AA1A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3DA324E">
            <w:pPr>
              <w:widowControl/>
              <w:jc w:val="center"/>
              <w:textAlignment w:val="center"/>
              <w:rPr>
                <w:rFonts w:ascii="宋体" w:hAnsi="宋体" w:cs="宋体"/>
                <w:color w:val="000000"/>
                <w:sz w:val="22"/>
              </w:rPr>
            </w:pPr>
            <w:r>
              <w:rPr>
                <w:rFonts w:hint="eastAsia" w:ascii="宋体" w:hAnsi="宋体" w:cs="宋体"/>
                <w:color w:val="000000"/>
                <w:kern w:val="0"/>
                <w:sz w:val="22"/>
                <w:lang w:bidi="ar"/>
              </w:rPr>
              <w:t>11</w:t>
            </w:r>
          </w:p>
        </w:tc>
        <w:tc>
          <w:tcPr>
            <w:tcW w:w="3750" w:type="dxa"/>
            <w:tcBorders>
              <w:top w:val="nil"/>
              <w:left w:val="nil"/>
              <w:bottom w:val="single" w:color="auto" w:sz="4" w:space="0"/>
              <w:right w:val="single" w:color="auto" w:sz="4" w:space="0"/>
            </w:tcBorders>
            <w:shd w:val="clear" w:color="auto" w:fill="auto"/>
            <w:vAlign w:val="center"/>
          </w:tcPr>
          <w:p w14:paraId="15595EDF">
            <w:pPr>
              <w:widowControl/>
              <w:jc w:val="center"/>
              <w:textAlignment w:val="center"/>
              <w:rPr>
                <w:rFonts w:ascii="宋体" w:hAnsi="宋体" w:cs="宋体"/>
                <w:sz w:val="22"/>
              </w:rPr>
            </w:pPr>
            <w:r>
              <w:rPr>
                <w:rFonts w:hint="eastAsia" w:ascii="宋体" w:hAnsi="宋体" w:cs="宋体"/>
                <w:kern w:val="0"/>
                <w:sz w:val="22"/>
                <w:lang w:bidi="ar"/>
              </w:rPr>
              <w:t>教学评价服务</w:t>
            </w:r>
          </w:p>
        </w:tc>
        <w:tc>
          <w:tcPr>
            <w:tcW w:w="1215" w:type="dxa"/>
            <w:tcBorders>
              <w:top w:val="nil"/>
              <w:left w:val="nil"/>
              <w:bottom w:val="single" w:color="auto" w:sz="4" w:space="0"/>
              <w:right w:val="single" w:color="auto" w:sz="4" w:space="0"/>
            </w:tcBorders>
            <w:shd w:val="clear" w:color="auto" w:fill="auto"/>
            <w:vAlign w:val="center"/>
          </w:tcPr>
          <w:p w14:paraId="5DDCF2C4">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24072BC">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C8900F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2E1532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938225A">
            <w:pPr>
              <w:widowControl/>
              <w:jc w:val="center"/>
              <w:textAlignment w:val="center"/>
              <w:rPr>
                <w:rFonts w:ascii="宋体" w:hAnsi="宋体" w:cs="宋体"/>
                <w:color w:val="000000"/>
                <w:sz w:val="22"/>
              </w:rPr>
            </w:pPr>
            <w:r>
              <w:rPr>
                <w:rFonts w:hint="eastAsia" w:ascii="宋体" w:hAnsi="宋体" w:cs="宋体"/>
                <w:color w:val="000000"/>
                <w:kern w:val="0"/>
                <w:sz w:val="22"/>
                <w:lang w:bidi="ar"/>
              </w:rPr>
              <w:t>12</w:t>
            </w:r>
          </w:p>
        </w:tc>
        <w:tc>
          <w:tcPr>
            <w:tcW w:w="3750" w:type="dxa"/>
            <w:tcBorders>
              <w:top w:val="nil"/>
              <w:left w:val="nil"/>
              <w:bottom w:val="single" w:color="auto" w:sz="4" w:space="0"/>
              <w:right w:val="single" w:color="auto" w:sz="4" w:space="0"/>
            </w:tcBorders>
            <w:shd w:val="clear" w:color="auto" w:fill="auto"/>
            <w:vAlign w:val="center"/>
          </w:tcPr>
          <w:p w14:paraId="1BAA88CD">
            <w:pPr>
              <w:widowControl/>
              <w:jc w:val="center"/>
              <w:textAlignment w:val="center"/>
              <w:rPr>
                <w:rFonts w:ascii="宋体" w:hAnsi="宋体" w:cs="宋体"/>
                <w:sz w:val="22"/>
              </w:rPr>
            </w:pPr>
            <w:r>
              <w:rPr>
                <w:rFonts w:hint="eastAsia" w:ascii="宋体" w:hAnsi="宋体" w:cs="宋体"/>
                <w:kern w:val="0"/>
                <w:sz w:val="22"/>
                <w:lang w:bidi="ar"/>
              </w:rPr>
              <w:t>未来教室应用系统</w:t>
            </w:r>
          </w:p>
        </w:tc>
        <w:tc>
          <w:tcPr>
            <w:tcW w:w="1215" w:type="dxa"/>
            <w:tcBorders>
              <w:top w:val="nil"/>
              <w:left w:val="nil"/>
              <w:bottom w:val="single" w:color="auto" w:sz="4" w:space="0"/>
              <w:right w:val="single" w:color="auto" w:sz="4" w:space="0"/>
            </w:tcBorders>
            <w:shd w:val="clear" w:color="auto" w:fill="auto"/>
            <w:vAlign w:val="center"/>
          </w:tcPr>
          <w:p w14:paraId="3D53FC67">
            <w:pPr>
              <w:widowControl/>
              <w:jc w:val="center"/>
              <w:textAlignment w:val="center"/>
              <w:rPr>
                <w:rFonts w:ascii="宋体" w:hAnsi="宋体" w:cs="宋体"/>
                <w:color w:val="000000"/>
                <w:sz w:val="22"/>
              </w:rPr>
            </w:pPr>
            <w:r>
              <w:rPr>
                <w:rFonts w:hint="eastAsia" w:ascii="宋体" w:hAnsi="宋体" w:cs="宋体"/>
                <w:color w:val="000000"/>
                <w:kern w:val="0"/>
                <w:sz w:val="22"/>
                <w:lang w:bidi="ar"/>
              </w:rPr>
              <w:t>5</w:t>
            </w:r>
          </w:p>
        </w:tc>
        <w:tc>
          <w:tcPr>
            <w:tcW w:w="729" w:type="dxa"/>
            <w:tcBorders>
              <w:top w:val="nil"/>
              <w:left w:val="nil"/>
              <w:bottom w:val="single" w:color="auto" w:sz="4" w:space="0"/>
              <w:right w:val="single" w:color="auto" w:sz="4" w:space="0"/>
            </w:tcBorders>
            <w:shd w:val="clear" w:color="auto" w:fill="auto"/>
            <w:vAlign w:val="center"/>
          </w:tcPr>
          <w:p w14:paraId="1914490A">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F991652">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F257C7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BBC9DB5">
            <w:pPr>
              <w:widowControl/>
              <w:jc w:val="center"/>
              <w:textAlignment w:val="center"/>
              <w:rPr>
                <w:rFonts w:ascii="宋体" w:hAnsi="宋体" w:cs="宋体"/>
                <w:color w:val="000000"/>
                <w:sz w:val="22"/>
              </w:rPr>
            </w:pPr>
            <w:r>
              <w:rPr>
                <w:rFonts w:hint="eastAsia" w:ascii="宋体" w:hAnsi="宋体" w:cs="宋体"/>
                <w:color w:val="000000"/>
                <w:kern w:val="0"/>
                <w:sz w:val="22"/>
                <w:lang w:bidi="ar"/>
              </w:rPr>
              <w:t>13</w:t>
            </w:r>
          </w:p>
        </w:tc>
        <w:tc>
          <w:tcPr>
            <w:tcW w:w="3750" w:type="dxa"/>
            <w:tcBorders>
              <w:top w:val="nil"/>
              <w:left w:val="nil"/>
              <w:bottom w:val="single" w:color="auto" w:sz="4" w:space="0"/>
              <w:right w:val="single" w:color="auto" w:sz="4" w:space="0"/>
            </w:tcBorders>
            <w:shd w:val="clear" w:color="auto" w:fill="auto"/>
            <w:vAlign w:val="center"/>
          </w:tcPr>
          <w:p w14:paraId="3A13533A">
            <w:pPr>
              <w:widowControl/>
              <w:jc w:val="center"/>
              <w:textAlignment w:val="center"/>
              <w:rPr>
                <w:rFonts w:ascii="宋体" w:hAnsi="宋体" w:cs="宋体"/>
                <w:sz w:val="22"/>
              </w:rPr>
            </w:pPr>
            <w:r>
              <w:rPr>
                <w:rFonts w:hint="eastAsia" w:ascii="宋体" w:hAnsi="宋体" w:cs="宋体"/>
                <w:kern w:val="0"/>
                <w:sz w:val="22"/>
                <w:lang w:bidi="ar"/>
              </w:rPr>
              <w:t>教师端应用系统</w:t>
            </w:r>
          </w:p>
        </w:tc>
        <w:tc>
          <w:tcPr>
            <w:tcW w:w="1215" w:type="dxa"/>
            <w:tcBorders>
              <w:top w:val="nil"/>
              <w:left w:val="nil"/>
              <w:bottom w:val="single" w:color="auto" w:sz="4" w:space="0"/>
              <w:right w:val="single" w:color="auto" w:sz="4" w:space="0"/>
            </w:tcBorders>
            <w:shd w:val="clear" w:color="auto" w:fill="auto"/>
            <w:vAlign w:val="center"/>
          </w:tcPr>
          <w:p w14:paraId="53970F2A">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D885885">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63C094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E6805DC">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62A9514">
            <w:pPr>
              <w:widowControl/>
              <w:jc w:val="center"/>
              <w:textAlignment w:val="center"/>
              <w:rPr>
                <w:rFonts w:ascii="宋体" w:hAnsi="宋体" w:cs="宋体"/>
                <w:color w:val="000000"/>
                <w:sz w:val="22"/>
              </w:rPr>
            </w:pPr>
            <w:r>
              <w:rPr>
                <w:rFonts w:hint="eastAsia" w:ascii="宋体" w:hAnsi="宋体" w:cs="宋体"/>
                <w:color w:val="000000"/>
                <w:kern w:val="0"/>
                <w:sz w:val="22"/>
                <w:lang w:bidi="ar"/>
              </w:rPr>
              <w:t>14</w:t>
            </w:r>
          </w:p>
        </w:tc>
        <w:tc>
          <w:tcPr>
            <w:tcW w:w="3750" w:type="dxa"/>
            <w:tcBorders>
              <w:top w:val="nil"/>
              <w:left w:val="nil"/>
              <w:bottom w:val="single" w:color="auto" w:sz="4" w:space="0"/>
              <w:right w:val="single" w:color="auto" w:sz="4" w:space="0"/>
            </w:tcBorders>
            <w:shd w:val="clear" w:color="auto" w:fill="auto"/>
            <w:vAlign w:val="center"/>
          </w:tcPr>
          <w:p w14:paraId="53A6257A">
            <w:pPr>
              <w:widowControl/>
              <w:jc w:val="center"/>
              <w:textAlignment w:val="center"/>
              <w:rPr>
                <w:rFonts w:ascii="宋体" w:hAnsi="宋体" w:cs="宋体"/>
                <w:sz w:val="22"/>
              </w:rPr>
            </w:pPr>
            <w:r>
              <w:rPr>
                <w:rFonts w:hint="eastAsia" w:ascii="宋体" w:hAnsi="宋体" w:cs="宋体"/>
                <w:kern w:val="0"/>
                <w:sz w:val="22"/>
                <w:lang w:bidi="ar"/>
              </w:rPr>
              <w:t>学生端应用系统</w:t>
            </w:r>
          </w:p>
        </w:tc>
        <w:tc>
          <w:tcPr>
            <w:tcW w:w="1215" w:type="dxa"/>
            <w:tcBorders>
              <w:top w:val="nil"/>
              <w:left w:val="nil"/>
              <w:bottom w:val="single" w:color="auto" w:sz="4" w:space="0"/>
              <w:right w:val="single" w:color="auto" w:sz="4" w:space="0"/>
            </w:tcBorders>
            <w:shd w:val="clear" w:color="auto" w:fill="auto"/>
            <w:vAlign w:val="center"/>
          </w:tcPr>
          <w:p w14:paraId="489F816D">
            <w:pPr>
              <w:widowControl/>
              <w:jc w:val="center"/>
              <w:textAlignment w:val="center"/>
              <w:rPr>
                <w:rFonts w:ascii="宋体" w:hAnsi="宋体" w:cs="宋体"/>
                <w:color w:val="000000"/>
                <w:sz w:val="22"/>
              </w:rPr>
            </w:pPr>
            <w:r>
              <w:rPr>
                <w:rFonts w:hint="eastAsia" w:ascii="宋体" w:hAnsi="宋体" w:cs="宋体"/>
                <w:color w:val="000000"/>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65C8F8F1">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3AD2B76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6A1576C">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2299F4D">
            <w:pPr>
              <w:widowControl/>
              <w:jc w:val="center"/>
              <w:textAlignment w:val="center"/>
              <w:rPr>
                <w:rFonts w:ascii="宋体" w:hAnsi="宋体" w:cs="宋体"/>
                <w:color w:val="000000"/>
                <w:sz w:val="22"/>
              </w:rPr>
            </w:pPr>
            <w:r>
              <w:rPr>
                <w:rFonts w:hint="eastAsia" w:ascii="宋体" w:hAnsi="宋体" w:cs="宋体"/>
                <w:color w:val="000000"/>
                <w:kern w:val="0"/>
                <w:sz w:val="22"/>
                <w:lang w:bidi="ar"/>
              </w:rPr>
              <w:t>15</w:t>
            </w:r>
          </w:p>
        </w:tc>
        <w:tc>
          <w:tcPr>
            <w:tcW w:w="3750" w:type="dxa"/>
            <w:tcBorders>
              <w:top w:val="nil"/>
              <w:left w:val="nil"/>
              <w:bottom w:val="single" w:color="auto" w:sz="4" w:space="0"/>
              <w:right w:val="single" w:color="auto" w:sz="4" w:space="0"/>
            </w:tcBorders>
            <w:shd w:val="clear" w:color="auto" w:fill="auto"/>
            <w:vAlign w:val="center"/>
          </w:tcPr>
          <w:p w14:paraId="7EB94D88">
            <w:pPr>
              <w:widowControl/>
              <w:jc w:val="center"/>
              <w:textAlignment w:val="center"/>
              <w:rPr>
                <w:rFonts w:ascii="宋体" w:hAnsi="宋体" w:cs="宋体"/>
                <w:sz w:val="22"/>
              </w:rPr>
            </w:pPr>
            <w:r>
              <w:rPr>
                <w:rFonts w:hint="eastAsia" w:ascii="宋体" w:hAnsi="宋体" w:cs="宋体"/>
                <w:kern w:val="0"/>
                <w:sz w:val="22"/>
                <w:lang w:bidi="ar"/>
              </w:rPr>
              <w:t>教师移动学习终端</w:t>
            </w:r>
          </w:p>
        </w:tc>
        <w:tc>
          <w:tcPr>
            <w:tcW w:w="1215" w:type="dxa"/>
            <w:tcBorders>
              <w:top w:val="nil"/>
              <w:left w:val="nil"/>
              <w:bottom w:val="single" w:color="auto" w:sz="4" w:space="0"/>
              <w:right w:val="single" w:color="auto" w:sz="4" w:space="0"/>
            </w:tcBorders>
            <w:shd w:val="clear" w:color="auto" w:fill="auto"/>
            <w:vAlign w:val="center"/>
          </w:tcPr>
          <w:p w14:paraId="3AEFC2B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416DEF6">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39D1B0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4E5BC8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9432C6E">
            <w:pPr>
              <w:widowControl/>
              <w:jc w:val="center"/>
              <w:textAlignment w:val="center"/>
              <w:rPr>
                <w:rFonts w:ascii="宋体" w:hAnsi="宋体" w:cs="宋体"/>
                <w:color w:val="000000"/>
                <w:sz w:val="22"/>
              </w:rPr>
            </w:pPr>
            <w:r>
              <w:rPr>
                <w:rFonts w:hint="eastAsia" w:ascii="宋体" w:hAnsi="宋体" w:cs="宋体"/>
                <w:color w:val="000000"/>
                <w:kern w:val="0"/>
                <w:sz w:val="22"/>
                <w:lang w:bidi="ar"/>
              </w:rPr>
              <w:t>16</w:t>
            </w:r>
          </w:p>
        </w:tc>
        <w:tc>
          <w:tcPr>
            <w:tcW w:w="3750" w:type="dxa"/>
            <w:tcBorders>
              <w:top w:val="nil"/>
              <w:left w:val="nil"/>
              <w:bottom w:val="single" w:color="auto" w:sz="4" w:space="0"/>
              <w:right w:val="single" w:color="auto" w:sz="4" w:space="0"/>
            </w:tcBorders>
            <w:shd w:val="clear" w:color="auto" w:fill="auto"/>
            <w:vAlign w:val="center"/>
          </w:tcPr>
          <w:p w14:paraId="3FFAC2C0">
            <w:pPr>
              <w:widowControl/>
              <w:jc w:val="center"/>
              <w:textAlignment w:val="center"/>
              <w:rPr>
                <w:rFonts w:ascii="宋体" w:hAnsi="宋体" w:cs="宋体"/>
                <w:sz w:val="22"/>
              </w:rPr>
            </w:pPr>
            <w:r>
              <w:rPr>
                <w:rFonts w:hint="eastAsia" w:ascii="宋体" w:hAnsi="宋体" w:cs="宋体"/>
                <w:kern w:val="0"/>
                <w:sz w:val="22"/>
                <w:lang w:bidi="ar"/>
              </w:rPr>
              <w:t>学生移动学习终端</w:t>
            </w:r>
          </w:p>
        </w:tc>
        <w:tc>
          <w:tcPr>
            <w:tcW w:w="1215" w:type="dxa"/>
            <w:tcBorders>
              <w:top w:val="nil"/>
              <w:left w:val="nil"/>
              <w:bottom w:val="single" w:color="auto" w:sz="4" w:space="0"/>
              <w:right w:val="single" w:color="auto" w:sz="4" w:space="0"/>
            </w:tcBorders>
            <w:shd w:val="clear" w:color="auto" w:fill="auto"/>
            <w:vAlign w:val="center"/>
          </w:tcPr>
          <w:p w14:paraId="125F0EE1">
            <w:pPr>
              <w:widowControl/>
              <w:jc w:val="center"/>
              <w:textAlignment w:val="center"/>
              <w:rPr>
                <w:rFonts w:ascii="宋体" w:hAnsi="宋体" w:cs="宋体"/>
                <w:color w:val="000000"/>
                <w:sz w:val="22"/>
              </w:rPr>
            </w:pPr>
            <w:r>
              <w:rPr>
                <w:rFonts w:hint="eastAsia" w:ascii="宋体" w:hAnsi="宋体" w:cs="宋体"/>
                <w:color w:val="000000"/>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45C553E3">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CC6E49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CF4C06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5408F06">
            <w:pPr>
              <w:widowControl/>
              <w:jc w:val="center"/>
              <w:textAlignment w:val="center"/>
              <w:rPr>
                <w:rFonts w:ascii="宋体" w:hAnsi="宋体" w:cs="宋体"/>
                <w:color w:val="000000"/>
                <w:sz w:val="22"/>
              </w:rPr>
            </w:pPr>
            <w:r>
              <w:rPr>
                <w:rFonts w:hint="eastAsia" w:ascii="宋体" w:hAnsi="宋体" w:cs="宋体"/>
                <w:color w:val="000000"/>
                <w:kern w:val="0"/>
                <w:sz w:val="22"/>
                <w:lang w:bidi="ar"/>
              </w:rPr>
              <w:t>17</w:t>
            </w:r>
          </w:p>
        </w:tc>
        <w:tc>
          <w:tcPr>
            <w:tcW w:w="3750" w:type="dxa"/>
            <w:tcBorders>
              <w:top w:val="nil"/>
              <w:left w:val="nil"/>
              <w:bottom w:val="single" w:color="auto" w:sz="4" w:space="0"/>
              <w:right w:val="single" w:color="auto" w:sz="4" w:space="0"/>
            </w:tcBorders>
            <w:shd w:val="clear" w:color="auto" w:fill="auto"/>
            <w:vAlign w:val="center"/>
          </w:tcPr>
          <w:p w14:paraId="539D4CE1">
            <w:pPr>
              <w:widowControl/>
              <w:jc w:val="center"/>
              <w:textAlignment w:val="center"/>
              <w:rPr>
                <w:rFonts w:ascii="宋体" w:hAnsi="宋体" w:cs="宋体"/>
                <w:sz w:val="22"/>
              </w:rPr>
            </w:pPr>
            <w:r>
              <w:rPr>
                <w:rFonts w:hint="eastAsia" w:ascii="宋体" w:hAnsi="宋体" w:cs="宋体"/>
                <w:kern w:val="0"/>
                <w:sz w:val="22"/>
                <w:lang w:bidi="ar"/>
              </w:rPr>
              <w:t>智能云盒</w:t>
            </w:r>
          </w:p>
        </w:tc>
        <w:tc>
          <w:tcPr>
            <w:tcW w:w="1215" w:type="dxa"/>
            <w:tcBorders>
              <w:top w:val="nil"/>
              <w:left w:val="nil"/>
              <w:bottom w:val="single" w:color="auto" w:sz="4" w:space="0"/>
              <w:right w:val="single" w:color="auto" w:sz="4" w:space="0"/>
            </w:tcBorders>
            <w:shd w:val="clear" w:color="auto" w:fill="auto"/>
            <w:vAlign w:val="center"/>
          </w:tcPr>
          <w:p w14:paraId="3CE4B01D">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F5A3395">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2641A96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FA3875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C1812E2">
            <w:pPr>
              <w:widowControl/>
              <w:jc w:val="center"/>
              <w:textAlignment w:val="center"/>
              <w:rPr>
                <w:rFonts w:ascii="宋体" w:hAnsi="宋体" w:cs="宋体"/>
                <w:color w:val="000000"/>
                <w:sz w:val="22"/>
              </w:rPr>
            </w:pPr>
            <w:r>
              <w:rPr>
                <w:rFonts w:hint="eastAsia" w:ascii="宋体" w:hAnsi="宋体" w:cs="宋体"/>
                <w:color w:val="000000"/>
                <w:kern w:val="0"/>
                <w:sz w:val="22"/>
                <w:lang w:bidi="ar"/>
              </w:rPr>
              <w:t>18</w:t>
            </w:r>
          </w:p>
        </w:tc>
        <w:tc>
          <w:tcPr>
            <w:tcW w:w="3750" w:type="dxa"/>
            <w:tcBorders>
              <w:top w:val="nil"/>
              <w:left w:val="nil"/>
              <w:bottom w:val="single" w:color="auto" w:sz="4" w:space="0"/>
              <w:right w:val="single" w:color="auto" w:sz="4" w:space="0"/>
            </w:tcBorders>
            <w:shd w:val="clear" w:color="auto" w:fill="auto"/>
            <w:vAlign w:val="center"/>
          </w:tcPr>
          <w:p w14:paraId="2C9F434B">
            <w:pPr>
              <w:widowControl/>
              <w:jc w:val="center"/>
              <w:textAlignment w:val="center"/>
              <w:rPr>
                <w:rFonts w:ascii="宋体" w:hAnsi="宋体" w:cs="宋体"/>
                <w:sz w:val="22"/>
              </w:rPr>
            </w:pPr>
            <w:r>
              <w:rPr>
                <w:rFonts w:hint="eastAsia" w:ascii="宋体" w:hAnsi="宋体" w:cs="宋体"/>
                <w:kern w:val="0"/>
                <w:sz w:val="22"/>
                <w:lang w:bidi="ar"/>
              </w:rPr>
              <w:t>移动充电车</w:t>
            </w:r>
          </w:p>
        </w:tc>
        <w:tc>
          <w:tcPr>
            <w:tcW w:w="1215" w:type="dxa"/>
            <w:tcBorders>
              <w:top w:val="nil"/>
              <w:left w:val="nil"/>
              <w:bottom w:val="single" w:color="auto" w:sz="4" w:space="0"/>
              <w:right w:val="single" w:color="auto" w:sz="4" w:space="0"/>
            </w:tcBorders>
            <w:shd w:val="clear" w:color="auto" w:fill="auto"/>
            <w:vAlign w:val="center"/>
          </w:tcPr>
          <w:p w14:paraId="77E6C2B0">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A63F65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2082F2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40862EE">
        <w:tblPrEx>
          <w:tblCellMar>
            <w:top w:w="0" w:type="dxa"/>
            <w:left w:w="108" w:type="dxa"/>
            <w:bottom w:w="0" w:type="dxa"/>
            <w:right w:w="108" w:type="dxa"/>
          </w:tblCellMar>
        </w:tblPrEx>
        <w:trPr>
          <w:trHeight w:val="90"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B646570">
            <w:pPr>
              <w:widowControl/>
              <w:jc w:val="center"/>
              <w:textAlignment w:val="center"/>
              <w:rPr>
                <w:rFonts w:ascii="宋体" w:hAnsi="宋体" w:cs="宋体"/>
                <w:color w:val="000000"/>
                <w:sz w:val="22"/>
              </w:rPr>
            </w:pPr>
            <w:r>
              <w:rPr>
                <w:rFonts w:hint="eastAsia" w:ascii="宋体" w:hAnsi="宋体" w:cs="宋体"/>
                <w:color w:val="000000"/>
                <w:kern w:val="0"/>
                <w:sz w:val="22"/>
                <w:lang w:bidi="ar"/>
              </w:rPr>
              <w:t>19</w:t>
            </w:r>
          </w:p>
        </w:tc>
        <w:tc>
          <w:tcPr>
            <w:tcW w:w="3750" w:type="dxa"/>
            <w:tcBorders>
              <w:top w:val="nil"/>
              <w:left w:val="nil"/>
              <w:bottom w:val="single" w:color="auto" w:sz="4" w:space="0"/>
              <w:right w:val="single" w:color="auto" w:sz="4" w:space="0"/>
            </w:tcBorders>
            <w:shd w:val="clear" w:color="auto" w:fill="auto"/>
            <w:vAlign w:val="center"/>
          </w:tcPr>
          <w:p w14:paraId="47F72F8A">
            <w:pPr>
              <w:widowControl/>
              <w:jc w:val="center"/>
              <w:textAlignment w:val="center"/>
              <w:rPr>
                <w:rFonts w:ascii="宋体" w:hAnsi="宋体" w:cs="宋体"/>
                <w:sz w:val="22"/>
              </w:rPr>
            </w:pPr>
            <w:r>
              <w:rPr>
                <w:rFonts w:hint="eastAsia" w:ascii="宋体" w:hAnsi="宋体" w:cs="宋体"/>
                <w:kern w:val="0"/>
                <w:sz w:val="22"/>
                <w:lang w:bidi="ar"/>
              </w:rPr>
              <w:t>指向性话筒</w:t>
            </w:r>
          </w:p>
        </w:tc>
        <w:tc>
          <w:tcPr>
            <w:tcW w:w="1215" w:type="dxa"/>
            <w:tcBorders>
              <w:top w:val="nil"/>
              <w:left w:val="nil"/>
              <w:bottom w:val="single" w:color="auto" w:sz="4" w:space="0"/>
              <w:right w:val="single" w:color="auto" w:sz="4" w:space="0"/>
            </w:tcBorders>
            <w:shd w:val="clear" w:color="auto" w:fill="auto"/>
            <w:vAlign w:val="center"/>
          </w:tcPr>
          <w:p w14:paraId="124B7AAB">
            <w:pPr>
              <w:widowControl/>
              <w:jc w:val="center"/>
              <w:textAlignment w:val="center"/>
              <w:rPr>
                <w:rFonts w:ascii="宋体" w:hAnsi="宋体" w:cs="宋体"/>
                <w:color w:val="000000"/>
                <w:sz w:val="22"/>
              </w:rPr>
            </w:pPr>
            <w:r>
              <w:rPr>
                <w:rFonts w:hint="eastAsia" w:ascii="宋体" w:hAnsi="宋体" w:cs="宋体"/>
                <w:color w:val="000000"/>
                <w:kern w:val="0"/>
                <w:sz w:val="22"/>
                <w:lang w:bidi="ar"/>
              </w:rPr>
              <w:t>6</w:t>
            </w:r>
          </w:p>
        </w:tc>
        <w:tc>
          <w:tcPr>
            <w:tcW w:w="729" w:type="dxa"/>
            <w:tcBorders>
              <w:top w:val="nil"/>
              <w:left w:val="nil"/>
              <w:bottom w:val="single" w:color="auto" w:sz="4" w:space="0"/>
              <w:right w:val="single" w:color="auto" w:sz="4" w:space="0"/>
            </w:tcBorders>
            <w:shd w:val="clear" w:color="auto" w:fill="auto"/>
            <w:vAlign w:val="center"/>
          </w:tcPr>
          <w:p w14:paraId="4E364C65">
            <w:pPr>
              <w:widowControl/>
              <w:jc w:val="center"/>
              <w:textAlignment w:val="center"/>
              <w:rPr>
                <w:rFonts w:ascii="宋体" w:hAnsi="宋体" w:cs="宋体"/>
                <w:sz w:val="22"/>
              </w:rPr>
            </w:pPr>
            <w:r>
              <w:rPr>
                <w:rFonts w:hint="eastAsia" w:ascii="宋体" w:hAnsi="宋体" w:cs="宋体"/>
                <w:kern w:val="0"/>
                <w:sz w:val="22"/>
                <w:lang w:bidi="ar"/>
              </w:rPr>
              <w:t>支</w:t>
            </w:r>
          </w:p>
        </w:tc>
        <w:tc>
          <w:tcPr>
            <w:tcW w:w="1866" w:type="dxa"/>
            <w:tcBorders>
              <w:top w:val="nil"/>
              <w:left w:val="nil"/>
              <w:bottom w:val="single" w:color="auto" w:sz="4" w:space="0"/>
              <w:right w:val="single" w:color="auto" w:sz="4" w:space="0"/>
            </w:tcBorders>
            <w:shd w:val="clear" w:color="auto" w:fill="auto"/>
            <w:vAlign w:val="center"/>
          </w:tcPr>
          <w:p w14:paraId="11155A1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6E8F167">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4B8A7CB">
            <w:pPr>
              <w:widowControl/>
              <w:jc w:val="center"/>
              <w:textAlignment w:val="center"/>
              <w:rPr>
                <w:rFonts w:ascii="宋体" w:hAnsi="宋体" w:cs="宋体"/>
                <w:color w:val="000000"/>
                <w:sz w:val="22"/>
              </w:rPr>
            </w:pPr>
            <w:r>
              <w:rPr>
                <w:rFonts w:hint="eastAsia" w:ascii="宋体" w:hAnsi="宋体" w:cs="宋体"/>
                <w:color w:val="000000"/>
                <w:kern w:val="0"/>
                <w:sz w:val="22"/>
                <w:lang w:bidi="ar"/>
              </w:rPr>
              <w:t>20</w:t>
            </w:r>
          </w:p>
        </w:tc>
        <w:tc>
          <w:tcPr>
            <w:tcW w:w="3750" w:type="dxa"/>
            <w:tcBorders>
              <w:top w:val="nil"/>
              <w:left w:val="nil"/>
              <w:bottom w:val="single" w:color="auto" w:sz="4" w:space="0"/>
              <w:right w:val="single" w:color="auto" w:sz="4" w:space="0"/>
            </w:tcBorders>
            <w:shd w:val="clear" w:color="auto" w:fill="auto"/>
            <w:vAlign w:val="center"/>
          </w:tcPr>
          <w:p w14:paraId="155302E3">
            <w:pPr>
              <w:widowControl/>
              <w:jc w:val="center"/>
              <w:textAlignment w:val="center"/>
              <w:rPr>
                <w:rFonts w:ascii="宋体" w:hAnsi="宋体" w:cs="宋体"/>
                <w:sz w:val="22"/>
              </w:rPr>
            </w:pPr>
            <w:r>
              <w:rPr>
                <w:rFonts w:hint="eastAsia" w:ascii="宋体" w:hAnsi="宋体" w:cs="宋体"/>
                <w:kern w:val="0"/>
                <w:sz w:val="22"/>
                <w:lang w:bidi="ar"/>
              </w:rPr>
              <w:t>数字音频矩阵</w:t>
            </w:r>
          </w:p>
        </w:tc>
        <w:tc>
          <w:tcPr>
            <w:tcW w:w="1215" w:type="dxa"/>
            <w:tcBorders>
              <w:top w:val="nil"/>
              <w:left w:val="nil"/>
              <w:bottom w:val="single" w:color="auto" w:sz="4" w:space="0"/>
              <w:right w:val="single" w:color="auto" w:sz="4" w:space="0"/>
            </w:tcBorders>
            <w:shd w:val="clear" w:color="auto" w:fill="auto"/>
            <w:vAlign w:val="center"/>
          </w:tcPr>
          <w:p w14:paraId="5FCE9C09">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554D81B">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400E10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B8B279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7DA1094">
            <w:pPr>
              <w:widowControl/>
              <w:jc w:val="center"/>
              <w:textAlignment w:val="center"/>
              <w:rPr>
                <w:rFonts w:ascii="宋体" w:hAnsi="宋体" w:cs="宋体"/>
                <w:color w:val="000000"/>
                <w:sz w:val="22"/>
              </w:rPr>
            </w:pPr>
            <w:r>
              <w:rPr>
                <w:rFonts w:hint="eastAsia" w:ascii="宋体" w:hAnsi="宋体" w:cs="宋体"/>
                <w:color w:val="000000"/>
                <w:kern w:val="0"/>
                <w:sz w:val="22"/>
                <w:lang w:bidi="ar"/>
              </w:rPr>
              <w:t>21</w:t>
            </w:r>
          </w:p>
        </w:tc>
        <w:tc>
          <w:tcPr>
            <w:tcW w:w="3750" w:type="dxa"/>
            <w:tcBorders>
              <w:top w:val="nil"/>
              <w:left w:val="nil"/>
              <w:bottom w:val="single" w:color="auto" w:sz="4" w:space="0"/>
              <w:right w:val="single" w:color="auto" w:sz="4" w:space="0"/>
            </w:tcBorders>
            <w:shd w:val="clear" w:color="auto" w:fill="auto"/>
            <w:vAlign w:val="center"/>
          </w:tcPr>
          <w:p w14:paraId="4198EE91">
            <w:pPr>
              <w:widowControl/>
              <w:jc w:val="center"/>
              <w:textAlignment w:val="center"/>
              <w:rPr>
                <w:rFonts w:ascii="宋体" w:hAnsi="宋体" w:cs="宋体"/>
                <w:sz w:val="22"/>
              </w:rPr>
            </w:pPr>
            <w:r>
              <w:rPr>
                <w:rFonts w:hint="eastAsia" w:ascii="宋体" w:hAnsi="宋体" w:cs="宋体"/>
                <w:kern w:val="0"/>
                <w:sz w:val="22"/>
                <w:lang w:bidi="ar"/>
              </w:rPr>
              <w:t>无线话筒（带领夹）</w:t>
            </w:r>
          </w:p>
        </w:tc>
        <w:tc>
          <w:tcPr>
            <w:tcW w:w="1215" w:type="dxa"/>
            <w:tcBorders>
              <w:top w:val="nil"/>
              <w:left w:val="nil"/>
              <w:bottom w:val="single" w:color="auto" w:sz="4" w:space="0"/>
              <w:right w:val="single" w:color="auto" w:sz="4" w:space="0"/>
            </w:tcBorders>
            <w:shd w:val="clear" w:color="auto" w:fill="auto"/>
            <w:vAlign w:val="center"/>
          </w:tcPr>
          <w:p w14:paraId="1E94A808">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17BBA6E">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734A6B02">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C15D5F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8C53EF7">
            <w:pPr>
              <w:widowControl/>
              <w:jc w:val="center"/>
              <w:textAlignment w:val="center"/>
              <w:rPr>
                <w:rFonts w:ascii="宋体" w:hAnsi="宋体" w:cs="宋体"/>
                <w:color w:val="000000"/>
                <w:sz w:val="22"/>
              </w:rPr>
            </w:pPr>
            <w:r>
              <w:rPr>
                <w:rFonts w:hint="eastAsia" w:ascii="宋体" w:hAnsi="宋体" w:cs="宋体"/>
                <w:color w:val="000000"/>
                <w:kern w:val="0"/>
                <w:sz w:val="22"/>
                <w:lang w:bidi="ar"/>
              </w:rPr>
              <w:t>22</w:t>
            </w:r>
          </w:p>
        </w:tc>
        <w:tc>
          <w:tcPr>
            <w:tcW w:w="3750" w:type="dxa"/>
            <w:tcBorders>
              <w:top w:val="nil"/>
              <w:left w:val="nil"/>
              <w:bottom w:val="single" w:color="auto" w:sz="4" w:space="0"/>
              <w:right w:val="single" w:color="auto" w:sz="4" w:space="0"/>
            </w:tcBorders>
            <w:shd w:val="clear" w:color="auto" w:fill="auto"/>
            <w:vAlign w:val="center"/>
          </w:tcPr>
          <w:p w14:paraId="55FD525C">
            <w:pPr>
              <w:widowControl/>
              <w:jc w:val="center"/>
              <w:textAlignment w:val="center"/>
              <w:rPr>
                <w:rFonts w:ascii="宋体" w:hAnsi="宋体" w:cs="宋体"/>
                <w:sz w:val="22"/>
              </w:rPr>
            </w:pPr>
            <w:r>
              <w:rPr>
                <w:rFonts w:hint="eastAsia" w:ascii="宋体" w:hAnsi="宋体" w:cs="宋体"/>
                <w:kern w:val="0"/>
                <w:sz w:val="22"/>
                <w:lang w:bidi="ar"/>
              </w:rPr>
              <w:t>功放</w:t>
            </w:r>
          </w:p>
        </w:tc>
        <w:tc>
          <w:tcPr>
            <w:tcW w:w="1215" w:type="dxa"/>
            <w:tcBorders>
              <w:top w:val="nil"/>
              <w:left w:val="nil"/>
              <w:bottom w:val="single" w:color="auto" w:sz="4" w:space="0"/>
              <w:right w:val="single" w:color="auto" w:sz="4" w:space="0"/>
            </w:tcBorders>
            <w:shd w:val="clear" w:color="auto" w:fill="auto"/>
            <w:vAlign w:val="center"/>
          </w:tcPr>
          <w:p w14:paraId="20FE134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D4F5B1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271C44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F48153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04D1DA6">
            <w:pPr>
              <w:widowControl/>
              <w:jc w:val="center"/>
              <w:textAlignment w:val="center"/>
              <w:rPr>
                <w:rFonts w:ascii="宋体" w:hAnsi="宋体" w:cs="宋体"/>
                <w:color w:val="000000"/>
                <w:sz w:val="22"/>
              </w:rPr>
            </w:pPr>
            <w:r>
              <w:rPr>
                <w:rFonts w:hint="eastAsia" w:ascii="宋体" w:hAnsi="宋体" w:cs="宋体"/>
                <w:color w:val="000000"/>
                <w:kern w:val="0"/>
                <w:sz w:val="22"/>
                <w:lang w:bidi="ar"/>
              </w:rPr>
              <w:t>23</w:t>
            </w:r>
          </w:p>
        </w:tc>
        <w:tc>
          <w:tcPr>
            <w:tcW w:w="3750" w:type="dxa"/>
            <w:tcBorders>
              <w:top w:val="nil"/>
              <w:left w:val="nil"/>
              <w:bottom w:val="single" w:color="auto" w:sz="4" w:space="0"/>
              <w:right w:val="single" w:color="auto" w:sz="4" w:space="0"/>
            </w:tcBorders>
            <w:shd w:val="clear" w:color="auto" w:fill="auto"/>
            <w:vAlign w:val="center"/>
          </w:tcPr>
          <w:p w14:paraId="5DE9F9AE">
            <w:pPr>
              <w:widowControl/>
              <w:jc w:val="center"/>
              <w:textAlignment w:val="center"/>
              <w:rPr>
                <w:rFonts w:ascii="宋体" w:hAnsi="宋体" w:cs="宋体"/>
                <w:sz w:val="22"/>
              </w:rPr>
            </w:pPr>
            <w:r>
              <w:rPr>
                <w:rFonts w:hint="eastAsia" w:ascii="宋体" w:hAnsi="宋体" w:cs="宋体"/>
                <w:kern w:val="0"/>
                <w:sz w:val="22"/>
                <w:lang w:bidi="ar"/>
              </w:rPr>
              <w:t>音箱</w:t>
            </w:r>
          </w:p>
        </w:tc>
        <w:tc>
          <w:tcPr>
            <w:tcW w:w="1215" w:type="dxa"/>
            <w:tcBorders>
              <w:top w:val="nil"/>
              <w:left w:val="nil"/>
              <w:bottom w:val="single" w:color="auto" w:sz="4" w:space="0"/>
              <w:right w:val="single" w:color="auto" w:sz="4" w:space="0"/>
            </w:tcBorders>
            <w:shd w:val="clear" w:color="auto" w:fill="auto"/>
            <w:vAlign w:val="center"/>
          </w:tcPr>
          <w:p w14:paraId="622EED60">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65D577A4">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851206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ABA57D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7D9D9C8">
            <w:pPr>
              <w:widowControl/>
              <w:jc w:val="center"/>
              <w:textAlignment w:val="center"/>
              <w:rPr>
                <w:rFonts w:ascii="宋体" w:hAnsi="宋体" w:cs="宋体"/>
                <w:color w:val="000000"/>
                <w:sz w:val="22"/>
              </w:rPr>
            </w:pPr>
            <w:r>
              <w:rPr>
                <w:rFonts w:hint="eastAsia" w:ascii="宋体" w:hAnsi="宋体" w:cs="宋体"/>
                <w:color w:val="000000"/>
                <w:kern w:val="0"/>
                <w:sz w:val="22"/>
                <w:lang w:bidi="ar"/>
              </w:rPr>
              <w:t>24</w:t>
            </w:r>
          </w:p>
        </w:tc>
        <w:tc>
          <w:tcPr>
            <w:tcW w:w="3750" w:type="dxa"/>
            <w:tcBorders>
              <w:top w:val="nil"/>
              <w:left w:val="nil"/>
              <w:bottom w:val="single" w:color="auto" w:sz="4" w:space="0"/>
              <w:right w:val="single" w:color="auto" w:sz="4" w:space="0"/>
            </w:tcBorders>
            <w:shd w:val="clear" w:color="auto" w:fill="auto"/>
            <w:vAlign w:val="center"/>
          </w:tcPr>
          <w:p w14:paraId="3C0CA29B">
            <w:pPr>
              <w:widowControl/>
              <w:jc w:val="center"/>
              <w:textAlignment w:val="center"/>
              <w:rPr>
                <w:rFonts w:ascii="宋体" w:hAnsi="宋体" w:cs="宋体"/>
                <w:sz w:val="22"/>
              </w:rPr>
            </w:pPr>
            <w:r>
              <w:rPr>
                <w:rFonts w:hint="eastAsia" w:ascii="宋体" w:hAnsi="宋体" w:cs="宋体"/>
                <w:kern w:val="0"/>
                <w:sz w:val="22"/>
                <w:lang w:bidi="ar"/>
              </w:rPr>
              <w:t>导播键盘</w:t>
            </w:r>
          </w:p>
        </w:tc>
        <w:tc>
          <w:tcPr>
            <w:tcW w:w="1215" w:type="dxa"/>
            <w:tcBorders>
              <w:top w:val="nil"/>
              <w:left w:val="nil"/>
              <w:bottom w:val="single" w:color="auto" w:sz="4" w:space="0"/>
              <w:right w:val="single" w:color="auto" w:sz="4" w:space="0"/>
            </w:tcBorders>
            <w:shd w:val="clear" w:color="auto" w:fill="auto"/>
            <w:vAlign w:val="center"/>
          </w:tcPr>
          <w:p w14:paraId="18FF22DD">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B79447A">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5D43F3A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8260EA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C91474A">
            <w:pPr>
              <w:widowControl/>
              <w:jc w:val="center"/>
              <w:textAlignment w:val="center"/>
              <w:rPr>
                <w:rFonts w:ascii="宋体" w:hAnsi="宋体" w:cs="宋体"/>
                <w:color w:val="000000"/>
                <w:sz w:val="22"/>
              </w:rPr>
            </w:pPr>
            <w:r>
              <w:rPr>
                <w:rFonts w:hint="eastAsia" w:ascii="宋体" w:hAnsi="宋体" w:cs="宋体"/>
                <w:color w:val="000000"/>
                <w:kern w:val="0"/>
                <w:sz w:val="22"/>
                <w:lang w:bidi="ar"/>
              </w:rPr>
              <w:t>25</w:t>
            </w:r>
          </w:p>
        </w:tc>
        <w:tc>
          <w:tcPr>
            <w:tcW w:w="3750" w:type="dxa"/>
            <w:tcBorders>
              <w:top w:val="nil"/>
              <w:left w:val="nil"/>
              <w:bottom w:val="single" w:color="auto" w:sz="4" w:space="0"/>
              <w:right w:val="single" w:color="auto" w:sz="4" w:space="0"/>
            </w:tcBorders>
            <w:shd w:val="clear" w:color="auto" w:fill="auto"/>
            <w:vAlign w:val="center"/>
          </w:tcPr>
          <w:p w14:paraId="08AD700D">
            <w:pPr>
              <w:widowControl/>
              <w:jc w:val="center"/>
              <w:textAlignment w:val="center"/>
              <w:rPr>
                <w:rFonts w:ascii="宋体" w:hAnsi="宋体" w:cs="宋体"/>
                <w:sz w:val="22"/>
              </w:rPr>
            </w:pPr>
            <w:r>
              <w:rPr>
                <w:rFonts w:hint="eastAsia" w:ascii="宋体" w:hAnsi="宋体" w:cs="宋体"/>
                <w:kern w:val="0"/>
                <w:sz w:val="22"/>
                <w:lang w:bidi="ar"/>
              </w:rPr>
              <w:t>时序电源控制器</w:t>
            </w:r>
          </w:p>
        </w:tc>
        <w:tc>
          <w:tcPr>
            <w:tcW w:w="1215" w:type="dxa"/>
            <w:tcBorders>
              <w:top w:val="nil"/>
              <w:left w:val="nil"/>
              <w:bottom w:val="single" w:color="auto" w:sz="4" w:space="0"/>
              <w:right w:val="single" w:color="auto" w:sz="4" w:space="0"/>
            </w:tcBorders>
            <w:shd w:val="clear" w:color="auto" w:fill="auto"/>
            <w:vAlign w:val="center"/>
          </w:tcPr>
          <w:p w14:paraId="7DB92864">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1158F09">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717C26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64E302B">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ED860EF">
            <w:pPr>
              <w:widowControl/>
              <w:jc w:val="center"/>
              <w:textAlignment w:val="center"/>
              <w:rPr>
                <w:rFonts w:ascii="宋体" w:hAnsi="宋体" w:cs="宋体"/>
                <w:color w:val="000000"/>
                <w:sz w:val="22"/>
              </w:rPr>
            </w:pPr>
            <w:r>
              <w:rPr>
                <w:rFonts w:hint="eastAsia" w:ascii="宋体" w:hAnsi="宋体" w:cs="宋体"/>
                <w:color w:val="000000"/>
                <w:kern w:val="0"/>
                <w:sz w:val="22"/>
                <w:lang w:bidi="ar"/>
              </w:rPr>
              <w:t>26</w:t>
            </w:r>
          </w:p>
        </w:tc>
        <w:tc>
          <w:tcPr>
            <w:tcW w:w="3750" w:type="dxa"/>
            <w:tcBorders>
              <w:top w:val="nil"/>
              <w:left w:val="nil"/>
              <w:bottom w:val="single" w:color="auto" w:sz="4" w:space="0"/>
              <w:right w:val="single" w:color="auto" w:sz="4" w:space="0"/>
            </w:tcBorders>
            <w:shd w:val="clear" w:color="auto" w:fill="auto"/>
            <w:vAlign w:val="center"/>
          </w:tcPr>
          <w:p w14:paraId="0F83412E">
            <w:pPr>
              <w:widowControl/>
              <w:jc w:val="center"/>
              <w:textAlignment w:val="center"/>
              <w:rPr>
                <w:rFonts w:ascii="宋体" w:hAnsi="宋体" w:cs="宋体"/>
                <w:sz w:val="22"/>
              </w:rPr>
            </w:pPr>
            <w:r>
              <w:rPr>
                <w:rFonts w:hint="eastAsia" w:ascii="宋体" w:hAnsi="宋体" w:cs="宋体"/>
                <w:kern w:val="0"/>
                <w:sz w:val="22"/>
                <w:lang w:bidi="ar"/>
              </w:rPr>
              <w:t>资源管理平台应用系统</w:t>
            </w:r>
          </w:p>
        </w:tc>
        <w:tc>
          <w:tcPr>
            <w:tcW w:w="1215" w:type="dxa"/>
            <w:tcBorders>
              <w:top w:val="nil"/>
              <w:left w:val="nil"/>
              <w:bottom w:val="single" w:color="auto" w:sz="4" w:space="0"/>
              <w:right w:val="single" w:color="auto" w:sz="4" w:space="0"/>
            </w:tcBorders>
            <w:shd w:val="clear" w:color="auto" w:fill="auto"/>
            <w:vAlign w:val="center"/>
          </w:tcPr>
          <w:p w14:paraId="5D45705D">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9452654">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3A7A17D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AA4327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C01C60E">
            <w:pPr>
              <w:widowControl/>
              <w:jc w:val="center"/>
              <w:textAlignment w:val="center"/>
              <w:rPr>
                <w:rFonts w:ascii="宋体" w:hAnsi="宋体" w:cs="宋体"/>
                <w:color w:val="000000"/>
                <w:sz w:val="22"/>
              </w:rPr>
            </w:pPr>
            <w:r>
              <w:rPr>
                <w:rFonts w:hint="eastAsia" w:ascii="宋体" w:hAnsi="宋体" w:cs="宋体"/>
                <w:color w:val="000000"/>
                <w:kern w:val="0"/>
                <w:sz w:val="22"/>
                <w:lang w:bidi="ar"/>
              </w:rPr>
              <w:t>27</w:t>
            </w:r>
          </w:p>
        </w:tc>
        <w:tc>
          <w:tcPr>
            <w:tcW w:w="3750" w:type="dxa"/>
            <w:tcBorders>
              <w:top w:val="nil"/>
              <w:left w:val="nil"/>
              <w:bottom w:val="single" w:color="auto" w:sz="4" w:space="0"/>
              <w:right w:val="single" w:color="auto" w:sz="4" w:space="0"/>
            </w:tcBorders>
            <w:shd w:val="clear" w:color="auto" w:fill="auto"/>
            <w:vAlign w:val="center"/>
          </w:tcPr>
          <w:p w14:paraId="42DC6DD4">
            <w:pPr>
              <w:widowControl/>
              <w:jc w:val="center"/>
              <w:textAlignment w:val="center"/>
              <w:rPr>
                <w:rFonts w:ascii="宋体" w:hAnsi="宋体" w:cs="宋体"/>
                <w:sz w:val="22"/>
              </w:rPr>
            </w:pPr>
            <w:r>
              <w:rPr>
                <w:rFonts w:hint="eastAsia" w:ascii="宋体" w:hAnsi="宋体" w:cs="宋体"/>
                <w:kern w:val="0"/>
                <w:sz w:val="22"/>
                <w:lang w:bidi="ar"/>
              </w:rPr>
              <w:t>直点播终端</w:t>
            </w:r>
          </w:p>
        </w:tc>
        <w:tc>
          <w:tcPr>
            <w:tcW w:w="1215" w:type="dxa"/>
            <w:tcBorders>
              <w:top w:val="nil"/>
              <w:left w:val="nil"/>
              <w:bottom w:val="single" w:color="auto" w:sz="4" w:space="0"/>
              <w:right w:val="single" w:color="auto" w:sz="4" w:space="0"/>
            </w:tcBorders>
            <w:shd w:val="clear" w:color="auto" w:fill="auto"/>
            <w:vAlign w:val="center"/>
          </w:tcPr>
          <w:p w14:paraId="1C434D1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FA891E3">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BD3C1B1">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05F6C0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6F4DB98">
            <w:pPr>
              <w:widowControl/>
              <w:jc w:val="center"/>
              <w:textAlignment w:val="center"/>
              <w:rPr>
                <w:rFonts w:ascii="宋体" w:hAnsi="宋体" w:cs="宋体"/>
                <w:color w:val="000000"/>
                <w:sz w:val="22"/>
              </w:rPr>
            </w:pPr>
            <w:r>
              <w:rPr>
                <w:rFonts w:hint="eastAsia" w:ascii="宋体" w:hAnsi="宋体" w:cs="宋体"/>
                <w:color w:val="000000"/>
                <w:kern w:val="0"/>
                <w:sz w:val="22"/>
                <w:lang w:bidi="ar"/>
              </w:rPr>
              <w:t>28</w:t>
            </w:r>
          </w:p>
        </w:tc>
        <w:tc>
          <w:tcPr>
            <w:tcW w:w="3750" w:type="dxa"/>
            <w:tcBorders>
              <w:top w:val="nil"/>
              <w:left w:val="nil"/>
              <w:bottom w:val="single" w:color="auto" w:sz="4" w:space="0"/>
              <w:right w:val="single" w:color="auto" w:sz="4" w:space="0"/>
            </w:tcBorders>
            <w:shd w:val="clear" w:color="auto" w:fill="auto"/>
            <w:vAlign w:val="center"/>
          </w:tcPr>
          <w:p w14:paraId="70E9F382">
            <w:pPr>
              <w:widowControl/>
              <w:jc w:val="center"/>
              <w:textAlignment w:val="center"/>
              <w:rPr>
                <w:rFonts w:ascii="宋体" w:hAnsi="宋体" w:cs="宋体"/>
                <w:sz w:val="22"/>
              </w:rPr>
            </w:pPr>
            <w:r>
              <w:rPr>
                <w:rFonts w:hint="eastAsia" w:ascii="宋体" w:hAnsi="宋体" w:cs="宋体"/>
                <w:kern w:val="0"/>
                <w:sz w:val="22"/>
                <w:lang w:bidi="ar"/>
              </w:rPr>
              <w:t>千兆交换机</w:t>
            </w:r>
          </w:p>
        </w:tc>
        <w:tc>
          <w:tcPr>
            <w:tcW w:w="1215" w:type="dxa"/>
            <w:tcBorders>
              <w:top w:val="nil"/>
              <w:left w:val="nil"/>
              <w:bottom w:val="single" w:color="auto" w:sz="4" w:space="0"/>
              <w:right w:val="single" w:color="auto" w:sz="4" w:space="0"/>
            </w:tcBorders>
            <w:shd w:val="clear" w:color="auto" w:fill="auto"/>
            <w:vAlign w:val="center"/>
          </w:tcPr>
          <w:p w14:paraId="7A9ED4D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11AF975">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22C5084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9B24C4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148642F">
            <w:pPr>
              <w:widowControl/>
              <w:jc w:val="center"/>
              <w:textAlignment w:val="center"/>
              <w:rPr>
                <w:rFonts w:ascii="宋体" w:hAnsi="宋体" w:cs="宋体"/>
                <w:color w:val="000000"/>
                <w:sz w:val="22"/>
              </w:rPr>
            </w:pPr>
            <w:r>
              <w:rPr>
                <w:rFonts w:hint="eastAsia" w:ascii="宋体" w:hAnsi="宋体" w:cs="宋体"/>
                <w:color w:val="000000"/>
                <w:kern w:val="0"/>
                <w:sz w:val="22"/>
                <w:lang w:bidi="ar"/>
              </w:rPr>
              <w:t>29</w:t>
            </w:r>
          </w:p>
        </w:tc>
        <w:tc>
          <w:tcPr>
            <w:tcW w:w="3750" w:type="dxa"/>
            <w:tcBorders>
              <w:top w:val="nil"/>
              <w:left w:val="nil"/>
              <w:bottom w:val="single" w:color="auto" w:sz="4" w:space="0"/>
              <w:right w:val="single" w:color="auto" w:sz="4" w:space="0"/>
            </w:tcBorders>
            <w:shd w:val="clear" w:color="auto" w:fill="auto"/>
            <w:vAlign w:val="center"/>
          </w:tcPr>
          <w:p w14:paraId="1B8E4D3E">
            <w:pPr>
              <w:widowControl/>
              <w:jc w:val="center"/>
              <w:textAlignment w:val="center"/>
              <w:rPr>
                <w:rFonts w:ascii="宋体" w:hAnsi="宋体" w:cs="宋体"/>
                <w:sz w:val="22"/>
              </w:rPr>
            </w:pPr>
            <w:r>
              <w:rPr>
                <w:rFonts w:hint="eastAsia" w:ascii="宋体" w:hAnsi="宋体" w:cs="宋体"/>
                <w:kern w:val="0"/>
                <w:sz w:val="22"/>
                <w:lang w:bidi="ar"/>
              </w:rPr>
              <w:t>机柜</w:t>
            </w:r>
          </w:p>
        </w:tc>
        <w:tc>
          <w:tcPr>
            <w:tcW w:w="1215" w:type="dxa"/>
            <w:tcBorders>
              <w:top w:val="nil"/>
              <w:left w:val="nil"/>
              <w:bottom w:val="single" w:color="auto" w:sz="4" w:space="0"/>
              <w:right w:val="single" w:color="auto" w:sz="4" w:space="0"/>
            </w:tcBorders>
            <w:shd w:val="clear" w:color="auto" w:fill="auto"/>
            <w:vAlign w:val="center"/>
          </w:tcPr>
          <w:p w14:paraId="0F44B0C0">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8A5D1B2">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4D6E7FB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F3685F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3FEB697">
            <w:pPr>
              <w:widowControl/>
              <w:jc w:val="center"/>
              <w:textAlignment w:val="center"/>
              <w:rPr>
                <w:rFonts w:ascii="宋体" w:hAnsi="宋体" w:cs="宋体"/>
                <w:color w:val="000000"/>
                <w:sz w:val="22"/>
              </w:rPr>
            </w:pPr>
            <w:r>
              <w:rPr>
                <w:rFonts w:hint="eastAsia" w:ascii="宋体" w:hAnsi="宋体" w:cs="宋体"/>
                <w:color w:val="000000"/>
                <w:kern w:val="0"/>
                <w:sz w:val="22"/>
                <w:lang w:bidi="ar"/>
              </w:rPr>
              <w:t>30</w:t>
            </w:r>
          </w:p>
        </w:tc>
        <w:tc>
          <w:tcPr>
            <w:tcW w:w="3750" w:type="dxa"/>
            <w:tcBorders>
              <w:top w:val="nil"/>
              <w:left w:val="nil"/>
              <w:bottom w:val="single" w:color="auto" w:sz="4" w:space="0"/>
              <w:right w:val="single" w:color="auto" w:sz="4" w:space="0"/>
            </w:tcBorders>
            <w:shd w:val="clear" w:color="auto" w:fill="auto"/>
            <w:vAlign w:val="center"/>
          </w:tcPr>
          <w:p w14:paraId="5CCDE4EE">
            <w:pPr>
              <w:widowControl/>
              <w:jc w:val="center"/>
              <w:textAlignment w:val="center"/>
              <w:rPr>
                <w:rFonts w:ascii="宋体" w:hAnsi="宋体" w:cs="宋体"/>
                <w:sz w:val="22"/>
              </w:rPr>
            </w:pPr>
            <w:r>
              <w:rPr>
                <w:rFonts w:hint="eastAsia" w:ascii="宋体" w:hAnsi="宋体" w:cs="宋体"/>
                <w:kern w:val="0"/>
                <w:sz w:val="22"/>
                <w:lang w:bidi="ar"/>
              </w:rPr>
              <w:t>LED时钟</w:t>
            </w:r>
          </w:p>
        </w:tc>
        <w:tc>
          <w:tcPr>
            <w:tcW w:w="1215" w:type="dxa"/>
            <w:tcBorders>
              <w:top w:val="nil"/>
              <w:left w:val="nil"/>
              <w:bottom w:val="single" w:color="auto" w:sz="4" w:space="0"/>
              <w:right w:val="single" w:color="auto" w:sz="4" w:space="0"/>
            </w:tcBorders>
            <w:shd w:val="clear" w:color="auto" w:fill="auto"/>
            <w:vAlign w:val="center"/>
          </w:tcPr>
          <w:p w14:paraId="14D3E63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626DB39">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B5F8117">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FF3324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15EB1D">
            <w:pPr>
              <w:widowControl/>
              <w:jc w:val="center"/>
              <w:textAlignment w:val="center"/>
              <w:rPr>
                <w:rFonts w:ascii="宋体" w:hAnsi="宋体" w:cs="宋体"/>
                <w:color w:val="000000"/>
                <w:sz w:val="22"/>
              </w:rPr>
            </w:pPr>
            <w:r>
              <w:rPr>
                <w:rFonts w:hint="eastAsia" w:ascii="宋体" w:hAnsi="宋体" w:cs="宋体"/>
                <w:color w:val="000000"/>
                <w:kern w:val="0"/>
                <w:sz w:val="22"/>
                <w:lang w:bidi="ar"/>
              </w:rPr>
              <w:t>31</w:t>
            </w:r>
          </w:p>
        </w:tc>
        <w:tc>
          <w:tcPr>
            <w:tcW w:w="3750" w:type="dxa"/>
            <w:tcBorders>
              <w:top w:val="nil"/>
              <w:left w:val="nil"/>
              <w:bottom w:val="single" w:color="auto" w:sz="4" w:space="0"/>
              <w:right w:val="single" w:color="auto" w:sz="4" w:space="0"/>
            </w:tcBorders>
            <w:shd w:val="clear" w:color="auto" w:fill="auto"/>
            <w:vAlign w:val="center"/>
          </w:tcPr>
          <w:p w14:paraId="18F0C4E6">
            <w:pPr>
              <w:widowControl/>
              <w:jc w:val="center"/>
              <w:textAlignment w:val="center"/>
              <w:rPr>
                <w:rFonts w:ascii="宋体" w:hAnsi="宋体" w:cs="宋体"/>
                <w:sz w:val="22"/>
              </w:rPr>
            </w:pPr>
            <w:r>
              <w:rPr>
                <w:rFonts w:hint="eastAsia" w:ascii="宋体" w:hAnsi="宋体" w:cs="宋体"/>
                <w:kern w:val="0"/>
                <w:sz w:val="22"/>
                <w:lang w:bidi="ar"/>
              </w:rPr>
              <w:t>返看终端</w:t>
            </w:r>
          </w:p>
        </w:tc>
        <w:tc>
          <w:tcPr>
            <w:tcW w:w="1215" w:type="dxa"/>
            <w:tcBorders>
              <w:top w:val="nil"/>
              <w:left w:val="nil"/>
              <w:bottom w:val="single" w:color="auto" w:sz="4" w:space="0"/>
              <w:right w:val="single" w:color="auto" w:sz="4" w:space="0"/>
            </w:tcBorders>
            <w:shd w:val="clear" w:color="auto" w:fill="auto"/>
            <w:vAlign w:val="center"/>
          </w:tcPr>
          <w:p w14:paraId="76BF4508">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262FEC9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13BFEF1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058294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207A619">
            <w:pPr>
              <w:widowControl/>
              <w:jc w:val="center"/>
              <w:textAlignment w:val="center"/>
              <w:rPr>
                <w:rFonts w:ascii="宋体" w:hAnsi="宋体" w:cs="宋体"/>
                <w:color w:val="000000"/>
                <w:sz w:val="22"/>
              </w:rPr>
            </w:pPr>
            <w:r>
              <w:rPr>
                <w:rFonts w:hint="eastAsia" w:ascii="宋体" w:hAnsi="宋体" w:cs="宋体"/>
                <w:color w:val="000000"/>
                <w:kern w:val="0"/>
                <w:sz w:val="22"/>
                <w:lang w:bidi="ar"/>
              </w:rPr>
              <w:t>32</w:t>
            </w:r>
          </w:p>
        </w:tc>
        <w:tc>
          <w:tcPr>
            <w:tcW w:w="3750" w:type="dxa"/>
            <w:tcBorders>
              <w:top w:val="nil"/>
              <w:left w:val="nil"/>
              <w:bottom w:val="single" w:color="auto" w:sz="4" w:space="0"/>
              <w:right w:val="single" w:color="auto" w:sz="4" w:space="0"/>
            </w:tcBorders>
            <w:shd w:val="clear" w:color="auto" w:fill="auto"/>
            <w:vAlign w:val="center"/>
          </w:tcPr>
          <w:p w14:paraId="0AEC53E6">
            <w:pPr>
              <w:widowControl/>
              <w:jc w:val="center"/>
              <w:textAlignment w:val="center"/>
              <w:rPr>
                <w:rFonts w:ascii="宋体" w:hAnsi="宋体" w:cs="宋体"/>
                <w:sz w:val="22"/>
              </w:rPr>
            </w:pPr>
            <w:r>
              <w:rPr>
                <w:rFonts w:hint="eastAsia" w:ascii="宋体" w:hAnsi="宋体" w:cs="宋体"/>
                <w:kern w:val="0"/>
                <w:sz w:val="22"/>
                <w:lang w:bidi="ar"/>
              </w:rPr>
              <w:t>壁挂支架</w:t>
            </w:r>
          </w:p>
        </w:tc>
        <w:tc>
          <w:tcPr>
            <w:tcW w:w="1215" w:type="dxa"/>
            <w:tcBorders>
              <w:top w:val="nil"/>
              <w:left w:val="nil"/>
              <w:bottom w:val="single" w:color="auto" w:sz="4" w:space="0"/>
              <w:right w:val="single" w:color="auto" w:sz="4" w:space="0"/>
            </w:tcBorders>
            <w:shd w:val="clear" w:color="auto" w:fill="auto"/>
            <w:vAlign w:val="center"/>
          </w:tcPr>
          <w:p w14:paraId="43ACF7FF">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7626CB18">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69089D67">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195FAB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EBC3C66">
            <w:pPr>
              <w:widowControl/>
              <w:jc w:val="center"/>
              <w:textAlignment w:val="center"/>
              <w:rPr>
                <w:rFonts w:ascii="宋体" w:hAnsi="宋体" w:cs="宋体"/>
                <w:color w:val="000000"/>
                <w:sz w:val="22"/>
              </w:rPr>
            </w:pPr>
            <w:r>
              <w:rPr>
                <w:rFonts w:hint="eastAsia" w:ascii="宋体" w:hAnsi="宋体" w:cs="宋体"/>
                <w:color w:val="000000"/>
                <w:kern w:val="0"/>
                <w:sz w:val="22"/>
                <w:lang w:bidi="ar"/>
              </w:rPr>
              <w:t>33</w:t>
            </w:r>
          </w:p>
        </w:tc>
        <w:tc>
          <w:tcPr>
            <w:tcW w:w="3750" w:type="dxa"/>
            <w:tcBorders>
              <w:top w:val="nil"/>
              <w:left w:val="nil"/>
              <w:bottom w:val="single" w:color="auto" w:sz="4" w:space="0"/>
              <w:right w:val="single" w:color="auto" w:sz="4" w:space="0"/>
            </w:tcBorders>
            <w:shd w:val="clear" w:color="auto" w:fill="auto"/>
            <w:vAlign w:val="center"/>
          </w:tcPr>
          <w:p w14:paraId="0E24E511">
            <w:pPr>
              <w:widowControl/>
              <w:jc w:val="center"/>
              <w:textAlignment w:val="center"/>
              <w:rPr>
                <w:rFonts w:ascii="宋体" w:hAnsi="宋体" w:cs="宋体"/>
                <w:sz w:val="22"/>
              </w:rPr>
            </w:pPr>
            <w:r>
              <w:rPr>
                <w:rFonts w:hint="eastAsia" w:ascii="宋体" w:hAnsi="宋体" w:cs="宋体"/>
                <w:kern w:val="0"/>
                <w:sz w:val="22"/>
                <w:lang w:bidi="ar"/>
              </w:rPr>
              <w:t>移动组合桌</w:t>
            </w:r>
          </w:p>
        </w:tc>
        <w:tc>
          <w:tcPr>
            <w:tcW w:w="1215" w:type="dxa"/>
            <w:tcBorders>
              <w:top w:val="nil"/>
              <w:left w:val="nil"/>
              <w:bottom w:val="single" w:color="auto" w:sz="4" w:space="0"/>
              <w:right w:val="single" w:color="auto" w:sz="4" w:space="0"/>
            </w:tcBorders>
            <w:shd w:val="clear" w:color="auto" w:fill="auto"/>
            <w:vAlign w:val="center"/>
          </w:tcPr>
          <w:p w14:paraId="25305E21">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1456E76F">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60C5E9C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9F86D8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4898894">
            <w:pPr>
              <w:widowControl/>
              <w:jc w:val="center"/>
              <w:textAlignment w:val="center"/>
              <w:rPr>
                <w:rFonts w:ascii="宋体" w:hAnsi="宋体" w:cs="宋体"/>
                <w:color w:val="000000"/>
                <w:sz w:val="22"/>
              </w:rPr>
            </w:pPr>
            <w:r>
              <w:rPr>
                <w:rFonts w:hint="eastAsia" w:ascii="宋体" w:hAnsi="宋体" w:cs="宋体"/>
                <w:color w:val="000000"/>
                <w:kern w:val="0"/>
                <w:sz w:val="22"/>
                <w:lang w:bidi="ar"/>
              </w:rPr>
              <w:t>34</w:t>
            </w:r>
          </w:p>
        </w:tc>
        <w:tc>
          <w:tcPr>
            <w:tcW w:w="3750" w:type="dxa"/>
            <w:tcBorders>
              <w:top w:val="nil"/>
              <w:left w:val="nil"/>
              <w:bottom w:val="single" w:color="auto" w:sz="4" w:space="0"/>
              <w:right w:val="single" w:color="auto" w:sz="4" w:space="0"/>
            </w:tcBorders>
            <w:shd w:val="clear" w:color="auto" w:fill="auto"/>
            <w:vAlign w:val="center"/>
          </w:tcPr>
          <w:p w14:paraId="78EDDC7A">
            <w:pPr>
              <w:widowControl/>
              <w:jc w:val="center"/>
              <w:textAlignment w:val="center"/>
              <w:rPr>
                <w:rFonts w:ascii="宋体" w:hAnsi="宋体" w:cs="宋体"/>
                <w:sz w:val="22"/>
              </w:rPr>
            </w:pPr>
            <w:r>
              <w:rPr>
                <w:rFonts w:hint="eastAsia" w:ascii="宋体" w:hAnsi="宋体" w:cs="宋体"/>
                <w:kern w:val="0"/>
                <w:sz w:val="22"/>
                <w:lang w:bidi="ar"/>
              </w:rPr>
              <w:t>学习椅</w:t>
            </w:r>
          </w:p>
        </w:tc>
        <w:tc>
          <w:tcPr>
            <w:tcW w:w="1215" w:type="dxa"/>
            <w:tcBorders>
              <w:top w:val="nil"/>
              <w:left w:val="nil"/>
              <w:bottom w:val="single" w:color="auto" w:sz="4" w:space="0"/>
              <w:right w:val="single" w:color="auto" w:sz="4" w:space="0"/>
            </w:tcBorders>
            <w:shd w:val="clear" w:color="auto" w:fill="auto"/>
            <w:vAlign w:val="center"/>
          </w:tcPr>
          <w:p w14:paraId="53BF98FD">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772AE536">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FD4E876">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3D02F7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6607045">
            <w:pPr>
              <w:widowControl/>
              <w:jc w:val="center"/>
              <w:textAlignment w:val="center"/>
              <w:rPr>
                <w:rFonts w:ascii="宋体" w:hAnsi="宋体" w:cs="宋体"/>
                <w:color w:val="000000"/>
                <w:sz w:val="22"/>
              </w:rPr>
            </w:pPr>
            <w:r>
              <w:rPr>
                <w:rFonts w:hint="eastAsia" w:ascii="宋体" w:hAnsi="宋体" w:cs="宋体"/>
                <w:color w:val="000000"/>
                <w:kern w:val="0"/>
                <w:sz w:val="22"/>
                <w:lang w:bidi="ar"/>
              </w:rPr>
              <w:t>35</w:t>
            </w:r>
          </w:p>
        </w:tc>
        <w:tc>
          <w:tcPr>
            <w:tcW w:w="3750" w:type="dxa"/>
            <w:tcBorders>
              <w:top w:val="nil"/>
              <w:left w:val="nil"/>
              <w:bottom w:val="single" w:color="auto" w:sz="4" w:space="0"/>
              <w:right w:val="single" w:color="auto" w:sz="4" w:space="0"/>
            </w:tcBorders>
            <w:shd w:val="clear" w:color="auto" w:fill="auto"/>
            <w:vAlign w:val="center"/>
          </w:tcPr>
          <w:p w14:paraId="5B54810B">
            <w:pPr>
              <w:widowControl/>
              <w:jc w:val="center"/>
              <w:textAlignment w:val="center"/>
              <w:rPr>
                <w:rFonts w:ascii="宋体" w:hAnsi="宋体" w:cs="宋体"/>
                <w:sz w:val="22"/>
              </w:rPr>
            </w:pPr>
            <w:r>
              <w:rPr>
                <w:rFonts w:hint="eastAsia" w:ascii="宋体" w:hAnsi="宋体" w:cs="宋体"/>
                <w:kern w:val="0"/>
                <w:sz w:val="22"/>
                <w:lang w:bidi="ar"/>
              </w:rPr>
              <w:t>观摩椅</w:t>
            </w:r>
          </w:p>
        </w:tc>
        <w:tc>
          <w:tcPr>
            <w:tcW w:w="1215" w:type="dxa"/>
            <w:tcBorders>
              <w:top w:val="nil"/>
              <w:left w:val="nil"/>
              <w:bottom w:val="single" w:color="auto" w:sz="4" w:space="0"/>
              <w:right w:val="single" w:color="auto" w:sz="4" w:space="0"/>
            </w:tcBorders>
            <w:shd w:val="clear" w:color="auto" w:fill="auto"/>
            <w:vAlign w:val="center"/>
          </w:tcPr>
          <w:p w14:paraId="05A1AFF1">
            <w:pPr>
              <w:widowControl/>
              <w:jc w:val="center"/>
              <w:textAlignment w:val="center"/>
              <w:rPr>
                <w:rFonts w:ascii="宋体" w:hAnsi="宋体" w:cs="宋体"/>
                <w:sz w:val="22"/>
              </w:rPr>
            </w:pPr>
            <w:r>
              <w:rPr>
                <w:rFonts w:hint="eastAsia" w:ascii="宋体" w:hAnsi="宋体" w:cs="宋体"/>
                <w:kern w:val="0"/>
                <w:sz w:val="22"/>
                <w:lang w:bidi="ar"/>
              </w:rPr>
              <w:t>30</w:t>
            </w:r>
          </w:p>
        </w:tc>
        <w:tc>
          <w:tcPr>
            <w:tcW w:w="729" w:type="dxa"/>
            <w:tcBorders>
              <w:top w:val="nil"/>
              <w:left w:val="nil"/>
              <w:bottom w:val="single" w:color="auto" w:sz="4" w:space="0"/>
              <w:right w:val="single" w:color="auto" w:sz="4" w:space="0"/>
            </w:tcBorders>
            <w:shd w:val="clear" w:color="auto" w:fill="auto"/>
            <w:vAlign w:val="center"/>
          </w:tcPr>
          <w:p w14:paraId="06437A10">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67E2FF86">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FBFFB2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F4BB9B2">
            <w:pPr>
              <w:widowControl/>
              <w:jc w:val="center"/>
              <w:textAlignment w:val="center"/>
              <w:rPr>
                <w:rFonts w:ascii="宋体" w:hAnsi="宋体" w:cs="宋体"/>
                <w:color w:val="000000"/>
                <w:sz w:val="22"/>
              </w:rPr>
            </w:pPr>
            <w:r>
              <w:rPr>
                <w:rFonts w:hint="eastAsia" w:ascii="宋体" w:hAnsi="宋体" w:cs="宋体"/>
                <w:color w:val="000000"/>
                <w:kern w:val="0"/>
                <w:sz w:val="22"/>
                <w:lang w:bidi="ar"/>
              </w:rPr>
              <w:t>36</w:t>
            </w:r>
          </w:p>
        </w:tc>
        <w:tc>
          <w:tcPr>
            <w:tcW w:w="3750" w:type="dxa"/>
            <w:tcBorders>
              <w:top w:val="nil"/>
              <w:left w:val="nil"/>
              <w:bottom w:val="single" w:color="auto" w:sz="4" w:space="0"/>
              <w:right w:val="single" w:color="auto" w:sz="4" w:space="0"/>
            </w:tcBorders>
            <w:shd w:val="clear" w:color="auto" w:fill="auto"/>
            <w:vAlign w:val="center"/>
          </w:tcPr>
          <w:p w14:paraId="65EDD37D">
            <w:pPr>
              <w:widowControl/>
              <w:jc w:val="center"/>
              <w:textAlignment w:val="center"/>
              <w:rPr>
                <w:rFonts w:ascii="宋体" w:hAnsi="宋体" w:cs="宋体"/>
                <w:sz w:val="22"/>
              </w:rPr>
            </w:pPr>
            <w:r>
              <w:rPr>
                <w:rFonts w:hint="eastAsia" w:ascii="宋体" w:hAnsi="宋体" w:cs="宋体"/>
                <w:kern w:val="0"/>
                <w:sz w:val="22"/>
                <w:lang w:bidi="ar"/>
              </w:rPr>
              <w:t>导播终端</w:t>
            </w:r>
          </w:p>
        </w:tc>
        <w:tc>
          <w:tcPr>
            <w:tcW w:w="1215" w:type="dxa"/>
            <w:tcBorders>
              <w:top w:val="nil"/>
              <w:left w:val="nil"/>
              <w:bottom w:val="single" w:color="auto" w:sz="4" w:space="0"/>
              <w:right w:val="single" w:color="auto" w:sz="4" w:space="0"/>
            </w:tcBorders>
            <w:shd w:val="clear" w:color="auto" w:fill="auto"/>
            <w:vAlign w:val="center"/>
          </w:tcPr>
          <w:p w14:paraId="04C75DB9">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3BD128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28D209B">
            <w:pPr>
              <w:widowControl/>
              <w:jc w:val="center"/>
              <w:textAlignment w:val="center"/>
              <w:rPr>
                <w:rFonts w:ascii="宋体" w:hAnsi="宋体" w:cs="宋体"/>
                <w:kern w:val="0"/>
                <w:sz w:val="22"/>
                <w:lang w:bidi="ar"/>
              </w:rPr>
            </w:pPr>
            <w:r>
              <w:rPr>
                <w:rFonts w:hint="eastAsia" w:ascii="宋体" w:hAnsi="宋体" w:cs="宋体"/>
                <w:kern w:val="0"/>
                <w:sz w:val="22"/>
                <w:lang w:bidi="ar"/>
              </w:rPr>
              <w:t>工业（强制节能产品）</w:t>
            </w:r>
          </w:p>
        </w:tc>
      </w:tr>
      <w:tr w14:paraId="2C565CC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53EAD7">
            <w:pPr>
              <w:widowControl/>
              <w:jc w:val="center"/>
              <w:textAlignment w:val="center"/>
              <w:rPr>
                <w:rFonts w:ascii="宋体" w:hAnsi="宋体" w:cs="宋体"/>
                <w:color w:val="000000"/>
                <w:sz w:val="22"/>
              </w:rPr>
            </w:pPr>
            <w:r>
              <w:rPr>
                <w:rFonts w:hint="eastAsia" w:ascii="宋体" w:hAnsi="宋体" w:cs="宋体"/>
                <w:color w:val="000000"/>
                <w:kern w:val="0"/>
                <w:sz w:val="22"/>
                <w:lang w:bidi="ar"/>
              </w:rPr>
              <w:t>37</w:t>
            </w:r>
          </w:p>
        </w:tc>
        <w:tc>
          <w:tcPr>
            <w:tcW w:w="3750" w:type="dxa"/>
            <w:tcBorders>
              <w:top w:val="nil"/>
              <w:left w:val="nil"/>
              <w:bottom w:val="single" w:color="auto" w:sz="4" w:space="0"/>
              <w:right w:val="single" w:color="auto" w:sz="4" w:space="0"/>
            </w:tcBorders>
            <w:shd w:val="clear" w:color="auto" w:fill="auto"/>
            <w:vAlign w:val="center"/>
          </w:tcPr>
          <w:p w14:paraId="727FC04E">
            <w:pPr>
              <w:widowControl/>
              <w:jc w:val="center"/>
              <w:textAlignment w:val="center"/>
              <w:rPr>
                <w:rFonts w:ascii="宋体" w:hAnsi="宋体" w:cs="宋体"/>
                <w:sz w:val="22"/>
              </w:rPr>
            </w:pPr>
            <w:r>
              <w:rPr>
                <w:rFonts w:hint="eastAsia" w:ascii="宋体" w:hAnsi="宋体" w:cs="宋体"/>
                <w:kern w:val="0"/>
                <w:sz w:val="22"/>
                <w:lang w:bidi="ar"/>
              </w:rPr>
              <w:t>中控室操作台</w:t>
            </w:r>
          </w:p>
        </w:tc>
        <w:tc>
          <w:tcPr>
            <w:tcW w:w="1215" w:type="dxa"/>
            <w:tcBorders>
              <w:top w:val="nil"/>
              <w:left w:val="nil"/>
              <w:bottom w:val="single" w:color="auto" w:sz="4" w:space="0"/>
              <w:right w:val="single" w:color="auto" w:sz="4" w:space="0"/>
            </w:tcBorders>
            <w:shd w:val="clear" w:color="auto" w:fill="auto"/>
            <w:vAlign w:val="center"/>
          </w:tcPr>
          <w:p w14:paraId="6C3A559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346B3D0">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7E023589">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D1E516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FA2838B">
            <w:pPr>
              <w:widowControl/>
              <w:jc w:val="center"/>
              <w:textAlignment w:val="center"/>
              <w:rPr>
                <w:rFonts w:ascii="宋体" w:hAnsi="宋体" w:cs="宋体"/>
                <w:color w:val="000000"/>
                <w:sz w:val="22"/>
              </w:rPr>
            </w:pPr>
            <w:r>
              <w:rPr>
                <w:rFonts w:hint="eastAsia" w:ascii="宋体" w:hAnsi="宋体" w:cs="宋体"/>
                <w:color w:val="000000"/>
                <w:kern w:val="0"/>
                <w:sz w:val="22"/>
                <w:lang w:bidi="ar"/>
              </w:rPr>
              <w:t>38</w:t>
            </w:r>
          </w:p>
        </w:tc>
        <w:tc>
          <w:tcPr>
            <w:tcW w:w="3750" w:type="dxa"/>
            <w:tcBorders>
              <w:top w:val="nil"/>
              <w:left w:val="nil"/>
              <w:bottom w:val="single" w:color="auto" w:sz="4" w:space="0"/>
              <w:right w:val="single" w:color="auto" w:sz="4" w:space="0"/>
            </w:tcBorders>
            <w:shd w:val="clear" w:color="auto" w:fill="auto"/>
            <w:vAlign w:val="center"/>
          </w:tcPr>
          <w:p w14:paraId="7CDA95D1">
            <w:pPr>
              <w:widowControl/>
              <w:jc w:val="center"/>
              <w:textAlignment w:val="center"/>
              <w:rPr>
                <w:rFonts w:ascii="宋体" w:hAnsi="宋体" w:cs="宋体"/>
                <w:sz w:val="22"/>
              </w:rPr>
            </w:pPr>
            <w:r>
              <w:rPr>
                <w:rFonts w:hint="eastAsia" w:ascii="宋体" w:hAnsi="宋体" w:cs="宋体"/>
                <w:kern w:val="0"/>
                <w:sz w:val="22"/>
                <w:lang w:bidi="ar"/>
              </w:rPr>
              <w:t>操作椅</w:t>
            </w:r>
          </w:p>
        </w:tc>
        <w:tc>
          <w:tcPr>
            <w:tcW w:w="1215" w:type="dxa"/>
            <w:tcBorders>
              <w:top w:val="nil"/>
              <w:left w:val="nil"/>
              <w:bottom w:val="single" w:color="auto" w:sz="4" w:space="0"/>
              <w:right w:val="single" w:color="auto" w:sz="4" w:space="0"/>
            </w:tcBorders>
            <w:shd w:val="clear" w:color="auto" w:fill="auto"/>
            <w:vAlign w:val="center"/>
          </w:tcPr>
          <w:p w14:paraId="750F6499">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5F38628D">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14287C4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002871D">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33C1DF1">
            <w:pPr>
              <w:widowControl/>
              <w:jc w:val="center"/>
              <w:textAlignment w:val="center"/>
              <w:rPr>
                <w:rFonts w:ascii="宋体" w:hAnsi="宋体" w:cs="宋体"/>
                <w:color w:val="000000"/>
                <w:sz w:val="22"/>
              </w:rPr>
            </w:pPr>
            <w:r>
              <w:rPr>
                <w:rFonts w:hint="eastAsia" w:ascii="宋体" w:hAnsi="宋体" w:cs="宋体"/>
                <w:color w:val="000000"/>
                <w:kern w:val="0"/>
                <w:sz w:val="22"/>
                <w:lang w:bidi="ar"/>
              </w:rPr>
              <w:t>39</w:t>
            </w:r>
          </w:p>
        </w:tc>
        <w:tc>
          <w:tcPr>
            <w:tcW w:w="3750" w:type="dxa"/>
            <w:tcBorders>
              <w:top w:val="nil"/>
              <w:left w:val="nil"/>
              <w:bottom w:val="single" w:color="auto" w:sz="4" w:space="0"/>
              <w:right w:val="single" w:color="auto" w:sz="4" w:space="0"/>
            </w:tcBorders>
            <w:shd w:val="clear" w:color="auto" w:fill="auto"/>
            <w:vAlign w:val="center"/>
          </w:tcPr>
          <w:p w14:paraId="36F72155">
            <w:pPr>
              <w:widowControl/>
              <w:jc w:val="center"/>
              <w:textAlignment w:val="center"/>
              <w:rPr>
                <w:rFonts w:ascii="宋体" w:hAnsi="宋体" w:cs="宋体"/>
                <w:sz w:val="22"/>
              </w:rPr>
            </w:pPr>
            <w:r>
              <w:rPr>
                <w:rFonts w:hint="eastAsia" w:ascii="宋体" w:hAnsi="宋体" w:cs="宋体"/>
                <w:kern w:val="0"/>
                <w:sz w:val="22"/>
                <w:lang w:bidi="ar"/>
              </w:rPr>
              <w:t>系统集成</w:t>
            </w:r>
          </w:p>
        </w:tc>
        <w:tc>
          <w:tcPr>
            <w:tcW w:w="1215" w:type="dxa"/>
            <w:tcBorders>
              <w:top w:val="nil"/>
              <w:left w:val="nil"/>
              <w:bottom w:val="single" w:color="auto" w:sz="4" w:space="0"/>
              <w:right w:val="single" w:color="auto" w:sz="4" w:space="0"/>
            </w:tcBorders>
            <w:shd w:val="clear" w:color="auto" w:fill="auto"/>
            <w:vAlign w:val="center"/>
          </w:tcPr>
          <w:p w14:paraId="042DF416">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C297F73">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8C3E3CD">
            <w:pPr>
              <w:widowControl/>
              <w:jc w:val="center"/>
              <w:textAlignment w:val="center"/>
              <w:rPr>
                <w:rFonts w:ascii="宋体" w:hAnsi="宋体" w:cs="宋体"/>
                <w:kern w:val="0"/>
                <w:sz w:val="22"/>
                <w:lang w:bidi="ar"/>
              </w:rPr>
            </w:pPr>
          </w:p>
        </w:tc>
      </w:tr>
      <w:tr w14:paraId="139F434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0323AEB">
            <w:pPr>
              <w:widowControl/>
              <w:jc w:val="center"/>
              <w:textAlignment w:val="center"/>
              <w:rPr>
                <w:rFonts w:ascii="宋体" w:hAnsi="宋体" w:cs="宋体"/>
                <w:color w:val="000000"/>
                <w:sz w:val="22"/>
              </w:rPr>
            </w:pPr>
            <w:r>
              <w:rPr>
                <w:rFonts w:hint="eastAsia" w:ascii="宋体" w:hAnsi="宋体" w:cs="宋体"/>
                <w:color w:val="000000"/>
                <w:kern w:val="0"/>
                <w:sz w:val="22"/>
                <w:lang w:bidi="ar"/>
              </w:rPr>
              <w:t>40</w:t>
            </w:r>
          </w:p>
        </w:tc>
        <w:tc>
          <w:tcPr>
            <w:tcW w:w="3750" w:type="dxa"/>
            <w:tcBorders>
              <w:top w:val="nil"/>
              <w:left w:val="nil"/>
              <w:bottom w:val="single" w:color="auto" w:sz="4" w:space="0"/>
              <w:right w:val="single" w:color="auto" w:sz="4" w:space="0"/>
            </w:tcBorders>
            <w:shd w:val="clear" w:color="auto" w:fill="auto"/>
            <w:vAlign w:val="center"/>
          </w:tcPr>
          <w:p w14:paraId="60C376D9">
            <w:pPr>
              <w:widowControl/>
              <w:jc w:val="center"/>
              <w:textAlignment w:val="center"/>
              <w:rPr>
                <w:rFonts w:ascii="宋体" w:hAnsi="宋体" w:cs="宋体"/>
                <w:sz w:val="22"/>
              </w:rPr>
            </w:pPr>
            <w:r>
              <w:rPr>
                <w:rFonts w:hint="eastAsia" w:ascii="宋体" w:hAnsi="宋体" w:cs="宋体"/>
                <w:kern w:val="0"/>
                <w:sz w:val="22"/>
                <w:lang w:bidi="ar"/>
              </w:rPr>
              <w:t>文化布置</w:t>
            </w:r>
          </w:p>
        </w:tc>
        <w:tc>
          <w:tcPr>
            <w:tcW w:w="1215" w:type="dxa"/>
            <w:tcBorders>
              <w:top w:val="nil"/>
              <w:left w:val="nil"/>
              <w:bottom w:val="single" w:color="auto" w:sz="4" w:space="0"/>
              <w:right w:val="single" w:color="auto" w:sz="4" w:space="0"/>
            </w:tcBorders>
            <w:shd w:val="clear" w:color="auto" w:fill="auto"/>
            <w:vAlign w:val="center"/>
          </w:tcPr>
          <w:p w14:paraId="2AEB4D0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9F330D1">
            <w:pPr>
              <w:widowControl/>
              <w:jc w:val="center"/>
              <w:textAlignment w:val="center"/>
              <w:rPr>
                <w:rFonts w:ascii="宋体" w:hAnsi="宋体" w:cs="宋体"/>
                <w:sz w:val="22"/>
              </w:rPr>
            </w:pPr>
            <w:r>
              <w:rPr>
                <w:rFonts w:hint="eastAsia" w:ascii="宋体" w:hAnsi="宋体" w:cs="宋体"/>
                <w:kern w:val="0"/>
                <w:sz w:val="22"/>
                <w:lang w:bidi="ar"/>
              </w:rPr>
              <w:t>项</w:t>
            </w:r>
          </w:p>
        </w:tc>
        <w:tc>
          <w:tcPr>
            <w:tcW w:w="1866" w:type="dxa"/>
            <w:tcBorders>
              <w:top w:val="nil"/>
              <w:left w:val="nil"/>
              <w:bottom w:val="single" w:color="auto" w:sz="4" w:space="0"/>
              <w:right w:val="single" w:color="auto" w:sz="4" w:space="0"/>
            </w:tcBorders>
            <w:shd w:val="clear" w:color="auto" w:fill="auto"/>
            <w:vAlign w:val="center"/>
          </w:tcPr>
          <w:p w14:paraId="033011A9">
            <w:pPr>
              <w:widowControl/>
              <w:jc w:val="center"/>
              <w:textAlignment w:val="center"/>
              <w:rPr>
                <w:rFonts w:ascii="宋体" w:hAnsi="宋体" w:cs="宋体"/>
                <w:kern w:val="0"/>
                <w:sz w:val="22"/>
                <w:lang w:bidi="ar"/>
              </w:rPr>
            </w:pPr>
          </w:p>
        </w:tc>
      </w:tr>
      <w:tr w14:paraId="1424A9F5">
        <w:tblPrEx>
          <w:tblCellMar>
            <w:top w:w="0" w:type="dxa"/>
            <w:left w:w="108" w:type="dxa"/>
            <w:bottom w:w="0" w:type="dxa"/>
            <w:right w:w="108" w:type="dxa"/>
          </w:tblCellMar>
        </w:tblPrEx>
        <w:trPr>
          <w:trHeight w:val="285" w:hRule="atLeast"/>
        </w:trPr>
        <w:tc>
          <w:tcPr>
            <w:tcW w:w="8872" w:type="dxa"/>
            <w:gridSpan w:val="5"/>
            <w:tcBorders>
              <w:top w:val="nil"/>
              <w:left w:val="single" w:color="auto" w:sz="4" w:space="0"/>
              <w:bottom w:val="single" w:color="auto" w:sz="4" w:space="0"/>
              <w:right w:val="single" w:color="auto" w:sz="4" w:space="0"/>
            </w:tcBorders>
            <w:shd w:val="clear" w:color="auto" w:fill="auto"/>
            <w:noWrap/>
            <w:vAlign w:val="center"/>
          </w:tcPr>
          <w:p w14:paraId="2E86825E">
            <w:pPr>
              <w:widowControl/>
              <w:jc w:val="left"/>
              <w:textAlignment w:val="center"/>
              <w:rPr>
                <w:rFonts w:ascii="宋体" w:hAnsi="宋体" w:cs="宋体"/>
                <w:kern w:val="0"/>
                <w:sz w:val="22"/>
                <w:lang w:bidi="ar"/>
              </w:rPr>
            </w:pPr>
            <w:r>
              <w:rPr>
                <w:rFonts w:hint="eastAsia" w:ascii="宋体" w:hAnsi="宋体" w:cs="宋体"/>
                <w:kern w:val="0"/>
                <w:sz w:val="22"/>
                <w:lang w:bidi="ar"/>
              </w:rPr>
              <w:t>二、录播教室</w:t>
            </w:r>
          </w:p>
        </w:tc>
      </w:tr>
      <w:tr w14:paraId="6790EE5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F764CDA">
            <w:pPr>
              <w:widowControl/>
              <w:jc w:val="center"/>
              <w:textAlignment w:val="center"/>
              <w:rPr>
                <w:rFonts w:ascii="宋体" w:hAnsi="宋体" w:cs="宋体"/>
                <w:color w:val="000000"/>
                <w:sz w:val="22"/>
              </w:rPr>
            </w:pPr>
            <w:r>
              <w:rPr>
                <w:rFonts w:hint="eastAsia" w:ascii="宋体" w:hAnsi="宋体" w:cs="宋体"/>
                <w:color w:val="000000"/>
                <w:kern w:val="0"/>
                <w:sz w:val="22"/>
                <w:lang w:bidi="ar"/>
              </w:rPr>
              <w:t>41</w:t>
            </w:r>
          </w:p>
        </w:tc>
        <w:tc>
          <w:tcPr>
            <w:tcW w:w="3750" w:type="dxa"/>
            <w:tcBorders>
              <w:top w:val="nil"/>
              <w:left w:val="nil"/>
              <w:bottom w:val="single" w:color="auto" w:sz="4" w:space="0"/>
              <w:right w:val="single" w:color="auto" w:sz="4" w:space="0"/>
            </w:tcBorders>
            <w:shd w:val="clear" w:color="auto" w:fill="auto"/>
            <w:vAlign w:val="center"/>
          </w:tcPr>
          <w:p w14:paraId="0CCD5AB2">
            <w:pPr>
              <w:widowControl/>
              <w:jc w:val="center"/>
              <w:textAlignment w:val="center"/>
              <w:rPr>
                <w:rFonts w:ascii="宋体" w:hAnsi="宋体" w:cs="宋体"/>
                <w:sz w:val="22"/>
              </w:rPr>
            </w:pPr>
            <w:r>
              <w:rPr>
                <w:rFonts w:hint="eastAsia" w:ascii="宋体" w:hAnsi="宋体" w:cs="宋体"/>
                <w:kern w:val="0"/>
                <w:sz w:val="22"/>
                <w:lang w:bidi="ar"/>
              </w:rPr>
              <w:t>4K录播一体机</w:t>
            </w:r>
          </w:p>
        </w:tc>
        <w:tc>
          <w:tcPr>
            <w:tcW w:w="1215" w:type="dxa"/>
            <w:tcBorders>
              <w:top w:val="nil"/>
              <w:left w:val="nil"/>
              <w:bottom w:val="single" w:color="auto" w:sz="4" w:space="0"/>
              <w:right w:val="single" w:color="auto" w:sz="4" w:space="0"/>
            </w:tcBorders>
            <w:shd w:val="clear" w:color="auto" w:fill="auto"/>
            <w:vAlign w:val="center"/>
          </w:tcPr>
          <w:p w14:paraId="1E400E1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327832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35F883D8">
            <w:pPr>
              <w:widowControl/>
              <w:jc w:val="center"/>
              <w:textAlignment w:val="center"/>
              <w:rPr>
                <w:rFonts w:ascii="宋体" w:hAnsi="宋体" w:cs="宋体"/>
                <w:kern w:val="0"/>
                <w:sz w:val="22"/>
                <w:lang w:bidi="ar"/>
              </w:rPr>
            </w:pPr>
            <w:r>
              <w:rPr>
                <w:rFonts w:hint="eastAsia" w:ascii="宋体" w:hAnsi="宋体" w:cs="宋体"/>
                <w:kern w:val="0"/>
                <w:sz w:val="22"/>
                <w:lang w:bidi="ar"/>
              </w:rPr>
              <w:t>工业（主要标的）</w:t>
            </w:r>
          </w:p>
        </w:tc>
      </w:tr>
      <w:tr w14:paraId="16919C2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D959C28">
            <w:pPr>
              <w:widowControl/>
              <w:jc w:val="center"/>
              <w:textAlignment w:val="center"/>
              <w:rPr>
                <w:rFonts w:ascii="宋体" w:hAnsi="宋体" w:cs="宋体"/>
                <w:color w:val="000000"/>
                <w:sz w:val="22"/>
              </w:rPr>
            </w:pPr>
            <w:r>
              <w:rPr>
                <w:rFonts w:hint="eastAsia" w:ascii="宋体" w:hAnsi="宋体" w:cs="宋体"/>
                <w:color w:val="000000"/>
                <w:kern w:val="0"/>
                <w:sz w:val="22"/>
                <w:lang w:bidi="ar"/>
              </w:rPr>
              <w:t>42</w:t>
            </w:r>
          </w:p>
        </w:tc>
        <w:tc>
          <w:tcPr>
            <w:tcW w:w="3750" w:type="dxa"/>
            <w:tcBorders>
              <w:top w:val="nil"/>
              <w:left w:val="nil"/>
              <w:bottom w:val="single" w:color="auto" w:sz="4" w:space="0"/>
              <w:right w:val="single" w:color="auto" w:sz="4" w:space="0"/>
            </w:tcBorders>
            <w:shd w:val="clear" w:color="auto" w:fill="auto"/>
            <w:vAlign w:val="center"/>
          </w:tcPr>
          <w:p w14:paraId="5593A23B">
            <w:pPr>
              <w:widowControl/>
              <w:jc w:val="center"/>
              <w:textAlignment w:val="center"/>
              <w:rPr>
                <w:rFonts w:ascii="宋体" w:hAnsi="宋体" w:cs="宋体"/>
                <w:sz w:val="22"/>
              </w:rPr>
            </w:pPr>
            <w:r>
              <w:rPr>
                <w:rFonts w:hint="eastAsia" w:ascii="宋体" w:hAnsi="宋体" w:cs="宋体"/>
                <w:kern w:val="0"/>
                <w:sz w:val="22"/>
                <w:lang w:bidi="ar"/>
              </w:rPr>
              <w:t>4K高清录播系统</w:t>
            </w:r>
          </w:p>
        </w:tc>
        <w:tc>
          <w:tcPr>
            <w:tcW w:w="1215" w:type="dxa"/>
            <w:tcBorders>
              <w:top w:val="nil"/>
              <w:left w:val="nil"/>
              <w:bottom w:val="single" w:color="auto" w:sz="4" w:space="0"/>
              <w:right w:val="single" w:color="auto" w:sz="4" w:space="0"/>
            </w:tcBorders>
            <w:shd w:val="clear" w:color="auto" w:fill="auto"/>
            <w:vAlign w:val="center"/>
          </w:tcPr>
          <w:p w14:paraId="0A5DCD3A">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2CA8BBA">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C37CF79">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B72300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E18D0A6">
            <w:pPr>
              <w:widowControl/>
              <w:jc w:val="center"/>
              <w:textAlignment w:val="center"/>
              <w:rPr>
                <w:rFonts w:ascii="宋体" w:hAnsi="宋体" w:cs="宋体"/>
                <w:color w:val="000000"/>
                <w:sz w:val="22"/>
              </w:rPr>
            </w:pPr>
            <w:r>
              <w:rPr>
                <w:rFonts w:hint="eastAsia" w:ascii="宋体" w:hAnsi="宋体" w:cs="宋体"/>
                <w:color w:val="000000"/>
                <w:kern w:val="0"/>
                <w:sz w:val="22"/>
                <w:lang w:bidi="ar"/>
              </w:rPr>
              <w:t>43</w:t>
            </w:r>
          </w:p>
        </w:tc>
        <w:tc>
          <w:tcPr>
            <w:tcW w:w="3750" w:type="dxa"/>
            <w:tcBorders>
              <w:top w:val="nil"/>
              <w:left w:val="nil"/>
              <w:bottom w:val="single" w:color="auto" w:sz="4" w:space="0"/>
              <w:right w:val="single" w:color="auto" w:sz="4" w:space="0"/>
            </w:tcBorders>
            <w:shd w:val="clear" w:color="auto" w:fill="auto"/>
            <w:vAlign w:val="center"/>
          </w:tcPr>
          <w:p w14:paraId="7597C8C2">
            <w:pPr>
              <w:widowControl/>
              <w:jc w:val="center"/>
              <w:textAlignment w:val="center"/>
              <w:rPr>
                <w:rFonts w:ascii="宋体" w:hAnsi="宋体" w:cs="宋体"/>
                <w:sz w:val="22"/>
              </w:rPr>
            </w:pPr>
            <w:r>
              <w:rPr>
                <w:rFonts w:hint="eastAsia" w:ascii="宋体" w:hAnsi="宋体" w:cs="宋体"/>
                <w:kern w:val="0"/>
                <w:sz w:val="22"/>
                <w:lang w:bidi="ar"/>
              </w:rPr>
              <w:t>行为分析语音识别</w:t>
            </w:r>
          </w:p>
        </w:tc>
        <w:tc>
          <w:tcPr>
            <w:tcW w:w="1215" w:type="dxa"/>
            <w:tcBorders>
              <w:top w:val="nil"/>
              <w:left w:val="nil"/>
              <w:bottom w:val="single" w:color="auto" w:sz="4" w:space="0"/>
              <w:right w:val="single" w:color="auto" w:sz="4" w:space="0"/>
            </w:tcBorders>
            <w:shd w:val="clear" w:color="auto" w:fill="auto"/>
            <w:vAlign w:val="center"/>
          </w:tcPr>
          <w:p w14:paraId="11CB741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85B177A">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D4B321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B31ED9B">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2134C0A">
            <w:pPr>
              <w:widowControl/>
              <w:jc w:val="center"/>
              <w:textAlignment w:val="center"/>
              <w:rPr>
                <w:rFonts w:ascii="宋体" w:hAnsi="宋体" w:cs="宋体"/>
                <w:color w:val="000000"/>
                <w:sz w:val="22"/>
              </w:rPr>
            </w:pPr>
            <w:r>
              <w:rPr>
                <w:rFonts w:hint="eastAsia" w:ascii="宋体" w:hAnsi="宋体" w:cs="宋体"/>
                <w:color w:val="000000"/>
                <w:kern w:val="0"/>
                <w:sz w:val="22"/>
                <w:lang w:bidi="ar"/>
              </w:rPr>
              <w:t>44</w:t>
            </w:r>
          </w:p>
        </w:tc>
        <w:tc>
          <w:tcPr>
            <w:tcW w:w="3750" w:type="dxa"/>
            <w:tcBorders>
              <w:top w:val="nil"/>
              <w:left w:val="nil"/>
              <w:bottom w:val="single" w:color="auto" w:sz="4" w:space="0"/>
              <w:right w:val="single" w:color="auto" w:sz="4" w:space="0"/>
            </w:tcBorders>
            <w:shd w:val="clear" w:color="auto" w:fill="auto"/>
            <w:vAlign w:val="center"/>
          </w:tcPr>
          <w:p w14:paraId="7DA8931B">
            <w:pPr>
              <w:widowControl/>
              <w:jc w:val="center"/>
              <w:textAlignment w:val="center"/>
              <w:rPr>
                <w:rFonts w:ascii="宋体" w:hAnsi="宋体" w:cs="宋体"/>
                <w:sz w:val="22"/>
              </w:rPr>
            </w:pPr>
            <w:r>
              <w:rPr>
                <w:rFonts w:hint="eastAsia" w:ascii="宋体" w:hAnsi="宋体" w:cs="宋体"/>
                <w:kern w:val="0"/>
                <w:sz w:val="22"/>
                <w:lang w:bidi="ar"/>
              </w:rPr>
              <w:t>4K超高清摄像机</w:t>
            </w:r>
          </w:p>
        </w:tc>
        <w:tc>
          <w:tcPr>
            <w:tcW w:w="1215" w:type="dxa"/>
            <w:tcBorders>
              <w:top w:val="nil"/>
              <w:left w:val="nil"/>
              <w:bottom w:val="single" w:color="auto" w:sz="4" w:space="0"/>
              <w:right w:val="single" w:color="auto" w:sz="4" w:space="0"/>
            </w:tcBorders>
            <w:shd w:val="clear" w:color="auto" w:fill="auto"/>
            <w:vAlign w:val="center"/>
          </w:tcPr>
          <w:p w14:paraId="6014C21B">
            <w:pPr>
              <w:widowControl/>
              <w:jc w:val="center"/>
              <w:textAlignment w:val="center"/>
              <w:rPr>
                <w:rFonts w:ascii="宋体" w:hAnsi="宋体" w:cs="宋体"/>
                <w:color w:val="000000"/>
                <w:sz w:val="22"/>
              </w:rPr>
            </w:pPr>
            <w:r>
              <w:rPr>
                <w:rFonts w:hint="eastAsia" w:ascii="宋体" w:hAnsi="宋体" w:cs="宋体"/>
                <w:color w:val="000000"/>
                <w:kern w:val="0"/>
                <w:sz w:val="22"/>
                <w:lang w:bidi="ar"/>
              </w:rPr>
              <w:t>4</w:t>
            </w:r>
          </w:p>
        </w:tc>
        <w:tc>
          <w:tcPr>
            <w:tcW w:w="729" w:type="dxa"/>
            <w:tcBorders>
              <w:top w:val="nil"/>
              <w:left w:val="nil"/>
              <w:bottom w:val="single" w:color="auto" w:sz="4" w:space="0"/>
              <w:right w:val="single" w:color="auto" w:sz="4" w:space="0"/>
            </w:tcBorders>
            <w:shd w:val="clear" w:color="auto" w:fill="auto"/>
            <w:vAlign w:val="center"/>
          </w:tcPr>
          <w:p w14:paraId="49C9797A">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7A0EC31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A7C58A2">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3250489">
            <w:pPr>
              <w:widowControl/>
              <w:jc w:val="center"/>
              <w:textAlignment w:val="center"/>
              <w:rPr>
                <w:rFonts w:ascii="宋体" w:hAnsi="宋体" w:cs="宋体"/>
                <w:color w:val="000000"/>
                <w:sz w:val="22"/>
              </w:rPr>
            </w:pPr>
            <w:r>
              <w:rPr>
                <w:rFonts w:hint="eastAsia" w:ascii="宋体" w:hAnsi="宋体" w:cs="宋体"/>
                <w:color w:val="000000"/>
                <w:kern w:val="0"/>
                <w:sz w:val="22"/>
                <w:lang w:bidi="ar"/>
              </w:rPr>
              <w:t>45</w:t>
            </w:r>
          </w:p>
        </w:tc>
        <w:tc>
          <w:tcPr>
            <w:tcW w:w="3750" w:type="dxa"/>
            <w:tcBorders>
              <w:top w:val="nil"/>
              <w:left w:val="nil"/>
              <w:bottom w:val="single" w:color="auto" w:sz="4" w:space="0"/>
              <w:right w:val="single" w:color="auto" w:sz="4" w:space="0"/>
            </w:tcBorders>
            <w:shd w:val="clear" w:color="auto" w:fill="auto"/>
            <w:vAlign w:val="center"/>
          </w:tcPr>
          <w:p w14:paraId="37C4B8B3">
            <w:pPr>
              <w:widowControl/>
              <w:jc w:val="center"/>
              <w:textAlignment w:val="center"/>
              <w:rPr>
                <w:rFonts w:ascii="宋体" w:hAnsi="宋体" w:cs="宋体"/>
                <w:sz w:val="22"/>
              </w:rPr>
            </w:pPr>
            <w:r>
              <w:rPr>
                <w:rFonts w:hint="eastAsia" w:ascii="宋体" w:hAnsi="宋体" w:cs="宋体"/>
                <w:kern w:val="0"/>
                <w:sz w:val="22"/>
                <w:lang w:bidi="ar"/>
              </w:rPr>
              <w:t>智能分析主机</w:t>
            </w:r>
          </w:p>
        </w:tc>
        <w:tc>
          <w:tcPr>
            <w:tcW w:w="1215" w:type="dxa"/>
            <w:tcBorders>
              <w:top w:val="nil"/>
              <w:left w:val="nil"/>
              <w:bottom w:val="single" w:color="auto" w:sz="4" w:space="0"/>
              <w:right w:val="single" w:color="auto" w:sz="4" w:space="0"/>
            </w:tcBorders>
            <w:shd w:val="clear" w:color="auto" w:fill="auto"/>
            <w:vAlign w:val="center"/>
          </w:tcPr>
          <w:p w14:paraId="0577CA18">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64F6FB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5EFC1A4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8903D7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69FF7FD">
            <w:pPr>
              <w:widowControl/>
              <w:jc w:val="center"/>
              <w:textAlignment w:val="center"/>
              <w:rPr>
                <w:rFonts w:ascii="宋体" w:hAnsi="宋体" w:cs="宋体"/>
                <w:color w:val="000000"/>
                <w:sz w:val="22"/>
              </w:rPr>
            </w:pPr>
            <w:r>
              <w:rPr>
                <w:rFonts w:hint="eastAsia" w:ascii="宋体" w:hAnsi="宋体" w:cs="宋体"/>
                <w:color w:val="000000"/>
                <w:kern w:val="0"/>
                <w:sz w:val="22"/>
                <w:lang w:bidi="ar"/>
              </w:rPr>
              <w:t>46</w:t>
            </w:r>
          </w:p>
        </w:tc>
        <w:tc>
          <w:tcPr>
            <w:tcW w:w="3750" w:type="dxa"/>
            <w:tcBorders>
              <w:top w:val="nil"/>
              <w:left w:val="nil"/>
              <w:bottom w:val="single" w:color="auto" w:sz="4" w:space="0"/>
              <w:right w:val="single" w:color="auto" w:sz="4" w:space="0"/>
            </w:tcBorders>
            <w:shd w:val="clear" w:color="auto" w:fill="auto"/>
            <w:vAlign w:val="center"/>
          </w:tcPr>
          <w:p w14:paraId="754A51F6">
            <w:pPr>
              <w:widowControl/>
              <w:jc w:val="center"/>
              <w:textAlignment w:val="center"/>
              <w:rPr>
                <w:rFonts w:ascii="宋体" w:hAnsi="宋体" w:cs="宋体"/>
                <w:sz w:val="22"/>
              </w:rPr>
            </w:pPr>
            <w:r>
              <w:rPr>
                <w:rFonts w:hint="eastAsia" w:ascii="宋体" w:hAnsi="宋体" w:cs="宋体"/>
                <w:kern w:val="0"/>
                <w:sz w:val="22"/>
                <w:lang w:bidi="ar"/>
              </w:rPr>
              <w:t>图像跟踪系统</w:t>
            </w:r>
          </w:p>
        </w:tc>
        <w:tc>
          <w:tcPr>
            <w:tcW w:w="1215" w:type="dxa"/>
            <w:tcBorders>
              <w:top w:val="nil"/>
              <w:left w:val="nil"/>
              <w:bottom w:val="single" w:color="auto" w:sz="4" w:space="0"/>
              <w:right w:val="single" w:color="auto" w:sz="4" w:space="0"/>
            </w:tcBorders>
            <w:shd w:val="clear" w:color="auto" w:fill="auto"/>
            <w:vAlign w:val="center"/>
          </w:tcPr>
          <w:p w14:paraId="0E01B87F">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8E43568">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36E333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8B75FB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8C2A6E7">
            <w:pPr>
              <w:widowControl/>
              <w:jc w:val="center"/>
              <w:textAlignment w:val="center"/>
              <w:rPr>
                <w:rFonts w:ascii="宋体" w:hAnsi="宋体" w:cs="宋体"/>
                <w:color w:val="000000"/>
                <w:sz w:val="22"/>
              </w:rPr>
            </w:pPr>
            <w:r>
              <w:rPr>
                <w:rFonts w:hint="eastAsia" w:ascii="宋体" w:hAnsi="宋体" w:cs="宋体"/>
                <w:color w:val="000000"/>
                <w:kern w:val="0"/>
                <w:sz w:val="22"/>
                <w:lang w:bidi="ar"/>
              </w:rPr>
              <w:t>47</w:t>
            </w:r>
          </w:p>
        </w:tc>
        <w:tc>
          <w:tcPr>
            <w:tcW w:w="3750" w:type="dxa"/>
            <w:tcBorders>
              <w:top w:val="nil"/>
              <w:left w:val="nil"/>
              <w:bottom w:val="single" w:color="auto" w:sz="4" w:space="0"/>
              <w:right w:val="single" w:color="auto" w:sz="4" w:space="0"/>
            </w:tcBorders>
            <w:shd w:val="clear" w:color="auto" w:fill="auto"/>
            <w:vAlign w:val="center"/>
          </w:tcPr>
          <w:p w14:paraId="1DFE3D06">
            <w:pPr>
              <w:widowControl/>
              <w:jc w:val="center"/>
              <w:textAlignment w:val="center"/>
              <w:rPr>
                <w:rFonts w:ascii="宋体" w:hAnsi="宋体" w:cs="宋体"/>
                <w:kern w:val="0"/>
                <w:sz w:val="22"/>
                <w:lang w:bidi="ar"/>
              </w:rPr>
            </w:pPr>
            <w:r>
              <w:rPr>
                <w:rFonts w:hint="eastAsia" w:ascii="宋体" w:hAnsi="宋体" w:cs="宋体"/>
                <w:kern w:val="0"/>
                <w:sz w:val="22"/>
                <w:lang w:bidi="ar"/>
              </w:rPr>
              <w:t>屏幕采集系统</w:t>
            </w:r>
          </w:p>
        </w:tc>
        <w:tc>
          <w:tcPr>
            <w:tcW w:w="1215" w:type="dxa"/>
            <w:tcBorders>
              <w:top w:val="nil"/>
              <w:left w:val="nil"/>
              <w:bottom w:val="single" w:color="auto" w:sz="4" w:space="0"/>
              <w:right w:val="single" w:color="auto" w:sz="4" w:space="0"/>
            </w:tcBorders>
            <w:shd w:val="clear" w:color="auto" w:fill="auto"/>
            <w:vAlign w:val="center"/>
          </w:tcPr>
          <w:p w14:paraId="1FBC9390">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86FFE3E">
            <w:pPr>
              <w:widowControl/>
              <w:jc w:val="center"/>
              <w:textAlignment w:val="center"/>
              <w:rPr>
                <w:rFonts w:ascii="宋体" w:hAnsi="宋体" w:cs="宋体"/>
                <w:kern w:val="0"/>
                <w:sz w:val="22"/>
                <w:lang w:bidi="ar"/>
              </w:rPr>
            </w:pPr>
            <w:r>
              <w:rPr>
                <w:rFonts w:hint="eastAsia" w:ascii="宋体" w:hAnsi="宋体" w:cs="宋体"/>
                <w:kern w:val="0"/>
                <w:sz w:val="22"/>
                <w:lang w:bidi="ar"/>
              </w:rPr>
              <w:t>套</w:t>
            </w:r>
          </w:p>
        </w:tc>
        <w:tc>
          <w:tcPr>
            <w:tcW w:w="1866" w:type="dxa"/>
            <w:tcBorders>
              <w:top w:val="single" w:color="auto" w:sz="4" w:space="0"/>
              <w:left w:val="nil"/>
              <w:bottom w:val="single" w:color="auto" w:sz="4" w:space="0"/>
              <w:right w:val="single" w:color="auto" w:sz="4" w:space="0"/>
            </w:tcBorders>
            <w:shd w:val="clear" w:color="auto" w:fill="auto"/>
            <w:vAlign w:val="center"/>
          </w:tcPr>
          <w:p w14:paraId="11EB73D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E9C84D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0932A79">
            <w:pPr>
              <w:widowControl/>
              <w:jc w:val="center"/>
              <w:textAlignment w:val="center"/>
              <w:rPr>
                <w:rFonts w:ascii="宋体" w:hAnsi="宋体" w:cs="宋体"/>
                <w:color w:val="000000"/>
                <w:sz w:val="22"/>
              </w:rPr>
            </w:pPr>
            <w:r>
              <w:rPr>
                <w:rFonts w:hint="eastAsia" w:ascii="宋体" w:hAnsi="宋体" w:cs="宋体"/>
                <w:color w:val="000000"/>
                <w:kern w:val="0"/>
                <w:sz w:val="22"/>
                <w:lang w:bidi="ar"/>
              </w:rPr>
              <w:t>48</w:t>
            </w:r>
          </w:p>
        </w:tc>
        <w:tc>
          <w:tcPr>
            <w:tcW w:w="3750" w:type="dxa"/>
            <w:tcBorders>
              <w:top w:val="nil"/>
              <w:left w:val="nil"/>
              <w:bottom w:val="single" w:color="auto" w:sz="4" w:space="0"/>
              <w:right w:val="single" w:color="auto" w:sz="4" w:space="0"/>
            </w:tcBorders>
            <w:shd w:val="clear" w:color="auto" w:fill="auto"/>
            <w:vAlign w:val="center"/>
          </w:tcPr>
          <w:p w14:paraId="729B0A22">
            <w:pPr>
              <w:widowControl/>
              <w:jc w:val="center"/>
              <w:textAlignment w:val="center"/>
              <w:rPr>
                <w:rFonts w:ascii="宋体" w:hAnsi="宋体" w:cs="宋体"/>
                <w:sz w:val="22"/>
              </w:rPr>
            </w:pPr>
            <w:r>
              <w:rPr>
                <w:rFonts w:hint="eastAsia" w:ascii="宋体" w:hAnsi="宋体" w:cs="宋体"/>
                <w:kern w:val="0"/>
                <w:sz w:val="22"/>
                <w:lang w:bidi="ar"/>
              </w:rPr>
              <w:t>智慧讲桌</w:t>
            </w:r>
          </w:p>
        </w:tc>
        <w:tc>
          <w:tcPr>
            <w:tcW w:w="1215" w:type="dxa"/>
            <w:tcBorders>
              <w:top w:val="nil"/>
              <w:left w:val="nil"/>
              <w:bottom w:val="single" w:color="auto" w:sz="4" w:space="0"/>
              <w:right w:val="single" w:color="auto" w:sz="4" w:space="0"/>
            </w:tcBorders>
            <w:shd w:val="clear" w:color="auto" w:fill="auto"/>
            <w:vAlign w:val="center"/>
          </w:tcPr>
          <w:p w14:paraId="278E7100">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1E393B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631BD6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94214C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43B60EC">
            <w:pPr>
              <w:widowControl/>
              <w:jc w:val="center"/>
              <w:textAlignment w:val="center"/>
              <w:rPr>
                <w:rFonts w:ascii="宋体" w:hAnsi="宋体" w:cs="宋体"/>
                <w:color w:val="000000"/>
                <w:sz w:val="22"/>
              </w:rPr>
            </w:pPr>
            <w:r>
              <w:rPr>
                <w:rFonts w:hint="eastAsia" w:ascii="宋体" w:hAnsi="宋体" w:cs="宋体"/>
                <w:color w:val="000000"/>
                <w:kern w:val="0"/>
                <w:sz w:val="22"/>
                <w:lang w:bidi="ar"/>
              </w:rPr>
              <w:t>49</w:t>
            </w:r>
          </w:p>
        </w:tc>
        <w:tc>
          <w:tcPr>
            <w:tcW w:w="3750" w:type="dxa"/>
            <w:tcBorders>
              <w:top w:val="nil"/>
              <w:left w:val="nil"/>
              <w:bottom w:val="single" w:color="auto" w:sz="4" w:space="0"/>
              <w:right w:val="single" w:color="auto" w:sz="4" w:space="0"/>
            </w:tcBorders>
            <w:shd w:val="clear" w:color="auto" w:fill="auto"/>
            <w:vAlign w:val="center"/>
          </w:tcPr>
          <w:p w14:paraId="5CFF87C6">
            <w:pPr>
              <w:widowControl/>
              <w:jc w:val="center"/>
              <w:textAlignment w:val="center"/>
              <w:rPr>
                <w:rFonts w:ascii="宋体" w:hAnsi="宋体" w:cs="宋体"/>
                <w:sz w:val="22"/>
              </w:rPr>
            </w:pPr>
            <w:r>
              <w:rPr>
                <w:rFonts w:hint="eastAsia" w:ascii="宋体" w:hAnsi="宋体" w:cs="宋体"/>
                <w:kern w:val="0"/>
                <w:sz w:val="22"/>
                <w:lang w:bidi="ar"/>
              </w:rPr>
              <w:t>指向性话筒</w:t>
            </w:r>
          </w:p>
        </w:tc>
        <w:tc>
          <w:tcPr>
            <w:tcW w:w="1215" w:type="dxa"/>
            <w:tcBorders>
              <w:top w:val="nil"/>
              <w:left w:val="nil"/>
              <w:bottom w:val="single" w:color="auto" w:sz="4" w:space="0"/>
              <w:right w:val="single" w:color="auto" w:sz="4" w:space="0"/>
            </w:tcBorders>
            <w:shd w:val="clear" w:color="auto" w:fill="auto"/>
            <w:vAlign w:val="center"/>
          </w:tcPr>
          <w:p w14:paraId="200CA42F">
            <w:pPr>
              <w:widowControl/>
              <w:jc w:val="center"/>
              <w:textAlignment w:val="center"/>
              <w:rPr>
                <w:rFonts w:ascii="宋体" w:hAnsi="宋体" w:cs="宋体"/>
                <w:color w:val="000000"/>
                <w:sz w:val="22"/>
              </w:rPr>
            </w:pPr>
            <w:r>
              <w:rPr>
                <w:rFonts w:hint="eastAsia" w:ascii="宋体" w:hAnsi="宋体" w:cs="宋体"/>
                <w:color w:val="000000"/>
                <w:kern w:val="0"/>
                <w:sz w:val="22"/>
                <w:lang w:bidi="ar"/>
              </w:rPr>
              <w:t>6</w:t>
            </w:r>
          </w:p>
        </w:tc>
        <w:tc>
          <w:tcPr>
            <w:tcW w:w="729" w:type="dxa"/>
            <w:tcBorders>
              <w:top w:val="nil"/>
              <w:left w:val="nil"/>
              <w:bottom w:val="single" w:color="auto" w:sz="4" w:space="0"/>
              <w:right w:val="single" w:color="auto" w:sz="4" w:space="0"/>
            </w:tcBorders>
            <w:shd w:val="clear" w:color="auto" w:fill="auto"/>
            <w:vAlign w:val="center"/>
          </w:tcPr>
          <w:p w14:paraId="3EFA2A15">
            <w:pPr>
              <w:widowControl/>
              <w:jc w:val="center"/>
              <w:textAlignment w:val="center"/>
              <w:rPr>
                <w:rFonts w:ascii="宋体" w:hAnsi="宋体" w:cs="宋体"/>
                <w:sz w:val="22"/>
              </w:rPr>
            </w:pPr>
            <w:r>
              <w:rPr>
                <w:rFonts w:hint="eastAsia" w:ascii="宋体" w:hAnsi="宋体" w:cs="宋体"/>
                <w:kern w:val="0"/>
                <w:sz w:val="22"/>
                <w:lang w:bidi="ar"/>
              </w:rPr>
              <w:t>支</w:t>
            </w:r>
          </w:p>
        </w:tc>
        <w:tc>
          <w:tcPr>
            <w:tcW w:w="1866" w:type="dxa"/>
            <w:tcBorders>
              <w:top w:val="nil"/>
              <w:left w:val="nil"/>
              <w:bottom w:val="single" w:color="auto" w:sz="4" w:space="0"/>
              <w:right w:val="single" w:color="auto" w:sz="4" w:space="0"/>
            </w:tcBorders>
            <w:shd w:val="clear" w:color="auto" w:fill="auto"/>
            <w:vAlign w:val="center"/>
          </w:tcPr>
          <w:p w14:paraId="5C5B190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9EC621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CC2BBDB">
            <w:pPr>
              <w:widowControl/>
              <w:jc w:val="center"/>
              <w:textAlignment w:val="center"/>
              <w:rPr>
                <w:rFonts w:ascii="宋体" w:hAnsi="宋体" w:cs="宋体"/>
                <w:color w:val="000000"/>
                <w:sz w:val="22"/>
              </w:rPr>
            </w:pPr>
            <w:r>
              <w:rPr>
                <w:rFonts w:hint="eastAsia" w:ascii="宋体" w:hAnsi="宋体" w:cs="宋体"/>
                <w:color w:val="000000"/>
                <w:kern w:val="0"/>
                <w:sz w:val="22"/>
                <w:lang w:bidi="ar"/>
              </w:rPr>
              <w:t>50</w:t>
            </w:r>
          </w:p>
        </w:tc>
        <w:tc>
          <w:tcPr>
            <w:tcW w:w="3750" w:type="dxa"/>
            <w:tcBorders>
              <w:top w:val="nil"/>
              <w:left w:val="nil"/>
              <w:bottom w:val="single" w:color="auto" w:sz="4" w:space="0"/>
              <w:right w:val="single" w:color="auto" w:sz="4" w:space="0"/>
            </w:tcBorders>
            <w:shd w:val="clear" w:color="auto" w:fill="auto"/>
            <w:vAlign w:val="center"/>
          </w:tcPr>
          <w:p w14:paraId="21CEC16C">
            <w:pPr>
              <w:widowControl/>
              <w:jc w:val="center"/>
              <w:textAlignment w:val="center"/>
              <w:rPr>
                <w:rFonts w:ascii="宋体" w:hAnsi="宋体" w:cs="宋体"/>
                <w:sz w:val="22"/>
              </w:rPr>
            </w:pPr>
            <w:r>
              <w:rPr>
                <w:rFonts w:hint="eastAsia" w:ascii="宋体" w:hAnsi="宋体" w:cs="宋体"/>
                <w:kern w:val="0"/>
                <w:sz w:val="22"/>
                <w:lang w:bidi="ar"/>
              </w:rPr>
              <w:t>数字音频矩阵</w:t>
            </w:r>
          </w:p>
        </w:tc>
        <w:tc>
          <w:tcPr>
            <w:tcW w:w="1215" w:type="dxa"/>
            <w:tcBorders>
              <w:top w:val="nil"/>
              <w:left w:val="nil"/>
              <w:bottom w:val="single" w:color="auto" w:sz="4" w:space="0"/>
              <w:right w:val="single" w:color="auto" w:sz="4" w:space="0"/>
            </w:tcBorders>
            <w:shd w:val="clear" w:color="auto" w:fill="auto"/>
            <w:vAlign w:val="center"/>
          </w:tcPr>
          <w:p w14:paraId="295A223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E40F15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2ADC1E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C50B72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5479A2">
            <w:pPr>
              <w:widowControl/>
              <w:jc w:val="center"/>
              <w:textAlignment w:val="center"/>
              <w:rPr>
                <w:rFonts w:ascii="宋体" w:hAnsi="宋体" w:cs="宋体"/>
                <w:color w:val="000000"/>
                <w:sz w:val="22"/>
              </w:rPr>
            </w:pPr>
            <w:r>
              <w:rPr>
                <w:rFonts w:hint="eastAsia" w:ascii="宋体" w:hAnsi="宋体" w:cs="宋体"/>
                <w:color w:val="000000"/>
                <w:kern w:val="0"/>
                <w:sz w:val="22"/>
                <w:lang w:bidi="ar"/>
              </w:rPr>
              <w:t>51</w:t>
            </w:r>
          </w:p>
        </w:tc>
        <w:tc>
          <w:tcPr>
            <w:tcW w:w="3750" w:type="dxa"/>
            <w:tcBorders>
              <w:top w:val="nil"/>
              <w:left w:val="nil"/>
              <w:bottom w:val="single" w:color="auto" w:sz="4" w:space="0"/>
              <w:right w:val="single" w:color="auto" w:sz="4" w:space="0"/>
            </w:tcBorders>
            <w:shd w:val="clear" w:color="auto" w:fill="auto"/>
            <w:vAlign w:val="center"/>
          </w:tcPr>
          <w:p w14:paraId="58C07049">
            <w:pPr>
              <w:widowControl/>
              <w:jc w:val="center"/>
              <w:textAlignment w:val="center"/>
              <w:rPr>
                <w:rFonts w:ascii="宋体" w:hAnsi="宋体" w:cs="宋体"/>
                <w:sz w:val="22"/>
              </w:rPr>
            </w:pPr>
            <w:r>
              <w:rPr>
                <w:rFonts w:hint="eastAsia" w:ascii="宋体" w:hAnsi="宋体" w:cs="宋体"/>
                <w:kern w:val="0"/>
                <w:sz w:val="22"/>
                <w:lang w:bidi="ar"/>
              </w:rPr>
              <w:t>无线话筒（带领夹）</w:t>
            </w:r>
          </w:p>
        </w:tc>
        <w:tc>
          <w:tcPr>
            <w:tcW w:w="1215" w:type="dxa"/>
            <w:tcBorders>
              <w:top w:val="nil"/>
              <w:left w:val="nil"/>
              <w:bottom w:val="single" w:color="auto" w:sz="4" w:space="0"/>
              <w:right w:val="single" w:color="auto" w:sz="4" w:space="0"/>
            </w:tcBorders>
            <w:shd w:val="clear" w:color="auto" w:fill="auto"/>
            <w:vAlign w:val="center"/>
          </w:tcPr>
          <w:p w14:paraId="5AAF9085">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F4EC404">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5AAEDC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5CF916B">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79A7E87">
            <w:pPr>
              <w:widowControl/>
              <w:jc w:val="center"/>
              <w:textAlignment w:val="center"/>
              <w:rPr>
                <w:rFonts w:ascii="宋体" w:hAnsi="宋体" w:cs="宋体"/>
                <w:color w:val="000000"/>
                <w:sz w:val="22"/>
              </w:rPr>
            </w:pPr>
            <w:r>
              <w:rPr>
                <w:rFonts w:hint="eastAsia" w:ascii="宋体" w:hAnsi="宋体" w:cs="宋体"/>
                <w:color w:val="000000"/>
                <w:kern w:val="0"/>
                <w:sz w:val="22"/>
                <w:lang w:bidi="ar"/>
              </w:rPr>
              <w:t>52</w:t>
            </w:r>
          </w:p>
        </w:tc>
        <w:tc>
          <w:tcPr>
            <w:tcW w:w="3750" w:type="dxa"/>
            <w:tcBorders>
              <w:top w:val="nil"/>
              <w:left w:val="nil"/>
              <w:bottom w:val="single" w:color="auto" w:sz="4" w:space="0"/>
              <w:right w:val="single" w:color="auto" w:sz="4" w:space="0"/>
            </w:tcBorders>
            <w:shd w:val="clear" w:color="auto" w:fill="auto"/>
            <w:vAlign w:val="center"/>
          </w:tcPr>
          <w:p w14:paraId="20EDD006">
            <w:pPr>
              <w:widowControl/>
              <w:jc w:val="center"/>
              <w:textAlignment w:val="center"/>
              <w:rPr>
                <w:rFonts w:ascii="宋体" w:hAnsi="宋体" w:cs="宋体"/>
                <w:sz w:val="22"/>
              </w:rPr>
            </w:pPr>
            <w:r>
              <w:rPr>
                <w:rFonts w:hint="eastAsia" w:ascii="宋体" w:hAnsi="宋体" w:cs="宋体"/>
                <w:kern w:val="0"/>
                <w:sz w:val="22"/>
                <w:lang w:bidi="ar"/>
              </w:rPr>
              <w:t>功放</w:t>
            </w:r>
          </w:p>
        </w:tc>
        <w:tc>
          <w:tcPr>
            <w:tcW w:w="1215" w:type="dxa"/>
            <w:tcBorders>
              <w:top w:val="nil"/>
              <w:left w:val="nil"/>
              <w:bottom w:val="single" w:color="auto" w:sz="4" w:space="0"/>
              <w:right w:val="single" w:color="auto" w:sz="4" w:space="0"/>
            </w:tcBorders>
            <w:shd w:val="clear" w:color="auto" w:fill="auto"/>
            <w:vAlign w:val="center"/>
          </w:tcPr>
          <w:p w14:paraId="2AEC452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455D0A4">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25B02C6">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B57DEB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BC58246">
            <w:pPr>
              <w:widowControl/>
              <w:jc w:val="center"/>
              <w:textAlignment w:val="center"/>
              <w:rPr>
                <w:rFonts w:ascii="宋体" w:hAnsi="宋体" w:cs="宋体"/>
                <w:color w:val="000000"/>
                <w:sz w:val="22"/>
              </w:rPr>
            </w:pPr>
            <w:r>
              <w:rPr>
                <w:rFonts w:hint="eastAsia" w:ascii="宋体" w:hAnsi="宋体" w:cs="宋体"/>
                <w:color w:val="000000"/>
                <w:kern w:val="0"/>
                <w:sz w:val="22"/>
                <w:lang w:bidi="ar"/>
              </w:rPr>
              <w:t>53</w:t>
            </w:r>
          </w:p>
        </w:tc>
        <w:tc>
          <w:tcPr>
            <w:tcW w:w="3750" w:type="dxa"/>
            <w:tcBorders>
              <w:top w:val="nil"/>
              <w:left w:val="nil"/>
              <w:bottom w:val="single" w:color="auto" w:sz="4" w:space="0"/>
              <w:right w:val="single" w:color="auto" w:sz="4" w:space="0"/>
            </w:tcBorders>
            <w:shd w:val="clear" w:color="auto" w:fill="auto"/>
            <w:vAlign w:val="center"/>
          </w:tcPr>
          <w:p w14:paraId="326E4DCD">
            <w:pPr>
              <w:widowControl/>
              <w:jc w:val="center"/>
              <w:textAlignment w:val="center"/>
              <w:rPr>
                <w:rFonts w:ascii="宋体" w:hAnsi="宋体" w:cs="宋体"/>
                <w:sz w:val="22"/>
              </w:rPr>
            </w:pPr>
            <w:r>
              <w:rPr>
                <w:rFonts w:hint="eastAsia" w:ascii="宋体" w:hAnsi="宋体" w:cs="宋体"/>
                <w:kern w:val="0"/>
                <w:sz w:val="22"/>
                <w:lang w:bidi="ar"/>
              </w:rPr>
              <w:t>音箱</w:t>
            </w:r>
          </w:p>
        </w:tc>
        <w:tc>
          <w:tcPr>
            <w:tcW w:w="1215" w:type="dxa"/>
            <w:tcBorders>
              <w:top w:val="nil"/>
              <w:left w:val="nil"/>
              <w:bottom w:val="single" w:color="auto" w:sz="4" w:space="0"/>
              <w:right w:val="single" w:color="auto" w:sz="4" w:space="0"/>
            </w:tcBorders>
            <w:shd w:val="clear" w:color="auto" w:fill="auto"/>
            <w:vAlign w:val="center"/>
          </w:tcPr>
          <w:p w14:paraId="5BDD541C">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370715A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071D01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CD0285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0DCF7AC">
            <w:pPr>
              <w:widowControl/>
              <w:jc w:val="center"/>
              <w:textAlignment w:val="center"/>
              <w:rPr>
                <w:rFonts w:ascii="宋体" w:hAnsi="宋体" w:cs="宋体"/>
                <w:color w:val="000000"/>
                <w:sz w:val="22"/>
              </w:rPr>
            </w:pPr>
            <w:r>
              <w:rPr>
                <w:rFonts w:hint="eastAsia" w:ascii="宋体" w:hAnsi="宋体" w:cs="宋体"/>
                <w:color w:val="000000"/>
                <w:kern w:val="0"/>
                <w:sz w:val="22"/>
                <w:lang w:bidi="ar"/>
              </w:rPr>
              <w:t>54</w:t>
            </w:r>
          </w:p>
        </w:tc>
        <w:tc>
          <w:tcPr>
            <w:tcW w:w="3750" w:type="dxa"/>
            <w:tcBorders>
              <w:top w:val="nil"/>
              <w:left w:val="nil"/>
              <w:bottom w:val="single" w:color="auto" w:sz="4" w:space="0"/>
              <w:right w:val="single" w:color="auto" w:sz="4" w:space="0"/>
            </w:tcBorders>
            <w:shd w:val="clear" w:color="auto" w:fill="auto"/>
            <w:vAlign w:val="center"/>
          </w:tcPr>
          <w:p w14:paraId="081AB6F7">
            <w:pPr>
              <w:widowControl/>
              <w:jc w:val="center"/>
              <w:textAlignment w:val="center"/>
              <w:rPr>
                <w:rFonts w:ascii="宋体" w:hAnsi="宋体" w:cs="宋体"/>
                <w:sz w:val="22"/>
              </w:rPr>
            </w:pPr>
            <w:r>
              <w:rPr>
                <w:rFonts w:hint="eastAsia" w:ascii="宋体" w:hAnsi="宋体" w:cs="宋体"/>
                <w:kern w:val="0"/>
                <w:sz w:val="22"/>
                <w:lang w:bidi="ar"/>
              </w:rPr>
              <w:t>智能中控屏</w:t>
            </w:r>
          </w:p>
        </w:tc>
        <w:tc>
          <w:tcPr>
            <w:tcW w:w="1215" w:type="dxa"/>
            <w:tcBorders>
              <w:top w:val="nil"/>
              <w:left w:val="nil"/>
              <w:bottom w:val="single" w:color="auto" w:sz="4" w:space="0"/>
              <w:right w:val="single" w:color="auto" w:sz="4" w:space="0"/>
            </w:tcBorders>
            <w:shd w:val="clear" w:color="auto" w:fill="auto"/>
            <w:vAlign w:val="center"/>
          </w:tcPr>
          <w:p w14:paraId="299FFC82">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B606CDD">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3AF0AD4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C7AB76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0DAB2DB">
            <w:pPr>
              <w:widowControl/>
              <w:jc w:val="center"/>
              <w:textAlignment w:val="center"/>
              <w:rPr>
                <w:rFonts w:ascii="宋体" w:hAnsi="宋体" w:cs="宋体"/>
                <w:color w:val="000000"/>
                <w:sz w:val="22"/>
              </w:rPr>
            </w:pPr>
            <w:r>
              <w:rPr>
                <w:rFonts w:hint="eastAsia" w:ascii="宋体" w:hAnsi="宋体" w:cs="宋体"/>
                <w:color w:val="000000"/>
                <w:kern w:val="0"/>
                <w:sz w:val="22"/>
                <w:lang w:bidi="ar"/>
              </w:rPr>
              <w:t>55</w:t>
            </w:r>
          </w:p>
        </w:tc>
        <w:tc>
          <w:tcPr>
            <w:tcW w:w="3750" w:type="dxa"/>
            <w:tcBorders>
              <w:top w:val="nil"/>
              <w:left w:val="nil"/>
              <w:bottom w:val="single" w:color="auto" w:sz="4" w:space="0"/>
              <w:right w:val="single" w:color="auto" w:sz="4" w:space="0"/>
            </w:tcBorders>
            <w:shd w:val="clear" w:color="auto" w:fill="auto"/>
            <w:vAlign w:val="center"/>
          </w:tcPr>
          <w:p w14:paraId="425DF815">
            <w:pPr>
              <w:widowControl/>
              <w:jc w:val="center"/>
              <w:textAlignment w:val="center"/>
              <w:rPr>
                <w:rFonts w:ascii="宋体" w:hAnsi="宋体" w:cs="宋体"/>
                <w:sz w:val="22"/>
              </w:rPr>
            </w:pPr>
            <w:r>
              <w:rPr>
                <w:rFonts w:hint="eastAsia" w:ascii="宋体" w:hAnsi="宋体" w:cs="宋体"/>
                <w:kern w:val="0"/>
                <w:sz w:val="22"/>
                <w:lang w:bidi="ar"/>
              </w:rPr>
              <w:t>导播键盘</w:t>
            </w:r>
          </w:p>
        </w:tc>
        <w:tc>
          <w:tcPr>
            <w:tcW w:w="1215" w:type="dxa"/>
            <w:tcBorders>
              <w:top w:val="nil"/>
              <w:left w:val="nil"/>
              <w:bottom w:val="single" w:color="auto" w:sz="4" w:space="0"/>
              <w:right w:val="single" w:color="auto" w:sz="4" w:space="0"/>
            </w:tcBorders>
            <w:shd w:val="clear" w:color="auto" w:fill="auto"/>
            <w:vAlign w:val="center"/>
          </w:tcPr>
          <w:p w14:paraId="49A4502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D2D9C8D">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3089C9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942B0F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ABFB25E">
            <w:pPr>
              <w:widowControl/>
              <w:jc w:val="center"/>
              <w:textAlignment w:val="center"/>
              <w:rPr>
                <w:rFonts w:ascii="宋体" w:hAnsi="宋体" w:cs="宋体"/>
                <w:color w:val="000000"/>
                <w:sz w:val="22"/>
              </w:rPr>
            </w:pPr>
            <w:r>
              <w:rPr>
                <w:rFonts w:hint="eastAsia" w:ascii="宋体" w:hAnsi="宋体" w:cs="宋体"/>
                <w:color w:val="000000"/>
                <w:kern w:val="0"/>
                <w:sz w:val="22"/>
                <w:lang w:bidi="ar"/>
              </w:rPr>
              <w:t>56</w:t>
            </w:r>
          </w:p>
        </w:tc>
        <w:tc>
          <w:tcPr>
            <w:tcW w:w="3750" w:type="dxa"/>
            <w:tcBorders>
              <w:top w:val="nil"/>
              <w:left w:val="nil"/>
              <w:bottom w:val="single" w:color="auto" w:sz="4" w:space="0"/>
              <w:right w:val="single" w:color="auto" w:sz="4" w:space="0"/>
            </w:tcBorders>
            <w:shd w:val="clear" w:color="auto" w:fill="auto"/>
            <w:vAlign w:val="center"/>
          </w:tcPr>
          <w:p w14:paraId="1BB4CA69">
            <w:pPr>
              <w:widowControl/>
              <w:jc w:val="center"/>
              <w:textAlignment w:val="center"/>
              <w:rPr>
                <w:rFonts w:ascii="宋体" w:hAnsi="宋体" w:cs="宋体"/>
                <w:sz w:val="22"/>
              </w:rPr>
            </w:pPr>
            <w:r>
              <w:rPr>
                <w:rFonts w:hint="eastAsia" w:ascii="宋体" w:hAnsi="宋体" w:cs="宋体"/>
                <w:kern w:val="0"/>
                <w:sz w:val="22"/>
                <w:lang w:bidi="ar"/>
              </w:rPr>
              <w:t>时序电源控制器</w:t>
            </w:r>
          </w:p>
        </w:tc>
        <w:tc>
          <w:tcPr>
            <w:tcW w:w="1215" w:type="dxa"/>
            <w:tcBorders>
              <w:top w:val="nil"/>
              <w:left w:val="nil"/>
              <w:bottom w:val="single" w:color="auto" w:sz="4" w:space="0"/>
              <w:right w:val="single" w:color="auto" w:sz="4" w:space="0"/>
            </w:tcBorders>
            <w:shd w:val="clear" w:color="auto" w:fill="auto"/>
            <w:vAlign w:val="center"/>
          </w:tcPr>
          <w:p w14:paraId="16B14366">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5AE838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6BF1C501">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B445AC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470B132">
            <w:pPr>
              <w:widowControl/>
              <w:jc w:val="center"/>
              <w:textAlignment w:val="center"/>
              <w:rPr>
                <w:rFonts w:ascii="宋体" w:hAnsi="宋体" w:cs="宋体"/>
                <w:color w:val="000000"/>
                <w:sz w:val="22"/>
              </w:rPr>
            </w:pPr>
            <w:r>
              <w:rPr>
                <w:rFonts w:hint="eastAsia" w:ascii="宋体" w:hAnsi="宋体" w:cs="宋体"/>
                <w:color w:val="000000"/>
                <w:kern w:val="0"/>
                <w:sz w:val="22"/>
                <w:lang w:bidi="ar"/>
              </w:rPr>
              <w:t>57</w:t>
            </w:r>
          </w:p>
        </w:tc>
        <w:tc>
          <w:tcPr>
            <w:tcW w:w="3750" w:type="dxa"/>
            <w:tcBorders>
              <w:top w:val="nil"/>
              <w:left w:val="nil"/>
              <w:bottom w:val="single" w:color="auto" w:sz="4" w:space="0"/>
              <w:right w:val="single" w:color="auto" w:sz="4" w:space="0"/>
            </w:tcBorders>
            <w:shd w:val="clear" w:color="auto" w:fill="auto"/>
            <w:vAlign w:val="center"/>
          </w:tcPr>
          <w:p w14:paraId="25AA08CF">
            <w:pPr>
              <w:widowControl/>
              <w:jc w:val="center"/>
              <w:textAlignment w:val="center"/>
              <w:rPr>
                <w:rFonts w:ascii="宋体" w:hAnsi="宋体" w:cs="宋体"/>
                <w:sz w:val="22"/>
              </w:rPr>
            </w:pPr>
            <w:r>
              <w:rPr>
                <w:rFonts w:hint="eastAsia" w:ascii="宋体" w:hAnsi="宋体" w:cs="宋体"/>
                <w:kern w:val="0"/>
                <w:sz w:val="22"/>
                <w:lang w:bidi="ar"/>
              </w:rPr>
              <w:t>千兆交换机</w:t>
            </w:r>
          </w:p>
        </w:tc>
        <w:tc>
          <w:tcPr>
            <w:tcW w:w="1215" w:type="dxa"/>
            <w:tcBorders>
              <w:top w:val="nil"/>
              <w:left w:val="nil"/>
              <w:bottom w:val="single" w:color="auto" w:sz="4" w:space="0"/>
              <w:right w:val="single" w:color="auto" w:sz="4" w:space="0"/>
            </w:tcBorders>
            <w:shd w:val="clear" w:color="auto" w:fill="auto"/>
            <w:vAlign w:val="center"/>
          </w:tcPr>
          <w:p w14:paraId="5F2980F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738965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283DFE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9CF7E9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458C25B">
            <w:pPr>
              <w:widowControl/>
              <w:jc w:val="center"/>
              <w:textAlignment w:val="center"/>
              <w:rPr>
                <w:rFonts w:ascii="宋体" w:hAnsi="宋体" w:cs="宋体"/>
                <w:color w:val="000000"/>
                <w:sz w:val="22"/>
              </w:rPr>
            </w:pPr>
            <w:r>
              <w:rPr>
                <w:rFonts w:hint="eastAsia" w:ascii="宋体" w:hAnsi="宋体" w:cs="宋体"/>
                <w:color w:val="000000"/>
                <w:kern w:val="0"/>
                <w:sz w:val="22"/>
                <w:lang w:bidi="ar"/>
              </w:rPr>
              <w:t>58</w:t>
            </w:r>
          </w:p>
        </w:tc>
        <w:tc>
          <w:tcPr>
            <w:tcW w:w="3750" w:type="dxa"/>
            <w:tcBorders>
              <w:top w:val="nil"/>
              <w:left w:val="nil"/>
              <w:bottom w:val="single" w:color="auto" w:sz="4" w:space="0"/>
              <w:right w:val="single" w:color="auto" w:sz="4" w:space="0"/>
            </w:tcBorders>
            <w:shd w:val="clear" w:color="auto" w:fill="auto"/>
            <w:vAlign w:val="center"/>
          </w:tcPr>
          <w:p w14:paraId="14A5A583">
            <w:pPr>
              <w:widowControl/>
              <w:jc w:val="center"/>
              <w:textAlignment w:val="center"/>
              <w:rPr>
                <w:rFonts w:ascii="宋体" w:hAnsi="宋体" w:cs="宋体"/>
                <w:sz w:val="22"/>
              </w:rPr>
            </w:pPr>
            <w:r>
              <w:rPr>
                <w:rFonts w:hint="eastAsia" w:ascii="宋体" w:hAnsi="宋体" w:cs="宋体"/>
                <w:kern w:val="0"/>
                <w:sz w:val="22"/>
                <w:lang w:bidi="ar"/>
              </w:rPr>
              <w:t>机柜</w:t>
            </w:r>
          </w:p>
        </w:tc>
        <w:tc>
          <w:tcPr>
            <w:tcW w:w="1215" w:type="dxa"/>
            <w:tcBorders>
              <w:top w:val="nil"/>
              <w:left w:val="nil"/>
              <w:bottom w:val="single" w:color="auto" w:sz="4" w:space="0"/>
              <w:right w:val="single" w:color="auto" w:sz="4" w:space="0"/>
            </w:tcBorders>
            <w:shd w:val="clear" w:color="auto" w:fill="auto"/>
            <w:vAlign w:val="center"/>
          </w:tcPr>
          <w:p w14:paraId="538B6BD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FF8B3AE">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9163DB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C99001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B93C587">
            <w:pPr>
              <w:widowControl/>
              <w:jc w:val="center"/>
              <w:textAlignment w:val="center"/>
              <w:rPr>
                <w:rFonts w:ascii="宋体" w:hAnsi="宋体" w:cs="宋体"/>
                <w:color w:val="000000"/>
                <w:sz w:val="22"/>
              </w:rPr>
            </w:pPr>
            <w:r>
              <w:rPr>
                <w:rFonts w:hint="eastAsia" w:ascii="宋体" w:hAnsi="宋体" w:cs="宋体"/>
                <w:color w:val="000000"/>
                <w:kern w:val="0"/>
                <w:sz w:val="22"/>
                <w:lang w:bidi="ar"/>
              </w:rPr>
              <w:t>59</w:t>
            </w:r>
          </w:p>
        </w:tc>
        <w:tc>
          <w:tcPr>
            <w:tcW w:w="3750" w:type="dxa"/>
            <w:tcBorders>
              <w:top w:val="nil"/>
              <w:left w:val="nil"/>
              <w:bottom w:val="single" w:color="auto" w:sz="4" w:space="0"/>
              <w:right w:val="single" w:color="auto" w:sz="4" w:space="0"/>
            </w:tcBorders>
            <w:shd w:val="clear" w:color="auto" w:fill="auto"/>
            <w:vAlign w:val="center"/>
          </w:tcPr>
          <w:p w14:paraId="37F477FE">
            <w:pPr>
              <w:widowControl/>
              <w:jc w:val="center"/>
              <w:textAlignment w:val="center"/>
              <w:rPr>
                <w:rFonts w:ascii="宋体" w:hAnsi="宋体" w:cs="宋体"/>
                <w:sz w:val="22"/>
              </w:rPr>
            </w:pPr>
            <w:r>
              <w:rPr>
                <w:rFonts w:hint="eastAsia" w:ascii="宋体" w:hAnsi="宋体" w:cs="宋体"/>
                <w:kern w:val="0"/>
                <w:sz w:val="22"/>
                <w:lang w:bidi="ar"/>
              </w:rPr>
              <w:t>LED时钟</w:t>
            </w:r>
          </w:p>
        </w:tc>
        <w:tc>
          <w:tcPr>
            <w:tcW w:w="1215" w:type="dxa"/>
            <w:tcBorders>
              <w:top w:val="nil"/>
              <w:left w:val="nil"/>
              <w:bottom w:val="single" w:color="auto" w:sz="4" w:space="0"/>
              <w:right w:val="single" w:color="auto" w:sz="4" w:space="0"/>
            </w:tcBorders>
            <w:shd w:val="clear" w:color="auto" w:fill="auto"/>
            <w:vAlign w:val="center"/>
          </w:tcPr>
          <w:p w14:paraId="25B8AB7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5462815">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752E411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B776A5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1FB0BE6">
            <w:pPr>
              <w:widowControl/>
              <w:jc w:val="center"/>
              <w:textAlignment w:val="center"/>
              <w:rPr>
                <w:rFonts w:ascii="宋体" w:hAnsi="宋体" w:cs="宋体"/>
                <w:color w:val="000000"/>
                <w:sz w:val="22"/>
              </w:rPr>
            </w:pPr>
            <w:r>
              <w:rPr>
                <w:rFonts w:hint="eastAsia" w:ascii="宋体" w:hAnsi="宋体" w:cs="宋体"/>
                <w:color w:val="000000"/>
                <w:kern w:val="0"/>
                <w:sz w:val="22"/>
                <w:lang w:bidi="ar"/>
              </w:rPr>
              <w:t>60</w:t>
            </w:r>
          </w:p>
        </w:tc>
        <w:tc>
          <w:tcPr>
            <w:tcW w:w="3750" w:type="dxa"/>
            <w:tcBorders>
              <w:top w:val="nil"/>
              <w:left w:val="nil"/>
              <w:bottom w:val="single" w:color="auto" w:sz="4" w:space="0"/>
              <w:right w:val="single" w:color="auto" w:sz="4" w:space="0"/>
            </w:tcBorders>
            <w:shd w:val="clear" w:color="auto" w:fill="auto"/>
            <w:vAlign w:val="center"/>
          </w:tcPr>
          <w:p w14:paraId="6EEE45E3">
            <w:pPr>
              <w:widowControl/>
              <w:jc w:val="center"/>
              <w:textAlignment w:val="center"/>
              <w:rPr>
                <w:rFonts w:ascii="宋体" w:hAnsi="宋体" w:cs="宋体"/>
                <w:sz w:val="22"/>
              </w:rPr>
            </w:pPr>
            <w:r>
              <w:rPr>
                <w:rFonts w:hint="eastAsia" w:ascii="宋体" w:hAnsi="宋体" w:cs="宋体"/>
                <w:kern w:val="0"/>
                <w:sz w:val="22"/>
                <w:lang w:bidi="ar"/>
              </w:rPr>
              <w:t>返看终端</w:t>
            </w:r>
          </w:p>
        </w:tc>
        <w:tc>
          <w:tcPr>
            <w:tcW w:w="1215" w:type="dxa"/>
            <w:tcBorders>
              <w:top w:val="nil"/>
              <w:left w:val="nil"/>
              <w:bottom w:val="single" w:color="auto" w:sz="4" w:space="0"/>
              <w:right w:val="single" w:color="auto" w:sz="4" w:space="0"/>
            </w:tcBorders>
            <w:shd w:val="clear" w:color="auto" w:fill="auto"/>
            <w:vAlign w:val="center"/>
          </w:tcPr>
          <w:p w14:paraId="2DB6AB84">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47301CD">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54AEB21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35D9061">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88D697C">
            <w:pPr>
              <w:widowControl/>
              <w:jc w:val="center"/>
              <w:textAlignment w:val="center"/>
              <w:rPr>
                <w:rFonts w:ascii="宋体" w:hAnsi="宋体" w:cs="宋体"/>
                <w:color w:val="000000"/>
                <w:sz w:val="22"/>
              </w:rPr>
            </w:pPr>
            <w:r>
              <w:rPr>
                <w:rFonts w:hint="eastAsia" w:ascii="宋体" w:hAnsi="宋体" w:cs="宋体"/>
                <w:color w:val="000000"/>
                <w:kern w:val="0"/>
                <w:sz w:val="22"/>
                <w:lang w:bidi="ar"/>
              </w:rPr>
              <w:t>61</w:t>
            </w:r>
          </w:p>
        </w:tc>
        <w:tc>
          <w:tcPr>
            <w:tcW w:w="3750" w:type="dxa"/>
            <w:tcBorders>
              <w:top w:val="nil"/>
              <w:left w:val="nil"/>
              <w:bottom w:val="single" w:color="auto" w:sz="4" w:space="0"/>
              <w:right w:val="single" w:color="auto" w:sz="4" w:space="0"/>
            </w:tcBorders>
            <w:shd w:val="clear" w:color="auto" w:fill="auto"/>
            <w:vAlign w:val="center"/>
          </w:tcPr>
          <w:p w14:paraId="4AEF041F">
            <w:pPr>
              <w:widowControl/>
              <w:jc w:val="center"/>
              <w:textAlignment w:val="center"/>
              <w:rPr>
                <w:rFonts w:ascii="宋体" w:hAnsi="宋体" w:cs="宋体"/>
                <w:sz w:val="22"/>
              </w:rPr>
            </w:pPr>
            <w:r>
              <w:rPr>
                <w:rFonts w:hint="eastAsia" w:ascii="宋体" w:hAnsi="宋体" w:cs="宋体"/>
                <w:kern w:val="0"/>
                <w:sz w:val="22"/>
                <w:lang w:bidi="ar"/>
              </w:rPr>
              <w:t>壁挂支架</w:t>
            </w:r>
          </w:p>
        </w:tc>
        <w:tc>
          <w:tcPr>
            <w:tcW w:w="1215" w:type="dxa"/>
            <w:tcBorders>
              <w:top w:val="nil"/>
              <w:left w:val="nil"/>
              <w:bottom w:val="single" w:color="auto" w:sz="4" w:space="0"/>
              <w:right w:val="single" w:color="auto" w:sz="4" w:space="0"/>
            </w:tcBorders>
            <w:shd w:val="clear" w:color="auto" w:fill="auto"/>
            <w:vAlign w:val="center"/>
          </w:tcPr>
          <w:p w14:paraId="05AB8674">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C14FD5C">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E4B6DC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C285469">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813DF0C">
            <w:pPr>
              <w:widowControl/>
              <w:jc w:val="center"/>
              <w:textAlignment w:val="center"/>
              <w:rPr>
                <w:rFonts w:ascii="宋体" w:hAnsi="宋体" w:cs="宋体"/>
                <w:color w:val="000000"/>
                <w:sz w:val="22"/>
              </w:rPr>
            </w:pPr>
            <w:r>
              <w:rPr>
                <w:rFonts w:hint="eastAsia" w:ascii="宋体" w:hAnsi="宋体" w:cs="宋体"/>
                <w:color w:val="000000"/>
                <w:kern w:val="0"/>
                <w:sz w:val="22"/>
                <w:lang w:bidi="ar"/>
              </w:rPr>
              <w:t>62</w:t>
            </w:r>
          </w:p>
        </w:tc>
        <w:tc>
          <w:tcPr>
            <w:tcW w:w="3750" w:type="dxa"/>
            <w:tcBorders>
              <w:top w:val="nil"/>
              <w:left w:val="nil"/>
              <w:bottom w:val="single" w:color="auto" w:sz="4" w:space="0"/>
              <w:right w:val="single" w:color="auto" w:sz="4" w:space="0"/>
            </w:tcBorders>
            <w:shd w:val="clear" w:color="auto" w:fill="auto"/>
            <w:vAlign w:val="center"/>
          </w:tcPr>
          <w:p w14:paraId="4D624B34">
            <w:pPr>
              <w:widowControl/>
              <w:jc w:val="center"/>
              <w:textAlignment w:val="center"/>
              <w:rPr>
                <w:rFonts w:ascii="宋体" w:hAnsi="宋体" w:cs="宋体"/>
                <w:sz w:val="22"/>
              </w:rPr>
            </w:pPr>
            <w:r>
              <w:rPr>
                <w:rFonts w:hint="eastAsia" w:ascii="宋体" w:hAnsi="宋体" w:cs="宋体"/>
                <w:kern w:val="0"/>
                <w:sz w:val="22"/>
                <w:lang w:bidi="ar"/>
              </w:rPr>
              <w:t>移动摄制终端</w:t>
            </w:r>
          </w:p>
        </w:tc>
        <w:tc>
          <w:tcPr>
            <w:tcW w:w="1215" w:type="dxa"/>
            <w:tcBorders>
              <w:top w:val="nil"/>
              <w:left w:val="nil"/>
              <w:bottom w:val="single" w:color="auto" w:sz="4" w:space="0"/>
              <w:right w:val="single" w:color="auto" w:sz="4" w:space="0"/>
            </w:tcBorders>
            <w:shd w:val="clear" w:color="auto" w:fill="auto"/>
            <w:vAlign w:val="center"/>
          </w:tcPr>
          <w:p w14:paraId="54D0A9CB">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8BE9EE5">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C20EB7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A3867C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0DA87C">
            <w:pPr>
              <w:widowControl/>
              <w:jc w:val="center"/>
              <w:textAlignment w:val="center"/>
              <w:rPr>
                <w:rFonts w:ascii="宋体" w:hAnsi="宋体" w:cs="宋体"/>
                <w:color w:val="000000"/>
                <w:sz w:val="22"/>
              </w:rPr>
            </w:pPr>
            <w:r>
              <w:rPr>
                <w:rFonts w:hint="eastAsia" w:ascii="宋体" w:hAnsi="宋体" w:cs="宋体"/>
                <w:color w:val="000000"/>
                <w:kern w:val="0"/>
                <w:sz w:val="22"/>
                <w:lang w:bidi="ar"/>
              </w:rPr>
              <w:t>63</w:t>
            </w:r>
          </w:p>
        </w:tc>
        <w:tc>
          <w:tcPr>
            <w:tcW w:w="3750" w:type="dxa"/>
            <w:tcBorders>
              <w:top w:val="nil"/>
              <w:left w:val="nil"/>
              <w:bottom w:val="single" w:color="auto" w:sz="4" w:space="0"/>
              <w:right w:val="single" w:color="auto" w:sz="4" w:space="0"/>
            </w:tcBorders>
            <w:shd w:val="clear" w:color="auto" w:fill="auto"/>
            <w:vAlign w:val="center"/>
          </w:tcPr>
          <w:p w14:paraId="5387A70E">
            <w:pPr>
              <w:widowControl/>
              <w:jc w:val="center"/>
              <w:textAlignment w:val="center"/>
              <w:rPr>
                <w:rFonts w:ascii="宋体" w:hAnsi="宋体" w:cs="宋体"/>
                <w:sz w:val="22"/>
              </w:rPr>
            </w:pPr>
            <w:r>
              <w:rPr>
                <w:rFonts w:hint="eastAsia" w:ascii="宋体" w:hAnsi="宋体" w:cs="宋体"/>
                <w:kern w:val="0"/>
                <w:sz w:val="22"/>
                <w:lang w:bidi="ar"/>
              </w:rPr>
              <w:t>移动摄制终端原装电池及充电套装</w:t>
            </w:r>
          </w:p>
        </w:tc>
        <w:tc>
          <w:tcPr>
            <w:tcW w:w="1215" w:type="dxa"/>
            <w:tcBorders>
              <w:top w:val="nil"/>
              <w:left w:val="nil"/>
              <w:bottom w:val="single" w:color="auto" w:sz="4" w:space="0"/>
              <w:right w:val="single" w:color="auto" w:sz="4" w:space="0"/>
            </w:tcBorders>
            <w:shd w:val="clear" w:color="auto" w:fill="auto"/>
            <w:vAlign w:val="center"/>
          </w:tcPr>
          <w:p w14:paraId="5913C6F3">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4D221A86">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4D775D74">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A601C9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A165A4F">
            <w:pPr>
              <w:widowControl/>
              <w:jc w:val="center"/>
              <w:textAlignment w:val="center"/>
              <w:rPr>
                <w:rFonts w:ascii="宋体" w:hAnsi="宋体" w:cs="宋体"/>
                <w:color w:val="000000"/>
                <w:sz w:val="22"/>
              </w:rPr>
            </w:pPr>
            <w:r>
              <w:rPr>
                <w:rFonts w:hint="eastAsia" w:ascii="宋体" w:hAnsi="宋体" w:cs="宋体"/>
                <w:color w:val="000000"/>
                <w:kern w:val="0"/>
                <w:sz w:val="22"/>
                <w:lang w:bidi="ar"/>
              </w:rPr>
              <w:t>64</w:t>
            </w:r>
          </w:p>
        </w:tc>
        <w:tc>
          <w:tcPr>
            <w:tcW w:w="3750" w:type="dxa"/>
            <w:tcBorders>
              <w:top w:val="nil"/>
              <w:left w:val="nil"/>
              <w:bottom w:val="single" w:color="auto" w:sz="4" w:space="0"/>
              <w:right w:val="single" w:color="auto" w:sz="4" w:space="0"/>
            </w:tcBorders>
            <w:shd w:val="clear" w:color="auto" w:fill="auto"/>
            <w:vAlign w:val="center"/>
          </w:tcPr>
          <w:p w14:paraId="2FECFBE7">
            <w:pPr>
              <w:widowControl/>
              <w:jc w:val="center"/>
              <w:textAlignment w:val="center"/>
              <w:rPr>
                <w:rFonts w:ascii="宋体" w:hAnsi="宋体" w:cs="宋体"/>
                <w:sz w:val="22"/>
              </w:rPr>
            </w:pPr>
            <w:r>
              <w:rPr>
                <w:rFonts w:hint="eastAsia" w:ascii="宋体" w:hAnsi="宋体" w:cs="宋体"/>
                <w:kern w:val="0"/>
                <w:sz w:val="22"/>
                <w:lang w:bidi="ar"/>
              </w:rPr>
              <w:t>高速内存卡</w:t>
            </w:r>
          </w:p>
        </w:tc>
        <w:tc>
          <w:tcPr>
            <w:tcW w:w="1215" w:type="dxa"/>
            <w:tcBorders>
              <w:top w:val="nil"/>
              <w:left w:val="nil"/>
              <w:bottom w:val="single" w:color="auto" w:sz="4" w:space="0"/>
              <w:right w:val="single" w:color="auto" w:sz="4" w:space="0"/>
            </w:tcBorders>
            <w:shd w:val="clear" w:color="auto" w:fill="auto"/>
            <w:vAlign w:val="center"/>
          </w:tcPr>
          <w:p w14:paraId="2D302371">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52557CCB">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DE80AF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2756A8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D27275D">
            <w:pPr>
              <w:widowControl/>
              <w:jc w:val="center"/>
              <w:textAlignment w:val="center"/>
              <w:rPr>
                <w:rFonts w:ascii="宋体" w:hAnsi="宋体" w:cs="宋体"/>
                <w:color w:val="000000"/>
                <w:sz w:val="22"/>
              </w:rPr>
            </w:pPr>
            <w:r>
              <w:rPr>
                <w:rFonts w:hint="eastAsia" w:ascii="宋体" w:hAnsi="宋体" w:cs="宋体"/>
                <w:color w:val="000000"/>
                <w:kern w:val="0"/>
                <w:sz w:val="22"/>
                <w:lang w:bidi="ar"/>
              </w:rPr>
              <w:t>65</w:t>
            </w:r>
          </w:p>
        </w:tc>
        <w:tc>
          <w:tcPr>
            <w:tcW w:w="3750" w:type="dxa"/>
            <w:tcBorders>
              <w:top w:val="nil"/>
              <w:left w:val="nil"/>
              <w:bottom w:val="single" w:color="auto" w:sz="4" w:space="0"/>
              <w:right w:val="single" w:color="auto" w:sz="4" w:space="0"/>
            </w:tcBorders>
            <w:shd w:val="clear" w:color="auto" w:fill="auto"/>
            <w:vAlign w:val="center"/>
          </w:tcPr>
          <w:p w14:paraId="054D0721">
            <w:pPr>
              <w:widowControl/>
              <w:jc w:val="center"/>
              <w:textAlignment w:val="center"/>
              <w:rPr>
                <w:rFonts w:ascii="宋体" w:hAnsi="宋体" w:cs="宋体"/>
                <w:sz w:val="22"/>
              </w:rPr>
            </w:pPr>
            <w:r>
              <w:rPr>
                <w:rFonts w:hint="eastAsia" w:ascii="宋体" w:hAnsi="宋体" w:cs="宋体"/>
                <w:kern w:val="0"/>
                <w:sz w:val="22"/>
                <w:lang w:bidi="ar"/>
              </w:rPr>
              <w:t>读卡器</w:t>
            </w:r>
          </w:p>
        </w:tc>
        <w:tc>
          <w:tcPr>
            <w:tcW w:w="1215" w:type="dxa"/>
            <w:tcBorders>
              <w:top w:val="nil"/>
              <w:left w:val="nil"/>
              <w:bottom w:val="single" w:color="auto" w:sz="4" w:space="0"/>
              <w:right w:val="single" w:color="auto" w:sz="4" w:space="0"/>
            </w:tcBorders>
            <w:shd w:val="clear" w:color="auto" w:fill="auto"/>
            <w:vAlign w:val="center"/>
          </w:tcPr>
          <w:p w14:paraId="45B195E4">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BD9DC76">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68B17FC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CAD741A">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0F44318">
            <w:pPr>
              <w:widowControl/>
              <w:jc w:val="center"/>
              <w:textAlignment w:val="center"/>
              <w:rPr>
                <w:rFonts w:ascii="宋体" w:hAnsi="宋体" w:cs="宋体"/>
                <w:color w:val="000000"/>
                <w:sz w:val="22"/>
              </w:rPr>
            </w:pPr>
            <w:r>
              <w:rPr>
                <w:rFonts w:hint="eastAsia" w:ascii="宋体" w:hAnsi="宋体" w:cs="宋体"/>
                <w:color w:val="000000"/>
                <w:kern w:val="0"/>
                <w:sz w:val="22"/>
                <w:lang w:bidi="ar"/>
              </w:rPr>
              <w:t>66</w:t>
            </w:r>
          </w:p>
        </w:tc>
        <w:tc>
          <w:tcPr>
            <w:tcW w:w="3750" w:type="dxa"/>
            <w:tcBorders>
              <w:top w:val="nil"/>
              <w:left w:val="nil"/>
              <w:bottom w:val="single" w:color="auto" w:sz="4" w:space="0"/>
              <w:right w:val="single" w:color="auto" w:sz="4" w:space="0"/>
            </w:tcBorders>
            <w:shd w:val="clear" w:color="auto" w:fill="auto"/>
            <w:vAlign w:val="center"/>
          </w:tcPr>
          <w:p w14:paraId="1916CD49">
            <w:pPr>
              <w:widowControl/>
              <w:jc w:val="center"/>
              <w:textAlignment w:val="center"/>
              <w:rPr>
                <w:rFonts w:ascii="宋体" w:hAnsi="宋体" w:cs="宋体"/>
                <w:sz w:val="22"/>
              </w:rPr>
            </w:pPr>
            <w:r>
              <w:rPr>
                <w:rFonts w:hint="eastAsia" w:ascii="宋体" w:hAnsi="宋体" w:cs="宋体"/>
                <w:kern w:val="0"/>
                <w:sz w:val="22"/>
                <w:lang w:bidi="ar"/>
              </w:rPr>
              <w:t>移动摄制配套镜头1</w:t>
            </w:r>
          </w:p>
        </w:tc>
        <w:tc>
          <w:tcPr>
            <w:tcW w:w="1215" w:type="dxa"/>
            <w:tcBorders>
              <w:top w:val="nil"/>
              <w:left w:val="nil"/>
              <w:bottom w:val="single" w:color="auto" w:sz="4" w:space="0"/>
              <w:right w:val="single" w:color="auto" w:sz="4" w:space="0"/>
            </w:tcBorders>
            <w:shd w:val="clear" w:color="auto" w:fill="auto"/>
            <w:vAlign w:val="center"/>
          </w:tcPr>
          <w:p w14:paraId="690F159C">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46CBB78">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072CAB6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C96DE3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7B9846D">
            <w:pPr>
              <w:widowControl/>
              <w:jc w:val="center"/>
              <w:textAlignment w:val="center"/>
              <w:rPr>
                <w:rFonts w:ascii="宋体" w:hAnsi="宋体" w:cs="宋体"/>
                <w:color w:val="000000"/>
                <w:sz w:val="22"/>
              </w:rPr>
            </w:pPr>
            <w:r>
              <w:rPr>
                <w:rFonts w:hint="eastAsia" w:ascii="宋体" w:hAnsi="宋体" w:cs="宋体"/>
                <w:color w:val="000000"/>
                <w:kern w:val="0"/>
                <w:sz w:val="22"/>
                <w:lang w:bidi="ar"/>
              </w:rPr>
              <w:t>67</w:t>
            </w:r>
          </w:p>
        </w:tc>
        <w:tc>
          <w:tcPr>
            <w:tcW w:w="3750" w:type="dxa"/>
            <w:tcBorders>
              <w:top w:val="nil"/>
              <w:left w:val="nil"/>
              <w:bottom w:val="single" w:color="auto" w:sz="4" w:space="0"/>
              <w:right w:val="single" w:color="auto" w:sz="4" w:space="0"/>
            </w:tcBorders>
            <w:shd w:val="clear" w:color="auto" w:fill="auto"/>
            <w:vAlign w:val="center"/>
          </w:tcPr>
          <w:p w14:paraId="696D55E4">
            <w:pPr>
              <w:widowControl/>
              <w:jc w:val="center"/>
              <w:textAlignment w:val="center"/>
              <w:rPr>
                <w:rFonts w:ascii="宋体" w:hAnsi="宋体" w:cs="宋体"/>
                <w:sz w:val="22"/>
              </w:rPr>
            </w:pPr>
            <w:r>
              <w:rPr>
                <w:rFonts w:hint="eastAsia" w:ascii="宋体" w:hAnsi="宋体" w:cs="宋体"/>
                <w:kern w:val="0"/>
                <w:sz w:val="22"/>
                <w:lang w:bidi="ar"/>
              </w:rPr>
              <w:t>移动摄制配套镜头2</w:t>
            </w:r>
          </w:p>
        </w:tc>
        <w:tc>
          <w:tcPr>
            <w:tcW w:w="1215" w:type="dxa"/>
            <w:tcBorders>
              <w:top w:val="nil"/>
              <w:left w:val="nil"/>
              <w:bottom w:val="single" w:color="auto" w:sz="4" w:space="0"/>
              <w:right w:val="single" w:color="auto" w:sz="4" w:space="0"/>
            </w:tcBorders>
            <w:shd w:val="clear" w:color="auto" w:fill="auto"/>
            <w:vAlign w:val="center"/>
          </w:tcPr>
          <w:p w14:paraId="2334592E">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756106E">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2AEB176A">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6A20A0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7DE2126">
            <w:pPr>
              <w:widowControl/>
              <w:jc w:val="center"/>
              <w:textAlignment w:val="center"/>
              <w:rPr>
                <w:rFonts w:ascii="宋体" w:hAnsi="宋体" w:cs="宋体"/>
                <w:color w:val="000000"/>
                <w:sz w:val="22"/>
              </w:rPr>
            </w:pPr>
            <w:r>
              <w:rPr>
                <w:rFonts w:hint="eastAsia" w:ascii="宋体" w:hAnsi="宋体" w:cs="宋体"/>
                <w:color w:val="000000"/>
                <w:kern w:val="0"/>
                <w:sz w:val="22"/>
                <w:lang w:bidi="ar"/>
              </w:rPr>
              <w:t>68</w:t>
            </w:r>
          </w:p>
        </w:tc>
        <w:tc>
          <w:tcPr>
            <w:tcW w:w="3750" w:type="dxa"/>
            <w:tcBorders>
              <w:top w:val="nil"/>
              <w:left w:val="nil"/>
              <w:bottom w:val="single" w:color="auto" w:sz="4" w:space="0"/>
              <w:right w:val="single" w:color="auto" w:sz="4" w:space="0"/>
            </w:tcBorders>
            <w:shd w:val="clear" w:color="auto" w:fill="auto"/>
            <w:vAlign w:val="center"/>
          </w:tcPr>
          <w:p w14:paraId="49F29040">
            <w:pPr>
              <w:widowControl/>
              <w:jc w:val="center"/>
              <w:textAlignment w:val="center"/>
              <w:rPr>
                <w:rFonts w:ascii="宋体" w:hAnsi="宋体" w:cs="宋体"/>
                <w:sz w:val="22"/>
              </w:rPr>
            </w:pPr>
            <w:r>
              <w:rPr>
                <w:rFonts w:hint="eastAsia" w:ascii="宋体" w:hAnsi="宋体" w:cs="宋体"/>
                <w:kern w:val="0"/>
                <w:sz w:val="22"/>
                <w:lang w:bidi="ar"/>
              </w:rPr>
              <w:t>三轴云台稳定器</w:t>
            </w:r>
          </w:p>
        </w:tc>
        <w:tc>
          <w:tcPr>
            <w:tcW w:w="1215" w:type="dxa"/>
            <w:tcBorders>
              <w:top w:val="nil"/>
              <w:left w:val="nil"/>
              <w:bottom w:val="single" w:color="auto" w:sz="4" w:space="0"/>
              <w:right w:val="single" w:color="auto" w:sz="4" w:space="0"/>
            </w:tcBorders>
            <w:shd w:val="clear" w:color="auto" w:fill="auto"/>
            <w:vAlign w:val="center"/>
          </w:tcPr>
          <w:p w14:paraId="79D2E934">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20A0C14">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66EB5ED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507CBC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FD6D1F9">
            <w:pPr>
              <w:widowControl/>
              <w:jc w:val="center"/>
              <w:textAlignment w:val="center"/>
              <w:rPr>
                <w:rFonts w:ascii="宋体" w:hAnsi="宋体" w:cs="宋体"/>
                <w:color w:val="000000"/>
                <w:sz w:val="22"/>
              </w:rPr>
            </w:pPr>
            <w:r>
              <w:rPr>
                <w:rFonts w:hint="eastAsia" w:ascii="宋体" w:hAnsi="宋体" w:cs="宋体"/>
                <w:color w:val="000000"/>
                <w:kern w:val="0"/>
                <w:sz w:val="22"/>
                <w:lang w:bidi="ar"/>
              </w:rPr>
              <w:t>69</w:t>
            </w:r>
          </w:p>
        </w:tc>
        <w:tc>
          <w:tcPr>
            <w:tcW w:w="3750" w:type="dxa"/>
            <w:tcBorders>
              <w:top w:val="nil"/>
              <w:left w:val="nil"/>
              <w:bottom w:val="single" w:color="auto" w:sz="4" w:space="0"/>
              <w:right w:val="single" w:color="auto" w:sz="4" w:space="0"/>
            </w:tcBorders>
            <w:shd w:val="clear" w:color="auto" w:fill="auto"/>
            <w:vAlign w:val="center"/>
          </w:tcPr>
          <w:p w14:paraId="4ED0CD5E">
            <w:pPr>
              <w:widowControl/>
              <w:jc w:val="center"/>
              <w:textAlignment w:val="center"/>
              <w:rPr>
                <w:rFonts w:ascii="宋体" w:hAnsi="宋体" w:cs="宋体"/>
                <w:sz w:val="22"/>
              </w:rPr>
            </w:pPr>
            <w:r>
              <w:rPr>
                <w:rFonts w:hint="eastAsia" w:ascii="宋体" w:hAnsi="宋体" w:cs="宋体"/>
                <w:kern w:val="0"/>
                <w:sz w:val="22"/>
                <w:lang w:bidi="ar"/>
              </w:rPr>
              <w:t>移动组合桌</w:t>
            </w:r>
          </w:p>
        </w:tc>
        <w:tc>
          <w:tcPr>
            <w:tcW w:w="1215" w:type="dxa"/>
            <w:tcBorders>
              <w:top w:val="nil"/>
              <w:left w:val="nil"/>
              <w:bottom w:val="single" w:color="auto" w:sz="4" w:space="0"/>
              <w:right w:val="single" w:color="auto" w:sz="4" w:space="0"/>
            </w:tcBorders>
            <w:shd w:val="clear" w:color="auto" w:fill="auto"/>
            <w:vAlign w:val="center"/>
          </w:tcPr>
          <w:p w14:paraId="66F1A936">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3A6CCC87">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4E79762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273D74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3640AD4">
            <w:pPr>
              <w:widowControl/>
              <w:jc w:val="center"/>
              <w:textAlignment w:val="center"/>
              <w:rPr>
                <w:rFonts w:ascii="宋体" w:hAnsi="宋体" w:cs="宋体"/>
                <w:color w:val="000000"/>
                <w:sz w:val="22"/>
              </w:rPr>
            </w:pPr>
            <w:r>
              <w:rPr>
                <w:rFonts w:hint="eastAsia" w:ascii="宋体" w:hAnsi="宋体" w:cs="宋体"/>
                <w:color w:val="000000"/>
                <w:kern w:val="0"/>
                <w:sz w:val="22"/>
                <w:lang w:bidi="ar"/>
              </w:rPr>
              <w:t>70</w:t>
            </w:r>
          </w:p>
        </w:tc>
        <w:tc>
          <w:tcPr>
            <w:tcW w:w="3750" w:type="dxa"/>
            <w:tcBorders>
              <w:top w:val="nil"/>
              <w:left w:val="nil"/>
              <w:bottom w:val="single" w:color="auto" w:sz="4" w:space="0"/>
              <w:right w:val="single" w:color="auto" w:sz="4" w:space="0"/>
            </w:tcBorders>
            <w:shd w:val="clear" w:color="auto" w:fill="auto"/>
            <w:vAlign w:val="center"/>
          </w:tcPr>
          <w:p w14:paraId="521226C5">
            <w:pPr>
              <w:widowControl/>
              <w:jc w:val="center"/>
              <w:textAlignment w:val="center"/>
              <w:rPr>
                <w:rFonts w:ascii="宋体" w:hAnsi="宋体" w:cs="宋体"/>
                <w:sz w:val="22"/>
              </w:rPr>
            </w:pPr>
            <w:r>
              <w:rPr>
                <w:rFonts w:hint="eastAsia" w:ascii="宋体" w:hAnsi="宋体" w:cs="宋体"/>
                <w:kern w:val="0"/>
                <w:sz w:val="22"/>
                <w:lang w:bidi="ar"/>
              </w:rPr>
              <w:t>学习椅</w:t>
            </w:r>
          </w:p>
        </w:tc>
        <w:tc>
          <w:tcPr>
            <w:tcW w:w="1215" w:type="dxa"/>
            <w:tcBorders>
              <w:top w:val="nil"/>
              <w:left w:val="nil"/>
              <w:bottom w:val="single" w:color="auto" w:sz="4" w:space="0"/>
              <w:right w:val="single" w:color="auto" w:sz="4" w:space="0"/>
            </w:tcBorders>
            <w:shd w:val="clear" w:color="auto" w:fill="auto"/>
            <w:vAlign w:val="center"/>
          </w:tcPr>
          <w:p w14:paraId="354BC948">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002FB22E">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4080A69">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D799042">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EA56391">
            <w:pPr>
              <w:widowControl/>
              <w:jc w:val="center"/>
              <w:textAlignment w:val="center"/>
              <w:rPr>
                <w:rFonts w:ascii="宋体" w:hAnsi="宋体" w:cs="宋体"/>
                <w:color w:val="000000"/>
                <w:sz w:val="22"/>
              </w:rPr>
            </w:pPr>
            <w:r>
              <w:rPr>
                <w:rFonts w:hint="eastAsia" w:ascii="宋体" w:hAnsi="宋体" w:cs="宋体"/>
                <w:color w:val="000000"/>
                <w:kern w:val="0"/>
                <w:sz w:val="22"/>
                <w:lang w:bidi="ar"/>
              </w:rPr>
              <w:t>71</w:t>
            </w:r>
          </w:p>
        </w:tc>
        <w:tc>
          <w:tcPr>
            <w:tcW w:w="3750" w:type="dxa"/>
            <w:tcBorders>
              <w:top w:val="nil"/>
              <w:left w:val="nil"/>
              <w:bottom w:val="single" w:color="auto" w:sz="4" w:space="0"/>
              <w:right w:val="single" w:color="auto" w:sz="4" w:space="0"/>
            </w:tcBorders>
            <w:shd w:val="clear" w:color="auto" w:fill="auto"/>
            <w:vAlign w:val="center"/>
          </w:tcPr>
          <w:p w14:paraId="67C0B31C">
            <w:pPr>
              <w:widowControl/>
              <w:jc w:val="center"/>
              <w:textAlignment w:val="center"/>
              <w:rPr>
                <w:rFonts w:ascii="宋体" w:hAnsi="宋体" w:cs="宋体"/>
                <w:sz w:val="22"/>
              </w:rPr>
            </w:pPr>
            <w:r>
              <w:rPr>
                <w:rFonts w:hint="eastAsia" w:ascii="宋体" w:hAnsi="宋体" w:cs="宋体"/>
                <w:kern w:val="0"/>
                <w:sz w:val="22"/>
                <w:lang w:bidi="ar"/>
              </w:rPr>
              <w:t>观摩椅</w:t>
            </w:r>
          </w:p>
        </w:tc>
        <w:tc>
          <w:tcPr>
            <w:tcW w:w="1215" w:type="dxa"/>
            <w:tcBorders>
              <w:top w:val="nil"/>
              <w:left w:val="nil"/>
              <w:bottom w:val="single" w:color="auto" w:sz="4" w:space="0"/>
              <w:right w:val="single" w:color="auto" w:sz="4" w:space="0"/>
            </w:tcBorders>
            <w:shd w:val="clear" w:color="auto" w:fill="auto"/>
            <w:vAlign w:val="center"/>
          </w:tcPr>
          <w:p w14:paraId="34B552B3">
            <w:pPr>
              <w:widowControl/>
              <w:jc w:val="center"/>
              <w:textAlignment w:val="center"/>
              <w:rPr>
                <w:rFonts w:ascii="宋体" w:hAnsi="宋体" w:cs="宋体"/>
                <w:sz w:val="22"/>
              </w:rPr>
            </w:pPr>
            <w:r>
              <w:rPr>
                <w:rFonts w:hint="eastAsia" w:ascii="宋体" w:hAnsi="宋体" w:cs="宋体"/>
                <w:kern w:val="0"/>
                <w:sz w:val="22"/>
                <w:lang w:bidi="ar"/>
              </w:rPr>
              <w:t>30</w:t>
            </w:r>
          </w:p>
        </w:tc>
        <w:tc>
          <w:tcPr>
            <w:tcW w:w="729" w:type="dxa"/>
            <w:tcBorders>
              <w:top w:val="nil"/>
              <w:left w:val="nil"/>
              <w:bottom w:val="single" w:color="auto" w:sz="4" w:space="0"/>
              <w:right w:val="single" w:color="auto" w:sz="4" w:space="0"/>
            </w:tcBorders>
            <w:shd w:val="clear" w:color="auto" w:fill="auto"/>
            <w:vAlign w:val="center"/>
          </w:tcPr>
          <w:p w14:paraId="69C7CD17">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27398F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00DCA4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E101C3D">
            <w:pPr>
              <w:widowControl/>
              <w:jc w:val="center"/>
              <w:textAlignment w:val="center"/>
              <w:rPr>
                <w:rFonts w:ascii="宋体" w:hAnsi="宋体" w:cs="宋体"/>
                <w:color w:val="000000"/>
                <w:sz w:val="22"/>
              </w:rPr>
            </w:pPr>
            <w:r>
              <w:rPr>
                <w:rFonts w:hint="eastAsia" w:ascii="宋体" w:hAnsi="宋体" w:cs="宋体"/>
                <w:color w:val="000000"/>
                <w:kern w:val="0"/>
                <w:sz w:val="22"/>
                <w:lang w:bidi="ar"/>
              </w:rPr>
              <w:t>72</w:t>
            </w:r>
          </w:p>
        </w:tc>
        <w:tc>
          <w:tcPr>
            <w:tcW w:w="3750" w:type="dxa"/>
            <w:tcBorders>
              <w:top w:val="nil"/>
              <w:left w:val="nil"/>
              <w:bottom w:val="single" w:color="auto" w:sz="4" w:space="0"/>
              <w:right w:val="single" w:color="auto" w:sz="4" w:space="0"/>
            </w:tcBorders>
            <w:shd w:val="clear" w:color="auto" w:fill="auto"/>
            <w:vAlign w:val="center"/>
          </w:tcPr>
          <w:p w14:paraId="5B4A32E9">
            <w:pPr>
              <w:widowControl/>
              <w:jc w:val="center"/>
              <w:textAlignment w:val="center"/>
              <w:rPr>
                <w:rFonts w:ascii="宋体" w:hAnsi="宋体" w:cs="宋体"/>
                <w:sz w:val="22"/>
              </w:rPr>
            </w:pPr>
            <w:r>
              <w:rPr>
                <w:rFonts w:hint="eastAsia" w:ascii="宋体" w:hAnsi="宋体" w:cs="宋体"/>
                <w:kern w:val="0"/>
                <w:sz w:val="22"/>
                <w:lang w:bidi="ar"/>
              </w:rPr>
              <w:t>导播终端</w:t>
            </w:r>
          </w:p>
        </w:tc>
        <w:tc>
          <w:tcPr>
            <w:tcW w:w="1215" w:type="dxa"/>
            <w:tcBorders>
              <w:top w:val="nil"/>
              <w:left w:val="nil"/>
              <w:bottom w:val="single" w:color="auto" w:sz="4" w:space="0"/>
              <w:right w:val="single" w:color="auto" w:sz="4" w:space="0"/>
            </w:tcBorders>
            <w:shd w:val="clear" w:color="auto" w:fill="auto"/>
            <w:vAlign w:val="center"/>
          </w:tcPr>
          <w:p w14:paraId="0F0B1399">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97E65A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9C31208">
            <w:pPr>
              <w:widowControl/>
              <w:jc w:val="center"/>
              <w:textAlignment w:val="center"/>
              <w:rPr>
                <w:rFonts w:ascii="宋体" w:hAnsi="宋体" w:cs="宋体"/>
                <w:kern w:val="0"/>
                <w:sz w:val="22"/>
                <w:lang w:bidi="ar"/>
              </w:rPr>
            </w:pPr>
            <w:r>
              <w:rPr>
                <w:rFonts w:hint="eastAsia" w:ascii="宋体" w:hAnsi="宋体" w:cs="宋体"/>
                <w:kern w:val="0"/>
                <w:sz w:val="22"/>
                <w:lang w:bidi="ar"/>
              </w:rPr>
              <w:t>工业（强制节能产品）</w:t>
            </w:r>
          </w:p>
        </w:tc>
      </w:tr>
      <w:tr w14:paraId="2E67AFD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B8F423C">
            <w:pPr>
              <w:widowControl/>
              <w:jc w:val="center"/>
              <w:textAlignment w:val="center"/>
              <w:rPr>
                <w:rFonts w:ascii="宋体" w:hAnsi="宋体" w:cs="宋体"/>
                <w:color w:val="000000"/>
                <w:sz w:val="22"/>
              </w:rPr>
            </w:pPr>
            <w:r>
              <w:rPr>
                <w:rFonts w:hint="eastAsia" w:ascii="宋体" w:hAnsi="宋体" w:cs="宋体"/>
                <w:color w:val="000000"/>
                <w:kern w:val="0"/>
                <w:sz w:val="22"/>
                <w:lang w:bidi="ar"/>
              </w:rPr>
              <w:t>73</w:t>
            </w:r>
          </w:p>
        </w:tc>
        <w:tc>
          <w:tcPr>
            <w:tcW w:w="3750" w:type="dxa"/>
            <w:tcBorders>
              <w:top w:val="nil"/>
              <w:left w:val="nil"/>
              <w:bottom w:val="single" w:color="auto" w:sz="4" w:space="0"/>
              <w:right w:val="single" w:color="auto" w:sz="4" w:space="0"/>
            </w:tcBorders>
            <w:shd w:val="clear" w:color="auto" w:fill="auto"/>
            <w:vAlign w:val="center"/>
          </w:tcPr>
          <w:p w14:paraId="52CA62CC">
            <w:pPr>
              <w:widowControl/>
              <w:jc w:val="center"/>
              <w:textAlignment w:val="center"/>
              <w:rPr>
                <w:rFonts w:ascii="宋体" w:hAnsi="宋体" w:cs="宋体"/>
                <w:sz w:val="22"/>
              </w:rPr>
            </w:pPr>
            <w:r>
              <w:rPr>
                <w:rFonts w:hint="eastAsia" w:ascii="宋体" w:hAnsi="宋体" w:cs="宋体"/>
                <w:kern w:val="0"/>
                <w:sz w:val="22"/>
                <w:lang w:bidi="ar"/>
              </w:rPr>
              <w:t>中控室操作台</w:t>
            </w:r>
          </w:p>
        </w:tc>
        <w:tc>
          <w:tcPr>
            <w:tcW w:w="1215" w:type="dxa"/>
            <w:tcBorders>
              <w:top w:val="nil"/>
              <w:left w:val="nil"/>
              <w:bottom w:val="single" w:color="auto" w:sz="4" w:space="0"/>
              <w:right w:val="single" w:color="auto" w:sz="4" w:space="0"/>
            </w:tcBorders>
            <w:shd w:val="clear" w:color="auto" w:fill="auto"/>
            <w:vAlign w:val="center"/>
          </w:tcPr>
          <w:p w14:paraId="463576A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5A35325">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5F6D63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36AE27D">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EE25B99">
            <w:pPr>
              <w:widowControl/>
              <w:jc w:val="center"/>
              <w:textAlignment w:val="center"/>
              <w:rPr>
                <w:rFonts w:ascii="宋体" w:hAnsi="宋体" w:cs="宋体"/>
                <w:color w:val="000000"/>
                <w:sz w:val="22"/>
              </w:rPr>
            </w:pPr>
            <w:r>
              <w:rPr>
                <w:rFonts w:hint="eastAsia" w:ascii="宋体" w:hAnsi="宋体" w:cs="宋体"/>
                <w:color w:val="000000"/>
                <w:kern w:val="0"/>
                <w:sz w:val="22"/>
                <w:lang w:bidi="ar"/>
              </w:rPr>
              <w:t>74</w:t>
            </w:r>
          </w:p>
        </w:tc>
        <w:tc>
          <w:tcPr>
            <w:tcW w:w="3750" w:type="dxa"/>
            <w:tcBorders>
              <w:top w:val="nil"/>
              <w:left w:val="nil"/>
              <w:bottom w:val="single" w:color="auto" w:sz="4" w:space="0"/>
              <w:right w:val="single" w:color="auto" w:sz="4" w:space="0"/>
            </w:tcBorders>
            <w:shd w:val="clear" w:color="auto" w:fill="auto"/>
            <w:vAlign w:val="center"/>
          </w:tcPr>
          <w:p w14:paraId="2E1C261E">
            <w:pPr>
              <w:widowControl/>
              <w:jc w:val="center"/>
              <w:textAlignment w:val="center"/>
              <w:rPr>
                <w:rFonts w:ascii="宋体" w:hAnsi="宋体" w:cs="宋体"/>
                <w:sz w:val="22"/>
              </w:rPr>
            </w:pPr>
            <w:r>
              <w:rPr>
                <w:rFonts w:hint="eastAsia" w:ascii="宋体" w:hAnsi="宋体" w:cs="宋体"/>
                <w:kern w:val="0"/>
                <w:sz w:val="22"/>
                <w:lang w:bidi="ar"/>
              </w:rPr>
              <w:t>操作椅</w:t>
            </w:r>
          </w:p>
        </w:tc>
        <w:tc>
          <w:tcPr>
            <w:tcW w:w="1215" w:type="dxa"/>
            <w:tcBorders>
              <w:top w:val="nil"/>
              <w:left w:val="nil"/>
              <w:bottom w:val="single" w:color="auto" w:sz="4" w:space="0"/>
              <w:right w:val="single" w:color="auto" w:sz="4" w:space="0"/>
            </w:tcBorders>
            <w:shd w:val="clear" w:color="auto" w:fill="auto"/>
            <w:vAlign w:val="center"/>
          </w:tcPr>
          <w:p w14:paraId="19CEF7FA">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088E612">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124320C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2DC25A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088AB19">
            <w:pPr>
              <w:widowControl/>
              <w:jc w:val="center"/>
              <w:textAlignment w:val="center"/>
              <w:rPr>
                <w:rFonts w:ascii="宋体" w:hAnsi="宋体" w:cs="宋体"/>
                <w:color w:val="000000"/>
                <w:sz w:val="22"/>
              </w:rPr>
            </w:pPr>
            <w:r>
              <w:rPr>
                <w:rFonts w:hint="eastAsia" w:ascii="宋体" w:hAnsi="宋体" w:cs="宋体"/>
                <w:color w:val="000000"/>
                <w:kern w:val="0"/>
                <w:sz w:val="22"/>
                <w:lang w:bidi="ar"/>
              </w:rPr>
              <w:t>75</w:t>
            </w:r>
          </w:p>
        </w:tc>
        <w:tc>
          <w:tcPr>
            <w:tcW w:w="3750" w:type="dxa"/>
            <w:tcBorders>
              <w:top w:val="nil"/>
              <w:left w:val="nil"/>
              <w:bottom w:val="single" w:color="auto" w:sz="4" w:space="0"/>
              <w:right w:val="single" w:color="auto" w:sz="4" w:space="0"/>
            </w:tcBorders>
            <w:shd w:val="clear" w:color="auto" w:fill="auto"/>
            <w:vAlign w:val="center"/>
          </w:tcPr>
          <w:p w14:paraId="7A5E19C9">
            <w:pPr>
              <w:widowControl/>
              <w:jc w:val="center"/>
              <w:textAlignment w:val="center"/>
              <w:rPr>
                <w:rFonts w:ascii="宋体" w:hAnsi="宋体" w:cs="宋体"/>
                <w:sz w:val="22"/>
              </w:rPr>
            </w:pPr>
            <w:r>
              <w:rPr>
                <w:rFonts w:hint="eastAsia" w:ascii="宋体" w:hAnsi="宋体" w:cs="宋体"/>
                <w:kern w:val="0"/>
                <w:sz w:val="22"/>
                <w:lang w:bidi="ar"/>
              </w:rPr>
              <w:t>系统集成</w:t>
            </w:r>
          </w:p>
        </w:tc>
        <w:tc>
          <w:tcPr>
            <w:tcW w:w="1215" w:type="dxa"/>
            <w:tcBorders>
              <w:top w:val="nil"/>
              <w:left w:val="nil"/>
              <w:bottom w:val="single" w:color="auto" w:sz="4" w:space="0"/>
              <w:right w:val="single" w:color="auto" w:sz="4" w:space="0"/>
            </w:tcBorders>
            <w:shd w:val="clear" w:color="auto" w:fill="auto"/>
            <w:vAlign w:val="center"/>
          </w:tcPr>
          <w:p w14:paraId="7545BBC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F5BF649">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AC21A53">
            <w:pPr>
              <w:widowControl/>
              <w:jc w:val="center"/>
              <w:textAlignment w:val="center"/>
              <w:rPr>
                <w:rFonts w:ascii="宋体" w:hAnsi="宋体" w:cs="宋体"/>
                <w:kern w:val="0"/>
                <w:sz w:val="22"/>
                <w:lang w:bidi="ar"/>
              </w:rPr>
            </w:pPr>
          </w:p>
        </w:tc>
      </w:tr>
      <w:tr w14:paraId="013DDA2C">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1DCE78">
            <w:pPr>
              <w:widowControl/>
              <w:jc w:val="center"/>
              <w:textAlignment w:val="center"/>
              <w:rPr>
                <w:rFonts w:ascii="宋体" w:hAnsi="宋体" w:cs="宋体"/>
                <w:color w:val="000000"/>
                <w:sz w:val="22"/>
              </w:rPr>
            </w:pPr>
            <w:r>
              <w:rPr>
                <w:rFonts w:hint="eastAsia" w:ascii="宋体" w:hAnsi="宋体" w:cs="宋体"/>
                <w:color w:val="000000"/>
                <w:kern w:val="0"/>
                <w:sz w:val="22"/>
                <w:lang w:bidi="ar"/>
              </w:rPr>
              <w:t>76</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1F55E384">
            <w:pPr>
              <w:widowControl/>
              <w:jc w:val="center"/>
              <w:textAlignment w:val="center"/>
              <w:rPr>
                <w:rFonts w:ascii="宋体" w:hAnsi="宋体" w:cs="宋体"/>
                <w:sz w:val="22"/>
              </w:rPr>
            </w:pPr>
            <w:r>
              <w:rPr>
                <w:rFonts w:hint="eastAsia" w:ascii="宋体" w:hAnsi="宋体" w:cs="宋体"/>
                <w:kern w:val="0"/>
                <w:sz w:val="22"/>
                <w:lang w:bidi="ar"/>
              </w:rPr>
              <w:t>文化布置</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7AF2AFF8">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4686D253">
            <w:pPr>
              <w:widowControl/>
              <w:jc w:val="center"/>
              <w:textAlignment w:val="center"/>
              <w:rPr>
                <w:rFonts w:ascii="宋体" w:hAnsi="宋体" w:cs="宋体"/>
                <w:sz w:val="22"/>
              </w:rPr>
            </w:pPr>
            <w:r>
              <w:rPr>
                <w:rFonts w:hint="eastAsia" w:ascii="宋体" w:hAnsi="宋体" w:cs="宋体"/>
                <w:kern w:val="0"/>
                <w:sz w:val="22"/>
                <w:lang w:bidi="ar"/>
              </w:rPr>
              <w:t>项</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741446A">
            <w:pPr>
              <w:widowControl/>
              <w:jc w:val="center"/>
              <w:textAlignment w:val="center"/>
              <w:rPr>
                <w:rFonts w:ascii="宋体" w:hAnsi="宋体" w:cs="宋体"/>
                <w:kern w:val="0"/>
                <w:sz w:val="22"/>
                <w:lang w:bidi="ar"/>
              </w:rPr>
            </w:pPr>
          </w:p>
        </w:tc>
      </w:tr>
      <w:tr w14:paraId="6D27CB85">
        <w:tblPrEx>
          <w:tblCellMar>
            <w:top w:w="0" w:type="dxa"/>
            <w:left w:w="108" w:type="dxa"/>
            <w:bottom w:w="0" w:type="dxa"/>
            <w:right w:w="108" w:type="dxa"/>
          </w:tblCellMar>
        </w:tblPrEx>
        <w:trPr>
          <w:trHeight w:val="285" w:hRule="atLeast"/>
        </w:trPr>
        <w:tc>
          <w:tcPr>
            <w:tcW w:w="8872"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4B0A03D">
            <w:pPr>
              <w:widowControl/>
              <w:jc w:val="left"/>
              <w:textAlignment w:val="center"/>
              <w:rPr>
                <w:rFonts w:ascii="宋体" w:hAnsi="宋体" w:cs="宋体"/>
                <w:kern w:val="0"/>
                <w:sz w:val="22"/>
                <w:lang w:bidi="ar"/>
              </w:rPr>
            </w:pPr>
            <w:r>
              <w:rPr>
                <w:rFonts w:hint="eastAsia" w:ascii="宋体" w:hAnsi="宋体" w:cs="宋体"/>
                <w:kern w:val="0"/>
                <w:sz w:val="22"/>
                <w:lang w:bidi="ar"/>
              </w:rPr>
              <w:t>三、其他配套</w:t>
            </w:r>
          </w:p>
        </w:tc>
      </w:tr>
      <w:tr w14:paraId="5FE82528">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490AE9">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77</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6F00FB93">
            <w:pPr>
              <w:widowControl/>
              <w:jc w:val="center"/>
              <w:textAlignment w:val="center"/>
              <w:rPr>
                <w:rFonts w:ascii="宋体" w:hAnsi="宋体" w:cs="宋体"/>
                <w:kern w:val="0"/>
                <w:sz w:val="22"/>
                <w:lang w:bidi="ar"/>
              </w:rPr>
            </w:pPr>
            <w:r>
              <w:rPr>
                <w:rFonts w:hint="eastAsia" w:ascii="宋体" w:hAnsi="宋体" w:cs="宋体"/>
                <w:kern w:val="0"/>
                <w:sz w:val="22"/>
                <w:lang w:bidi="ar"/>
              </w:rPr>
              <w:t>WIFI7接入点（含接入管理授权）</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2933FF99">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13</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190E23DB">
            <w:pPr>
              <w:widowControl/>
              <w:jc w:val="center"/>
              <w:textAlignment w:val="center"/>
              <w:rPr>
                <w:rFonts w:ascii="宋体" w:hAnsi="宋体" w:cs="宋体"/>
                <w:kern w:val="0"/>
                <w:sz w:val="22"/>
                <w:lang w:bidi="ar"/>
              </w:rPr>
            </w:pPr>
            <w:r>
              <w:rPr>
                <w:rFonts w:hint="eastAsia" w:ascii="宋体" w:hAnsi="宋体" w:cs="宋体"/>
                <w:kern w:val="0"/>
                <w:sz w:val="22"/>
                <w:lang w:bidi="ar"/>
              </w:rPr>
              <w:t>只</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5474B450">
            <w:pPr>
              <w:widowControl/>
              <w:jc w:val="center"/>
              <w:textAlignment w:val="center"/>
              <w:rPr>
                <w:rFonts w:ascii="宋体" w:hAnsi="宋体" w:cs="宋体"/>
                <w:kern w:val="0"/>
                <w:sz w:val="22"/>
                <w:lang w:bidi="ar"/>
              </w:rPr>
            </w:pPr>
          </w:p>
        </w:tc>
      </w:tr>
      <w:tr w14:paraId="2A521F17">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FE1CF5">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78</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4D75FC7B">
            <w:pPr>
              <w:widowControl/>
              <w:jc w:val="center"/>
              <w:textAlignment w:val="center"/>
              <w:rPr>
                <w:rFonts w:ascii="宋体" w:hAnsi="宋体" w:cs="宋体"/>
                <w:kern w:val="0"/>
                <w:sz w:val="22"/>
                <w:lang w:bidi="ar"/>
              </w:rPr>
            </w:pPr>
            <w:r>
              <w:rPr>
                <w:rFonts w:hint="eastAsia" w:ascii="宋体" w:hAnsi="宋体" w:cs="宋体"/>
                <w:kern w:val="0"/>
                <w:sz w:val="22"/>
                <w:lang w:bidi="ar"/>
              </w:rPr>
              <w:t>POE交换机</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622DA6B">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3</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57AFCD6C">
            <w:pPr>
              <w:widowControl/>
              <w:jc w:val="center"/>
              <w:textAlignment w:val="center"/>
              <w:rPr>
                <w:rFonts w:ascii="宋体" w:hAnsi="宋体" w:cs="宋体"/>
                <w:kern w:val="0"/>
                <w:sz w:val="22"/>
                <w:lang w:bidi="ar"/>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3F8B26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7C7E9D2">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C5D5CA">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79</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074DD9FB">
            <w:pPr>
              <w:widowControl/>
              <w:jc w:val="center"/>
              <w:textAlignment w:val="center"/>
              <w:rPr>
                <w:rFonts w:ascii="宋体" w:hAnsi="宋体" w:cs="宋体"/>
                <w:kern w:val="0"/>
                <w:sz w:val="22"/>
                <w:lang w:bidi="ar"/>
              </w:rPr>
            </w:pPr>
            <w:r>
              <w:rPr>
                <w:rFonts w:hint="eastAsia" w:ascii="宋体" w:hAnsi="宋体" w:cs="宋体"/>
                <w:kern w:val="0"/>
                <w:sz w:val="22"/>
                <w:lang w:bidi="ar"/>
              </w:rPr>
              <w:t>接入点位集成</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1C4889BF">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1</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2F1A48DA">
            <w:pPr>
              <w:widowControl/>
              <w:jc w:val="center"/>
              <w:textAlignment w:val="center"/>
              <w:rPr>
                <w:rFonts w:ascii="宋体" w:hAnsi="宋体" w:cs="宋体"/>
                <w:kern w:val="0"/>
                <w:sz w:val="22"/>
                <w:lang w:bidi="ar"/>
              </w:rPr>
            </w:pPr>
            <w:r>
              <w:rPr>
                <w:rFonts w:hint="eastAsia" w:ascii="宋体" w:hAnsi="宋体" w:cs="宋体"/>
                <w:kern w:val="0"/>
                <w:sz w:val="22"/>
                <w:lang w:bidi="ar"/>
              </w:rPr>
              <w:t>项</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56C94094">
            <w:pPr>
              <w:widowControl/>
              <w:jc w:val="center"/>
              <w:textAlignment w:val="center"/>
              <w:rPr>
                <w:rFonts w:ascii="宋体" w:hAnsi="宋体" w:cs="宋体"/>
                <w:kern w:val="0"/>
                <w:sz w:val="22"/>
                <w:lang w:bidi="ar"/>
              </w:rPr>
            </w:pPr>
          </w:p>
        </w:tc>
      </w:tr>
    </w:tbl>
    <w:p w14:paraId="2551DF23">
      <w:pPr>
        <w:spacing w:line="500" w:lineRule="exact"/>
        <w:rPr>
          <w:rFonts w:ascii="仿宋" w:hAnsi="仿宋" w:eastAsia="仿宋" w:cs="仿宋"/>
          <w:b/>
          <w:bCs/>
          <w:i/>
          <w:iCs/>
          <w:color w:val="FF0000"/>
          <w:kern w:val="0"/>
          <w:sz w:val="24"/>
          <w:szCs w:val="24"/>
          <w:u w:val="single"/>
          <w:lang w:bidi="ar"/>
        </w:rPr>
      </w:pPr>
      <w:r>
        <w:rPr>
          <w:rFonts w:hint="eastAsia" w:ascii="仿宋" w:hAnsi="仿宋" w:eastAsia="仿宋" w:cs="仿宋"/>
          <w:b/>
          <w:bCs/>
          <w:i/>
          <w:iCs/>
          <w:color w:val="FF0000"/>
          <w:kern w:val="0"/>
          <w:sz w:val="24"/>
          <w:szCs w:val="24"/>
          <w:u w:val="single"/>
          <w:lang w:bidi="ar"/>
        </w:rPr>
        <w:t>注：以上产品属于政府强制采购节能产品品目清单范围内的，响应文件中必须提供国家确定的认证机构出具的、处于有效期之内的该节能产品认证证书图片，否则视为无效响应。</w:t>
      </w:r>
    </w:p>
    <w:p w14:paraId="41ABB16E">
      <w:pPr>
        <w:numPr>
          <w:ilvl w:val="0"/>
          <w:numId w:val="5"/>
        </w:numPr>
        <w:spacing w:line="500" w:lineRule="exact"/>
        <w:rPr>
          <w:rFonts w:ascii="仿宋" w:hAnsi="仿宋" w:eastAsia="仿宋" w:cs="仿宋"/>
          <w:b/>
          <w:bCs/>
          <w:kern w:val="0"/>
          <w:sz w:val="24"/>
          <w:szCs w:val="24"/>
          <w:lang w:bidi="ar"/>
        </w:rPr>
      </w:pPr>
      <w:r>
        <w:rPr>
          <w:rFonts w:hint="eastAsia" w:ascii="仿宋" w:hAnsi="仿宋" w:eastAsia="仿宋" w:cs="仿宋"/>
          <w:b/>
          <w:bCs/>
          <w:kern w:val="0"/>
          <w:sz w:val="24"/>
          <w:szCs w:val="24"/>
          <w:lang w:bidi="ar"/>
        </w:rPr>
        <w:t>采购项目交付：</w:t>
      </w:r>
    </w:p>
    <w:p w14:paraId="58C88FED">
      <w:pPr>
        <w:spacing w:line="500" w:lineRule="exact"/>
        <w:rPr>
          <w:rFonts w:ascii="仿宋" w:hAnsi="仿宋" w:eastAsia="仿宋" w:cs="仿宋"/>
          <w:i/>
          <w:iCs/>
          <w:kern w:val="0"/>
          <w:sz w:val="24"/>
          <w:szCs w:val="24"/>
          <w:u w:val="single"/>
          <w:lang w:val="zh-CN" w:bidi="ar"/>
        </w:rPr>
      </w:pPr>
      <w:r>
        <w:rPr>
          <w:rFonts w:hint="eastAsia" w:ascii="仿宋" w:hAnsi="仿宋" w:eastAsia="仿宋" w:cs="仿宋"/>
          <w:i/>
          <w:iCs/>
          <w:kern w:val="0"/>
          <w:sz w:val="24"/>
          <w:szCs w:val="24"/>
          <w:u w:val="single"/>
          <w:lang w:val="zh-CN" w:bidi="ar"/>
        </w:rPr>
        <w:t>成交供应商须在合同签订后30日（含节假日）完成整个项目，保证所有</w:t>
      </w:r>
      <w:r>
        <w:rPr>
          <w:rFonts w:hint="eastAsia" w:ascii="仿宋" w:hAnsi="仿宋" w:eastAsia="仿宋" w:cs="仿宋"/>
          <w:i/>
          <w:iCs/>
          <w:kern w:val="0"/>
          <w:sz w:val="24"/>
          <w:szCs w:val="24"/>
          <w:u w:val="single"/>
          <w:lang w:bidi="ar"/>
        </w:rPr>
        <w:t>设备</w:t>
      </w:r>
      <w:r>
        <w:rPr>
          <w:rFonts w:hint="eastAsia" w:ascii="仿宋" w:hAnsi="仿宋" w:eastAsia="仿宋" w:cs="仿宋"/>
          <w:i/>
          <w:iCs/>
          <w:kern w:val="0"/>
          <w:sz w:val="24"/>
          <w:szCs w:val="24"/>
          <w:u w:val="single"/>
          <w:lang w:val="zh-CN" w:bidi="ar"/>
        </w:rPr>
        <w:t>均能正常使用。</w:t>
      </w:r>
    </w:p>
    <w:p w14:paraId="4A666FCF">
      <w:pPr>
        <w:spacing w:line="500" w:lineRule="exact"/>
        <w:rPr>
          <w:rFonts w:ascii="仿宋" w:hAnsi="仿宋" w:eastAsia="仿宋" w:cs="仿宋"/>
          <w:b/>
          <w:bCs/>
          <w:sz w:val="24"/>
          <w:szCs w:val="24"/>
        </w:rPr>
      </w:pPr>
      <w:r>
        <w:rPr>
          <w:rFonts w:hint="eastAsia" w:ascii="仿宋" w:hAnsi="仿宋" w:eastAsia="仿宋" w:cs="仿宋"/>
          <w:i/>
          <w:iCs/>
          <w:kern w:val="0"/>
          <w:sz w:val="24"/>
          <w:szCs w:val="24"/>
          <w:u w:val="single"/>
          <w:lang w:val="zh-CN" w:bidi="ar"/>
        </w:rPr>
        <w:t>交货地点：具体地点由采购人指定，成交供应商必须在约定时间内，按照采购人指定具体地点，送货到指定场地，并负责安装到位，所有运输、装卸和安装等费用由成交供应商负责。</w:t>
      </w:r>
    </w:p>
    <w:p w14:paraId="7C6AA164">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（五）采购标的需满足的服务标准、期限、效率等要求；</w:t>
      </w:r>
    </w:p>
    <w:p w14:paraId="5F84A97A">
      <w:pPr>
        <w:pStyle w:val="28"/>
        <w:widowControl/>
        <w:spacing w:line="420" w:lineRule="exact"/>
      </w:pPr>
      <w:r>
        <w:rPr>
          <w:rFonts w:hint="eastAsia" w:ascii="仿宋" w:hAnsi="仿宋" w:eastAsia="仿宋" w:cs="仿宋"/>
          <w:i/>
          <w:iCs/>
          <w:sz w:val="24"/>
          <w:szCs w:val="24"/>
          <w:u w:val="single"/>
          <w:lang w:val="zh-CN"/>
        </w:rPr>
        <w:t>1.所投产品必须是全新产品。</w:t>
      </w:r>
    </w:p>
    <w:p w14:paraId="4ACFDE68">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2</w:t>
      </w:r>
      <w:r>
        <w:rPr>
          <w:rFonts w:hint="eastAsia" w:ascii="仿宋" w:hAnsi="仿宋" w:eastAsia="仿宋" w:cs="仿宋"/>
          <w:i/>
          <w:iCs/>
          <w:kern w:val="0"/>
          <w:sz w:val="24"/>
          <w:szCs w:val="24"/>
          <w:u w:val="single"/>
          <w:lang w:val="zh-CN" w:bidi="ar"/>
        </w:rPr>
        <w:t>、成交供应商要组织一次使用培训，具体事宜和采购人联系。</w:t>
      </w:r>
    </w:p>
    <w:p w14:paraId="46BE5399">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3</w:t>
      </w:r>
      <w:r>
        <w:rPr>
          <w:rFonts w:hint="eastAsia" w:ascii="仿宋" w:hAnsi="仿宋" w:eastAsia="仿宋" w:cs="仿宋"/>
          <w:i/>
          <w:iCs/>
          <w:kern w:val="0"/>
          <w:sz w:val="24"/>
          <w:szCs w:val="24"/>
          <w:u w:val="single"/>
          <w:lang w:val="zh-CN" w:bidi="ar"/>
        </w:rPr>
        <w:t>、成交供应商负责运输、搬运、安装，免费安装调试。</w:t>
      </w:r>
    </w:p>
    <w:p w14:paraId="0B8CECFD">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4</w:t>
      </w:r>
      <w:r>
        <w:rPr>
          <w:rFonts w:hint="eastAsia" w:ascii="仿宋" w:hAnsi="仿宋" w:eastAsia="仿宋" w:cs="仿宋"/>
          <w:i/>
          <w:iCs/>
          <w:kern w:val="0"/>
          <w:sz w:val="24"/>
          <w:szCs w:val="24"/>
          <w:u w:val="single"/>
          <w:lang w:val="zh-CN" w:bidi="ar"/>
        </w:rPr>
        <w:t>、本采购项目免费质保期</w:t>
      </w:r>
      <w:r>
        <w:rPr>
          <w:rFonts w:hint="eastAsia" w:ascii="仿宋" w:hAnsi="仿宋" w:eastAsia="仿宋" w:cs="仿宋"/>
          <w:i/>
          <w:iCs/>
          <w:color w:val="FF0000"/>
          <w:kern w:val="0"/>
          <w:sz w:val="24"/>
          <w:szCs w:val="24"/>
          <w:u w:val="single"/>
          <w:lang w:bidi="ar"/>
        </w:rPr>
        <w:t>叁</w:t>
      </w:r>
      <w:r>
        <w:rPr>
          <w:rFonts w:hint="eastAsia" w:ascii="仿宋" w:hAnsi="仿宋" w:eastAsia="仿宋" w:cs="仿宋"/>
          <w:i/>
          <w:iCs/>
          <w:color w:val="FF0000"/>
          <w:kern w:val="0"/>
          <w:sz w:val="24"/>
          <w:szCs w:val="24"/>
          <w:u w:val="single"/>
          <w:lang w:val="zh-CN" w:bidi="ar"/>
        </w:rPr>
        <w:t>年</w:t>
      </w:r>
      <w:r>
        <w:rPr>
          <w:rFonts w:hint="eastAsia" w:ascii="仿宋" w:hAnsi="仿宋" w:eastAsia="仿宋" w:cs="仿宋"/>
          <w:i/>
          <w:iCs/>
          <w:kern w:val="0"/>
          <w:sz w:val="24"/>
          <w:szCs w:val="24"/>
          <w:u w:val="single"/>
          <w:lang w:val="zh-CN" w:bidi="ar"/>
        </w:rPr>
        <w:t>，时间自最终验收合格并交付使用之日起计算。在质保期内成交供应商应自行处理保修凭证问题，采购人不负责提供产品的保修卡、发票等保修凭证。</w:t>
      </w:r>
    </w:p>
    <w:p w14:paraId="543348D5">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5</w:t>
      </w:r>
      <w:r>
        <w:rPr>
          <w:rFonts w:hint="eastAsia" w:ascii="仿宋" w:hAnsi="仿宋" w:eastAsia="仿宋" w:cs="仿宋"/>
          <w:i/>
          <w:iCs/>
          <w:kern w:val="0"/>
          <w:sz w:val="24"/>
          <w:szCs w:val="24"/>
          <w:u w:val="single"/>
          <w:lang w:val="zh-CN" w:bidi="ar"/>
        </w:rPr>
        <w:t>、在免费质保期内，成交供应商必须对本项目所涉及产品质量原因造成的任何损伤和损坏进行免费修理或更换，费用由成交供应商负责。</w:t>
      </w:r>
    </w:p>
    <w:p w14:paraId="57653DC3">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6、</w:t>
      </w:r>
      <w:r>
        <w:rPr>
          <w:rFonts w:hint="eastAsia" w:ascii="仿宋" w:hAnsi="仿宋" w:eastAsia="仿宋" w:cs="仿宋"/>
          <w:i/>
          <w:iCs/>
          <w:kern w:val="0"/>
          <w:sz w:val="24"/>
          <w:szCs w:val="24"/>
          <w:u w:val="single"/>
          <w:lang w:val="zh-CN" w:bidi="ar"/>
        </w:rPr>
        <w:t>成交供应商应严格按照规范及采购文件等相关要求组织供货，须文明供货；垃圾必须清理离场，做到地面等均无污染。</w:t>
      </w:r>
    </w:p>
    <w:p w14:paraId="3747CEE2">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7、</w:t>
      </w:r>
      <w:r>
        <w:rPr>
          <w:rFonts w:hint="eastAsia" w:ascii="仿宋" w:hAnsi="仿宋" w:eastAsia="仿宋" w:cs="仿宋"/>
          <w:i/>
          <w:iCs/>
          <w:kern w:val="0"/>
          <w:sz w:val="24"/>
          <w:szCs w:val="24"/>
          <w:u w:val="single"/>
          <w:lang w:val="zh-CN" w:bidi="ar"/>
        </w:rPr>
        <w:t>成交供应商必须按不低于采购文件要求的材料质量及技术要求等标准供货、安装、调试。</w:t>
      </w:r>
    </w:p>
    <w:p w14:paraId="0129C5FE">
      <w:pPr>
        <w:spacing w:line="500" w:lineRule="exact"/>
        <w:rPr>
          <w:rFonts w:ascii="仿宋" w:hAnsi="仿宋" w:eastAsia="仿宋" w:cs="仿宋"/>
          <w:i/>
          <w:iCs/>
          <w:kern w:val="0"/>
          <w:sz w:val="24"/>
          <w:szCs w:val="24"/>
          <w:u w:val="single"/>
          <w:lang w:val="zh-CN" w:bidi="ar"/>
        </w:rPr>
      </w:pPr>
      <w:r>
        <w:rPr>
          <w:rFonts w:hint="eastAsia" w:ascii="仿宋" w:hAnsi="仿宋" w:eastAsia="仿宋" w:cs="仿宋"/>
          <w:i/>
          <w:iCs/>
          <w:kern w:val="0"/>
          <w:sz w:val="24"/>
          <w:szCs w:val="24"/>
          <w:u w:val="single"/>
          <w:lang w:bidi="ar"/>
        </w:rPr>
        <w:t>8、</w:t>
      </w:r>
      <w:r>
        <w:rPr>
          <w:rFonts w:hint="eastAsia" w:ascii="仿宋" w:hAnsi="仿宋" w:eastAsia="仿宋" w:cs="仿宋"/>
          <w:i/>
          <w:iCs/>
          <w:kern w:val="0"/>
          <w:sz w:val="24"/>
          <w:szCs w:val="24"/>
          <w:u w:val="single"/>
          <w:lang w:val="zh-CN" w:bidi="ar"/>
        </w:rPr>
        <w:t>坚持质量第一的原则，高效率在规定时间内交付使用。未能在规定的工期内完成施工任务的，每推迟一天采购人有权以每天扣除履约保证金总额的1%进行处罚；超过规定的工期5天的，采购人有权与成交供应商解除合同关系，并按照施工量及集成施工进度与成交供应商按实结算，并按照规定处以罚金，直至履约保证金扣除完毕。</w:t>
      </w:r>
    </w:p>
    <w:p w14:paraId="3D9B610C">
      <w:pPr>
        <w:pStyle w:val="4"/>
        <w:spacing w:line="360" w:lineRule="auto"/>
        <w:rPr>
          <w:rFonts w:ascii="仿宋" w:hAnsi="仿宋" w:eastAsia="仿宋" w:cs="仿宋"/>
          <w:i/>
          <w:iCs/>
          <w:kern w:val="0"/>
          <w:sz w:val="24"/>
          <w:szCs w:val="24"/>
          <w:u w:val="single"/>
          <w:lang w:val="zh-CN" w:bidi="ar"/>
        </w:rPr>
      </w:pPr>
      <w:r>
        <w:rPr>
          <w:rFonts w:hint="eastAsia" w:ascii="仿宋" w:hAnsi="仿宋" w:eastAsia="仿宋" w:cs="仿宋"/>
          <w:i/>
          <w:iCs/>
          <w:kern w:val="0"/>
          <w:sz w:val="24"/>
          <w:szCs w:val="24"/>
          <w:u w:val="single"/>
          <w:lang w:bidi="ar"/>
        </w:rPr>
        <w:t>9、</w:t>
      </w:r>
      <w:r>
        <w:rPr>
          <w:rFonts w:hint="eastAsia" w:ascii="仿宋" w:hAnsi="仿宋" w:eastAsia="仿宋" w:cs="仿宋"/>
          <w:i/>
          <w:iCs/>
          <w:kern w:val="0"/>
          <w:sz w:val="24"/>
          <w:szCs w:val="24"/>
          <w:u w:val="single"/>
          <w:lang w:val="zh-CN" w:bidi="ar"/>
        </w:rPr>
        <w:t>成交供应商</w:t>
      </w:r>
      <w:r>
        <w:rPr>
          <w:rFonts w:hint="eastAsia" w:ascii="仿宋" w:hAnsi="仿宋" w:eastAsia="仿宋" w:cs="仿宋"/>
          <w:i/>
          <w:iCs/>
          <w:kern w:val="0"/>
          <w:sz w:val="24"/>
          <w:szCs w:val="24"/>
          <w:u w:val="single"/>
          <w:lang w:bidi="ar"/>
        </w:rPr>
        <w:t>需针对本项目安排专业技术人员组成集成与运维服务团队，拟派人员具备本项目集成与运维服务能力，</w:t>
      </w:r>
      <w:r>
        <w:rPr>
          <w:rFonts w:hint="eastAsia" w:ascii="仿宋" w:hAnsi="仿宋" w:eastAsia="仿宋" w:cs="仿宋"/>
          <w:i/>
          <w:iCs/>
          <w:kern w:val="0"/>
          <w:sz w:val="24"/>
          <w:szCs w:val="24"/>
          <w:u w:val="single"/>
          <w:lang w:val="zh-CN" w:bidi="ar"/>
        </w:rPr>
        <w:t>相关专业技术岗位与特种作业岗位必须持证上岗。</w:t>
      </w:r>
      <w:r>
        <w:rPr>
          <w:rFonts w:hint="eastAsia" w:ascii="仿宋" w:hAnsi="仿宋" w:eastAsia="仿宋" w:cs="仿宋"/>
          <w:i/>
          <w:iCs/>
          <w:kern w:val="0"/>
          <w:sz w:val="24"/>
          <w:szCs w:val="24"/>
          <w:u w:val="single"/>
          <w:lang w:bidi="ar"/>
        </w:rPr>
        <w:t>响应时拟派的</w:t>
      </w:r>
      <w:r>
        <w:rPr>
          <w:rFonts w:hint="eastAsia" w:ascii="仿宋" w:hAnsi="仿宋" w:eastAsia="仿宋" w:cs="仿宋"/>
          <w:i/>
          <w:iCs/>
          <w:kern w:val="0"/>
          <w:sz w:val="24"/>
          <w:szCs w:val="24"/>
          <w:u w:val="single"/>
          <w:lang w:val="zh-CN" w:bidi="ar"/>
        </w:rPr>
        <w:t>项目</w:t>
      </w:r>
      <w:r>
        <w:rPr>
          <w:rFonts w:hint="eastAsia" w:ascii="仿宋" w:hAnsi="仿宋" w:eastAsia="仿宋" w:cs="仿宋"/>
          <w:i/>
          <w:iCs/>
          <w:kern w:val="0"/>
          <w:sz w:val="24"/>
          <w:szCs w:val="24"/>
          <w:u w:val="single"/>
          <w:lang w:bidi="ar"/>
        </w:rPr>
        <w:t>负责人与团队专业技术成员在项目实施期间须按照响应文件响应的人员全程在场</w:t>
      </w:r>
      <w:r>
        <w:rPr>
          <w:rFonts w:hint="eastAsia" w:ascii="仿宋" w:hAnsi="仿宋" w:eastAsia="仿宋" w:cs="仿宋"/>
          <w:i/>
          <w:iCs/>
          <w:kern w:val="0"/>
          <w:sz w:val="24"/>
          <w:szCs w:val="24"/>
          <w:u w:val="single"/>
          <w:lang w:val="zh-CN" w:bidi="ar"/>
        </w:rPr>
        <w:t>，经发现执行不到位且未整改、人员缺勤离岗的，未持证上岗的、每发生一次扣除</w:t>
      </w:r>
      <w:r>
        <w:rPr>
          <w:rFonts w:hint="eastAsia" w:ascii="仿宋" w:hAnsi="仿宋" w:eastAsia="仿宋" w:cs="仿宋"/>
          <w:i/>
          <w:iCs/>
          <w:kern w:val="0"/>
          <w:sz w:val="24"/>
          <w:szCs w:val="24"/>
          <w:u w:val="single"/>
          <w:lang w:bidi="ar"/>
        </w:rPr>
        <w:t>成交</w:t>
      </w:r>
      <w:r>
        <w:rPr>
          <w:rFonts w:hint="eastAsia" w:ascii="仿宋" w:hAnsi="仿宋" w:eastAsia="仿宋" w:cs="仿宋"/>
          <w:i/>
          <w:iCs/>
          <w:kern w:val="0"/>
          <w:sz w:val="24"/>
          <w:szCs w:val="24"/>
          <w:u w:val="single"/>
          <w:lang w:val="zh-CN" w:bidi="ar"/>
        </w:rPr>
        <w:t>供应商履约保证金的千分之一。</w:t>
      </w:r>
    </w:p>
    <w:p w14:paraId="3F7663B7">
      <w:pPr>
        <w:spacing w:line="500" w:lineRule="exact"/>
        <w:rPr>
          <w:rFonts w:ascii="仿宋" w:hAnsi="仿宋" w:eastAsia="仿宋" w:cs="仿宋"/>
          <w:b/>
          <w:bCs/>
          <w:sz w:val="24"/>
          <w:szCs w:val="24"/>
        </w:rPr>
      </w:pPr>
      <w:r>
        <w:rPr>
          <w:rFonts w:hint="eastAsia" w:ascii="仿宋" w:hAnsi="仿宋" w:eastAsia="仿宋" w:cs="仿宋"/>
          <w:kern w:val="0"/>
          <w:sz w:val="24"/>
          <w:szCs w:val="24"/>
          <w:lang w:bidi="ar"/>
        </w:rPr>
        <w:t>10、安全责任：加强施工安全管理，严格操作规程，在货物运输、施工过程中发生的安全事故一切责任由成交供应商负责。成交供应商必须为施工人员购买意外伤害险（签订合同时提供意外伤害险发票备查），以保证施工的平安，顺畅，按期完工。</w:t>
      </w:r>
    </w:p>
    <w:p w14:paraId="113B7D4C">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（六）采购标的的验收标准、方法、时间；（收到验收申请后7个工作日内采购人组织验收）</w:t>
      </w:r>
    </w:p>
    <w:p w14:paraId="3AEEBA3F">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val="zh-CN" w:bidi="ar"/>
        </w:rPr>
        <w:t>1、产品质量及项目施工的验收依据国家或行业相关规定、标准和磋商文件的要求。成交供应商最终提供的产品应与磋商文件要求相一致，如因产品质量问题发生争议时，采购人将请质量技术监督部门给予鉴定。货物鉴定费用由成交供应商承担，同时按合同违约处理。</w:t>
      </w:r>
    </w:p>
    <w:p w14:paraId="63B3C1E1">
      <w:pPr>
        <w:spacing w:line="500" w:lineRule="exact"/>
        <w:rPr>
          <w:rFonts w:ascii="仿宋" w:hAnsi="仿宋" w:eastAsia="仿宋" w:cs="仿宋"/>
          <w:b/>
          <w:i/>
          <w:iCs/>
          <w:sz w:val="28"/>
          <w:szCs w:val="28"/>
        </w:rPr>
      </w:pPr>
      <w:r>
        <w:rPr>
          <w:rFonts w:hint="eastAsia" w:ascii="仿宋" w:hAnsi="仿宋" w:eastAsia="仿宋" w:cs="仿宋"/>
          <w:i/>
          <w:iCs/>
          <w:kern w:val="0"/>
          <w:sz w:val="24"/>
          <w:szCs w:val="24"/>
          <w:u w:val="single"/>
          <w:lang w:val="zh-CN" w:bidi="ar"/>
        </w:rPr>
        <w:t xml:space="preserve">2、项目验收：由采购人对数量、现场安装质量、试运行情况等进行核验并在验收单上盖章签字，以确认验收完成。 </w:t>
      </w:r>
    </w:p>
    <w:p w14:paraId="4FDFD8EA">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（七）采购标的的其他技术、服务等要求（增加商品包装、快递包装的相关要求）；</w:t>
      </w:r>
    </w:p>
    <w:p w14:paraId="3EB4FC02">
      <w:pPr>
        <w:adjustRightInd w:val="0"/>
        <w:snapToGrid w:val="0"/>
        <w:spacing w:line="500" w:lineRule="exact"/>
        <w:ind w:firstLine="720" w:firstLineChars="300"/>
        <w:rPr>
          <w:rFonts w:ascii="仿宋" w:hAnsi="仿宋" w:eastAsia="仿宋" w:cs="仿宋"/>
          <w:b/>
          <w:sz w:val="24"/>
          <w:szCs w:val="24"/>
        </w:rPr>
      </w:pPr>
      <w:r>
        <w:rPr>
          <w:rFonts w:hint="eastAsia" w:ascii="仿宋" w:hAnsi="仿宋" w:eastAsia="仿宋" w:cs="仿宋"/>
          <w:sz w:val="24"/>
          <w:szCs w:val="24"/>
        </w:rPr>
        <w:t>1、商品包装环保要求：应当按《关于印发〈商品包装政府采购需求标准(试行）〉、〈快递包装政府采购需求标准(试行)〉的通知》 (财办库〔2020〕123号)文件执行。</w:t>
      </w:r>
    </w:p>
    <w:p w14:paraId="4CE74B65">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（1）商品包装层数不得超过 3 层，空隙率不大于 40%；</w:t>
      </w:r>
    </w:p>
    <w:p w14:paraId="06EC0DB6">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（2）商品包装尽可能使用单一材质的包装材料，如因功能需求必需使用不同材质，不同材质间应便于分离；</w:t>
      </w:r>
    </w:p>
    <w:p w14:paraId="4E1143E3">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（3）商品包装中铅、汞、镉、六价铬的总含量应不大于100mg/kg；</w:t>
      </w:r>
    </w:p>
    <w:p w14:paraId="3685F956">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（4）商品包装印刷使用的油墨中挥发性有机化合物(VOCs)含量应不大于 5%（以重量计）；</w:t>
      </w:r>
    </w:p>
    <w:p w14:paraId="367C9C17">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（5）塑料材质商品包装上呈现的印刷颜色不得超过 6 色；</w:t>
      </w:r>
    </w:p>
    <w:p w14:paraId="61CE040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（6）纸质商品包装应使用 75%以上的可再生纤维原料生产；</w:t>
      </w:r>
    </w:p>
    <w:p w14:paraId="02DF116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（7）木质商品包装的原料应来源于可持续性森林。</w:t>
      </w:r>
    </w:p>
    <w:p w14:paraId="51DA165C">
      <w:pPr>
        <w:adjustRightInd w:val="0"/>
        <w:snapToGrid w:val="0"/>
        <w:spacing w:line="500" w:lineRule="exact"/>
        <w:ind w:firstLine="720" w:firstLineChars="300"/>
        <w:rPr>
          <w:rFonts w:ascii="仿宋" w:hAnsi="仿宋" w:eastAsia="仿宋" w:cs="仿宋"/>
          <w:sz w:val="24"/>
          <w:szCs w:val="24"/>
        </w:rPr>
      </w:pPr>
      <w:r>
        <w:rPr>
          <w:rFonts w:hint="eastAsia" w:ascii="仿宋" w:hAnsi="仿宋" w:eastAsia="仿宋" w:cs="仿宋"/>
          <w:sz w:val="24"/>
          <w:szCs w:val="24"/>
        </w:rPr>
        <w:t>2、快递包装环保要求：</w:t>
      </w:r>
    </w:p>
    <w:p w14:paraId="329350AD">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（1）快递包装中重金属（铅、汞、镉、六价铬）总量应不大于 100mg/kg；</w:t>
      </w:r>
    </w:p>
    <w:p w14:paraId="5B896DCE">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（2）快递包装印刷使用的油墨中不应添加邻苯二甲酸酯，其挥发性有机化合物(VOCs)含量应不大于5%（以重量计）；</w:t>
      </w:r>
    </w:p>
    <w:p w14:paraId="4F9C07F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（3）快递包装中使用纸基材的包装材料，纸基材中的有机氯的含量应不大于 150 mg/kg；</w:t>
      </w:r>
    </w:p>
    <w:p w14:paraId="7D15108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207A81F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（5）快递中使用的塑料包装袋不得使用聚氯乙烯作为原料，且原料应为单一材质制成，生物分解率大于60%；</w:t>
      </w:r>
    </w:p>
    <w:p w14:paraId="3A269732">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（6）快递中使用的充气类填充物不得使用聚氯乙烯作为 原料，且原料为单一材质制成，生物分解率大于60%；</w:t>
      </w:r>
    </w:p>
    <w:p w14:paraId="71CBAC7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（7）快递中使用的集装袋应为单一材质制成，其重复使用次数应不小于 80 次；</w:t>
      </w:r>
    </w:p>
    <w:p w14:paraId="76003AB1">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（8）快递中应使用幅宽不大于45mm 的生物降解胶带；</w:t>
      </w:r>
    </w:p>
    <w:p w14:paraId="319694B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（9）快递包装中不得使用溶剂型胶粘剂；</w:t>
      </w:r>
    </w:p>
    <w:p w14:paraId="63394D8C">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（10）快递应使用电子面单；</w:t>
      </w:r>
    </w:p>
    <w:p w14:paraId="20F7A60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（11）直接使用商品包装作为快递包装的商品，其商品包装满足《商品包装政府采购需求标准（试行）》即可；</w:t>
      </w:r>
    </w:p>
    <w:p w14:paraId="77BE47E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（12）快递包装产品质量和封装方式应符合相关国家或行业标准技术指标要求。</w:t>
      </w:r>
    </w:p>
    <w:p w14:paraId="137F162F">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3、绿色数据中心</w:t>
      </w:r>
    </w:p>
    <w:p w14:paraId="58FECF1A">
      <w:pPr>
        <w:spacing w:after="120" w:line="500" w:lineRule="exact"/>
        <w:ind w:firstLine="480" w:firstLineChars="200"/>
        <w:rPr>
          <w:rFonts w:ascii="仿宋" w:hAnsi="仿宋" w:eastAsia="仿宋" w:cs="仿宋"/>
          <w:kern w:val="0"/>
          <w:sz w:val="24"/>
          <w:szCs w:val="24"/>
        </w:rPr>
      </w:pPr>
      <w:r>
        <w:rPr>
          <w:rFonts w:hint="eastAsia" w:ascii="仿宋" w:hAnsi="仿宋" w:eastAsia="仿宋" w:cs="仿宋"/>
          <w:sz w:val="24"/>
          <w:szCs w:val="24"/>
        </w:rPr>
        <w:t>4、低挥发性有机化合物产品：</w:t>
      </w:r>
      <w:r>
        <w:rPr>
          <w:rFonts w:hint="eastAsia" w:ascii="仿宋" w:hAnsi="仿宋" w:eastAsia="仿宋" w:cs="仿宋"/>
          <w:kern w:val="0"/>
          <w:sz w:val="24"/>
          <w:szCs w:val="24"/>
          <w:lang w:val="zh-CN"/>
        </w:rPr>
        <w:t>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kern w:val="0"/>
          <w:sz w:val="24"/>
          <w:szCs w:val="24"/>
        </w:rPr>
        <w:t>应</w:t>
      </w:r>
      <w:r>
        <w:rPr>
          <w:rFonts w:hint="eastAsia" w:ascii="仿宋" w:hAnsi="仿宋" w:eastAsia="仿宋" w:cs="仿宋"/>
          <w:kern w:val="0"/>
          <w:sz w:val="24"/>
          <w:szCs w:val="24"/>
          <w:lang w:val="zh-CN"/>
        </w:rPr>
        <w:t>优先使用低挥发性原辅材料</w:t>
      </w:r>
      <w:r>
        <w:rPr>
          <w:rFonts w:hint="eastAsia" w:ascii="仿宋" w:hAnsi="仿宋" w:eastAsia="仿宋" w:cs="仿宋"/>
          <w:kern w:val="0"/>
          <w:sz w:val="24"/>
          <w:szCs w:val="24"/>
        </w:rPr>
        <w:t>，将使用低</w:t>
      </w:r>
      <w:r>
        <w:rPr>
          <w:rFonts w:hint="eastAsia" w:ascii="仿宋" w:hAnsi="仿宋" w:eastAsia="仿宋" w:cs="仿宋"/>
          <w:kern w:val="0"/>
          <w:sz w:val="24"/>
          <w:szCs w:val="24"/>
          <w:lang w:val="zh-CN"/>
        </w:rPr>
        <w:t>VOCs含量的</w:t>
      </w:r>
      <w:r>
        <w:rPr>
          <w:rFonts w:hint="eastAsia" w:ascii="仿宋" w:hAnsi="仿宋" w:eastAsia="仿宋" w:cs="仿宋"/>
          <w:kern w:val="0"/>
          <w:sz w:val="24"/>
          <w:szCs w:val="24"/>
        </w:rPr>
        <w:t>涂料、</w:t>
      </w:r>
      <w:r>
        <w:rPr>
          <w:rFonts w:hint="eastAsia" w:ascii="仿宋" w:hAnsi="仿宋" w:eastAsia="仿宋" w:cs="仿宋"/>
          <w:kern w:val="0"/>
          <w:sz w:val="24"/>
          <w:szCs w:val="24"/>
          <w:lang w:val="zh-CN"/>
        </w:rPr>
        <w:t>胶黏剂</w:t>
      </w:r>
      <w:r>
        <w:rPr>
          <w:rFonts w:hint="eastAsia" w:ascii="仿宋" w:hAnsi="仿宋" w:eastAsia="仿宋" w:cs="仿宋"/>
          <w:kern w:val="0"/>
          <w:sz w:val="24"/>
          <w:szCs w:val="24"/>
        </w:rPr>
        <w:t>等纳入合同条款。</w:t>
      </w:r>
    </w:p>
    <w:p w14:paraId="682B27A2">
      <w:pPr>
        <w:spacing w:after="120" w:line="500" w:lineRule="exact"/>
        <w:ind w:firstLine="480" w:firstLineChars="200"/>
        <w:rPr>
          <w:rFonts w:ascii="仿宋" w:hAnsi="仿宋" w:eastAsia="仿宋" w:cs="仿宋"/>
          <w:kern w:val="0"/>
          <w:sz w:val="24"/>
          <w:szCs w:val="24"/>
          <w:lang w:val="zh-CN"/>
        </w:rPr>
      </w:pPr>
      <w:r>
        <w:rPr>
          <w:rFonts w:hint="eastAsia" w:ascii="仿宋" w:hAnsi="仿宋" w:eastAsia="仿宋" w:cs="仿宋"/>
          <w:sz w:val="24"/>
          <w:szCs w:val="24"/>
        </w:rPr>
        <w:t>5、节能环保产品：</w:t>
      </w:r>
      <w:r>
        <w:rPr>
          <w:rFonts w:hint="eastAsia" w:ascii="仿宋" w:hAnsi="仿宋" w:eastAsia="仿宋" w:cs="仿宋"/>
          <w:kern w:val="0"/>
          <w:sz w:val="24"/>
          <w:szCs w:val="24"/>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3EAE9FA">
      <w:pPr>
        <w:spacing w:after="120" w:line="500" w:lineRule="exact"/>
        <w:ind w:firstLine="480" w:firstLineChars="200"/>
        <w:rPr>
          <w:rFonts w:ascii="仿宋" w:hAnsi="仿宋" w:eastAsia="仿宋" w:cs="仿宋"/>
          <w:kern w:val="0"/>
          <w:sz w:val="24"/>
          <w:szCs w:val="24"/>
        </w:rPr>
      </w:pPr>
      <w:r>
        <w:rPr>
          <w:rFonts w:hint="eastAsia" w:ascii="仿宋" w:hAnsi="仿宋" w:eastAsia="仿宋" w:cs="仿宋"/>
          <w:bCs/>
          <w:kern w:val="0"/>
          <w:sz w:val="24"/>
          <w:szCs w:val="24"/>
        </w:rPr>
        <w:t>6、绿色低碳管理目标和服务要求：</w:t>
      </w:r>
      <w:r>
        <w:rPr>
          <w:rFonts w:hint="eastAsia" w:ascii="仿宋" w:hAnsi="仿宋" w:eastAsia="仿宋" w:cs="仿宋"/>
          <w:kern w:val="0"/>
          <w:sz w:val="24"/>
          <w:szCs w:val="24"/>
        </w:rPr>
        <w:t>在物业、合同能源管理等服务类采购项目需求中，要强化绿色低碳管理目标和服务要求，促进绿色产品和服务推广应用。</w:t>
      </w:r>
    </w:p>
    <w:p w14:paraId="32BE98DD">
      <w:pPr>
        <w:spacing w:after="120" w:line="500" w:lineRule="exact"/>
        <w:ind w:firstLine="480" w:firstLineChars="200"/>
        <w:rPr>
          <w:rFonts w:ascii="仿宋" w:hAnsi="仿宋" w:eastAsia="仿宋" w:cs="仿宋"/>
          <w:bCs/>
          <w:kern w:val="0"/>
          <w:sz w:val="24"/>
          <w:szCs w:val="24"/>
        </w:rPr>
      </w:pPr>
      <w:r>
        <w:rPr>
          <w:rFonts w:hint="eastAsia" w:ascii="仿宋" w:hAnsi="仿宋" w:eastAsia="仿宋" w:cs="仿宋"/>
          <w:bCs/>
          <w:kern w:val="0"/>
          <w:sz w:val="24"/>
          <w:szCs w:val="24"/>
        </w:rPr>
        <w:t>7、采购的货物或者服务属信创产品目录内容内的，须遵照信创产品要求提供货物或服务；</w:t>
      </w:r>
    </w:p>
    <w:p w14:paraId="3D72A6A3">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（八）非单一产品采购项目，采购标的中的核心产品；</w:t>
      </w:r>
    </w:p>
    <w:p w14:paraId="51FC0F3D">
      <w:pPr>
        <w:spacing w:after="120" w:line="500" w:lineRule="exact"/>
        <w:ind w:firstLine="480"/>
        <w:rPr>
          <w:rFonts w:ascii="仿宋" w:hAnsi="仿宋" w:eastAsia="仿宋" w:cs="仿宋"/>
          <w:b/>
          <w:bCs/>
          <w:sz w:val="24"/>
          <w:szCs w:val="24"/>
        </w:rPr>
      </w:pPr>
      <w:r>
        <w:rPr>
          <w:rFonts w:hint="eastAsia" w:ascii="仿宋" w:hAnsi="仿宋" w:eastAsia="仿宋" w:cs="仿宋"/>
          <w:bCs/>
          <w:i/>
          <w:iCs/>
          <w:kern w:val="0"/>
          <w:sz w:val="24"/>
          <w:szCs w:val="24"/>
          <w:u w:val="single"/>
          <w:lang w:bidi="ar"/>
        </w:rPr>
        <w:t>核心产品： 4K录播一体机</w:t>
      </w:r>
    </w:p>
    <w:p w14:paraId="6320FE0E">
      <w:pPr>
        <w:adjustRightInd w:val="0"/>
        <w:snapToGrid w:val="0"/>
        <w:spacing w:line="500" w:lineRule="exact"/>
        <w:rPr>
          <w:rFonts w:ascii="仿宋" w:hAnsi="仿宋" w:eastAsia="仿宋" w:cs="仿宋"/>
          <w:b/>
          <w:bCs/>
          <w:kern w:val="0"/>
          <w:sz w:val="24"/>
          <w:szCs w:val="24"/>
        </w:rPr>
      </w:pPr>
      <w:r>
        <w:rPr>
          <w:rFonts w:hint="eastAsia" w:ascii="仿宋" w:hAnsi="仿宋" w:eastAsia="仿宋" w:cs="仿宋"/>
          <w:b/>
          <w:bCs/>
          <w:sz w:val="24"/>
          <w:szCs w:val="24"/>
        </w:rPr>
        <w:t>（九） 付款方式：</w:t>
      </w:r>
      <w:r>
        <w:rPr>
          <w:rFonts w:hint="eastAsia" w:ascii="仿宋" w:hAnsi="仿宋" w:eastAsia="仿宋" w:cs="仿宋"/>
          <w:sz w:val="24"/>
          <w:szCs w:val="24"/>
        </w:rPr>
        <w:t>安装完成且</w:t>
      </w:r>
      <w:r>
        <w:rPr>
          <w:rFonts w:hint="eastAsia" w:ascii="仿宋" w:hAnsi="仿宋" w:eastAsia="仿宋" w:cs="仿宋"/>
          <w:sz w:val="24"/>
          <w:szCs w:val="24"/>
          <w:lang w:bidi="ar"/>
        </w:rPr>
        <w:t>验</w:t>
      </w:r>
      <w:r>
        <w:rPr>
          <w:rFonts w:hint="eastAsia" w:ascii="仿宋" w:hAnsi="仿宋" w:eastAsia="仿宋" w:cs="仿宋"/>
          <w:bCs/>
          <w:sz w:val="24"/>
          <w:szCs w:val="24"/>
          <w:lang w:bidi="ar"/>
        </w:rPr>
        <w:t>收合格后支付至合同价款的100%，</w:t>
      </w:r>
      <w:r>
        <w:rPr>
          <w:rFonts w:hint="eastAsia" w:ascii="仿宋" w:hAnsi="仿宋" w:eastAsia="仿宋" w:cs="仿宋"/>
          <w:b/>
          <w:bCs/>
          <w:kern w:val="0"/>
          <w:sz w:val="24"/>
          <w:szCs w:val="24"/>
          <w:lang w:val="zh-CN"/>
        </w:rPr>
        <w:t>采购人应在验收合格，收到发票后</w:t>
      </w:r>
      <w:r>
        <w:rPr>
          <w:rFonts w:hint="eastAsia" w:ascii="仿宋" w:hAnsi="仿宋" w:eastAsia="仿宋" w:cs="仿宋"/>
          <w:b/>
          <w:bCs/>
          <w:kern w:val="0"/>
          <w:sz w:val="24"/>
          <w:szCs w:val="24"/>
        </w:rPr>
        <w:t>10个工作日内将资金支付到成交供应商账户。</w:t>
      </w:r>
    </w:p>
    <w:p w14:paraId="6CFF0092">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（十）履约保证金：</w:t>
      </w:r>
    </w:p>
    <w:p w14:paraId="71B94429">
      <w:pPr>
        <w:spacing w:after="120" w:line="500" w:lineRule="exact"/>
        <w:ind w:firstLine="480" w:firstLineChars="200"/>
        <w:rPr>
          <w:rFonts w:ascii="仿宋" w:hAnsi="仿宋" w:eastAsia="仿宋" w:cs="仿宋"/>
          <w:kern w:val="0"/>
          <w:sz w:val="24"/>
          <w:szCs w:val="24"/>
          <w:lang w:val="zh-CN"/>
        </w:rPr>
      </w:pPr>
      <w:r>
        <w:rPr>
          <w:rFonts w:hint="eastAsia" w:ascii="仿宋" w:hAnsi="仿宋" w:eastAsia="仿宋" w:cs="仿宋"/>
          <w:color w:val="000000"/>
          <w:kern w:val="0"/>
          <w:sz w:val="24"/>
          <w:szCs w:val="24"/>
          <w:lang w:val="zh-CN"/>
        </w:rPr>
        <w:t>本项目成交后的履约保证金为项目成交价的</w:t>
      </w:r>
      <w:r>
        <w:rPr>
          <w:rFonts w:ascii="仿宋" w:hAnsi="仿宋" w:eastAsia="仿宋" w:cs="仿宋"/>
          <w:sz w:val="24"/>
          <w:szCs w:val="24"/>
        </w:rPr>
        <w:t>5</w:t>
      </w:r>
      <w:r>
        <w:rPr>
          <w:rFonts w:hint="eastAsia" w:ascii="仿宋" w:hAnsi="仿宋" w:eastAsia="仿宋" w:cs="仿宋"/>
          <w:color w:val="000000"/>
          <w:kern w:val="0"/>
          <w:sz w:val="24"/>
          <w:szCs w:val="24"/>
          <w:lang w:val="zh-CN"/>
        </w:rPr>
        <w:t>%</w:t>
      </w:r>
      <w:r>
        <w:rPr>
          <w:rFonts w:hint="eastAsia" w:ascii="仿宋" w:hAnsi="仿宋" w:eastAsia="仿宋" w:cs="仿宋"/>
          <w:kern w:val="0"/>
          <w:sz w:val="24"/>
          <w:szCs w:val="24"/>
          <w:lang w:val="zh-CN"/>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6C08CB8">
      <w:pPr>
        <w:spacing w:line="0" w:lineRule="atLeast"/>
        <w:rPr>
          <w:rFonts w:ascii="仿宋" w:hAnsi="仿宋" w:eastAsia="仿宋" w:cs="仿宋"/>
          <w:b/>
          <w:color w:val="000000"/>
          <w:sz w:val="24"/>
          <w:szCs w:val="24"/>
        </w:rPr>
      </w:pPr>
      <w:r>
        <w:rPr>
          <w:rFonts w:hint="eastAsia" w:ascii="仿宋" w:hAnsi="仿宋" w:eastAsia="仿宋" w:cs="仿宋"/>
          <w:b/>
          <w:color w:val="000000"/>
          <w:sz w:val="24"/>
          <w:szCs w:val="24"/>
        </w:rPr>
        <w:t>（十一）演示要求</w:t>
      </w:r>
    </w:p>
    <w:p w14:paraId="5D48626D">
      <w:pPr>
        <w:spacing w:line="0" w:lineRule="atLeast"/>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 上传视频演示</w:t>
      </w:r>
    </w:p>
    <w:p w14:paraId="37576BA6">
      <w:pPr>
        <w:spacing w:after="120"/>
        <w:ind w:firstLine="240"/>
        <w:rPr>
          <w:rFonts w:ascii="仿宋" w:hAnsi="仿宋" w:eastAsia="仿宋" w:cs="仿宋"/>
          <w:bCs/>
          <w:color w:val="000000"/>
          <w:sz w:val="24"/>
          <w:szCs w:val="24"/>
        </w:rPr>
      </w:pPr>
      <w:r>
        <w:rPr>
          <w:rFonts w:hint="eastAsia" w:ascii="仿宋" w:hAnsi="仿宋" w:eastAsia="仿宋" w:cs="仿宋"/>
          <w:bCs/>
          <w:color w:val="000000"/>
          <w:sz w:val="24"/>
          <w:szCs w:val="24"/>
        </w:rPr>
        <w:t>1.供应商需按照</w:t>
      </w:r>
      <w:r>
        <w:rPr>
          <w:rFonts w:hint="eastAsia" w:ascii="仿宋" w:hAnsi="仿宋" w:eastAsia="仿宋" w:cs="仿宋"/>
          <w:kern w:val="0"/>
          <w:sz w:val="24"/>
          <w:szCs w:val="24"/>
          <w:lang w:val="zh-CN"/>
        </w:rPr>
        <w:t>磋商文件规定的演示内容制作演示视频文件</w:t>
      </w:r>
      <w:r>
        <w:rPr>
          <w:rFonts w:hint="eastAsia" w:ascii="仿宋" w:hAnsi="仿宋" w:eastAsia="仿宋" w:cs="仿宋"/>
          <w:bCs/>
          <w:color w:val="000000"/>
          <w:sz w:val="24"/>
          <w:szCs w:val="24"/>
        </w:rPr>
        <w:t>，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p>
    <w:p w14:paraId="10BE9DCE">
      <w:pPr>
        <w:spacing w:line="0" w:lineRule="atLeast"/>
        <w:ind w:firstLine="420"/>
        <w:rPr>
          <w:rFonts w:ascii="仿宋" w:hAnsi="仿宋" w:eastAsia="仿宋" w:cs="仿宋"/>
          <w:color w:val="000000"/>
          <w:sz w:val="24"/>
          <w:szCs w:val="24"/>
        </w:rPr>
      </w:pPr>
      <w:r>
        <w:rPr>
          <w:rFonts w:hint="eastAsia" w:ascii="仿宋" w:hAnsi="仿宋" w:eastAsia="仿宋" w:cs="仿宋"/>
          <w:b/>
          <w:bCs/>
          <w:color w:val="000000"/>
          <w:sz w:val="24"/>
          <w:szCs w:val="24"/>
        </w:rPr>
        <w:t>2、演示内容如下：</w:t>
      </w:r>
    </w:p>
    <w:p w14:paraId="7BF4BC4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提供资源管理平台应用系统的演示视频：</w:t>
      </w:r>
    </w:p>
    <w:p w14:paraId="0487D234">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rPr>
        <w:t>①</w:t>
      </w:r>
      <w:r>
        <w:rPr>
          <w:rFonts w:hint="eastAsia" w:ascii="仿宋" w:hAnsi="仿宋" w:eastAsia="仿宋" w:cs="仿宋"/>
          <w:sz w:val="24"/>
          <w:szCs w:val="24"/>
          <w:lang w:val="zh-CN"/>
        </w:rPr>
        <w:t>课堂预警功能：按时间线展示本节课所有AI识别到的课堂异常预警，按预警类型用不同颜色区分，每个预警显示标记时间、持续时长，点击“查看视频”可直接跳转到预警发生的对应时间点，查看异常发生时的课堂画面。</w:t>
      </w:r>
    </w:p>
    <w:p w14:paraId="35A5D7C6">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rPr>
        <w:t>②</w:t>
      </w:r>
      <w:r>
        <w:rPr>
          <w:rFonts w:hint="eastAsia" w:ascii="仿宋" w:hAnsi="仿宋" w:eastAsia="仿宋" w:cs="仿宋"/>
          <w:sz w:val="24"/>
          <w:szCs w:val="24"/>
          <w:lang w:val="zh-CN"/>
        </w:rPr>
        <w:t>语音转写功能：自动将整节课教师与学生的语音实时转写为文字，自动提取课程核心知识点标签，支持关键词搜索快速定位内容；自动生成课堂全文摘要，总结本节课讲解的核心内容；标注语音转写准确率。</w:t>
      </w:r>
    </w:p>
    <w:p w14:paraId="37283055">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rPr>
        <w:t>③</w:t>
      </w:r>
      <w:r>
        <w:rPr>
          <w:rFonts w:hint="eastAsia" w:ascii="仿宋" w:hAnsi="仿宋" w:eastAsia="仿宋" w:cs="仿宋"/>
          <w:sz w:val="24"/>
          <w:szCs w:val="24"/>
          <w:lang w:val="zh-CN"/>
        </w:rPr>
        <w:t>督导评课功能：支持AI自动评课与人工督导评课双维度评分，可根据课程类型选择理论课/实践课等不同评课模板；分别展示督导总分与AI总分，支持一键查看完整评课报告；按评课维度（教师素养与态度、教学内容与设计、教学方法与艺术、教学资源与信息化等）分项展示督导打分与AI打分，支持人工修改调整评分。</w:t>
      </w:r>
    </w:p>
    <w:p w14:paraId="686138DE">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④知识点思维导图功能：自动生成本节课知识点思维导图，按课程核心模块分类梳理二级、三级知识点，用不同颜色区分知识模块，支持查看完整课程知识图谱，直观展示整门课程的知识结构体系。</w:t>
      </w:r>
    </w:p>
    <w:p w14:paraId="69F34546">
      <w:pPr>
        <w:adjustRightInd w:val="0"/>
        <w:snapToGrid w:val="0"/>
        <w:spacing w:line="500" w:lineRule="exact"/>
        <w:ind w:firstLine="480" w:firstLineChars="200"/>
        <w:rPr>
          <w:rFonts w:ascii="仿宋" w:hAnsi="仿宋" w:eastAsia="仿宋" w:cs="仿宋"/>
          <w:kern w:val="0"/>
          <w:sz w:val="24"/>
          <w:szCs w:val="24"/>
          <w:lang w:val="zh-CN"/>
        </w:rPr>
      </w:pPr>
      <w:r>
        <w:rPr>
          <w:rFonts w:hint="eastAsia" w:ascii="仿宋" w:hAnsi="仿宋" w:eastAsia="仿宋" w:cs="仿宋"/>
          <w:sz w:val="24"/>
          <w:szCs w:val="24"/>
          <w:lang w:val="zh-CN"/>
        </w:rPr>
        <w:t>⑤支持单节课的多画面同步回放，支持切换主显示画面，提供播放/暂停、进度条拖动、全屏等标准播放控制功能。</w:t>
      </w:r>
    </w:p>
    <w:p w14:paraId="075CB2AC">
      <w:pPr>
        <w:adjustRightInd w:val="0"/>
        <w:snapToGrid w:val="0"/>
        <w:spacing w:line="500" w:lineRule="exact"/>
        <w:rPr>
          <w:rFonts w:ascii="仿宋" w:hAnsi="仿宋" w:eastAsia="仿宋" w:cs="仿宋"/>
          <w:sz w:val="24"/>
          <w:szCs w:val="24"/>
          <w:highlight w:val="cyan"/>
        </w:rPr>
      </w:pPr>
      <w:r>
        <w:rPr>
          <w:rFonts w:hint="eastAsia" w:ascii="仿宋" w:hAnsi="仿宋" w:eastAsia="仿宋" w:cs="仿宋"/>
          <w:b/>
          <w:bCs/>
          <w:sz w:val="24"/>
          <w:szCs w:val="24"/>
        </w:rPr>
        <w:t>（十二）本项目不</w:t>
      </w:r>
      <w:r>
        <w:rPr>
          <w:rFonts w:hint="eastAsia" w:ascii="仿宋" w:hAnsi="仿宋" w:eastAsia="仿宋" w:cs="仿宋"/>
          <w:b/>
          <w:sz w:val="24"/>
          <w:szCs w:val="24"/>
        </w:rPr>
        <w:t>接受</w:t>
      </w:r>
      <w:r>
        <w:rPr>
          <w:rFonts w:hint="eastAsia" w:ascii="仿宋" w:hAnsi="仿宋" w:eastAsia="仿宋" w:cs="仿宋"/>
          <w:b/>
          <w:bCs/>
          <w:sz w:val="24"/>
          <w:szCs w:val="24"/>
        </w:rPr>
        <w:t>进口产品参与</w:t>
      </w:r>
    </w:p>
    <w:p w14:paraId="53799B8B">
      <w:pPr>
        <w:keepNext/>
        <w:spacing w:line="500" w:lineRule="exact"/>
        <w:jc w:val="center"/>
        <w:outlineLvl w:val="0"/>
        <w:rPr>
          <w:rFonts w:ascii="仿宋" w:hAnsi="仿宋" w:eastAsia="仿宋" w:cs="仿宋"/>
          <w:b/>
          <w:sz w:val="44"/>
          <w:szCs w:val="28"/>
        </w:rPr>
      </w:pPr>
      <w:bookmarkStart w:id="209" w:name="_Toc120614281"/>
      <w:r>
        <w:rPr>
          <w:rFonts w:hint="eastAsia" w:ascii="仿宋" w:hAnsi="仿宋" w:eastAsia="仿宋" w:cs="仿宋"/>
          <w:bCs/>
          <w:sz w:val="44"/>
          <w:szCs w:val="28"/>
        </w:rPr>
        <w:br w:type="page"/>
      </w:r>
      <w:bookmarkStart w:id="210" w:name="_Toc88"/>
      <w:bookmarkStart w:id="211" w:name="_Toc19886"/>
      <w:bookmarkStart w:id="212" w:name="_Toc20957"/>
      <w:r>
        <w:rPr>
          <w:rFonts w:hint="eastAsia" w:ascii="仿宋" w:hAnsi="仿宋" w:eastAsia="仿宋" w:cs="仿宋"/>
          <w:b/>
          <w:sz w:val="44"/>
          <w:szCs w:val="28"/>
        </w:rPr>
        <w:t>第五章  评审方法与评审标准</w:t>
      </w:r>
      <w:bookmarkEnd w:id="210"/>
      <w:bookmarkEnd w:id="211"/>
      <w:bookmarkEnd w:id="212"/>
    </w:p>
    <w:p w14:paraId="0722C703">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41C6B507">
      <w:pPr>
        <w:pStyle w:val="13"/>
        <w:spacing w:line="500" w:lineRule="exact"/>
        <w:ind w:firstLine="480"/>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358A45A2">
      <w:pPr>
        <w:pStyle w:val="13"/>
        <w:spacing w:line="500" w:lineRule="exact"/>
        <w:ind w:firstLine="480"/>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0234D68E">
      <w:pPr>
        <w:adjustRightInd w:val="0"/>
        <w:spacing w:before="120" w:after="120" w:line="360" w:lineRule="auto"/>
        <w:jc w:val="left"/>
        <w:textAlignment w:val="baseline"/>
        <w:rPr>
          <w:rFonts w:ascii="仿宋" w:hAnsi="仿宋" w:eastAsia="仿宋" w:cs="仿宋"/>
          <w:b/>
          <w:sz w:val="24"/>
          <w:szCs w:val="24"/>
          <w:highlight w:val="cyan"/>
        </w:rPr>
      </w:pPr>
      <w:r>
        <w:rPr>
          <w:rFonts w:hint="eastAsia" w:ascii="仿宋" w:hAnsi="仿宋" w:eastAsia="仿宋" w:cs="仿宋"/>
          <w:b/>
          <w:bCs/>
          <w:sz w:val="32"/>
          <w:szCs w:val="32"/>
        </w:rPr>
        <w:t>二、政府采购政策功能落实</w:t>
      </w:r>
    </w:p>
    <w:p w14:paraId="25F252C2">
      <w:pPr>
        <w:pStyle w:val="13"/>
        <w:ind w:firstLine="480"/>
        <w:jc w:val="left"/>
        <w:rPr>
          <w:rFonts w:ascii="仿宋" w:hAnsi="仿宋" w:eastAsia="仿宋" w:cs="仿宋"/>
          <w:sz w:val="24"/>
          <w:szCs w:val="24"/>
        </w:rPr>
      </w:pPr>
      <w:r>
        <w:rPr>
          <w:rFonts w:hint="eastAsia" w:ascii="仿宋" w:hAnsi="仿宋" w:eastAsia="仿宋" w:cs="仿宋"/>
          <w:sz w:val="24"/>
          <w:szCs w:val="24"/>
        </w:rPr>
        <w:t>1、小微型企业价格扣除</w:t>
      </w:r>
    </w:p>
    <w:p w14:paraId="479F16ED">
      <w:pPr>
        <w:pStyle w:val="13"/>
        <w:ind w:firstLine="480"/>
        <w:rPr>
          <w:rFonts w:ascii="仿宋" w:hAnsi="仿宋" w:eastAsia="仿宋" w:cs="仿宋"/>
          <w:sz w:val="24"/>
          <w:szCs w:val="24"/>
        </w:rPr>
      </w:pPr>
      <w:r>
        <w:rPr>
          <w:rFonts w:hint="eastAsia" w:ascii="仿宋" w:hAnsi="仿宋" w:eastAsia="仿宋" w:cs="仿宋"/>
          <w:sz w:val="24"/>
          <w:szCs w:val="24"/>
        </w:rPr>
        <w:t>（1）本项目对小型和微型企业产品/本项目对小型和微型企业提供的服务给予10%的扣除价格，用扣除后的价格参与评审。</w:t>
      </w:r>
    </w:p>
    <w:p w14:paraId="5035E972">
      <w:pPr>
        <w:pStyle w:val="13"/>
        <w:ind w:firstLine="480"/>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（2）供应商需按照《政府采购促进中小企业发展管理办法》（财库〔2020〕46 号）的规定提供相应的《中小企业声明函》。</w:t>
      </w:r>
    </w:p>
    <w:p w14:paraId="6938CBC6">
      <w:pPr>
        <w:pStyle w:val="13"/>
        <w:ind w:firstLine="480"/>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w:t>
      </w:r>
      <w:bookmarkStart w:id="213" w:name="OLE_LINK1"/>
      <w:r>
        <w:rPr>
          <w:rFonts w:hint="eastAsia" w:ascii="仿宋" w:hAnsi="仿宋" w:eastAsia="仿宋" w:cs="仿宋"/>
          <w:sz w:val="24"/>
          <w:szCs w:val="24"/>
        </w:rPr>
        <w:t>工信部联企业〔2011〕300号）</w:t>
      </w:r>
      <w:bookmarkEnd w:id="213"/>
      <w:r>
        <w:rPr>
          <w:rFonts w:hint="eastAsia" w:ascii="仿宋" w:hAnsi="仿宋" w:eastAsia="仿宋" w:cs="仿宋"/>
          <w:sz w:val="24"/>
          <w:szCs w:val="24"/>
        </w:rPr>
        <w:t>文件规定自行填写。</w:t>
      </w:r>
    </w:p>
    <w:p w14:paraId="3D2D8FA5">
      <w:pPr>
        <w:pStyle w:val="13"/>
        <w:ind w:firstLine="480"/>
        <w:rPr>
          <w:rFonts w:ascii="仿宋" w:hAnsi="仿宋" w:eastAsia="仿宋" w:cs="仿宋"/>
          <w:sz w:val="24"/>
          <w:szCs w:val="24"/>
        </w:rPr>
      </w:pPr>
      <w:r>
        <w:rPr>
          <w:rFonts w:hint="eastAsia" w:ascii="仿宋" w:hAnsi="仿宋" w:eastAsia="仿宋" w:cs="仿宋"/>
          <w:sz w:val="24"/>
          <w:szCs w:val="24"/>
        </w:rPr>
        <w:t>2、残疾人福利单位价格扣除</w:t>
      </w:r>
    </w:p>
    <w:p w14:paraId="50E3DF14">
      <w:pPr>
        <w:pStyle w:val="13"/>
        <w:ind w:firstLine="480"/>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24E8080F">
      <w:pPr>
        <w:pStyle w:val="13"/>
        <w:ind w:firstLine="480"/>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0CADD9D1">
      <w:pPr>
        <w:pStyle w:val="13"/>
        <w:ind w:firstLine="480"/>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43D54E05">
      <w:pPr>
        <w:pStyle w:val="13"/>
        <w:ind w:firstLine="480"/>
        <w:rPr>
          <w:rFonts w:ascii="仿宋" w:hAnsi="仿宋" w:eastAsia="仿宋" w:cs="仿宋"/>
          <w:sz w:val="24"/>
          <w:szCs w:val="24"/>
        </w:rPr>
      </w:pPr>
      <w:r>
        <w:rPr>
          <w:rFonts w:hint="eastAsia" w:ascii="仿宋" w:hAnsi="仿宋" w:eastAsia="仿宋" w:cs="仿宋"/>
          <w:sz w:val="24"/>
          <w:szCs w:val="24"/>
        </w:rPr>
        <w:t>3、监狱和戒毒企业价格扣除</w:t>
      </w:r>
    </w:p>
    <w:p w14:paraId="745069B1">
      <w:pPr>
        <w:pStyle w:val="13"/>
        <w:ind w:firstLine="480"/>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38B04B8F">
      <w:pPr>
        <w:pStyle w:val="13"/>
        <w:ind w:firstLine="480"/>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2E0DF2F0">
      <w:pPr>
        <w:pStyle w:val="13"/>
        <w:ind w:firstLine="480"/>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（3）监狱企业标准请参照《关于政府采购支持监狱企业发展有关问题的通知》（财库〔2014〕68号）。</w:t>
      </w:r>
    </w:p>
    <w:p w14:paraId="3C853349">
      <w:pPr>
        <w:pStyle w:val="13"/>
        <w:ind w:firstLine="480"/>
        <w:rPr>
          <w:rFonts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w:t>
      </w:r>
    </w:p>
    <w:p w14:paraId="365231A9">
      <w:pPr>
        <w:pStyle w:val="13"/>
        <w:ind w:firstLine="480"/>
        <w:rPr>
          <w:rFonts w:ascii="仿宋" w:hAnsi="仿宋" w:eastAsia="仿宋" w:cs="仿宋"/>
          <w:sz w:val="24"/>
          <w:szCs w:val="24"/>
        </w:rPr>
      </w:pPr>
      <w:r>
        <w:rPr>
          <w:rFonts w:hint="eastAsia" w:ascii="仿宋" w:hAnsi="仿宋" w:eastAsia="仿宋" w:cs="仿宋"/>
          <w:sz w:val="24"/>
          <w:szCs w:val="24"/>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4CDA0FFA">
      <w:pPr>
        <w:pStyle w:val="13"/>
        <w:ind w:firstLine="480"/>
        <w:rPr>
          <w:rFonts w:ascii="仿宋" w:hAnsi="仿宋" w:eastAsia="仿宋" w:cs="仿宋"/>
          <w:sz w:val="24"/>
          <w:szCs w:val="24"/>
        </w:rPr>
      </w:pPr>
      <w:r>
        <w:rPr>
          <w:rFonts w:hint="eastAsia" w:ascii="仿宋" w:hAnsi="仿宋" w:eastAsia="仿宋" w:cs="仿宋"/>
          <w:sz w:val="24"/>
          <w:szCs w:val="24"/>
        </w:rPr>
        <w:t>6、联合体各方均为小型、微型企业（残疾人福利单位、监狱企业）的，联合体享受10%价格扣除，用扣除后的价格参与评审。</w:t>
      </w:r>
    </w:p>
    <w:p w14:paraId="57632CDF">
      <w:pPr>
        <w:pStyle w:val="13"/>
        <w:ind w:firstLine="482"/>
        <w:rPr>
          <w:rFonts w:ascii="仿宋" w:hAnsi="仿宋" w:eastAsia="仿宋" w:cs="仿宋"/>
          <w:b/>
          <w:bCs/>
          <w:sz w:val="24"/>
          <w:szCs w:val="24"/>
        </w:rPr>
      </w:pPr>
      <w:r>
        <w:rPr>
          <w:rFonts w:hint="eastAsia" w:ascii="仿宋" w:hAnsi="仿宋" w:eastAsia="仿宋" w:cs="仿宋"/>
          <w:b/>
          <w:bCs/>
          <w:sz w:val="24"/>
          <w:szCs w:val="24"/>
        </w:rPr>
        <w:t>7、专门面向中小企业采购的项目或者采购包，不再执行价格评审优惠的扶持政策。</w:t>
      </w:r>
    </w:p>
    <w:p w14:paraId="46A022B6">
      <w:pPr>
        <w:pStyle w:val="13"/>
        <w:ind w:firstLine="480"/>
        <w:rPr>
          <w:rFonts w:ascii="仿宋" w:hAnsi="仿宋" w:eastAsia="仿宋" w:cs="仿宋"/>
        </w:rPr>
      </w:pPr>
      <w:r>
        <w:rPr>
          <w:rFonts w:hint="eastAsia" w:ascii="仿宋" w:hAnsi="仿宋" w:eastAsia="仿宋" w:cs="仿宋"/>
          <w:sz w:val="24"/>
          <w:szCs w:val="24"/>
        </w:rPr>
        <w:t>8、根据《江苏省政府采购信用管理暂行办法》的规定，供应商信用评价结果为三星的扣2分，评价结果为二星的扣3分，评价结果为一星的扣4分</w:t>
      </w:r>
      <w:r>
        <w:rPr>
          <w:rFonts w:hint="eastAsia" w:ascii="仿宋" w:hAnsi="仿宋" w:eastAsia="仿宋" w:cs="仿宋"/>
        </w:rPr>
        <w:t>。</w:t>
      </w:r>
    </w:p>
    <w:p w14:paraId="038A648B">
      <w:pPr>
        <w:pStyle w:val="13"/>
        <w:ind w:firstLine="480"/>
        <w:rPr>
          <w:rFonts w:ascii="仿宋" w:hAnsi="仿宋" w:eastAsia="仿宋" w:cs="仿宋"/>
          <w:sz w:val="24"/>
          <w:szCs w:val="24"/>
        </w:rPr>
      </w:pPr>
      <w:r>
        <w:rPr>
          <w:rFonts w:hint="eastAsia" w:ascii="仿宋" w:hAnsi="仿宋" w:eastAsia="仿宋" w:cs="仿宋"/>
          <w:sz w:val="24"/>
          <w:szCs w:val="24"/>
        </w:rPr>
        <w:t>9、采购本国产品的支持政策</w:t>
      </w:r>
    </w:p>
    <w:p w14:paraId="7B98D9B7">
      <w:pPr>
        <w:pStyle w:val="13"/>
        <w:ind w:firstLine="480"/>
        <w:rPr>
          <w:rFonts w:ascii="仿宋" w:hAnsi="仿宋" w:eastAsia="仿宋" w:cs="仿宋"/>
          <w:sz w:val="24"/>
          <w:szCs w:val="24"/>
        </w:rPr>
      </w:pPr>
      <w:r>
        <w:rPr>
          <w:rFonts w:hint="eastAsia" w:ascii="仿宋" w:hAnsi="仿宋" w:eastAsia="仿宋" w:cs="仿宋"/>
          <w:sz w:val="24"/>
          <w:szCs w:val="24"/>
        </w:rPr>
        <w:t>9.1 本项目政府采购活动中既有本国产品又有非本国产品参与竞争的，依法对本国产品给予价格评审优惠，对本国产品的报价给予 20%的价格扣除，用扣除后的价格参与评审。</w:t>
      </w:r>
    </w:p>
    <w:p w14:paraId="0082C1A5">
      <w:pPr>
        <w:pStyle w:val="13"/>
        <w:ind w:firstLine="480"/>
        <w:rPr>
          <w:rFonts w:ascii="仿宋" w:hAnsi="仿宋" w:eastAsia="仿宋" w:cs="仿宋"/>
          <w:sz w:val="24"/>
          <w:szCs w:val="24"/>
        </w:rPr>
      </w:pPr>
      <w:r>
        <w:rPr>
          <w:rFonts w:hint="eastAsia" w:ascii="仿宋" w:hAnsi="仿宋" w:eastAsia="仿宋" w:cs="仿宋"/>
          <w:sz w:val="24"/>
          <w:szCs w:val="24"/>
        </w:rPr>
        <w:t>9.2 当采购项目或者采购包中含有多种产品，供应商为该采购项目或者采购包提供的符合本国产品标准的产品成本之和占该供应商提供的全部产品成本之和的比例达到80%以上时（供应商需在“第六章 响应文件格式”的“附件1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71EB08">
      <w:pPr>
        <w:pStyle w:val="13"/>
        <w:ind w:firstLine="480"/>
        <w:rPr>
          <w:rFonts w:ascii="仿宋" w:hAnsi="仿宋" w:eastAsia="仿宋" w:cs="仿宋"/>
          <w:sz w:val="24"/>
          <w:szCs w:val="24"/>
        </w:rPr>
      </w:pPr>
      <w:r>
        <w:rPr>
          <w:rFonts w:hint="eastAsia" w:ascii="仿宋" w:hAnsi="仿宋" w:eastAsia="仿宋" w:cs="仿宋"/>
          <w:sz w:val="24"/>
          <w:szCs w:val="24"/>
        </w:rPr>
        <w:t>9.3 供应商需按照招标文件的要求提供《关于符合本国产品标准的声明函》（以下简称《声明函》），如不提供将不享受本国产品价格评审优惠。</w:t>
      </w:r>
    </w:p>
    <w:p w14:paraId="1EABF2F1">
      <w:pPr>
        <w:pStyle w:val="13"/>
        <w:ind w:firstLine="480"/>
        <w:rPr>
          <w:rFonts w:ascii="仿宋" w:hAnsi="仿宋" w:eastAsia="仿宋" w:cs="仿宋"/>
          <w:sz w:val="24"/>
          <w:szCs w:val="24"/>
        </w:rPr>
      </w:pPr>
      <w:r>
        <w:rPr>
          <w:rFonts w:hint="eastAsia" w:ascii="仿宋" w:hAnsi="仿宋" w:eastAsia="仿宋" w:cs="仿宋"/>
          <w:sz w:val="24"/>
          <w:szCs w:val="24"/>
        </w:rPr>
        <w:t>9.4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09F8A07">
      <w:pPr>
        <w:pStyle w:val="13"/>
        <w:ind w:firstLine="480"/>
        <w:rPr>
          <w:rFonts w:ascii="仿宋" w:hAnsi="仿宋" w:eastAsia="仿宋" w:cs="仿宋"/>
          <w:sz w:val="24"/>
          <w:szCs w:val="24"/>
        </w:rPr>
      </w:pPr>
      <w:r>
        <w:rPr>
          <w:rFonts w:hint="eastAsia" w:ascii="仿宋" w:hAnsi="仿宋" w:eastAsia="仿宋" w:cs="仿宋"/>
          <w:sz w:val="24"/>
          <w:szCs w:val="24"/>
        </w:rPr>
        <w:t>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B74DB78">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67D24646">
      <w:pPr>
        <w:pStyle w:val="13"/>
        <w:ind w:firstLine="480"/>
        <w:rPr>
          <w:rFonts w:ascii="仿宋" w:hAnsi="仿宋" w:eastAsia="仿宋" w:cs="仿宋"/>
          <w:sz w:val="24"/>
          <w:szCs w:val="24"/>
        </w:rPr>
      </w:pPr>
      <w:r>
        <w:rPr>
          <w:rFonts w:hint="eastAsia" w:ascii="仿宋" w:hAnsi="仿宋" w:eastAsia="仿宋" w:cs="仿宋"/>
          <w:sz w:val="24"/>
          <w:szCs w:val="24"/>
        </w:rPr>
        <w:t>本项目采用综合评分法，磋商小组将按下列评审方法与评审标准进行评分，总分值为100分。</w:t>
      </w:r>
    </w:p>
    <w:tbl>
      <w:tblPr>
        <w:tblStyle w:val="14"/>
        <w:tblpPr w:leftFromText="180" w:rightFromText="180" w:vertAnchor="text" w:horzAnchor="page" w:tblpX="1117" w:tblpY="545"/>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54"/>
        <w:gridCol w:w="792"/>
      </w:tblGrid>
      <w:tr w14:paraId="3773F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vAlign w:val="center"/>
          </w:tcPr>
          <w:p w14:paraId="4DB22179">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vAlign w:val="center"/>
          </w:tcPr>
          <w:p w14:paraId="75771F28">
            <w:pPr>
              <w:jc w:val="center"/>
              <w:rPr>
                <w:rFonts w:ascii="仿宋" w:hAnsi="仿宋" w:eastAsia="仿宋" w:cs="仿宋"/>
                <w:b/>
                <w:bCs/>
                <w:sz w:val="22"/>
              </w:rPr>
            </w:pPr>
            <w:r>
              <w:rPr>
                <w:rFonts w:hint="eastAsia" w:ascii="仿宋" w:hAnsi="仿宋" w:eastAsia="仿宋" w:cs="仿宋"/>
                <w:b/>
                <w:bCs/>
                <w:sz w:val="22"/>
              </w:rPr>
              <w:t>评分因素</w:t>
            </w:r>
          </w:p>
        </w:tc>
        <w:tc>
          <w:tcPr>
            <w:tcW w:w="6874" w:type="dxa"/>
            <w:gridSpan w:val="2"/>
            <w:shd w:val="clear" w:color="auto" w:fill="BFBFBF"/>
            <w:vAlign w:val="center"/>
          </w:tcPr>
          <w:p w14:paraId="09F5A2C1">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vAlign w:val="center"/>
          </w:tcPr>
          <w:p w14:paraId="43ED50AF">
            <w:pPr>
              <w:jc w:val="center"/>
              <w:rPr>
                <w:rFonts w:ascii="仿宋" w:hAnsi="仿宋" w:eastAsia="仿宋" w:cs="仿宋"/>
                <w:b/>
                <w:bCs/>
                <w:sz w:val="22"/>
              </w:rPr>
            </w:pPr>
            <w:r>
              <w:rPr>
                <w:rFonts w:hint="eastAsia" w:ascii="仿宋" w:hAnsi="仿宋" w:eastAsia="仿宋" w:cs="仿宋"/>
                <w:b/>
                <w:bCs/>
                <w:sz w:val="22"/>
              </w:rPr>
              <w:t>分值</w:t>
            </w:r>
          </w:p>
        </w:tc>
      </w:tr>
      <w:tr w14:paraId="7712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vAlign w:val="center"/>
          </w:tcPr>
          <w:p w14:paraId="54DE531A">
            <w:pPr>
              <w:jc w:val="center"/>
              <w:rPr>
                <w:rFonts w:ascii="仿宋" w:hAnsi="仿宋" w:eastAsia="仿宋" w:cs="仿宋"/>
                <w:sz w:val="22"/>
              </w:rPr>
            </w:pPr>
            <w:r>
              <w:rPr>
                <w:rFonts w:hint="eastAsia" w:ascii="仿宋" w:hAnsi="仿宋" w:eastAsia="仿宋" w:cs="仿宋"/>
                <w:sz w:val="22"/>
              </w:rPr>
              <w:t>1</w:t>
            </w:r>
          </w:p>
        </w:tc>
        <w:tc>
          <w:tcPr>
            <w:tcW w:w="1508" w:type="dxa"/>
            <w:vAlign w:val="center"/>
          </w:tcPr>
          <w:p w14:paraId="06FB8E48">
            <w:pPr>
              <w:jc w:val="center"/>
              <w:rPr>
                <w:rFonts w:ascii="仿宋" w:hAnsi="仿宋" w:eastAsia="仿宋" w:cs="仿宋"/>
                <w:sz w:val="22"/>
              </w:rPr>
            </w:pPr>
            <w:r>
              <w:rPr>
                <w:rFonts w:hint="eastAsia" w:ascii="仿宋" w:hAnsi="仿宋" w:eastAsia="仿宋" w:cs="仿宋"/>
                <w:sz w:val="22"/>
              </w:rPr>
              <w:t>价格分（30分）</w:t>
            </w:r>
          </w:p>
        </w:tc>
        <w:tc>
          <w:tcPr>
            <w:tcW w:w="6874" w:type="dxa"/>
            <w:gridSpan w:val="2"/>
            <w:vAlign w:val="center"/>
          </w:tcPr>
          <w:p w14:paraId="69D0F822">
            <w:pPr>
              <w:pStyle w:val="13"/>
              <w:jc w:val="left"/>
              <w:rPr>
                <w:rFonts w:ascii="仿宋" w:hAnsi="仿宋" w:eastAsia="仿宋" w:cs="仿宋"/>
              </w:rPr>
            </w:pPr>
            <w:r>
              <w:rPr>
                <w:rFonts w:hint="eastAsia" w:ascii="仿宋" w:hAnsi="仿宋" w:eastAsia="仿宋" w:cs="仿宋"/>
              </w:rPr>
              <w:t>价格分统一采用低价优先法计算，即满足磋商文件要求且最后报价最低的供应商的价格为磋商基准价，其价格分为满分。其他供应商的价格分统一按照下列公式计算：</w:t>
            </w:r>
          </w:p>
          <w:p w14:paraId="30367406">
            <w:pPr>
              <w:pStyle w:val="13"/>
              <w:jc w:val="left"/>
              <w:rPr>
                <w:rFonts w:ascii="仿宋" w:hAnsi="仿宋" w:eastAsia="仿宋" w:cs="仿宋"/>
                <w:sz w:val="22"/>
                <w:szCs w:val="22"/>
              </w:rPr>
            </w:pPr>
            <w:r>
              <w:rPr>
                <w:rFonts w:hint="eastAsia" w:ascii="仿宋" w:hAnsi="仿宋" w:eastAsia="仿宋" w:cs="仿宋"/>
              </w:rPr>
              <w:t>磋商报价得分=（磋商基准价/最后磋商报价）×价格权值×100</w:t>
            </w:r>
          </w:p>
        </w:tc>
        <w:tc>
          <w:tcPr>
            <w:tcW w:w="792" w:type="dxa"/>
            <w:vAlign w:val="center"/>
          </w:tcPr>
          <w:p w14:paraId="41CC0363">
            <w:pPr>
              <w:jc w:val="center"/>
              <w:rPr>
                <w:rFonts w:ascii="仿宋" w:hAnsi="仿宋" w:eastAsia="仿宋" w:cs="仿宋"/>
                <w:szCs w:val="20"/>
              </w:rPr>
            </w:pPr>
            <w:r>
              <w:rPr>
                <w:rFonts w:hint="eastAsia" w:ascii="仿宋" w:hAnsi="仿宋" w:eastAsia="仿宋" w:cs="仿宋"/>
                <w:szCs w:val="20"/>
              </w:rPr>
              <w:t>30分</w:t>
            </w:r>
          </w:p>
        </w:tc>
      </w:tr>
      <w:tr w14:paraId="370D7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vAlign w:val="center"/>
          </w:tcPr>
          <w:p w14:paraId="4652E06C">
            <w:pPr>
              <w:jc w:val="center"/>
              <w:rPr>
                <w:rFonts w:ascii="仿宋" w:hAnsi="仿宋" w:eastAsia="仿宋" w:cs="仿宋"/>
                <w:sz w:val="22"/>
              </w:rPr>
            </w:pPr>
            <w:r>
              <w:rPr>
                <w:rFonts w:hint="eastAsia" w:ascii="仿宋" w:hAnsi="仿宋" w:eastAsia="仿宋" w:cs="仿宋"/>
                <w:sz w:val="22"/>
              </w:rPr>
              <w:t>2</w:t>
            </w:r>
          </w:p>
        </w:tc>
        <w:tc>
          <w:tcPr>
            <w:tcW w:w="1508" w:type="dxa"/>
            <w:vMerge w:val="restart"/>
            <w:vAlign w:val="center"/>
          </w:tcPr>
          <w:p w14:paraId="3EE1B53F">
            <w:pPr>
              <w:jc w:val="center"/>
              <w:rPr>
                <w:rFonts w:ascii="仿宋" w:hAnsi="仿宋" w:eastAsia="仿宋" w:cs="仿宋"/>
                <w:sz w:val="22"/>
              </w:rPr>
            </w:pPr>
            <w:r>
              <w:rPr>
                <w:rFonts w:hint="eastAsia" w:ascii="仿宋" w:hAnsi="仿宋" w:eastAsia="仿宋" w:cs="仿宋"/>
                <w:sz w:val="22"/>
              </w:rPr>
              <w:t>商务技术分（70分）</w:t>
            </w:r>
          </w:p>
        </w:tc>
        <w:tc>
          <w:tcPr>
            <w:tcW w:w="1520" w:type="dxa"/>
            <w:tcBorders>
              <w:bottom w:val="single" w:color="auto" w:sz="4" w:space="0"/>
              <w:right w:val="single" w:color="auto" w:sz="4" w:space="0"/>
            </w:tcBorders>
            <w:vAlign w:val="center"/>
          </w:tcPr>
          <w:p w14:paraId="46E96E04">
            <w:pPr>
              <w:rPr>
                <w:rFonts w:ascii="仿宋" w:hAnsi="仿宋" w:eastAsia="仿宋" w:cs="仿宋"/>
                <w:sz w:val="22"/>
                <w:highlight w:val="cyan"/>
              </w:rPr>
            </w:pPr>
            <w:r>
              <w:rPr>
                <w:rFonts w:hint="eastAsia" w:ascii="仿宋" w:hAnsi="仿宋" w:eastAsia="仿宋" w:cs="仿宋"/>
                <w:sz w:val="22"/>
              </w:rPr>
              <w:t>技术响应</w:t>
            </w:r>
          </w:p>
        </w:tc>
        <w:tc>
          <w:tcPr>
            <w:tcW w:w="5354" w:type="dxa"/>
            <w:tcBorders>
              <w:left w:val="single" w:color="auto" w:sz="4" w:space="0"/>
              <w:bottom w:val="single" w:color="auto" w:sz="4" w:space="0"/>
            </w:tcBorders>
            <w:vAlign w:val="center"/>
          </w:tcPr>
          <w:p w14:paraId="2BEB9EB5">
            <w:pPr>
              <w:rPr>
                <w:rFonts w:ascii="仿宋" w:hAnsi="仿宋" w:eastAsia="仿宋" w:cs="仿宋"/>
                <w:sz w:val="22"/>
              </w:rPr>
            </w:pPr>
            <w:r>
              <w:rPr>
                <w:rFonts w:hint="eastAsia" w:ascii="仿宋" w:hAnsi="仿宋" w:eastAsia="仿宋" w:cs="仿宋"/>
                <w:sz w:val="22"/>
              </w:rPr>
              <w:t>磋商文件采购需求中加斜体下划线的内容不接受负偏离，否则视作无</w:t>
            </w:r>
            <w:r>
              <w:rPr>
                <w:rFonts w:hint="eastAsia" w:ascii="仿宋" w:hAnsi="仿宋" w:eastAsia="仿宋" w:cs="仿宋"/>
                <w:szCs w:val="20"/>
              </w:rPr>
              <w:t>效响应处理；标注“▲”项为重要技术指标项，全部满足得29分，有一项负偏离扣1分，共29分，扣完为止。</w:t>
            </w:r>
            <w:r>
              <w:rPr>
                <w:rFonts w:hint="eastAsia" w:ascii="仿宋" w:hAnsi="仿宋" w:eastAsia="仿宋" w:cs="仿宋"/>
                <w:b/>
                <w:bCs/>
                <w:szCs w:val="20"/>
              </w:rPr>
              <w:t>（</w:t>
            </w:r>
            <w:r>
              <w:rPr>
                <w:rFonts w:hint="eastAsia" w:ascii="仿宋" w:hAnsi="仿宋" w:eastAsia="仿宋" w:cs="仿宋"/>
                <w:b/>
                <w:bCs/>
                <w:sz w:val="22"/>
              </w:rPr>
              <w:t>如未按要求提供佐证材料的，视为负偏离）</w:t>
            </w:r>
          </w:p>
        </w:tc>
        <w:tc>
          <w:tcPr>
            <w:tcW w:w="792" w:type="dxa"/>
            <w:tcBorders>
              <w:bottom w:val="single" w:color="auto" w:sz="4" w:space="0"/>
            </w:tcBorders>
            <w:vAlign w:val="center"/>
          </w:tcPr>
          <w:p w14:paraId="170CB399">
            <w:pPr>
              <w:rPr>
                <w:rFonts w:ascii="仿宋" w:hAnsi="仿宋" w:eastAsia="仿宋" w:cs="仿宋"/>
                <w:szCs w:val="20"/>
              </w:rPr>
            </w:pPr>
            <w:r>
              <w:rPr>
                <w:rFonts w:hint="eastAsia" w:ascii="仿宋" w:hAnsi="仿宋" w:eastAsia="仿宋" w:cs="仿宋"/>
                <w:szCs w:val="20"/>
              </w:rPr>
              <w:t>29分</w:t>
            </w:r>
          </w:p>
        </w:tc>
      </w:tr>
      <w:tr w14:paraId="136E7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5" w:type="dxa"/>
            <w:vMerge w:val="continue"/>
            <w:vAlign w:val="center"/>
          </w:tcPr>
          <w:p w14:paraId="34001BC9">
            <w:pPr>
              <w:jc w:val="center"/>
              <w:rPr>
                <w:rFonts w:ascii="仿宋" w:hAnsi="仿宋" w:eastAsia="仿宋" w:cs="仿宋"/>
                <w:sz w:val="22"/>
              </w:rPr>
            </w:pPr>
          </w:p>
        </w:tc>
        <w:tc>
          <w:tcPr>
            <w:tcW w:w="1508" w:type="dxa"/>
            <w:vMerge w:val="continue"/>
            <w:vAlign w:val="center"/>
          </w:tcPr>
          <w:p w14:paraId="6F4AC013">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1A72B587">
            <w:pPr>
              <w:rPr>
                <w:rFonts w:ascii="仿宋" w:hAnsi="仿宋" w:eastAsia="仿宋" w:cs="仿宋"/>
                <w:sz w:val="22"/>
              </w:rPr>
            </w:pPr>
            <w:r>
              <w:rPr>
                <w:rFonts w:hint="eastAsia" w:ascii="仿宋" w:hAnsi="仿宋" w:eastAsia="仿宋" w:cs="仿宋"/>
                <w:sz w:val="22"/>
              </w:rPr>
              <w:t>产品视频演示</w:t>
            </w:r>
          </w:p>
        </w:tc>
        <w:tc>
          <w:tcPr>
            <w:tcW w:w="5354" w:type="dxa"/>
            <w:tcBorders>
              <w:top w:val="single" w:color="auto" w:sz="4" w:space="0"/>
              <w:left w:val="single" w:color="auto" w:sz="4" w:space="0"/>
            </w:tcBorders>
          </w:tcPr>
          <w:p w14:paraId="670C8254">
            <w:pPr>
              <w:ind w:firstLine="442" w:firstLineChars="200"/>
              <w:rPr>
                <w:rFonts w:hint="eastAsia" w:ascii="仿宋" w:hAnsi="仿宋" w:eastAsia="仿宋" w:cs="仿宋"/>
                <w:b/>
                <w:bCs/>
                <w:color w:val="0000FF"/>
                <w:sz w:val="22"/>
              </w:rPr>
            </w:pPr>
            <w:bookmarkStart w:id="229" w:name="_GoBack"/>
            <w:r>
              <w:rPr>
                <w:rFonts w:hint="eastAsia" w:ascii="仿宋" w:hAnsi="仿宋" w:eastAsia="仿宋" w:cs="仿宋"/>
                <w:b/>
                <w:bCs/>
                <w:color w:val="0000FF"/>
                <w:sz w:val="22"/>
              </w:rPr>
              <w:t>供应商需按照</w:t>
            </w:r>
            <w:r>
              <w:rPr>
                <w:rFonts w:hint="eastAsia" w:ascii="仿宋" w:hAnsi="仿宋" w:eastAsia="仿宋" w:cs="仿宋"/>
                <w:b/>
                <w:bCs/>
                <w:color w:val="0000FF"/>
                <w:sz w:val="22"/>
                <w:lang w:val="zh-CN"/>
              </w:rPr>
              <w:t>磋商文件规定的演示内容制作演示视频文件</w:t>
            </w:r>
            <w:r>
              <w:rPr>
                <w:rFonts w:hint="eastAsia" w:ascii="仿宋" w:hAnsi="仿宋" w:eastAsia="仿宋" w:cs="仿宋"/>
                <w:b/>
                <w:bCs/>
                <w:color w:val="0000FF"/>
                <w:sz w:val="22"/>
              </w:rPr>
              <w:t>，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p>
          <w:bookmarkEnd w:id="229"/>
          <w:p w14:paraId="08AD787C">
            <w:pPr>
              <w:rPr>
                <w:rFonts w:ascii="仿宋" w:hAnsi="仿宋" w:eastAsia="仿宋" w:cs="仿宋"/>
                <w:sz w:val="22"/>
              </w:rPr>
            </w:pPr>
            <w:r>
              <w:rPr>
                <w:rFonts w:hint="eastAsia" w:ascii="仿宋" w:hAnsi="仿宋" w:eastAsia="仿宋" w:cs="仿宋"/>
                <w:sz w:val="22"/>
              </w:rPr>
              <w:t>针对资源管理平台应用系统产品进行如下功能演示：</w:t>
            </w:r>
          </w:p>
          <w:p w14:paraId="28527DDC">
            <w:pPr>
              <w:rPr>
                <w:rFonts w:ascii="仿宋" w:hAnsi="仿宋" w:eastAsia="仿宋" w:cs="仿宋"/>
                <w:sz w:val="22"/>
              </w:rPr>
            </w:pPr>
            <w:r>
              <w:rPr>
                <w:rFonts w:hint="eastAsia" w:ascii="仿宋" w:hAnsi="仿宋" w:eastAsia="仿宋" w:cs="仿宋"/>
                <w:sz w:val="22"/>
              </w:rPr>
              <w:t>1. 课堂预警功能：按时间线展示本节课所有AI识别到的课堂异常预警，按预警类型用不同颜色区分，每个预警显示标记时间、持续时长，点击“查看视频”可直接跳转到预警发生的对应时间点，查看异常发生时的课堂画面。满足得2分，未提供不得分。</w:t>
            </w:r>
          </w:p>
          <w:p w14:paraId="2B8C6223">
            <w:pPr>
              <w:rPr>
                <w:rFonts w:ascii="仿宋" w:hAnsi="仿宋" w:eastAsia="仿宋" w:cs="仿宋"/>
                <w:sz w:val="22"/>
              </w:rPr>
            </w:pPr>
            <w:r>
              <w:rPr>
                <w:rFonts w:hint="eastAsia" w:ascii="仿宋" w:hAnsi="仿宋" w:eastAsia="仿宋" w:cs="仿宋"/>
                <w:sz w:val="22"/>
              </w:rPr>
              <w:t>2. 语音转写功能：自动将整节课教师与学生的语音实时转写为文字，自动提取课程核心知识点标签，支持关键词搜索快速定位内容；自动生成课堂全文摘要，总结本节课讲解的核心内容；标注语音转写准确率。满足得2分，未提供不得分。</w:t>
            </w:r>
          </w:p>
          <w:p w14:paraId="16037337">
            <w:pPr>
              <w:rPr>
                <w:rFonts w:ascii="仿宋" w:hAnsi="仿宋" w:eastAsia="仿宋" w:cs="仿宋"/>
                <w:sz w:val="22"/>
              </w:rPr>
            </w:pPr>
            <w:r>
              <w:rPr>
                <w:rFonts w:hint="eastAsia" w:ascii="仿宋" w:hAnsi="仿宋" w:eastAsia="仿宋" w:cs="仿宋"/>
                <w:sz w:val="22"/>
              </w:rPr>
              <w:t>3. 督导评课功能：支持AI自动评课与人工督导评课双维度评分，可根据课程类型选择理论课/实践课等不同评课模板；分别展示督导总分与AI总分，支持一键查看完整评课报告；按评课维度（教师素养与态度、教学内容与设计、教学方法与艺术、教学资源与信息化等）分项展示督导打分与AI打分，支持人工修改调整评分。满足得2分，未提供不得分。</w:t>
            </w:r>
          </w:p>
          <w:p w14:paraId="097ECEF1">
            <w:pPr>
              <w:rPr>
                <w:rFonts w:ascii="仿宋" w:hAnsi="仿宋" w:eastAsia="仿宋" w:cs="仿宋"/>
                <w:sz w:val="22"/>
              </w:rPr>
            </w:pPr>
            <w:r>
              <w:rPr>
                <w:rFonts w:hint="eastAsia" w:ascii="仿宋" w:hAnsi="仿宋" w:eastAsia="仿宋" w:cs="仿宋"/>
                <w:sz w:val="22"/>
              </w:rPr>
              <w:t>4. 知识点思维导图功能：自动生成本节课知识点思维导图，按课程核心模块分类梳理二级、三级知识点，用不同颜色区分知识模块，支持查看完整课程知识图谱，直观展示整门课程的知识结构体系。满足得2分，未提供不得分。</w:t>
            </w:r>
          </w:p>
          <w:p w14:paraId="55C05D36">
            <w:pPr>
              <w:rPr>
                <w:rFonts w:ascii="仿宋" w:hAnsi="仿宋" w:eastAsia="仿宋" w:cs="仿宋"/>
                <w:sz w:val="22"/>
              </w:rPr>
            </w:pPr>
            <w:r>
              <w:rPr>
                <w:rFonts w:hint="eastAsia" w:ascii="仿宋" w:hAnsi="仿宋" w:eastAsia="仿宋" w:cs="仿宋"/>
                <w:sz w:val="22"/>
              </w:rPr>
              <w:t>5.支持单节课的多画面同步回放，支持切换主显示画面，提供播放/暂停、进度条拖动、全屏等标准播放控制功能。满足得2分，未提供不得分。</w:t>
            </w:r>
          </w:p>
        </w:tc>
        <w:tc>
          <w:tcPr>
            <w:tcW w:w="792" w:type="dxa"/>
            <w:tcBorders>
              <w:top w:val="single" w:color="auto" w:sz="4" w:space="0"/>
            </w:tcBorders>
            <w:vAlign w:val="center"/>
          </w:tcPr>
          <w:p w14:paraId="14B651B3">
            <w:pPr>
              <w:rPr>
                <w:rFonts w:ascii="仿宋" w:hAnsi="仿宋" w:eastAsia="仿宋" w:cs="仿宋"/>
                <w:szCs w:val="20"/>
              </w:rPr>
            </w:pPr>
            <w:r>
              <w:rPr>
                <w:rFonts w:hint="eastAsia" w:ascii="仿宋" w:hAnsi="仿宋" w:eastAsia="仿宋" w:cs="仿宋"/>
                <w:szCs w:val="20"/>
              </w:rPr>
              <w:t>10分</w:t>
            </w:r>
          </w:p>
        </w:tc>
      </w:tr>
      <w:tr w14:paraId="01FF4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72A97138">
            <w:pPr>
              <w:jc w:val="center"/>
              <w:rPr>
                <w:rFonts w:ascii="仿宋" w:hAnsi="仿宋" w:eastAsia="仿宋" w:cs="仿宋"/>
                <w:sz w:val="22"/>
              </w:rPr>
            </w:pPr>
          </w:p>
        </w:tc>
        <w:tc>
          <w:tcPr>
            <w:tcW w:w="1508" w:type="dxa"/>
            <w:vMerge w:val="continue"/>
            <w:vAlign w:val="center"/>
          </w:tcPr>
          <w:p w14:paraId="3753AE31">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2099D22D">
            <w:pPr>
              <w:rPr>
                <w:rFonts w:ascii="仿宋" w:hAnsi="仿宋" w:eastAsia="仿宋" w:cs="仿宋"/>
                <w:sz w:val="22"/>
              </w:rPr>
            </w:pPr>
            <w:r>
              <w:rPr>
                <w:rFonts w:hint="eastAsia" w:ascii="仿宋" w:hAnsi="仿宋" w:eastAsia="仿宋" w:cs="仿宋"/>
                <w:sz w:val="22"/>
              </w:rPr>
              <w:t>产品质量、适用及厂商认证</w:t>
            </w:r>
          </w:p>
        </w:tc>
        <w:tc>
          <w:tcPr>
            <w:tcW w:w="5354" w:type="dxa"/>
            <w:tcBorders>
              <w:top w:val="single" w:color="auto" w:sz="4" w:space="0"/>
              <w:left w:val="single" w:color="auto" w:sz="4" w:space="0"/>
            </w:tcBorders>
          </w:tcPr>
          <w:p w14:paraId="0AE9063A">
            <w:pPr>
              <w:rPr>
                <w:rFonts w:ascii="仿宋" w:hAnsi="仿宋" w:eastAsia="仿宋" w:cs="仿宋"/>
                <w:b/>
                <w:bCs/>
                <w:sz w:val="22"/>
              </w:rPr>
            </w:pPr>
            <w:r>
              <w:rPr>
                <w:rFonts w:hint="eastAsia" w:ascii="仿宋" w:hAnsi="仿宋" w:eastAsia="仿宋" w:cs="仿宋"/>
                <w:sz w:val="22"/>
              </w:rPr>
              <w:t>1.支持对学校录制下来的课件资源以及教室产生的大量敏感数据按照国家相关标准进行加密的，得1分。</w:t>
            </w:r>
            <w:r>
              <w:rPr>
                <w:rFonts w:hint="eastAsia" w:ascii="仿宋" w:hAnsi="仿宋" w:eastAsia="仿宋" w:cs="仿宋"/>
                <w:b/>
                <w:bCs/>
                <w:sz w:val="22"/>
              </w:rPr>
              <w:t>（响应时提供所投录播系统品牌厂商相关加密系统软件著作权证书或软件测试报告原件扫描件佐证，否则不得分）</w:t>
            </w:r>
          </w:p>
          <w:p w14:paraId="33BAAF12">
            <w:pPr>
              <w:rPr>
                <w:rFonts w:ascii="仿宋" w:hAnsi="仿宋" w:eastAsia="仿宋" w:cs="仿宋"/>
                <w:b/>
                <w:bCs/>
                <w:sz w:val="22"/>
              </w:rPr>
            </w:pPr>
            <w:r>
              <w:rPr>
                <w:rFonts w:hint="eastAsia" w:ascii="仿宋" w:hAnsi="仿宋" w:eastAsia="仿宋" w:cs="仿宋"/>
                <w:sz w:val="22"/>
              </w:rPr>
              <w:t>2.为保证设备稳定性，所投4K录播一体机、智能分析主机、4K超高清摄像机产品使用平均无故障运行时间(MTBF) ≥</w:t>
            </w:r>
            <w:r>
              <w:rPr>
                <w:rFonts w:ascii="仿宋" w:hAnsi="仿宋" w:eastAsia="仿宋" w:cs="仿宋"/>
                <w:sz w:val="22"/>
              </w:rPr>
              <w:t>15</w:t>
            </w:r>
            <w:r>
              <w:rPr>
                <w:rFonts w:hint="eastAsia" w:ascii="仿宋" w:hAnsi="仿宋" w:eastAsia="仿宋" w:cs="仿宋"/>
                <w:sz w:val="22"/>
              </w:rPr>
              <w:t>万小时的，有1个得1分，最高得 3 分。</w:t>
            </w:r>
            <w:r>
              <w:rPr>
                <w:rFonts w:hint="eastAsia" w:ascii="仿宋" w:hAnsi="仿宋" w:eastAsia="仿宋" w:cs="仿宋"/>
                <w:b/>
                <w:bCs/>
                <w:sz w:val="22"/>
              </w:rPr>
              <w:t>（响应时提供所投该项产品平均无故障运行时间检测报告原件扫描件佐证，否则不得分）</w:t>
            </w:r>
          </w:p>
          <w:p w14:paraId="359E7FEB">
            <w:pPr>
              <w:rPr>
                <w:szCs w:val="21"/>
              </w:rPr>
            </w:pPr>
            <w:r>
              <w:rPr>
                <w:rFonts w:hint="eastAsia" w:ascii="仿宋" w:hAnsi="仿宋" w:eastAsia="仿宋"/>
                <w:b/>
                <w:bCs/>
                <w:sz w:val="22"/>
              </w:rPr>
              <w:t>3.</w:t>
            </w:r>
            <w:r>
              <w:rPr>
                <w:rFonts w:hint="eastAsia" w:ascii="仿宋" w:hAnsi="仿宋" w:eastAsia="仿宋"/>
                <w:sz w:val="22"/>
              </w:rPr>
              <w:t>所投教师与学生移动学习终端产品具备低蓝光和无频闪双护眼认证或具备全局护眼认证的，得1分。</w:t>
            </w:r>
            <w:r>
              <w:rPr>
                <w:rFonts w:hint="eastAsia" w:ascii="仿宋" w:hAnsi="仿宋" w:eastAsia="仿宋"/>
                <w:b/>
                <w:bCs/>
                <w:sz w:val="22"/>
              </w:rPr>
              <w:t>（响应时提供所投该项产品权威机构护眼认证原件扫描件佐证，否则不得分）</w:t>
            </w:r>
          </w:p>
        </w:tc>
        <w:tc>
          <w:tcPr>
            <w:tcW w:w="792" w:type="dxa"/>
            <w:tcBorders>
              <w:top w:val="single" w:color="auto" w:sz="4" w:space="0"/>
            </w:tcBorders>
            <w:vAlign w:val="center"/>
          </w:tcPr>
          <w:p w14:paraId="63990BC7">
            <w:pPr>
              <w:rPr>
                <w:rFonts w:ascii="仿宋" w:hAnsi="仿宋" w:eastAsia="仿宋" w:cs="仿宋"/>
                <w:szCs w:val="20"/>
              </w:rPr>
            </w:pPr>
            <w:r>
              <w:rPr>
                <w:rFonts w:ascii="仿宋" w:hAnsi="仿宋" w:eastAsia="仿宋" w:cs="仿宋"/>
                <w:szCs w:val="20"/>
              </w:rPr>
              <w:t>5</w:t>
            </w:r>
            <w:r>
              <w:rPr>
                <w:rFonts w:hint="eastAsia" w:ascii="仿宋" w:hAnsi="仿宋" w:eastAsia="仿宋" w:cs="仿宋"/>
                <w:szCs w:val="20"/>
              </w:rPr>
              <w:t>分</w:t>
            </w:r>
          </w:p>
          <w:p w14:paraId="130EEBC2">
            <w:pPr>
              <w:rPr>
                <w:rFonts w:ascii="仿宋" w:hAnsi="仿宋" w:eastAsia="仿宋" w:cs="仿宋"/>
                <w:szCs w:val="20"/>
              </w:rPr>
            </w:pPr>
          </w:p>
        </w:tc>
      </w:tr>
      <w:tr w14:paraId="6A196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 w:hRule="atLeast"/>
        </w:trPr>
        <w:tc>
          <w:tcPr>
            <w:tcW w:w="665" w:type="dxa"/>
            <w:vMerge w:val="continue"/>
            <w:vAlign w:val="center"/>
          </w:tcPr>
          <w:p w14:paraId="5C8A2A29">
            <w:pPr>
              <w:jc w:val="center"/>
              <w:rPr>
                <w:rFonts w:ascii="仿宋" w:hAnsi="仿宋" w:eastAsia="仿宋" w:cs="仿宋"/>
                <w:sz w:val="22"/>
              </w:rPr>
            </w:pPr>
          </w:p>
        </w:tc>
        <w:tc>
          <w:tcPr>
            <w:tcW w:w="1508" w:type="dxa"/>
            <w:vMerge w:val="continue"/>
            <w:vAlign w:val="center"/>
          </w:tcPr>
          <w:p w14:paraId="1A8A1B2F">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1728718">
            <w:pPr>
              <w:jc w:val="center"/>
              <w:rPr>
                <w:rFonts w:ascii="仿宋" w:hAnsi="仿宋" w:eastAsia="仿宋" w:cs="仿宋"/>
                <w:sz w:val="22"/>
                <w:highlight w:val="green"/>
              </w:rPr>
            </w:pPr>
            <w:r>
              <w:rPr>
                <w:rFonts w:hint="eastAsia" w:ascii="仿宋" w:hAnsi="仿宋" w:eastAsia="仿宋" w:cs="仿宋"/>
                <w:sz w:val="22"/>
              </w:rPr>
              <w:t>投标人实力</w:t>
            </w:r>
          </w:p>
        </w:tc>
        <w:tc>
          <w:tcPr>
            <w:tcW w:w="5354" w:type="dxa"/>
            <w:tcBorders>
              <w:top w:val="single" w:color="auto" w:sz="4" w:space="0"/>
              <w:left w:val="single" w:color="auto" w:sz="4" w:space="0"/>
            </w:tcBorders>
            <w:vAlign w:val="center"/>
          </w:tcPr>
          <w:p w14:paraId="376D7C35">
            <w:pPr>
              <w:rPr>
                <w:rFonts w:ascii="仿宋" w:hAnsi="仿宋" w:eastAsia="仿宋" w:cs="仿宋"/>
                <w:sz w:val="22"/>
              </w:rPr>
            </w:pPr>
            <w:r>
              <w:rPr>
                <w:rFonts w:hint="eastAsia" w:ascii="仿宋" w:hAnsi="仿宋" w:eastAsia="仿宋" w:cs="仿宋"/>
                <w:sz w:val="22"/>
              </w:rPr>
              <w:t>1、投标人提供有效期内 ISO9001 质量管理体系、ISO27001 信息安全管理体系认证证书，每提供 1 个得 1 分，本项最多得 2 分；证书需为国家认监委批准机构颁发，且覆盖范围与本项目相关；</w:t>
            </w:r>
          </w:p>
          <w:p w14:paraId="7D3F3C6A">
            <w:pPr>
              <w:rPr>
                <w:rFonts w:ascii="仿宋" w:hAnsi="仿宋" w:eastAsia="仿宋" w:cs="仿宋"/>
                <w:b/>
                <w:bCs/>
                <w:sz w:val="22"/>
              </w:rPr>
            </w:pPr>
            <w:r>
              <w:rPr>
                <w:rFonts w:hint="eastAsia" w:ascii="仿宋" w:hAnsi="仿宋" w:eastAsia="仿宋" w:cs="仿宋"/>
                <w:sz w:val="22"/>
              </w:rPr>
              <w:t>2、为确保学校智慧教室与录播系统常态化运行以及项目整体运维的技术服务质量，对投标人技术服务水平有较高要求，投标人ITSS信息技术服务运行维护能力达四级认证的得1分；三级及以上认证的得2分；本项最高得2分；</w:t>
            </w:r>
          </w:p>
          <w:p w14:paraId="70ED9C2C">
            <w:pPr>
              <w:rPr>
                <w:rFonts w:ascii="仿宋" w:hAnsi="仿宋" w:eastAsia="仿宋" w:cs="仿宋"/>
                <w:b/>
                <w:bCs/>
                <w:sz w:val="22"/>
              </w:rPr>
            </w:pPr>
            <w:r>
              <w:rPr>
                <w:rFonts w:hint="eastAsia" w:ascii="仿宋" w:hAnsi="仿宋" w:eastAsia="仿宋" w:cs="仿宋"/>
                <w:b/>
                <w:bCs/>
                <w:sz w:val="22"/>
              </w:rPr>
              <w:t>响应时提供以上有效期内证书原件彩色扫描件，未提供不得分。</w:t>
            </w:r>
          </w:p>
        </w:tc>
        <w:tc>
          <w:tcPr>
            <w:tcW w:w="792" w:type="dxa"/>
            <w:tcBorders>
              <w:top w:val="single" w:color="auto" w:sz="4" w:space="0"/>
            </w:tcBorders>
            <w:vAlign w:val="center"/>
          </w:tcPr>
          <w:p w14:paraId="57EAE4E8">
            <w:pPr>
              <w:jc w:val="center"/>
              <w:rPr>
                <w:rFonts w:ascii="仿宋" w:hAnsi="仿宋" w:eastAsia="仿宋" w:cs="仿宋"/>
                <w:sz w:val="22"/>
              </w:rPr>
            </w:pPr>
            <w:r>
              <w:rPr>
                <w:rFonts w:hint="eastAsia" w:ascii="仿宋" w:hAnsi="仿宋" w:eastAsia="仿宋" w:cs="仿宋"/>
                <w:sz w:val="22"/>
              </w:rPr>
              <w:t>4分</w:t>
            </w:r>
          </w:p>
        </w:tc>
      </w:tr>
      <w:tr w14:paraId="0F2D6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37FEEC20">
            <w:pPr>
              <w:jc w:val="center"/>
              <w:rPr>
                <w:rFonts w:ascii="仿宋" w:hAnsi="仿宋" w:eastAsia="仿宋" w:cs="仿宋"/>
                <w:sz w:val="22"/>
              </w:rPr>
            </w:pPr>
          </w:p>
        </w:tc>
        <w:tc>
          <w:tcPr>
            <w:tcW w:w="1508" w:type="dxa"/>
            <w:vMerge w:val="continue"/>
            <w:vAlign w:val="center"/>
          </w:tcPr>
          <w:p w14:paraId="50A3916B">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03229A61">
            <w:pPr>
              <w:jc w:val="center"/>
              <w:rPr>
                <w:rFonts w:ascii="仿宋" w:hAnsi="仿宋" w:eastAsia="仿宋" w:cs="仿宋"/>
                <w:sz w:val="22"/>
              </w:rPr>
            </w:pPr>
            <w:r>
              <w:rPr>
                <w:rFonts w:hint="eastAsia" w:ascii="仿宋" w:hAnsi="仿宋" w:eastAsia="仿宋" w:cs="仿宋"/>
                <w:sz w:val="22"/>
              </w:rPr>
              <w:t>人员能力</w:t>
            </w:r>
          </w:p>
        </w:tc>
        <w:tc>
          <w:tcPr>
            <w:tcW w:w="5354" w:type="dxa"/>
            <w:tcBorders>
              <w:top w:val="single" w:color="auto" w:sz="4" w:space="0"/>
              <w:left w:val="single" w:color="auto" w:sz="4" w:space="0"/>
            </w:tcBorders>
            <w:vAlign w:val="center"/>
          </w:tcPr>
          <w:p w14:paraId="6FEF2FAC">
            <w:pPr>
              <w:jc w:val="left"/>
              <w:rPr>
                <w:rFonts w:ascii="仿宋" w:hAnsi="仿宋" w:eastAsia="仿宋" w:cs="仿宋"/>
                <w:sz w:val="22"/>
              </w:rPr>
            </w:pPr>
            <w:r>
              <w:rPr>
                <w:rFonts w:hint="eastAsia" w:ascii="仿宋" w:hAnsi="仿宋" w:eastAsia="仿宋" w:cs="仿宋"/>
                <w:sz w:val="22"/>
              </w:rPr>
              <w:t>投标人针对本项目安排专业技术人员组成安装集成服务团队，其中：</w:t>
            </w:r>
          </w:p>
          <w:p w14:paraId="10979A55">
            <w:pPr>
              <w:jc w:val="left"/>
              <w:rPr>
                <w:rFonts w:ascii="仿宋" w:hAnsi="仿宋" w:eastAsia="仿宋" w:cs="仿宋"/>
                <w:sz w:val="22"/>
              </w:rPr>
            </w:pPr>
            <w:r>
              <w:rPr>
                <w:rFonts w:hint="eastAsia" w:ascii="仿宋" w:hAnsi="仿宋" w:eastAsia="仿宋" w:cs="仿宋"/>
                <w:sz w:val="22"/>
              </w:rPr>
              <w:t>①团队技术负责人具备信息系统项目高级管理师证书的得3分；</w:t>
            </w:r>
          </w:p>
          <w:p w14:paraId="258E7CF2">
            <w:pPr>
              <w:jc w:val="left"/>
              <w:rPr>
                <w:rFonts w:ascii="仿宋" w:hAnsi="仿宋" w:eastAsia="仿宋" w:cs="仿宋"/>
                <w:sz w:val="22"/>
              </w:rPr>
            </w:pPr>
            <w:r>
              <w:rPr>
                <w:rFonts w:hint="eastAsia" w:ascii="仿宋" w:hAnsi="仿宋" w:eastAsia="仿宋" w:cs="仿宋"/>
                <w:sz w:val="22"/>
              </w:rPr>
              <w:t>②成员中具有计算机与网络专业方向技术资格证书的得2分；</w:t>
            </w:r>
          </w:p>
          <w:p w14:paraId="5670F5BE">
            <w:pPr>
              <w:jc w:val="left"/>
              <w:rPr>
                <w:rFonts w:ascii="仿宋" w:hAnsi="仿宋" w:eastAsia="仿宋" w:cs="仿宋"/>
                <w:sz w:val="22"/>
              </w:rPr>
            </w:pPr>
            <w:r>
              <w:rPr>
                <w:rFonts w:hint="eastAsia" w:ascii="仿宋" w:hAnsi="仿宋" w:eastAsia="仿宋" w:cs="仿宋"/>
                <w:sz w:val="22"/>
              </w:rPr>
              <w:t>③成员中具有网络安全工程专业技术资格证书的得1分；</w:t>
            </w:r>
          </w:p>
          <w:p w14:paraId="3232D9A0">
            <w:pPr>
              <w:jc w:val="left"/>
              <w:rPr>
                <w:rFonts w:ascii="仿宋" w:hAnsi="仿宋" w:eastAsia="仿宋" w:cs="仿宋"/>
                <w:sz w:val="22"/>
              </w:rPr>
            </w:pPr>
            <w:r>
              <w:rPr>
                <w:rFonts w:hint="eastAsia" w:ascii="仿宋" w:hAnsi="仿宋" w:eastAsia="仿宋" w:cs="仿宋"/>
                <w:sz w:val="22"/>
              </w:rPr>
              <w:t>以上①至③中同一成员不重复计分，若出现同一成员的，以该人员获得证书的较高分计算得分。</w:t>
            </w:r>
          </w:p>
          <w:p w14:paraId="56DEDD9A">
            <w:pPr>
              <w:jc w:val="left"/>
              <w:rPr>
                <w:rFonts w:ascii="仿宋" w:hAnsi="仿宋" w:eastAsia="仿宋" w:cs="仿宋"/>
                <w:b/>
                <w:bCs/>
                <w:sz w:val="22"/>
              </w:rPr>
            </w:pPr>
            <w:r>
              <w:rPr>
                <w:rFonts w:hint="eastAsia" w:ascii="仿宋" w:hAnsi="仿宋" w:eastAsia="仿宋" w:cs="仿宋"/>
                <w:b/>
                <w:bCs/>
                <w:sz w:val="22"/>
              </w:rPr>
              <w:t>响应时提供以上人员证书及投标人为以上人员缴纳的近 3个月内（2026年5月-2026年7月）任意 1个月养老保险缴纳证明文件的原件彩色扫描件，未提供不得分。</w:t>
            </w:r>
          </w:p>
          <w:p w14:paraId="7D610E1F">
            <w:pPr>
              <w:jc w:val="left"/>
              <w:rPr>
                <w:rFonts w:ascii="仿宋" w:hAnsi="仿宋" w:eastAsia="仿宋" w:cs="仿宋"/>
                <w:sz w:val="22"/>
              </w:rPr>
            </w:pPr>
            <w:r>
              <w:rPr>
                <w:rFonts w:hint="eastAsia" w:ascii="仿宋" w:hAnsi="仿宋" w:eastAsia="仿宋" w:cs="仿宋"/>
                <w:b/>
                <w:bCs/>
                <w:sz w:val="22"/>
              </w:rPr>
              <w:t>注：本项目不允许代维、转包（实施期间以上人员须现场考勤）</w:t>
            </w:r>
          </w:p>
        </w:tc>
        <w:tc>
          <w:tcPr>
            <w:tcW w:w="792" w:type="dxa"/>
            <w:tcBorders>
              <w:top w:val="single" w:color="auto" w:sz="4" w:space="0"/>
            </w:tcBorders>
            <w:vAlign w:val="center"/>
          </w:tcPr>
          <w:p w14:paraId="70D6B189">
            <w:pPr>
              <w:jc w:val="center"/>
              <w:rPr>
                <w:rFonts w:ascii="仿宋" w:hAnsi="仿宋" w:eastAsia="仿宋" w:cs="仿宋"/>
                <w:sz w:val="22"/>
              </w:rPr>
            </w:pPr>
            <w:r>
              <w:rPr>
                <w:rFonts w:hint="eastAsia" w:ascii="仿宋" w:hAnsi="仿宋" w:eastAsia="仿宋" w:cs="仿宋"/>
                <w:sz w:val="22"/>
              </w:rPr>
              <w:t>6分</w:t>
            </w:r>
          </w:p>
        </w:tc>
      </w:tr>
      <w:tr w14:paraId="621DE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059DB16B">
            <w:pPr>
              <w:jc w:val="center"/>
              <w:rPr>
                <w:rFonts w:ascii="仿宋" w:hAnsi="仿宋" w:eastAsia="仿宋" w:cs="仿宋"/>
                <w:sz w:val="22"/>
              </w:rPr>
            </w:pPr>
          </w:p>
        </w:tc>
        <w:tc>
          <w:tcPr>
            <w:tcW w:w="1508" w:type="dxa"/>
            <w:vMerge w:val="continue"/>
            <w:vAlign w:val="center"/>
          </w:tcPr>
          <w:p w14:paraId="47C316F8">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BF64901">
            <w:pPr>
              <w:jc w:val="center"/>
              <w:rPr>
                <w:rFonts w:ascii="仿宋" w:hAnsi="仿宋" w:eastAsia="仿宋" w:cs="仿宋"/>
                <w:sz w:val="22"/>
                <w:highlight w:val="green"/>
              </w:rPr>
            </w:pPr>
            <w:r>
              <w:rPr>
                <w:rFonts w:hint="eastAsia" w:ascii="仿宋" w:hAnsi="仿宋" w:eastAsia="仿宋" w:cs="仿宋"/>
                <w:sz w:val="22"/>
              </w:rPr>
              <w:t>业绩</w:t>
            </w:r>
          </w:p>
        </w:tc>
        <w:tc>
          <w:tcPr>
            <w:tcW w:w="5354" w:type="dxa"/>
            <w:tcBorders>
              <w:top w:val="single" w:color="auto" w:sz="4" w:space="0"/>
              <w:left w:val="single" w:color="auto" w:sz="4" w:space="0"/>
            </w:tcBorders>
            <w:vAlign w:val="center"/>
          </w:tcPr>
          <w:p w14:paraId="6D17EA7E">
            <w:pPr>
              <w:jc w:val="left"/>
              <w:rPr>
                <w:rFonts w:ascii="仿宋" w:hAnsi="仿宋" w:eastAsia="仿宋" w:cs="仿宋"/>
                <w:sz w:val="22"/>
              </w:rPr>
            </w:pPr>
            <w:r>
              <w:rPr>
                <w:rFonts w:hint="eastAsia" w:ascii="仿宋" w:hAnsi="仿宋" w:eastAsia="仿宋" w:cs="仿宋"/>
                <w:sz w:val="22"/>
              </w:rPr>
              <w:t>投标人具有2</w:t>
            </w:r>
            <w:r>
              <w:rPr>
                <w:rFonts w:ascii="仿宋" w:hAnsi="仿宋" w:eastAsia="仿宋" w:cs="仿宋"/>
                <w:sz w:val="22"/>
              </w:rPr>
              <w:t>023</w:t>
            </w:r>
            <w:r>
              <w:rPr>
                <w:rFonts w:hint="eastAsia" w:ascii="仿宋" w:hAnsi="仿宋" w:eastAsia="仿宋" w:cs="仿宋"/>
                <w:sz w:val="22"/>
              </w:rPr>
              <w:t>年1月1日以来（以合同签订时间为准）类似项目业绩（含学校教室录播系统设备采购、系统集成），有一个得2分，最高得4分。</w:t>
            </w:r>
            <w:r>
              <w:rPr>
                <w:rFonts w:hint="eastAsia" w:ascii="仿宋" w:hAnsi="仿宋" w:eastAsia="仿宋" w:cs="仿宋"/>
                <w:b/>
                <w:bCs/>
                <w:sz w:val="22"/>
              </w:rPr>
              <w:t>（案例的采购人应为最终业主方，须提供中标(成交)通知书、采购合同、验收单及对应结算正式发票的扫描件，缺一不可，否则不得分，原件签订合同前备查。）</w:t>
            </w:r>
          </w:p>
        </w:tc>
        <w:tc>
          <w:tcPr>
            <w:tcW w:w="792" w:type="dxa"/>
            <w:tcBorders>
              <w:top w:val="single" w:color="auto" w:sz="4" w:space="0"/>
            </w:tcBorders>
            <w:vAlign w:val="center"/>
          </w:tcPr>
          <w:p w14:paraId="5155944F">
            <w:pPr>
              <w:jc w:val="center"/>
              <w:rPr>
                <w:rFonts w:ascii="仿宋" w:hAnsi="仿宋" w:eastAsia="仿宋" w:cs="仿宋"/>
                <w:sz w:val="22"/>
              </w:rPr>
            </w:pPr>
            <w:r>
              <w:rPr>
                <w:rFonts w:hint="eastAsia" w:ascii="仿宋" w:hAnsi="仿宋" w:eastAsia="仿宋" w:cs="仿宋"/>
                <w:sz w:val="22"/>
              </w:rPr>
              <w:t>4分</w:t>
            </w:r>
          </w:p>
        </w:tc>
      </w:tr>
      <w:tr w14:paraId="298B6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5" w:type="dxa"/>
            <w:vMerge w:val="continue"/>
            <w:vAlign w:val="center"/>
          </w:tcPr>
          <w:p w14:paraId="6A7B3F7D">
            <w:pPr>
              <w:jc w:val="center"/>
              <w:rPr>
                <w:rFonts w:ascii="仿宋" w:hAnsi="仿宋" w:eastAsia="仿宋" w:cs="仿宋"/>
                <w:sz w:val="22"/>
              </w:rPr>
            </w:pPr>
          </w:p>
        </w:tc>
        <w:tc>
          <w:tcPr>
            <w:tcW w:w="1508" w:type="dxa"/>
            <w:vMerge w:val="continue"/>
            <w:vAlign w:val="center"/>
          </w:tcPr>
          <w:p w14:paraId="5657AB9F">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1CF33456">
            <w:pPr>
              <w:jc w:val="center"/>
              <w:rPr>
                <w:rFonts w:ascii="仿宋" w:hAnsi="仿宋" w:eastAsia="仿宋" w:cs="仿宋"/>
                <w:sz w:val="22"/>
                <w:highlight w:val="green"/>
              </w:rPr>
            </w:pPr>
            <w:r>
              <w:rPr>
                <w:rFonts w:hint="eastAsia" w:ascii="仿宋" w:hAnsi="仿宋" w:eastAsia="仿宋" w:cs="仿宋"/>
                <w:sz w:val="22"/>
              </w:rPr>
              <w:t>项目实施与服务方案</w:t>
            </w:r>
          </w:p>
        </w:tc>
        <w:tc>
          <w:tcPr>
            <w:tcW w:w="5354" w:type="dxa"/>
            <w:tcBorders>
              <w:top w:val="single" w:color="auto" w:sz="4" w:space="0"/>
              <w:left w:val="single" w:color="auto" w:sz="4" w:space="0"/>
            </w:tcBorders>
            <w:vAlign w:val="center"/>
          </w:tcPr>
          <w:p w14:paraId="2E198A9C">
            <w:pPr>
              <w:pStyle w:val="3"/>
              <w:rPr>
                <w:rFonts w:ascii="仿宋" w:hAnsi="仿宋" w:eastAsia="仿宋" w:cs="仿宋"/>
                <w:sz w:val="22"/>
              </w:rPr>
            </w:pPr>
            <w:r>
              <w:rPr>
                <w:rFonts w:hint="eastAsia" w:ascii="仿宋" w:hAnsi="仿宋" w:eastAsia="仿宋" w:cs="仿宋"/>
                <w:sz w:val="22"/>
              </w:rPr>
              <w:t>1.投标人根据需求进行充分调研，全面了解用户需求和目标，提供具体详实的项目实施与服务方案；方案应有针对性，包括：①人员配置与进度安排、②供货方案、③安装调试方案、④与教体局现有录播系统平台对接方案、⑤质量保证措施、⑥安全文明措施、⑦试运行、⑧培训、⑨售后服务；上述9个方面每一项内容得分1分，每有一项内容存在缺陷或不足的该点内容不得分。本项最高得分9分；照抄磋商文件或未提供的不得分。</w:t>
            </w:r>
          </w:p>
          <w:p w14:paraId="0B1FB58C">
            <w:pPr>
              <w:jc w:val="left"/>
              <w:rPr>
                <w:rFonts w:ascii="仿宋" w:hAnsi="仿宋" w:eastAsia="仿宋" w:cs="仿宋"/>
                <w:sz w:val="22"/>
              </w:rPr>
            </w:pPr>
            <w:r>
              <w:rPr>
                <w:rFonts w:hint="eastAsia" w:ascii="仿宋" w:hAnsi="仿宋" w:eastAsia="仿宋" w:cs="仿宋"/>
                <w:sz w:val="22"/>
              </w:rPr>
              <w:t>注：方案内容存在缺陷或不足是指以下任意一种情形：方案内容不切合行业实际、不符合国家法规政策；或方案内容生搬硬套，与实际情况不符，存在偏差；或存在与项目无关的文字内容；或内容不适用项目实际情况；或内容逻辑漏洞或原理错误。</w:t>
            </w:r>
          </w:p>
          <w:p w14:paraId="7701A28B">
            <w:pPr>
              <w:jc w:val="left"/>
              <w:rPr>
                <w:rFonts w:ascii="仿宋" w:hAnsi="仿宋" w:eastAsia="仿宋" w:cs="仿宋"/>
                <w:sz w:val="22"/>
              </w:rPr>
            </w:pPr>
            <w:r>
              <w:rPr>
                <w:rFonts w:hint="eastAsia" w:ascii="仿宋" w:hAnsi="仿宋" w:eastAsia="仿宋" w:cs="仿宋"/>
                <w:sz w:val="22"/>
              </w:rPr>
              <w:t>2.投标人承诺7*24小时上门，服务响应时间：30分钟内响应、90分钟内到现场处理、4小时内解决问题，若4小时内有修复困难，提供备机备件；（提供投标人盖公章的服务响应承诺函），符合要求的得1分，达不到要求的不得分；</w:t>
            </w:r>
          </w:p>
          <w:p w14:paraId="2330A56A">
            <w:pPr>
              <w:widowControl/>
              <w:rPr>
                <w:rFonts w:ascii="仿宋" w:hAnsi="仿宋" w:eastAsia="仿宋" w:cs="仿宋"/>
                <w:sz w:val="22"/>
              </w:rPr>
            </w:pPr>
            <w:r>
              <w:rPr>
                <w:rFonts w:hint="eastAsia" w:ascii="仿宋" w:hAnsi="仿宋" w:eastAsia="仿宋" w:cs="仿宋"/>
                <w:sz w:val="22"/>
              </w:rPr>
              <w:t>注：本项目不允许转包、分包及代维。</w:t>
            </w:r>
          </w:p>
        </w:tc>
        <w:tc>
          <w:tcPr>
            <w:tcW w:w="792" w:type="dxa"/>
            <w:tcBorders>
              <w:top w:val="single" w:color="auto" w:sz="4" w:space="0"/>
            </w:tcBorders>
            <w:vAlign w:val="center"/>
          </w:tcPr>
          <w:p w14:paraId="3B269F74">
            <w:pPr>
              <w:jc w:val="center"/>
              <w:rPr>
                <w:rFonts w:ascii="仿宋" w:hAnsi="仿宋" w:eastAsia="仿宋" w:cs="仿宋"/>
                <w:sz w:val="22"/>
              </w:rPr>
            </w:pPr>
            <w:r>
              <w:rPr>
                <w:rFonts w:hint="eastAsia" w:ascii="仿宋" w:hAnsi="仿宋" w:eastAsia="仿宋" w:cs="仿宋"/>
                <w:sz w:val="22"/>
              </w:rPr>
              <w:t>10分</w:t>
            </w:r>
          </w:p>
        </w:tc>
      </w:tr>
      <w:tr w14:paraId="58045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274F90DE">
            <w:pPr>
              <w:jc w:val="center"/>
              <w:rPr>
                <w:rFonts w:ascii="仿宋" w:hAnsi="仿宋" w:eastAsia="仿宋" w:cs="仿宋"/>
                <w:sz w:val="22"/>
              </w:rPr>
            </w:pPr>
          </w:p>
        </w:tc>
        <w:tc>
          <w:tcPr>
            <w:tcW w:w="1508" w:type="dxa"/>
            <w:vMerge w:val="continue"/>
            <w:vAlign w:val="center"/>
          </w:tcPr>
          <w:p w14:paraId="224CBFD8">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D9F41C5">
            <w:pPr>
              <w:jc w:val="center"/>
              <w:rPr>
                <w:rFonts w:ascii="仿宋" w:hAnsi="仿宋" w:eastAsia="仿宋" w:cs="仿宋"/>
                <w:sz w:val="22"/>
              </w:rPr>
            </w:pPr>
          </w:p>
          <w:p w14:paraId="48FF44C0">
            <w:pPr>
              <w:jc w:val="center"/>
              <w:rPr>
                <w:rFonts w:ascii="仿宋" w:hAnsi="仿宋" w:eastAsia="仿宋" w:cs="仿宋"/>
                <w:sz w:val="22"/>
              </w:rPr>
            </w:pPr>
            <w:r>
              <w:rPr>
                <w:rFonts w:hint="eastAsia" w:ascii="仿宋" w:hAnsi="仿宋" w:eastAsia="仿宋" w:cs="仿宋"/>
                <w:sz w:val="22"/>
              </w:rPr>
              <w:t>节能环保（</w:t>
            </w:r>
            <w:r>
              <w:rPr>
                <w:rFonts w:ascii="仿宋" w:hAnsi="仿宋" w:eastAsia="仿宋" w:cs="仿宋"/>
                <w:sz w:val="22"/>
              </w:rPr>
              <w:t>2</w:t>
            </w:r>
            <w:r>
              <w:rPr>
                <w:rFonts w:hint="eastAsia" w:ascii="仿宋" w:hAnsi="仿宋" w:eastAsia="仿宋" w:cs="仿宋"/>
                <w:sz w:val="22"/>
              </w:rPr>
              <w:t>分）</w:t>
            </w:r>
          </w:p>
          <w:p w14:paraId="269FF447">
            <w:pPr>
              <w:jc w:val="center"/>
              <w:rPr>
                <w:rFonts w:ascii="仿宋" w:hAnsi="仿宋" w:eastAsia="仿宋" w:cs="仿宋"/>
                <w:sz w:val="22"/>
              </w:rPr>
            </w:pPr>
          </w:p>
        </w:tc>
        <w:tc>
          <w:tcPr>
            <w:tcW w:w="5354" w:type="dxa"/>
            <w:tcBorders>
              <w:top w:val="single" w:color="auto" w:sz="4" w:space="0"/>
              <w:left w:val="single" w:color="auto" w:sz="4" w:space="0"/>
            </w:tcBorders>
            <w:vAlign w:val="center"/>
          </w:tcPr>
          <w:p w14:paraId="51F734D6">
            <w:pPr>
              <w:widowControl/>
              <w:numPr>
                <w:ilvl w:val="0"/>
                <w:numId w:val="6"/>
              </w:numPr>
              <w:rPr>
                <w:rFonts w:ascii="仿宋" w:hAnsi="仿宋" w:eastAsia="仿宋" w:cs="仿宋"/>
                <w:sz w:val="22"/>
              </w:rPr>
            </w:pPr>
            <w:r>
              <w:rPr>
                <w:rFonts w:hint="eastAsia" w:ascii="仿宋" w:hAnsi="仿宋" w:eastAsia="仿宋" w:cs="仿宋"/>
                <w:sz w:val="22"/>
              </w:rPr>
              <w:t>投标产品属于财政部、国家发改委公布的“节能产品品目清单”范围内的，供应商须在响应文件中提供国家确定的认证机构出具的、处于有效期之内的该节能产品认证证书复印件的，有1个得0.5分，最多得1分。如投标产品均属于政府强制采购节能产品品目清单范围内，本项不得分。</w:t>
            </w:r>
          </w:p>
          <w:p w14:paraId="4FD3E880">
            <w:pPr>
              <w:widowControl/>
              <w:rPr>
                <w:rFonts w:ascii="仿宋" w:hAnsi="仿宋" w:eastAsia="仿宋" w:cs="仿宋"/>
                <w:sz w:val="22"/>
              </w:rPr>
            </w:pPr>
            <w:r>
              <w:rPr>
                <w:rFonts w:hint="eastAsia" w:ascii="仿宋" w:hAnsi="仿宋" w:eastAsia="仿宋" w:cs="仿宋"/>
                <w:sz w:val="22"/>
              </w:rPr>
              <w:t>2.投标产品属于财政部、生态环境部公布的“环境标志产品品目清单”范围内的，供应商须在响应文件中提供国家确定的认证机构出具的、处于有效期内的该环保产品认证证书复印件的，有1个得0.5分，最多得1分。</w:t>
            </w:r>
          </w:p>
          <w:p w14:paraId="07DBD33D">
            <w:pPr>
              <w:widowControl/>
              <w:rPr>
                <w:rFonts w:ascii="仿宋" w:hAnsi="仿宋" w:eastAsia="仿宋" w:cs="仿宋"/>
                <w:sz w:val="22"/>
              </w:rPr>
            </w:pPr>
          </w:p>
        </w:tc>
        <w:tc>
          <w:tcPr>
            <w:tcW w:w="792" w:type="dxa"/>
            <w:tcBorders>
              <w:top w:val="single" w:color="auto" w:sz="4" w:space="0"/>
            </w:tcBorders>
            <w:vAlign w:val="center"/>
          </w:tcPr>
          <w:p w14:paraId="446FBC9B">
            <w:pPr>
              <w:jc w:val="center"/>
              <w:rPr>
                <w:rFonts w:ascii="仿宋" w:hAnsi="仿宋" w:eastAsia="仿宋" w:cs="仿宋"/>
                <w:sz w:val="22"/>
              </w:rPr>
            </w:pPr>
            <w:r>
              <w:rPr>
                <w:rFonts w:ascii="仿宋" w:hAnsi="仿宋" w:eastAsia="仿宋" w:cs="仿宋"/>
                <w:sz w:val="22"/>
              </w:rPr>
              <w:t>2</w:t>
            </w:r>
            <w:r>
              <w:rPr>
                <w:rFonts w:hint="eastAsia" w:ascii="仿宋" w:hAnsi="仿宋" w:eastAsia="仿宋" w:cs="仿宋"/>
                <w:sz w:val="22"/>
              </w:rPr>
              <w:t>分</w:t>
            </w:r>
          </w:p>
        </w:tc>
      </w:tr>
      <w:tr w14:paraId="473B3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47" w:type="dxa"/>
            <w:gridSpan w:val="4"/>
            <w:vAlign w:val="center"/>
          </w:tcPr>
          <w:p w14:paraId="14D29139">
            <w:pPr>
              <w:jc w:val="center"/>
              <w:rPr>
                <w:rFonts w:ascii="仿宋" w:hAnsi="仿宋" w:eastAsia="仿宋" w:cs="仿宋"/>
                <w:b/>
                <w:bCs/>
                <w:sz w:val="22"/>
              </w:rPr>
            </w:pPr>
            <w:r>
              <w:rPr>
                <w:rFonts w:hint="eastAsia" w:ascii="仿宋" w:hAnsi="仿宋" w:eastAsia="仿宋" w:cs="仿宋"/>
                <w:b/>
                <w:bCs/>
                <w:sz w:val="22"/>
              </w:rPr>
              <w:t>合计</w:t>
            </w:r>
          </w:p>
        </w:tc>
        <w:tc>
          <w:tcPr>
            <w:tcW w:w="792" w:type="dxa"/>
            <w:vAlign w:val="center"/>
          </w:tcPr>
          <w:p w14:paraId="1FA5FD1F">
            <w:pPr>
              <w:jc w:val="center"/>
              <w:rPr>
                <w:rFonts w:ascii="仿宋" w:hAnsi="仿宋" w:eastAsia="仿宋" w:cs="仿宋"/>
                <w:b/>
                <w:bCs/>
                <w:sz w:val="22"/>
              </w:rPr>
            </w:pPr>
            <w:r>
              <w:rPr>
                <w:rFonts w:hint="eastAsia" w:ascii="仿宋" w:hAnsi="仿宋" w:eastAsia="仿宋" w:cs="仿宋"/>
                <w:b/>
                <w:bCs/>
                <w:sz w:val="22"/>
              </w:rPr>
              <w:t>100</w:t>
            </w:r>
          </w:p>
        </w:tc>
      </w:tr>
    </w:tbl>
    <w:p w14:paraId="323FF6B1"/>
    <w:p w14:paraId="0C11939F">
      <w:pPr>
        <w:keepNext/>
        <w:jc w:val="center"/>
        <w:rPr>
          <w:rFonts w:ascii="仿宋" w:hAnsi="仿宋" w:eastAsia="仿宋" w:cs="仿宋"/>
          <w:bCs/>
          <w:sz w:val="44"/>
          <w:szCs w:val="28"/>
        </w:rPr>
      </w:pPr>
    </w:p>
    <w:p w14:paraId="29738FA7">
      <w:pPr>
        <w:rPr>
          <w:rFonts w:ascii="仿宋" w:hAnsi="仿宋" w:eastAsia="仿宋" w:cs="仿宋"/>
          <w:b/>
          <w:sz w:val="44"/>
          <w:szCs w:val="28"/>
        </w:rPr>
      </w:pPr>
      <w:bookmarkStart w:id="214" w:name="_Toc2753"/>
      <w:bookmarkStart w:id="215" w:name="_Toc29207"/>
      <w:bookmarkStart w:id="216" w:name="_Toc806"/>
      <w:r>
        <w:rPr>
          <w:rFonts w:hint="eastAsia" w:ascii="仿宋" w:hAnsi="仿宋" w:eastAsia="仿宋" w:cs="仿宋"/>
          <w:b/>
          <w:sz w:val="44"/>
          <w:szCs w:val="28"/>
        </w:rPr>
        <w:br w:type="page"/>
      </w:r>
    </w:p>
    <w:p w14:paraId="2A8FFE97">
      <w:pPr>
        <w:keepNext/>
        <w:ind w:firstLine="1767" w:firstLineChars="400"/>
        <w:outlineLvl w:val="0"/>
        <w:rPr>
          <w:rFonts w:ascii="仿宋" w:hAnsi="仿宋" w:eastAsia="仿宋" w:cs="仿宋"/>
          <w:b/>
          <w:sz w:val="44"/>
          <w:szCs w:val="28"/>
        </w:rPr>
      </w:pPr>
      <w:r>
        <w:rPr>
          <w:rFonts w:hint="eastAsia" w:ascii="仿宋" w:hAnsi="仿宋" w:eastAsia="仿宋" w:cs="仿宋"/>
          <w:b/>
          <w:sz w:val="44"/>
          <w:szCs w:val="28"/>
        </w:rPr>
        <w:t xml:space="preserve">第六章  </w:t>
      </w:r>
      <w:bookmarkEnd w:id="207"/>
      <w:bookmarkEnd w:id="208"/>
      <w:bookmarkEnd w:id="209"/>
      <w:r>
        <w:rPr>
          <w:rFonts w:hint="eastAsia" w:ascii="仿宋" w:hAnsi="仿宋" w:eastAsia="仿宋" w:cs="仿宋"/>
          <w:b/>
          <w:sz w:val="44"/>
          <w:szCs w:val="28"/>
        </w:rPr>
        <w:t>响应文件格式</w:t>
      </w:r>
      <w:bookmarkEnd w:id="214"/>
      <w:bookmarkEnd w:id="215"/>
      <w:bookmarkEnd w:id="216"/>
      <w:r>
        <w:rPr>
          <w:rFonts w:hint="eastAsia" w:ascii="仿宋" w:hAnsi="仿宋" w:eastAsia="仿宋" w:cs="仿宋"/>
          <w:b/>
          <w:sz w:val="44"/>
          <w:szCs w:val="28"/>
        </w:rPr>
        <w:t xml:space="preserve"> </w:t>
      </w:r>
    </w:p>
    <w:p w14:paraId="4790D240">
      <w:pPr>
        <w:jc w:val="center"/>
        <w:rPr>
          <w:rFonts w:ascii="仿宋" w:hAnsi="仿宋" w:eastAsia="仿宋" w:cs="仿宋"/>
          <w:b/>
          <w:sz w:val="72"/>
          <w:szCs w:val="21"/>
        </w:rPr>
      </w:pPr>
      <w:bookmarkStart w:id="217" w:name="_Hlt26671244"/>
      <w:bookmarkEnd w:id="217"/>
      <w:bookmarkStart w:id="218" w:name="_Hlt26955039"/>
      <w:bookmarkEnd w:id="218"/>
      <w:bookmarkStart w:id="219" w:name="_Toc49090576"/>
      <w:bookmarkStart w:id="220" w:name="_Toc26554094"/>
      <w:bookmarkStart w:id="221" w:name="_Toc120614282"/>
    </w:p>
    <w:p w14:paraId="3E3D9CD9">
      <w:pPr>
        <w:jc w:val="center"/>
        <w:rPr>
          <w:rFonts w:ascii="仿宋" w:hAnsi="仿宋" w:eastAsia="仿宋" w:cs="仿宋"/>
          <w:b/>
          <w:sz w:val="72"/>
          <w:szCs w:val="21"/>
        </w:rPr>
      </w:pPr>
      <w:r>
        <w:rPr>
          <w:rFonts w:hint="eastAsia" w:ascii="仿宋" w:hAnsi="仿宋" w:eastAsia="仿宋" w:cs="仿宋"/>
          <w:b/>
          <w:sz w:val="72"/>
          <w:szCs w:val="21"/>
        </w:rPr>
        <w:t>响  应  文  件</w:t>
      </w:r>
    </w:p>
    <w:p w14:paraId="63BC3B52">
      <w:pPr>
        <w:jc w:val="center"/>
        <w:rPr>
          <w:rFonts w:ascii="仿宋" w:hAnsi="仿宋" w:eastAsia="仿宋" w:cs="仿宋"/>
          <w:b/>
          <w:sz w:val="72"/>
          <w:szCs w:val="21"/>
        </w:rPr>
      </w:pPr>
    </w:p>
    <w:p w14:paraId="5AB66484">
      <w:pPr>
        <w:jc w:val="center"/>
        <w:rPr>
          <w:rFonts w:ascii="仿宋" w:hAnsi="仿宋" w:eastAsia="仿宋" w:cs="仿宋"/>
          <w:b/>
          <w:sz w:val="72"/>
          <w:szCs w:val="21"/>
        </w:rPr>
      </w:pPr>
    </w:p>
    <w:p w14:paraId="07987E61">
      <w:pPr>
        <w:jc w:val="center"/>
        <w:rPr>
          <w:rFonts w:ascii="仿宋" w:hAnsi="仿宋" w:eastAsia="仿宋" w:cs="仿宋"/>
          <w:b/>
          <w:sz w:val="36"/>
          <w:szCs w:val="21"/>
        </w:rPr>
      </w:pPr>
    </w:p>
    <w:p w14:paraId="4F3080DF">
      <w:pPr>
        <w:jc w:val="center"/>
        <w:rPr>
          <w:rFonts w:ascii="仿宋" w:hAnsi="仿宋" w:eastAsia="仿宋" w:cs="仿宋"/>
          <w:b/>
          <w:sz w:val="36"/>
          <w:szCs w:val="21"/>
        </w:rPr>
      </w:pPr>
    </w:p>
    <w:p w14:paraId="78ADA8D9">
      <w:pPr>
        <w:jc w:val="center"/>
        <w:rPr>
          <w:rFonts w:ascii="仿宋" w:hAnsi="仿宋" w:eastAsia="仿宋" w:cs="仿宋"/>
          <w:b/>
          <w:sz w:val="36"/>
          <w:szCs w:val="21"/>
        </w:rPr>
      </w:pPr>
    </w:p>
    <w:p w14:paraId="5B07E175">
      <w:pPr>
        <w:ind w:firstLine="1084" w:firstLineChars="300"/>
        <w:rPr>
          <w:rFonts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27A0A96E">
      <w:pPr>
        <w:ind w:firstLine="1084" w:firstLineChars="300"/>
        <w:rPr>
          <w:rFonts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063DACEE">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08B76175">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4B593920">
      <w:pPr>
        <w:spacing w:line="440" w:lineRule="exact"/>
        <w:jc w:val="center"/>
        <w:rPr>
          <w:rFonts w:ascii="仿宋" w:hAnsi="仿宋" w:eastAsia="仿宋" w:cs="仿宋"/>
          <w:b/>
          <w:bCs/>
          <w:sz w:val="32"/>
          <w:szCs w:val="32"/>
        </w:rPr>
      </w:pPr>
    </w:p>
    <w:p w14:paraId="45E9B773">
      <w:pPr>
        <w:spacing w:line="440" w:lineRule="exact"/>
        <w:rPr>
          <w:rFonts w:ascii="仿宋" w:hAnsi="仿宋" w:eastAsia="仿宋" w:cs="仿宋"/>
          <w:szCs w:val="21"/>
        </w:rPr>
      </w:pPr>
    </w:p>
    <w:p w14:paraId="13FE298B">
      <w:pPr>
        <w:ind w:firstLine="1084" w:firstLineChars="300"/>
        <w:rPr>
          <w:rFonts w:ascii="仿宋" w:hAnsi="仿宋" w:eastAsia="仿宋" w:cs="仿宋"/>
          <w:b/>
          <w:sz w:val="36"/>
          <w:szCs w:val="21"/>
          <w:u w:val="single"/>
        </w:rPr>
      </w:pPr>
      <w:r>
        <w:rPr>
          <w:rFonts w:hint="eastAsia" w:ascii="仿宋" w:hAnsi="仿宋" w:eastAsia="仿宋" w:cs="仿宋"/>
          <w:b/>
          <w:sz w:val="36"/>
          <w:szCs w:val="21"/>
          <w:u w:val="single"/>
        </w:rPr>
        <w:br w:type="page"/>
      </w:r>
    </w:p>
    <w:p w14:paraId="707A2825">
      <w:pPr>
        <w:pStyle w:val="4"/>
      </w:pPr>
    </w:p>
    <w:p w14:paraId="0E5B95ED">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043DC566">
      <w:pPr>
        <w:spacing w:line="440" w:lineRule="exact"/>
        <w:jc w:val="center"/>
        <w:rPr>
          <w:rFonts w:ascii="仿宋" w:hAnsi="仿宋" w:eastAsia="仿宋" w:cs="仿宋"/>
          <w:b/>
          <w:bCs/>
          <w:sz w:val="32"/>
          <w:szCs w:val="32"/>
        </w:rPr>
      </w:pPr>
    </w:p>
    <w:p w14:paraId="1F68725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2DF05DBD">
      <w:pPr>
        <w:spacing w:line="500" w:lineRule="exact"/>
        <w:ind w:left="480"/>
        <w:rPr>
          <w:rFonts w:ascii="仿宋" w:hAnsi="仿宋" w:eastAsia="仿宋" w:cs="仿宋"/>
          <w:sz w:val="24"/>
          <w:szCs w:val="21"/>
        </w:rPr>
      </w:pPr>
      <w:r>
        <w:rPr>
          <w:rFonts w:hint="eastAsia" w:ascii="仿宋" w:hAnsi="仿宋" w:eastAsia="仿宋" w:cs="仿宋"/>
          <w:sz w:val="24"/>
          <w:szCs w:val="21"/>
        </w:rPr>
        <w:t>1.磋商报价表</w:t>
      </w:r>
    </w:p>
    <w:p w14:paraId="7EAA2010">
      <w:pPr>
        <w:spacing w:line="500" w:lineRule="exact"/>
        <w:ind w:left="480"/>
        <w:rPr>
          <w:rFonts w:ascii="仿宋" w:hAnsi="仿宋" w:eastAsia="仿宋" w:cs="仿宋"/>
          <w:sz w:val="24"/>
          <w:szCs w:val="21"/>
        </w:rPr>
      </w:pPr>
      <w:r>
        <w:rPr>
          <w:rFonts w:hint="eastAsia" w:ascii="仿宋" w:hAnsi="仿宋" w:eastAsia="仿宋" w:cs="仿宋"/>
          <w:sz w:val="24"/>
          <w:szCs w:val="21"/>
        </w:rPr>
        <w:t>2.分项报价表（格式见附件1）</w:t>
      </w:r>
    </w:p>
    <w:p w14:paraId="2C1A5941">
      <w:pPr>
        <w:keepNext/>
        <w:keepLines/>
        <w:spacing w:before="145" w:beforeLines="50" w:after="145" w:afterLines="50" w:line="360" w:lineRule="auto"/>
        <w:ind w:firstLine="436" w:firstLineChars="155"/>
        <w:outlineLvl w:val="2"/>
        <w:rPr>
          <w:rFonts w:ascii="仿宋" w:hAnsi="仿宋" w:eastAsia="仿宋" w:cs="仿宋"/>
          <w:b/>
          <w:sz w:val="28"/>
          <w:szCs w:val="28"/>
        </w:rPr>
      </w:pPr>
      <w:r>
        <w:rPr>
          <w:rFonts w:hint="eastAsia" w:ascii="仿宋" w:hAnsi="仿宋" w:eastAsia="仿宋" w:cs="仿宋"/>
          <w:b/>
          <w:sz w:val="28"/>
          <w:szCs w:val="28"/>
        </w:rPr>
        <w:t>二、资格审查内容</w:t>
      </w:r>
    </w:p>
    <w:p w14:paraId="2E011DA6">
      <w:pPr>
        <w:spacing w:line="500" w:lineRule="exact"/>
        <w:ind w:left="480"/>
        <w:rPr>
          <w:rFonts w:ascii="仿宋" w:hAnsi="仿宋" w:eastAsia="仿宋" w:cs="仿宋"/>
          <w:sz w:val="24"/>
          <w:szCs w:val="21"/>
        </w:rPr>
      </w:pPr>
      <w:r>
        <w:rPr>
          <w:rFonts w:hint="eastAsia" w:ascii="仿宋" w:hAnsi="仿宋" w:eastAsia="仿宋" w:cs="仿宋"/>
          <w:sz w:val="24"/>
          <w:szCs w:val="21"/>
        </w:rPr>
        <w:t>1.投标人符合《中华人民共和国政府采购法》第二十二条规定条件的声明函（</w:t>
      </w:r>
      <w:r>
        <w:rPr>
          <w:rFonts w:hint="eastAsia" w:ascii="仿宋" w:hAnsi="仿宋" w:eastAsia="仿宋" w:cs="仿宋"/>
          <w:sz w:val="24"/>
          <w:szCs w:val="21"/>
          <w:lang w:val="zh-CN"/>
        </w:rPr>
        <w:t>格式见附件</w:t>
      </w:r>
      <w:r>
        <w:rPr>
          <w:rFonts w:hint="eastAsia" w:ascii="仿宋" w:hAnsi="仿宋" w:eastAsia="仿宋" w:cs="仿宋"/>
          <w:sz w:val="24"/>
          <w:szCs w:val="21"/>
        </w:rPr>
        <w:t>2）</w:t>
      </w:r>
    </w:p>
    <w:p w14:paraId="28914A89">
      <w:pPr>
        <w:spacing w:line="500" w:lineRule="exact"/>
        <w:ind w:left="480"/>
        <w:rPr>
          <w:rFonts w:ascii="仿宋" w:hAnsi="仿宋" w:eastAsia="仿宋" w:cs="仿宋"/>
          <w:sz w:val="24"/>
          <w:szCs w:val="21"/>
        </w:rPr>
      </w:pPr>
      <w:r>
        <w:rPr>
          <w:rFonts w:hint="eastAsia" w:ascii="仿宋" w:hAnsi="仿宋" w:eastAsia="仿宋" w:cs="仿宋"/>
          <w:sz w:val="24"/>
          <w:szCs w:val="21"/>
        </w:rPr>
        <w:t>2.法定代表人身份证明（格式见附件3）、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p w14:paraId="5AB849C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3.法人授权书（格式见附件4）、被授权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p w14:paraId="041E922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4.磋商响应函（格式见附件5）</w:t>
      </w:r>
    </w:p>
    <w:p w14:paraId="1C5477D9">
      <w:pPr>
        <w:spacing w:line="400" w:lineRule="exact"/>
        <w:ind w:firstLine="480" w:firstLineChars="200"/>
      </w:pPr>
      <w:r>
        <w:rPr>
          <w:rFonts w:hint="eastAsia" w:ascii="仿宋" w:hAnsi="仿宋" w:eastAsia="仿宋" w:cs="仿宋"/>
          <w:sz w:val="24"/>
          <w:szCs w:val="21"/>
        </w:rPr>
        <w:t>5.</w:t>
      </w:r>
      <w:r>
        <w:rPr>
          <w:rFonts w:hint="eastAsia" w:ascii="仿宋" w:hAnsi="仿宋" w:eastAsia="仿宋" w:cs="仿宋"/>
          <w:sz w:val="24"/>
          <w:szCs w:val="21"/>
          <w:lang w:val="zh-CN"/>
        </w:rPr>
        <w:t>其它需要提交的资格审查证明材料。</w:t>
      </w:r>
    </w:p>
    <w:p w14:paraId="2875B3BE">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6EFA1F0D">
      <w:pPr>
        <w:spacing w:line="500" w:lineRule="exact"/>
        <w:ind w:left="480"/>
        <w:rPr>
          <w:rFonts w:ascii="仿宋" w:hAnsi="仿宋" w:eastAsia="仿宋" w:cs="仿宋"/>
          <w:sz w:val="24"/>
          <w:szCs w:val="21"/>
        </w:rPr>
      </w:pPr>
      <w:r>
        <w:rPr>
          <w:rFonts w:hint="eastAsia" w:ascii="仿宋" w:hAnsi="仿宋" w:eastAsia="仿宋" w:cs="仿宋"/>
          <w:sz w:val="24"/>
          <w:szCs w:val="21"/>
        </w:rPr>
        <w:t>1.技术要求响应及偏离表（格式见附件9）</w:t>
      </w:r>
    </w:p>
    <w:p w14:paraId="6ECA43F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2.商务要求响应及偏离表（格式见附件10）</w:t>
      </w:r>
    </w:p>
    <w:p w14:paraId="7EDE3A4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3.实质性要求响应及偏离表（格式见附件11），供应商必须对技术要求和商务要求中加斜体下划线的实质性要求做出响应，并按照磋商文件要求提供证明材料，否则做无效响应处理。</w:t>
      </w:r>
    </w:p>
    <w:p w14:paraId="0F086A83">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 xml:space="preserve">容 </w:t>
      </w:r>
    </w:p>
    <w:p w14:paraId="635A931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商务技术评分标准中须提供的相关得分佐证材料</w:t>
      </w:r>
    </w:p>
    <w:p w14:paraId="06273EF5">
      <w:pPr>
        <w:spacing w:line="500" w:lineRule="exact"/>
        <w:ind w:firstLine="480" w:firstLineChars="200"/>
        <w:rPr>
          <w:rFonts w:eastAsia="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71C85BCC">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7C8675A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1.中小企业声明函（格式见附件6）</w:t>
      </w:r>
    </w:p>
    <w:p w14:paraId="2A70A31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25D1B91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5D6E248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 关于符合本国产品标准的声明函（格式见附件12）</w:t>
      </w:r>
    </w:p>
    <w:p w14:paraId="42897C6C">
      <w:pPr>
        <w:spacing w:line="500" w:lineRule="exact"/>
        <w:ind w:left="480"/>
        <w:rPr>
          <w:rFonts w:ascii="仿宋" w:hAnsi="仿宋" w:eastAsia="仿宋" w:cs="仿宋"/>
          <w:b/>
          <w:sz w:val="24"/>
          <w:szCs w:val="21"/>
        </w:rPr>
      </w:pPr>
    </w:p>
    <w:p w14:paraId="622E6742">
      <w:pPr>
        <w:spacing w:line="500" w:lineRule="exact"/>
        <w:ind w:left="480"/>
        <w:rPr>
          <w:rFonts w:ascii="仿宋" w:hAnsi="仿宋" w:eastAsia="仿宋" w:cs="仿宋"/>
          <w:b/>
          <w:sz w:val="24"/>
          <w:szCs w:val="21"/>
        </w:rPr>
      </w:pPr>
      <w:r>
        <w:rPr>
          <w:rFonts w:hint="eastAsia" w:ascii="仿宋" w:hAnsi="仿宋" w:eastAsia="仿宋" w:cs="仿宋"/>
          <w:b/>
          <w:sz w:val="28"/>
          <w:szCs w:val="28"/>
        </w:rPr>
        <w:br w:type="page"/>
      </w:r>
      <w:r>
        <w:rPr>
          <w:rFonts w:hint="eastAsia" w:ascii="仿宋" w:hAnsi="仿宋" w:eastAsia="仿宋" w:cs="仿宋"/>
          <w:b/>
          <w:sz w:val="28"/>
          <w:szCs w:val="28"/>
        </w:rPr>
        <w:t xml:space="preserve">附件1 </w:t>
      </w:r>
    </w:p>
    <w:p w14:paraId="41FABCB3">
      <w:pPr>
        <w:jc w:val="center"/>
        <w:rPr>
          <w:rFonts w:ascii="仿宋" w:hAnsi="仿宋" w:eastAsia="仿宋" w:cs="仿宋"/>
          <w:b/>
          <w:sz w:val="28"/>
          <w:szCs w:val="28"/>
        </w:rPr>
      </w:pPr>
      <w:r>
        <w:rPr>
          <w:rFonts w:hint="eastAsia" w:ascii="仿宋" w:hAnsi="仿宋" w:eastAsia="仿宋" w:cs="仿宋"/>
          <w:b/>
          <w:sz w:val="28"/>
          <w:szCs w:val="28"/>
        </w:rPr>
        <w:t>分项报价表（货物类项目）</w:t>
      </w:r>
    </w:p>
    <w:p w14:paraId="1B469669">
      <w:pPr>
        <w:pStyle w:val="13"/>
      </w:pPr>
    </w:p>
    <w:tbl>
      <w:tblPr>
        <w:tblStyle w:val="1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59F9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1B4EEB07">
            <w:pPr>
              <w:spacing w:line="0" w:lineRule="atLeast"/>
              <w:jc w:val="center"/>
              <w:rPr>
                <w:rFonts w:ascii="仿宋" w:hAnsi="仿宋" w:eastAsia="仿宋" w:cs="仿宋"/>
                <w:sz w:val="24"/>
                <w:szCs w:val="24"/>
              </w:rPr>
            </w:pPr>
            <w:r>
              <w:rPr>
                <w:rFonts w:hint="eastAsia" w:ascii="仿宋" w:hAnsi="仿宋" w:eastAsia="仿宋" w:cs="仿宋"/>
                <w:sz w:val="24"/>
                <w:szCs w:val="24"/>
              </w:rPr>
              <w:t>序号</w:t>
            </w:r>
          </w:p>
        </w:tc>
        <w:tc>
          <w:tcPr>
            <w:tcW w:w="728" w:type="dxa"/>
            <w:vAlign w:val="center"/>
          </w:tcPr>
          <w:p w14:paraId="24319A96">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728" w:type="dxa"/>
            <w:vAlign w:val="center"/>
          </w:tcPr>
          <w:p w14:paraId="1DAA88E5">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938" w:type="dxa"/>
            <w:vAlign w:val="center"/>
          </w:tcPr>
          <w:p w14:paraId="2004B2EA">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980" w:type="dxa"/>
            <w:vAlign w:val="center"/>
          </w:tcPr>
          <w:p w14:paraId="19B8DED8">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1106" w:type="dxa"/>
            <w:vAlign w:val="center"/>
          </w:tcPr>
          <w:p w14:paraId="4708E642">
            <w:pPr>
              <w:spacing w:line="0" w:lineRule="atLeast"/>
              <w:jc w:val="center"/>
              <w:rPr>
                <w:rFonts w:ascii="仿宋" w:hAnsi="仿宋" w:eastAsia="仿宋" w:cs="仿宋"/>
                <w:sz w:val="24"/>
                <w:szCs w:val="24"/>
              </w:rPr>
            </w:pPr>
            <w:r>
              <w:rPr>
                <w:rFonts w:hint="eastAsia" w:ascii="仿宋" w:hAnsi="仿宋" w:eastAsia="仿宋" w:cs="仿宋"/>
                <w:sz w:val="24"/>
                <w:szCs w:val="24"/>
              </w:rPr>
              <w:t>5</w:t>
            </w:r>
          </w:p>
        </w:tc>
        <w:tc>
          <w:tcPr>
            <w:tcW w:w="1385" w:type="dxa"/>
            <w:vAlign w:val="center"/>
          </w:tcPr>
          <w:p w14:paraId="6D258001">
            <w:pPr>
              <w:spacing w:line="0" w:lineRule="atLeast"/>
              <w:jc w:val="center"/>
              <w:rPr>
                <w:rFonts w:ascii="仿宋" w:hAnsi="仿宋" w:eastAsia="仿宋" w:cs="仿宋"/>
                <w:sz w:val="24"/>
                <w:szCs w:val="24"/>
              </w:rPr>
            </w:pPr>
            <w:r>
              <w:rPr>
                <w:rFonts w:hint="eastAsia" w:ascii="仿宋" w:hAnsi="仿宋" w:eastAsia="仿宋" w:cs="仿宋"/>
                <w:sz w:val="24"/>
                <w:szCs w:val="24"/>
              </w:rPr>
              <w:t>6</w:t>
            </w:r>
          </w:p>
        </w:tc>
        <w:tc>
          <w:tcPr>
            <w:tcW w:w="924" w:type="dxa"/>
            <w:vAlign w:val="center"/>
          </w:tcPr>
          <w:p w14:paraId="1F1D5545">
            <w:pPr>
              <w:spacing w:line="0" w:lineRule="atLeast"/>
              <w:jc w:val="center"/>
              <w:rPr>
                <w:rFonts w:ascii="仿宋" w:hAnsi="仿宋" w:eastAsia="仿宋" w:cs="仿宋"/>
                <w:sz w:val="24"/>
                <w:szCs w:val="24"/>
              </w:rPr>
            </w:pPr>
            <w:r>
              <w:rPr>
                <w:rFonts w:hint="eastAsia" w:ascii="仿宋" w:hAnsi="仿宋" w:eastAsia="仿宋" w:cs="仿宋"/>
                <w:sz w:val="24"/>
                <w:szCs w:val="24"/>
              </w:rPr>
              <w:t>7</w:t>
            </w:r>
          </w:p>
        </w:tc>
        <w:tc>
          <w:tcPr>
            <w:tcW w:w="1008" w:type="dxa"/>
            <w:vAlign w:val="center"/>
          </w:tcPr>
          <w:p w14:paraId="5D7A99F4">
            <w:pPr>
              <w:spacing w:line="0" w:lineRule="atLeast"/>
              <w:jc w:val="center"/>
              <w:rPr>
                <w:rFonts w:ascii="仿宋" w:hAnsi="仿宋" w:eastAsia="仿宋" w:cs="仿宋"/>
                <w:sz w:val="24"/>
                <w:szCs w:val="24"/>
              </w:rPr>
            </w:pPr>
            <w:r>
              <w:rPr>
                <w:rFonts w:hint="eastAsia" w:ascii="仿宋" w:hAnsi="仿宋" w:eastAsia="仿宋" w:cs="仿宋"/>
                <w:sz w:val="24"/>
                <w:szCs w:val="24"/>
              </w:rPr>
              <w:t>8</w:t>
            </w:r>
          </w:p>
        </w:tc>
        <w:tc>
          <w:tcPr>
            <w:tcW w:w="966" w:type="dxa"/>
            <w:vAlign w:val="center"/>
          </w:tcPr>
          <w:p w14:paraId="59761C5F">
            <w:pPr>
              <w:spacing w:line="0" w:lineRule="atLeast"/>
              <w:jc w:val="center"/>
              <w:rPr>
                <w:rFonts w:ascii="仿宋" w:hAnsi="仿宋" w:eastAsia="仿宋" w:cs="仿宋"/>
                <w:sz w:val="24"/>
                <w:szCs w:val="24"/>
              </w:rPr>
            </w:pPr>
            <w:r>
              <w:rPr>
                <w:rFonts w:hint="eastAsia" w:ascii="仿宋" w:hAnsi="仿宋" w:eastAsia="仿宋" w:cs="仿宋"/>
                <w:sz w:val="24"/>
                <w:szCs w:val="24"/>
              </w:rPr>
              <w:t>9</w:t>
            </w:r>
          </w:p>
        </w:tc>
      </w:tr>
      <w:tr w14:paraId="3870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2A266F4A">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728" w:type="dxa"/>
            <w:vAlign w:val="center"/>
          </w:tcPr>
          <w:p w14:paraId="19EAAC4A">
            <w:pPr>
              <w:spacing w:line="0" w:lineRule="atLeast"/>
              <w:jc w:val="center"/>
              <w:rPr>
                <w:rFonts w:ascii="仿宋" w:hAnsi="仿宋" w:eastAsia="仿宋" w:cs="仿宋"/>
                <w:sz w:val="24"/>
                <w:szCs w:val="24"/>
              </w:rPr>
            </w:pPr>
            <w:r>
              <w:rPr>
                <w:rFonts w:hint="eastAsia" w:ascii="仿宋" w:hAnsi="仿宋" w:eastAsia="仿宋" w:cs="仿宋"/>
                <w:sz w:val="24"/>
                <w:szCs w:val="24"/>
              </w:rPr>
              <w:t>产品</w:t>
            </w:r>
          </w:p>
          <w:p w14:paraId="3469DFB2">
            <w:pPr>
              <w:spacing w:line="0" w:lineRule="atLeast"/>
              <w:jc w:val="center"/>
              <w:rPr>
                <w:rFonts w:ascii="仿宋" w:hAnsi="仿宋" w:eastAsia="仿宋" w:cs="仿宋"/>
                <w:sz w:val="24"/>
                <w:szCs w:val="24"/>
              </w:rPr>
            </w:pPr>
            <w:r>
              <w:rPr>
                <w:rFonts w:hint="eastAsia" w:ascii="仿宋" w:hAnsi="仿宋" w:eastAsia="仿宋" w:cs="仿宋"/>
                <w:sz w:val="24"/>
                <w:szCs w:val="24"/>
              </w:rPr>
              <w:t>名称</w:t>
            </w:r>
          </w:p>
        </w:tc>
        <w:tc>
          <w:tcPr>
            <w:tcW w:w="728" w:type="dxa"/>
            <w:vAlign w:val="center"/>
          </w:tcPr>
          <w:p w14:paraId="007512FB">
            <w:pPr>
              <w:spacing w:line="0" w:lineRule="atLeast"/>
              <w:jc w:val="center"/>
              <w:rPr>
                <w:rFonts w:ascii="仿宋" w:hAnsi="仿宋" w:eastAsia="仿宋" w:cs="仿宋"/>
                <w:sz w:val="24"/>
                <w:szCs w:val="24"/>
              </w:rPr>
            </w:pPr>
            <w:r>
              <w:rPr>
                <w:rFonts w:hint="eastAsia" w:ascii="仿宋" w:hAnsi="仿宋" w:eastAsia="仿宋" w:cs="仿宋"/>
                <w:sz w:val="24"/>
                <w:szCs w:val="24"/>
              </w:rPr>
              <w:t>品牌</w:t>
            </w:r>
          </w:p>
        </w:tc>
        <w:tc>
          <w:tcPr>
            <w:tcW w:w="938" w:type="dxa"/>
            <w:vAlign w:val="center"/>
          </w:tcPr>
          <w:p w14:paraId="09706452">
            <w:pPr>
              <w:spacing w:line="0" w:lineRule="atLeast"/>
              <w:jc w:val="center"/>
              <w:rPr>
                <w:rFonts w:ascii="仿宋" w:hAnsi="仿宋" w:eastAsia="仿宋" w:cs="仿宋"/>
                <w:sz w:val="24"/>
                <w:szCs w:val="24"/>
              </w:rPr>
            </w:pPr>
            <w:r>
              <w:rPr>
                <w:rFonts w:hint="eastAsia" w:ascii="仿宋" w:hAnsi="仿宋" w:eastAsia="仿宋" w:cs="仿宋"/>
                <w:sz w:val="24"/>
                <w:szCs w:val="24"/>
              </w:rPr>
              <w:t>规格</w:t>
            </w:r>
          </w:p>
          <w:p w14:paraId="4BEC9851">
            <w:pPr>
              <w:spacing w:line="0" w:lineRule="atLeast"/>
              <w:jc w:val="center"/>
              <w:rPr>
                <w:rFonts w:ascii="仿宋" w:hAnsi="仿宋" w:eastAsia="仿宋" w:cs="仿宋"/>
                <w:sz w:val="24"/>
                <w:szCs w:val="24"/>
              </w:rPr>
            </w:pPr>
            <w:r>
              <w:rPr>
                <w:rFonts w:hint="eastAsia" w:ascii="仿宋" w:hAnsi="仿宋" w:eastAsia="仿宋" w:cs="仿宋"/>
                <w:sz w:val="24"/>
                <w:szCs w:val="24"/>
              </w:rPr>
              <w:t>型号</w:t>
            </w:r>
          </w:p>
        </w:tc>
        <w:tc>
          <w:tcPr>
            <w:tcW w:w="980" w:type="dxa"/>
            <w:vAlign w:val="center"/>
          </w:tcPr>
          <w:p w14:paraId="564310B9">
            <w:pPr>
              <w:spacing w:line="0" w:lineRule="atLeast"/>
              <w:jc w:val="center"/>
              <w:rPr>
                <w:rFonts w:ascii="仿宋" w:hAnsi="仿宋" w:eastAsia="仿宋" w:cs="仿宋"/>
                <w:sz w:val="24"/>
                <w:szCs w:val="24"/>
              </w:rPr>
            </w:pPr>
            <w:r>
              <w:rPr>
                <w:rFonts w:hint="eastAsia" w:ascii="仿宋" w:hAnsi="仿宋" w:eastAsia="仿宋" w:cs="仿宋"/>
                <w:sz w:val="24"/>
                <w:szCs w:val="24"/>
              </w:rPr>
              <w:t>制造商名称</w:t>
            </w:r>
          </w:p>
        </w:tc>
        <w:tc>
          <w:tcPr>
            <w:tcW w:w="1106" w:type="dxa"/>
            <w:vAlign w:val="center"/>
          </w:tcPr>
          <w:p w14:paraId="52EF960A">
            <w:pPr>
              <w:spacing w:line="0" w:lineRule="atLeast"/>
              <w:jc w:val="center"/>
              <w:rPr>
                <w:rFonts w:ascii="仿宋" w:hAnsi="仿宋" w:eastAsia="仿宋" w:cs="仿宋"/>
                <w:sz w:val="24"/>
                <w:szCs w:val="24"/>
              </w:rPr>
            </w:pPr>
            <w:r>
              <w:rPr>
                <w:rFonts w:hint="eastAsia" w:ascii="仿宋" w:hAnsi="仿宋" w:eastAsia="仿宋" w:cs="仿宋"/>
                <w:sz w:val="24"/>
                <w:szCs w:val="24"/>
              </w:rPr>
              <w:t>产地</w:t>
            </w:r>
          </w:p>
        </w:tc>
        <w:tc>
          <w:tcPr>
            <w:tcW w:w="1385" w:type="dxa"/>
            <w:vAlign w:val="center"/>
          </w:tcPr>
          <w:p w14:paraId="47CB6699">
            <w:pPr>
              <w:spacing w:line="0" w:lineRule="atLeast"/>
              <w:jc w:val="center"/>
              <w:rPr>
                <w:rFonts w:ascii="仿宋" w:hAnsi="仿宋" w:eastAsia="仿宋" w:cs="仿宋"/>
                <w:sz w:val="24"/>
                <w:szCs w:val="24"/>
              </w:rPr>
            </w:pPr>
            <w:r>
              <w:rPr>
                <w:rFonts w:hint="eastAsia" w:ascii="仿宋" w:hAnsi="仿宋" w:eastAsia="仿宋" w:cs="仿宋"/>
                <w:sz w:val="24"/>
                <w:szCs w:val="24"/>
              </w:rPr>
              <w:t>交付期</w:t>
            </w:r>
          </w:p>
        </w:tc>
        <w:tc>
          <w:tcPr>
            <w:tcW w:w="924" w:type="dxa"/>
            <w:vAlign w:val="center"/>
          </w:tcPr>
          <w:p w14:paraId="33BA4F68">
            <w:pPr>
              <w:spacing w:line="0" w:lineRule="atLeast"/>
              <w:jc w:val="center"/>
              <w:rPr>
                <w:rFonts w:ascii="仿宋" w:hAnsi="仿宋" w:eastAsia="仿宋" w:cs="仿宋"/>
                <w:sz w:val="24"/>
                <w:szCs w:val="24"/>
              </w:rPr>
            </w:pPr>
            <w:r>
              <w:rPr>
                <w:rFonts w:hint="eastAsia" w:ascii="仿宋" w:hAnsi="仿宋" w:eastAsia="仿宋" w:cs="仿宋"/>
                <w:sz w:val="24"/>
                <w:szCs w:val="24"/>
              </w:rPr>
              <w:t>数量</w:t>
            </w:r>
          </w:p>
        </w:tc>
        <w:tc>
          <w:tcPr>
            <w:tcW w:w="1008" w:type="dxa"/>
            <w:vAlign w:val="center"/>
          </w:tcPr>
          <w:p w14:paraId="2E175A85">
            <w:pPr>
              <w:spacing w:line="0" w:lineRule="atLeast"/>
              <w:jc w:val="center"/>
              <w:rPr>
                <w:rFonts w:ascii="仿宋" w:hAnsi="仿宋" w:eastAsia="仿宋" w:cs="仿宋"/>
                <w:sz w:val="24"/>
                <w:szCs w:val="24"/>
              </w:rPr>
            </w:pPr>
            <w:r>
              <w:rPr>
                <w:rFonts w:hint="eastAsia" w:ascii="仿宋" w:hAnsi="仿宋" w:eastAsia="仿宋" w:cs="仿宋"/>
                <w:sz w:val="24"/>
                <w:szCs w:val="24"/>
              </w:rPr>
              <w:t>分项</w:t>
            </w:r>
          </w:p>
          <w:p w14:paraId="50434F9D">
            <w:pPr>
              <w:spacing w:line="0" w:lineRule="atLeast"/>
              <w:jc w:val="center"/>
              <w:rPr>
                <w:rFonts w:ascii="仿宋" w:hAnsi="仿宋" w:eastAsia="仿宋" w:cs="仿宋"/>
                <w:sz w:val="24"/>
                <w:szCs w:val="24"/>
              </w:rPr>
            </w:pPr>
            <w:r>
              <w:rPr>
                <w:rFonts w:hint="eastAsia" w:ascii="仿宋" w:hAnsi="仿宋" w:eastAsia="仿宋" w:cs="仿宋"/>
                <w:sz w:val="24"/>
                <w:szCs w:val="24"/>
              </w:rPr>
              <w:t>单价</w:t>
            </w:r>
          </w:p>
        </w:tc>
        <w:tc>
          <w:tcPr>
            <w:tcW w:w="966" w:type="dxa"/>
            <w:vAlign w:val="center"/>
          </w:tcPr>
          <w:p w14:paraId="292E9ABF">
            <w:pPr>
              <w:spacing w:line="0" w:lineRule="atLeast"/>
              <w:jc w:val="center"/>
              <w:rPr>
                <w:rFonts w:ascii="仿宋" w:hAnsi="仿宋" w:eastAsia="仿宋" w:cs="仿宋"/>
                <w:sz w:val="24"/>
                <w:szCs w:val="24"/>
              </w:rPr>
            </w:pPr>
            <w:r>
              <w:rPr>
                <w:rFonts w:hint="eastAsia" w:ascii="仿宋" w:hAnsi="仿宋" w:eastAsia="仿宋" w:cs="仿宋"/>
                <w:sz w:val="24"/>
                <w:szCs w:val="24"/>
              </w:rPr>
              <w:t>分项</w:t>
            </w:r>
          </w:p>
          <w:p w14:paraId="4E79E7ED">
            <w:pPr>
              <w:spacing w:line="0" w:lineRule="atLeast"/>
              <w:jc w:val="center"/>
              <w:rPr>
                <w:rFonts w:ascii="仿宋" w:hAnsi="仿宋" w:eastAsia="仿宋" w:cs="仿宋"/>
                <w:sz w:val="24"/>
                <w:szCs w:val="24"/>
              </w:rPr>
            </w:pPr>
            <w:r>
              <w:rPr>
                <w:rFonts w:hint="eastAsia" w:ascii="仿宋" w:hAnsi="仿宋" w:eastAsia="仿宋" w:cs="仿宋"/>
                <w:sz w:val="24"/>
                <w:szCs w:val="24"/>
              </w:rPr>
              <w:t>总价</w:t>
            </w:r>
          </w:p>
        </w:tc>
      </w:tr>
      <w:tr w14:paraId="0E07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4FE01B91">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728" w:type="dxa"/>
            <w:vAlign w:val="center"/>
          </w:tcPr>
          <w:p w14:paraId="37A22197">
            <w:pPr>
              <w:spacing w:line="0" w:lineRule="atLeast"/>
              <w:jc w:val="center"/>
              <w:rPr>
                <w:rFonts w:ascii="仿宋" w:hAnsi="仿宋" w:eastAsia="仿宋" w:cs="仿宋"/>
                <w:sz w:val="24"/>
                <w:szCs w:val="24"/>
              </w:rPr>
            </w:pPr>
          </w:p>
        </w:tc>
        <w:tc>
          <w:tcPr>
            <w:tcW w:w="728" w:type="dxa"/>
            <w:vAlign w:val="center"/>
          </w:tcPr>
          <w:p w14:paraId="0E60B136">
            <w:pPr>
              <w:spacing w:line="0" w:lineRule="atLeast"/>
              <w:jc w:val="center"/>
              <w:rPr>
                <w:rFonts w:ascii="仿宋" w:hAnsi="仿宋" w:eastAsia="仿宋" w:cs="仿宋"/>
                <w:sz w:val="24"/>
                <w:szCs w:val="24"/>
              </w:rPr>
            </w:pPr>
          </w:p>
        </w:tc>
        <w:tc>
          <w:tcPr>
            <w:tcW w:w="938" w:type="dxa"/>
            <w:vAlign w:val="center"/>
          </w:tcPr>
          <w:p w14:paraId="79EBE314">
            <w:pPr>
              <w:spacing w:line="0" w:lineRule="atLeast"/>
              <w:jc w:val="center"/>
              <w:rPr>
                <w:rFonts w:ascii="仿宋" w:hAnsi="仿宋" w:eastAsia="仿宋" w:cs="仿宋"/>
                <w:sz w:val="24"/>
                <w:szCs w:val="24"/>
              </w:rPr>
            </w:pPr>
          </w:p>
        </w:tc>
        <w:tc>
          <w:tcPr>
            <w:tcW w:w="980" w:type="dxa"/>
            <w:vAlign w:val="center"/>
          </w:tcPr>
          <w:p w14:paraId="441AE9C3">
            <w:pPr>
              <w:spacing w:line="0" w:lineRule="atLeast"/>
              <w:jc w:val="center"/>
              <w:rPr>
                <w:rFonts w:ascii="仿宋" w:hAnsi="仿宋" w:eastAsia="仿宋" w:cs="仿宋"/>
                <w:sz w:val="24"/>
                <w:szCs w:val="24"/>
                <w:highlight w:val="cyan"/>
              </w:rPr>
            </w:pPr>
          </w:p>
        </w:tc>
        <w:tc>
          <w:tcPr>
            <w:tcW w:w="1106" w:type="dxa"/>
          </w:tcPr>
          <w:p w14:paraId="5DC56A23">
            <w:pPr>
              <w:spacing w:line="0" w:lineRule="atLeast"/>
              <w:jc w:val="center"/>
              <w:rPr>
                <w:rFonts w:ascii="仿宋" w:hAnsi="仿宋" w:eastAsia="仿宋" w:cs="仿宋"/>
                <w:sz w:val="24"/>
                <w:szCs w:val="24"/>
              </w:rPr>
            </w:pPr>
          </w:p>
        </w:tc>
        <w:tc>
          <w:tcPr>
            <w:tcW w:w="1385" w:type="dxa"/>
            <w:vAlign w:val="center"/>
          </w:tcPr>
          <w:p w14:paraId="245C9A1D">
            <w:pPr>
              <w:spacing w:line="0" w:lineRule="atLeast"/>
              <w:jc w:val="center"/>
              <w:rPr>
                <w:rFonts w:ascii="仿宋" w:hAnsi="仿宋" w:eastAsia="仿宋" w:cs="仿宋"/>
                <w:sz w:val="24"/>
                <w:szCs w:val="24"/>
                <w:u w:val="single"/>
              </w:rPr>
            </w:pPr>
            <w:r>
              <w:rPr>
                <w:rFonts w:hint="eastAsia" w:ascii="仿宋" w:hAnsi="仿宋" w:eastAsia="仿宋" w:cs="仿宋"/>
                <w:sz w:val="24"/>
                <w:szCs w:val="24"/>
              </w:rPr>
              <w:t>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tc>
        <w:tc>
          <w:tcPr>
            <w:tcW w:w="924" w:type="dxa"/>
            <w:vAlign w:val="center"/>
          </w:tcPr>
          <w:p w14:paraId="71EA0D47">
            <w:pPr>
              <w:spacing w:line="0" w:lineRule="atLeast"/>
              <w:jc w:val="center"/>
              <w:rPr>
                <w:rFonts w:ascii="仿宋" w:hAnsi="仿宋" w:eastAsia="仿宋" w:cs="仿宋"/>
                <w:sz w:val="24"/>
                <w:szCs w:val="24"/>
              </w:rPr>
            </w:pPr>
          </w:p>
        </w:tc>
        <w:tc>
          <w:tcPr>
            <w:tcW w:w="1008" w:type="dxa"/>
            <w:vAlign w:val="center"/>
          </w:tcPr>
          <w:p w14:paraId="467A35BD">
            <w:pPr>
              <w:spacing w:line="0" w:lineRule="atLeast"/>
              <w:jc w:val="center"/>
              <w:rPr>
                <w:rFonts w:ascii="仿宋" w:hAnsi="仿宋" w:eastAsia="仿宋" w:cs="仿宋"/>
                <w:sz w:val="24"/>
                <w:szCs w:val="24"/>
              </w:rPr>
            </w:pPr>
          </w:p>
        </w:tc>
        <w:tc>
          <w:tcPr>
            <w:tcW w:w="966" w:type="dxa"/>
            <w:vAlign w:val="center"/>
          </w:tcPr>
          <w:p w14:paraId="34E3889E">
            <w:pPr>
              <w:spacing w:line="0" w:lineRule="atLeast"/>
              <w:jc w:val="center"/>
              <w:rPr>
                <w:rFonts w:ascii="仿宋" w:hAnsi="仿宋" w:eastAsia="仿宋" w:cs="仿宋"/>
                <w:sz w:val="24"/>
                <w:szCs w:val="24"/>
              </w:rPr>
            </w:pPr>
          </w:p>
        </w:tc>
      </w:tr>
      <w:tr w14:paraId="3526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5EB99FBB">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728" w:type="dxa"/>
            <w:vAlign w:val="center"/>
          </w:tcPr>
          <w:p w14:paraId="74D52677">
            <w:pPr>
              <w:spacing w:line="0" w:lineRule="atLeast"/>
              <w:jc w:val="center"/>
              <w:rPr>
                <w:rFonts w:ascii="仿宋" w:hAnsi="仿宋" w:eastAsia="仿宋" w:cs="仿宋"/>
                <w:sz w:val="24"/>
                <w:szCs w:val="24"/>
              </w:rPr>
            </w:pPr>
          </w:p>
        </w:tc>
        <w:tc>
          <w:tcPr>
            <w:tcW w:w="728" w:type="dxa"/>
            <w:vAlign w:val="center"/>
          </w:tcPr>
          <w:p w14:paraId="2FE2CD4C">
            <w:pPr>
              <w:spacing w:line="0" w:lineRule="atLeast"/>
              <w:jc w:val="center"/>
              <w:rPr>
                <w:rFonts w:ascii="仿宋" w:hAnsi="仿宋" w:eastAsia="仿宋" w:cs="仿宋"/>
                <w:sz w:val="24"/>
                <w:szCs w:val="24"/>
              </w:rPr>
            </w:pPr>
          </w:p>
        </w:tc>
        <w:tc>
          <w:tcPr>
            <w:tcW w:w="938" w:type="dxa"/>
            <w:vAlign w:val="center"/>
          </w:tcPr>
          <w:p w14:paraId="49A9FACE">
            <w:pPr>
              <w:spacing w:line="0" w:lineRule="atLeast"/>
              <w:jc w:val="center"/>
              <w:rPr>
                <w:rFonts w:ascii="仿宋" w:hAnsi="仿宋" w:eastAsia="仿宋" w:cs="仿宋"/>
                <w:sz w:val="24"/>
                <w:szCs w:val="24"/>
              </w:rPr>
            </w:pPr>
          </w:p>
        </w:tc>
        <w:tc>
          <w:tcPr>
            <w:tcW w:w="980" w:type="dxa"/>
            <w:vAlign w:val="center"/>
          </w:tcPr>
          <w:p w14:paraId="6248115A">
            <w:pPr>
              <w:spacing w:line="0" w:lineRule="atLeast"/>
              <w:jc w:val="center"/>
              <w:rPr>
                <w:rFonts w:ascii="仿宋" w:hAnsi="仿宋" w:eastAsia="仿宋" w:cs="仿宋"/>
                <w:sz w:val="24"/>
                <w:szCs w:val="24"/>
              </w:rPr>
            </w:pPr>
          </w:p>
        </w:tc>
        <w:tc>
          <w:tcPr>
            <w:tcW w:w="1106" w:type="dxa"/>
          </w:tcPr>
          <w:p w14:paraId="68B18925">
            <w:pPr>
              <w:spacing w:line="0" w:lineRule="atLeast"/>
              <w:jc w:val="center"/>
              <w:rPr>
                <w:rFonts w:ascii="仿宋" w:hAnsi="仿宋" w:eastAsia="仿宋" w:cs="仿宋"/>
                <w:sz w:val="24"/>
                <w:szCs w:val="24"/>
              </w:rPr>
            </w:pPr>
          </w:p>
        </w:tc>
        <w:tc>
          <w:tcPr>
            <w:tcW w:w="1385" w:type="dxa"/>
            <w:vAlign w:val="center"/>
          </w:tcPr>
          <w:p w14:paraId="7CC271E6">
            <w:pPr>
              <w:spacing w:line="0" w:lineRule="atLeast"/>
              <w:jc w:val="center"/>
              <w:rPr>
                <w:rFonts w:ascii="仿宋" w:hAnsi="仿宋" w:eastAsia="仿宋" w:cs="仿宋"/>
                <w:sz w:val="24"/>
                <w:szCs w:val="24"/>
              </w:rPr>
            </w:pPr>
          </w:p>
        </w:tc>
        <w:tc>
          <w:tcPr>
            <w:tcW w:w="924" w:type="dxa"/>
            <w:vAlign w:val="center"/>
          </w:tcPr>
          <w:p w14:paraId="5DC7968D">
            <w:pPr>
              <w:spacing w:line="0" w:lineRule="atLeast"/>
              <w:jc w:val="center"/>
              <w:rPr>
                <w:rFonts w:ascii="仿宋" w:hAnsi="仿宋" w:eastAsia="仿宋" w:cs="仿宋"/>
                <w:sz w:val="24"/>
                <w:szCs w:val="24"/>
              </w:rPr>
            </w:pPr>
          </w:p>
        </w:tc>
        <w:tc>
          <w:tcPr>
            <w:tcW w:w="1008" w:type="dxa"/>
            <w:vAlign w:val="center"/>
          </w:tcPr>
          <w:p w14:paraId="152CD730">
            <w:pPr>
              <w:spacing w:line="0" w:lineRule="atLeast"/>
              <w:jc w:val="center"/>
              <w:rPr>
                <w:rFonts w:ascii="仿宋" w:hAnsi="仿宋" w:eastAsia="仿宋" w:cs="仿宋"/>
                <w:sz w:val="24"/>
                <w:szCs w:val="24"/>
              </w:rPr>
            </w:pPr>
          </w:p>
        </w:tc>
        <w:tc>
          <w:tcPr>
            <w:tcW w:w="966" w:type="dxa"/>
            <w:vAlign w:val="center"/>
          </w:tcPr>
          <w:p w14:paraId="6FFF6995">
            <w:pPr>
              <w:spacing w:line="0" w:lineRule="atLeast"/>
              <w:jc w:val="center"/>
              <w:rPr>
                <w:rFonts w:ascii="仿宋" w:hAnsi="仿宋" w:eastAsia="仿宋" w:cs="仿宋"/>
                <w:sz w:val="24"/>
                <w:szCs w:val="24"/>
              </w:rPr>
            </w:pPr>
          </w:p>
        </w:tc>
      </w:tr>
      <w:tr w14:paraId="267B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19053189">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728" w:type="dxa"/>
            <w:vAlign w:val="center"/>
          </w:tcPr>
          <w:p w14:paraId="2A893FB7">
            <w:pPr>
              <w:spacing w:line="0" w:lineRule="atLeast"/>
              <w:jc w:val="center"/>
              <w:rPr>
                <w:rFonts w:ascii="仿宋" w:hAnsi="仿宋" w:eastAsia="仿宋" w:cs="仿宋"/>
                <w:sz w:val="24"/>
                <w:szCs w:val="24"/>
              </w:rPr>
            </w:pPr>
          </w:p>
        </w:tc>
        <w:tc>
          <w:tcPr>
            <w:tcW w:w="728" w:type="dxa"/>
            <w:vAlign w:val="center"/>
          </w:tcPr>
          <w:p w14:paraId="15CD92C7">
            <w:pPr>
              <w:spacing w:line="0" w:lineRule="atLeast"/>
              <w:jc w:val="center"/>
              <w:rPr>
                <w:rFonts w:ascii="仿宋" w:hAnsi="仿宋" w:eastAsia="仿宋" w:cs="仿宋"/>
                <w:sz w:val="24"/>
                <w:szCs w:val="24"/>
              </w:rPr>
            </w:pPr>
          </w:p>
        </w:tc>
        <w:tc>
          <w:tcPr>
            <w:tcW w:w="938" w:type="dxa"/>
            <w:vAlign w:val="center"/>
          </w:tcPr>
          <w:p w14:paraId="6AD5AC92">
            <w:pPr>
              <w:spacing w:line="0" w:lineRule="atLeast"/>
              <w:jc w:val="center"/>
              <w:rPr>
                <w:rFonts w:ascii="仿宋" w:hAnsi="仿宋" w:eastAsia="仿宋" w:cs="仿宋"/>
                <w:sz w:val="24"/>
                <w:szCs w:val="24"/>
              </w:rPr>
            </w:pPr>
          </w:p>
        </w:tc>
        <w:tc>
          <w:tcPr>
            <w:tcW w:w="980" w:type="dxa"/>
            <w:vAlign w:val="center"/>
          </w:tcPr>
          <w:p w14:paraId="0915B4B4">
            <w:pPr>
              <w:spacing w:line="0" w:lineRule="atLeast"/>
              <w:jc w:val="center"/>
              <w:rPr>
                <w:rFonts w:ascii="仿宋" w:hAnsi="仿宋" w:eastAsia="仿宋" w:cs="仿宋"/>
                <w:sz w:val="24"/>
                <w:szCs w:val="24"/>
              </w:rPr>
            </w:pPr>
          </w:p>
        </w:tc>
        <w:tc>
          <w:tcPr>
            <w:tcW w:w="1106" w:type="dxa"/>
          </w:tcPr>
          <w:p w14:paraId="1AD8923D">
            <w:pPr>
              <w:spacing w:line="0" w:lineRule="atLeast"/>
              <w:jc w:val="center"/>
              <w:rPr>
                <w:rFonts w:ascii="仿宋" w:hAnsi="仿宋" w:eastAsia="仿宋" w:cs="仿宋"/>
                <w:sz w:val="24"/>
                <w:szCs w:val="24"/>
              </w:rPr>
            </w:pPr>
          </w:p>
        </w:tc>
        <w:tc>
          <w:tcPr>
            <w:tcW w:w="1385" w:type="dxa"/>
            <w:vAlign w:val="center"/>
          </w:tcPr>
          <w:p w14:paraId="0F5BCC8F">
            <w:pPr>
              <w:spacing w:line="0" w:lineRule="atLeast"/>
              <w:jc w:val="center"/>
              <w:rPr>
                <w:rFonts w:ascii="仿宋" w:hAnsi="仿宋" w:eastAsia="仿宋" w:cs="仿宋"/>
                <w:sz w:val="24"/>
                <w:szCs w:val="24"/>
              </w:rPr>
            </w:pPr>
          </w:p>
        </w:tc>
        <w:tc>
          <w:tcPr>
            <w:tcW w:w="924" w:type="dxa"/>
            <w:vAlign w:val="center"/>
          </w:tcPr>
          <w:p w14:paraId="024D5E33">
            <w:pPr>
              <w:spacing w:line="0" w:lineRule="atLeast"/>
              <w:jc w:val="center"/>
              <w:rPr>
                <w:rFonts w:ascii="仿宋" w:hAnsi="仿宋" w:eastAsia="仿宋" w:cs="仿宋"/>
                <w:sz w:val="24"/>
                <w:szCs w:val="24"/>
              </w:rPr>
            </w:pPr>
          </w:p>
        </w:tc>
        <w:tc>
          <w:tcPr>
            <w:tcW w:w="1008" w:type="dxa"/>
            <w:vAlign w:val="center"/>
          </w:tcPr>
          <w:p w14:paraId="0F7EA29F">
            <w:pPr>
              <w:spacing w:line="0" w:lineRule="atLeast"/>
              <w:jc w:val="center"/>
              <w:rPr>
                <w:rFonts w:ascii="仿宋" w:hAnsi="仿宋" w:eastAsia="仿宋" w:cs="仿宋"/>
                <w:sz w:val="24"/>
                <w:szCs w:val="24"/>
              </w:rPr>
            </w:pPr>
          </w:p>
        </w:tc>
        <w:tc>
          <w:tcPr>
            <w:tcW w:w="966" w:type="dxa"/>
            <w:vAlign w:val="center"/>
          </w:tcPr>
          <w:p w14:paraId="4702D172">
            <w:pPr>
              <w:spacing w:line="0" w:lineRule="atLeast"/>
              <w:jc w:val="center"/>
              <w:rPr>
                <w:rFonts w:ascii="仿宋" w:hAnsi="仿宋" w:eastAsia="仿宋" w:cs="仿宋"/>
                <w:sz w:val="24"/>
                <w:szCs w:val="24"/>
              </w:rPr>
            </w:pPr>
          </w:p>
        </w:tc>
      </w:tr>
      <w:tr w14:paraId="622C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3113BAAB">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728" w:type="dxa"/>
            <w:vAlign w:val="center"/>
          </w:tcPr>
          <w:p w14:paraId="191F4856">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728" w:type="dxa"/>
            <w:vAlign w:val="center"/>
          </w:tcPr>
          <w:p w14:paraId="174FBC3B">
            <w:pPr>
              <w:spacing w:line="0" w:lineRule="atLeast"/>
              <w:jc w:val="center"/>
              <w:rPr>
                <w:rFonts w:ascii="仿宋" w:hAnsi="仿宋" w:eastAsia="仿宋" w:cs="仿宋"/>
                <w:sz w:val="24"/>
                <w:szCs w:val="24"/>
              </w:rPr>
            </w:pPr>
          </w:p>
        </w:tc>
        <w:tc>
          <w:tcPr>
            <w:tcW w:w="938" w:type="dxa"/>
            <w:vAlign w:val="center"/>
          </w:tcPr>
          <w:p w14:paraId="00C0DC6A">
            <w:pPr>
              <w:spacing w:line="0" w:lineRule="atLeast"/>
              <w:jc w:val="center"/>
              <w:rPr>
                <w:rFonts w:ascii="仿宋" w:hAnsi="仿宋" w:eastAsia="仿宋" w:cs="仿宋"/>
                <w:sz w:val="24"/>
                <w:szCs w:val="24"/>
              </w:rPr>
            </w:pPr>
          </w:p>
        </w:tc>
        <w:tc>
          <w:tcPr>
            <w:tcW w:w="980" w:type="dxa"/>
            <w:vAlign w:val="center"/>
          </w:tcPr>
          <w:p w14:paraId="68BCE528">
            <w:pPr>
              <w:spacing w:line="0" w:lineRule="atLeast"/>
              <w:jc w:val="center"/>
              <w:rPr>
                <w:rFonts w:ascii="仿宋" w:hAnsi="仿宋" w:eastAsia="仿宋" w:cs="仿宋"/>
                <w:sz w:val="24"/>
                <w:szCs w:val="24"/>
              </w:rPr>
            </w:pPr>
          </w:p>
        </w:tc>
        <w:tc>
          <w:tcPr>
            <w:tcW w:w="1106" w:type="dxa"/>
          </w:tcPr>
          <w:p w14:paraId="13E37855">
            <w:pPr>
              <w:spacing w:line="0" w:lineRule="atLeast"/>
              <w:jc w:val="center"/>
              <w:rPr>
                <w:rFonts w:ascii="仿宋" w:hAnsi="仿宋" w:eastAsia="仿宋" w:cs="仿宋"/>
                <w:sz w:val="24"/>
                <w:szCs w:val="24"/>
              </w:rPr>
            </w:pPr>
          </w:p>
        </w:tc>
        <w:tc>
          <w:tcPr>
            <w:tcW w:w="1385" w:type="dxa"/>
            <w:vAlign w:val="center"/>
          </w:tcPr>
          <w:p w14:paraId="6819F858">
            <w:pPr>
              <w:spacing w:line="0" w:lineRule="atLeast"/>
              <w:jc w:val="center"/>
              <w:rPr>
                <w:rFonts w:ascii="仿宋" w:hAnsi="仿宋" w:eastAsia="仿宋" w:cs="仿宋"/>
                <w:sz w:val="24"/>
                <w:szCs w:val="24"/>
              </w:rPr>
            </w:pPr>
          </w:p>
        </w:tc>
        <w:tc>
          <w:tcPr>
            <w:tcW w:w="924" w:type="dxa"/>
            <w:vAlign w:val="center"/>
          </w:tcPr>
          <w:p w14:paraId="224F8410">
            <w:pPr>
              <w:spacing w:line="0" w:lineRule="atLeast"/>
              <w:jc w:val="center"/>
              <w:rPr>
                <w:rFonts w:ascii="仿宋" w:hAnsi="仿宋" w:eastAsia="仿宋" w:cs="仿宋"/>
                <w:sz w:val="24"/>
                <w:szCs w:val="24"/>
              </w:rPr>
            </w:pPr>
          </w:p>
        </w:tc>
        <w:tc>
          <w:tcPr>
            <w:tcW w:w="1008" w:type="dxa"/>
            <w:vAlign w:val="center"/>
          </w:tcPr>
          <w:p w14:paraId="2A53CB37">
            <w:pPr>
              <w:spacing w:line="0" w:lineRule="atLeast"/>
              <w:jc w:val="center"/>
              <w:rPr>
                <w:rFonts w:ascii="仿宋" w:hAnsi="仿宋" w:eastAsia="仿宋" w:cs="仿宋"/>
                <w:sz w:val="24"/>
                <w:szCs w:val="24"/>
              </w:rPr>
            </w:pPr>
          </w:p>
        </w:tc>
        <w:tc>
          <w:tcPr>
            <w:tcW w:w="966" w:type="dxa"/>
            <w:vAlign w:val="center"/>
          </w:tcPr>
          <w:p w14:paraId="7E7CA8D2">
            <w:pPr>
              <w:spacing w:line="0" w:lineRule="atLeast"/>
              <w:jc w:val="center"/>
              <w:rPr>
                <w:rFonts w:ascii="仿宋" w:hAnsi="仿宋" w:eastAsia="仿宋" w:cs="仿宋"/>
                <w:sz w:val="24"/>
                <w:szCs w:val="24"/>
              </w:rPr>
            </w:pPr>
          </w:p>
        </w:tc>
      </w:tr>
      <w:tr w14:paraId="1E99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9" w:hRule="atLeast"/>
        </w:trPr>
        <w:tc>
          <w:tcPr>
            <w:tcW w:w="500" w:type="dxa"/>
          </w:tcPr>
          <w:p w14:paraId="7F39746B">
            <w:pPr>
              <w:jc w:val="center"/>
              <w:rPr>
                <w:rFonts w:ascii="仿宋" w:hAnsi="仿宋" w:eastAsia="仿宋" w:cs="仿宋"/>
                <w:sz w:val="24"/>
                <w:szCs w:val="24"/>
              </w:rPr>
            </w:pPr>
          </w:p>
        </w:tc>
        <w:tc>
          <w:tcPr>
            <w:tcW w:w="7797" w:type="dxa"/>
            <w:gridSpan w:val="8"/>
            <w:vAlign w:val="center"/>
          </w:tcPr>
          <w:p w14:paraId="7B030B96">
            <w:pPr>
              <w:spacing w:line="0" w:lineRule="atLeast"/>
              <w:jc w:val="center"/>
              <w:rPr>
                <w:rFonts w:ascii="仿宋" w:hAnsi="仿宋" w:eastAsia="仿宋" w:cs="仿宋"/>
                <w:sz w:val="24"/>
                <w:szCs w:val="24"/>
              </w:rPr>
            </w:pPr>
            <w:r>
              <w:rPr>
                <w:rFonts w:hint="eastAsia" w:ascii="仿宋" w:hAnsi="仿宋" w:eastAsia="仿宋" w:cs="仿宋"/>
                <w:sz w:val="24"/>
                <w:szCs w:val="24"/>
              </w:rPr>
              <w:t>总报价（人民币：元）</w:t>
            </w:r>
          </w:p>
        </w:tc>
        <w:tc>
          <w:tcPr>
            <w:tcW w:w="966" w:type="dxa"/>
          </w:tcPr>
          <w:p w14:paraId="69642B91">
            <w:pPr>
              <w:rPr>
                <w:rFonts w:ascii="仿宋" w:hAnsi="仿宋" w:eastAsia="仿宋" w:cs="仿宋"/>
                <w:sz w:val="24"/>
                <w:szCs w:val="24"/>
              </w:rPr>
            </w:pPr>
          </w:p>
        </w:tc>
      </w:tr>
      <w:tr w14:paraId="5D55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9" w:hRule="atLeast"/>
        </w:trPr>
        <w:tc>
          <w:tcPr>
            <w:tcW w:w="9263" w:type="dxa"/>
            <w:gridSpan w:val="10"/>
          </w:tcPr>
          <w:p w14:paraId="2D89B48B">
            <w:pPr>
              <w:rPr>
                <w:rFonts w:ascii="仿宋" w:hAnsi="仿宋" w:eastAsia="仿宋" w:cs="仿宋"/>
                <w:sz w:val="24"/>
                <w:szCs w:val="24"/>
              </w:rPr>
            </w:pPr>
            <w:r>
              <w:rPr>
                <w:rFonts w:hint="eastAsia" w:ascii="仿宋" w:hAnsi="仿宋" w:eastAsia="仿宋" w:cs="仿宋"/>
                <w:color w:val="0000FF"/>
                <w:sz w:val="24"/>
                <w:szCs w:val="24"/>
              </w:rPr>
              <w:t>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w:t>
            </w:r>
            <w:r>
              <w:rPr>
                <w:rFonts w:hint="eastAsia" w:ascii="仿宋" w:hAnsi="仿宋" w:eastAsia="仿宋" w:cs="仿宋"/>
                <w:color w:val="0000FF"/>
                <w:sz w:val="24"/>
                <w:szCs w:val="24"/>
              </w:rPr>
              <w:t>%。</w:t>
            </w:r>
          </w:p>
        </w:tc>
      </w:tr>
    </w:tbl>
    <w:p w14:paraId="207F5971">
      <w:pPr>
        <w:spacing w:line="400" w:lineRule="exact"/>
        <w:rPr>
          <w:rFonts w:ascii="仿宋" w:hAnsi="仿宋" w:eastAsia="仿宋" w:cs="仿宋"/>
          <w:sz w:val="24"/>
          <w:szCs w:val="24"/>
        </w:rPr>
      </w:pPr>
      <w:r>
        <w:rPr>
          <w:rFonts w:hint="eastAsia" w:ascii="仿宋" w:hAnsi="仿宋" w:eastAsia="仿宋" w:cs="仿宋"/>
          <w:sz w:val="24"/>
          <w:szCs w:val="24"/>
        </w:rPr>
        <w:t>备注：</w:t>
      </w:r>
    </w:p>
    <w:p w14:paraId="3B26A140">
      <w:pPr>
        <w:spacing w:line="400" w:lineRule="exact"/>
        <w:rPr>
          <w:rFonts w:ascii="仿宋" w:hAnsi="仿宋" w:eastAsia="仿宋" w:cs="仿宋"/>
          <w:sz w:val="24"/>
          <w:szCs w:val="24"/>
        </w:rPr>
      </w:pPr>
      <w:r>
        <w:rPr>
          <w:rFonts w:hint="eastAsia" w:ascii="仿宋" w:hAnsi="仿宋" w:eastAsia="仿宋" w:cs="仿宋"/>
          <w:sz w:val="24"/>
          <w:szCs w:val="24"/>
        </w:rPr>
        <w:t>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p>
    <w:p w14:paraId="52D7B235">
      <w:pPr>
        <w:spacing w:line="400" w:lineRule="exact"/>
        <w:rPr>
          <w:rFonts w:ascii="仿宋" w:hAnsi="仿宋" w:eastAsia="仿宋" w:cs="仿宋"/>
          <w:b/>
          <w:bCs/>
          <w:sz w:val="24"/>
          <w:szCs w:val="24"/>
        </w:rPr>
      </w:pPr>
      <w:r>
        <w:rPr>
          <w:rFonts w:hint="eastAsia" w:ascii="仿宋" w:hAnsi="仿宋" w:eastAsia="仿宋" w:cs="仿宋"/>
          <w:b/>
          <w:bCs/>
          <w:sz w:val="24"/>
          <w:szCs w:val="24"/>
        </w:rPr>
        <w:t>2.供应商需认真填写本报价表，尤其注意规格型号的准确填写，否则视为无效响应。</w:t>
      </w:r>
    </w:p>
    <w:p w14:paraId="3681932F">
      <w:pPr>
        <w:jc w:val="left"/>
        <w:rPr>
          <w:rFonts w:ascii="仿宋" w:hAnsi="仿宋" w:eastAsia="仿宋" w:cs="仿宋"/>
          <w:color w:val="0000FF"/>
          <w:sz w:val="24"/>
          <w:szCs w:val="24"/>
        </w:rPr>
      </w:pPr>
      <w:r>
        <w:rPr>
          <w:rFonts w:hint="eastAsia" w:ascii="仿宋" w:hAnsi="仿宋" w:eastAsia="仿宋" w:cs="仿宋"/>
          <w:color w:val="0000FF"/>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3A5226F">
      <w:pPr>
        <w:spacing w:line="400" w:lineRule="exact"/>
        <w:rPr>
          <w:rFonts w:ascii="仿宋" w:hAnsi="仿宋" w:eastAsia="仿宋" w:cs="仿宋"/>
          <w:sz w:val="24"/>
          <w:szCs w:val="24"/>
          <w:highlight w:val="cyan"/>
        </w:rPr>
      </w:pPr>
    </w:p>
    <w:p w14:paraId="11ED2637">
      <w:pPr>
        <w:spacing w:line="400" w:lineRule="exact"/>
        <w:ind w:left="480"/>
        <w:rPr>
          <w:rFonts w:ascii="仿宋" w:hAnsi="仿宋" w:eastAsia="仿宋" w:cs="仿宋"/>
          <w:b/>
          <w:sz w:val="28"/>
          <w:szCs w:val="28"/>
        </w:rPr>
      </w:pPr>
    </w:p>
    <w:p w14:paraId="01E33448">
      <w:pPr>
        <w:spacing w:line="400" w:lineRule="exact"/>
        <w:ind w:left="480"/>
        <w:rPr>
          <w:rFonts w:ascii="仿宋" w:hAnsi="仿宋" w:eastAsia="仿宋" w:cs="仿宋"/>
          <w:b/>
          <w:sz w:val="28"/>
          <w:szCs w:val="28"/>
        </w:rPr>
      </w:pPr>
    </w:p>
    <w:p w14:paraId="3EAEC5CB">
      <w:pPr>
        <w:spacing w:line="400" w:lineRule="exact"/>
        <w:ind w:left="480"/>
        <w:rPr>
          <w:rFonts w:ascii="仿宋" w:hAnsi="仿宋" w:eastAsia="仿宋" w:cs="仿宋"/>
          <w:b/>
          <w:sz w:val="28"/>
          <w:szCs w:val="28"/>
        </w:rPr>
      </w:pPr>
    </w:p>
    <w:p w14:paraId="421BC082">
      <w:pPr>
        <w:spacing w:line="400" w:lineRule="exact"/>
        <w:ind w:left="480"/>
        <w:rPr>
          <w:rFonts w:ascii="仿宋" w:hAnsi="仿宋" w:eastAsia="仿宋" w:cs="仿宋"/>
          <w:b/>
          <w:sz w:val="28"/>
          <w:szCs w:val="28"/>
        </w:rPr>
      </w:pPr>
    </w:p>
    <w:p w14:paraId="555A2717">
      <w:pPr>
        <w:spacing w:line="400" w:lineRule="exact"/>
        <w:rPr>
          <w:rFonts w:ascii="仿宋" w:hAnsi="仿宋" w:eastAsia="仿宋" w:cs="仿宋"/>
          <w:color w:val="FF0000"/>
          <w:sz w:val="24"/>
          <w:szCs w:val="24"/>
          <w:highlight w:val="yellow"/>
        </w:rPr>
      </w:pPr>
    </w:p>
    <w:p w14:paraId="08FB1308">
      <w:pPr>
        <w:snapToGrid w:val="0"/>
        <w:spacing w:line="400" w:lineRule="exact"/>
        <w:contextualSpacing/>
        <w:rPr>
          <w:rFonts w:ascii="仿宋" w:hAnsi="仿宋" w:eastAsia="仿宋" w:cs="仿宋"/>
          <w:b/>
          <w:sz w:val="28"/>
          <w:szCs w:val="28"/>
          <w:lang w:val="zh-CN"/>
        </w:rPr>
      </w:pPr>
      <w:r>
        <w:rPr>
          <w:rFonts w:hint="eastAsia" w:ascii="仿宋" w:hAnsi="仿宋" w:eastAsia="仿宋" w:cs="仿宋"/>
          <w:b/>
          <w:color w:val="FF0000"/>
          <w:sz w:val="24"/>
          <w:szCs w:val="24"/>
        </w:rPr>
        <w:br w:type="page"/>
      </w:r>
      <w:bookmarkEnd w:id="219"/>
      <w:bookmarkEnd w:id="220"/>
      <w:bookmarkEnd w:id="221"/>
      <w:bookmarkStart w:id="222"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1B7524EA">
      <w:pPr>
        <w:jc w:val="center"/>
        <w:rPr>
          <w:rFonts w:ascii="仿宋" w:hAnsi="仿宋" w:eastAsia="仿宋" w:cs="仿宋"/>
          <w:b/>
          <w:sz w:val="28"/>
          <w:szCs w:val="28"/>
        </w:rPr>
      </w:pPr>
      <w:r>
        <w:rPr>
          <w:rFonts w:hint="eastAsia" w:ascii="仿宋" w:hAnsi="仿宋" w:eastAsia="仿宋" w:cs="仿宋"/>
          <w:b/>
          <w:sz w:val="28"/>
          <w:szCs w:val="28"/>
        </w:rPr>
        <w:t>投标人符合《中华人民共和国政府采购法》第二十二条规定条件的声明函</w:t>
      </w:r>
    </w:p>
    <w:p w14:paraId="52FC46D9">
      <w:pPr>
        <w:spacing w:line="520" w:lineRule="exact"/>
        <w:ind w:firstLine="480" w:firstLineChars="20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726D0177">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6C939F18">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76F897A4">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6F93E75F">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24B33438">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6BF1605">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1FBC36D5">
      <w:pPr>
        <w:spacing w:line="500" w:lineRule="exact"/>
        <w:ind w:firstLine="482"/>
        <w:rPr>
          <w:rFonts w:ascii="仿宋" w:hAnsi="仿宋" w:eastAsia="仿宋" w:cs="仿宋"/>
          <w:color w:val="000000"/>
          <w:sz w:val="24"/>
        </w:rPr>
      </w:pPr>
    </w:p>
    <w:p w14:paraId="4E6DE184">
      <w:pPr>
        <w:spacing w:line="500" w:lineRule="exact"/>
        <w:rPr>
          <w:rFonts w:ascii="仿宋" w:hAnsi="仿宋" w:eastAsia="仿宋" w:cs="仿宋"/>
          <w:color w:val="000000"/>
          <w:sz w:val="24"/>
        </w:rPr>
      </w:pPr>
    </w:p>
    <w:p w14:paraId="709E9047">
      <w:pPr>
        <w:spacing w:line="500" w:lineRule="exact"/>
        <w:rPr>
          <w:rFonts w:ascii="仿宋" w:hAnsi="仿宋" w:eastAsia="仿宋" w:cs="仿宋"/>
          <w:bCs/>
          <w:color w:val="000000"/>
          <w:sz w:val="24"/>
          <w:szCs w:val="21"/>
        </w:rPr>
      </w:pPr>
    </w:p>
    <w:p w14:paraId="7C9D53B8">
      <w:pPr>
        <w:spacing w:line="500" w:lineRule="exact"/>
        <w:rPr>
          <w:rFonts w:ascii="仿宋" w:hAnsi="仿宋" w:eastAsia="仿宋" w:cs="仿宋"/>
          <w:bCs/>
          <w:color w:val="000000"/>
          <w:sz w:val="24"/>
          <w:szCs w:val="21"/>
        </w:rPr>
      </w:pPr>
    </w:p>
    <w:p w14:paraId="7A4135D5">
      <w:pPr>
        <w:spacing w:line="500" w:lineRule="exact"/>
        <w:rPr>
          <w:rFonts w:ascii="仿宋" w:hAnsi="仿宋" w:eastAsia="仿宋" w:cs="仿宋"/>
          <w:bCs/>
          <w:color w:val="000000"/>
          <w:sz w:val="24"/>
          <w:szCs w:val="21"/>
        </w:rPr>
      </w:pPr>
    </w:p>
    <w:p w14:paraId="3770BBBD">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33304866">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142E8B8B">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03C03CEE">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p>
    <w:p w14:paraId="27EFE842">
      <w:pPr>
        <w:spacing w:line="560" w:lineRule="exact"/>
        <w:jc w:val="center"/>
        <w:rPr>
          <w:rFonts w:ascii="仿宋" w:hAnsi="仿宋" w:eastAsia="仿宋" w:cs="仿宋"/>
          <w:b/>
          <w:bCs/>
          <w:sz w:val="28"/>
          <w:szCs w:val="28"/>
        </w:rPr>
      </w:pPr>
    </w:p>
    <w:p w14:paraId="14A74CFE">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427F16E2">
      <w:pPr>
        <w:spacing w:line="480" w:lineRule="exact"/>
        <w:rPr>
          <w:rFonts w:ascii="仿宋" w:hAnsi="仿宋" w:eastAsia="仿宋" w:cs="仿宋"/>
          <w:sz w:val="24"/>
          <w:szCs w:val="24"/>
        </w:rPr>
      </w:pPr>
    </w:p>
    <w:p w14:paraId="3363317C">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461561C0">
      <w:pPr>
        <w:spacing w:line="480" w:lineRule="exact"/>
        <w:ind w:firstLine="480"/>
        <w:rPr>
          <w:rFonts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2B9086D2">
      <w:pPr>
        <w:spacing w:line="480" w:lineRule="exact"/>
        <w:ind w:firstLine="480"/>
        <w:rPr>
          <w:rFonts w:ascii="仿宋" w:hAnsi="仿宋" w:eastAsia="仿宋" w:cs="仿宋"/>
          <w:sz w:val="24"/>
          <w:szCs w:val="24"/>
        </w:rPr>
      </w:pPr>
    </w:p>
    <w:p w14:paraId="64AC8B98">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3C3C634F">
      <w:pPr>
        <w:rPr>
          <w:rFonts w:ascii="仿宋" w:hAnsi="仿宋" w:eastAsia="仿宋" w:cs="仿宋"/>
          <w:b/>
          <w:color w:val="000000"/>
          <w:sz w:val="24"/>
          <w:szCs w:val="21"/>
        </w:rPr>
      </w:pPr>
    </w:p>
    <w:p w14:paraId="16EF334E">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 xml:space="preserve">附件4  </w:t>
      </w:r>
    </w:p>
    <w:p w14:paraId="0D100F37">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7BC8681C">
      <w:pPr>
        <w:pStyle w:val="13"/>
      </w:pPr>
    </w:p>
    <w:p w14:paraId="70AE423A">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38A34C79">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0C152BC6">
      <w:pPr>
        <w:tabs>
          <w:tab w:val="left" w:pos="360"/>
        </w:tabs>
        <w:spacing w:line="0" w:lineRule="atLeast"/>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1FDE82E2">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468A1BD1">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69660CF0">
      <w:pPr>
        <w:tabs>
          <w:tab w:val="left" w:pos="360"/>
        </w:tabs>
        <w:spacing w:line="0" w:lineRule="atLeast"/>
        <w:ind w:firstLine="480" w:firstLineChars="200"/>
        <w:rPr>
          <w:rFonts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59B6AFD1">
      <w:pPr>
        <w:tabs>
          <w:tab w:val="left" w:pos="360"/>
        </w:tabs>
        <w:spacing w:line="0" w:lineRule="atLeast"/>
        <w:ind w:firstLine="480" w:firstLineChars="200"/>
        <w:rPr>
          <w:rFonts w:ascii="仿宋" w:hAnsi="仿宋" w:eastAsia="仿宋" w:cs="仿宋"/>
          <w:sz w:val="24"/>
          <w:szCs w:val="24"/>
          <w:u w:val="single"/>
        </w:rPr>
      </w:pPr>
      <w:r>
        <w:rPr>
          <w:rFonts w:hint="eastAsia" w:ascii="仿宋" w:hAnsi="仿宋" w:eastAsia="仿宋" w:cs="仿宋"/>
          <w:sz w:val="24"/>
          <w:szCs w:val="24"/>
        </w:rPr>
        <w:t>日期：</w:t>
      </w:r>
      <w:bookmarkStart w:id="223" w:name="_Hlt26955070"/>
      <w:bookmarkEnd w:id="223"/>
      <w:bookmarkStart w:id="224" w:name="_Hlt26671380"/>
      <w:bookmarkEnd w:id="224"/>
      <w:bookmarkStart w:id="225" w:name="_格式3__银行出具的资信证明"/>
      <w:bookmarkEnd w:id="225"/>
      <w:r>
        <w:rPr>
          <w:rFonts w:hint="eastAsia" w:ascii="仿宋" w:hAnsi="仿宋" w:eastAsia="仿宋" w:cs="仿宋"/>
          <w:sz w:val="24"/>
          <w:szCs w:val="24"/>
          <w:u w:val="single"/>
        </w:rPr>
        <w:t xml:space="preserve">                                         </w:t>
      </w:r>
    </w:p>
    <w:p w14:paraId="4616848A">
      <w:pPr>
        <w:tabs>
          <w:tab w:val="left" w:pos="360"/>
        </w:tabs>
        <w:ind w:firstLine="480" w:firstLineChars="200"/>
        <w:rPr>
          <w:rFonts w:ascii="仿宋" w:hAnsi="仿宋" w:eastAsia="仿宋" w:cs="仿宋"/>
          <w:sz w:val="24"/>
          <w:szCs w:val="24"/>
          <w:u w:val="single"/>
        </w:rPr>
      </w:pPr>
    </w:p>
    <w:p w14:paraId="55A2E38D">
      <w:pPr>
        <w:tabs>
          <w:tab w:val="left" w:pos="360"/>
        </w:tabs>
        <w:ind w:firstLine="480" w:firstLineChars="200"/>
        <w:rPr>
          <w:rFonts w:ascii="仿宋" w:hAnsi="仿宋" w:eastAsia="仿宋" w:cs="仿宋"/>
          <w:sz w:val="24"/>
          <w:szCs w:val="24"/>
        </w:rPr>
      </w:pPr>
    </w:p>
    <w:p w14:paraId="42C053CF">
      <w:pPr>
        <w:ind w:firstLine="420"/>
        <w:rPr>
          <w:rFonts w:ascii="仿宋" w:hAnsi="仿宋" w:eastAsia="仿宋" w:cs="仿宋"/>
          <w:i/>
          <w:sz w:val="24"/>
          <w:szCs w:val="24"/>
          <w:u w:val="single"/>
        </w:rPr>
      </w:pPr>
    </w:p>
    <w:p w14:paraId="34B37D54">
      <w:pPr>
        <w:rPr>
          <w:rFonts w:ascii="仿宋" w:hAnsi="仿宋" w:eastAsia="仿宋" w:cs="仿宋"/>
          <w:szCs w:val="21"/>
        </w:rPr>
      </w:pPr>
    </w:p>
    <w:p w14:paraId="56DFD6AD">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22AFE929">
      <w:pPr>
        <w:tabs>
          <w:tab w:val="left" w:pos="360"/>
        </w:tabs>
        <w:spacing w:line="0" w:lineRule="atLeast"/>
        <w:ind w:firstLine="480" w:firstLineChars="200"/>
        <w:rPr>
          <w:sz w:val="28"/>
          <w:szCs w:val="28"/>
        </w:rPr>
      </w:pPr>
      <w:r>
        <w:rPr>
          <w:rFonts w:hint="eastAsia" w:ascii="仿宋" w:hAnsi="仿宋" w:eastAsia="仿宋" w:cs="仿宋"/>
          <w:sz w:val="24"/>
          <w:szCs w:val="24"/>
        </w:rPr>
        <w:br w:type="page"/>
      </w:r>
      <w:r>
        <w:rPr>
          <w:rFonts w:hint="eastAsia" w:ascii="仿宋" w:hAnsi="仿宋" w:eastAsia="仿宋" w:cs="仿宋"/>
          <w:b/>
          <w:color w:val="000000"/>
          <w:sz w:val="28"/>
          <w:szCs w:val="28"/>
        </w:rPr>
        <w:t xml:space="preserve">附件5   </w:t>
      </w:r>
    </w:p>
    <w:p w14:paraId="217CC623">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4EC22A38">
      <w:pPr>
        <w:pStyle w:val="13"/>
      </w:pPr>
    </w:p>
    <w:p w14:paraId="3D437526">
      <w:pPr>
        <w:adjustRightInd w:val="0"/>
        <w:spacing w:line="420" w:lineRule="exact"/>
        <w:jc w:val="left"/>
        <w:textAlignment w:val="baseline"/>
        <w:rPr>
          <w:rFonts w:ascii="仿宋" w:hAnsi="仿宋" w:eastAsia="仿宋" w:cs="仿宋"/>
          <w:sz w:val="24"/>
          <w:szCs w:val="21"/>
        </w:rPr>
      </w:pPr>
      <w:r>
        <w:rPr>
          <w:rFonts w:hint="eastAsia" w:ascii="仿宋" w:hAnsi="仿宋" w:eastAsia="仿宋" w:cs="仿宋"/>
          <w:sz w:val="24"/>
          <w:szCs w:val="21"/>
        </w:rPr>
        <w:t>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p>
    <w:p w14:paraId="17A50A47">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（项目编号）磋商文件，正式授权下述被授权人______(姓名)代表我方______________（供应商的名称），全权处理本次项目磋商的有关事宜。</w:t>
      </w:r>
    </w:p>
    <w:p w14:paraId="20097EDA">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25045F12">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0EE90042">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746E85A1">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572C025A">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4FB89F6">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2E748B85">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1B11960E">
      <w:pPr>
        <w:adjustRightInd w:val="0"/>
        <w:spacing w:line="420" w:lineRule="exact"/>
        <w:ind w:left="425"/>
        <w:jc w:val="left"/>
        <w:textAlignment w:val="baseline"/>
        <w:rPr>
          <w:rFonts w:ascii="仿宋" w:hAnsi="仿宋" w:eastAsia="仿宋" w:cs="仿宋"/>
          <w:sz w:val="24"/>
          <w:szCs w:val="21"/>
        </w:rPr>
      </w:pPr>
      <w:r>
        <w:rPr>
          <w:rFonts w:hint="eastAsia" w:ascii="仿宋" w:hAnsi="仿宋" w:eastAsia="仿宋" w:cs="仿宋"/>
          <w:sz w:val="24"/>
          <w:szCs w:val="21"/>
        </w:rPr>
        <w:t>7.我方与本磋商有关的正式通讯地址为：</w:t>
      </w:r>
    </w:p>
    <w:p w14:paraId="4EECE89E">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地          址：</w:t>
      </w:r>
    </w:p>
    <w:p w14:paraId="201412F1">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邮          编：</w:t>
      </w:r>
    </w:p>
    <w:p w14:paraId="4229D6D3">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电          话：</w:t>
      </w:r>
    </w:p>
    <w:p w14:paraId="339B8099">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传          真：</w:t>
      </w:r>
    </w:p>
    <w:p w14:paraId="7215A96C">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供应商开户行：</w:t>
      </w:r>
    </w:p>
    <w:p w14:paraId="42A525D0">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 xml:space="preserve">账          号： </w:t>
      </w:r>
    </w:p>
    <w:p w14:paraId="7D7D59EF">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日           期：________年____月____日</w:t>
      </w:r>
    </w:p>
    <w:p w14:paraId="626A9458">
      <w:pPr>
        <w:spacing w:line="560" w:lineRule="exact"/>
        <w:ind w:firstLine="240" w:firstLineChars="100"/>
        <w:jc w:val="center"/>
        <w:rPr>
          <w:rFonts w:ascii="仿宋" w:hAnsi="仿宋" w:eastAsia="仿宋" w:cs="仿宋"/>
          <w:bCs/>
          <w:sz w:val="24"/>
          <w:szCs w:val="21"/>
        </w:rPr>
      </w:pPr>
    </w:p>
    <w:p w14:paraId="4B278DC9">
      <w:pPr>
        <w:spacing w:line="560" w:lineRule="exact"/>
        <w:ind w:firstLine="240" w:firstLineChars="100"/>
        <w:jc w:val="center"/>
        <w:rPr>
          <w:rFonts w:ascii="仿宋" w:hAnsi="仿宋" w:eastAsia="仿宋" w:cs="仿宋"/>
          <w:bCs/>
          <w:sz w:val="24"/>
          <w:szCs w:val="21"/>
        </w:rPr>
      </w:pPr>
    </w:p>
    <w:p w14:paraId="123CFD7A">
      <w:pPr>
        <w:spacing w:line="560" w:lineRule="exact"/>
        <w:ind w:firstLine="240" w:firstLineChars="100"/>
        <w:jc w:val="center"/>
        <w:rPr>
          <w:rFonts w:ascii="仿宋" w:hAnsi="仿宋" w:eastAsia="仿宋" w:cs="仿宋"/>
          <w:bCs/>
          <w:sz w:val="24"/>
          <w:szCs w:val="21"/>
        </w:rPr>
      </w:pPr>
    </w:p>
    <w:p w14:paraId="7443B750">
      <w:pPr>
        <w:spacing w:line="560" w:lineRule="exact"/>
        <w:rPr>
          <w:rFonts w:ascii="仿宋" w:hAnsi="仿宋" w:eastAsia="仿宋" w:cs="仿宋"/>
          <w:bCs/>
          <w:sz w:val="24"/>
          <w:szCs w:val="21"/>
        </w:rPr>
      </w:pPr>
    </w:p>
    <w:p w14:paraId="138F5EBC">
      <w:pPr>
        <w:rPr>
          <w:rFonts w:ascii="仿宋" w:hAnsi="仿宋" w:eastAsia="仿宋" w:cs="仿宋"/>
          <w:b/>
          <w:sz w:val="24"/>
          <w:szCs w:val="21"/>
        </w:rPr>
      </w:pPr>
    </w:p>
    <w:p w14:paraId="410A98AA">
      <w:pPr>
        <w:rPr>
          <w:rFonts w:ascii="仿宋" w:hAnsi="仿宋" w:eastAsia="仿宋" w:cs="仿宋"/>
          <w:b/>
          <w:sz w:val="28"/>
          <w:szCs w:val="28"/>
        </w:rPr>
      </w:pPr>
      <w:r>
        <w:rPr>
          <w:rFonts w:hint="eastAsia" w:ascii="仿宋" w:hAnsi="仿宋" w:eastAsia="仿宋" w:cs="仿宋"/>
          <w:b/>
          <w:sz w:val="28"/>
          <w:szCs w:val="28"/>
        </w:rPr>
        <w:t xml:space="preserve">附件6 </w:t>
      </w:r>
    </w:p>
    <w:p w14:paraId="38428EA5">
      <w:pPr>
        <w:jc w:val="center"/>
        <w:rPr>
          <w:rFonts w:ascii="仿宋" w:hAnsi="仿宋" w:eastAsia="仿宋" w:cs="仿宋"/>
          <w:b/>
          <w:sz w:val="24"/>
          <w:szCs w:val="21"/>
        </w:rPr>
      </w:pPr>
      <w:r>
        <w:rPr>
          <w:rFonts w:hint="eastAsia" w:ascii="仿宋" w:hAnsi="仿宋" w:eastAsia="仿宋" w:cs="仿宋"/>
          <w:b/>
          <w:sz w:val="28"/>
          <w:szCs w:val="28"/>
        </w:rPr>
        <w:t>中小企业声明函（货物）</w:t>
      </w:r>
      <w:r>
        <w:rPr>
          <w:rFonts w:hint="eastAsia" w:ascii="仿宋" w:hAnsi="仿宋" w:eastAsia="仿宋" w:cs="仿宋"/>
          <w:b/>
          <w:sz w:val="24"/>
          <w:szCs w:val="21"/>
        </w:rPr>
        <w:t xml:space="preserve"> </w:t>
      </w:r>
    </w:p>
    <w:p w14:paraId="0C0031F5">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采购活动，提供的货物全部由符合政策要求的中小企业制造。相关企业（含联合体中的中小企业、签订分包意向协议的中小企业）的具体情况如下：</w:t>
      </w:r>
    </w:p>
    <w:p w14:paraId="6CCADFD0">
      <w:pPr>
        <w:spacing w:line="400" w:lineRule="exact"/>
        <w:ind w:firstLine="360" w:firstLineChars="150"/>
        <w:rPr>
          <w:rFonts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6DA78F86">
      <w:pPr>
        <w:spacing w:line="400" w:lineRule="exact"/>
        <w:ind w:firstLine="360" w:firstLineChars="150"/>
        <w:rPr>
          <w:rFonts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行业；制造商为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7C5FDABE">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w:t>
      </w:r>
    </w:p>
    <w:p w14:paraId="5EAC5676">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457A77BE">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788E50B0">
      <w:pPr>
        <w:spacing w:line="400" w:lineRule="exact"/>
        <w:ind w:right="720"/>
        <w:rPr>
          <w:rFonts w:ascii="仿宋" w:hAnsi="仿宋" w:eastAsia="仿宋" w:cs="仿宋"/>
          <w:sz w:val="24"/>
          <w:szCs w:val="24"/>
        </w:rPr>
      </w:pPr>
    </w:p>
    <w:p w14:paraId="41518ADC">
      <w:pPr>
        <w:spacing w:line="400" w:lineRule="exact"/>
        <w:ind w:right="180" w:firstLine="360" w:firstLineChars="150"/>
        <w:jc w:val="right"/>
        <w:rPr>
          <w:rFonts w:ascii="仿宋" w:hAnsi="仿宋" w:eastAsia="仿宋" w:cs="仿宋"/>
          <w:sz w:val="24"/>
          <w:szCs w:val="24"/>
        </w:rPr>
      </w:pPr>
      <w:r>
        <w:rPr>
          <w:rFonts w:hint="eastAsia" w:ascii="仿宋" w:hAnsi="仿宋" w:eastAsia="仿宋" w:cs="仿宋"/>
          <w:sz w:val="24"/>
          <w:szCs w:val="21"/>
        </w:rPr>
        <w:t>供应商全称</w:t>
      </w:r>
      <w:r>
        <w:rPr>
          <w:rFonts w:hint="eastAsia" w:ascii="仿宋" w:hAnsi="仿宋" w:eastAsia="仿宋" w:cs="仿宋"/>
          <w:sz w:val="24"/>
          <w:szCs w:val="24"/>
        </w:rPr>
        <w:t>（加盖CA电子公章）：</w:t>
      </w:r>
    </w:p>
    <w:p w14:paraId="72D21E33">
      <w:pPr>
        <w:spacing w:line="400" w:lineRule="exact"/>
        <w:ind w:right="480" w:firstLine="5400" w:firstLineChars="2250"/>
        <w:rPr>
          <w:rFonts w:ascii="仿宋" w:hAnsi="仿宋" w:eastAsia="仿宋" w:cs="仿宋"/>
          <w:sz w:val="24"/>
          <w:szCs w:val="24"/>
        </w:rPr>
      </w:pPr>
      <w:r>
        <w:rPr>
          <w:rFonts w:hint="eastAsia" w:ascii="仿宋" w:hAnsi="仿宋" w:eastAsia="仿宋" w:cs="仿宋"/>
          <w:sz w:val="24"/>
          <w:szCs w:val="24"/>
        </w:rPr>
        <w:t>日  期：</w:t>
      </w:r>
    </w:p>
    <w:p w14:paraId="1EFA14D7">
      <w:pPr>
        <w:spacing w:line="400" w:lineRule="exact"/>
        <w:rPr>
          <w:rFonts w:ascii="仿宋" w:hAnsi="仿宋" w:eastAsia="仿宋" w:cs="仿宋"/>
          <w:sz w:val="24"/>
          <w:szCs w:val="24"/>
        </w:rPr>
      </w:pPr>
    </w:p>
    <w:p w14:paraId="73BE9AE1">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14:paraId="630C7E9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1、如项目类型为“货物”，请按照此格式填写。</w:t>
      </w:r>
    </w:p>
    <w:p w14:paraId="76F58455">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2、从业人员、营业收入、资产总额填报上一年度数据，无上一年度数据的新成立企业可不填报。</w:t>
      </w:r>
    </w:p>
    <w:p w14:paraId="2840BB3E">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3、专门面向中小微型企业采购的项目，供应商如不提供此声明函，则不能通过资格审查；非专门面向中小微型企业采购的项目，供应商如不提供此声明函，价格将不做相应扣除。</w:t>
      </w:r>
    </w:p>
    <w:p w14:paraId="4DDAE273">
      <w:pPr>
        <w:spacing w:line="460" w:lineRule="exact"/>
        <w:ind w:firstLine="480" w:firstLineChars="200"/>
        <w:rPr>
          <w:rFonts w:ascii="仿宋" w:hAnsi="仿宋" w:eastAsia="仿宋" w:cs="仿宋"/>
          <w:sz w:val="24"/>
          <w:szCs w:val="24"/>
        </w:rPr>
      </w:pPr>
      <w:r>
        <w:rPr>
          <w:rFonts w:hint="eastAsia" w:ascii="仿宋" w:hAnsi="仿宋" w:eastAsia="仿宋" w:cs="仿宋"/>
          <w:sz w:val="24"/>
          <w:szCs w:val="24"/>
        </w:rPr>
        <w:t>4、供应商</w:t>
      </w:r>
      <w:r>
        <w:rPr>
          <w:rFonts w:hint="eastAsia" w:ascii="仿宋" w:hAnsi="仿宋" w:eastAsia="仿宋" w:cs="仿宋"/>
          <w:b/>
          <w:bCs/>
          <w:sz w:val="24"/>
          <w:szCs w:val="24"/>
        </w:rPr>
        <w:t>自行勾选</w:t>
      </w:r>
      <w:r>
        <w:rPr>
          <w:rFonts w:hint="eastAsia" w:ascii="仿宋" w:hAnsi="仿宋" w:eastAsia="仿宋" w:cs="仿宋"/>
          <w:sz w:val="24"/>
          <w:szCs w:val="24"/>
        </w:rPr>
        <w:t>制造商的企业规模类型。</w:t>
      </w:r>
    </w:p>
    <w:p w14:paraId="59E1BEC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3CCFCE63">
      <w:pPr>
        <w:spacing w:line="460" w:lineRule="exact"/>
        <w:ind w:firstLine="480" w:firstLineChars="200"/>
        <w:rPr>
          <w:rFonts w:ascii="仿宋" w:hAnsi="仿宋" w:eastAsia="仿宋" w:cs="仿宋"/>
          <w:sz w:val="24"/>
          <w:szCs w:val="24"/>
        </w:rPr>
      </w:pPr>
    </w:p>
    <w:p w14:paraId="4BFFE842">
      <w:pPr>
        <w:pStyle w:val="13"/>
      </w:pPr>
    </w:p>
    <w:p w14:paraId="2EAB38A0">
      <w:pPr>
        <w:spacing w:line="400" w:lineRule="exact"/>
        <w:ind w:firstLine="562" w:firstLineChars="200"/>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p>
    <w:p w14:paraId="3453A1E2">
      <w:pPr>
        <w:spacing w:line="400" w:lineRule="exact"/>
        <w:ind w:firstLine="562" w:firstLineChars="200"/>
        <w:jc w:val="center"/>
        <w:rPr>
          <w:rFonts w:ascii="仿宋" w:hAnsi="仿宋" w:eastAsia="仿宋" w:cs="仿宋"/>
          <w:b/>
          <w:color w:val="000000"/>
          <w:sz w:val="24"/>
          <w:szCs w:val="24"/>
        </w:rPr>
      </w:pPr>
      <w:r>
        <w:rPr>
          <w:rFonts w:hint="eastAsia" w:ascii="仿宋" w:hAnsi="仿宋" w:eastAsia="仿宋" w:cs="仿宋"/>
          <w:b/>
          <w:color w:val="000000"/>
          <w:sz w:val="28"/>
          <w:szCs w:val="28"/>
        </w:rPr>
        <w:t>残疾人福利性单位声明函（货物）</w:t>
      </w:r>
      <w:r>
        <w:rPr>
          <w:rFonts w:hint="eastAsia" w:ascii="仿宋" w:hAnsi="仿宋" w:eastAsia="仿宋" w:cs="仿宋"/>
          <w:b/>
          <w:color w:val="000000"/>
          <w:sz w:val="24"/>
          <w:szCs w:val="24"/>
        </w:rPr>
        <w:t xml:space="preserve"> </w:t>
      </w:r>
    </w:p>
    <w:p w14:paraId="776CBA87">
      <w:pPr>
        <w:pStyle w:val="13"/>
      </w:pPr>
    </w:p>
    <w:p w14:paraId="4DDFB43D">
      <w:pPr>
        <w:spacing w:line="400" w:lineRule="exact"/>
        <w:ind w:firstLine="360" w:firstLineChars="15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FF0000"/>
          <w:sz w:val="24"/>
          <w:szCs w:val="24"/>
        </w:rPr>
        <w:t>〔2017〕</w:t>
      </w:r>
      <w:r>
        <w:rPr>
          <w:rFonts w:hint="eastAsia" w:ascii="仿宋" w:hAnsi="仿宋" w:eastAsia="仿宋" w:cs="仿宋"/>
          <w:color w:val="000000" w:themeColor="text1"/>
          <w:sz w:val="24"/>
          <w:szCs w:val="24"/>
          <w14:textFill>
            <w14:solidFill>
              <w14:schemeClr w14:val="tx1"/>
            </w14:solidFill>
          </w14:textFill>
        </w:rPr>
        <w:t>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单位的</w:t>
      </w:r>
      <w:r>
        <w:rPr>
          <w:rFonts w:hint="eastAsia" w:ascii="仿宋" w:hAnsi="仿宋" w:eastAsia="仿宋" w:cs="仿宋"/>
          <w:b/>
          <w:bCs/>
          <w:color w:val="000000" w:themeColor="text1"/>
          <w:sz w:val="24"/>
          <w:szCs w:val="24"/>
          <w14:textFill>
            <w14:solidFill>
              <w14:schemeClr w14:val="tx1"/>
            </w14:solidFill>
          </w14:textFill>
        </w:rPr>
        <w:t>采购文件编号</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项目采购活动提供本单位制造的货物，或者提供其他残疾人福利性单位制造的货物（不包括使用非残疾人福利性单位注册商标的货物）。</w:t>
      </w:r>
    </w:p>
    <w:p w14:paraId="6BBC9905">
      <w:pPr>
        <w:spacing w:line="400" w:lineRule="exact"/>
        <w:ind w:firstLine="360" w:firstLineChars="15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5A1C604C">
      <w:pPr>
        <w:spacing w:line="0" w:lineRule="atLeast"/>
        <w:ind w:firstLine="480" w:firstLineChars="200"/>
        <w:rPr>
          <w:rFonts w:ascii="仿宋" w:hAnsi="仿宋" w:eastAsia="仿宋" w:cs="仿宋"/>
          <w:color w:val="000000"/>
          <w:sz w:val="24"/>
          <w:szCs w:val="21"/>
        </w:rPr>
      </w:pPr>
    </w:p>
    <w:p w14:paraId="78152A7F">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备注：</w:t>
      </w:r>
    </w:p>
    <w:p w14:paraId="519F95C7">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rPr>
        <w:t>1、如项目类型为“货物”，请按照此格式填写。</w:t>
      </w:r>
    </w:p>
    <w:p w14:paraId="7C5F9B1A">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4"/>
        </w:rPr>
        <w:t>2、</w:t>
      </w:r>
      <w:r>
        <w:rPr>
          <w:rFonts w:hint="eastAsia" w:ascii="仿宋" w:hAnsi="仿宋" w:eastAsia="仿宋" w:cs="仿宋"/>
          <w:sz w:val="24"/>
          <w:szCs w:val="21"/>
        </w:rPr>
        <w:t>专门面向中小微型企业采购的项目，供应商为残疾人福利性单位并提供本单位制造的货物，或者提供其他残疾人福利性单位制造的货物，必须提供此声明函，否则将不能通过资格审查。</w:t>
      </w:r>
    </w:p>
    <w:p w14:paraId="5B34D1A7">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4"/>
        </w:rPr>
        <w:t>3、</w:t>
      </w:r>
      <w:r>
        <w:rPr>
          <w:rFonts w:hint="eastAsia" w:ascii="仿宋" w:hAnsi="仿宋" w:eastAsia="仿宋" w:cs="仿宋"/>
          <w:sz w:val="24"/>
          <w:szCs w:val="21"/>
        </w:rPr>
        <w:t>非专门面向中小微型企业采购的项目，供应商如不提供此声明函，价格将不做相应扣除。</w:t>
      </w:r>
    </w:p>
    <w:p w14:paraId="6DA5D025">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4"/>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7139EBD2">
      <w:pPr>
        <w:spacing w:line="588" w:lineRule="exact"/>
        <w:ind w:firstLine="624" w:firstLineChars="200"/>
        <w:rPr>
          <w:rFonts w:ascii="仿宋" w:hAnsi="仿宋" w:eastAsia="仿宋" w:cs="仿宋"/>
          <w:color w:val="000000"/>
          <w:spacing w:val="6"/>
          <w:sz w:val="30"/>
          <w:szCs w:val="30"/>
        </w:rPr>
      </w:pPr>
    </w:p>
    <w:p w14:paraId="54E949E5">
      <w:pPr>
        <w:tabs>
          <w:tab w:val="left" w:pos="4860"/>
        </w:tabs>
        <w:spacing w:line="0" w:lineRule="atLeast"/>
        <w:ind w:right="1559" w:firstLine="624" w:firstLineChars="200"/>
        <w:jc w:val="center"/>
        <w:rPr>
          <w:rFonts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rPr>
        <w:t>供应商全称</w:t>
      </w:r>
      <w:r>
        <w:rPr>
          <w:rFonts w:hint="eastAsia" w:ascii="仿宋" w:hAnsi="仿宋" w:eastAsia="仿宋" w:cs="仿宋"/>
          <w:color w:val="000000"/>
          <w:sz w:val="24"/>
          <w:szCs w:val="21"/>
        </w:rPr>
        <w:t>（加盖CA电子公章）：</w:t>
      </w:r>
    </w:p>
    <w:p w14:paraId="7222B47A">
      <w:pPr>
        <w:tabs>
          <w:tab w:val="left" w:pos="4860"/>
        </w:tabs>
        <w:spacing w:line="0" w:lineRule="atLeast"/>
        <w:ind w:right="1559" w:firstLine="480" w:firstLineChars="200"/>
        <w:jc w:val="center"/>
        <w:rPr>
          <w:rFonts w:ascii="仿宋" w:hAnsi="仿宋" w:eastAsia="仿宋" w:cs="仿宋"/>
          <w:color w:val="000000"/>
          <w:sz w:val="24"/>
          <w:szCs w:val="21"/>
        </w:rPr>
      </w:pPr>
      <w:r>
        <w:rPr>
          <w:rFonts w:hint="eastAsia" w:ascii="仿宋" w:hAnsi="仿宋" w:eastAsia="仿宋" w:cs="仿宋"/>
          <w:color w:val="000000"/>
          <w:sz w:val="24"/>
          <w:szCs w:val="21"/>
        </w:rPr>
        <w:t xml:space="preserve">        日  期：</w:t>
      </w:r>
    </w:p>
    <w:p w14:paraId="4C27436C">
      <w:pPr>
        <w:spacing w:line="560" w:lineRule="exact"/>
        <w:rPr>
          <w:rFonts w:ascii="仿宋" w:hAnsi="仿宋" w:eastAsia="仿宋" w:cs="仿宋"/>
          <w:b/>
          <w:sz w:val="32"/>
          <w:szCs w:val="32"/>
        </w:rPr>
      </w:pPr>
    </w:p>
    <w:p w14:paraId="30784C90">
      <w:pPr>
        <w:spacing w:line="560" w:lineRule="exact"/>
        <w:jc w:val="center"/>
        <w:rPr>
          <w:rFonts w:ascii="仿宋" w:hAnsi="仿宋" w:eastAsia="仿宋" w:cs="仿宋"/>
          <w:b/>
          <w:sz w:val="32"/>
          <w:szCs w:val="32"/>
        </w:rPr>
      </w:pPr>
    </w:p>
    <w:p w14:paraId="35824922">
      <w:pPr>
        <w:spacing w:line="588" w:lineRule="exact"/>
        <w:jc w:val="center"/>
        <w:rPr>
          <w:rFonts w:ascii="仿宋" w:hAnsi="仿宋" w:eastAsia="仿宋" w:cs="仿宋"/>
          <w:b/>
          <w:color w:val="000000"/>
          <w:sz w:val="24"/>
          <w:szCs w:val="24"/>
        </w:rPr>
      </w:pPr>
    </w:p>
    <w:p w14:paraId="6DFE20F6">
      <w:pPr>
        <w:spacing w:line="588" w:lineRule="exact"/>
        <w:jc w:val="center"/>
        <w:rPr>
          <w:rFonts w:ascii="仿宋" w:hAnsi="仿宋" w:eastAsia="仿宋" w:cs="仿宋"/>
          <w:b/>
          <w:color w:val="000000"/>
          <w:sz w:val="24"/>
          <w:szCs w:val="24"/>
        </w:rPr>
      </w:pPr>
    </w:p>
    <w:p w14:paraId="1D8B662C">
      <w:pPr>
        <w:spacing w:line="588" w:lineRule="exact"/>
        <w:jc w:val="center"/>
        <w:rPr>
          <w:rFonts w:ascii="仿宋" w:hAnsi="仿宋" w:eastAsia="仿宋" w:cs="仿宋"/>
          <w:b/>
          <w:color w:val="000000"/>
          <w:sz w:val="24"/>
          <w:szCs w:val="24"/>
        </w:rPr>
      </w:pPr>
    </w:p>
    <w:p w14:paraId="105F64F8">
      <w:pPr>
        <w:spacing w:line="588" w:lineRule="exact"/>
        <w:jc w:val="center"/>
        <w:rPr>
          <w:rFonts w:ascii="仿宋" w:hAnsi="仿宋" w:eastAsia="仿宋" w:cs="仿宋"/>
          <w:b/>
          <w:color w:val="000000"/>
          <w:sz w:val="24"/>
          <w:szCs w:val="24"/>
        </w:rPr>
      </w:pPr>
    </w:p>
    <w:p w14:paraId="06BEDFA7">
      <w:pPr>
        <w:spacing w:line="588" w:lineRule="exact"/>
        <w:jc w:val="center"/>
        <w:rPr>
          <w:rFonts w:ascii="仿宋" w:hAnsi="仿宋" w:eastAsia="仿宋" w:cs="仿宋"/>
          <w:b/>
          <w:color w:val="000000"/>
          <w:sz w:val="24"/>
          <w:szCs w:val="24"/>
        </w:rPr>
      </w:pPr>
    </w:p>
    <w:p w14:paraId="4B7CCCE9">
      <w:pPr>
        <w:spacing w:line="588" w:lineRule="exact"/>
        <w:jc w:val="center"/>
        <w:rPr>
          <w:rFonts w:ascii="仿宋" w:hAnsi="仿宋" w:eastAsia="仿宋" w:cs="仿宋"/>
          <w:b/>
          <w:color w:val="000000"/>
          <w:sz w:val="24"/>
          <w:szCs w:val="24"/>
        </w:rPr>
      </w:pPr>
    </w:p>
    <w:p w14:paraId="418A2FE0">
      <w:pPr>
        <w:spacing w:line="588" w:lineRule="exact"/>
        <w:rPr>
          <w:rFonts w:ascii="仿宋" w:hAnsi="仿宋" w:eastAsia="仿宋" w:cs="仿宋"/>
          <w:b/>
          <w:color w:val="000000"/>
          <w:sz w:val="24"/>
          <w:szCs w:val="24"/>
        </w:rPr>
      </w:pPr>
    </w:p>
    <w:p w14:paraId="03C16CB1">
      <w:pPr>
        <w:pStyle w:val="13"/>
      </w:pPr>
    </w:p>
    <w:p w14:paraId="0850A016">
      <w:pPr>
        <w:snapToGrid w:val="0"/>
        <w:spacing w:line="420" w:lineRule="exact"/>
        <w:rPr>
          <w:rFonts w:ascii="仿宋" w:hAnsi="仿宋" w:eastAsia="仿宋" w:cs="仿宋"/>
          <w:b/>
          <w:sz w:val="24"/>
          <w:szCs w:val="24"/>
        </w:rPr>
      </w:pPr>
    </w:p>
    <w:p w14:paraId="7FBAC757">
      <w:pPr>
        <w:snapToGrid w:val="0"/>
        <w:spacing w:line="420" w:lineRule="exact"/>
        <w:rPr>
          <w:rFonts w:ascii="仿宋" w:hAnsi="仿宋" w:eastAsia="仿宋" w:cs="仿宋"/>
          <w:b/>
          <w:sz w:val="24"/>
          <w:szCs w:val="24"/>
        </w:rPr>
      </w:pPr>
    </w:p>
    <w:p w14:paraId="0A5B45A9">
      <w:pPr>
        <w:snapToGrid w:val="0"/>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524FF1E9">
      <w:pPr>
        <w:snapToGrid w:val="0"/>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3966FD31">
      <w:pPr>
        <w:snapToGrid w:val="0"/>
        <w:spacing w:line="420" w:lineRule="exact"/>
        <w:ind w:firstLine="495" w:firstLineChars="177"/>
        <w:rPr>
          <w:rFonts w:ascii="仿宋" w:hAnsi="仿宋" w:eastAsia="仿宋" w:cs="仿宋"/>
          <w:sz w:val="28"/>
          <w:szCs w:val="28"/>
        </w:rPr>
      </w:pPr>
    </w:p>
    <w:p w14:paraId="38FA8C97">
      <w:pPr>
        <w:snapToGrid w:val="0"/>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21BD0224">
      <w:pPr>
        <w:snapToGrid w:val="0"/>
        <w:spacing w:line="420" w:lineRule="exact"/>
        <w:ind w:firstLine="495" w:firstLineChars="177"/>
        <w:rPr>
          <w:rFonts w:ascii="仿宋" w:hAnsi="仿宋" w:eastAsia="仿宋" w:cs="仿宋"/>
          <w:sz w:val="28"/>
          <w:szCs w:val="28"/>
        </w:rPr>
      </w:pPr>
    </w:p>
    <w:p w14:paraId="59D6C912">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w:t>
      </w:r>
      <w:r>
        <w:rPr>
          <w:rFonts w:hint="eastAsia" w:ascii="仿宋" w:hAnsi="仿宋" w:eastAsia="仿宋" w:cs="仿宋"/>
          <w:sz w:val="24"/>
          <w:szCs w:val="24"/>
        </w:rPr>
        <w:t>〔2014〕</w:t>
      </w:r>
      <w:r>
        <w:rPr>
          <w:rFonts w:hint="eastAsia" w:ascii="仿宋" w:hAnsi="仿宋" w:eastAsia="仿宋" w:cs="仿宋"/>
          <w:sz w:val="24"/>
          <w:szCs w:val="21"/>
        </w:rPr>
        <w:t>68号），监狱企业参加政府采购活动时，应当提供由省级以上监狱管理局、戒毒管理局（含新疆生产建设兵团）出具的，供应商属于监狱企业的证明文件。</w:t>
      </w:r>
    </w:p>
    <w:p w14:paraId="42198BAE">
      <w:pPr>
        <w:spacing w:line="0" w:lineRule="atLeast"/>
        <w:ind w:firstLine="480" w:firstLineChars="200"/>
        <w:rPr>
          <w:rFonts w:ascii="仿宋" w:hAnsi="仿宋" w:eastAsia="仿宋" w:cs="仿宋"/>
          <w:sz w:val="24"/>
          <w:szCs w:val="21"/>
        </w:rPr>
      </w:pPr>
    </w:p>
    <w:p w14:paraId="59743E51">
      <w:pPr>
        <w:spacing w:line="400" w:lineRule="exact"/>
        <w:ind w:firstLine="480" w:firstLineChars="200"/>
        <w:rPr>
          <w:rFonts w:ascii="仿宋" w:hAnsi="仿宋" w:eastAsia="仿宋" w:cs="仿宋"/>
          <w:sz w:val="24"/>
          <w:szCs w:val="21"/>
        </w:rPr>
      </w:pPr>
    </w:p>
    <w:p w14:paraId="032AA6A5">
      <w:pPr>
        <w:spacing w:line="400" w:lineRule="exact"/>
        <w:ind w:firstLine="480" w:firstLineChars="200"/>
        <w:rPr>
          <w:rFonts w:ascii="仿宋" w:hAnsi="仿宋" w:eastAsia="仿宋" w:cs="仿宋"/>
          <w:sz w:val="24"/>
          <w:szCs w:val="21"/>
        </w:rPr>
      </w:pPr>
    </w:p>
    <w:p w14:paraId="77061369">
      <w:pPr>
        <w:spacing w:line="400" w:lineRule="exact"/>
        <w:ind w:firstLine="480" w:firstLineChars="200"/>
        <w:rPr>
          <w:rFonts w:ascii="仿宋" w:hAnsi="仿宋" w:eastAsia="仿宋" w:cs="仿宋"/>
          <w:sz w:val="24"/>
          <w:szCs w:val="21"/>
        </w:rPr>
      </w:pPr>
    </w:p>
    <w:p w14:paraId="710E8FD8">
      <w:pPr>
        <w:spacing w:line="400" w:lineRule="exact"/>
        <w:ind w:firstLine="480" w:firstLineChars="200"/>
        <w:rPr>
          <w:rFonts w:ascii="仿宋" w:hAnsi="仿宋" w:eastAsia="仿宋" w:cs="仿宋"/>
          <w:sz w:val="24"/>
          <w:szCs w:val="21"/>
        </w:rPr>
      </w:pPr>
    </w:p>
    <w:p w14:paraId="3B690AB6">
      <w:pPr>
        <w:spacing w:line="400" w:lineRule="exact"/>
        <w:ind w:firstLine="480" w:firstLineChars="200"/>
        <w:rPr>
          <w:rFonts w:ascii="仿宋" w:hAnsi="仿宋" w:eastAsia="仿宋" w:cs="仿宋"/>
          <w:sz w:val="24"/>
          <w:szCs w:val="21"/>
        </w:rPr>
      </w:pPr>
    </w:p>
    <w:p w14:paraId="3A8179E8">
      <w:pPr>
        <w:spacing w:line="400" w:lineRule="exact"/>
        <w:ind w:firstLine="480" w:firstLineChars="200"/>
        <w:rPr>
          <w:rFonts w:ascii="仿宋" w:hAnsi="仿宋" w:eastAsia="仿宋" w:cs="仿宋"/>
          <w:sz w:val="24"/>
          <w:szCs w:val="21"/>
        </w:rPr>
      </w:pPr>
    </w:p>
    <w:p w14:paraId="5F8BA5D1">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1"/>
        </w:rPr>
        <w:t>备注：</w:t>
      </w:r>
    </w:p>
    <w:p w14:paraId="5AC5599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1"/>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31D0F6FA">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2、成交供应商为监狱和戒毒企业的，此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28D086BA">
      <w:pPr>
        <w:spacing w:line="0" w:lineRule="atLeast"/>
        <w:ind w:firstLine="480" w:firstLineChars="200"/>
        <w:rPr>
          <w:rFonts w:ascii="仿宋" w:hAnsi="仿宋" w:eastAsia="仿宋" w:cs="仿宋"/>
          <w:sz w:val="24"/>
          <w:szCs w:val="21"/>
        </w:rPr>
      </w:pPr>
    </w:p>
    <w:p w14:paraId="25AEC85D">
      <w:pPr>
        <w:spacing w:line="560" w:lineRule="exact"/>
        <w:jc w:val="center"/>
        <w:rPr>
          <w:rFonts w:ascii="仿宋" w:hAnsi="仿宋" w:eastAsia="仿宋" w:cs="仿宋"/>
          <w:b/>
          <w:sz w:val="32"/>
          <w:szCs w:val="32"/>
        </w:rPr>
      </w:pPr>
    </w:p>
    <w:p w14:paraId="3F4AD38D">
      <w:pPr>
        <w:spacing w:line="560" w:lineRule="exact"/>
        <w:jc w:val="center"/>
        <w:rPr>
          <w:rFonts w:ascii="仿宋" w:hAnsi="仿宋" w:eastAsia="仿宋" w:cs="仿宋"/>
          <w:b/>
          <w:sz w:val="32"/>
          <w:szCs w:val="32"/>
        </w:rPr>
      </w:pPr>
    </w:p>
    <w:p w14:paraId="0D49EB42">
      <w:pPr>
        <w:spacing w:line="560" w:lineRule="exact"/>
        <w:rPr>
          <w:rFonts w:ascii="仿宋" w:hAnsi="仿宋" w:eastAsia="仿宋" w:cs="仿宋"/>
          <w:b/>
          <w:sz w:val="32"/>
          <w:szCs w:val="32"/>
        </w:rPr>
      </w:pPr>
    </w:p>
    <w:p w14:paraId="78A0F1B1">
      <w:pPr>
        <w:pStyle w:val="13"/>
        <w:ind w:firstLine="482"/>
        <w:rPr>
          <w:rFonts w:ascii="仿宋" w:hAnsi="仿宋" w:eastAsia="仿宋" w:cs="仿宋"/>
          <w:b/>
          <w:sz w:val="28"/>
          <w:szCs w:val="28"/>
        </w:rPr>
      </w:pPr>
      <w:r>
        <w:rPr>
          <w:rFonts w:hint="eastAsia" w:ascii="仿宋" w:hAnsi="仿宋" w:eastAsia="仿宋" w:cs="仿宋"/>
          <w:b/>
          <w:sz w:val="24"/>
          <w:szCs w:val="24"/>
        </w:rPr>
        <w:br w:type="page"/>
      </w:r>
    </w:p>
    <w:p w14:paraId="5649D7D7">
      <w:pPr>
        <w:snapToGrid w:val="0"/>
        <w:spacing w:line="300" w:lineRule="auto"/>
        <w:contextualSpacing/>
        <w:rPr>
          <w:rFonts w:ascii="仿宋" w:hAnsi="仿宋" w:eastAsia="仿宋" w:cs="仿宋"/>
          <w:b/>
          <w:sz w:val="28"/>
          <w:szCs w:val="28"/>
        </w:rPr>
      </w:pPr>
    </w:p>
    <w:p w14:paraId="19F87E60">
      <w:pPr>
        <w:snapToGrid w:val="0"/>
        <w:spacing w:line="300" w:lineRule="auto"/>
        <w:contextualSpacing/>
        <w:rPr>
          <w:rFonts w:ascii="仿宋" w:hAnsi="仿宋" w:eastAsia="仿宋" w:cs="仿宋"/>
          <w:b/>
          <w:sz w:val="28"/>
          <w:szCs w:val="28"/>
        </w:rPr>
      </w:pPr>
    </w:p>
    <w:p w14:paraId="22193595">
      <w:pPr>
        <w:snapToGrid w:val="0"/>
        <w:spacing w:line="300" w:lineRule="auto"/>
        <w:contextualSpacing/>
        <w:jc w:val="left"/>
        <w:rPr>
          <w:rFonts w:ascii="仿宋" w:hAnsi="仿宋" w:eastAsia="仿宋" w:cs="仿宋"/>
          <w:b/>
          <w:sz w:val="28"/>
          <w:szCs w:val="28"/>
        </w:rPr>
      </w:pPr>
      <w:r>
        <w:rPr>
          <w:rFonts w:hint="eastAsia" w:ascii="仿宋" w:hAnsi="仿宋" w:eastAsia="仿宋" w:cs="仿宋"/>
          <w:b/>
          <w:sz w:val="28"/>
          <w:szCs w:val="28"/>
        </w:rPr>
        <w:t>附件9</w:t>
      </w:r>
    </w:p>
    <w:p w14:paraId="39BED0C2">
      <w:pPr>
        <w:snapToGrid w:val="0"/>
        <w:spacing w:line="300" w:lineRule="auto"/>
        <w:ind w:firstLine="3373" w:firstLineChars="1200"/>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59E7C2C1">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11EBD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293633D5">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6E40257">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8D7F37C">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7E5A6922">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4437EE0">
            <w:pPr>
              <w:spacing w:line="340" w:lineRule="exact"/>
              <w:jc w:val="center"/>
              <w:rPr>
                <w:rFonts w:ascii="仿宋" w:hAnsi="仿宋" w:eastAsia="仿宋" w:cs="仿宋"/>
                <w:sz w:val="24"/>
              </w:rPr>
            </w:pPr>
          </w:p>
          <w:p w14:paraId="63A4D103">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3A7CA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3CC1E926">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B012514">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CCFFA8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F8B7CAA">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31D35297">
            <w:pPr>
              <w:spacing w:line="340" w:lineRule="exact"/>
              <w:jc w:val="left"/>
              <w:rPr>
                <w:rFonts w:ascii="仿宋" w:hAnsi="仿宋" w:eastAsia="仿宋" w:cs="仿宋"/>
                <w:sz w:val="24"/>
              </w:rPr>
            </w:pPr>
          </w:p>
        </w:tc>
      </w:tr>
      <w:tr w14:paraId="6C23D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2015235A">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ECF72F7">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7ACEFF1">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83A346F">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24D21941">
            <w:pPr>
              <w:spacing w:line="340" w:lineRule="exact"/>
              <w:jc w:val="left"/>
              <w:rPr>
                <w:rFonts w:ascii="仿宋" w:hAnsi="仿宋" w:eastAsia="仿宋" w:cs="仿宋"/>
                <w:sz w:val="24"/>
              </w:rPr>
            </w:pPr>
          </w:p>
        </w:tc>
      </w:tr>
      <w:tr w14:paraId="1AD417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611DC9CC">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1BD2B2AB">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09BAA2A">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9EA8EBE">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2ED651C1">
            <w:pPr>
              <w:spacing w:line="340" w:lineRule="exact"/>
              <w:jc w:val="left"/>
              <w:rPr>
                <w:rFonts w:ascii="仿宋" w:hAnsi="仿宋" w:eastAsia="仿宋" w:cs="仿宋"/>
                <w:sz w:val="24"/>
              </w:rPr>
            </w:pPr>
          </w:p>
        </w:tc>
      </w:tr>
      <w:tr w14:paraId="6E618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07B4D34">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5ECECF7">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7D9F20B">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36554D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4E900D81">
            <w:pPr>
              <w:spacing w:line="340" w:lineRule="exact"/>
              <w:jc w:val="left"/>
              <w:rPr>
                <w:rFonts w:ascii="仿宋" w:hAnsi="仿宋" w:eastAsia="仿宋" w:cs="仿宋"/>
                <w:sz w:val="24"/>
              </w:rPr>
            </w:pPr>
          </w:p>
        </w:tc>
      </w:tr>
      <w:tr w14:paraId="1CB18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0122A2F6">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1254" w:type="pct"/>
            <w:tcBorders>
              <w:top w:val="single" w:color="auto" w:sz="6" w:space="0"/>
              <w:left w:val="single" w:color="auto" w:sz="6" w:space="0"/>
              <w:bottom w:val="single" w:color="auto" w:sz="6" w:space="0"/>
              <w:right w:val="single" w:color="auto" w:sz="6" w:space="0"/>
            </w:tcBorders>
            <w:vAlign w:val="center"/>
          </w:tcPr>
          <w:p w14:paraId="1CBB136A">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72A76111">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5D7B24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239184C">
            <w:pPr>
              <w:spacing w:line="340" w:lineRule="exact"/>
              <w:jc w:val="left"/>
              <w:rPr>
                <w:rFonts w:ascii="仿宋" w:hAnsi="仿宋" w:eastAsia="仿宋" w:cs="仿宋"/>
                <w:sz w:val="24"/>
              </w:rPr>
            </w:pPr>
          </w:p>
        </w:tc>
      </w:tr>
    </w:tbl>
    <w:p w14:paraId="57F24D7B">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1DCF3E24">
      <w:pPr>
        <w:spacing w:line="400" w:lineRule="exact"/>
        <w:rPr>
          <w:rFonts w:ascii="仿宋" w:hAnsi="仿宋" w:eastAsia="仿宋" w:cs="仿宋"/>
          <w:sz w:val="24"/>
          <w:szCs w:val="24"/>
        </w:rPr>
      </w:pPr>
    </w:p>
    <w:p w14:paraId="7B0FA6F7">
      <w:pPr>
        <w:spacing w:line="400" w:lineRule="exact"/>
        <w:rPr>
          <w:rFonts w:ascii="仿宋" w:hAnsi="仿宋" w:eastAsia="仿宋" w:cs="仿宋"/>
          <w:sz w:val="24"/>
          <w:szCs w:val="24"/>
        </w:rPr>
      </w:pPr>
      <w:r>
        <w:rPr>
          <w:rFonts w:hint="eastAsia" w:ascii="仿宋" w:hAnsi="仿宋" w:eastAsia="仿宋" w:cs="仿宋"/>
          <w:sz w:val="24"/>
          <w:szCs w:val="24"/>
        </w:rPr>
        <w:t>备注：</w:t>
      </w:r>
    </w:p>
    <w:p w14:paraId="35462A20">
      <w:pPr>
        <w:snapToGrid w:val="0"/>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r>
        <w:rPr>
          <w:rFonts w:hint="eastAsia" w:ascii="仿宋" w:hAnsi="仿宋" w:eastAsia="仿宋" w:cs="仿宋"/>
          <w:szCs w:val="20"/>
        </w:rPr>
        <w:t>▲</w:t>
      </w:r>
      <w:r>
        <w:rPr>
          <w:rFonts w:hint="eastAsia" w:ascii="仿宋" w:hAnsi="仿宋" w:eastAsia="仿宋" w:cs="仿宋"/>
          <w:color w:val="000000"/>
          <w:sz w:val="24"/>
        </w:rPr>
        <w:t>项或采购文件另有要求的除外</w:t>
      </w:r>
      <w:r>
        <w:rPr>
          <w:rFonts w:hint="eastAsia" w:ascii="仿宋" w:hAnsi="仿宋" w:eastAsia="仿宋" w:cs="仿宋"/>
          <w:b/>
          <w:bCs/>
          <w:color w:val="000000"/>
          <w:sz w:val="24"/>
          <w:szCs w:val="24"/>
        </w:rPr>
        <w:t>）。</w:t>
      </w:r>
    </w:p>
    <w:p w14:paraId="163C4B0A">
      <w:pPr>
        <w:snapToGrid w:val="0"/>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2.“偏离说明”一栏选择“正偏离”、“无偏离”、“负偏离”进行填写。未填写的内容视为完全响应本磋商文件要求。正偏离、无偏离的确认和负偏离是否响应磋商文件，由磋商小组认定。</w:t>
      </w:r>
    </w:p>
    <w:p w14:paraId="6A86D04C">
      <w:pPr>
        <w:pStyle w:val="13"/>
        <w:rPr>
          <w:rFonts w:ascii="仿宋" w:hAnsi="仿宋" w:eastAsia="仿宋" w:cs="仿宋"/>
        </w:rPr>
      </w:pPr>
    </w:p>
    <w:p w14:paraId="1C75ED10">
      <w:pPr>
        <w:ind w:left="480"/>
        <w:rPr>
          <w:rFonts w:ascii="仿宋" w:hAnsi="仿宋" w:eastAsia="仿宋" w:cs="仿宋"/>
          <w:b/>
          <w:i/>
          <w:color w:val="FF0000"/>
          <w:sz w:val="24"/>
          <w:szCs w:val="21"/>
          <w:u w:val="single"/>
        </w:rPr>
      </w:pPr>
    </w:p>
    <w:p w14:paraId="5F180CBE">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附件10</w:t>
      </w:r>
    </w:p>
    <w:p w14:paraId="1F3D63AB">
      <w:pPr>
        <w:rPr>
          <w:rFonts w:ascii="仿宋" w:hAnsi="仿宋" w:eastAsia="仿宋" w:cs="仿宋"/>
          <w:b/>
          <w:sz w:val="28"/>
          <w:szCs w:val="28"/>
        </w:rPr>
      </w:pPr>
      <w:r>
        <w:rPr>
          <w:rFonts w:hint="eastAsia" w:ascii="仿宋" w:hAnsi="仿宋" w:eastAsia="仿宋" w:cs="仿宋"/>
          <w:b/>
          <w:sz w:val="28"/>
          <w:szCs w:val="28"/>
        </w:rPr>
        <w:t xml:space="preserve"> </w:t>
      </w:r>
    </w:p>
    <w:p w14:paraId="40878A9C">
      <w:pPr>
        <w:ind w:firstLine="562" w:firstLineChars="200"/>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7A27974E">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7C734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E2583BE">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4E87AA8">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D53E1D9">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ACD6BB4">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1601C13D">
            <w:pPr>
              <w:spacing w:line="340" w:lineRule="exact"/>
              <w:jc w:val="center"/>
              <w:rPr>
                <w:rFonts w:ascii="仿宋" w:hAnsi="仿宋" w:eastAsia="仿宋" w:cs="仿宋"/>
                <w:sz w:val="24"/>
              </w:rPr>
            </w:pPr>
          </w:p>
          <w:p w14:paraId="6AB83C0E">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0CA94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7ED2118B">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06CAD0E">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E5E8AE1">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AF6882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00203ADF">
            <w:pPr>
              <w:spacing w:line="340" w:lineRule="exact"/>
              <w:jc w:val="left"/>
              <w:rPr>
                <w:rFonts w:ascii="仿宋" w:hAnsi="仿宋" w:eastAsia="仿宋" w:cs="仿宋"/>
                <w:sz w:val="24"/>
              </w:rPr>
            </w:pPr>
          </w:p>
        </w:tc>
      </w:tr>
      <w:tr w14:paraId="49CFA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F6E5B65">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52CE4B6">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DB794C9">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1076EAF">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E4BEFBE">
            <w:pPr>
              <w:spacing w:line="340" w:lineRule="exact"/>
              <w:jc w:val="left"/>
              <w:rPr>
                <w:rFonts w:ascii="仿宋" w:hAnsi="仿宋" w:eastAsia="仿宋" w:cs="仿宋"/>
                <w:sz w:val="24"/>
              </w:rPr>
            </w:pPr>
          </w:p>
        </w:tc>
      </w:tr>
      <w:tr w14:paraId="049D95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C2E36B4">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2A8BE3E2">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CF729DE">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EBFF34B">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1D2CB122">
            <w:pPr>
              <w:spacing w:line="340" w:lineRule="exact"/>
              <w:jc w:val="left"/>
              <w:rPr>
                <w:rFonts w:ascii="仿宋" w:hAnsi="仿宋" w:eastAsia="仿宋" w:cs="仿宋"/>
                <w:sz w:val="24"/>
              </w:rPr>
            </w:pPr>
          </w:p>
        </w:tc>
      </w:tr>
      <w:tr w14:paraId="34E12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0578FE31">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35930C2A">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915EE6E">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0B3FA7B">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52E23A43">
            <w:pPr>
              <w:spacing w:line="340" w:lineRule="exact"/>
              <w:jc w:val="left"/>
              <w:rPr>
                <w:rFonts w:ascii="仿宋" w:hAnsi="仿宋" w:eastAsia="仿宋" w:cs="仿宋"/>
                <w:sz w:val="24"/>
              </w:rPr>
            </w:pPr>
          </w:p>
        </w:tc>
      </w:tr>
      <w:tr w14:paraId="1B6E6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7569246D">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5AA0F008">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37F43269">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E2034B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04533832">
            <w:pPr>
              <w:spacing w:line="340" w:lineRule="exact"/>
              <w:jc w:val="left"/>
              <w:rPr>
                <w:rFonts w:ascii="仿宋" w:hAnsi="仿宋" w:eastAsia="仿宋" w:cs="仿宋"/>
                <w:sz w:val="24"/>
              </w:rPr>
            </w:pPr>
          </w:p>
        </w:tc>
      </w:tr>
    </w:tbl>
    <w:p w14:paraId="2CB6DEFD">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1BEDD4C7">
      <w:pPr>
        <w:spacing w:line="400" w:lineRule="exact"/>
        <w:rPr>
          <w:rFonts w:ascii="仿宋" w:hAnsi="仿宋" w:eastAsia="仿宋" w:cs="仿宋"/>
          <w:sz w:val="24"/>
          <w:szCs w:val="24"/>
        </w:rPr>
      </w:pPr>
    </w:p>
    <w:p w14:paraId="3F11CF9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DC12AAA">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7D45E34E">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2.“偏离说明”一栏选择“正偏离”、“无偏离”、“负偏离”进行填写。未填写的内容视为完全响应本磋商文件要求。正偏离、无偏离的确认和负偏离是否响应磋商文件，由磋商小组认定。</w:t>
      </w:r>
    </w:p>
    <w:p w14:paraId="7F501E99">
      <w:pPr>
        <w:snapToGrid w:val="0"/>
        <w:spacing w:line="300" w:lineRule="auto"/>
        <w:ind w:firstLine="480" w:firstLineChars="200"/>
        <w:contextualSpacing/>
        <w:rPr>
          <w:rFonts w:ascii="仿宋" w:hAnsi="仿宋" w:eastAsia="仿宋" w:cs="仿宋"/>
          <w:sz w:val="24"/>
        </w:rPr>
      </w:pPr>
    </w:p>
    <w:p w14:paraId="2F307835">
      <w:pPr>
        <w:ind w:left="480"/>
        <w:rPr>
          <w:rFonts w:ascii="仿宋" w:hAnsi="仿宋" w:eastAsia="仿宋" w:cs="仿宋"/>
          <w:b/>
          <w:i/>
          <w:color w:val="FF0000"/>
          <w:sz w:val="24"/>
          <w:szCs w:val="21"/>
          <w:u w:val="single"/>
        </w:rPr>
      </w:pPr>
    </w:p>
    <w:p w14:paraId="7D9F2DBD">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附件11</w:t>
      </w:r>
    </w:p>
    <w:p w14:paraId="6FF9DA8F">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6C7A539B">
      <w:pPr>
        <w:pStyle w:val="13"/>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24B1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5B16B98E">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vAlign w:val="center"/>
          </w:tcPr>
          <w:p w14:paraId="6255C480">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vAlign w:val="center"/>
          </w:tcPr>
          <w:p w14:paraId="1AABF6BD">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vAlign w:val="center"/>
          </w:tcPr>
          <w:p w14:paraId="79A48DF2">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2EFA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8E69CB8">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tcPr>
          <w:p w14:paraId="2452BA37">
            <w:pPr>
              <w:spacing w:line="400" w:lineRule="exact"/>
              <w:jc w:val="center"/>
              <w:rPr>
                <w:rFonts w:ascii="仿宋" w:hAnsi="仿宋" w:eastAsia="仿宋" w:cs="仿宋"/>
                <w:sz w:val="24"/>
                <w:szCs w:val="24"/>
              </w:rPr>
            </w:pPr>
          </w:p>
        </w:tc>
        <w:tc>
          <w:tcPr>
            <w:tcW w:w="3317" w:type="dxa"/>
          </w:tcPr>
          <w:p w14:paraId="03FC613E">
            <w:pPr>
              <w:spacing w:line="400" w:lineRule="exact"/>
              <w:jc w:val="center"/>
              <w:rPr>
                <w:rFonts w:ascii="仿宋" w:hAnsi="仿宋" w:eastAsia="仿宋" w:cs="仿宋"/>
                <w:sz w:val="24"/>
                <w:szCs w:val="24"/>
              </w:rPr>
            </w:pPr>
          </w:p>
        </w:tc>
        <w:tc>
          <w:tcPr>
            <w:tcW w:w="1526" w:type="dxa"/>
          </w:tcPr>
          <w:p w14:paraId="144DE184">
            <w:pPr>
              <w:spacing w:line="400" w:lineRule="exact"/>
              <w:jc w:val="center"/>
              <w:rPr>
                <w:rFonts w:ascii="仿宋" w:hAnsi="仿宋" w:eastAsia="仿宋" w:cs="仿宋"/>
                <w:sz w:val="24"/>
                <w:szCs w:val="24"/>
              </w:rPr>
            </w:pPr>
          </w:p>
        </w:tc>
      </w:tr>
      <w:tr w14:paraId="1B00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3EB3B2E">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tcPr>
          <w:p w14:paraId="7F351AC2">
            <w:pPr>
              <w:spacing w:line="400" w:lineRule="exact"/>
              <w:jc w:val="center"/>
              <w:rPr>
                <w:rFonts w:ascii="仿宋" w:hAnsi="仿宋" w:eastAsia="仿宋" w:cs="仿宋"/>
                <w:sz w:val="24"/>
                <w:szCs w:val="24"/>
              </w:rPr>
            </w:pPr>
          </w:p>
        </w:tc>
        <w:tc>
          <w:tcPr>
            <w:tcW w:w="3317" w:type="dxa"/>
          </w:tcPr>
          <w:p w14:paraId="3CF28D3B">
            <w:pPr>
              <w:spacing w:line="400" w:lineRule="exact"/>
              <w:jc w:val="center"/>
              <w:rPr>
                <w:rFonts w:ascii="仿宋" w:hAnsi="仿宋" w:eastAsia="仿宋" w:cs="仿宋"/>
                <w:sz w:val="24"/>
                <w:szCs w:val="24"/>
              </w:rPr>
            </w:pPr>
          </w:p>
        </w:tc>
        <w:tc>
          <w:tcPr>
            <w:tcW w:w="1526" w:type="dxa"/>
          </w:tcPr>
          <w:p w14:paraId="64D60A09">
            <w:pPr>
              <w:spacing w:line="400" w:lineRule="exact"/>
              <w:jc w:val="center"/>
              <w:rPr>
                <w:rFonts w:ascii="仿宋" w:hAnsi="仿宋" w:eastAsia="仿宋" w:cs="仿宋"/>
                <w:sz w:val="24"/>
                <w:szCs w:val="24"/>
              </w:rPr>
            </w:pPr>
          </w:p>
        </w:tc>
      </w:tr>
      <w:tr w14:paraId="1EAF3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0422EE0">
            <w:pPr>
              <w:spacing w:line="340" w:lineRule="exact"/>
              <w:jc w:val="center"/>
              <w:rPr>
                <w:rFonts w:ascii="仿宋" w:hAnsi="仿宋" w:eastAsia="仿宋" w:cs="仿宋"/>
                <w:sz w:val="24"/>
                <w:szCs w:val="24"/>
              </w:rPr>
            </w:pPr>
          </w:p>
          <w:p w14:paraId="2D6AB61F">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vAlign w:val="center"/>
          </w:tcPr>
          <w:p w14:paraId="03D2FBF8">
            <w:pPr>
              <w:spacing w:line="340" w:lineRule="exact"/>
              <w:jc w:val="left"/>
              <w:rPr>
                <w:rFonts w:ascii="仿宋" w:hAnsi="仿宋" w:eastAsia="仿宋" w:cs="仿宋"/>
                <w:sz w:val="24"/>
                <w:szCs w:val="24"/>
              </w:rPr>
            </w:pPr>
          </w:p>
          <w:p w14:paraId="0E431180">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tcPr>
          <w:p w14:paraId="61F44D0C">
            <w:pPr>
              <w:spacing w:line="400" w:lineRule="exact"/>
              <w:jc w:val="center"/>
              <w:rPr>
                <w:rFonts w:ascii="仿宋" w:hAnsi="仿宋" w:eastAsia="仿宋" w:cs="仿宋"/>
                <w:sz w:val="24"/>
                <w:szCs w:val="24"/>
              </w:rPr>
            </w:pPr>
          </w:p>
        </w:tc>
        <w:tc>
          <w:tcPr>
            <w:tcW w:w="1526" w:type="dxa"/>
          </w:tcPr>
          <w:p w14:paraId="06D0B1A4">
            <w:pPr>
              <w:spacing w:line="400" w:lineRule="exact"/>
              <w:jc w:val="center"/>
              <w:rPr>
                <w:rFonts w:ascii="仿宋" w:hAnsi="仿宋" w:eastAsia="仿宋" w:cs="仿宋"/>
                <w:sz w:val="24"/>
                <w:szCs w:val="24"/>
              </w:rPr>
            </w:pPr>
          </w:p>
        </w:tc>
      </w:tr>
    </w:tbl>
    <w:p w14:paraId="0D6E0797">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767B9854">
      <w:pPr>
        <w:spacing w:line="400" w:lineRule="exact"/>
        <w:rPr>
          <w:rFonts w:ascii="仿宋" w:hAnsi="仿宋" w:eastAsia="仿宋" w:cs="仿宋"/>
          <w:sz w:val="24"/>
          <w:szCs w:val="24"/>
        </w:rPr>
      </w:pPr>
    </w:p>
    <w:p w14:paraId="3489F7B8">
      <w:pPr>
        <w:spacing w:line="400" w:lineRule="exact"/>
        <w:rPr>
          <w:rFonts w:ascii="仿宋" w:hAnsi="仿宋" w:eastAsia="仿宋" w:cs="仿宋"/>
          <w:sz w:val="24"/>
          <w:szCs w:val="24"/>
        </w:rPr>
      </w:pPr>
      <w:r>
        <w:rPr>
          <w:rFonts w:hint="eastAsia" w:ascii="仿宋" w:hAnsi="仿宋" w:eastAsia="仿宋" w:cs="仿宋"/>
          <w:sz w:val="24"/>
          <w:szCs w:val="24"/>
        </w:rPr>
        <w:t>备注：</w:t>
      </w:r>
    </w:p>
    <w:p w14:paraId="2262E1CE">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44AF3F92">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r>
        <w:rPr>
          <w:rFonts w:hint="eastAsia" w:ascii="仿宋" w:hAnsi="仿宋" w:eastAsia="仿宋" w:cs="仿宋"/>
          <w:b/>
          <w:bCs/>
          <w:color w:val="000000"/>
          <w:sz w:val="24"/>
          <w:szCs w:val="24"/>
        </w:rPr>
        <w:t>（</w:t>
      </w:r>
      <w:r>
        <w:rPr>
          <w:rFonts w:hint="eastAsia" w:ascii="仿宋" w:hAnsi="仿宋" w:eastAsia="仿宋" w:cs="仿宋"/>
          <w:szCs w:val="20"/>
        </w:rPr>
        <w:t>▲</w:t>
      </w:r>
      <w:r>
        <w:rPr>
          <w:rFonts w:hint="eastAsia" w:ascii="仿宋" w:hAnsi="仿宋" w:eastAsia="仿宋" w:cs="仿宋"/>
          <w:color w:val="000000"/>
          <w:sz w:val="24"/>
        </w:rPr>
        <w:t>项或采购文件另有要求的除外</w:t>
      </w:r>
      <w:r>
        <w:rPr>
          <w:rFonts w:hint="eastAsia" w:ascii="仿宋" w:hAnsi="仿宋" w:eastAsia="仿宋" w:cs="仿宋"/>
          <w:b/>
          <w:bCs/>
          <w:color w:val="000000"/>
          <w:sz w:val="24"/>
          <w:szCs w:val="24"/>
        </w:rPr>
        <w:t>）</w:t>
      </w:r>
    </w:p>
    <w:p w14:paraId="1109F654">
      <w:pPr>
        <w:spacing w:line="460" w:lineRule="exact"/>
        <w:rPr>
          <w:rFonts w:ascii="仿宋" w:hAnsi="仿宋" w:eastAsia="仿宋" w:cs="仿宋"/>
          <w:bCs/>
          <w:sz w:val="24"/>
          <w:szCs w:val="21"/>
        </w:rPr>
      </w:pPr>
    </w:p>
    <w:p w14:paraId="312C20A6">
      <w:pPr>
        <w:spacing w:line="460" w:lineRule="exact"/>
        <w:rPr>
          <w:rFonts w:ascii="仿宋" w:hAnsi="仿宋" w:eastAsia="仿宋" w:cs="仿宋"/>
          <w:bCs/>
          <w:sz w:val="24"/>
          <w:szCs w:val="21"/>
        </w:rPr>
      </w:pPr>
    </w:p>
    <w:p w14:paraId="745C5348">
      <w:pPr>
        <w:spacing w:line="460" w:lineRule="exact"/>
        <w:rPr>
          <w:rFonts w:ascii="仿宋" w:hAnsi="仿宋" w:eastAsia="仿宋" w:cs="仿宋"/>
          <w:bCs/>
          <w:sz w:val="24"/>
          <w:szCs w:val="21"/>
        </w:rPr>
      </w:pPr>
    </w:p>
    <w:p w14:paraId="287F9112">
      <w:pPr>
        <w:pStyle w:val="13"/>
        <w:ind w:firstLine="480"/>
        <w:rPr>
          <w:rFonts w:ascii="仿宋" w:hAnsi="仿宋" w:eastAsia="仿宋" w:cs="仿宋"/>
          <w:bCs/>
          <w:sz w:val="24"/>
          <w:szCs w:val="21"/>
        </w:rPr>
      </w:pPr>
    </w:p>
    <w:p w14:paraId="4FFFA3EF">
      <w:pPr>
        <w:rPr>
          <w:rFonts w:ascii="仿宋" w:hAnsi="仿宋" w:eastAsia="仿宋" w:cs="仿宋"/>
          <w:bCs/>
          <w:sz w:val="24"/>
          <w:szCs w:val="21"/>
        </w:rPr>
      </w:pPr>
    </w:p>
    <w:p w14:paraId="7FC04200">
      <w:pPr>
        <w:pStyle w:val="13"/>
        <w:ind w:firstLine="480"/>
        <w:rPr>
          <w:rFonts w:ascii="仿宋" w:hAnsi="仿宋" w:eastAsia="仿宋" w:cs="仿宋"/>
          <w:bCs/>
          <w:sz w:val="24"/>
          <w:szCs w:val="21"/>
        </w:rPr>
      </w:pPr>
    </w:p>
    <w:p w14:paraId="61EFA41E">
      <w:pPr>
        <w:rPr>
          <w:rFonts w:ascii="仿宋" w:hAnsi="仿宋" w:eastAsia="仿宋" w:cs="仿宋"/>
          <w:bCs/>
          <w:sz w:val="24"/>
          <w:szCs w:val="21"/>
        </w:rPr>
      </w:pPr>
    </w:p>
    <w:p w14:paraId="76FE52E6">
      <w:pPr>
        <w:pStyle w:val="13"/>
        <w:ind w:firstLine="480"/>
        <w:rPr>
          <w:rFonts w:ascii="仿宋" w:hAnsi="仿宋" w:eastAsia="仿宋" w:cs="仿宋"/>
          <w:bCs/>
          <w:sz w:val="24"/>
          <w:szCs w:val="21"/>
        </w:rPr>
      </w:pPr>
    </w:p>
    <w:bookmarkEnd w:id="202"/>
    <w:bookmarkEnd w:id="203"/>
    <w:bookmarkEnd w:id="222"/>
    <w:p w14:paraId="75569B89">
      <w:pPr>
        <w:jc w:val="left"/>
        <w:rPr>
          <w:rFonts w:ascii="仿宋" w:hAnsi="仿宋" w:eastAsia="仿宋" w:cs="仿宋"/>
          <w:b/>
          <w:sz w:val="24"/>
          <w:szCs w:val="24"/>
        </w:rPr>
      </w:pPr>
    </w:p>
    <w:p w14:paraId="1B36B06B">
      <w:pPr>
        <w:pStyle w:val="13"/>
        <w:ind w:firstLine="482"/>
        <w:rPr>
          <w:rFonts w:ascii="仿宋" w:hAnsi="仿宋" w:eastAsia="仿宋" w:cs="仿宋"/>
          <w:b/>
          <w:sz w:val="24"/>
          <w:szCs w:val="24"/>
        </w:rPr>
      </w:pPr>
    </w:p>
    <w:p w14:paraId="0E0581D6"/>
    <w:p w14:paraId="51110D68">
      <w:pPr>
        <w:pStyle w:val="13"/>
      </w:pPr>
    </w:p>
    <w:p w14:paraId="133D3FCF">
      <w:pPr>
        <w:jc w:val="left"/>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附件12 </w:t>
      </w:r>
    </w:p>
    <w:p w14:paraId="125E0D3D">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关于符合本国产品标准的声明函</w:t>
      </w:r>
    </w:p>
    <w:p w14:paraId="479A3741">
      <w:pPr>
        <w:pStyle w:val="11"/>
        <w:spacing w:before="0" w:beforeAutospacing="0" w:after="0" w:afterAutospacing="0" w:line="0" w:lineRule="atLeast"/>
        <w:ind w:firstLine="420"/>
        <w:rPr>
          <w:rFonts w:ascii="方正魏碑_GBK" w:hAnsi="方正魏碑_GBK" w:eastAsia="方正魏碑_GBK" w:cs="方正魏碑_GBK"/>
          <w:color w:val="FF0000"/>
        </w:rPr>
      </w:pPr>
    </w:p>
    <w:p w14:paraId="7EAFD178">
      <w:pPr>
        <w:pStyle w:val="11"/>
        <w:spacing w:before="0" w:beforeAutospacing="0" w:after="0" w:afterAutospacing="0" w:line="0" w:lineRule="atLeast"/>
        <w:ind w:firstLine="420"/>
        <w:rPr>
          <w:rFonts w:ascii="仿宋" w:hAnsi="仿宋" w:eastAsia="仿宋" w:cs="仿宋"/>
          <w:color w:val="000000"/>
        </w:rPr>
      </w:pPr>
      <w:r>
        <w:rPr>
          <w:rFonts w:hint="eastAsia" w:ascii="仿宋" w:hAnsi="仿宋" w:eastAsia="仿宋" w:cs="仿宋"/>
          <w:color w:val="000000"/>
        </w:rPr>
        <w:t>本公司（单位）郑重声明，根据《国务院办公厅关于在政府采购中实施本国产品标准及相关政策的通知》（国办发〔2025〕34号）的规定，本公司（单位）提供的以下产品属于本国产品。具体情况如下：</w:t>
      </w:r>
    </w:p>
    <w:p w14:paraId="21E45887">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59264" behindDoc="0" locked="0" layoutInCell="1" allowOverlap="1">
                <wp:simplePos x="0" y="0"/>
                <wp:positionH relativeFrom="column">
                  <wp:posOffset>3097530</wp:posOffset>
                </wp:positionH>
                <wp:positionV relativeFrom="paragraph">
                  <wp:posOffset>297180</wp:posOffset>
                </wp:positionV>
                <wp:extent cx="816610" cy="76200"/>
                <wp:effectExtent l="635" t="4445" r="1905" b="14605"/>
                <wp:wrapNone/>
                <wp:docPr id="3" name="直接箭头连接符 3"/>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43.9pt;margin-top:23.4pt;height:6pt;width:64.3pt;z-index:251659264;mso-width-relative:page;mso-height-relative:page;" filled="f" stroked="t" coordsize="21600,21600" o:gfxdata="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yw/eG1wAAAAkBAAAPAAAAAAAAAAEAIAAAACIA&#10;AABkcnMvZG93bnJldi54bWxQSwECFAAUAAAACACHTuJAOFvoMwoCAAAHBAAADgAAAAAAAAABACAA&#10;AAAmAQAAZHJzL2Uyb0RvYy54bWxQSwUGAAAAAAYABgBZAQAAogU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7456" behindDoc="0" locked="0" layoutInCell="1" allowOverlap="1">
                <wp:simplePos x="0" y="0"/>
                <wp:positionH relativeFrom="column">
                  <wp:posOffset>1680845</wp:posOffset>
                </wp:positionH>
                <wp:positionV relativeFrom="paragraph">
                  <wp:posOffset>502920</wp:posOffset>
                </wp:positionV>
                <wp:extent cx="816610" cy="147320"/>
                <wp:effectExtent l="635" t="4445" r="1905" b="19685"/>
                <wp:wrapNone/>
                <wp:docPr id="10" name="直接箭头连接符 10"/>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32.35pt;margin-top:39.6pt;height:11.6pt;width:64.3pt;z-index:251667456;mso-width-relative:page;mso-height-relative:page;" filled="f" stroked="t" coordsize="21600,21600" o:gfxdata="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ArqWdgAAAAKAQAADwAAAAAAAAABACAA&#10;AAAiAAAAZHJzL2Rvd25yZXYueG1sUEsBAhQAFAAAAAgAh07iQHinz7wNAgAACgQAAA4AAAAAAAAA&#10;AQAgAAAAJwEAAGRycy9lMm9Eb2MueG1sUEsFBgAAAAAGAAYAWQEAAKY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460375</wp:posOffset>
                </wp:positionH>
                <wp:positionV relativeFrom="paragraph">
                  <wp:posOffset>458470</wp:posOffset>
                </wp:positionV>
                <wp:extent cx="876300" cy="120015"/>
                <wp:effectExtent l="635" t="4445" r="18415" b="8890"/>
                <wp:wrapNone/>
                <wp:docPr id="7" name="直接箭头连接符 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6.25pt;margin-top:36.1pt;height:9.45pt;width:69pt;z-index:251661312;mso-width-relative:page;mso-height-relative:page;" filled="f" stroked="t" coordsize="21600,21600" o:gfxdata="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xKv5tYAAAAIAQAADwAAAAAAAAABACAAAAAi&#10;AAAAZHJzL2Rvd25yZXYueG1sUEsBAhQAFAAAAAgAh07iQEgvQ1AMAgAACAQAAA4AAAAAAAAAAQAg&#10;AAAAJQ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4209415</wp:posOffset>
                </wp:positionH>
                <wp:positionV relativeFrom="paragraph">
                  <wp:posOffset>288290</wp:posOffset>
                </wp:positionV>
                <wp:extent cx="816610" cy="103505"/>
                <wp:effectExtent l="635" t="4445" r="1905" b="6350"/>
                <wp:wrapNone/>
                <wp:docPr id="4" name="直接箭头连接符 4"/>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31.45pt;margin-top:22.7pt;height:8.15pt;width:64.3pt;z-index:251660288;mso-width-relative:page;mso-height-relative:page;" filled="f" stroked="t" coordsize="21600,21600" o:gfxdata="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wAj4fXAAAACQEAAA8AAAAAAAAAAQAgAAAA&#10;IgAAAGRycy9kb3ducmV2LnhtbFBLAQIUABQAAAAIAIdO4kCUxf7WDAIAAAgE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6432" behindDoc="0" locked="0" layoutInCell="1" allowOverlap="1">
                <wp:simplePos x="0" y="0"/>
                <wp:positionH relativeFrom="column">
                  <wp:posOffset>2244090</wp:posOffset>
                </wp:positionH>
                <wp:positionV relativeFrom="paragraph">
                  <wp:posOffset>262255</wp:posOffset>
                </wp:positionV>
                <wp:extent cx="364490" cy="97790"/>
                <wp:effectExtent l="1270" t="4445" r="15240" b="12065"/>
                <wp:wrapNone/>
                <wp:docPr id="12" name="直接箭头连接符 12"/>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76.7pt;margin-top:20.65pt;height:7.7pt;width:28.7pt;z-index:251666432;mso-width-relative:page;mso-height-relative:page;" filled="f" stroked="t" coordsize="21600,21600" o:gfxdata="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EVIpNdcAAAAJAQAADwAAAAAAAAABACAAAAAi&#10;AAAAZHJzL2Rvd25yZXYueG1sUEsBAhQAFAAAAAgAh07iQIJb46oLAgAACQQAAA4AAAAAAAAAAQAg&#10;AAAAJg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4" name="直接箭头连接符 14"/>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61.85pt;margin-top:6.85pt;height:7.25pt;width:45.45pt;z-index:251665408;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YoXFrWAAAACQEAAA8AAAAAAAAAAQAgAAAAIgAA&#10;AGRycy9kb3ducmV2LnhtbFBLAQIUABQAAAAIAIdO4kCTHyDFCgIAAAkEAAAOAAAAAAAAAAEAIAAA&#10;ACUBAABkcnMvZTJvRG9jLnhtbFBLBQYAAAAABgAGAFkBAAChBQAAAAA=&#10;">
                <v:fill on="f" focussize="0,0"/>
                <v:stroke color="#000000" joinstyle="round"/>
                <v:imagedata o:title=""/>
                <o:lock v:ext="edit" aspectratio="f"/>
              </v:shape>
            </w:pict>
          </mc:Fallback>
        </mc:AlternateContent>
      </w:r>
      <w:r>
        <w:rPr>
          <w:rFonts w:hint="eastAsia" w:ascii="仿宋" w:hAnsi="仿宋" w:eastAsia="仿宋" w:cs="仿宋"/>
          <w:color w:val="000000"/>
          <w:shd w:val="clear" w:color="auto" w:fill="FFFFFF"/>
        </w:rPr>
        <w:t>1.</w:t>
      </w:r>
      <w:r>
        <w:rPr>
          <w:rStyle w:val="17"/>
          <w:rFonts w:hint="eastAsia" w:ascii="仿宋" w:hAnsi="仿宋" w:eastAsia="仿宋" w:cs="仿宋"/>
          <w:i w:val="0"/>
          <w:color w:val="000000"/>
          <w:u w:val="single"/>
          <w:shd w:val="clear" w:color="auto" w:fill="FFFFFF"/>
        </w:rPr>
        <w:t>（产品名称1）</w:t>
      </w:r>
      <w:r>
        <w:rPr>
          <w:rStyle w:val="17"/>
          <w:rFonts w:hint="eastAsia" w:ascii="仿宋" w:hAnsi="仿宋" w:eastAsia="仿宋" w:cs="仿宋"/>
          <w:i w:val="0"/>
          <w:color w:val="000000"/>
          <w:shd w:val="clear" w:color="auto" w:fill="FFFFFF"/>
          <w:vertAlign w:val="superscript"/>
        </w:rPr>
        <w:t>1</w:t>
      </w:r>
      <w:r>
        <w:rPr>
          <w:rFonts w:hint="eastAsia" w:ascii="仿宋" w:hAnsi="仿宋" w:eastAsia="仿宋" w:cs="仿宋"/>
          <w:color w:val="000000"/>
          <w:shd w:val="clear" w:color="auto" w:fill="FFFFFF"/>
        </w:rPr>
        <w:t>，生产厂为</w:t>
      </w:r>
      <w:r>
        <w:rPr>
          <w:rStyle w:val="17"/>
          <w:rFonts w:hint="eastAsia" w:ascii="仿宋" w:hAnsi="仿宋" w:eastAsia="仿宋" w:cs="仿宋"/>
          <w:i w:val="0"/>
          <w:color w:val="000000"/>
          <w:u w:val="single"/>
          <w:shd w:val="clear" w:color="auto" w:fill="FFFFFF"/>
        </w:rPr>
        <w:t>（厂名）</w:t>
      </w:r>
      <w:r>
        <w:rPr>
          <w:rStyle w:val="17"/>
          <w:rFonts w:hint="eastAsia" w:ascii="仿宋" w:hAnsi="仿宋" w:eastAsia="仿宋" w:cs="仿宋"/>
          <w:i w:val="0"/>
          <w:color w:val="000000"/>
          <w:shd w:val="clear" w:color="auto" w:fill="FFFFFF"/>
          <w:vertAlign w:val="superscript"/>
        </w:rPr>
        <w:t>2</w:t>
      </w:r>
      <w:r>
        <w:rPr>
          <w:rFonts w:hint="eastAsia" w:ascii="仿宋" w:hAnsi="仿宋" w:eastAsia="仿宋" w:cs="仿宋"/>
          <w:color w:val="000000"/>
          <w:shd w:val="clear" w:color="auto" w:fill="FFFFFF"/>
        </w:rPr>
        <w:t>，厂址为</w:t>
      </w:r>
      <w:r>
        <w:rPr>
          <w:rStyle w:val="17"/>
          <w:rFonts w:hint="eastAsia" w:ascii="仿宋" w:hAnsi="仿宋" w:eastAsia="仿宋" w:cs="仿宋"/>
          <w:i w:val="0"/>
          <w:color w:val="000000"/>
          <w:u w:val="single"/>
          <w:shd w:val="clear" w:color="auto" w:fill="FFFFFF"/>
        </w:rPr>
        <w:t>（生产厂址）</w:t>
      </w:r>
      <w:r>
        <w:rPr>
          <w:rFonts w:hint="eastAsia" w:ascii="仿宋" w:hAnsi="仿宋" w:eastAsia="仿宋" w:cs="仿宋"/>
          <w:color w:val="000000"/>
          <w:shd w:val="clear" w:color="auto" w:fill="FFFFFF"/>
        </w:rPr>
        <w:t>。</w:t>
      </w:r>
      <w:r>
        <w:rPr>
          <w:rFonts w:hint="eastAsia" w:ascii="仿宋" w:hAnsi="仿宋" w:eastAsia="仿宋" w:cs="仿宋"/>
          <w:color w:val="000000"/>
          <w:u w:val="single"/>
          <w:shd w:val="clear" w:color="auto" w:fill="FFFFFF"/>
        </w:rPr>
        <w:t xml:space="preserve"> </w:t>
      </w:r>
      <w:r>
        <w:rPr>
          <w:rStyle w:val="17"/>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的中国境内生产的组件成本占比≥</w:t>
      </w:r>
      <w:r>
        <w:rPr>
          <w:rStyle w:val="17"/>
          <w:rFonts w:hint="eastAsia" w:ascii="仿宋" w:hAnsi="仿宋" w:eastAsia="仿宋" w:cs="仿宋"/>
          <w:i w:val="0"/>
          <w:color w:val="000000"/>
          <w:u w:val="single"/>
          <w:shd w:val="clear" w:color="auto" w:fill="FFFFFF"/>
        </w:rPr>
        <w:t>（规定比例）</w:t>
      </w:r>
      <w:r>
        <w:rPr>
          <w:rStyle w:val="17"/>
          <w:rFonts w:hint="eastAsia" w:ascii="仿宋" w:hAnsi="仿宋" w:eastAsia="仿宋" w:cs="仿宋"/>
          <w:i w:val="0"/>
          <w:color w:val="000000"/>
          <w:shd w:val="clear" w:color="auto" w:fill="FFFFFF"/>
          <w:vertAlign w:val="superscript"/>
        </w:rPr>
        <w:t>3</w:t>
      </w:r>
      <w:r>
        <w:rPr>
          <w:rFonts w:hint="eastAsia" w:ascii="仿宋" w:hAnsi="仿宋" w:eastAsia="仿宋" w:cs="仿宋"/>
          <w:color w:val="000000"/>
          <w:shd w:val="clear" w:color="auto" w:fill="FFFFFF"/>
        </w:rPr>
        <w:t>。</w:t>
      </w:r>
      <w:r>
        <w:rPr>
          <w:rStyle w:val="17"/>
          <w:rFonts w:hint="eastAsia" w:ascii="仿宋" w:hAnsi="仿宋" w:eastAsia="仿宋" w:cs="仿宋"/>
          <w:i w:val="0"/>
          <w:color w:val="000000"/>
          <w:u w:val="single"/>
          <w:shd w:val="clear" w:color="auto" w:fill="FFFFFF"/>
        </w:rPr>
        <w:t>（产品名称1）</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（关键组件）</w:t>
      </w:r>
      <w:r>
        <w:rPr>
          <w:rStyle w:val="17"/>
          <w:rFonts w:hint="eastAsia" w:ascii="仿宋" w:hAnsi="仿宋" w:eastAsia="仿宋" w:cs="仿宋"/>
          <w:i w:val="0"/>
          <w:color w:val="000000"/>
          <w:shd w:val="clear" w:color="auto" w:fill="FFFFFF"/>
          <w:vertAlign w:val="superscript"/>
        </w:rPr>
        <w:t>4</w:t>
      </w:r>
      <w:r>
        <w:rPr>
          <w:rFonts w:hint="eastAsia" w:ascii="仿宋" w:hAnsi="仿宋" w:eastAsia="仿宋" w:cs="仿宋"/>
          <w:color w:val="000000"/>
          <w:shd w:val="clear" w:color="auto" w:fill="FFFFFF"/>
        </w:rPr>
        <w:t>在中国境内生产。</w:t>
      </w:r>
      <w:r>
        <w:rPr>
          <w:rStyle w:val="17"/>
          <w:rFonts w:hint="eastAsia" w:ascii="仿宋" w:hAnsi="仿宋" w:eastAsia="仿宋" w:cs="仿宋"/>
          <w:i w:val="0"/>
          <w:color w:val="000000"/>
          <w:u w:val="single"/>
          <w:shd w:val="clear" w:color="auto" w:fill="FFFFFF"/>
        </w:rPr>
        <w:t>（产品名称1）</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（关键工序）</w:t>
      </w:r>
      <w:r>
        <w:rPr>
          <w:rStyle w:val="17"/>
          <w:rFonts w:hint="eastAsia" w:ascii="仿宋" w:hAnsi="仿宋" w:eastAsia="仿宋" w:cs="仿宋"/>
          <w:i w:val="0"/>
          <w:color w:val="000000"/>
          <w:shd w:val="clear" w:color="auto" w:fill="FFFFFF"/>
          <w:vertAlign w:val="superscript"/>
        </w:rPr>
        <w:t>5</w:t>
      </w:r>
      <w:r>
        <w:rPr>
          <w:rFonts w:hint="eastAsia" w:ascii="仿宋" w:hAnsi="仿宋" w:eastAsia="仿宋" w:cs="仿宋"/>
          <w:color w:val="000000"/>
          <w:shd w:val="clear" w:color="auto" w:fill="FFFFFF"/>
        </w:rPr>
        <w:t>在中国境内完成。</w:t>
      </w:r>
    </w:p>
    <w:p w14:paraId="0EA45F16">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9504" behindDoc="0" locked="0" layoutInCell="1" allowOverlap="1">
                <wp:simplePos x="0" y="0"/>
                <wp:positionH relativeFrom="column">
                  <wp:posOffset>4153535</wp:posOffset>
                </wp:positionH>
                <wp:positionV relativeFrom="paragraph">
                  <wp:posOffset>311150</wp:posOffset>
                </wp:positionV>
                <wp:extent cx="462280" cy="147320"/>
                <wp:effectExtent l="1270" t="4445" r="12700" b="19685"/>
                <wp:wrapNone/>
                <wp:docPr id="1" name="直接箭头连接符 1"/>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27.05pt;margin-top:24.5pt;height:11.6pt;width:36.4pt;z-index:251669504;mso-width-relative:page;mso-height-relative:page;" filled="f" stroked="t" coordsize="21600,21600" o:gfxdata="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JQx2tcAAAAJAQAADwAAAAAAAAABACAA&#10;AAAiAAAAZHJzL2Rvd25yZXYueG1sUEsBAhQAFAAAAAgAh07iQP63IjkOAgAACAQAAA4AAAAAAAAA&#10;AQAgAAAAJgEAAGRycy9lMm9Eb2MueG1sUEsFBgAAAAAGAAYAWQEAAKY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2846070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24.1pt;margin-top:21.85pt;height:9.45pt;width:66.9pt;z-index:251663360;mso-width-relative:page;mso-height-relative:page;" filled="f" stroked="t" coordsize="21600,21600" o:gfxdata="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ILoWDXAAAACQEAAA8AAAAAAAAAAQAgAAAA&#10;IgAAAGRycy9kb3ducmV2LnhtbFBLAQIUABQAAAAIAIdO4kC6cN26DAIAAAoE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1863725</wp:posOffset>
                </wp:positionH>
                <wp:positionV relativeFrom="paragraph">
                  <wp:posOffset>255905</wp:posOffset>
                </wp:positionV>
                <wp:extent cx="843915" cy="125730"/>
                <wp:effectExtent l="635" t="4445" r="12700" b="22225"/>
                <wp:wrapNone/>
                <wp:docPr id="6" name="直接箭头连接符 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46.75pt;margin-top:20.15pt;height:9.9pt;width:66.45pt;z-index:251662336;mso-width-relative:page;mso-height-relative:page;" filled="f" stroked="t" coordsize="21600,21600" o:gfxdata="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YC5/vXAAAACQEAAA8AAAAAAAAAAQAg&#10;AAAAIgAAAGRycy9kb3ducmV2LnhtbFBLAQIUABQAAAAIAIdO4kA6iXZgDwIAAAgEAAAOAAAAAAAA&#10;AAEAIAAAACYBAABkcnMvZTJvRG9jLnhtbFBLBQYAAAAABgAGAFkBAACnBQ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924560</wp:posOffset>
                </wp:positionH>
                <wp:positionV relativeFrom="paragraph">
                  <wp:posOffset>467360</wp:posOffset>
                </wp:positionV>
                <wp:extent cx="908685" cy="140970"/>
                <wp:effectExtent l="635" t="4445" r="5080" b="6985"/>
                <wp:wrapNone/>
                <wp:docPr id="11" name="直接箭头连接符 11"/>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72.8pt;margin-top:36.8pt;height:11.1pt;width:71.55pt;z-index:251664384;mso-width-relative:page;mso-height-relative:page;" filled="f" stroked="t" coordsize="21600,21600" o:gfxdata="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w7RC9cAAAAJAQAADwAAAAAAAAABACAA&#10;AAAiAAAAZHJzL2Rvd25yZXYueG1sUEsBAhQAFAAAAAgAh07iQKIiq7oOAgAACgQAAA4AAAAAAAAA&#10;AQAgAAAAJgEAAGRycy9lMm9Eb2MueG1sUEsFBgAAAAAGAAYAWQEAAKY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7052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5" name="直接箭头连接符 15"/>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pt;margin-top:40.3pt;height:8.85pt;width:33.45pt;z-index:25167052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qp4ydUAAAAGAQAADwAAAAAAAAABACAAAAAi&#10;AAAAZHJzL2Rvd25yZXYueG1sUEsBAhQAFAAAAAgAh07iQNe/mA0NAgAACgQAAA4AAAAAAAAAAQAg&#10;AAAAJA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9" name="直接箭头连接符 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52.45pt;margin-top:4.7pt;height:7.7pt;width:56.55pt;z-index:251668480;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zlm7XAAAACAEAAA8AAAAAAAAAAQAgAAAA&#10;IgAAAGRycy9kb3ducmV2LnhtbFBLAQIUABQAAAAIAIdO4kCm7QVbDAIAAAcE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000000"/>
          <w:shd w:val="clear" w:color="auto" w:fill="FFFFFF"/>
        </w:rPr>
        <w:t>2.</w:t>
      </w:r>
      <w:r>
        <w:rPr>
          <w:rStyle w:val="17"/>
          <w:rFonts w:hint="eastAsia" w:ascii="仿宋" w:hAnsi="仿宋" w:eastAsia="仿宋" w:cs="仿宋"/>
          <w:i w:val="0"/>
          <w:color w:val="000000"/>
          <w:u w:val="single"/>
          <w:shd w:val="clear" w:color="auto" w:fill="FFFFFF"/>
        </w:rPr>
        <w:t>（产品名称2）</w:t>
      </w:r>
      <w:r>
        <w:rPr>
          <w:rFonts w:hint="eastAsia" w:ascii="仿宋" w:hAnsi="仿宋" w:eastAsia="仿宋" w:cs="仿宋"/>
          <w:color w:val="000000"/>
          <w:shd w:val="clear" w:color="auto" w:fill="FFFFFF"/>
        </w:rPr>
        <w:t>，生产厂为</w:t>
      </w:r>
      <w:r>
        <w:rPr>
          <w:rStyle w:val="17"/>
          <w:rFonts w:hint="eastAsia" w:ascii="仿宋" w:hAnsi="仿宋" w:eastAsia="仿宋" w:cs="仿宋"/>
          <w:i w:val="0"/>
          <w:color w:val="000000"/>
          <w:u w:val="single"/>
          <w:shd w:val="clear" w:color="auto" w:fill="FFFFFF"/>
        </w:rPr>
        <w:t>（厂名）</w:t>
      </w:r>
      <w:r>
        <w:rPr>
          <w:rFonts w:hint="eastAsia" w:ascii="仿宋" w:hAnsi="仿宋" w:eastAsia="仿宋" w:cs="仿宋"/>
          <w:color w:val="000000"/>
          <w:shd w:val="clear" w:color="auto" w:fill="FFFFFF"/>
        </w:rPr>
        <w:t>，厂址为</w:t>
      </w:r>
      <w:r>
        <w:rPr>
          <w:rStyle w:val="17"/>
          <w:rFonts w:hint="eastAsia" w:ascii="仿宋" w:hAnsi="仿宋" w:eastAsia="仿宋" w:cs="仿宋"/>
          <w:i w:val="0"/>
          <w:color w:val="000000"/>
          <w:u w:val="single"/>
          <w:shd w:val="clear" w:color="auto" w:fill="FFFFFF"/>
        </w:rPr>
        <w:t>（生产厂址）</w:t>
      </w:r>
      <w:r>
        <w:rPr>
          <w:rFonts w:hint="eastAsia" w:ascii="仿宋" w:hAnsi="仿宋" w:eastAsia="仿宋" w:cs="仿宋"/>
          <w:color w:val="000000"/>
          <w:shd w:val="clear" w:color="auto" w:fill="FFFFFF"/>
        </w:rPr>
        <w:t>。</w:t>
      </w:r>
      <w:r>
        <w:rPr>
          <w:rStyle w:val="17"/>
          <w:rFonts w:hint="eastAsia" w:ascii="仿宋" w:hAnsi="仿宋" w:eastAsia="仿宋" w:cs="仿宋"/>
          <w:i w:val="0"/>
          <w:color w:val="000000"/>
          <w:u w:val="single"/>
          <w:shd w:val="clear" w:color="auto" w:fill="FFFFFF"/>
        </w:rPr>
        <w:t>（产品名称2）</w:t>
      </w:r>
      <w:r>
        <w:rPr>
          <w:rFonts w:hint="eastAsia" w:ascii="仿宋" w:hAnsi="仿宋" w:eastAsia="仿宋" w:cs="仿宋"/>
          <w:color w:val="000000"/>
          <w:shd w:val="clear" w:color="auto" w:fill="FFFFFF"/>
        </w:rPr>
        <w:t>的中国境内生产的组件成本占比≥</w:t>
      </w:r>
      <w:r>
        <w:rPr>
          <w:rStyle w:val="17"/>
          <w:rFonts w:hint="eastAsia" w:ascii="仿宋" w:hAnsi="仿宋" w:eastAsia="仿宋" w:cs="仿宋"/>
          <w:i w:val="0"/>
          <w:color w:val="000000"/>
          <w:u w:val="single"/>
          <w:shd w:val="clear" w:color="auto" w:fill="FFFFFF"/>
        </w:rPr>
        <w:t>（规定比例）</w:t>
      </w:r>
      <w:r>
        <w:rPr>
          <w:rFonts w:hint="eastAsia" w:ascii="仿宋" w:hAnsi="仿宋" w:eastAsia="仿宋" w:cs="仿宋"/>
          <w:color w:val="000000"/>
          <w:shd w:val="clear" w:color="auto" w:fill="FFFFFF"/>
        </w:rPr>
        <w:t>。</w:t>
      </w:r>
      <w:r>
        <w:rPr>
          <w:rStyle w:val="17"/>
          <w:rFonts w:hint="eastAsia" w:ascii="仿宋" w:hAnsi="仿宋" w:eastAsia="仿宋" w:cs="仿宋"/>
          <w:i w:val="0"/>
          <w:color w:val="000000"/>
          <w:u w:val="single"/>
          <w:shd w:val="clear" w:color="auto" w:fill="FFFFFF"/>
        </w:rPr>
        <w:t>（产品名称2）</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（关键组件）</w:t>
      </w:r>
      <w:r>
        <w:rPr>
          <w:rFonts w:hint="eastAsia" w:ascii="仿宋" w:hAnsi="仿宋" w:eastAsia="仿宋" w:cs="仿宋"/>
          <w:color w:val="000000"/>
          <w:shd w:val="clear" w:color="auto" w:fill="FFFFFF"/>
        </w:rPr>
        <w:t>在中国境内生产。</w:t>
      </w:r>
      <w:r>
        <w:rPr>
          <w:rStyle w:val="17"/>
          <w:rFonts w:hint="eastAsia" w:ascii="仿宋" w:hAnsi="仿宋" w:eastAsia="仿宋" w:cs="仿宋"/>
          <w:i w:val="0"/>
          <w:color w:val="000000"/>
          <w:u w:val="single"/>
          <w:shd w:val="clear" w:color="auto" w:fill="FFFFFF"/>
        </w:rPr>
        <w:t>（产品名称1）</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（关键工序）</w:t>
      </w:r>
      <w:r>
        <w:rPr>
          <w:rFonts w:hint="eastAsia" w:ascii="仿宋" w:hAnsi="仿宋" w:eastAsia="仿宋" w:cs="仿宋"/>
          <w:color w:val="000000"/>
          <w:shd w:val="clear" w:color="auto" w:fill="FFFFFF"/>
        </w:rPr>
        <w:t>在中国境内完成。</w:t>
      </w:r>
    </w:p>
    <w:p w14:paraId="05D390C4">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shd w:val="clear" w:color="auto" w:fill="FFFFFF"/>
        </w:rPr>
        <w:t>……</w:t>
      </w:r>
    </w:p>
    <w:p w14:paraId="6ECD993D">
      <w:pPr>
        <w:pStyle w:val="11"/>
        <w:spacing w:before="30" w:beforeAutospacing="0" w:after="30" w:afterAutospacing="0" w:line="0" w:lineRule="atLeast"/>
        <w:ind w:firstLine="420"/>
        <w:rPr>
          <w:rFonts w:ascii="仿宋" w:hAnsi="仿宋" w:eastAsia="仿宋" w:cs="仿宋"/>
          <w:b/>
          <w:bCs/>
          <w:shd w:val="clear" w:color="auto" w:fill="FFFFFF"/>
        </w:rPr>
      </w:pPr>
      <w:r>
        <w:rPr>
          <w:rFonts w:hint="eastAsia" w:ascii="仿宋" w:hAnsi="仿宋" w:eastAsia="仿宋" w:cs="仿宋"/>
          <w:b/>
          <w:bCs/>
        </w:rPr>
        <w:t>本采购包中提供的符合本国产品标准的产品成本之和占该采购包提供的全部产品成本之和的比例为</w:t>
      </w:r>
      <w:r>
        <w:rPr>
          <w:rFonts w:hint="eastAsia" w:ascii="仿宋" w:hAnsi="仿宋" w:eastAsia="仿宋" w:cs="仿宋"/>
          <w:b/>
          <w:bCs/>
          <w:u w:val="single"/>
        </w:rPr>
        <w:t>***</w:t>
      </w:r>
      <w:r>
        <w:rPr>
          <w:rFonts w:hint="eastAsia" w:ascii="仿宋" w:hAnsi="仿宋" w:eastAsia="仿宋" w:cs="仿宋"/>
          <w:b/>
          <w:bCs/>
        </w:rPr>
        <w:t>%。</w:t>
      </w:r>
    </w:p>
    <w:p w14:paraId="15554FC9">
      <w:pPr>
        <w:pStyle w:val="11"/>
        <w:spacing w:before="30" w:beforeAutospacing="0" w:after="30" w:afterAutospacing="0" w:line="0" w:lineRule="atLeast"/>
        <w:ind w:firstLine="420"/>
        <w:rPr>
          <w:rFonts w:ascii="仿宋" w:hAnsi="仿宋" w:eastAsia="仿宋" w:cs="仿宋"/>
          <w:color w:val="000000"/>
          <w:shd w:val="clear" w:color="auto" w:fill="FFFFFF"/>
        </w:rPr>
      </w:pPr>
    </w:p>
    <w:p w14:paraId="3DACBA21">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shd w:val="clear" w:color="auto" w:fill="FFFFFF"/>
        </w:rPr>
        <w:t>本公司（单位）对上述声明内容的真实性负责。如有虚假，愿承担相应法律责任。</w:t>
      </w:r>
    </w:p>
    <w:p w14:paraId="08582285">
      <w:pPr>
        <w:pStyle w:val="11"/>
        <w:spacing w:before="30" w:beforeAutospacing="0" w:after="30" w:afterAutospacing="0" w:line="0" w:lineRule="atLeast"/>
        <w:rPr>
          <w:rFonts w:ascii="仿宋" w:hAnsi="仿宋" w:eastAsia="仿宋" w:cs="仿宋"/>
          <w:color w:val="000000"/>
        </w:rPr>
      </w:pPr>
    </w:p>
    <w:p w14:paraId="0A437000">
      <w:pPr>
        <w:pStyle w:val="11"/>
        <w:spacing w:before="30" w:beforeAutospacing="0" w:after="30" w:afterAutospacing="0" w:line="0" w:lineRule="atLeast"/>
        <w:ind w:right="480" w:firstLine="3720" w:firstLineChars="1550"/>
        <w:rPr>
          <w:rFonts w:ascii="仿宋" w:hAnsi="仿宋" w:eastAsia="仿宋" w:cs="仿宋"/>
          <w:color w:val="000000"/>
        </w:rPr>
      </w:pPr>
      <w:r>
        <w:rPr>
          <w:rFonts w:hint="eastAsia" w:ascii="仿宋" w:hAnsi="仿宋" w:eastAsia="仿宋" w:cs="仿宋"/>
          <w:color w:val="000000"/>
          <w:shd w:val="clear" w:color="auto" w:fill="FFFFFF"/>
        </w:rPr>
        <w:t>公司（单位）名称（盖章）：　        </w:t>
      </w:r>
    </w:p>
    <w:p w14:paraId="0B95BDA5">
      <w:pPr>
        <w:pStyle w:val="11"/>
        <w:spacing w:before="30" w:beforeAutospacing="0" w:after="30" w:afterAutospacing="0" w:line="0" w:lineRule="atLeast"/>
        <w:jc w:val="center"/>
        <w:rPr>
          <w:rFonts w:ascii="仿宋" w:hAnsi="仿宋" w:eastAsia="仿宋" w:cs="仿宋"/>
          <w:color w:val="000000"/>
          <w:shd w:val="clear" w:color="auto" w:fill="FFFFFF"/>
        </w:rPr>
      </w:pPr>
      <w:r>
        <w:rPr>
          <w:rFonts w:hint="eastAsia" w:ascii="仿宋" w:hAnsi="仿宋" w:eastAsia="仿宋" w:cs="仿宋"/>
          <w:color w:val="000000"/>
          <w:shd w:val="clear" w:color="auto" w:fill="FFFFFF"/>
        </w:rPr>
        <w:t xml:space="preserve">                               </w:t>
      </w:r>
    </w:p>
    <w:p w14:paraId="219B21E1">
      <w:pPr>
        <w:pStyle w:val="11"/>
        <w:spacing w:before="30" w:beforeAutospacing="0" w:after="30" w:afterAutospacing="0" w:line="0" w:lineRule="atLeast"/>
        <w:jc w:val="center"/>
        <w:rPr>
          <w:rFonts w:ascii="仿宋" w:hAnsi="仿宋" w:eastAsia="仿宋" w:cs="仿宋"/>
          <w:color w:val="000000"/>
          <w:shd w:val="clear" w:color="auto" w:fill="FFFFFF"/>
        </w:rPr>
      </w:pPr>
      <w:r>
        <w:rPr>
          <w:rFonts w:hint="eastAsia" w:ascii="仿宋" w:hAnsi="仿宋" w:eastAsia="仿宋" w:cs="仿宋"/>
          <w:color w:val="000000"/>
          <w:shd w:val="clear" w:color="auto" w:fill="FFFFFF"/>
        </w:rPr>
        <w:t xml:space="preserve">              日期：　   年　  月　  日  </w:t>
      </w:r>
    </w:p>
    <w:p w14:paraId="10872FE0">
      <w:pPr>
        <w:pStyle w:val="11"/>
        <w:spacing w:before="30" w:beforeAutospacing="0" w:after="30" w:afterAutospacing="0" w:line="0" w:lineRule="atLeast"/>
        <w:rPr>
          <w:rFonts w:ascii="仿宋" w:hAnsi="仿宋" w:eastAsia="仿宋" w:cs="仿宋"/>
          <w:color w:val="000000"/>
        </w:rPr>
      </w:pPr>
      <w:r>
        <w:rPr>
          <w:rFonts w:hint="eastAsia" w:ascii="仿宋" w:hAnsi="仿宋" w:eastAsia="仿宋" w:cs="仿宋"/>
          <w:color w:val="000000"/>
          <w:shd w:val="clear" w:color="auto" w:fill="FFFFFF"/>
        </w:rPr>
        <w:t>注：       </w:t>
      </w:r>
    </w:p>
    <w:p w14:paraId="30C481D8">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1.产品如有型号，请在“产品名称”栏一并填写。</w:t>
      </w:r>
    </w:p>
    <w:p w14:paraId="13268331">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2.生产厂名与厂址应与生产厂营业执照载明的相关信息保持一致。</w:t>
      </w:r>
    </w:p>
    <w:p w14:paraId="6B2FD967">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3.该产品的中国境内生产的组件成本占比相关要求实施前，“规定比例”栏可不填，下同。</w:t>
      </w:r>
    </w:p>
    <w:p w14:paraId="4D9C9818">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4.该产品的关键组件要求实施前，“关键组件”栏可不填，下同。</w:t>
      </w:r>
    </w:p>
    <w:p w14:paraId="4341B954">
      <w:pPr>
        <w:pStyle w:val="11"/>
        <w:spacing w:before="30" w:beforeAutospacing="0" w:after="30" w:afterAutospacing="0" w:line="0" w:lineRule="atLeast"/>
        <w:rPr>
          <w:rFonts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5.该产品的关键工序要求实施前，“关键工序”栏可不填，下同。</w:t>
      </w:r>
    </w:p>
    <w:p w14:paraId="44E80496">
      <w:pPr>
        <w:pStyle w:val="11"/>
        <w:spacing w:before="30" w:beforeAutospacing="0" w:after="30" w:afterAutospacing="0" w:line="0" w:lineRule="atLeast"/>
        <w:rPr>
          <w:rFonts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6.用斜线划除的地方无需填写。</w:t>
      </w:r>
    </w:p>
    <w:p w14:paraId="7FBD42F6">
      <w:pPr>
        <w:pStyle w:val="11"/>
        <w:spacing w:before="30" w:beforeAutospacing="0" w:after="30" w:afterAutospacing="0" w:line="0" w:lineRule="atLeast"/>
        <w:rPr>
          <w:rFonts w:ascii="仿宋" w:hAnsi="仿宋" w:eastAsia="仿宋" w:cs="仿宋"/>
          <w:b/>
          <w:bCs/>
          <w:color w:val="000000"/>
          <w:sz w:val="22"/>
          <w:shd w:val="clear" w:color="auto" w:fill="FFFFFF"/>
        </w:rPr>
      </w:pPr>
      <w:r>
        <w:rPr>
          <w:rFonts w:hint="eastAsia" w:ascii="仿宋" w:hAnsi="仿宋" w:eastAsia="仿宋" w:cs="仿宋"/>
          <w:b/>
          <w:bCs/>
          <w:color w:val="000000"/>
          <w:sz w:val="22"/>
          <w:shd w:val="clear" w:color="auto" w:fill="FFFFFF"/>
        </w:rPr>
        <w:t>7. 供应商需按照招标文件的要求提供《关于符合本国产品标准的声明函》，如不提供将不享受本国产品价格评审优惠。</w:t>
      </w:r>
    </w:p>
    <w:p w14:paraId="6FCABC7F">
      <w:pPr>
        <w:pStyle w:val="11"/>
        <w:spacing w:before="30" w:beforeAutospacing="0" w:after="30" w:afterAutospacing="0" w:line="0" w:lineRule="atLeast"/>
        <w:rPr>
          <w:rFonts w:ascii="仿宋" w:hAnsi="仿宋" w:eastAsia="仿宋" w:cs="仿宋"/>
          <w:color w:val="000000"/>
          <w:sz w:val="22"/>
          <w:shd w:val="clear" w:color="auto" w:fill="FFFFFF"/>
        </w:rPr>
      </w:pPr>
      <w:r>
        <w:rPr>
          <w:rFonts w:hint="eastAsia" w:ascii="仿宋" w:hAnsi="仿宋" w:eastAsia="仿宋" w:cs="仿宋"/>
          <w:sz w:val="22"/>
          <w:shd w:val="clear" w:color="auto" w:fill="FFFFFF"/>
        </w:rPr>
        <w:t>8.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2"/>
          <w:shd w:val="clear" w:color="auto" w:fill="FFFFFF"/>
        </w:rPr>
        <w:t>。</w:t>
      </w:r>
    </w:p>
    <w:p w14:paraId="4FCC8219">
      <w:pPr>
        <w:jc w:val="center"/>
        <w:rPr>
          <w:rFonts w:ascii="黑体" w:hAnsi="黑体" w:eastAsia="黑体"/>
          <w:b/>
          <w:color w:val="000000"/>
          <w:sz w:val="32"/>
          <w:szCs w:val="32"/>
        </w:rPr>
      </w:pPr>
    </w:p>
    <w:p w14:paraId="714508CE">
      <w:pPr>
        <w:jc w:val="left"/>
        <w:rPr>
          <w:rFonts w:ascii="仿宋" w:hAnsi="仿宋" w:eastAsia="仿宋" w:cs="仿宋"/>
          <w:b/>
          <w:sz w:val="28"/>
          <w:szCs w:val="28"/>
        </w:rPr>
      </w:pPr>
    </w:p>
    <w:p w14:paraId="32E8DD93">
      <w:pPr>
        <w:jc w:val="left"/>
        <w:rPr>
          <w:rFonts w:ascii="仿宋" w:hAnsi="仿宋" w:eastAsia="仿宋" w:cs="仿宋"/>
          <w:b/>
          <w:sz w:val="28"/>
          <w:szCs w:val="28"/>
        </w:rPr>
      </w:pPr>
    </w:p>
    <w:p w14:paraId="0055CB86">
      <w:pPr>
        <w:jc w:val="left"/>
        <w:rPr>
          <w:rFonts w:ascii="仿宋" w:hAnsi="仿宋" w:eastAsia="仿宋" w:cs="仿宋"/>
          <w:b/>
          <w:sz w:val="28"/>
          <w:szCs w:val="28"/>
        </w:rPr>
      </w:pPr>
    </w:p>
    <w:p w14:paraId="1A973DA2">
      <w:pPr>
        <w:jc w:val="left"/>
        <w:rPr>
          <w:rFonts w:ascii="仿宋" w:hAnsi="仿宋" w:eastAsia="仿宋" w:cs="仿宋"/>
          <w:b/>
          <w:sz w:val="28"/>
          <w:szCs w:val="28"/>
        </w:rPr>
      </w:pPr>
    </w:p>
    <w:p w14:paraId="4981B3BC">
      <w:pPr>
        <w:jc w:val="left"/>
        <w:rPr>
          <w:rFonts w:ascii="仿宋" w:hAnsi="仿宋" w:eastAsia="仿宋" w:cs="仿宋"/>
          <w:b/>
          <w:sz w:val="28"/>
          <w:szCs w:val="28"/>
        </w:rPr>
      </w:pPr>
    </w:p>
    <w:p w14:paraId="13161E09">
      <w:pPr>
        <w:jc w:val="left"/>
        <w:rPr>
          <w:rFonts w:ascii="仿宋" w:hAnsi="仿宋" w:eastAsia="仿宋" w:cs="仿宋"/>
          <w:b/>
          <w:sz w:val="28"/>
          <w:szCs w:val="28"/>
        </w:rPr>
      </w:pPr>
    </w:p>
    <w:p w14:paraId="7CEB9FFD">
      <w:pPr>
        <w:jc w:val="left"/>
        <w:rPr>
          <w:rFonts w:ascii="仿宋" w:hAnsi="仿宋" w:eastAsia="仿宋" w:cs="仿宋"/>
          <w:b/>
          <w:sz w:val="28"/>
          <w:szCs w:val="28"/>
        </w:rPr>
      </w:pPr>
    </w:p>
    <w:p w14:paraId="041794F3">
      <w:pPr>
        <w:jc w:val="left"/>
        <w:rPr>
          <w:rFonts w:ascii="仿宋" w:hAnsi="仿宋" w:eastAsia="仿宋" w:cs="仿宋"/>
          <w:b/>
          <w:sz w:val="28"/>
          <w:szCs w:val="28"/>
        </w:rPr>
      </w:pPr>
    </w:p>
    <w:p w14:paraId="38EDAB19">
      <w:pPr>
        <w:jc w:val="left"/>
        <w:rPr>
          <w:rFonts w:ascii="仿宋" w:hAnsi="仿宋" w:eastAsia="仿宋" w:cs="仿宋"/>
          <w:b/>
          <w:sz w:val="28"/>
          <w:szCs w:val="28"/>
        </w:rPr>
      </w:pPr>
    </w:p>
    <w:p w14:paraId="34EFF617">
      <w:pPr>
        <w:jc w:val="left"/>
        <w:rPr>
          <w:rFonts w:ascii="仿宋" w:hAnsi="仿宋" w:eastAsia="仿宋" w:cs="仿宋"/>
          <w:b/>
          <w:sz w:val="28"/>
          <w:szCs w:val="28"/>
        </w:rPr>
      </w:pPr>
    </w:p>
    <w:p w14:paraId="6529A8B7">
      <w:pPr>
        <w:jc w:val="left"/>
        <w:rPr>
          <w:rFonts w:ascii="仿宋" w:hAnsi="仿宋" w:eastAsia="仿宋" w:cs="仿宋"/>
          <w:b/>
          <w:sz w:val="28"/>
          <w:szCs w:val="28"/>
        </w:rPr>
      </w:pPr>
    </w:p>
    <w:p w14:paraId="2BB9946C">
      <w:pPr>
        <w:jc w:val="left"/>
        <w:rPr>
          <w:rFonts w:ascii="仿宋" w:hAnsi="仿宋" w:eastAsia="仿宋" w:cs="仿宋"/>
          <w:b/>
          <w:sz w:val="28"/>
          <w:szCs w:val="28"/>
        </w:rPr>
      </w:pPr>
      <w:r>
        <w:rPr>
          <w:rFonts w:hint="eastAsia" w:ascii="仿宋" w:hAnsi="仿宋" w:eastAsia="仿宋" w:cs="仿宋"/>
          <w:b/>
          <w:sz w:val="28"/>
          <w:szCs w:val="28"/>
        </w:rPr>
        <w:t xml:space="preserve">附件13                </w:t>
      </w:r>
    </w:p>
    <w:p w14:paraId="16E02023">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7B361F0A">
      <w:pPr>
        <w:adjustRightInd w:val="0"/>
        <w:snapToGrid w:val="0"/>
        <w:spacing w:before="290" w:beforeLines="10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56E539AF">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质疑供应商：</w:t>
      </w:r>
      <w:r>
        <w:rPr>
          <w:rFonts w:hint="eastAsia" w:ascii="仿宋" w:hAnsi="仿宋" w:eastAsia="仿宋" w:cs="仿宋"/>
          <w:sz w:val="24"/>
          <w:szCs w:val="24"/>
          <w:u w:val="dotted"/>
        </w:rPr>
        <w:t xml:space="preserve">                                                              </w:t>
      </w:r>
    </w:p>
    <w:p w14:paraId="316761F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472F644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67F5EC8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49F61523">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2106C57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544E28A1">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53D1F89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188DBC6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30F35ABD">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13145143">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69F65F52">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4459573D">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079A3F19">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14C0E72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u w:val="dotted"/>
        </w:rPr>
        <w:t xml:space="preserve">                                                                           </w:t>
      </w:r>
    </w:p>
    <w:p w14:paraId="2E914EA1">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599C8BF8">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u w:val="dotted"/>
        </w:rPr>
        <w:t xml:space="preserve">                                                                           </w:t>
      </w:r>
    </w:p>
    <w:p w14:paraId="5C90D0A1">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质疑事项2</w:t>
      </w:r>
    </w:p>
    <w:p w14:paraId="16DF07C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w:t>
      </w:r>
    </w:p>
    <w:p w14:paraId="514037F1">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50C528E3">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5937BD6E">
      <w:pPr>
        <w:rPr>
          <w:rFonts w:ascii="仿宋" w:hAnsi="仿宋" w:eastAsia="仿宋" w:cs="仿宋"/>
          <w:sz w:val="24"/>
          <w:szCs w:val="24"/>
        </w:rPr>
      </w:pPr>
      <w:r>
        <w:rPr>
          <w:rFonts w:hint="eastAsia" w:ascii="仿宋" w:hAnsi="仿宋" w:eastAsia="仿宋" w:cs="仿宋"/>
          <w:sz w:val="24"/>
          <w:szCs w:val="24"/>
        </w:rPr>
        <w:t xml:space="preserve">签字(签章)：                   公章：                      </w:t>
      </w:r>
    </w:p>
    <w:p w14:paraId="33634F69">
      <w:pPr>
        <w:rPr>
          <w:rFonts w:ascii="仿宋" w:hAnsi="仿宋" w:eastAsia="仿宋" w:cs="仿宋"/>
          <w:sz w:val="24"/>
          <w:szCs w:val="24"/>
        </w:rPr>
      </w:pPr>
      <w:r>
        <w:rPr>
          <w:rFonts w:hint="eastAsia" w:ascii="仿宋" w:hAnsi="仿宋" w:eastAsia="仿宋" w:cs="仿宋"/>
          <w:sz w:val="24"/>
          <w:szCs w:val="24"/>
        </w:rPr>
        <w:t xml:space="preserve">日期：    </w:t>
      </w:r>
    </w:p>
    <w:p w14:paraId="10FE0225">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3EBFAB6B">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5ABC76A1">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3828BC4E">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5EE3581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183FB6A7">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12129C42">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61D2EB51">
      <w:pPr>
        <w:ind w:firstLine="420"/>
        <w:rPr>
          <w:rFonts w:ascii="仿宋" w:hAnsi="仿宋" w:eastAsia="仿宋" w:cs="仿宋"/>
          <w:sz w:val="24"/>
          <w:szCs w:val="24"/>
        </w:rPr>
      </w:pPr>
    </w:p>
    <w:p w14:paraId="45FAEC1F">
      <w:pPr>
        <w:ind w:firstLine="420"/>
        <w:rPr>
          <w:rFonts w:ascii="仿宋" w:hAnsi="仿宋" w:eastAsia="仿宋" w:cs="仿宋"/>
          <w:sz w:val="24"/>
          <w:szCs w:val="24"/>
        </w:rPr>
      </w:pPr>
    </w:p>
    <w:p w14:paraId="6B2978AF">
      <w:pPr>
        <w:ind w:firstLine="420"/>
        <w:rPr>
          <w:rFonts w:ascii="仿宋" w:hAnsi="仿宋" w:eastAsia="仿宋" w:cs="仿宋"/>
          <w:sz w:val="24"/>
          <w:szCs w:val="24"/>
        </w:rPr>
      </w:pPr>
    </w:p>
    <w:p w14:paraId="0B89DCC3">
      <w:pPr>
        <w:ind w:firstLine="420"/>
        <w:rPr>
          <w:rFonts w:ascii="仿宋" w:hAnsi="仿宋" w:eastAsia="仿宋" w:cs="仿宋"/>
          <w:sz w:val="24"/>
          <w:szCs w:val="24"/>
        </w:rPr>
      </w:pPr>
    </w:p>
    <w:p w14:paraId="613FF0CD">
      <w:pPr>
        <w:ind w:firstLine="420"/>
        <w:rPr>
          <w:rFonts w:ascii="仿宋" w:hAnsi="仿宋" w:eastAsia="仿宋" w:cs="仿宋"/>
          <w:sz w:val="24"/>
          <w:szCs w:val="24"/>
        </w:rPr>
      </w:pPr>
    </w:p>
    <w:p w14:paraId="068E773A">
      <w:pPr>
        <w:ind w:firstLine="420"/>
        <w:rPr>
          <w:rFonts w:ascii="仿宋" w:hAnsi="仿宋" w:eastAsia="仿宋" w:cs="仿宋"/>
          <w:sz w:val="24"/>
          <w:szCs w:val="24"/>
        </w:rPr>
      </w:pPr>
    </w:p>
    <w:p w14:paraId="3769A911">
      <w:pPr>
        <w:ind w:firstLine="420"/>
        <w:rPr>
          <w:rFonts w:ascii="仿宋" w:hAnsi="仿宋" w:eastAsia="仿宋" w:cs="仿宋"/>
          <w:sz w:val="24"/>
          <w:szCs w:val="24"/>
        </w:rPr>
      </w:pPr>
    </w:p>
    <w:p w14:paraId="29DA0D1C">
      <w:pPr>
        <w:ind w:firstLine="420"/>
        <w:rPr>
          <w:rFonts w:ascii="仿宋" w:hAnsi="仿宋" w:eastAsia="仿宋" w:cs="仿宋"/>
          <w:sz w:val="24"/>
          <w:szCs w:val="24"/>
        </w:rPr>
      </w:pPr>
    </w:p>
    <w:p w14:paraId="3C4EB603">
      <w:pPr>
        <w:ind w:firstLine="420"/>
        <w:rPr>
          <w:rFonts w:ascii="仿宋" w:hAnsi="仿宋" w:eastAsia="仿宋" w:cs="仿宋"/>
          <w:sz w:val="24"/>
          <w:szCs w:val="24"/>
        </w:rPr>
      </w:pPr>
    </w:p>
    <w:p w14:paraId="45F2550E">
      <w:pPr>
        <w:ind w:firstLine="420"/>
        <w:rPr>
          <w:rFonts w:ascii="仿宋" w:hAnsi="仿宋" w:eastAsia="仿宋" w:cs="仿宋"/>
          <w:sz w:val="24"/>
          <w:szCs w:val="24"/>
        </w:rPr>
      </w:pPr>
    </w:p>
    <w:p w14:paraId="5B4FB4AE">
      <w:pPr>
        <w:ind w:firstLine="420"/>
        <w:rPr>
          <w:rFonts w:ascii="仿宋" w:hAnsi="仿宋" w:eastAsia="仿宋" w:cs="仿宋"/>
          <w:sz w:val="24"/>
          <w:szCs w:val="24"/>
        </w:rPr>
      </w:pPr>
    </w:p>
    <w:p w14:paraId="27767A27">
      <w:pPr>
        <w:ind w:firstLine="420"/>
        <w:rPr>
          <w:rFonts w:ascii="仿宋" w:hAnsi="仿宋" w:eastAsia="仿宋" w:cs="仿宋"/>
          <w:sz w:val="24"/>
          <w:szCs w:val="24"/>
        </w:rPr>
      </w:pPr>
    </w:p>
    <w:p w14:paraId="54F486D0">
      <w:pPr>
        <w:ind w:firstLine="420"/>
        <w:rPr>
          <w:rFonts w:ascii="仿宋" w:hAnsi="仿宋" w:eastAsia="仿宋" w:cs="仿宋"/>
          <w:sz w:val="24"/>
          <w:szCs w:val="24"/>
        </w:rPr>
      </w:pPr>
    </w:p>
    <w:p w14:paraId="467315D6">
      <w:pPr>
        <w:ind w:firstLine="420"/>
        <w:rPr>
          <w:rFonts w:ascii="仿宋" w:hAnsi="仿宋" w:eastAsia="仿宋" w:cs="仿宋"/>
          <w:sz w:val="24"/>
          <w:szCs w:val="24"/>
        </w:rPr>
      </w:pPr>
    </w:p>
    <w:p w14:paraId="2C7DC2C9">
      <w:pPr>
        <w:ind w:firstLine="420"/>
        <w:rPr>
          <w:rFonts w:ascii="仿宋" w:hAnsi="仿宋" w:eastAsia="仿宋" w:cs="仿宋"/>
          <w:sz w:val="24"/>
          <w:szCs w:val="24"/>
        </w:rPr>
      </w:pPr>
    </w:p>
    <w:p w14:paraId="72F2EEC1">
      <w:pPr>
        <w:ind w:firstLine="420"/>
        <w:rPr>
          <w:rFonts w:ascii="仿宋" w:hAnsi="仿宋" w:eastAsia="仿宋" w:cs="仿宋"/>
          <w:sz w:val="24"/>
          <w:szCs w:val="24"/>
        </w:rPr>
      </w:pPr>
    </w:p>
    <w:p w14:paraId="7CACF0F3">
      <w:pPr>
        <w:ind w:firstLine="420"/>
        <w:rPr>
          <w:rFonts w:ascii="仿宋" w:hAnsi="仿宋" w:eastAsia="仿宋" w:cs="仿宋"/>
          <w:sz w:val="24"/>
          <w:szCs w:val="24"/>
        </w:rPr>
      </w:pPr>
    </w:p>
    <w:p w14:paraId="683B2767">
      <w:pPr>
        <w:widowControl/>
        <w:spacing w:line="700" w:lineRule="exact"/>
        <w:jc w:val="left"/>
        <w:rPr>
          <w:rFonts w:ascii="仿宋" w:hAnsi="仿宋" w:eastAsia="仿宋" w:cs="仿宋"/>
          <w:kern w:val="0"/>
          <w:sz w:val="28"/>
          <w:szCs w:val="28"/>
          <w:lang w:bidi="ar"/>
        </w:rPr>
      </w:pPr>
    </w:p>
    <w:p w14:paraId="777B691F">
      <w:pPr>
        <w:pStyle w:val="11"/>
        <w:spacing w:before="30" w:beforeAutospacing="0" w:after="30" w:afterAutospacing="0" w:line="0" w:lineRule="atLeast"/>
        <w:rPr>
          <w:rFonts w:ascii="方正魏碑_GBK" w:hAnsi="方正魏碑_GBK" w:eastAsia="方正魏碑_GBK" w:cs="方正魏碑_GBK"/>
          <w:color w:val="0000FF"/>
          <w:sz w:val="22"/>
          <w:shd w:val="clear" w:color="auto" w:fill="FFFFFF"/>
        </w:rPr>
      </w:pPr>
      <w:bookmarkStart w:id="226" w:name="_Toc31274"/>
      <w:bookmarkStart w:id="227" w:name="_Toc1372"/>
      <w:bookmarkStart w:id="228" w:name="_Toc5831"/>
      <w:r>
        <w:rPr>
          <w:rFonts w:hint="eastAsia" w:ascii="仿宋" w:hAnsi="仿宋" w:eastAsia="仿宋" w:cs="仿宋"/>
          <w:b/>
          <w:bCs/>
          <w:sz w:val="28"/>
          <w:szCs w:val="28"/>
          <w:lang w:bidi="ar"/>
        </w:rPr>
        <w:t>附件1</w:t>
      </w:r>
      <w:bookmarkEnd w:id="226"/>
      <w:bookmarkEnd w:id="227"/>
      <w:bookmarkEnd w:id="228"/>
      <w:r>
        <w:rPr>
          <w:rFonts w:hint="eastAsia" w:ascii="仿宋" w:hAnsi="仿宋" w:eastAsia="仿宋" w:cs="仿宋"/>
          <w:b/>
          <w:bCs/>
          <w:sz w:val="28"/>
          <w:szCs w:val="28"/>
          <w:lang w:bidi="ar"/>
        </w:rPr>
        <w:t>3</w:t>
      </w:r>
      <w:r>
        <w:rPr>
          <w:rFonts w:hint="eastAsia" w:ascii="方正魏碑_GBK" w:hAnsi="方正魏碑_GBK" w:eastAsia="方正魏碑_GBK" w:cs="方正魏碑_GBK"/>
          <w:b/>
          <w:color w:val="FF0000"/>
        </w:rPr>
        <w:t xml:space="preserve"> </w:t>
      </w:r>
    </w:p>
    <w:p w14:paraId="704E6BE4">
      <w:pPr>
        <w:jc w:val="center"/>
        <w:rPr>
          <w:rFonts w:ascii="黑体" w:hAnsi="黑体" w:eastAsia="黑体"/>
          <w:b/>
          <w:color w:val="0000FF"/>
          <w:sz w:val="32"/>
          <w:szCs w:val="32"/>
        </w:rPr>
      </w:pPr>
    </w:p>
    <w:p w14:paraId="0F756CCA">
      <w:pPr>
        <w:ind w:firstLine="1405" w:firstLineChars="500"/>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0B304EC3">
      <w:pPr>
        <w:rPr>
          <w:rFonts w:ascii="仿宋" w:hAnsi="仿宋" w:eastAsia="仿宋" w:cs="仿宋"/>
          <w:sz w:val="24"/>
          <w:szCs w:val="24"/>
        </w:rPr>
      </w:pPr>
    </w:p>
    <w:p w14:paraId="49249A80">
      <w:pPr>
        <w:rPr>
          <w:rFonts w:ascii="仿宋" w:hAnsi="仿宋" w:eastAsia="仿宋" w:cs="仿宋"/>
          <w:sz w:val="24"/>
          <w:szCs w:val="24"/>
        </w:rPr>
      </w:pPr>
      <w:r>
        <w:rPr>
          <w:rFonts w:hint="eastAsia" w:ascii="仿宋" w:hAnsi="仿宋" w:eastAsia="仿宋" w:cs="仿宋"/>
          <w:sz w:val="24"/>
          <w:szCs w:val="24"/>
        </w:rPr>
        <w:t>各政府采购供应商：</w:t>
      </w:r>
    </w:p>
    <w:p w14:paraId="6B6DEA12">
      <w:pPr>
        <w:ind w:firstLine="480" w:firstLineChars="20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54E24630">
      <w:pPr>
        <w:ind w:firstLine="480" w:firstLineChars="20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70948816">
      <w:pPr>
        <w:ind w:firstLine="480" w:firstLineChars="20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B14D400">
      <w:pPr>
        <w:rPr>
          <w:rFonts w:ascii="仿宋" w:hAnsi="仿宋" w:eastAsia="仿宋" w:cs="仿宋"/>
          <w:sz w:val="24"/>
          <w:szCs w:val="24"/>
        </w:rPr>
      </w:pPr>
    </w:p>
    <w:p w14:paraId="7E279AEB">
      <w:pPr>
        <w:snapToGrid w:val="0"/>
        <w:spacing w:line="300" w:lineRule="auto"/>
        <w:rPr>
          <w:rFonts w:ascii="仿宋" w:hAnsi="仿宋" w:eastAsia="仿宋" w:cs="仿宋"/>
          <w:sz w:val="24"/>
          <w:szCs w:val="24"/>
        </w:rPr>
      </w:pPr>
    </w:p>
    <w:p w14:paraId="4C493B55">
      <w:pPr>
        <w:rPr>
          <w:rFonts w:ascii="仿宋" w:hAnsi="仿宋" w:eastAsia="仿宋" w:cs="仿宋"/>
          <w:color w:val="FF0000"/>
          <w:kern w:val="0"/>
          <w:sz w:val="24"/>
          <w:szCs w:val="24"/>
          <w:lang w:val="zh-CN" w:bidi="ar"/>
        </w:rPr>
      </w:pPr>
    </w:p>
    <w:p w14:paraId="362353A3">
      <w:pPr>
        <w:rPr>
          <w:rFonts w:ascii="仿宋" w:hAnsi="仿宋" w:eastAsia="仿宋" w:cs="仿宋"/>
          <w:color w:val="FF0000"/>
          <w:kern w:val="0"/>
          <w:sz w:val="24"/>
          <w:szCs w:val="24"/>
          <w:lang w:val="zh-CN" w:bidi="ar"/>
        </w:rPr>
      </w:pPr>
    </w:p>
    <w:p w14:paraId="4E813B87">
      <w:pPr>
        <w:rPr>
          <w:rFonts w:ascii="仿宋" w:hAnsi="仿宋" w:eastAsia="仿宋" w:cs="仿宋"/>
        </w:rPr>
      </w:pPr>
    </w:p>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4E7C1">
    <w:pPr>
      <w:pStyle w:val="8"/>
      <w:framePr w:wrap="around" w:vAnchor="text" w:hAnchor="margin" w:xAlign="center" w:y="1"/>
      <w:rPr>
        <w:rStyle w:val="16"/>
        <w:rFonts w:ascii="宋体" w:hAnsi="宋体"/>
      </w:rPr>
    </w:pPr>
    <w:r>
      <w:rPr>
        <w:rFonts w:ascii="宋体" w:hAnsi="宋体"/>
      </w:rPr>
      <w:fldChar w:fldCharType="begin"/>
    </w:r>
    <w:r>
      <w:rPr>
        <w:rStyle w:val="16"/>
        <w:rFonts w:ascii="宋体" w:hAnsi="宋体"/>
      </w:rPr>
      <w:instrText xml:space="preserve">PAGE  </w:instrText>
    </w:r>
    <w:r>
      <w:rPr>
        <w:rFonts w:ascii="宋体" w:hAnsi="宋体"/>
      </w:rPr>
      <w:fldChar w:fldCharType="separate"/>
    </w:r>
    <w:r>
      <w:rPr>
        <w:rStyle w:val="16"/>
        <w:rFonts w:ascii="宋体" w:hAnsi="宋体"/>
      </w:rPr>
      <w:t>４１</w:t>
    </w:r>
    <w:r>
      <w:rPr>
        <w:rFonts w:ascii="宋体" w:hAnsi="宋体"/>
      </w:rPr>
      <w:fldChar w:fldCharType="end"/>
    </w:r>
  </w:p>
  <w:p w14:paraId="1523123C">
    <w:pPr>
      <w:pStyle w:val="8"/>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927BF">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1</w:t>
    </w:r>
    <w:r>
      <w:fldChar w:fldCharType="end"/>
    </w:r>
  </w:p>
  <w:p w14:paraId="45323776">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E8A7B">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97B4B"/>
    <w:multiLevelType w:val="singleLevel"/>
    <w:tmpl w:val="84397B4B"/>
    <w:lvl w:ilvl="0" w:tentative="0">
      <w:start w:val="1"/>
      <w:numFmt w:val="chineseCounting"/>
      <w:suff w:val="nothing"/>
      <w:lvlText w:val="（%1）"/>
      <w:lvlJc w:val="left"/>
      <w:rPr>
        <w:rFonts w:hint="eastAsia"/>
      </w:rPr>
    </w:lvl>
  </w:abstractNum>
  <w:abstractNum w:abstractNumId="1">
    <w:nsid w:val="CE662554"/>
    <w:multiLevelType w:val="multilevel"/>
    <w:tmpl w:val="CE66255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A4614ED"/>
    <w:multiLevelType w:val="multilevel"/>
    <w:tmpl w:val="1A4614ED"/>
    <w:lvl w:ilvl="0" w:tentative="0">
      <w:start w:val="1"/>
      <w:numFmt w:val="japaneseCounting"/>
      <w:lvlText w:val="%1、"/>
      <w:lvlJc w:val="left"/>
      <w:pPr>
        <w:ind w:left="720" w:hanging="720"/>
      </w:pPr>
      <w:rPr>
        <w:rFonts w:hint="default" w:ascii="仿宋" w:hAnsi="仿宋" w:eastAsia="仿宋" w:cs="仿宋"/>
        <w:sz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A8C1F39"/>
    <w:multiLevelType w:val="multilevel"/>
    <w:tmpl w:val="4A8C1F39"/>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5">
    <w:nsid w:val="7960CAB3"/>
    <w:multiLevelType w:val="singleLevel"/>
    <w:tmpl w:val="7960CAB3"/>
    <w:lvl w:ilvl="0" w:tentative="0">
      <w:start w:val="2"/>
      <w:numFmt w:val="decimal"/>
      <w:lvlText w:val="%1."/>
      <w:lvlJc w:val="left"/>
      <w:pPr>
        <w:tabs>
          <w:tab w:val="left" w:pos="312"/>
        </w:tabs>
      </w:pPr>
    </w:lvl>
  </w:abstractNum>
  <w:num w:numId="1">
    <w:abstractNumId w:val="4"/>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g1YWRlZGNiNjJmYWFiNTc4ZWU3ZGZjM2Q2NmYzN2UifQ=="/>
  </w:docVars>
  <w:rsids>
    <w:rsidRoot w:val="00246F01"/>
    <w:rsid w:val="0001023A"/>
    <w:rsid w:val="00025DB1"/>
    <w:rsid w:val="0003498E"/>
    <w:rsid w:val="00063B23"/>
    <w:rsid w:val="000F502D"/>
    <w:rsid w:val="001472CF"/>
    <w:rsid w:val="00156579"/>
    <w:rsid w:val="001B7185"/>
    <w:rsid w:val="001D562F"/>
    <w:rsid w:val="001E0BE3"/>
    <w:rsid w:val="00234897"/>
    <w:rsid w:val="00244077"/>
    <w:rsid w:val="0024523A"/>
    <w:rsid w:val="00246F01"/>
    <w:rsid w:val="00264D76"/>
    <w:rsid w:val="00276942"/>
    <w:rsid w:val="00287ED0"/>
    <w:rsid w:val="00292A41"/>
    <w:rsid w:val="002D49E8"/>
    <w:rsid w:val="00302C61"/>
    <w:rsid w:val="00327FAB"/>
    <w:rsid w:val="00361ADD"/>
    <w:rsid w:val="00362D80"/>
    <w:rsid w:val="003676E0"/>
    <w:rsid w:val="003C3A5B"/>
    <w:rsid w:val="003E7B1D"/>
    <w:rsid w:val="003E7EB8"/>
    <w:rsid w:val="00410F5B"/>
    <w:rsid w:val="00421FC0"/>
    <w:rsid w:val="004431E0"/>
    <w:rsid w:val="00456395"/>
    <w:rsid w:val="00470AB6"/>
    <w:rsid w:val="00475991"/>
    <w:rsid w:val="004861D2"/>
    <w:rsid w:val="004E2971"/>
    <w:rsid w:val="00510FD3"/>
    <w:rsid w:val="00516D80"/>
    <w:rsid w:val="00524C71"/>
    <w:rsid w:val="00556306"/>
    <w:rsid w:val="00576FC0"/>
    <w:rsid w:val="005A7616"/>
    <w:rsid w:val="005B5084"/>
    <w:rsid w:val="005E20A7"/>
    <w:rsid w:val="00651EBA"/>
    <w:rsid w:val="0066419C"/>
    <w:rsid w:val="006C2B33"/>
    <w:rsid w:val="006E5E8D"/>
    <w:rsid w:val="006F3BB0"/>
    <w:rsid w:val="006F53FA"/>
    <w:rsid w:val="007066EE"/>
    <w:rsid w:val="00711AAE"/>
    <w:rsid w:val="00774C7F"/>
    <w:rsid w:val="007B77E3"/>
    <w:rsid w:val="007C04D6"/>
    <w:rsid w:val="0082018B"/>
    <w:rsid w:val="0083253B"/>
    <w:rsid w:val="0084155A"/>
    <w:rsid w:val="008416AE"/>
    <w:rsid w:val="0087349B"/>
    <w:rsid w:val="00891A1C"/>
    <w:rsid w:val="008B6526"/>
    <w:rsid w:val="008B7938"/>
    <w:rsid w:val="008D35FB"/>
    <w:rsid w:val="009034CD"/>
    <w:rsid w:val="0092490B"/>
    <w:rsid w:val="0092602B"/>
    <w:rsid w:val="00942479"/>
    <w:rsid w:val="0096042A"/>
    <w:rsid w:val="009717B5"/>
    <w:rsid w:val="00991B21"/>
    <w:rsid w:val="00994C36"/>
    <w:rsid w:val="009A53FB"/>
    <w:rsid w:val="009F49E5"/>
    <w:rsid w:val="00A30061"/>
    <w:rsid w:val="00A76B1C"/>
    <w:rsid w:val="00AB56E7"/>
    <w:rsid w:val="00AE34AA"/>
    <w:rsid w:val="00AE37C8"/>
    <w:rsid w:val="00B149F1"/>
    <w:rsid w:val="00B63853"/>
    <w:rsid w:val="00BC34AB"/>
    <w:rsid w:val="00BC729F"/>
    <w:rsid w:val="00BE0307"/>
    <w:rsid w:val="00BF1354"/>
    <w:rsid w:val="00C011EF"/>
    <w:rsid w:val="00C237D0"/>
    <w:rsid w:val="00C85F2E"/>
    <w:rsid w:val="00CA75ED"/>
    <w:rsid w:val="00CC2D7D"/>
    <w:rsid w:val="00CD0CEE"/>
    <w:rsid w:val="00CD1D61"/>
    <w:rsid w:val="00CE0705"/>
    <w:rsid w:val="00CE1607"/>
    <w:rsid w:val="00CE3BE5"/>
    <w:rsid w:val="00CE766D"/>
    <w:rsid w:val="00D222D8"/>
    <w:rsid w:val="00D646A3"/>
    <w:rsid w:val="00D66F2C"/>
    <w:rsid w:val="00D7124D"/>
    <w:rsid w:val="00D966E6"/>
    <w:rsid w:val="00DA58D6"/>
    <w:rsid w:val="00DC29CE"/>
    <w:rsid w:val="00DD7DF5"/>
    <w:rsid w:val="00DF5218"/>
    <w:rsid w:val="00DF679C"/>
    <w:rsid w:val="00E04521"/>
    <w:rsid w:val="00E078FB"/>
    <w:rsid w:val="00E1323E"/>
    <w:rsid w:val="00E17C47"/>
    <w:rsid w:val="00E558B5"/>
    <w:rsid w:val="00E57DF1"/>
    <w:rsid w:val="00E7400A"/>
    <w:rsid w:val="00E74F47"/>
    <w:rsid w:val="00E90ACE"/>
    <w:rsid w:val="00EB5957"/>
    <w:rsid w:val="00F15ACE"/>
    <w:rsid w:val="00F354CA"/>
    <w:rsid w:val="00F42A56"/>
    <w:rsid w:val="00F449C7"/>
    <w:rsid w:val="00F55E6C"/>
    <w:rsid w:val="00F900A8"/>
    <w:rsid w:val="00FB4A47"/>
    <w:rsid w:val="00FC47BF"/>
    <w:rsid w:val="00FD543E"/>
    <w:rsid w:val="00FE17FA"/>
    <w:rsid w:val="00FE45BD"/>
    <w:rsid w:val="014D2402"/>
    <w:rsid w:val="017C4FF0"/>
    <w:rsid w:val="021C7637"/>
    <w:rsid w:val="02214C74"/>
    <w:rsid w:val="022A3ED9"/>
    <w:rsid w:val="0324329F"/>
    <w:rsid w:val="03254F98"/>
    <w:rsid w:val="0344587F"/>
    <w:rsid w:val="034D4E02"/>
    <w:rsid w:val="03C41AFF"/>
    <w:rsid w:val="03C8014A"/>
    <w:rsid w:val="03E1456A"/>
    <w:rsid w:val="03FA3DFE"/>
    <w:rsid w:val="043D090B"/>
    <w:rsid w:val="04477AA3"/>
    <w:rsid w:val="04532C16"/>
    <w:rsid w:val="04CE5A12"/>
    <w:rsid w:val="05086350"/>
    <w:rsid w:val="05D4626A"/>
    <w:rsid w:val="05F10C78"/>
    <w:rsid w:val="061344A4"/>
    <w:rsid w:val="066A4C80"/>
    <w:rsid w:val="07A962FD"/>
    <w:rsid w:val="07CA4C73"/>
    <w:rsid w:val="085B2B87"/>
    <w:rsid w:val="08FA1588"/>
    <w:rsid w:val="09065429"/>
    <w:rsid w:val="0A2040E7"/>
    <w:rsid w:val="0AD16A09"/>
    <w:rsid w:val="0BE86F21"/>
    <w:rsid w:val="0C607B67"/>
    <w:rsid w:val="0CEA53E7"/>
    <w:rsid w:val="0D7E5C4F"/>
    <w:rsid w:val="0EE20AF5"/>
    <w:rsid w:val="0F825E34"/>
    <w:rsid w:val="0F853981"/>
    <w:rsid w:val="0F8A0908"/>
    <w:rsid w:val="0FD846BA"/>
    <w:rsid w:val="10135CBB"/>
    <w:rsid w:val="10343E47"/>
    <w:rsid w:val="105A430E"/>
    <w:rsid w:val="11213093"/>
    <w:rsid w:val="11CE5D96"/>
    <w:rsid w:val="12121B4F"/>
    <w:rsid w:val="123E53F2"/>
    <w:rsid w:val="124E72A0"/>
    <w:rsid w:val="12C2791A"/>
    <w:rsid w:val="12DC7618"/>
    <w:rsid w:val="12EF1A32"/>
    <w:rsid w:val="132634C9"/>
    <w:rsid w:val="13444ACC"/>
    <w:rsid w:val="13620E76"/>
    <w:rsid w:val="13C6058A"/>
    <w:rsid w:val="143F3BE0"/>
    <w:rsid w:val="149D65C2"/>
    <w:rsid w:val="15311102"/>
    <w:rsid w:val="15530ACB"/>
    <w:rsid w:val="15792CDD"/>
    <w:rsid w:val="15D7343C"/>
    <w:rsid w:val="15FA2BC8"/>
    <w:rsid w:val="15FA4976"/>
    <w:rsid w:val="16057772"/>
    <w:rsid w:val="162F4960"/>
    <w:rsid w:val="16736E84"/>
    <w:rsid w:val="16B45A3E"/>
    <w:rsid w:val="17026489"/>
    <w:rsid w:val="174A7ECE"/>
    <w:rsid w:val="1765491B"/>
    <w:rsid w:val="17C02EE9"/>
    <w:rsid w:val="17D44AD9"/>
    <w:rsid w:val="181E7986"/>
    <w:rsid w:val="182A10E9"/>
    <w:rsid w:val="184C6090"/>
    <w:rsid w:val="18BA7527"/>
    <w:rsid w:val="19F7387B"/>
    <w:rsid w:val="1A460EDE"/>
    <w:rsid w:val="1B1A63C8"/>
    <w:rsid w:val="1B3632E2"/>
    <w:rsid w:val="1B401424"/>
    <w:rsid w:val="1B5F5EB0"/>
    <w:rsid w:val="1CE55713"/>
    <w:rsid w:val="1D3E04DC"/>
    <w:rsid w:val="1D645EA9"/>
    <w:rsid w:val="1DAB1D3A"/>
    <w:rsid w:val="1DF720A6"/>
    <w:rsid w:val="1E4D7403"/>
    <w:rsid w:val="1E4E29C1"/>
    <w:rsid w:val="1E74103D"/>
    <w:rsid w:val="1E752EEF"/>
    <w:rsid w:val="1EC06337"/>
    <w:rsid w:val="1EDD6AA7"/>
    <w:rsid w:val="1EEE5B66"/>
    <w:rsid w:val="1F3E146F"/>
    <w:rsid w:val="202D1F92"/>
    <w:rsid w:val="2037221A"/>
    <w:rsid w:val="2057151D"/>
    <w:rsid w:val="20744484"/>
    <w:rsid w:val="21E029B7"/>
    <w:rsid w:val="220515EA"/>
    <w:rsid w:val="22314B08"/>
    <w:rsid w:val="224C560E"/>
    <w:rsid w:val="22D77F09"/>
    <w:rsid w:val="24372523"/>
    <w:rsid w:val="245B03A3"/>
    <w:rsid w:val="24FD70DE"/>
    <w:rsid w:val="250E205A"/>
    <w:rsid w:val="2547117D"/>
    <w:rsid w:val="25BE3540"/>
    <w:rsid w:val="25C76A8F"/>
    <w:rsid w:val="262502D3"/>
    <w:rsid w:val="284213DB"/>
    <w:rsid w:val="28D76D98"/>
    <w:rsid w:val="293624D6"/>
    <w:rsid w:val="29712D49"/>
    <w:rsid w:val="299E1FC5"/>
    <w:rsid w:val="299F6AFE"/>
    <w:rsid w:val="29A54C24"/>
    <w:rsid w:val="29AC5DD6"/>
    <w:rsid w:val="29CE23EA"/>
    <w:rsid w:val="29E87E1C"/>
    <w:rsid w:val="29F51407"/>
    <w:rsid w:val="2A614B6C"/>
    <w:rsid w:val="2A706EC2"/>
    <w:rsid w:val="2A8341AD"/>
    <w:rsid w:val="2B8D786A"/>
    <w:rsid w:val="2BBB392C"/>
    <w:rsid w:val="2C000E25"/>
    <w:rsid w:val="2C403DEA"/>
    <w:rsid w:val="2C626300"/>
    <w:rsid w:val="2CAB7F0D"/>
    <w:rsid w:val="2CE03A70"/>
    <w:rsid w:val="2D0839C4"/>
    <w:rsid w:val="2D3E1194"/>
    <w:rsid w:val="2D516A90"/>
    <w:rsid w:val="2D594220"/>
    <w:rsid w:val="2D6C39A3"/>
    <w:rsid w:val="2DCC56DE"/>
    <w:rsid w:val="2E2B0B1B"/>
    <w:rsid w:val="2E4C698F"/>
    <w:rsid w:val="2EB84F76"/>
    <w:rsid w:val="30155AC7"/>
    <w:rsid w:val="311772E7"/>
    <w:rsid w:val="32672238"/>
    <w:rsid w:val="328C0BF4"/>
    <w:rsid w:val="32936470"/>
    <w:rsid w:val="32C43EEA"/>
    <w:rsid w:val="333073B0"/>
    <w:rsid w:val="334B4707"/>
    <w:rsid w:val="34C47D85"/>
    <w:rsid w:val="34C62825"/>
    <w:rsid w:val="357A7102"/>
    <w:rsid w:val="36256C53"/>
    <w:rsid w:val="3699799F"/>
    <w:rsid w:val="37285803"/>
    <w:rsid w:val="397918A5"/>
    <w:rsid w:val="39B36A66"/>
    <w:rsid w:val="39E513A1"/>
    <w:rsid w:val="3A980F09"/>
    <w:rsid w:val="3B2B60ED"/>
    <w:rsid w:val="3BAC00DD"/>
    <w:rsid w:val="3C3C07B7"/>
    <w:rsid w:val="3D0728D7"/>
    <w:rsid w:val="3D7D7AB7"/>
    <w:rsid w:val="3DEA2218"/>
    <w:rsid w:val="3E236DDA"/>
    <w:rsid w:val="3F9944CD"/>
    <w:rsid w:val="3FA431EA"/>
    <w:rsid w:val="402F7170"/>
    <w:rsid w:val="40A566BC"/>
    <w:rsid w:val="4286382E"/>
    <w:rsid w:val="42EE422E"/>
    <w:rsid w:val="433B7537"/>
    <w:rsid w:val="435E3CFE"/>
    <w:rsid w:val="43D55C3A"/>
    <w:rsid w:val="446612A5"/>
    <w:rsid w:val="448B17CA"/>
    <w:rsid w:val="448F3D1A"/>
    <w:rsid w:val="4494071E"/>
    <w:rsid w:val="45A950DC"/>
    <w:rsid w:val="4631230E"/>
    <w:rsid w:val="46770C1C"/>
    <w:rsid w:val="468D70B1"/>
    <w:rsid w:val="46D73A96"/>
    <w:rsid w:val="47305B9A"/>
    <w:rsid w:val="484B1CE0"/>
    <w:rsid w:val="48505475"/>
    <w:rsid w:val="485B09F4"/>
    <w:rsid w:val="4958579E"/>
    <w:rsid w:val="4A0F2EC8"/>
    <w:rsid w:val="4A2C5863"/>
    <w:rsid w:val="4AD2139B"/>
    <w:rsid w:val="4B0A12D3"/>
    <w:rsid w:val="4BE206F3"/>
    <w:rsid w:val="4C285B24"/>
    <w:rsid w:val="4C8319C3"/>
    <w:rsid w:val="4CCD3CC7"/>
    <w:rsid w:val="4D3E67FE"/>
    <w:rsid w:val="4E936D6F"/>
    <w:rsid w:val="4ECC75E5"/>
    <w:rsid w:val="4FCD59FE"/>
    <w:rsid w:val="50346968"/>
    <w:rsid w:val="503A5C05"/>
    <w:rsid w:val="504B1B8A"/>
    <w:rsid w:val="50C52267"/>
    <w:rsid w:val="5105101C"/>
    <w:rsid w:val="51521BB0"/>
    <w:rsid w:val="51A67184"/>
    <w:rsid w:val="51A77EDE"/>
    <w:rsid w:val="51B501AB"/>
    <w:rsid w:val="5201518A"/>
    <w:rsid w:val="521167C0"/>
    <w:rsid w:val="527562EF"/>
    <w:rsid w:val="529A0EEF"/>
    <w:rsid w:val="530F6FAB"/>
    <w:rsid w:val="53194334"/>
    <w:rsid w:val="533C6E93"/>
    <w:rsid w:val="53A05E55"/>
    <w:rsid w:val="551411A0"/>
    <w:rsid w:val="551C6E35"/>
    <w:rsid w:val="556114C6"/>
    <w:rsid w:val="55A50FA0"/>
    <w:rsid w:val="572313D4"/>
    <w:rsid w:val="576176AA"/>
    <w:rsid w:val="58590BB5"/>
    <w:rsid w:val="58E872F4"/>
    <w:rsid w:val="59507837"/>
    <w:rsid w:val="59C77E08"/>
    <w:rsid w:val="59DE7EE3"/>
    <w:rsid w:val="59F34F42"/>
    <w:rsid w:val="5A1774AD"/>
    <w:rsid w:val="5A8E2C5B"/>
    <w:rsid w:val="5A971589"/>
    <w:rsid w:val="5AC81FAD"/>
    <w:rsid w:val="5AD216C7"/>
    <w:rsid w:val="5B94004E"/>
    <w:rsid w:val="5B9938B6"/>
    <w:rsid w:val="5C830B35"/>
    <w:rsid w:val="5D1A3B6A"/>
    <w:rsid w:val="5D422CCB"/>
    <w:rsid w:val="5D4B4AF3"/>
    <w:rsid w:val="5D875803"/>
    <w:rsid w:val="5D925A6B"/>
    <w:rsid w:val="5EA04EE5"/>
    <w:rsid w:val="5EA510F1"/>
    <w:rsid w:val="5ED16E62"/>
    <w:rsid w:val="5F25049F"/>
    <w:rsid w:val="5F5B1101"/>
    <w:rsid w:val="5FCB1BCC"/>
    <w:rsid w:val="6009581D"/>
    <w:rsid w:val="606049A2"/>
    <w:rsid w:val="60621456"/>
    <w:rsid w:val="60AC7BE7"/>
    <w:rsid w:val="60CE7559"/>
    <w:rsid w:val="60F2314A"/>
    <w:rsid w:val="61330309"/>
    <w:rsid w:val="63A66B70"/>
    <w:rsid w:val="63E16526"/>
    <w:rsid w:val="63F62410"/>
    <w:rsid w:val="643A3028"/>
    <w:rsid w:val="64D94D23"/>
    <w:rsid w:val="65530F79"/>
    <w:rsid w:val="66DE2AC5"/>
    <w:rsid w:val="66F35119"/>
    <w:rsid w:val="67B87E05"/>
    <w:rsid w:val="67F106EB"/>
    <w:rsid w:val="682E0689"/>
    <w:rsid w:val="68762D6D"/>
    <w:rsid w:val="688B0A2A"/>
    <w:rsid w:val="69A576CC"/>
    <w:rsid w:val="69BB70A1"/>
    <w:rsid w:val="69DD3AA7"/>
    <w:rsid w:val="69ED7DED"/>
    <w:rsid w:val="6A5B61FE"/>
    <w:rsid w:val="6A796495"/>
    <w:rsid w:val="6A7B1518"/>
    <w:rsid w:val="6AB16B61"/>
    <w:rsid w:val="6C5926C3"/>
    <w:rsid w:val="6C8843B7"/>
    <w:rsid w:val="6CB66B06"/>
    <w:rsid w:val="6D597BAC"/>
    <w:rsid w:val="6E507F98"/>
    <w:rsid w:val="6FF06255"/>
    <w:rsid w:val="6FF92384"/>
    <w:rsid w:val="7016206E"/>
    <w:rsid w:val="7033317E"/>
    <w:rsid w:val="71A42458"/>
    <w:rsid w:val="71AC6402"/>
    <w:rsid w:val="71E11A1A"/>
    <w:rsid w:val="720672BB"/>
    <w:rsid w:val="72C12F55"/>
    <w:rsid w:val="72D84462"/>
    <w:rsid w:val="73382CE7"/>
    <w:rsid w:val="7368208E"/>
    <w:rsid w:val="73A6632D"/>
    <w:rsid w:val="73F82115"/>
    <w:rsid w:val="74C838E9"/>
    <w:rsid w:val="74C90AAB"/>
    <w:rsid w:val="74F742BA"/>
    <w:rsid w:val="75083843"/>
    <w:rsid w:val="750E37B4"/>
    <w:rsid w:val="75546BA3"/>
    <w:rsid w:val="758807CB"/>
    <w:rsid w:val="769B452E"/>
    <w:rsid w:val="7746477C"/>
    <w:rsid w:val="77FE2E93"/>
    <w:rsid w:val="78745308"/>
    <w:rsid w:val="78A67D85"/>
    <w:rsid w:val="78C1478E"/>
    <w:rsid w:val="78FE51ED"/>
    <w:rsid w:val="7905550B"/>
    <w:rsid w:val="79F1032A"/>
    <w:rsid w:val="7A953D20"/>
    <w:rsid w:val="7AF1296F"/>
    <w:rsid w:val="7AF75AAB"/>
    <w:rsid w:val="7AF82EA0"/>
    <w:rsid w:val="7B886ED2"/>
    <w:rsid w:val="7B910D77"/>
    <w:rsid w:val="7BB62F12"/>
    <w:rsid w:val="7C001DD1"/>
    <w:rsid w:val="7C5A2796"/>
    <w:rsid w:val="7D8643DD"/>
    <w:rsid w:val="7E275784"/>
    <w:rsid w:val="7E7E5C73"/>
    <w:rsid w:val="7EAD58CE"/>
    <w:rsid w:val="7F7406BE"/>
    <w:rsid w:val="7FE02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b/>
      <w:bCs/>
      <w:kern w:val="0"/>
      <w:sz w:val="36"/>
      <w:szCs w:val="36"/>
    </w:rPr>
  </w:style>
  <w:style w:type="character" w:default="1" w:styleId="15">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32"/>
    <w:unhideWhenUsed/>
    <w:qFormat/>
    <w:uiPriority w:val="0"/>
    <w:pPr>
      <w:jc w:val="left"/>
    </w:pPr>
  </w:style>
  <w:style w:type="paragraph" w:styleId="4">
    <w:name w:val="Body Text"/>
    <w:basedOn w:val="1"/>
    <w:next w:val="1"/>
    <w:link w:val="27"/>
    <w:qFormat/>
    <w:uiPriority w:val="0"/>
    <w:rPr>
      <w:rFonts w:ascii="楷体_GB2312" w:hAnsi="Arial" w:eastAsia="楷体_GB2312"/>
      <w:sz w:val="28"/>
      <w:szCs w:val="28"/>
    </w:rPr>
  </w:style>
  <w:style w:type="paragraph" w:styleId="5">
    <w:name w:val="Body Text Indent"/>
    <w:basedOn w:val="1"/>
    <w:next w:val="6"/>
    <w:unhideWhenUsed/>
    <w:qFormat/>
    <w:uiPriority w:val="0"/>
    <w:pPr>
      <w:spacing w:after="120"/>
      <w:ind w:left="420" w:leftChars="200"/>
    </w:pPr>
  </w:style>
  <w:style w:type="paragraph" w:styleId="6">
    <w:name w:val="envelope return"/>
    <w:basedOn w:val="1"/>
    <w:unhideWhenUsed/>
    <w:qFormat/>
    <w:uiPriority w:val="99"/>
    <w:rPr>
      <w:rFonts w:ascii="Arial" w:hAnsi="Arial" w:eastAsia="楷体_GB2312"/>
      <w:sz w:val="26"/>
      <w:szCs w:val="20"/>
    </w:rPr>
  </w:style>
  <w:style w:type="paragraph" w:styleId="7">
    <w:name w:val="Balloon Text"/>
    <w:basedOn w:val="1"/>
    <w:link w:val="31"/>
    <w:qFormat/>
    <w:uiPriority w:val="0"/>
    <w:rPr>
      <w:sz w:val="18"/>
      <w:szCs w:val="18"/>
    </w:rPr>
  </w:style>
  <w:style w:type="paragraph" w:styleId="8">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0">
    <w:name w:val="toc 1"/>
    <w:basedOn w:val="1"/>
    <w:next w:val="1"/>
    <w:qFormat/>
    <w:uiPriority w:val="0"/>
  </w:style>
  <w:style w:type="paragraph" w:styleId="1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3"/>
    <w:next w:val="3"/>
    <w:link w:val="33"/>
    <w:qFormat/>
    <w:uiPriority w:val="0"/>
    <w:rPr>
      <w:b/>
      <w:bCs/>
    </w:rPr>
  </w:style>
  <w:style w:type="paragraph" w:styleId="13">
    <w:name w:val="Body Text First Indent 2"/>
    <w:basedOn w:val="5"/>
    <w:next w:val="1"/>
    <w:qFormat/>
    <w:uiPriority w:val="0"/>
    <w:pPr>
      <w:spacing w:after="0" w:line="360" w:lineRule="auto"/>
      <w:ind w:left="0" w:leftChars="0" w:firstLine="420" w:firstLineChars="200"/>
    </w:pPr>
    <w:rPr>
      <w:rFonts w:ascii="宋体" w:hAnsi="宋体"/>
      <w:szCs w:val="20"/>
    </w:rPr>
  </w:style>
  <w:style w:type="character" w:styleId="16">
    <w:name w:val="page number"/>
    <w:qFormat/>
    <w:uiPriority w:val="0"/>
  </w:style>
  <w:style w:type="character" w:styleId="17">
    <w:name w:val="Emphasis"/>
    <w:qFormat/>
    <w:uiPriority w:val="0"/>
    <w:rPr>
      <w:i/>
    </w:rPr>
  </w:style>
  <w:style w:type="character" w:styleId="18">
    <w:name w:val="annotation reference"/>
    <w:basedOn w:val="15"/>
    <w:qFormat/>
    <w:uiPriority w:val="0"/>
    <w:rPr>
      <w:sz w:val="21"/>
      <w:szCs w:val="21"/>
    </w:rPr>
  </w:style>
  <w:style w:type="paragraph" w:customStyle="1" w:styleId="19">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0">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21">
    <w:name w:val="WPSOffice手动目录 1"/>
    <w:qFormat/>
    <w:uiPriority w:val="0"/>
    <w:rPr>
      <w:rFonts w:ascii="Times New Roman" w:hAnsi="Times New Roman" w:eastAsia="宋体" w:cs="Times New Roman"/>
      <w:lang w:val="en-US" w:eastAsia="zh-CN" w:bidi="ar-SA"/>
    </w:rPr>
  </w:style>
  <w:style w:type="paragraph" w:customStyle="1" w:styleId="22">
    <w:name w:val="正文首行缩进11"/>
    <w:basedOn w:val="23"/>
    <w:qFormat/>
    <w:uiPriority w:val="0"/>
    <w:pPr>
      <w:spacing w:line="360" w:lineRule="auto"/>
      <w:ind w:firstLine="200"/>
    </w:pPr>
    <w:rPr>
      <w:rFonts w:ascii="仿宋_GB2312" w:eastAsia="仿宋_GB2312"/>
      <w:sz w:val="30"/>
      <w:szCs w:val="30"/>
    </w:rPr>
  </w:style>
  <w:style w:type="paragraph" w:customStyle="1" w:styleId="23">
    <w:name w:val="正文文本1"/>
    <w:basedOn w:val="1"/>
    <w:next w:val="1"/>
    <w:qFormat/>
    <w:uiPriority w:val="0"/>
    <w:rPr>
      <w:rFonts w:ascii="楷体_GB2312" w:hAnsi="Arial" w:eastAsia="楷体_GB2312"/>
      <w:sz w:val="28"/>
      <w:szCs w:val="28"/>
    </w:rPr>
  </w:style>
  <w:style w:type="paragraph" w:customStyle="1" w:styleId="24">
    <w:name w:val="正文首行缩进1"/>
    <w:basedOn w:val="25"/>
    <w:qFormat/>
    <w:uiPriority w:val="0"/>
    <w:pPr>
      <w:spacing w:after="120"/>
      <w:ind w:firstLine="420"/>
    </w:pPr>
    <w:rPr>
      <w:rFonts w:ascii="Times New Roman" w:eastAsia="宋体"/>
      <w:szCs w:val="24"/>
    </w:rPr>
  </w:style>
  <w:style w:type="paragraph" w:customStyle="1" w:styleId="25">
    <w:name w:val="正文文本11"/>
    <w:basedOn w:val="1"/>
    <w:next w:val="1"/>
    <w:qFormat/>
    <w:uiPriority w:val="0"/>
    <w:rPr>
      <w:rFonts w:ascii="楷体_GB2312" w:hAnsi="Arial" w:eastAsia="楷体_GB2312"/>
      <w:sz w:val="28"/>
      <w:szCs w:val="28"/>
    </w:rPr>
  </w:style>
  <w:style w:type="paragraph" w:styleId="26">
    <w:name w:val="List Paragraph"/>
    <w:basedOn w:val="1"/>
    <w:qFormat/>
    <w:uiPriority w:val="99"/>
    <w:pPr>
      <w:ind w:firstLine="420" w:firstLineChars="200"/>
    </w:pPr>
  </w:style>
  <w:style w:type="character" w:customStyle="1" w:styleId="27">
    <w:name w:val="正文文本 字符"/>
    <w:basedOn w:val="15"/>
    <w:link w:val="4"/>
    <w:qFormat/>
    <w:uiPriority w:val="0"/>
    <w:rPr>
      <w:rFonts w:hint="default" w:ascii="Calibri" w:hAnsi="Calibri" w:cs="Calibri"/>
      <w:sz w:val="21"/>
      <w:szCs w:val="22"/>
    </w:rPr>
  </w:style>
  <w:style w:type="paragraph" w:customStyle="1" w:styleId="28">
    <w:name w:val="批注文字1"/>
    <w:basedOn w:val="1"/>
    <w:qFormat/>
    <w:uiPriority w:val="0"/>
    <w:pPr>
      <w:jc w:val="left"/>
    </w:pPr>
    <w:rPr>
      <w:kern w:val="0"/>
    </w:rPr>
  </w:style>
  <w:style w:type="paragraph" w:customStyle="1" w:styleId="29">
    <w:name w:val="Table Text"/>
    <w:basedOn w:val="1"/>
    <w:semiHidden/>
    <w:qFormat/>
    <w:uiPriority w:val="0"/>
    <w:rPr>
      <w:rFonts w:ascii="宋体" w:hAnsi="宋体" w:cs="宋体"/>
      <w:sz w:val="24"/>
      <w:szCs w:val="24"/>
      <w:lang w:eastAsia="en-US"/>
    </w:rPr>
  </w:style>
  <w:style w:type="table" w:customStyle="1" w:styleId="30">
    <w:name w:val="Table Normal"/>
    <w:semiHidden/>
    <w:unhideWhenUsed/>
    <w:qFormat/>
    <w:uiPriority w:val="0"/>
    <w:tblPr>
      <w:tblCellMar>
        <w:top w:w="0" w:type="dxa"/>
        <w:left w:w="0" w:type="dxa"/>
        <w:bottom w:w="0" w:type="dxa"/>
        <w:right w:w="0" w:type="dxa"/>
      </w:tblCellMar>
    </w:tblPr>
  </w:style>
  <w:style w:type="character" w:customStyle="1" w:styleId="31">
    <w:name w:val="批注框文本 字符"/>
    <w:basedOn w:val="15"/>
    <w:link w:val="7"/>
    <w:qFormat/>
    <w:uiPriority w:val="0"/>
    <w:rPr>
      <w:rFonts w:ascii="Calibri" w:hAnsi="Calibri"/>
      <w:kern w:val="2"/>
      <w:sz w:val="18"/>
      <w:szCs w:val="18"/>
    </w:rPr>
  </w:style>
  <w:style w:type="character" w:customStyle="1" w:styleId="32">
    <w:name w:val="批注文字 字符"/>
    <w:basedOn w:val="15"/>
    <w:link w:val="3"/>
    <w:qFormat/>
    <w:uiPriority w:val="0"/>
    <w:rPr>
      <w:rFonts w:ascii="Calibri" w:hAnsi="Calibri"/>
      <w:kern w:val="2"/>
      <w:sz w:val="21"/>
      <w:szCs w:val="22"/>
    </w:rPr>
  </w:style>
  <w:style w:type="character" w:customStyle="1" w:styleId="33">
    <w:name w:val="批注主题 字符"/>
    <w:basedOn w:val="32"/>
    <w:link w:val="12"/>
    <w:qFormat/>
    <w:uiPriority w:val="0"/>
    <w:rPr>
      <w:rFonts w:ascii="Calibri" w:hAnsi="Calibri"/>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45F57A-8271-481C-8051-076778B64854}">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82</Pages>
  <Words>7343</Words>
  <Characters>7858</Characters>
  <Lines>467</Lines>
  <Paragraphs>131</Paragraphs>
  <TotalTime>15</TotalTime>
  <ScaleCrop>false</ScaleCrop>
  <LinksUpToDate>false</LinksUpToDate>
  <CharactersWithSpaces>8039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2026-08-11T03:59:00Z</dcterms:created>
  <dc:creator>Administrator</dc:creator>
  <cp:lastModifiedBy>高冬梅</cp:lastModifiedBy>
  <cp:lastPrinted>2026-08-12T04:12:00Z</cp:lastPrinted>
  <dcterms:modified xsi:type="dcterms:W3CDTF">2026-08-20T07:37:18Z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6AA495EC88F44C7B95812B1174D76895_13</vt:lpwstr>
  </property>
  <property fmtid="{D5CDD505-2E9C-101B-9397-08002B2CF9AE}" pid="4" name="KSOTemplateDocerSaveRecord">
    <vt:lpwstr>eyJoZGlkIjoiNWM4ZTg0ZTFhZmJlY2Q4NDBhNjk5YzhhN2Q0NDYxYmYiLCJ1c2VySWQiOiIxNjI1NDY4ODgyIn0=</vt:lpwstr>
  </property>
</Properties>
</file>