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jc w:val="center"/>
        <w:rPr>
          <w:rFonts w:ascii="方正小标宋简体" w:hAnsi="方正小标宋简体" w:eastAsia="方正小标宋简体" w:cs="方正小标宋简体"/>
          <w:sz w:val="84"/>
        </w:rPr>
      </w:pPr>
      <w:r>
        <w:rPr>
          <w:rFonts w:ascii="方正小标宋简体" w:hAnsi="方正小标宋简体" w:eastAsia="方正小标宋简体" w:cs="方正小标宋简体"/>
          <w:sz w:val="84"/>
        </w:rPr>
      </w:r>
      <w:r/>
    </w:p>
    <w:p>
      <w:pPr>
        <w:pStyle w:val="1019"/>
        <w:jc w:val="center"/>
        <w:rPr>
          <w:rFonts w:ascii="方正小标宋简体" w:hAnsi="方正小标宋简体" w:eastAsia="方正小标宋简体" w:cs="方正小标宋简体"/>
          <w:sz w:val="84"/>
        </w:rPr>
      </w:pPr>
      <w:r>
        <w:rPr>
          <w:rFonts w:hint="eastAsia" w:ascii="方正小标宋简体" w:hAnsi="方正小标宋简体" w:eastAsia="方正小标宋简体" w:cs="方正小标宋简体"/>
          <w:sz w:val="84"/>
        </w:rPr>
        <w:t xml:space="preserve">招 标 文 件</w:t>
      </w:r>
      <w:r>
        <w:rPr>
          <w:rFonts w:ascii="方正小标宋简体" w:hAnsi="方正小标宋简体" w:eastAsia="方正小标宋简体" w:cs="方正小标宋简体"/>
          <w:sz w:val="84"/>
        </w:rPr>
      </w:r>
      <w:r/>
    </w:p>
    <w:p>
      <w:pPr>
        <w:pStyle w:val="1019"/>
        <w:jc w:val="center"/>
        <w:rPr>
          <w:rFonts w:ascii="楷体_GB2312" w:hAnsi="楷体_GB2312" w:eastAsia="楷体_GB2312" w:cs="楷体_GB2312"/>
          <w:sz w:val="44"/>
          <w:szCs w:val="44"/>
        </w:rPr>
      </w:pPr>
      <w:r>
        <w:rPr>
          <w:rFonts w:hint="eastAsia" w:ascii="楷体_GB2312" w:hAnsi="楷体_GB2312" w:eastAsia="楷体_GB2312" w:cs="楷体_GB2312"/>
          <w:sz w:val="44"/>
          <w:szCs w:val="44"/>
        </w:rPr>
        <w:t xml:space="preserve">（公开招标）</w:t>
      </w:r>
      <w:r>
        <w:rPr>
          <w:rFonts w:ascii="楷体_GB2312" w:hAnsi="楷体_GB2312" w:eastAsia="楷体_GB2312" w:cs="楷体_GB2312"/>
          <w:sz w:val="44"/>
          <w:szCs w:val="44"/>
        </w:rPr>
      </w:r>
      <w:r/>
    </w:p>
    <w:p>
      <w:pPr>
        <w:pStyle w:val="1019"/>
        <w:jc w:val="center"/>
        <w:rPr>
          <w:rFonts w:ascii="微软雅黑" w:hAnsi="微软雅黑" w:eastAsia="微软雅黑" w:cs="微软雅黑"/>
          <w:sz w:val="36"/>
        </w:rPr>
      </w:pPr>
      <w:r>
        <w:rPr>
          <w:rFonts w:ascii="微软雅黑" w:hAnsi="微软雅黑" w:eastAsia="微软雅黑" w:cs="微软雅黑"/>
          <w:sz w:val="36"/>
        </w:rPr>
      </w:r>
      <w:r/>
    </w:p>
    <w:p>
      <w:pPr>
        <w:pStyle w:val="1019"/>
        <w:jc w:val="center"/>
      </w:pPr>
      <w:r>
        <mc:AlternateContent>
          <mc:Choice Requires="wpg">
            <w:drawing>
              <wp:inline xmlns:wp="http://schemas.openxmlformats.org/drawingml/2006/wordprocessingDrawing" distT="0" distB="0" distL="0" distR="0">
                <wp:extent cx="1678940" cy="16789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78940" cy="1678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2pt;height:132.2pt;mso-wrap-distance-left:0.0pt;mso-wrap-distance-top:0.0pt;mso-wrap-distance-right:0.0pt;mso-wrap-distance-bottom:0.0pt;" stroked="f">
                <v:path textboxrect="0,0,0,0"/>
                <v:imagedata r:id="rId18" o:title=""/>
              </v:shape>
            </w:pict>
          </mc:Fallback>
        </mc:AlternateContent>
      </w:r>
      <w:r/>
    </w:p>
    <w:p>
      <w:pPr>
        <w:pStyle w:val="1019"/>
        <w:jc w:val="left"/>
        <w:rPr>
          <w:rFonts w:ascii="微软雅黑" w:hAnsi="微软雅黑" w:eastAsia="微软雅黑" w:cs="微软雅黑"/>
          <w:sz w:val="36"/>
        </w:rPr>
      </w:pPr>
      <w:r>
        <w:rPr>
          <w:rFonts w:ascii="微软雅黑" w:hAnsi="微软雅黑" w:eastAsia="微软雅黑" w:cs="微软雅黑"/>
          <w:sz w:val="36"/>
        </w:rPr>
      </w:r>
      <w:r/>
    </w:p>
    <w:p>
      <w:pPr>
        <w:pStyle w:val="1019"/>
        <w:ind w:left="2693" w:hanging="1500"/>
        <w:jc w:val="left"/>
        <w:spacing w:line="360" w:lineRule="auto"/>
        <w:tabs>
          <w:tab w:val="left" w:pos="1260" w:leader="none"/>
        </w:tabs>
        <w:rPr>
          <w:rFonts w:hint="eastAsia" w:eastAsia="黑体"/>
          <w:lang w:eastAsia="zh-CN"/>
        </w:rPr>
      </w:pPr>
      <w:r>
        <w:rPr>
          <w:rFonts w:hint="eastAsia" w:ascii="黑体" w:hAnsi="黑体" w:eastAsia="黑体" w:cs="黑体"/>
          <w:sz w:val="30"/>
          <w:szCs w:val="30"/>
        </w:rPr>
        <w:t xml:space="preserve">项目编号：</w:t>
      </w:r>
      <w:r>
        <w:rPr>
          <w:rFonts w:hint="eastAsia" w:ascii="宋体" w:hAnsi="宋体" w:eastAsia="黑体" w:cs="宋体"/>
          <w:sz w:val="30"/>
          <w:szCs w:val="30"/>
          <w:u w:val="single"/>
          <w:lang w:eastAsia="zh-CN"/>
        </w:rPr>
        <w:t xml:space="preserve">JSZC-320000-TYCQ-G2026-0003</w:t>
      </w:r>
      <w:r>
        <w:rPr>
          <w:rFonts w:hint="eastAsia" w:eastAsia="黑体"/>
          <w:lang w:eastAsia="zh-CN"/>
        </w:rPr>
      </w:r>
      <w:r/>
    </w:p>
    <w:p>
      <w:pPr>
        <w:pStyle w:val="1019"/>
        <w:ind w:left="2693" w:hanging="1500"/>
        <w:jc w:val="left"/>
        <w:spacing w:line="360" w:lineRule="auto"/>
        <w:rPr>
          <w:rFonts w:hint="eastAsia" w:ascii="宋体" w:hAnsi="宋体" w:eastAsia="黑体" w:cs="宋体"/>
          <w:sz w:val="30"/>
          <w:szCs w:val="30"/>
          <w:u w:val="single"/>
          <w:lang w:eastAsia="zh-CN"/>
        </w:rPr>
      </w:pPr>
      <w:r>
        <w:rPr>
          <w:rFonts w:hint="eastAsia" w:ascii="黑体" w:hAnsi="黑体" w:eastAsia="黑体" w:cs="黑体"/>
          <w:sz w:val="30"/>
          <w:szCs w:val="30"/>
        </w:rPr>
        <w:t xml:space="preserve">项目名称：</w:t>
      </w:r>
      <w:r>
        <w:rPr>
          <w:rFonts w:hint="eastAsia" w:ascii="宋体" w:hAnsi="宋体" w:eastAsia="宋体" w:cs="宋体"/>
          <w:sz w:val="30"/>
          <w:szCs w:val="30"/>
          <w:u w:val="single"/>
          <w:lang w:eastAsia="zh-CN"/>
        </w:rPr>
        <w:t xml:space="preserve">江苏省消防核事故应急处置专业队第二批装备器材采购及相关服务第三次</w:t>
      </w:r>
      <w:r>
        <w:rPr>
          <w:rFonts w:hint="eastAsia" w:ascii="宋体" w:hAnsi="宋体" w:eastAsia="黑体" w:cs="宋体"/>
          <w:sz w:val="30"/>
          <w:szCs w:val="30"/>
          <w:u w:val="single"/>
          <w:lang w:eastAsia="zh-CN"/>
        </w:rPr>
      </w:r>
      <w:r/>
    </w:p>
    <w:p>
      <w:pPr>
        <w:pStyle w:val="1019"/>
        <w:ind w:firstLine="1200"/>
        <w:jc w:val="left"/>
        <w:spacing w:line="360" w:lineRule="auto"/>
        <w:rPr>
          <w:rFonts w:hint="eastAsia" w:eastAsia="黑体"/>
          <w:lang w:eastAsia="zh-CN"/>
        </w:rPr>
      </w:pPr>
      <w:r>
        <w:rPr>
          <w:rFonts w:hint="eastAsia" w:ascii="黑体" w:hAnsi="黑体" w:eastAsia="黑体" w:cs="黑体"/>
          <w:sz w:val="30"/>
          <w:szCs w:val="30"/>
        </w:rPr>
        <w:t xml:space="preserve">招 标 人：</w:t>
      </w:r>
      <w:r>
        <w:rPr>
          <w:rFonts w:hint="eastAsia" w:ascii="宋体" w:hAnsi="宋体" w:eastAsia="宋体" w:cs="宋体"/>
          <w:sz w:val="30"/>
          <w:szCs w:val="30"/>
          <w:u w:val="single"/>
          <w:lang w:eastAsia="zh-CN"/>
        </w:rPr>
        <w:t xml:space="preserve">江苏省国防动员办公室</w:t>
      </w:r>
      <w:r>
        <w:rPr>
          <w:rFonts w:hint="eastAsia" w:eastAsia="黑体"/>
          <w:lang w:eastAsia="zh-CN"/>
        </w:rPr>
      </w:r>
      <w:r/>
    </w:p>
    <w:p>
      <w:pPr>
        <w:pStyle w:val="1019"/>
        <w:ind w:firstLine="1200"/>
        <w:jc w:val="left"/>
        <w:spacing w:line="360" w:lineRule="auto"/>
        <w:rPr>
          <w:rFonts w:ascii="微软雅黑" w:hAnsi="微软雅黑" w:eastAsia="微软雅黑" w:cs="微软雅黑"/>
          <w:sz w:val="30"/>
          <w:szCs w:val="30"/>
        </w:rPr>
      </w:pPr>
      <w:r>
        <w:rPr>
          <w:rFonts w:hint="eastAsia" w:ascii="黑体" w:hAnsi="黑体" w:eastAsia="黑体" w:cs="黑体"/>
          <w:sz w:val="30"/>
          <w:szCs w:val="30"/>
        </w:rPr>
        <w:t xml:space="preserve">代理机构：</w:t>
      </w:r>
      <w:r>
        <w:rPr>
          <w:rFonts w:hint="eastAsia" w:ascii="宋体" w:hAnsi="宋体" w:cs="宋体"/>
          <w:sz w:val="30"/>
          <w:szCs w:val="30"/>
          <w:u w:val="single"/>
        </w:rPr>
        <w:t xml:space="preserve">江苏通易采企业咨询管理有限公司</w:t>
      </w:r>
      <w:r>
        <w:rPr>
          <w:rFonts w:ascii="微软雅黑" w:hAnsi="微软雅黑" w:eastAsia="微软雅黑" w:cs="微软雅黑"/>
          <w:sz w:val="30"/>
          <w:szCs w:val="30"/>
        </w:rPr>
      </w:r>
      <w:r/>
    </w:p>
    <w:p>
      <w:pPr>
        <w:pStyle w:val="1019"/>
      </w:pPr>
      <w:r/>
      <w:r/>
    </w:p>
    <w:p>
      <w:pPr>
        <w:pStyle w:val="1019"/>
      </w:pPr>
      <w:r/>
      <w:r/>
    </w:p>
    <w:p>
      <w:pPr>
        <w:pStyle w:val="1019"/>
      </w:pPr>
      <w:r/>
      <w:r/>
    </w:p>
    <w:p>
      <w:pPr>
        <w:pStyle w:val="1038"/>
        <w:ind w:left="1260"/>
      </w:pPr>
      <w:r/>
      <w:r/>
    </w:p>
    <w:p>
      <w:pPr>
        <w:pStyle w:val="1019"/>
        <w:jc w:val="center"/>
        <w:rPr>
          <w:rFonts w:hint="eastAsia" w:ascii="微软雅黑" w:hAnsi="微软雅黑" w:eastAsia="微软雅黑" w:cs="微软雅黑"/>
          <w:spacing w:val="30"/>
          <w:sz w:val="32"/>
          <w:szCs w:val="32"/>
          <w:lang w:eastAsia="zh-CN"/>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eastAsia="微软雅黑" w:cs="微软雅黑"/>
          <w:spacing w:val="30"/>
          <w:sz w:val="32"/>
          <w:szCs w:val="32"/>
          <w:lang w:eastAsia="zh-CN"/>
        </w:rPr>
        <w:t xml:space="preserve">2026年07月</w:t>
      </w:r>
      <w:r>
        <w:rPr>
          <w:rFonts w:hint="eastAsia" w:ascii="微软雅黑" w:hAnsi="微软雅黑" w:eastAsia="微软雅黑" w:cs="微软雅黑"/>
          <w:spacing w:val="30"/>
          <w:sz w:val="32"/>
          <w:szCs w:val="32"/>
          <w:lang w:eastAsia="zh-CN"/>
        </w:rPr>
      </w:r>
      <w:r/>
    </w:p>
    <w:p>
      <w:pPr>
        <w:pStyle w:val="1019"/>
        <w:jc w:val="center"/>
        <w:rPr>
          <w:rFonts w:ascii="仿宋" w:hAnsi="仿宋" w:eastAsia="仿宋" w:cs="仿宋"/>
          <w:b/>
          <w:bCs/>
          <w:sz w:val="28"/>
          <w:szCs w:val="28"/>
        </w:rPr>
      </w:pPr>
      <w:r>
        <w:rPr>
          <w:rFonts w:hint="eastAsia" w:ascii="仿宋" w:hAnsi="仿宋" w:eastAsia="仿宋" w:cs="仿宋"/>
          <w:b/>
          <w:bCs/>
          <w:sz w:val="28"/>
          <w:szCs w:val="28"/>
        </w:rPr>
        <w:t xml:space="preserve">目      录</w:t>
      </w:r>
      <w:r>
        <w:rPr>
          <w:rFonts w:ascii="仿宋" w:hAnsi="仿宋" w:eastAsia="仿宋" w:cs="仿宋"/>
          <w:b/>
          <w:bCs/>
          <w:sz w:val="28"/>
          <w:szCs w:val="28"/>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rPr>
        <w:fldChar w:fldCharType="begin"/>
      </w:r>
      <w:r>
        <w:rPr>
          <w:rFonts w:hint="eastAsia" w:ascii="仿宋" w:hAnsi="仿宋" w:eastAsia="仿宋" w:cs="仿宋"/>
          <w:sz w:val="24"/>
        </w:rPr>
        <w:instrText xml:space="preserve">TOC \o "1-3" \h \u </w:instrText>
      </w:r>
      <w:r>
        <w:rPr>
          <w:rFonts w:hint="eastAsia" w:ascii="仿宋" w:hAnsi="仿宋" w:eastAsia="仿宋" w:cs="仿宋"/>
          <w:sz w:val="24"/>
        </w:rPr>
        <w:fldChar w:fldCharType="separate"/>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_Toc4438 </w:instrText>
      </w:r>
      <w:r>
        <w:rPr>
          <w:rFonts w:hint="eastAsia" w:ascii="仿宋" w:hAnsi="仿宋" w:eastAsia="仿宋" w:cs="仿宋"/>
          <w:sz w:val="24"/>
          <w:szCs w:val="32"/>
        </w:rPr>
        <w:fldChar w:fldCharType="separate"/>
      </w:r>
      <w:r>
        <w:rPr>
          <w:rFonts w:hint="eastAsia" w:ascii="仿宋" w:hAnsi="仿宋" w:eastAsia="仿宋" w:cs="仿宋"/>
          <w:sz w:val="24"/>
          <w:szCs w:val="36"/>
        </w:rPr>
        <w:t xml:space="preserve">第一章 公开招标公告</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_Toc4438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_Toc12511 </w:instrText>
      </w:r>
      <w:r>
        <w:rPr>
          <w:rFonts w:hint="eastAsia" w:ascii="仿宋" w:hAnsi="仿宋" w:eastAsia="仿宋" w:cs="仿宋"/>
          <w:sz w:val="24"/>
          <w:szCs w:val="32"/>
        </w:rPr>
        <w:fldChar w:fldCharType="separate"/>
      </w:r>
      <w:r>
        <w:rPr>
          <w:rFonts w:hint="eastAsia" w:ascii="仿宋" w:hAnsi="仿宋" w:eastAsia="仿宋" w:cs="仿宋"/>
          <w:sz w:val="24"/>
          <w:szCs w:val="36"/>
        </w:rPr>
        <w:t xml:space="preserve">第二章 投标人须知</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_Toc12511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_Toc22571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一、总则</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_Toc22571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_Toc20799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二、招标文件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_Toc20799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_Toc22286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三、投标文件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_Toc22286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_Toc30894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四、投标文件的递交</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_Toc30894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7</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_Toc10263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五、投标文件启封及评审</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_Toc10263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8</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_Toc5293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六、合同授予及签订</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_Toc5293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11</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_Toc30567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七、促进中小企业发展政策功能落实</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_Toc30567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_Toc19191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八、其他要求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_Toc19191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_Toc15742 </w:instrText>
      </w:r>
      <w:r>
        <w:rPr>
          <w:rFonts w:hint="eastAsia" w:ascii="仿宋" w:hAnsi="仿宋" w:eastAsia="仿宋" w:cs="仿宋"/>
          <w:sz w:val="24"/>
          <w:szCs w:val="32"/>
        </w:rPr>
        <w:fldChar w:fldCharType="separate"/>
      </w:r>
      <w:r>
        <w:rPr>
          <w:rFonts w:hint="eastAsia" w:ascii="仿宋" w:hAnsi="仿宋" w:eastAsia="仿宋" w:cs="仿宋"/>
          <w:sz w:val="24"/>
          <w:szCs w:val="36"/>
        </w:rPr>
        <w:t xml:space="preserve">第三章 招标书</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_Toc15742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_Toc15601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一</w:t>
      </w:r>
      <w:r>
        <w:rPr>
          <w:rFonts w:hint="eastAsia" w:ascii="仿宋" w:hAnsi="仿宋" w:eastAsia="仿宋" w:cs="仿宋"/>
          <w:bCs/>
          <w:sz w:val="24"/>
          <w:szCs w:val="32"/>
        </w:rPr>
        <w:t xml:space="preserve">、招标主要内容</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_Toc15601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_Toc7537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二</w:t>
      </w:r>
      <w:r>
        <w:rPr>
          <w:rFonts w:hint="eastAsia" w:ascii="仿宋" w:hAnsi="仿宋" w:eastAsia="仿宋" w:cs="仿宋"/>
          <w:bCs/>
          <w:sz w:val="24"/>
          <w:szCs w:val="32"/>
        </w:rPr>
        <w:t xml:space="preserve">、评标办法和定标原则</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_Toc7537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17</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_Toc29594 </w:instrText>
      </w:r>
      <w:r>
        <w:rPr>
          <w:rFonts w:hint="eastAsia" w:ascii="仿宋" w:hAnsi="仿宋" w:eastAsia="仿宋" w:cs="仿宋"/>
          <w:sz w:val="24"/>
          <w:szCs w:val="32"/>
        </w:rPr>
        <w:fldChar w:fldCharType="separate"/>
      </w:r>
      <w:r>
        <w:rPr>
          <w:rFonts w:hint="eastAsia" w:ascii="仿宋" w:hAnsi="仿宋" w:eastAsia="仿宋" w:cs="仿宋"/>
          <w:bCs/>
          <w:sz w:val="24"/>
          <w:szCs w:val="36"/>
        </w:rPr>
        <w:t xml:space="preserve">（一）资格性评审记录表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_Toc29594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18</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_Toc3472 </w:instrText>
      </w:r>
      <w:r>
        <w:rPr>
          <w:rFonts w:hint="eastAsia" w:ascii="仿宋" w:hAnsi="仿宋" w:eastAsia="仿宋" w:cs="仿宋"/>
          <w:sz w:val="24"/>
          <w:szCs w:val="32"/>
        </w:rPr>
        <w:fldChar w:fldCharType="separate"/>
      </w:r>
      <w:r>
        <w:rPr>
          <w:rFonts w:hint="eastAsia" w:ascii="仿宋" w:hAnsi="仿宋" w:eastAsia="仿宋" w:cs="仿宋"/>
          <w:bCs/>
          <w:sz w:val="24"/>
          <w:szCs w:val="36"/>
          <w:lang w:val="en-US" w:eastAsia="zh-CN" w:bidi="ar-SA"/>
        </w:rPr>
        <w:t xml:space="preserve">（二）符合性评审记录表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_Toc3472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19</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_Toc8201 </w:instrText>
      </w:r>
      <w:r>
        <w:rPr>
          <w:rFonts w:hint="eastAsia" w:ascii="仿宋" w:hAnsi="仿宋" w:eastAsia="仿宋" w:cs="仿宋"/>
          <w:sz w:val="24"/>
          <w:szCs w:val="32"/>
        </w:rPr>
        <w:fldChar w:fldCharType="separate"/>
      </w:r>
      <w:r>
        <w:rPr>
          <w:rFonts w:hint="eastAsia" w:ascii="仿宋" w:hAnsi="仿宋" w:eastAsia="仿宋" w:cs="仿宋"/>
          <w:bCs w:val="0"/>
          <w:sz w:val="24"/>
          <w:szCs w:val="36"/>
          <w:highlight w:val="none"/>
        </w:rPr>
        <w:t xml:space="preserve">（</w:t>
      </w:r>
      <w:r>
        <w:rPr>
          <w:rFonts w:hint="eastAsia" w:ascii="仿宋" w:hAnsi="仿宋" w:eastAsia="仿宋" w:cs="仿宋"/>
          <w:bCs w:val="0"/>
          <w:sz w:val="24"/>
          <w:szCs w:val="36"/>
          <w:highlight w:val="none"/>
          <w:lang w:val="en-US" w:eastAsia="zh-CN"/>
        </w:rPr>
        <w:t xml:space="preserve">三</w:t>
      </w:r>
      <w:r>
        <w:rPr>
          <w:rFonts w:hint="eastAsia" w:ascii="仿宋" w:hAnsi="仿宋" w:eastAsia="仿宋" w:cs="仿宋"/>
          <w:bCs w:val="0"/>
          <w:sz w:val="24"/>
          <w:szCs w:val="36"/>
          <w:highlight w:val="none"/>
        </w:rPr>
        <w:t xml:space="preserve">）评分因素及分值</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_Toc8201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20</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_Toc26237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三</w:t>
      </w:r>
      <w:r>
        <w:rPr>
          <w:rFonts w:hint="eastAsia" w:ascii="仿宋" w:hAnsi="仿宋" w:eastAsia="仿宋" w:cs="仿宋"/>
          <w:bCs/>
          <w:sz w:val="24"/>
          <w:szCs w:val="32"/>
        </w:rPr>
        <w:t xml:space="preserve">、关于样品</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_Toc26237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22</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_Toc31924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四</w:t>
      </w:r>
      <w:r>
        <w:rPr>
          <w:rFonts w:hint="eastAsia" w:ascii="仿宋" w:hAnsi="仿宋" w:eastAsia="仿宋" w:cs="仿宋"/>
          <w:bCs/>
          <w:sz w:val="24"/>
          <w:szCs w:val="32"/>
        </w:rPr>
        <w:t xml:space="preserve">、关于现场陈述</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_Toc31924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22</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_Toc5064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五</w:t>
      </w:r>
      <w:r>
        <w:rPr>
          <w:rFonts w:hint="eastAsia" w:ascii="仿宋" w:hAnsi="仿宋" w:eastAsia="仿宋" w:cs="仿宋"/>
          <w:bCs/>
          <w:sz w:val="24"/>
          <w:szCs w:val="32"/>
        </w:rPr>
        <w:t xml:space="preserve">、有关开标当日流程</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_Toc5064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22</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_Toc15892 </w:instrText>
      </w:r>
      <w:r>
        <w:rPr>
          <w:rFonts w:hint="eastAsia" w:ascii="仿宋" w:hAnsi="仿宋" w:eastAsia="仿宋" w:cs="仿宋"/>
          <w:sz w:val="24"/>
          <w:szCs w:val="32"/>
        </w:rPr>
        <w:fldChar w:fldCharType="separate"/>
      </w:r>
      <w:r>
        <w:rPr>
          <w:rFonts w:hint="eastAsia" w:ascii="仿宋" w:hAnsi="仿宋" w:eastAsia="仿宋" w:cs="仿宋"/>
          <w:bCs/>
          <w:sz w:val="24"/>
          <w:szCs w:val="32"/>
          <w:lang w:val="en-US" w:eastAsia="zh-CN"/>
        </w:rPr>
        <w:t xml:space="preserve">六</w:t>
      </w:r>
      <w:r>
        <w:rPr>
          <w:rFonts w:hint="eastAsia" w:ascii="仿宋" w:hAnsi="仿宋" w:eastAsia="仿宋" w:cs="仿宋"/>
          <w:bCs/>
          <w:sz w:val="24"/>
          <w:szCs w:val="32"/>
        </w:rPr>
        <w:t xml:space="preserve">、参加招标活动的费用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_Toc15892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_Toc14979 </w:instrText>
      </w:r>
      <w:r>
        <w:rPr>
          <w:rFonts w:hint="eastAsia" w:ascii="仿宋" w:hAnsi="仿宋" w:eastAsia="仿宋" w:cs="仿宋"/>
          <w:sz w:val="24"/>
          <w:szCs w:val="32"/>
        </w:rPr>
        <w:fldChar w:fldCharType="separate"/>
      </w:r>
      <w:r>
        <w:rPr>
          <w:rFonts w:hint="eastAsia" w:ascii="仿宋" w:hAnsi="仿宋" w:eastAsia="仿宋" w:cs="仿宋"/>
          <w:sz w:val="24"/>
          <w:szCs w:val="36"/>
        </w:rPr>
        <w:t xml:space="preserve">第四章 项目需求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_Toc14979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_Toc13680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一、项目概况</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_Toc13680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_Toc3441 </w:instrText>
      </w:r>
      <w:r>
        <w:rPr>
          <w:rFonts w:hint="eastAsia" w:ascii="仿宋" w:hAnsi="仿宋" w:eastAsia="仿宋" w:cs="仿宋"/>
          <w:sz w:val="24"/>
          <w:szCs w:val="32"/>
        </w:rPr>
        <w:fldChar w:fldCharType="separate"/>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二</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商务要求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_Toc3441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_Toc7875 </w:instrText>
      </w:r>
      <w:r>
        <w:rPr>
          <w:rFonts w:hint="eastAsia" w:ascii="仿宋" w:hAnsi="仿宋" w:eastAsia="仿宋" w:cs="仿宋"/>
          <w:sz w:val="24"/>
          <w:szCs w:val="32"/>
        </w:rPr>
        <w:fldChar w:fldCharType="separate"/>
      </w:r>
      <w:r>
        <w:rPr>
          <w:rFonts w:hint="eastAsia" w:ascii="仿宋" w:hAnsi="仿宋" w:eastAsia="仿宋" w:cs="仿宋"/>
          <w:bCs/>
          <w:sz w:val="24"/>
          <w:szCs w:val="32"/>
          <w:highlight w:val="none"/>
          <w:lang w:val="en-US" w:eastAsia="zh-CN"/>
        </w:rPr>
        <w:t xml:space="preserve">三</w:t>
      </w:r>
      <w:r>
        <w:rPr>
          <w:rFonts w:hint="eastAsia" w:ascii="仿宋" w:hAnsi="仿宋" w:eastAsia="仿宋" w:cs="仿宋"/>
          <w:bCs/>
          <w:sz w:val="24"/>
          <w:szCs w:val="32"/>
          <w:highlight w:val="none"/>
        </w:rPr>
        <w:t xml:space="preserve">、</w:t>
      </w:r>
      <w:r>
        <w:rPr>
          <w:rFonts w:hint="eastAsia" w:ascii="仿宋" w:hAnsi="仿宋" w:eastAsia="仿宋" w:cs="仿宋"/>
          <w:bCs/>
          <w:sz w:val="24"/>
          <w:szCs w:val="32"/>
          <w:highlight w:val="none"/>
          <w:lang w:val="en-US" w:eastAsia="zh-CN"/>
        </w:rPr>
        <w:t xml:space="preserve">技术要求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_Toc7875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_Toc960 </w:instrText>
      </w:r>
      <w:r>
        <w:rPr>
          <w:rFonts w:hint="eastAsia" w:ascii="仿宋" w:hAnsi="仿宋" w:eastAsia="仿宋" w:cs="仿宋"/>
          <w:sz w:val="24"/>
          <w:szCs w:val="32"/>
        </w:rPr>
        <w:fldChar w:fldCharType="separate"/>
      </w:r>
      <w:r>
        <w:rPr>
          <w:rFonts w:hint="eastAsia" w:ascii="仿宋" w:hAnsi="仿宋" w:eastAsia="仿宋" w:cs="仿宋"/>
          <w:sz w:val="24"/>
          <w:szCs w:val="44"/>
          <w:highlight w:val="none"/>
        </w:rPr>
        <w:t xml:space="preserve">第五章 合同主要条款及格式</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_Toc960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_Toc6944 </w:instrText>
      </w:r>
      <w:r>
        <w:rPr>
          <w:rFonts w:hint="eastAsia" w:ascii="仿宋" w:hAnsi="仿宋" w:eastAsia="仿宋" w:cs="仿宋"/>
          <w:sz w:val="24"/>
          <w:szCs w:val="32"/>
        </w:rPr>
        <w:fldChar w:fldCharType="separate"/>
      </w:r>
      <w:r>
        <w:rPr>
          <w:rFonts w:hint="eastAsia" w:ascii="仿宋" w:hAnsi="仿宋" w:eastAsia="仿宋" w:cs="仿宋"/>
          <w:sz w:val="24"/>
          <w:szCs w:val="32"/>
          <w:highlight w:val="none"/>
        </w:rPr>
        <w:t xml:space="preserve">一、合同协议书</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_Toc6944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_Toc3688 </w:instrText>
      </w:r>
      <w:r>
        <w:rPr>
          <w:rFonts w:hint="eastAsia" w:ascii="仿宋" w:hAnsi="仿宋" w:eastAsia="仿宋" w:cs="仿宋"/>
          <w:sz w:val="24"/>
          <w:szCs w:val="32"/>
        </w:rPr>
        <w:fldChar w:fldCharType="separate"/>
      </w:r>
      <w:r>
        <w:rPr>
          <w:rFonts w:hint="eastAsia" w:ascii="仿宋" w:hAnsi="仿宋" w:eastAsia="仿宋" w:cs="仿宋"/>
          <w:bCs/>
          <w:sz w:val="24"/>
          <w:szCs w:val="36"/>
          <w:highlight w:val="none"/>
        </w:rPr>
        <w:t xml:space="preserve">二、廉政合同</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_Toc3688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37</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6"/>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_Toc8970 </w:instrText>
      </w:r>
      <w:r>
        <w:rPr>
          <w:rFonts w:hint="eastAsia" w:ascii="仿宋" w:hAnsi="仿宋" w:eastAsia="仿宋" w:cs="仿宋"/>
          <w:sz w:val="24"/>
          <w:szCs w:val="32"/>
        </w:rPr>
        <w:fldChar w:fldCharType="separate"/>
      </w:r>
      <w:r>
        <w:rPr>
          <w:rFonts w:hint="eastAsia" w:ascii="仿宋" w:hAnsi="仿宋" w:eastAsia="仿宋" w:cs="仿宋"/>
          <w:sz w:val="24"/>
          <w:szCs w:val="36"/>
        </w:rPr>
        <w:t xml:space="preserve">第六章 投标文件格式</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_Toc8970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38</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_Toc2467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开标一览表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_Toc2467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40</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_Toc22668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分项报价表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_Toc22668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41</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_Toc21283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一、投标函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_Toc21283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_Toc7963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二、法定代表人身份证明</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_Toc7963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_Toc29418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三、授权委托书</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_Toc29418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46</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_Toc20361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四、 商务条款偏离表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_Toc20361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47</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_Toc29682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五、 技术条款偏离表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_Toc29682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48</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_Toc20628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六</w:t>
      </w:r>
      <w:r>
        <w:rPr>
          <w:rFonts w:hint="eastAsia" w:ascii="仿宋" w:hAnsi="仿宋" w:eastAsia="仿宋" w:cs="仿宋"/>
          <w:bCs/>
          <w:sz w:val="24"/>
          <w:szCs w:val="40"/>
        </w:rPr>
        <w:t xml:space="preserve">、资格证明文件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_Toc20628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49</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_Toc13065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七</w:t>
      </w:r>
      <w:r>
        <w:rPr>
          <w:rFonts w:hint="eastAsia" w:ascii="仿宋" w:hAnsi="仿宋" w:eastAsia="仿宋" w:cs="仿宋"/>
          <w:bCs/>
          <w:sz w:val="24"/>
          <w:szCs w:val="40"/>
        </w:rPr>
        <w:t xml:space="preserve">、技术性能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_Toc13065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50</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_Toc24782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八</w:t>
      </w:r>
      <w:r>
        <w:rPr>
          <w:rFonts w:hint="eastAsia" w:ascii="仿宋" w:hAnsi="仿宋" w:eastAsia="仿宋" w:cs="仿宋"/>
          <w:bCs/>
          <w:sz w:val="24"/>
          <w:szCs w:val="40"/>
        </w:rPr>
        <w:t xml:space="preserve">、项目实施方案</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_Toc24782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51</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_Toc23941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九、 业绩</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_Toc23941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52</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_Toc1271 </w:instrText>
      </w:r>
      <w:r>
        <w:rPr>
          <w:rFonts w:hint="eastAsia" w:ascii="仿宋" w:hAnsi="仿宋" w:eastAsia="仿宋" w:cs="仿宋"/>
          <w:sz w:val="24"/>
          <w:szCs w:val="32"/>
        </w:rPr>
        <w:fldChar w:fldCharType="separate"/>
      </w:r>
      <w:r>
        <w:rPr>
          <w:rFonts w:hint="eastAsia" w:ascii="仿宋" w:hAnsi="仿宋" w:eastAsia="仿宋" w:cs="仿宋"/>
          <w:bCs/>
          <w:sz w:val="24"/>
          <w:szCs w:val="40"/>
          <w:lang w:val="en-US" w:eastAsia="zh-CN"/>
        </w:rPr>
        <w:t xml:space="preserve">十</w:t>
      </w:r>
      <w:r>
        <w:rPr>
          <w:rFonts w:hint="eastAsia" w:ascii="仿宋" w:hAnsi="仿宋" w:eastAsia="仿宋" w:cs="仿宋"/>
          <w:bCs/>
          <w:sz w:val="24"/>
          <w:szCs w:val="40"/>
        </w:rPr>
        <w:t xml:space="preserve">、附件</w:t>
      </w:r>
      <w:r>
        <w:rPr>
          <w:rFonts w:hint="eastAsia" w:ascii="仿宋" w:hAnsi="仿宋" w:eastAsia="仿宋" w:cs="仿宋"/>
          <w:bCs/>
          <w:sz w:val="24"/>
          <w:szCs w:val="40"/>
          <w:lang w:eastAsia="zh-CN"/>
        </w:rPr>
        <w:t xml:space="preserve">（</w:t>
      </w:r>
      <w:r>
        <w:rPr>
          <w:rFonts w:hint="eastAsia" w:ascii="仿宋" w:hAnsi="仿宋" w:eastAsia="仿宋" w:cs="仿宋"/>
          <w:bCs/>
          <w:sz w:val="24"/>
          <w:szCs w:val="40"/>
          <w:lang w:val="en-US" w:eastAsia="zh-CN"/>
        </w:rPr>
        <w:t xml:space="preserve">如有</w:t>
      </w:r>
      <w:r>
        <w:rPr>
          <w:rFonts w:hint="eastAsia" w:ascii="仿宋" w:hAnsi="仿宋" w:eastAsia="仿宋" w:cs="仿宋"/>
          <w:bCs/>
          <w:sz w:val="24"/>
          <w:szCs w:val="40"/>
          <w:lang w:eastAsia="zh-CN"/>
        </w:rPr>
        <w:t xml:space="preserve">）</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_Toc1271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_Toc26315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1、中小企业声明函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_Toc26315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53</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_Toc26116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2、残疾人福利性单位声明函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_Toc26116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_Toc12975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3、属于监狱企业的证明文件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_Toc12975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_Toc1116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4、节能产品认证证书</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_Toc1116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_Toc25659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5、环境标志产品认证证书</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_Toc25659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_Toc4636 </w:instrText>
      </w:r>
      <w:r>
        <w:rPr>
          <w:rFonts w:hint="eastAsia" w:ascii="仿宋" w:hAnsi="仿宋" w:eastAsia="仿宋" w:cs="仿宋"/>
          <w:sz w:val="24"/>
          <w:szCs w:val="32"/>
        </w:rPr>
        <w:fldChar w:fldCharType="separate"/>
      </w:r>
      <w:r>
        <w:rPr>
          <w:rFonts w:hint="eastAsia" w:ascii="仿宋" w:hAnsi="仿宋" w:eastAsia="仿宋" w:cs="仿宋"/>
          <w:bCs/>
          <w:sz w:val="24"/>
          <w:szCs w:val="32"/>
        </w:rPr>
        <w:t xml:space="preserve">6、进口产品转让技术、消化吸收再创新方案</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_Toc4636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54</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rPr>
          <w:rFonts w:hint="eastAsia" w:ascii="仿宋" w:hAnsi="仿宋" w:eastAsia="仿宋" w:cs="仿宋"/>
          <w:sz w:val="24"/>
          <w:szCs w:val="32"/>
        </w:rPr>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_Toc31593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十</w:t>
      </w:r>
      <w:r>
        <w:rPr>
          <w:rFonts w:hint="eastAsia" w:ascii="仿宋" w:hAnsi="仿宋" w:eastAsia="仿宋" w:cs="仿宋"/>
          <w:bCs/>
          <w:sz w:val="24"/>
          <w:szCs w:val="40"/>
          <w:lang w:val="en-US" w:eastAsia="zh-CN"/>
        </w:rPr>
        <w:t xml:space="preserve">一</w:t>
      </w:r>
      <w:r>
        <w:rPr>
          <w:rFonts w:hint="eastAsia" w:ascii="仿宋" w:hAnsi="仿宋" w:eastAsia="仿宋" w:cs="仿宋"/>
          <w:bCs/>
          <w:sz w:val="24"/>
          <w:szCs w:val="40"/>
        </w:rPr>
        <w:t xml:space="preserve">、关于符合本国产品标准的声明函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_Toc31593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55</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rPr>
          <w:rFonts w:hint="eastAsia" w:ascii="仿宋" w:hAnsi="仿宋" w:eastAsia="仿宋" w:cs="仿宋"/>
          <w:sz w:val="24"/>
          <w:szCs w:val="32"/>
        </w:rPr>
      </w:r>
      <w:r/>
    </w:p>
    <w:p>
      <w:pPr>
        <w:pStyle w:val="1048"/>
        <w:keepLines w:val="0"/>
        <w:keepNext w:val="0"/>
        <w:pageBreakBefore w:val="0"/>
        <w:spacing w:line="360" w:lineRule="auto"/>
        <w:widowControl w:val="off"/>
        <w:tabs>
          <w:tab w:val="right" w:pos="9355" w:leader="dot"/>
        </w:tabs>
      </w:pP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HYPERLINK \l _Toc5218 </w:instrText>
      </w:r>
      <w:r>
        <w:rPr>
          <w:rFonts w:hint="eastAsia" w:ascii="仿宋" w:hAnsi="仿宋" w:eastAsia="仿宋" w:cs="仿宋"/>
          <w:sz w:val="24"/>
          <w:szCs w:val="32"/>
        </w:rPr>
        <w:fldChar w:fldCharType="separate"/>
      </w:r>
      <w:r>
        <w:rPr>
          <w:rFonts w:hint="eastAsia" w:ascii="仿宋" w:hAnsi="仿宋" w:eastAsia="仿宋" w:cs="仿宋"/>
          <w:bCs/>
          <w:sz w:val="24"/>
          <w:szCs w:val="40"/>
        </w:rPr>
        <w:t xml:space="preserve">十</w:t>
      </w:r>
      <w:r>
        <w:rPr>
          <w:rFonts w:hint="eastAsia" w:ascii="仿宋" w:hAnsi="仿宋" w:eastAsia="仿宋" w:cs="仿宋"/>
          <w:bCs/>
          <w:sz w:val="24"/>
          <w:szCs w:val="40"/>
          <w:lang w:val="en-US" w:eastAsia="zh-CN"/>
        </w:rPr>
        <w:t xml:space="preserve">二</w:t>
      </w:r>
      <w:r>
        <w:rPr>
          <w:rFonts w:hint="eastAsia" w:ascii="仿宋" w:hAnsi="仿宋" w:eastAsia="仿宋" w:cs="仿宋"/>
          <w:bCs/>
          <w:sz w:val="24"/>
          <w:szCs w:val="40"/>
        </w:rPr>
        <w:t xml:space="preserve">、其他材料（如有）</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_Toc5218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56</w:t>
      </w:r>
      <w:r>
        <w:rPr>
          <w:rFonts w:hint="eastAsia" w:ascii="仿宋" w:hAnsi="仿宋" w:eastAsia="仿宋" w:cs="仿宋"/>
          <w:sz w:val="24"/>
          <w:szCs w:val="32"/>
        </w:rPr>
        <w:fldChar w:fldCharType="end"/>
      </w:r>
      <w:r>
        <w:rPr>
          <w:rFonts w:hint="eastAsia" w:ascii="仿宋" w:hAnsi="仿宋" w:eastAsia="仿宋" w:cs="仿宋"/>
          <w:sz w:val="24"/>
          <w:szCs w:val="32"/>
        </w:rPr>
        <w:fldChar w:fldCharType="end"/>
      </w:r>
      <w:r/>
    </w:p>
    <w:p>
      <w:pPr>
        <w:pStyle w:val="1031"/>
        <w:ind w:firstLine="0"/>
        <w:spacing w:line="360" w:lineRule="auto"/>
        <w:rPr>
          <w:rFonts w:ascii="仿宋" w:hAnsi="仿宋" w:eastAsia="仿宋" w:cs="仿宋"/>
          <w:sz w:val="24"/>
        </w:rPr>
        <w:sectPr>
          <w:footerReference w:type="default" r:id="rId13"/>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rPr>
        <w:fldChar w:fldCharType="end"/>
      </w: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0" w:name="_Toc152045511"/>
      <w:r/>
      <w:bookmarkStart w:id="1" w:name="_Toc24084"/>
      <w:r/>
      <w:bookmarkStart w:id="2" w:name="_Toc144974479"/>
      <w:r/>
      <w:bookmarkStart w:id="3" w:name="_Toc152042287"/>
      <w:r/>
      <w:bookmarkStart w:id="4" w:name="_Toc4438"/>
      <w:r>
        <w:rPr>
          <w:rFonts w:hint="eastAsia" w:ascii="楷体" w:hAnsi="楷体" w:eastAsia="楷体" w:cs="楷体"/>
          <w:sz w:val="28"/>
          <w:szCs w:val="28"/>
        </w:rPr>
        <w:t xml:space="preserve">第一章 公开招标公告</w:t>
      </w:r>
      <w:bookmarkEnd w:id="0"/>
      <w:r/>
      <w:bookmarkEnd w:id="1"/>
      <w:r/>
      <w:bookmarkEnd w:id="2"/>
      <w:r/>
      <w:bookmarkEnd w:id="3"/>
      <w:r/>
      <w:bookmarkEnd w:id="4"/>
      <w:r>
        <w:rPr>
          <w:rFonts w:ascii="楷体" w:hAnsi="楷体" w:eastAsia="楷体" w:cs="楷体"/>
          <w:sz w:val="28"/>
          <w:szCs w:val="28"/>
        </w:rPr>
      </w:r>
      <w:r/>
    </w:p>
    <w:p>
      <w:pPr>
        <w:pStyle w:val="1019"/>
        <w:ind w:firstLine="482"/>
        <w:spacing w:line="480" w:lineRule="exact"/>
        <w:rPr>
          <w:rFonts w:ascii="仿宋" w:hAnsi="仿宋" w:eastAsia="仿宋" w:cs="仿宋"/>
          <w:b/>
          <w:bCs/>
          <w:sz w:val="24"/>
        </w:rPr>
      </w:pPr>
      <w:r/>
      <w:bookmarkStart w:id="5" w:name="_Toc152045527"/>
      <w:r/>
      <w:bookmarkStart w:id="6" w:name="_Toc144974495"/>
      <w:r/>
      <w:bookmarkStart w:id="7" w:name="_Toc152042303"/>
      <w:r>
        <w:rPr>
          <w:rFonts w:hint="eastAsia" w:ascii="仿宋" w:hAnsi="仿宋" w:eastAsia="仿宋" w:cs="仿宋"/>
          <w:b/>
          <w:bCs/>
          <w:sz w:val="24"/>
        </w:rPr>
        <w:t xml:space="preserve">一、招标条件</w:t>
      </w:r>
      <w:r>
        <w:rPr>
          <w:rFonts w:ascii="仿宋" w:hAnsi="仿宋" w:eastAsia="仿宋" w:cs="仿宋"/>
          <w:b/>
          <w:bCs/>
          <w:sz w:val="24"/>
        </w:rPr>
      </w:r>
      <w:r/>
    </w:p>
    <w:p>
      <w:pPr>
        <w:pStyle w:val="1019"/>
        <w:ind w:firstLine="480"/>
        <w:spacing w:line="480" w:lineRule="exact"/>
        <w:rPr>
          <w:rFonts w:ascii="仿宋" w:hAnsi="仿宋" w:eastAsia="仿宋" w:cs="仿宋"/>
          <w:bCs/>
          <w:sz w:val="24"/>
        </w:rPr>
      </w:pP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rPr>
        <w:t xml:space="preserve">已经财政预算批准，项目资金来源为财政性资金</w:t>
      </w:r>
      <w:r>
        <w:rPr>
          <w:rFonts w:hint="eastAsia" w:ascii="仿宋" w:hAnsi="仿宋" w:eastAsia="仿宋" w:cs="仿宋"/>
          <w:sz w:val="24"/>
          <w:lang w:eastAsia="zh-CN"/>
        </w:rPr>
        <w:t xml:space="preserve">180万元</w:t>
      </w:r>
      <w:r>
        <w:rPr>
          <w:rFonts w:hint="eastAsia" w:ascii="仿宋" w:hAnsi="仿宋" w:eastAsia="仿宋" w:cs="仿宋"/>
          <w:sz w:val="24"/>
        </w:rPr>
        <w:t xml:space="preserve">。招标人为</w:t>
      </w:r>
      <w:r>
        <w:rPr>
          <w:rFonts w:hint="eastAsia" w:ascii="仿宋" w:hAnsi="仿宋" w:eastAsia="仿宋" w:cs="仿宋"/>
          <w:sz w:val="24"/>
          <w:lang w:eastAsia="zh-CN"/>
        </w:rPr>
        <w:t xml:space="preserve">江苏省国防动员办公室</w:t>
      </w:r>
      <w:r>
        <w:rPr>
          <w:rFonts w:hint="eastAsia" w:ascii="仿宋" w:hAnsi="仿宋" w:eastAsia="仿宋" w:cs="仿宋"/>
          <w:sz w:val="24"/>
        </w:rPr>
        <w:t xml:space="preserve">，本项目已具备招标条件。</w:t>
      </w:r>
      <w:r>
        <w:rPr>
          <w:rFonts w:ascii="仿宋" w:hAnsi="仿宋" w:eastAsia="仿宋" w:cs="仿宋"/>
          <w:bCs/>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二、项目基本信息</w:t>
      </w:r>
      <w:r>
        <w:rPr>
          <w:rFonts w:ascii="仿宋" w:hAnsi="仿宋" w:eastAsia="仿宋" w:cs="仿宋"/>
          <w:b/>
          <w:bCs/>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JSZC-320000-TYCQ-G2026-0003</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.本项目标的所属行业：工业。</w:t>
      </w:r>
      <w:r>
        <w:rPr>
          <w:rFonts w:hint="eastAsia" w:ascii="仿宋" w:hAnsi="仿宋" w:eastAsia="仿宋" w:cs="仿宋"/>
          <w:sz w:val="24"/>
          <w:highlight w:val="none"/>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三、供应商资格要求</w:t>
      </w:r>
      <w:r>
        <w:rPr>
          <w:rFonts w:ascii="仿宋" w:hAnsi="仿宋" w:eastAsia="仿宋" w:cs="仿宋"/>
          <w:b/>
          <w:bCs/>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1.满足《中华人民共和国政府采购法》第二十二条规定；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1.1具有独立承担民事责任的能力（投标供应商须具有独立法人资格，提供法人或者其他组织的营业执照复印件</w:t>
      </w:r>
      <w:r>
        <w:rPr>
          <w:rFonts w:hint="eastAsia" w:ascii="仿宋" w:hAnsi="仿宋" w:eastAsia="仿宋" w:cs="仿宋"/>
          <w:sz w:val="24"/>
          <w:lang w:val="en-US" w:eastAsia="zh-CN"/>
        </w:rPr>
        <w:t xml:space="preserve">或扫描件</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1.2具有良好的商业信誉和健全的财务会计制度[提供202</w:t>
      </w:r>
      <w:r>
        <w:rPr>
          <w:rFonts w:hint="eastAsia" w:ascii="仿宋" w:hAnsi="仿宋" w:eastAsia="仿宋" w:cs="仿宋"/>
          <w:sz w:val="24"/>
          <w:lang w:val="en-US" w:eastAsia="zh-CN"/>
        </w:rPr>
        <w:t xml:space="preserve">5</w:t>
      </w:r>
      <w:r>
        <w:rPr>
          <w:rFonts w:hint="eastAsia" w:ascii="仿宋" w:hAnsi="仿宋" w:eastAsia="仿宋" w:cs="仿宋"/>
          <w:sz w:val="24"/>
        </w:rPr>
        <w:t xml:space="preserve">年度财务报</w:t>
      </w:r>
      <w:r>
        <w:rPr>
          <w:rFonts w:hint="eastAsia" w:ascii="仿宋" w:hAnsi="仿宋" w:eastAsia="仿宋" w:cs="仿宋"/>
          <w:sz w:val="24"/>
          <w:lang w:val="en-US" w:eastAsia="zh-CN"/>
        </w:rPr>
        <w:t xml:space="preserve">告</w:t>
      </w:r>
      <w:r>
        <w:rPr>
          <w:rFonts w:hint="eastAsia" w:ascii="仿宋" w:hAnsi="仿宋" w:eastAsia="仿宋" w:cs="仿宋"/>
          <w:sz w:val="24"/>
        </w:rPr>
        <w:t xml:space="preserve">，或投标截止时间前六个月内银行出具的资信证明，</w:t>
      </w:r>
      <w:r>
        <w:rPr>
          <w:rFonts w:hint="eastAsia" w:ascii="仿宋" w:hAnsi="仿宋" w:eastAsia="仿宋" w:cs="仿宋"/>
          <w:sz w:val="24"/>
          <w:lang w:val="en-US" w:eastAsia="zh-CN"/>
        </w:rPr>
        <w:t xml:space="preserve">或开标前六个月内任意一个月的财务状况报告（至少包括资产负债表和利润表）（法人或者其他组织成立未满三个月的可以不提供），</w:t>
      </w:r>
      <w:r>
        <w:rPr>
          <w:rFonts w:hint="eastAsia" w:ascii="仿宋" w:hAnsi="仿宋" w:eastAsia="仿宋" w:cs="仿宋"/>
          <w:sz w:val="24"/>
        </w:rPr>
        <w:t xml:space="preserve">或财政部门认可的政府采购专业担保机构出具的投标担保函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1.3具有履行合同所必需的设备和专业技术能力（无须提供证明文件，以投标供应商提供的《投标函》为准）；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1.4</w:t>
      </w: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1.5参加本次采购活动前三年内，在经营活动中没有重大违法记录（无须提供证明文件，以投标供应商提供的《投标函》为准）；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1.6法律、行政法规规定的其他条件。（无须提供证明文件，以投标供应商提供的《投标函》为准）。</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lang w:val="zh-CN"/>
        </w:rPr>
        <w:t xml:space="preserve">2.</w:t>
      </w:r>
      <w:r>
        <w:rPr>
          <w:rFonts w:hint="eastAsia" w:ascii="仿宋" w:hAnsi="仿宋" w:eastAsia="仿宋" w:cs="仿宋"/>
          <w:sz w:val="24"/>
        </w:rPr>
        <w:t xml:space="preserve">拒绝下述投标供应商参加本次招标活动：</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rPr>
        <w:t xml:space="preserve">（1）为招标项目提供整体设计、规范编制或者项目管理、监理、检测等服务的；不得再参加本项目的招标活动；</w:t>
      </w:r>
      <w:r>
        <w:rPr>
          <w:rFonts w:ascii="仿宋" w:hAnsi="仿宋" w:eastAsia="仿宋" w:cs="仿宋"/>
          <w:sz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（2）投标供应商单位负责人为同一人或者存在直接控股、管理关系的不同投标供应商，不得参加同一合同项下的招标活动；</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（3）被“信用中国”网站（www.creditchina.gov.cn）列入失信被执行人、重大税收违法失信主体；中国政府采购网（www.ccgp.gov.cn)）政府采购严重违法失信行为记录名单。</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ascii="仿宋" w:hAnsi="仿宋" w:eastAsia="仿宋" w:cs="仿宋"/>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本项目按照采用以下第（4）种方式落实政府采购促进中小企业发展的要求</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（1）本项目整体专门面向中小企业采购服务；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（2）本项目整体专门面向小微企业采购服务。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（3）本项目通过以下第 种方式预留部分采购份额采购中小企业服务: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①本项目要求供应商以联合体形式参加，企业合同金额应当达到的比例为%。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②本项目要求供应商进行合同分包，企业合同金额应当达到的比例为%。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（4）本项目为非预留份额的采购项目或采购包，执行价格扣除优惠政策，具体详见第三章招标书二、评审办法和定标原则。</w:t>
      </w:r>
      <w:r>
        <w:rPr>
          <w:rFonts w:ascii="仿宋" w:hAnsi="仿宋" w:eastAsia="仿宋" w:cs="仿宋"/>
          <w:b/>
          <w:bCs/>
          <w:sz w:val="24"/>
          <w:szCs w:val="24"/>
        </w:rPr>
      </w:r>
      <w:r/>
    </w:p>
    <w:p>
      <w:pPr>
        <w:pStyle w:val="1038"/>
        <w:ind w:left="0" w:firstLine="480"/>
        <w:spacing w:line="480" w:lineRule="exact"/>
        <w:rPr>
          <w:rFonts w:ascii="仿宋" w:hAnsi="仿宋" w:eastAsia="仿宋" w:cs="仿宋"/>
          <w:sz w:val="24"/>
          <w:szCs w:val="24"/>
        </w:rPr>
      </w:pPr>
      <w:r/>
      <w:bookmarkStart w:id="8" w:name="_Toc10770"/>
      <w:r>
        <w:rPr>
          <w:rFonts w:hint="eastAsia" w:ascii="仿宋" w:hAnsi="仿宋" w:eastAsia="仿宋" w:cs="仿宋"/>
          <w:sz w:val="24"/>
          <w:szCs w:val="24"/>
        </w:rPr>
        <w:t xml:space="preserve">4.本项目的特定资格要求:</w:t>
      </w:r>
      <w:bookmarkEnd w:id="8"/>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本项目无特定资格要求。</w:t>
      </w:r>
      <w:r>
        <w:rPr>
          <w:rFonts w:ascii="仿宋" w:hAnsi="仿宋" w:eastAsia="仿宋" w:cs="仿宋"/>
          <w:sz w:val="24"/>
          <w:szCs w:val="24"/>
        </w:rPr>
      </w:r>
      <w:r/>
    </w:p>
    <w:p>
      <w:pPr>
        <w:pStyle w:val="1038"/>
        <w:ind w:left="0" w:firstLine="480"/>
        <w:spacing w:line="480" w:lineRule="exact"/>
        <w:rPr>
          <w:rFonts w:ascii="仿宋" w:hAnsi="仿宋" w:eastAsia="仿宋" w:cs="仿宋"/>
          <w:b/>
          <w:bCs/>
          <w:sz w:val="24"/>
          <w:szCs w:val="24"/>
        </w:rPr>
      </w:pPr>
      <w:r>
        <w:rPr>
          <w:rFonts w:hint="eastAsia" w:ascii="仿宋" w:hAnsi="仿宋" w:eastAsia="仿宋" w:cs="仿宋"/>
          <w:sz w:val="24"/>
          <w:szCs w:val="24"/>
        </w:rPr>
        <w:t xml:space="preserve">5.本项目不接受联合体投标，不允许转包、分包（无须提供证明文件，以投标供应商提供的《投标函》为准）。</w:t>
      </w:r>
      <w:r>
        <w:rPr>
          <w:rFonts w:ascii="仿宋" w:hAnsi="仿宋" w:eastAsia="仿宋" w:cs="仿宋"/>
          <w:b/>
          <w:bCs/>
          <w:sz w:val="24"/>
          <w:szCs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四、招标文件的获取</w:t>
      </w:r>
      <w:r>
        <w:rPr>
          <w:rFonts w:ascii="仿宋" w:hAnsi="仿宋" w:eastAsia="仿宋" w:cs="仿宋"/>
          <w:b/>
          <w:bCs/>
        </w:rPr>
      </w:r>
      <w:r/>
    </w:p>
    <w:p>
      <w:pPr>
        <w:pStyle w:val="1019"/>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rPr>
        <w:t xml:space="preserve">1.获取招标文件时间：</w:t>
      </w:r>
      <w:r>
        <w:rPr>
          <w:rFonts w:hint="eastAsia" w:ascii="仿宋" w:hAnsi="仿宋" w:eastAsia="仿宋" w:cs="仿宋"/>
          <w:sz w:val="24"/>
          <w:highlight w:val="none"/>
        </w:rPr>
        <w:t xml:space="preserve">自招标文件公告发布之日起5个工作日</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1019"/>
        <w:ind w:firstLine="480"/>
        <w:spacing w:line="480" w:lineRule="exact"/>
        <w:rPr>
          <w:rFonts w:ascii="仿宋" w:hAnsi="仿宋" w:eastAsia="仿宋" w:cs="仿宋"/>
          <w:sz w:val="24"/>
          <w:highlight w:val="none"/>
          <w:u w:val="single"/>
        </w:rPr>
      </w:pPr>
      <w:r>
        <w:rPr>
          <w:rFonts w:hint="eastAsia" w:ascii="仿宋" w:hAnsi="仿宋" w:eastAsia="仿宋" w:cs="仿宋"/>
          <w:sz w:val="24"/>
          <w:highlight w:val="none"/>
        </w:rPr>
        <w:t xml:space="preserve">2.获取招标文件地点：</w:t>
      </w:r>
      <w:r>
        <w:rPr>
          <w:rFonts w:hint="eastAsia" w:ascii="仿宋" w:hAnsi="仿宋" w:eastAsia="仿宋" w:cs="仿宋"/>
          <w:sz w:val="24"/>
          <w:highlight w:val="none"/>
          <w:lang w:eastAsia="zh-CN"/>
        </w:rPr>
        <w:t xml:space="preserve">江苏政府采购网</w:t>
      </w:r>
      <w:r>
        <w:rPr>
          <w:rFonts w:hint="eastAsia" w:ascii="仿宋" w:hAnsi="仿宋" w:eastAsia="仿宋" w:cs="仿宋"/>
          <w:sz w:val="24"/>
          <w:highlight w:val="none"/>
        </w:rPr>
        <w:t xml:space="preserve">。</w:t>
      </w:r>
      <w:r>
        <w:rPr>
          <w:rFonts w:ascii="仿宋" w:hAnsi="仿宋" w:eastAsia="仿宋" w:cs="仿宋"/>
          <w:sz w:val="24"/>
          <w:highlight w:val="none"/>
          <w:u w:val="singl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3.获取招标文件方式：在“江苏政府采购网”自行免费下载采购文件</w:t>
      </w:r>
      <w:r>
        <w:rPr>
          <w:rFonts w:hint="eastAsia" w:ascii="仿宋" w:hAnsi="仿宋" w:eastAsia="仿宋" w:cs="仿宋"/>
          <w:sz w:val="24"/>
          <w:highlight w:val="none"/>
          <w:lang w:eastAsia="zh-CN"/>
        </w:rPr>
        <w:t xml:space="preserve">。</w:t>
      </w:r>
      <w:r>
        <w:rPr>
          <w:rFonts w:ascii="仿宋" w:hAnsi="仿宋" w:eastAsia="仿宋" w:cs="仿宋"/>
          <w:sz w:val="24"/>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4.售价：</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元/份。</w:t>
      </w:r>
      <w:r>
        <w:rPr>
          <w:rFonts w:ascii="仿宋" w:hAnsi="仿宋" w:eastAsia="仿宋" w:cs="仿宋"/>
          <w:sz w:val="24"/>
          <w:highlight w:val="none"/>
        </w:rPr>
      </w:r>
      <w:r/>
    </w:p>
    <w:p>
      <w:pPr>
        <w:pStyle w:val="1049"/>
        <w:ind w:firstLine="482"/>
        <w:jc w:val="both"/>
        <w:spacing w:before="0" w:beforeAutospacing="0" w:after="0" w:afterAutospacing="0" w:line="480" w:lineRule="exact"/>
        <w:rPr>
          <w:rFonts w:ascii="仿宋" w:hAnsi="仿宋" w:eastAsia="仿宋" w:cs="仿宋"/>
          <w:b/>
          <w:bCs/>
          <w:highlight w:val="none"/>
        </w:rPr>
      </w:pPr>
      <w:r>
        <w:rPr>
          <w:rFonts w:hint="eastAsia" w:ascii="仿宋" w:hAnsi="仿宋" w:eastAsia="仿宋" w:cs="仿宋"/>
          <w:b/>
          <w:bCs/>
          <w:highlight w:val="none"/>
        </w:rPr>
        <w:t xml:space="preserve">五、投标文件接收信息</w:t>
      </w:r>
      <w:r>
        <w:rPr>
          <w:rFonts w:ascii="仿宋" w:hAnsi="仿宋" w:eastAsia="仿宋" w:cs="仿宋"/>
          <w:b/>
          <w:bCs/>
          <w:highlight w:val="none"/>
        </w:rPr>
      </w:r>
      <w:r/>
    </w:p>
    <w:p>
      <w:pPr>
        <w:pStyle w:val="1019"/>
        <w:ind w:firstLine="480"/>
        <w:spacing w:line="480" w:lineRule="exact"/>
        <w:rPr>
          <w:rFonts w:ascii="仿宋" w:hAnsi="仿宋" w:eastAsia="仿宋" w:cs="仿宋"/>
          <w:sz w:val="24"/>
        </w:rPr>
      </w:pPr>
      <w:r>
        <w:rPr>
          <w:rFonts w:hint="eastAsia" w:ascii="仿宋" w:hAnsi="仿宋" w:eastAsia="仿宋" w:cs="仿宋"/>
          <w:sz w:val="24"/>
          <w:highlight w:val="none"/>
        </w:rPr>
        <w:t xml:space="preserve">1.投标文件</w:t>
      </w:r>
      <w:r>
        <w:rPr>
          <w:rFonts w:hint="eastAsia" w:ascii="仿宋" w:hAnsi="仿宋" w:eastAsia="仿宋" w:cs="仿宋"/>
          <w:sz w:val="24"/>
          <w:highlight w:val="none"/>
          <w:lang w:val="en-US" w:eastAsia="zh-CN"/>
        </w:rPr>
        <w:t xml:space="preserve">提交</w:t>
      </w:r>
      <w:r>
        <w:rPr>
          <w:rFonts w:hint="eastAsia" w:ascii="仿宋" w:hAnsi="仿宋" w:eastAsia="仿宋" w:cs="仿宋"/>
          <w:sz w:val="24"/>
          <w:highlight w:val="none"/>
        </w:rPr>
        <w:t xml:space="preserve">截止时间</w:t>
      </w:r>
      <w:r>
        <w:rPr>
          <w:rFonts w:hint="eastAsia" w:ascii="仿宋" w:hAnsi="仿宋" w:eastAsia="仿宋" w:cs="仿宋"/>
          <w:sz w:val="24"/>
          <w:highlight w:val="none"/>
          <w:lang w:eastAsia="zh-CN"/>
        </w:rPr>
        <w:t xml:space="preserve">：2026年08月11日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rPr>
        <w:t xml:space="preserve">（北京时间）。</w:t>
      </w:r>
      <w:r>
        <w:rPr>
          <w:rFonts w:ascii="仿宋" w:hAnsi="仿宋" w:eastAsia="仿宋" w:cs="仿宋"/>
          <w:sz w:val="24"/>
        </w:rPr>
      </w:r>
      <w:r/>
    </w:p>
    <w:p>
      <w:pPr>
        <w:pStyle w:val="1019"/>
        <w:ind w:firstLine="480"/>
        <w:spacing w:line="480" w:lineRule="exact"/>
        <w:rPr>
          <w:rFonts w:ascii="仿宋" w:hAnsi="仿宋" w:eastAsia="仿宋" w:cs="仿宋"/>
          <w:b/>
          <w:bCs/>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.投标文件接收地点：“苏采云”政府采购交易系统。</w:t>
      </w:r>
      <w:r>
        <w:rPr>
          <w:rFonts w:ascii="仿宋" w:hAnsi="仿宋" w:eastAsia="仿宋" w:cs="仿宋"/>
          <w:b/>
          <w:bCs/>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六、其他</w:t>
      </w:r>
      <w:r>
        <w:rPr>
          <w:rFonts w:hint="eastAsia" w:ascii="仿宋" w:hAnsi="仿宋" w:eastAsia="仿宋" w:cs="仿宋"/>
          <w:b/>
          <w:bCs/>
        </w:rPr>
        <w:t xml:space="preserve">补充事宜</w:t>
      </w:r>
      <w:r>
        <w:rPr>
          <w:rFonts w:ascii="仿宋" w:hAnsi="仿宋" w:eastAsia="仿宋" w:cs="仿宋"/>
          <w:b/>
          <w:bCs/>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有关本项目的公告，敬请关注江苏政府采购网（http://www.ccgp-jiangsu.gov.cn/）发布的信息。</w:t>
      </w:r>
      <w:r>
        <w:rPr>
          <w:rFonts w:ascii="仿宋" w:hAnsi="仿宋" w:eastAsia="仿宋" w:cs="仿宋"/>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七、联系方式</w:t>
      </w:r>
      <w:r>
        <w:rPr>
          <w:rFonts w:ascii="仿宋" w:hAnsi="仿宋" w:eastAsia="仿宋" w:cs="仿宋"/>
          <w:b/>
          <w:bCs/>
        </w:rPr>
      </w:r>
      <w:r/>
    </w:p>
    <w:p>
      <w:pPr>
        <w:pStyle w:val="1019"/>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1.招标人信息</w:t>
      </w:r>
      <w:r>
        <w:rPr>
          <w:rFonts w:ascii="仿宋" w:hAnsi="仿宋" w:eastAsia="仿宋" w:cs="仿宋"/>
          <w:sz w:val="24"/>
        </w:rPr>
      </w:r>
      <w:r/>
    </w:p>
    <w:p>
      <w:pPr>
        <w:pStyle w:val="1019"/>
        <w:ind w:firstLine="480"/>
        <w:jc w:val="left"/>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rPr>
        <w:t xml:space="preserve">名    称：</w:t>
      </w:r>
      <w:r>
        <w:rPr>
          <w:rFonts w:hint="eastAsia" w:ascii="仿宋" w:hAnsi="仿宋" w:eastAsia="仿宋" w:cs="仿宋"/>
          <w:sz w:val="24"/>
          <w:lang w:eastAsia="zh-CN"/>
        </w:rPr>
        <w:t xml:space="preserve">江苏省国防动员办公室</w:t>
      </w:r>
      <w:r>
        <w:rPr>
          <w:rFonts w:hint="eastAsia" w:ascii="仿宋" w:hAnsi="仿宋" w:eastAsia="仿宋" w:cs="仿宋"/>
          <w:sz w:val="24"/>
          <w:lang w:eastAsia="zh-CN"/>
        </w:rPr>
      </w:r>
      <w:r/>
    </w:p>
    <w:p>
      <w:pPr>
        <w:pStyle w:val="1019"/>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江苏省南京市鼓楼区宁夏路马鞍山1号院</w:t>
      </w:r>
      <w:r>
        <w:rPr>
          <w:rFonts w:hint="eastAsia" w:ascii="仿宋" w:hAnsi="仿宋" w:eastAsia="仿宋" w:cs="仿宋"/>
          <w:sz w:val="24"/>
          <w:lang w:eastAsia="zh-CN"/>
        </w:rPr>
      </w:r>
      <w:r/>
    </w:p>
    <w:p>
      <w:pPr>
        <w:pStyle w:val="1019"/>
        <w:ind w:firstLine="480"/>
        <w:jc w:val="left"/>
        <w:spacing w:line="480" w:lineRule="exact"/>
        <w:rPr>
          <w:rFonts w:hint="eastAsia" w:ascii="仿宋" w:hAnsi="仿宋" w:eastAsia="仿宋" w:cs="仿宋"/>
          <w:sz w:val="24"/>
          <w:lang w:val="en-US" w:eastAsia="zh-CN"/>
        </w:rPr>
      </w:pPr>
      <w:r/>
      <w:bookmarkStart w:id="9" w:name="_Toc28359009"/>
      <w:r/>
      <w:bookmarkStart w:id="10" w:name="_Toc28359086"/>
      <w:r>
        <w:rPr>
          <w:rFonts w:hint="eastAsia" w:ascii="仿宋" w:hAnsi="仿宋" w:eastAsia="仿宋" w:cs="仿宋"/>
          <w:sz w:val="24"/>
        </w:rPr>
        <w:t xml:space="preserve">联 系 人：丁锦、彭远见</w:t>
      </w:r>
      <w:r>
        <w:rPr>
          <w:rFonts w:hint="eastAsia" w:ascii="仿宋" w:hAnsi="仿宋" w:eastAsia="仿宋" w:cs="仿宋"/>
          <w:sz w:val="24"/>
          <w:lang w:val="en-US" w:eastAsia="zh-CN"/>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联系电话：18951971060</w:t>
      </w:r>
      <w:r>
        <w:rPr>
          <w:rFonts w:hint="eastAsia" w:ascii="仿宋" w:hAnsi="仿宋" w:eastAsia="仿宋" w:cs="仿宋"/>
          <w:sz w:val="24"/>
          <w:lang w:eastAsia="zh-CN"/>
        </w:rPr>
        <w:t xml:space="preserve">、</w:t>
      </w:r>
      <w:r>
        <w:rPr>
          <w:rFonts w:hint="eastAsia" w:ascii="仿宋" w:hAnsi="仿宋" w:eastAsia="仿宋" w:cs="仿宋"/>
          <w:sz w:val="24"/>
        </w:rPr>
        <w:t xml:space="preserve">15151886798</w:t>
      </w:r>
      <w:r>
        <w:rPr>
          <w:rFonts w:ascii="仿宋" w:hAnsi="仿宋" w:eastAsia="仿宋" w:cs="仿宋"/>
          <w:sz w:val="24"/>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2.招标代理机构信息</w:t>
      </w:r>
      <w:bookmarkEnd w:id="9"/>
      <w:r/>
      <w:bookmarkEnd w:id="10"/>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名    称：江苏通易采企业咨询管理有限公司</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南京市浦口区星火路20号垠坤·星火E方1号楼622室</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lang w:val="en-US" w:eastAsia="zh-CN"/>
        </w:rPr>
      </w:pPr>
      <w:r>
        <w:rPr>
          <w:rFonts w:hint="eastAsia" w:ascii="仿宋" w:hAnsi="仿宋" w:eastAsia="仿宋" w:cs="仿宋"/>
          <w:sz w:val="24"/>
        </w:rPr>
        <w:t xml:space="preserve">联系方式：</w:t>
      </w:r>
      <w:bookmarkStart w:id="11" w:name="_Toc28359087"/>
      <w:r/>
      <w:bookmarkStart w:id="12" w:name="_Toc28359010"/>
      <w:r>
        <w:rPr>
          <w:rFonts w:hint="eastAsia" w:ascii="仿宋" w:hAnsi="仿宋" w:eastAsia="仿宋" w:cs="仿宋"/>
          <w:sz w:val="24"/>
          <w:lang w:val="en-US" w:eastAsia="zh-CN"/>
        </w:rPr>
        <w:t xml:space="preserve">陈</w:t>
      </w:r>
      <w:r>
        <w:rPr>
          <w:rFonts w:hint="eastAsia" w:ascii="仿宋" w:hAnsi="仿宋" w:eastAsia="仿宋" w:cs="仿宋"/>
          <w:sz w:val="24"/>
        </w:rPr>
        <w:t xml:space="preserve">工</w:t>
      </w:r>
      <w:r>
        <w:rPr>
          <w:rFonts w:hint="eastAsia" w:ascii="仿宋" w:hAnsi="仿宋" w:eastAsia="仿宋" w:cs="仿宋"/>
          <w:sz w:val="24"/>
          <w:lang w:eastAsia="zh-CN"/>
        </w:rPr>
        <w:t xml:space="preserve">、</w:t>
      </w:r>
      <w:r>
        <w:rPr>
          <w:rFonts w:hint="eastAsia" w:ascii="仿宋" w:hAnsi="仿宋" w:eastAsia="仿宋" w:cs="仿宋"/>
          <w:sz w:val="24"/>
        </w:rPr>
        <w:t xml:space="preserve">郑工，</w:t>
      </w:r>
      <w:r>
        <w:rPr>
          <w:rFonts w:hint="eastAsia" w:ascii="仿宋" w:hAnsi="仿宋" w:eastAsia="仿宋" w:cs="仿宋"/>
          <w:sz w:val="24"/>
          <w:lang w:val="en-US" w:eastAsia="zh-CN"/>
        </w:rPr>
        <w:t xml:space="preserve">15270756825、13655185384</w:t>
      </w:r>
      <w:r>
        <w:rPr>
          <w:rFonts w:ascii="仿宋" w:hAnsi="仿宋" w:eastAsia="仿宋" w:cs="仿宋"/>
          <w:sz w:val="24"/>
          <w:lang w:val="en-US"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邮</w:t>
      </w:r>
      <w:r>
        <w:rPr>
          <w:rFonts w:hint="eastAsia" w:ascii="仿宋" w:hAnsi="仿宋" w:eastAsia="仿宋" w:cs="仿宋"/>
          <w:sz w:val="24"/>
          <w:lang w:val="en-US" w:eastAsia="zh-CN"/>
        </w:rPr>
        <w:t xml:space="preserve">    </w:t>
      </w:r>
      <w:r>
        <w:rPr>
          <w:rFonts w:hint="eastAsia" w:ascii="仿宋" w:hAnsi="仿宋" w:eastAsia="仿宋" w:cs="仿宋"/>
          <w:sz w:val="24"/>
        </w:rPr>
        <w:t xml:space="preserve">箱：tyc58895569@163.com</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3.项目联系方式</w:t>
      </w:r>
      <w:bookmarkEnd w:id="11"/>
      <w:r/>
      <w:bookmarkEnd w:id="12"/>
      <w:r>
        <w:rPr>
          <w:rFonts w:ascii="仿宋" w:hAnsi="仿宋" w:eastAsia="仿宋" w:cs="仿宋"/>
          <w:sz w:val="24"/>
        </w:rPr>
      </w:r>
      <w:r/>
    </w:p>
    <w:p>
      <w:pPr>
        <w:pStyle w:val="1019"/>
        <w:ind w:firstLine="480"/>
        <w:spacing w:line="480" w:lineRule="exact"/>
        <w:rPr>
          <w:rFonts w:hint="eastAsia" w:ascii="仿宋" w:hAnsi="仿宋" w:eastAsia="仿宋" w:cs="仿宋"/>
          <w:sz w:val="24"/>
          <w:lang w:val="en-US" w:eastAsia="zh-CN"/>
        </w:rPr>
      </w:pPr>
      <w:r>
        <w:rPr>
          <w:rFonts w:hint="eastAsia" w:ascii="仿宋" w:hAnsi="仿宋" w:eastAsia="仿宋" w:cs="仿宋"/>
          <w:sz w:val="24"/>
        </w:rPr>
        <w:t xml:space="preserve">项目联系人：</w:t>
      </w:r>
      <w:r>
        <w:rPr>
          <w:rFonts w:hint="eastAsia" w:ascii="仿宋" w:hAnsi="仿宋" w:eastAsia="仿宋" w:cs="仿宋"/>
          <w:sz w:val="24"/>
          <w:lang w:val="en-US" w:eastAsia="zh-CN"/>
        </w:rPr>
        <w:t xml:space="preserve">陈</w:t>
      </w:r>
      <w:r>
        <w:rPr>
          <w:rFonts w:hint="eastAsia" w:ascii="仿宋" w:hAnsi="仿宋" w:eastAsia="仿宋" w:cs="仿宋"/>
          <w:sz w:val="24"/>
        </w:rPr>
        <w:t xml:space="preserve">工/郑工</w:t>
      </w:r>
      <w:r>
        <w:rPr>
          <w:rFonts w:hint="eastAsia" w:ascii="仿宋" w:hAnsi="仿宋" w:eastAsia="仿宋" w:cs="仿宋"/>
          <w:sz w:val="24"/>
          <w:lang w:val="en-US"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电    话：</w:t>
      </w:r>
      <w:bookmarkStart w:id="13" w:name="_Toc4381"/>
      <w:r>
        <w:rPr>
          <w:rFonts w:hint="eastAsia" w:ascii="仿宋" w:hAnsi="仿宋" w:eastAsia="仿宋" w:cs="仿宋"/>
          <w:sz w:val="24"/>
          <w:lang w:eastAsia="zh-CN"/>
        </w:rPr>
        <w:t xml:space="preserve">15270756825</w:t>
      </w:r>
      <w:r>
        <w:rPr>
          <w:rFonts w:hint="eastAsia" w:ascii="仿宋" w:hAnsi="仿宋" w:eastAsia="仿宋" w:cs="仿宋"/>
          <w:sz w:val="24"/>
          <w:lang w:val="en-US" w:eastAsia="zh-CN"/>
        </w:rPr>
        <w:t xml:space="preserve">、13655185384</w:t>
      </w:r>
      <w:r>
        <w:rPr>
          <w:rFonts w:hint="eastAsia" w:ascii="仿宋" w:hAnsi="仿宋" w:eastAsia="仿宋" w:cs="仿宋"/>
          <w:sz w:val="24"/>
          <w:lang w:eastAsia="zh-CN"/>
        </w:rPr>
      </w:r>
      <w:r/>
    </w:p>
    <w:p>
      <w:pPr>
        <w:pStyle w:val="1019"/>
        <w:ind w:firstLine="480"/>
        <w:spacing w:line="480" w:lineRule="exact"/>
        <w:rPr>
          <w:rFonts w:ascii="黑体" w:hAnsi="黑体" w:eastAsia="黑体"/>
          <w:sz w:val="32"/>
        </w:rPr>
      </w:pPr>
      <w:r>
        <w:rPr>
          <w:rFonts w:hint="eastAsia" w:ascii="仿宋" w:hAnsi="仿宋" w:eastAsia="仿宋" w:cs="仿宋"/>
          <w:sz w:val="24"/>
        </w:rPr>
        <w:br w:type="page" w:clear="all"/>
      </w:r>
      <w:r>
        <w:rPr>
          <w:rFonts w:ascii="黑体" w:hAnsi="黑体" w:eastAsia="黑体"/>
          <w:sz w:val="32"/>
        </w:rPr>
      </w:r>
      <w:r/>
    </w:p>
    <w:p>
      <w:pPr>
        <w:pStyle w:val="1020"/>
        <w:jc w:val="center"/>
        <w:spacing w:before="0" w:after="156" w:line="560" w:lineRule="exact"/>
        <w:rPr>
          <w:rFonts w:ascii="楷体" w:hAnsi="楷体" w:eastAsia="楷体" w:cs="楷体"/>
          <w:sz w:val="28"/>
          <w:szCs w:val="28"/>
        </w:rPr>
      </w:pPr>
      <w:r/>
      <w:bookmarkStart w:id="14" w:name="_Toc12511"/>
      <w:r>
        <w:rPr>
          <w:rFonts w:hint="eastAsia" w:ascii="楷体" w:hAnsi="楷体" w:eastAsia="楷体" w:cs="楷体"/>
          <w:sz w:val="28"/>
          <w:szCs w:val="28"/>
        </w:rPr>
        <w:t xml:space="preserve">第二章 </w:t>
      </w:r>
      <w:bookmarkEnd w:id="5"/>
      <w:r/>
      <w:bookmarkEnd w:id="6"/>
      <w:r/>
      <w:bookmarkEnd w:id="7"/>
      <w:r/>
      <w:bookmarkEnd w:id="13"/>
      <w:r>
        <w:rPr>
          <w:rFonts w:hint="eastAsia" w:ascii="楷体" w:hAnsi="楷体" w:eastAsia="楷体" w:cs="楷体"/>
          <w:sz w:val="28"/>
          <w:szCs w:val="28"/>
        </w:rPr>
        <w:t xml:space="preserve">投标人须知</w:t>
      </w:r>
      <w:bookmarkEnd w:id="14"/>
      <w:r>
        <w:rPr>
          <w:rFonts w:ascii="楷体" w:hAnsi="楷体" w:eastAsia="楷体" w:cs="楷体"/>
          <w:sz w:val="28"/>
          <w:szCs w:val="28"/>
        </w:rPr>
      </w:r>
      <w:r/>
    </w:p>
    <w:p>
      <w:pPr>
        <w:pStyle w:val="1062"/>
        <w:ind w:firstLine="482"/>
        <w:spacing w:before="0" w:line="480" w:lineRule="exact"/>
        <w:rPr>
          <w:rFonts w:ascii="仿宋" w:hAnsi="仿宋" w:eastAsia="仿宋" w:cs="仿宋"/>
          <w:b/>
          <w:bCs/>
          <w:sz w:val="24"/>
          <w:szCs w:val="24"/>
        </w:rPr>
      </w:pPr>
      <w:r/>
      <w:bookmarkStart w:id="15" w:name="_Toc4901"/>
      <w:r/>
      <w:bookmarkStart w:id="16" w:name="_Toc144974497"/>
      <w:r/>
      <w:bookmarkStart w:id="17" w:name="_Toc152042305"/>
      <w:r/>
      <w:bookmarkStart w:id="18" w:name="_Toc152045529"/>
      <w:r/>
      <w:bookmarkStart w:id="19" w:name="_Toc22571"/>
      <w:r>
        <w:rPr>
          <w:rFonts w:hint="eastAsia" w:ascii="仿宋" w:hAnsi="仿宋" w:eastAsia="仿宋" w:cs="仿宋"/>
          <w:b/>
          <w:bCs/>
          <w:sz w:val="24"/>
          <w:szCs w:val="24"/>
        </w:rPr>
        <w:t xml:space="preserve">一、总则</w:t>
      </w:r>
      <w:bookmarkEnd w:id="15"/>
      <w:r/>
      <w:bookmarkEnd w:id="16"/>
      <w:r/>
      <w:bookmarkEnd w:id="17"/>
      <w:r/>
      <w:bookmarkEnd w:id="18"/>
      <w:r/>
      <w:bookmarkEnd w:id="1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1.1 适用范围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1.1.1 本招标文件仅适用于</w:t>
      </w:r>
      <w:r>
        <w:rPr>
          <w:rFonts w:hint="eastAsia" w:ascii="仿宋" w:hAnsi="仿宋" w:eastAsia="仿宋" w:cs="仿宋"/>
          <w:sz w:val="24"/>
          <w:u w:val="single"/>
        </w:rPr>
        <w:t xml:space="preserve">江苏通易采企业咨询管理有限公司</w:t>
      </w:r>
      <w:r>
        <w:rPr>
          <w:rFonts w:hint="eastAsia" w:ascii="仿宋" w:hAnsi="仿宋" w:eastAsia="仿宋" w:cs="仿宋"/>
          <w:sz w:val="24"/>
        </w:rPr>
        <w:t xml:space="preserve">（以下简称招标代理机构）组织的招标活动。</w:t>
      </w:r>
      <w:r>
        <w:rPr>
          <w:rFonts w:ascii="仿宋" w:hAnsi="仿宋" w:eastAsia="仿宋" w:cs="仿宋"/>
          <w:sz w:val="24"/>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1.1.2 招标人指</w:t>
      </w: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u w:val="single"/>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1.2 合格的供应商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1.2.1 凡有能力按照本招标文件规定的要求提供货物、工程或者服务的法人、其他组织或者自然人均可成为合格的供应商。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1.2.2 供应商参加本次招标活动应当符合本招标文件的规定。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1.2.3 供应商应遵守《中华人民共和国政府采购法》、《中华人民共和国政府采购法实施条例》、《中华人民共和国民法典》、《反不正当竞争法》等有关法律、法规，如有违反将视为不合格供应商，其投标文件无效。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1.2.4 联合体投标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本项目不接受联合体投标。</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1.3 参加招标活动费用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1.3.1 无论招标活动过程中的做法和结果如何，供应商自行承担与参加招标活动有关的全部费用。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1.3.2 有关费用的收取标准，详见第三章。</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1.4 法律适用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本次招标活动及其产生的合同适用中华人民共和国法律。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 招标文件的约束力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1.5.1 供应商一旦参加本次招标活动，即被认为接受了本招标文件中的所有条款和规定。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1.5.2 本招标文件由招标代理机构负责解释。</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0" w:name="_Toc11393"/>
      <w:r/>
      <w:bookmarkStart w:id="21" w:name="_Toc152045542"/>
      <w:r/>
      <w:bookmarkStart w:id="22" w:name="_Toc152042318"/>
      <w:r/>
      <w:bookmarkStart w:id="23" w:name="_Toc144974510"/>
      <w:r/>
      <w:bookmarkStart w:id="24" w:name="_Toc20799"/>
      <w:r>
        <w:rPr>
          <w:rFonts w:hint="eastAsia" w:ascii="仿宋" w:hAnsi="仿宋" w:eastAsia="仿宋" w:cs="仿宋"/>
          <w:b/>
          <w:bCs/>
          <w:sz w:val="24"/>
          <w:szCs w:val="24"/>
        </w:rPr>
        <w:t xml:space="preserve">二、招标文件</w:t>
      </w:r>
      <w:bookmarkEnd w:id="20"/>
      <w:r/>
      <w:bookmarkEnd w:id="21"/>
      <w:r/>
      <w:bookmarkEnd w:id="22"/>
      <w:r/>
      <w:bookmarkEnd w:id="23"/>
      <w:r/>
      <w:bookmarkEnd w:id="2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2.1 招标文件的组成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2.1.1 招标文件由以下部分组成：</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第一章  公开招标公告</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第二章  供应商须知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第三章  招标书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第四章  项目需求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第五章  采购合同</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第六章  投标文件格式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请仔细检查招标文件是否齐全，如有缺漏，请立即与招标代理机构联系解决。</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2.1.2 供应商被视为充分熟悉本招标项目所在地的与履行合同有关的各种情况，包括自然环境、气候条件、劳动力及公用设施等，本招标文件不再对上述情况进行描述。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2.1.3 供应商必须详阅招标文件的所有条款、文件及表格格式等。供应商若未按招标文件的要求和规范编制、提交投标文件，将有可能导致投标文件被拒绝接受或被视为无效。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2.2 招标文件的更正或补充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2.2.1 在投标截止时间前，招标代理机构可根据有关规定对招标文件用更正公告的方式进行修正。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2.2.2 对招标文件的更正，将在原公告媒体上以公告的方式通知供应商。更正公告将作为招标文件的组成部分，对所有参加本次招标活动的供应商有约束力。因供应商未能及时全面地关注更正公告而导致其投标文件不符合要求并产生的风险及损失，由供应商自行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2.2.3 当招标文件与更正公告的内容不一致时，以招标代理机构最后发出的更正公告为准。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2.2.4 为使供应商有足够的时间按招标文件的更正要求修正投标文件，招标代理机构有权决定推迟投标截止时间，并按2.2.2条规定的方式将具体变更情况通知供应商。</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5" w:name="_Toc144974514"/>
      <w:r/>
      <w:bookmarkStart w:id="26" w:name="_Toc152042322"/>
      <w:r/>
      <w:bookmarkStart w:id="27" w:name="_Toc152045546"/>
      <w:r/>
      <w:bookmarkStart w:id="28" w:name="_Toc22286"/>
      <w:r/>
      <w:bookmarkStart w:id="29" w:name="_Toc31989"/>
      <w:r>
        <w:rPr>
          <w:rFonts w:hint="eastAsia" w:ascii="仿宋" w:hAnsi="仿宋" w:eastAsia="仿宋" w:cs="仿宋"/>
          <w:b/>
          <w:bCs/>
          <w:sz w:val="24"/>
          <w:szCs w:val="24"/>
        </w:rPr>
        <w:t xml:space="preserve">三、投标文件</w:t>
      </w:r>
      <w:bookmarkEnd w:id="25"/>
      <w:r/>
      <w:bookmarkEnd w:id="26"/>
      <w:r/>
      <w:bookmarkEnd w:id="27"/>
      <w:r/>
      <w:bookmarkEnd w:id="28"/>
      <w:r/>
      <w:bookmarkEnd w:id="2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3.1投标文件的语言及度量衡</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3.1.1 投标文件以及供应商与招标代理机构之间的所有书面往来都应用简体中文书写。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3.1.2 供应商已印刷好的资料如产品样本、说明书等可以用其他语言，但其中要点应附有中文译文。在解释投标文件时，以译文为准。如译文有误，有关风险与责任由供应商承担。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3.1.3 除在招标文件第六章中另有规定外，度量衡单位应使用国际单位制。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3.1.4 本招标文件所表述的时间均为北京时间。</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3.2 投标文件的组成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3.2.1 投标文件应包括下列部分（目录及有关格式按招标文件第六章“投标文件格式”要求）：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（1）投标函和投标报价及相关证明文件。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（2）供应商资格证明文件。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（3）供应商有能力履行合同的证明文件，除必须具有的履行合同所需的提供货物、服务的能力外，还必须具备相应的财务、专业技术方面的能力；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（4）其他根据合同要求证明其产品质量合格以及符合招标文件规定的证明文件。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3.2.2 招标文件第四章中指出的工艺、材料和设备的标准，以及商标、牌号或其目录编号，仅起说明作用并非进行限制。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3.2.3 若供应商未按招标文件的要求提供资料，或未对招标文件做出实质性响应，将导致投标文件被视为无效。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3.3 投标报价</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3.3.1 如招标文件无其他特殊说明，本次招标采用总承包方式，因此供应商的报价应包括全部货物、工程和服务的价格及相关税费、运输到指定地点的装运费用、安装调试、培训、售后服务等其他有关的所有费用。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3.3.2 除非招标文件有特别说明，招标代理机构不接受备选的投标方案或有选择的报价。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3.3.3 投标报价不得超过最高限价，否则投标文件被视为无效。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3.4 投标报价中的货币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投标报价均须以人民币为计算单位，招标文件另有规定的，从其规定。</w:t>
      </w:r>
      <w:r>
        <w:rPr>
          <w:rFonts w:ascii="仿宋" w:hAnsi="仿宋" w:eastAsia="仿宋" w:cs="仿宋"/>
          <w:sz w:val="24"/>
        </w:rPr>
      </w:r>
      <w:r/>
    </w:p>
    <w:p>
      <w:pPr>
        <w:pStyle w:val="1019"/>
        <w:ind w:firstLine="482"/>
        <w:spacing w:line="480" w:lineRule="exact"/>
        <w:rPr>
          <w:rFonts w:ascii="仿宋" w:hAnsi="仿宋" w:eastAsia="仿宋" w:cs="仿宋"/>
          <w:sz w:val="24"/>
        </w:rPr>
      </w:pPr>
      <w:r>
        <w:rPr>
          <w:rFonts w:hint="eastAsia" w:ascii="仿宋" w:hAnsi="仿宋" w:eastAsia="仿宋" w:cs="仿宋"/>
          <w:b/>
          <w:bCs/>
          <w:sz w:val="24"/>
        </w:rPr>
        <w:t xml:space="preserve">3.5 投标保证金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本项目不收取投标保证金。</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3.6 投标有效期</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3.6.1 投标有效期为从投标截止之日起计算的</w:t>
      </w:r>
      <w:r>
        <w:rPr>
          <w:rFonts w:hint="eastAsia" w:ascii="仿宋" w:hAnsi="仿宋" w:eastAsia="仿宋" w:cs="仿宋"/>
          <w:sz w:val="24"/>
          <w:u w:val="single"/>
        </w:rPr>
        <w:t xml:space="preserve">90日</w:t>
      </w:r>
      <w:r>
        <w:rPr>
          <w:rFonts w:hint="eastAsia" w:ascii="仿宋" w:hAnsi="仿宋" w:eastAsia="仿宋" w:cs="仿宋"/>
          <w:sz w:val="24"/>
        </w:rPr>
        <w:t xml:space="preserve">，有效期短于此规定的投标文件将被视为无效。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3.6.2 在特殊情况下，招标代理机构可于投标有效期满之前，征得供应商同意延长有效期，要求与答复均应以书面形式进行。供应商可以拒绝接受这一要求而放弃投标。同意这一要求的供应商，不得修改其投标文件。受投标有效期制约的所有权利和义务均应延长至新的有效期。</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3.7 投标文件的签署、形式及装订</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3.7.1 投标文件按招标文件第三章要求执行，每份投标文件均须在封面上清楚标明“正本”、“副本”及“电子投标文件（如有）”字样，“正本”、“副本”及“电子投标文件（如有）”之间如有差异，以“正本”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3.7.2 投标文件正本中，除招标文件第六章规定的可提交复印件外，其他文件均须提交原件，文字材料需打印或用不褪色墨水书写。投标文件的正本须经法定代表人（授权代表）签字或盖章，并且须加盖供应商公章。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本招标文件所表述（指定）的公章是指刻有供应商法定名称的印章，不包括投标、合同、财务、税务、发票等形式的业务专用章。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3.7.3 投标文件如有错误必须修改时，修改处须由法定代表人（授权代表）签字或加盖公章。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3.7.4 投标文件须固定装订成册。</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0" w:name="_Toc152042331"/>
      <w:r/>
      <w:bookmarkStart w:id="31" w:name="_Toc19069"/>
      <w:r/>
      <w:bookmarkStart w:id="32" w:name="_Toc152045555"/>
      <w:r/>
      <w:bookmarkStart w:id="33" w:name="_Toc144974523"/>
      <w:r/>
      <w:bookmarkStart w:id="34" w:name="_Toc30894"/>
      <w:r>
        <w:rPr>
          <w:rFonts w:hint="eastAsia" w:ascii="仿宋" w:hAnsi="仿宋" w:eastAsia="仿宋" w:cs="仿宋"/>
          <w:b/>
          <w:bCs/>
          <w:sz w:val="24"/>
          <w:szCs w:val="24"/>
        </w:rPr>
        <w:t xml:space="preserve">四、投标</w:t>
      </w:r>
      <w:bookmarkEnd w:id="30"/>
      <w:r/>
      <w:bookmarkEnd w:id="31"/>
      <w:r/>
      <w:bookmarkEnd w:id="32"/>
      <w:r/>
      <w:bookmarkEnd w:id="33"/>
      <w:r>
        <w:rPr>
          <w:rFonts w:hint="eastAsia" w:ascii="仿宋" w:hAnsi="仿宋" w:eastAsia="仿宋" w:cs="仿宋"/>
          <w:b/>
          <w:bCs/>
          <w:sz w:val="24"/>
          <w:szCs w:val="24"/>
        </w:rPr>
        <w:t xml:space="preserve">文件的递交</w:t>
      </w:r>
      <w:bookmarkEnd w:id="3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4.1 投标文件的密封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4.1.1 供应商应将投标文件正本、所有副本及“电子文件”（如有）密封在专用袋（箱）中，封口处应骑缝加盖公章或法定代表人（授权代表）签字或盖章，电子投标文件（如有）应单独密封并提交。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4.1.2 专用袋（箱）上须注明：</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（1）项目编号及项目名称；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（2）分包号（如有）；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（3）供应商的名称、地址、联系人、电话和传真等。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4.1.3 投标文件未按第 4.1.1和 4.1.2条规定书写标记和密封者，招标代理机构不对其被错放或先期启封负责。    </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4.2投标截止时间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4.2.1 供应商须在招标文件第三章“招标书”规定的投标截止时间前将投标文件送达招标代理机构指定的投标地点。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4.2.2 若招标代理机构按3.6.2条规定推迟了投标截止时间，招标代理机构和供应商受投标截止时间制约的所有权利和义务均应以新的截止时间为准。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4.3 迟交的投标文件</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在投标截止时间后递交的投标文件，招标代理机构将拒绝接收。</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4.4 投标文件的修改和撤回</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4.4.1 供应商在提交投标文件后可对其进行修改或撤回，但必须使招标代理机构在投标截止时间前收到该修改的书面内容或撤回的书面通知，该书面文件须由法定代表人（授权代表）签字或盖章。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4.4.3 供应商不得在投标截止时间以后修改投标文件。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4.4.4 供应商不得在投标截止时间起至投标有效期满前撤回投标文件。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4.4.5 招标代理机构接收的所有投标文件，均不予退还。</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5" w:name="_Toc10263"/>
      <w:r>
        <w:rPr>
          <w:rFonts w:hint="eastAsia" w:ascii="仿宋" w:hAnsi="仿宋" w:eastAsia="仿宋" w:cs="仿宋"/>
          <w:b/>
          <w:bCs/>
          <w:sz w:val="24"/>
          <w:szCs w:val="24"/>
        </w:rPr>
        <w:t xml:space="preserve">五、投标文件启封及评审</w:t>
      </w:r>
      <w:bookmarkEnd w:id="35"/>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5.1 投标文件启封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5.1.1 招标人、招标代理机构按招标文件规定的时间和地点启封投标文件。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5.1.2 供应商法定代表人（授权代表）应参加投标项目的开标活动，授权代表参加本活动须持本人身份证件及法人授权委托书办理签名报到和递交投标文件等事宜。若法定代表人参加投标项目的开标活动，则无须提供法人授权委托书，但须持《法定代表人身份证明》和身份证原件办理有关手续。</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5.1.3 供应商必须在投标截止时间前办理完毕签名报到、递交投标文件以及其它招标文件所规定的应在投标截止时间前完成的事项（如样品递交等）。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5.1.4 投标文件启封时，供应商代表、监督代表或公证员（必要时）将查验投标文件密封情况，确认无误后拆封唱标，公布每份投标文件中“开标一览表”的报价以及招标代理机构认为合适的其他内容，招标代理机构将作开标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5.1.5 若投标文件未密封，招标代理机构将拒绝接收该供应商的投标文件。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5.1.6 按照第4.4.1条规定，同意撤回的投标文件将不予拆封。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5.2 评标委员会</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评标委员会按照法律法规及相关文件的规定由招标人代表和有关技术、经济等方面的专家组成，评标委员会独立工作，负责评审所有投标文件并推荐中标候选人。</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5.3 对投标文件的资格性审查和符合性审查</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5.3.1 资格性审查的内容包括：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（1）供应商资质（招标文件第三章要求）；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（2）投标报价是否超过最高限价。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5.3.2 符合性审查的内容包括：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（1）投标文件的有效性(签署、盖章情况等)；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（2）投标文件的完整性（正本、副本的数量、内容等）；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（3）对招标文件的响应程度（是否存在重大负偏离等）；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招标代理机构和招标人代表依法对供应商的资质进行审查，以上资格性审查的内容只要有一条不满足，则投标文件无效。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评标委员会依法对供应商的符合性进行审查，以上符合性审查的内容只要有一条不满足，则投标文件无效。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5.3.3 所谓偏离是指投标文件的内容高于或低于招标文件的相关要求。所谓重大负偏离是指供应商所响应的范围、质量、数量和交货期限等明显不能满足招标文件的要求。重大负偏离的认定须经多数评标委员会成员同意作出结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判断投标文件的响应与否只根据投标文件本身，而不寻求外部证据。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5.3.4 评标委员会在初审中，对算术错误的修正原则如下: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（1）开标一览表（报价表）内容与投标文件中明细表内容不一致的，以开标一览表（报价表）为准；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（2）投标文件的大写金额和小写金额不一致的，以大写金额为准；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（3）总价金额与按单价汇总金额不一致的，以单价金额计算结果为准；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（4）单价金额小数点有明显错位的，以总价为准并修改单价；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（5）若供应商不同意以上修正，该投标文件将视为无效。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5.4 投标文件的澄清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5.4.2 评标委员会认为有必要，可以要求供应商对某些问题作出必要的澄清、说明和补正。供应商的澄清、说明或者补正应当采用书面形式，并由法定代表人或其授权代表签章，且不得超出投标文件的范围或者改变投标文件的实质性内容(范围仅限招标需求中的技术、服务要求以及合同草案条款）。供应商的书面澄清材料作为投标文件的补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5.4.3 供应商不按评标委员会规定的时间和地点作书面澄清，将视为放弃该权利。</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5.4.4 并非每个供应商都将被要求澄清。</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5.5 评标及中标、成交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5.5.1 评标委员会将对通过资格性审查和符合性审查的投标文件进行评价和比较。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5.5.2 评标委员会按招标文件第三章中公布的评审办法对每份合格投标文件进行评审，并推荐中标供应商候选人，受招标人委托按照综合排名顺序，确定</w:t>
      </w:r>
      <w:r>
        <w:rPr>
          <w:rFonts w:hint="eastAsia" w:ascii="仿宋" w:hAnsi="仿宋" w:eastAsia="仿宋" w:cs="仿宋"/>
          <w:sz w:val="24"/>
          <w:lang w:val="en-US" w:eastAsia="zh-CN"/>
        </w:rPr>
        <w:t xml:space="preserve">排名</w:t>
      </w:r>
      <w:r>
        <w:rPr>
          <w:rFonts w:hint="eastAsia" w:ascii="仿宋" w:hAnsi="仿宋" w:eastAsia="仿宋" w:cs="仿宋"/>
          <w:sz w:val="24"/>
        </w:rPr>
        <w:t xml:space="preserve">第一的为中标供应商。任何单项因素的最优不能作为中标的保证。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5.5.3 评标委员会发现招标文件存在歧义、重大缺陷导致评审工作无法进行，或者招标文件内容存在违反国家有关规定的，评标工作停止，招标代理机构修改招标文件后重新组织招标活动。</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5.6 评标过程保密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5.6.1 在宣布中标、成交结果之前，凡属于审查、澄清、评价、比较投标文件和中标、成交意向等有关信息，相关当事人均不得泄露给任何供应商或与评标工作无关的人员。</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5.6.2 供应商不得探听上述信息，不得以任何行为影响评标过程，否则其投标文件将被作无效处理。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5.6.3 在评标期间，招标代理机构将有专门人员与供应商进行联络。</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5.7 投标截止时间结束后参加供应商不足三家情况的处理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投标截止后供应商不足3家或者通过资格审查或符合性审查的供应商不足3家的，除招标任务取消情形外，按照以下方式处理：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（一）招标文件存在不合理条款或者招标程序不符合规定的，招标人、招标代理机构改正后依法重新招标；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（二）招标文件没有不合理条款、招标程序符合规定，需要采用其他招标方式招标的，招标人应当依法报财政部门批准。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5.8 废标（终止招标活动）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出现下列情形之一的，将予废标（终止招标活动）：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5.8.1 符合专业条件的供应商或者对招标文件作实质响应的供应商不足三家的；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5.8.2 出现影响招标公正的违法、违规行为的；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5.8.3 供应商的报价均超过了最高限价，招标人不能支付的；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5.8.4 因重大变故，招标任务取消的。</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5.9 有下列情形之一的，视为供应商串通投标，其投标无效：</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5.9.1 不同供应商的投标文件由同一单位或者个人编制；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5.9.2 不同供应商委托同一单位或者个人办理投标事宜；</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5.9.3 不同供应商的投标文件载明的项目管理成员或者联系人员为同一人；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5.9.4 不同供应商的投标文件异常一致或者投标报价呈规律性差异；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5.9.5 不同供应商的投标文件相互混装。</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6" w:name="_Toc5293"/>
      <w:r>
        <w:rPr>
          <w:rFonts w:hint="eastAsia" w:ascii="仿宋" w:hAnsi="仿宋" w:eastAsia="仿宋" w:cs="仿宋"/>
          <w:b/>
          <w:bCs/>
          <w:sz w:val="24"/>
          <w:szCs w:val="24"/>
        </w:rPr>
        <w:t xml:space="preserve">六、合同授予及签订</w:t>
      </w:r>
      <w:bookmarkEnd w:id="36"/>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6.1 确定中标供应商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6.1.1 招标人严格按照本招标文件的约定和有关规定确定中标供应商。中标供应商将在原公告媒体上公示。</w:t>
      </w:r>
      <w:r>
        <w:rPr>
          <w:rFonts w:hint="eastAsia" w:ascii="仿宋" w:hAnsi="仿宋" w:eastAsia="仿宋" w:cs="仿宋"/>
          <w:b/>
          <w:bCs/>
          <w:sz w:val="24"/>
        </w:rPr>
        <w:t xml:space="preserve">本项目中标供应商为一名。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6.1.2 评标结束后，如有必要招标人可以对评标委员会确定的中标候选供应商进行考察，根据考察结果作为定标参考。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6.1.3 供应商出现下列情况之一的，将被取消中标供应商资格：</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（1）提供虚假材料谋取中标、成交的；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（2）采取不正当手段诋毁、排挤其他供应商的；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（3）与招标人、招标代理机构或者其他供应商恶意串通的；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（4）向招标人、招标代理机构行贿或者提供其他不正当利益的；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（5）恶意竞争，投标总报价明显低于其自身合理成本且又无法提供证明的；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（6）不符合法律、法规的规定。</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6.2 质疑处理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6.2.1 供应商认为招标文件、招标过程和中标结果使自己的权益受到损害的，可以在知道或者应知其权益受到损害之日起七个工作日内，以书面形式向招标人、招标代理机构提出质疑。非书面形式、七个工作日之外以及匿名的质疑将不予受理。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6.2.2 提出质疑的供应商应当是参与所质疑项目招标活动的供应商。并在法定质疑期内一次性提出针对同一招标程序环节的质疑。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6.2.4 质疑函应当包括下列内容：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（1）供应商的姓名或者名称、地址、邮编、联系人及联系电话；</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（2）质疑项目的名称、编号；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（3）具体、明确的质疑事项和与质疑事项相关的请求；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（4）事实依据；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（5）必要的法律依据；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（6）提出质疑的日期。</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供应商为自然人的，应当由本人签字并附有效身份证明；供应商为法人或其他组织的，应当由法定代表人、主要负责人或者其授权代表签字或者盖章，并加盖公章。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委托代理人质疑的，应当向招标代理机构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6.2.5 招标代理机构收到质疑函后，将对质疑的形式和内容进行审查，如质疑函内容、格式不符合规定，招标代理机构将告知质疑人进行补正。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质疑人应当在法定质疑期限内进行补正并重新提交质疑函，拒不补正或者超过期限后未重新提交质疑函的，为无效质疑，招标代理机构有权不予受理。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6.2.6、对于内容、格式符合规定的质疑函，招标代理机构将在七个工作日内以书面形式作出答复，其内容不得泄露国家秘密、其他供应商商业机密和个人隐私。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6.3 中标通知书</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6.3.1 确定中标供应商后,招标代理机构应将招标结果通知所有的供应商，并向中标供应商发出中标通知书。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6.3.2 中标通知书是合同的组成部分。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6.4 签订合同</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6.4.1 中标供应商应当在中标通知书发出之日起三十日内，按照招标文件确定的事项与招标人签订采购合同,如中标供应商未按要求签订合同并给招标人和招标代理机构造成损失的，中标供应商还应承担赔偿责任。</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6.4.2 中标或者中标供应商拒绝与招标人签订合同的，招标人可以按照评审报告推荐的中标或者成交候选人名单排序，确定下一候选人为中标或者中标供应商，也可以重新开展招标活动。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6.4.3 招标文件、中标供应商的投标文件及评标过程中有关澄清文件均应作为合同附件。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6.4.4 签订合同后，中标供应商不得将货物、工程及其他相关服务进行转包。未经招标人同意，中标供应商不得采用分包的形式履行合同。否则招标人有权终止合同。转包或分包造成招标人损失的，中标供应商应承担相应赔偿责任。</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7" w:name="_Toc30567"/>
      <w:r>
        <w:rPr>
          <w:rFonts w:hint="eastAsia" w:ascii="仿宋" w:hAnsi="仿宋" w:eastAsia="仿宋" w:cs="仿宋"/>
          <w:b/>
          <w:bCs/>
          <w:sz w:val="24"/>
          <w:szCs w:val="24"/>
        </w:rPr>
        <w:t xml:space="preserve">七、促进中小企业发展政策功能落实</w:t>
      </w:r>
      <w:bookmarkEnd w:id="37"/>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7.1 在政府采购活动中，供应商提供的货物或者服务符合下列情形的，享受中小企业扶持政策：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（1）在货物采购项目中，全部货物由中小企业制造；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（2）在服务采购项目中，服务由中小企业承接。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7.3 中小企业参加政府采购活动，应当出具《中小企业声明函》，否则不享受相关中小企业支持政策。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7.4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5</w:t>
      </w:r>
      <w:r>
        <w:rPr>
          <w:rFonts w:hint="eastAsia" w:ascii="仿宋" w:hAnsi="仿宋" w:eastAsia="仿宋" w:cs="仿宋"/>
          <w:sz w:val="24"/>
        </w:rPr>
        <w:t xml:space="preserve"> 残疾人福利性单位视同小型、微型企业。按照《关于促进残疾人就业政府采购政策的通知》（财库〔2017〕141号）规定，残疾人福利单位需提供《残疾人福利性单位声明函》。</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8" w:name="_Toc19191"/>
      <w:r>
        <w:rPr>
          <w:rFonts w:hint="eastAsia" w:ascii="仿宋" w:hAnsi="仿宋" w:eastAsia="仿宋" w:cs="仿宋"/>
          <w:b/>
          <w:bCs/>
          <w:sz w:val="24"/>
          <w:szCs w:val="24"/>
        </w:rPr>
        <w:t xml:space="preserve">八、其他要求</w:t>
      </w:r>
      <w:bookmarkEnd w:id="38"/>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按照《关于推动解决政府采购异常低价问题相关工作的通知》（苏财购〔2025〕62号）要求，评审过程中出现下列情形之一的，评审委员会应当启动异常低价投标（响应）审查程序：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1.投标（响应）报价低于采购项目预算50%的，即投标（响应）报价&lt;采购项目预算*50%；</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2.投标（响应）报价低于采购项目最高限价45%的，即投标（响应）报价&lt;采购项目最高限价*45%：</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3.评审委员会认定的供应商报价过低、有可能影响产品质量或者不能诚信履约的其他情形。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启动异常低价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仿宋" w:hAnsi="仿宋" w:eastAsia="仿宋" w:cs="仿宋"/>
          <w:sz w:val="24"/>
        </w:rPr>
      </w:r>
      <w:r/>
    </w:p>
    <w:p>
      <w:pPr>
        <w:pStyle w:val="1019"/>
        <w:ind w:firstLine="480"/>
        <w:spacing w:line="480" w:lineRule="exact"/>
        <w:rPr>
          <w:rFonts w:ascii="仿宋" w:hAnsi="仿宋" w:eastAsia="仿宋" w:cs="仿宋"/>
          <w:sz w:val="24"/>
        </w:rPr>
        <w:sectPr>
          <w:footerReference w:type="default" r:id="rId14"/>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39" w:name="_Toc152042375"/>
      <w:r/>
      <w:bookmarkStart w:id="40" w:name="_Toc27066"/>
      <w:r/>
      <w:bookmarkStart w:id="41" w:name="_Toc144974565"/>
      <w:r/>
      <w:bookmarkStart w:id="42" w:name="_Toc152045598"/>
      <w:r/>
      <w:bookmarkStart w:id="43" w:name="_Toc15742"/>
      <w:r>
        <w:rPr>
          <w:rFonts w:hint="eastAsia" w:ascii="楷体" w:hAnsi="楷体" w:eastAsia="楷体" w:cs="楷体"/>
          <w:sz w:val="28"/>
          <w:szCs w:val="28"/>
        </w:rPr>
        <w:t xml:space="preserve">第三章 </w:t>
      </w:r>
      <w:bookmarkEnd w:id="39"/>
      <w:r/>
      <w:bookmarkEnd w:id="40"/>
      <w:r/>
      <w:bookmarkEnd w:id="41"/>
      <w:r/>
      <w:bookmarkEnd w:id="42"/>
      <w:r>
        <w:rPr>
          <w:rFonts w:hint="eastAsia" w:ascii="楷体" w:hAnsi="楷体" w:eastAsia="楷体" w:cs="楷体"/>
          <w:sz w:val="28"/>
          <w:szCs w:val="28"/>
        </w:rPr>
        <w:t xml:space="preserve">招标书</w:t>
      </w:r>
      <w:bookmarkEnd w:id="43"/>
      <w:r>
        <w:rPr>
          <w:rFonts w:ascii="楷体" w:hAnsi="楷体" w:eastAsia="楷体" w:cs="楷体"/>
          <w:sz w:val="28"/>
          <w:szCs w:val="28"/>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现欢迎符合相关条件的供应商参加投标，并提请注意以下事项：</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44" w:name="_Toc17563"/>
      <w:r/>
      <w:bookmarkStart w:id="45" w:name="_Toc15601"/>
      <w:r/>
      <w:bookmarkStart w:id="46" w:name="_Toc947"/>
      <w:r/>
      <w:bookmarkStart w:id="47" w:name="_Toc20144"/>
      <w:r>
        <w:rPr>
          <w:rFonts w:hint="eastAsia" w:ascii="仿宋" w:hAnsi="仿宋" w:eastAsia="仿宋" w:cs="仿宋"/>
          <w:b/>
          <w:bCs/>
          <w:sz w:val="24"/>
          <w:lang w:val="en-US" w:eastAsia="zh-CN"/>
        </w:rPr>
        <w:t xml:space="preserve">一</w:t>
      </w:r>
      <w:r>
        <w:rPr>
          <w:rFonts w:hint="eastAsia" w:ascii="仿宋" w:hAnsi="仿宋" w:eastAsia="仿宋" w:cs="仿宋"/>
          <w:b/>
          <w:bCs/>
          <w:sz w:val="24"/>
        </w:rPr>
        <w:t xml:space="preserve">、招标主要内容</w:t>
      </w:r>
      <w:bookmarkEnd w:id="44"/>
      <w:r/>
      <w:bookmarkEnd w:id="45"/>
      <w:r/>
      <w:bookmarkEnd w:id="46"/>
      <w:r/>
      <w:bookmarkEnd w:id="47"/>
      <w:r>
        <w:rPr>
          <w:rFonts w:ascii="仿宋" w:hAnsi="仿宋" w:eastAsia="仿宋" w:cs="仿宋"/>
          <w:b/>
          <w:bCs/>
          <w:sz w:val="24"/>
        </w:rPr>
      </w:r>
      <w:r/>
    </w:p>
    <w:tbl>
      <w:tblPr>
        <w:tblW w:w="0" w:type="auto"/>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00"/>
        <w:gridCol w:w="6690"/>
      </w:tblGrid>
      <w:tr>
        <w:trPr>
          <w:trHeight w:val="567"/>
        </w:trPr>
        <w:tc>
          <w:tcPr>
            <w:tcW w:w="74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00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项目</w:t>
            </w:r>
            <w:r>
              <w:rPr>
                <w:rFonts w:ascii="仿宋" w:hAnsi="仿宋" w:eastAsia="仿宋" w:cs="仿宋"/>
                <w:b/>
                <w:bCs/>
                <w:sz w:val="24"/>
              </w:rPr>
            </w:r>
            <w:r/>
          </w:p>
        </w:tc>
        <w:tc>
          <w:tcPr>
            <w:tcW w:w="669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具 体 内 容</w:t>
            </w:r>
            <w:r>
              <w:rPr>
                <w:rFonts w:ascii="仿宋" w:hAnsi="仿宋" w:eastAsia="仿宋" w:cs="仿宋"/>
                <w:b/>
                <w:bCs/>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招标方式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公开招标</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项目编号</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JSZC-320000-TYCQ-G2026-0003</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标段</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招标代理机构</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江苏通易采企业咨询管理有限公司</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项目负责人：</w:t>
            </w:r>
            <w:r>
              <w:rPr>
                <w:rFonts w:hint="eastAsia" w:ascii="仿宋" w:hAnsi="仿宋" w:eastAsia="仿宋" w:cs="仿宋"/>
                <w:sz w:val="24"/>
                <w:lang w:eastAsia="zh-CN"/>
              </w:rPr>
              <w:t xml:space="preserve">陈工</w:t>
            </w:r>
            <w:r>
              <w:rPr>
                <w:rFonts w:hint="eastAsia" w:ascii="仿宋" w:hAnsi="仿宋" w:eastAsia="仿宋" w:cs="仿宋"/>
                <w:sz w:val="24"/>
              </w:rPr>
              <w:t xml:space="preserve">/郑工</w:t>
            </w:r>
            <w:r>
              <w:rPr>
                <w:rFonts w:ascii="仿宋" w:hAnsi="仿宋" w:eastAsia="仿宋" w:cs="仿宋"/>
                <w:sz w:val="24"/>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15270756825</w:t>
            </w:r>
            <w:r>
              <w:rPr>
                <w:rFonts w:hint="eastAsia" w:ascii="仿宋" w:hAnsi="仿宋" w:eastAsia="仿宋" w:cs="仿宋"/>
                <w:sz w:val="24"/>
                <w:lang w:eastAsia="zh-CN"/>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招标人</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rPr>
              <w:t xml:space="preserve">单位名称：</w:t>
            </w:r>
            <w:r>
              <w:rPr>
                <w:rFonts w:hint="eastAsia" w:ascii="仿宋" w:hAnsi="仿宋" w:eastAsia="仿宋" w:cs="仿宋"/>
                <w:sz w:val="24"/>
                <w:lang w:eastAsia="zh-CN"/>
              </w:rPr>
              <w:t xml:space="preserve">江苏省国防动员办公室</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 系 人：</w:t>
            </w:r>
            <w:r>
              <w:rPr>
                <w:rFonts w:hint="eastAsia" w:ascii="仿宋" w:hAnsi="仿宋" w:eastAsia="仿宋" w:cs="仿宋"/>
                <w:sz w:val="24"/>
                <w:lang w:eastAsia="zh-CN"/>
              </w:rPr>
              <w:t xml:space="preserve">丁锦</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18951971060</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项目预算</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val="en-US" w:eastAsia="zh-CN"/>
              </w:rPr>
              <w:t xml:space="preserve">18</w:t>
            </w:r>
            <w:r>
              <w:rPr>
                <w:rFonts w:hint="eastAsia" w:ascii="仿宋" w:hAnsi="仿宋" w:eastAsia="仿宋" w:cs="仿宋"/>
                <w:sz w:val="24"/>
              </w:rPr>
              <w:t xml:space="preserve">0</w:t>
            </w:r>
            <w:r>
              <w:rPr>
                <w:rFonts w:hint="eastAsia" w:ascii="仿宋" w:hAnsi="仿宋" w:eastAsia="仿宋" w:cs="仿宋"/>
                <w:sz w:val="24"/>
                <w:lang w:val="en-US" w:eastAsia="zh-CN"/>
              </w:rPr>
              <w:t xml:space="preserve">万</w:t>
            </w:r>
            <w:r>
              <w:rPr>
                <w:rFonts w:hint="eastAsia" w:ascii="仿宋" w:hAnsi="仿宋" w:eastAsia="仿宋" w:cs="仿宋"/>
                <w:sz w:val="24"/>
              </w:rPr>
              <w:t xml:space="preserve">元整）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zh-CN"/>
              </w:rPr>
              <w:t xml:space="preserve">最高限价</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eastAsia="zh-CN"/>
              </w:rPr>
              <w:t xml:space="preserve">180万元</w:t>
            </w:r>
            <w:r>
              <w:rPr>
                <w:rFonts w:hint="eastAsia" w:ascii="仿宋" w:hAnsi="仿宋" w:eastAsia="仿宋" w:cs="仿宋"/>
                <w:sz w:val="24"/>
              </w:rPr>
              <w:t xml:space="preserve">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投标保证金</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highlight w:val="none"/>
              </w:rPr>
              <w:t xml:space="preserve">本项目</w:t>
            </w:r>
            <w:r>
              <w:rPr>
                <w:rFonts w:hint="eastAsia" w:ascii="仿宋" w:hAnsi="仿宋" w:eastAsia="仿宋" w:cs="仿宋"/>
                <w:sz w:val="24"/>
                <w:highlight w:val="none"/>
                <w:lang w:val="en-US" w:eastAsia="zh-CN"/>
              </w:rPr>
              <w:t xml:space="preserve">不收取</w:t>
            </w:r>
            <w:r>
              <w:rPr>
                <w:rFonts w:hint="eastAsia" w:ascii="仿宋" w:hAnsi="仿宋" w:eastAsia="仿宋" w:cs="仿宋"/>
                <w:sz w:val="24"/>
                <w:highlight w:val="none"/>
              </w:rPr>
              <w:t xml:space="preserve">投标保证金</w:t>
            </w:r>
            <w:r>
              <w:rPr>
                <w:rFonts w:hint="eastAsia" w:ascii="仿宋" w:hAnsi="仿宋" w:eastAsia="仿宋" w:cs="仿宋"/>
                <w:sz w:val="24"/>
                <w:highlight w:val="none"/>
                <w:lang w:eastAsia="zh-CN"/>
              </w:rPr>
              <w:t xml:space="preserve">。</w:t>
            </w:r>
            <w:r>
              <w:rPr>
                <w:rFonts w:hint="eastAsia" w:ascii="仿宋" w:hAnsi="仿宋" w:eastAsia="仿宋" w:cs="仿宋"/>
                <w:sz w:val="24"/>
                <w:lang w:val="en-US" w:eastAsia="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10</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招标文件获取</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招标公告在</w:t>
            </w:r>
            <w:r>
              <w:rPr>
                <w:rFonts w:hint="eastAsia" w:ascii="仿宋" w:hAnsi="仿宋" w:eastAsia="仿宋" w:cs="仿宋"/>
                <w:sz w:val="24"/>
                <w:lang w:eastAsia="zh-CN"/>
              </w:rPr>
              <w:t xml:space="preserve">江苏省政府采购网</w:t>
            </w:r>
            <w:r>
              <w:rPr>
                <w:rFonts w:hint="eastAsia" w:ascii="仿宋" w:hAnsi="仿宋" w:eastAsia="仿宋" w:cs="仿宋"/>
                <w:sz w:val="24"/>
              </w:rPr>
              <w:t xml:space="preserve">发布，供应商如确定参加投标，须按照公告要求获取招标文件，否则投标无效。</w:t>
            </w:r>
            <w:r>
              <w:rPr>
                <w:rFonts w:ascii="仿宋" w:hAnsi="仿宋" w:eastAsia="仿宋" w:cs="仿宋"/>
                <w:sz w:val="24"/>
              </w:rPr>
            </w:r>
            <w:r/>
          </w:p>
        </w:tc>
      </w:tr>
      <w:tr>
        <w:trPr>
          <w:trHeight w:val="85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现场勘查</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ascii="Wingdings 2" w:hAnsi="Wingdings 2" w:eastAsia="Wingdings 2" w:cs="Wingdings 2"/>
                <w:b/>
                <w:bCs/>
                <w:sz w:val="24"/>
              </w:rPr>
              <w:t xml:space="preserve">R</w:t>
            </w:r>
            <w:r>
              <w:rPr>
                <w:rFonts w:hint="eastAsia" w:ascii="仿宋" w:hAnsi="仿宋" w:eastAsia="仿宋" w:cs="仿宋"/>
                <w:b/>
                <w:bCs/>
                <w:sz w:val="24"/>
              </w:rPr>
              <w:t xml:space="preserve">不组织</w:t>
            </w:r>
            <w:r>
              <w:rPr>
                <w:rFonts w:ascii="仿宋" w:hAnsi="仿宋" w:eastAsia="仿宋" w:cs="仿宋"/>
                <w:sz w:val="24"/>
              </w:rPr>
            </w:r>
            <w:r/>
          </w:p>
          <w:p>
            <w:pPr>
              <w:pStyle w:val="1019"/>
              <w:rPr>
                <w:rFonts w:ascii="仿宋" w:hAnsi="仿宋" w:eastAsia="仿宋" w:cs="仿宋"/>
                <w:sz w:val="24"/>
              </w:rPr>
            </w:pPr>
            <w:r>
              <w:rPr>
                <w:rFonts w:ascii="Wingdings 2" w:hAnsi="Wingdings 2" w:eastAsia="Wingdings 2" w:cs="Wingdings 2"/>
                <w:sz w:val="24"/>
              </w:rPr>
              <w:t xml:space="preserve">£</w:t>
            </w:r>
            <w:r>
              <w:rPr>
                <w:rFonts w:hint="eastAsia" w:ascii="仿宋" w:hAnsi="仿宋" w:eastAsia="仿宋" w:cs="仿宋"/>
                <w:sz w:val="24"/>
              </w:rPr>
              <w:t xml:space="preserve">组织，如下：/</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en-US" w:eastAsia="zh-CN"/>
              </w:rPr>
              <w:t xml:space="preserve">提交</w:t>
            </w:r>
            <w:r>
              <w:rPr>
                <w:rFonts w:hint="eastAsia" w:ascii="仿宋" w:hAnsi="仿宋" w:eastAsia="仿宋" w:cs="仿宋"/>
                <w:sz w:val="24"/>
              </w:rPr>
              <w:t xml:space="preserve">投标文件截止时间及地点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截止时间：</w:t>
            </w:r>
            <w:r>
              <w:rPr>
                <w:rFonts w:hint="eastAsia" w:ascii="仿宋" w:hAnsi="仿宋" w:eastAsia="仿宋" w:cs="仿宋"/>
                <w:sz w:val="24"/>
                <w:highlight w:val="none"/>
                <w:lang w:eastAsia="zh-CN"/>
              </w:rPr>
              <w:t xml:space="preserve">2026年08月11日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rPr>
              <w:t xml:space="preserve">（北京时间）。</w:t>
            </w:r>
            <w:r>
              <w:rPr>
                <w:rFonts w:ascii="仿宋" w:hAnsi="仿宋" w:eastAsia="仿宋" w:cs="仿宋"/>
                <w:sz w:val="24"/>
              </w:rPr>
            </w:r>
            <w:r/>
          </w:p>
          <w:p>
            <w:pPr>
              <w:pStyle w:val="1019"/>
              <w:rPr>
                <w:rFonts w:ascii="仿宋" w:hAnsi="仿宋" w:eastAsia="仿宋" w:cs="仿宋"/>
                <w:color w:val="ff0000"/>
                <w:sz w:val="24"/>
              </w:rPr>
            </w:pPr>
            <w:r>
              <w:rPr>
                <w:rFonts w:hint="eastAsia" w:ascii="仿宋" w:hAnsi="仿宋" w:eastAsia="仿宋" w:cs="仿宋"/>
                <w:sz w:val="24"/>
                <w:highlight w:val="none"/>
              </w:rPr>
              <w:t xml:space="preserve">接收地点：</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highlight w:val="none"/>
              </w:rPr>
              <w:t xml:space="preserve">。</w:t>
            </w:r>
            <w:r>
              <w:rPr>
                <w:rFonts w:ascii="仿宋" w:hAnsi="仿宋" w:eastAsia="仿宋" w:cs="仿宋"/>
                <w:color w:val="ff0000"/>
                <w:sz w:val="24"/>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投标文件数量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上传成功的加密电子应答文件一份。</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开标时间及地点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开标时间：同投标截止时间。</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开标地点：同投标接收地点。</w:t>
            </w:r>
            <w:r>
              <w:rPr>
                <w:rFonts w:ascii="仿宋" w:hAnsi="仿宋" w:eastAsia="仿宋" w:cs="仿宋"/>
                <w:sz w:val="24"/>
              </w:rPr>
            </w:r>
            <w:r/>
          </w:p>
        </w:tc>
      </w:tr>
      <w:tr>
        <w:trPr>
          <w:trHeight w:val="567"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投标文件有效期</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从投标截止之日起计算的90日</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关于联合体投标、转包、分包</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本项目不接受联合体投标，不允许转包、分包。</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投标文件有效性</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招标文件中有明确规定需要签字和盖章的必须要有签字和盖章，否则作无效投标处理。</w:t>
            </w:r>
            <w:r>
              <w:rPr>
                <w:rFonts w:ascii="仿宋" w:hAnsi="仿宋" w:eastAsia="仿宋" w:cs="仿宋"/>
                <w:sz w:val="24"/>
              </w:rPr>
            </w:r>
            <w:r/>
          </w:p>
        </w:tc>
      </w:tr>
      <w:tr>
        <w:trPr>
          <w:trHeight w:val="769"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递交投标文件</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r>
            <w:r/>
          </w:p>
        </w:tc>
      </w:tr>
      <w:tr>
        <w:trPr>
          <w:trHeight w:val="5622" w:hRule="exact"/>
        </w:trPr>
        <w:tc>
          <w:tcPr>
            <w:tcW w:w="746" w:type="dxa"/>
            <w:vAlign w:val="center"/>
            <w:textDirection w:val="lrTb"/>
            <w:noWrap w:val="false"/>
          </w:tcPr>
          <w:p>
            <w:pPr>
              <w:pStyle w:val="1019"/>
              <w:jc w:val="center"/>
              <w:rPr>
                <w:rFonts w:ascii="仿宋" w:hAnsi="仿宋" w:eastAsia="仿宋" w:cs="仿宋"/>
                <w:sz w:val="24"/>
              </w:rPr>
            </w:pPr>
            <w:r/>
            <w:bookmarkStart w:id="48" w:name="_Toc6099"/>
            <w:r/>
            <w:bookmarkStart w:id="49" w:name="_Toc20626"/>
            <w:r/>
            <w:bookmarkStart w:id="50" w:name="_Toc12431"/>
            <w:r>
              <w:rPr>
                <w:rFonts w:hint="eastAsia" w:ascii="仿宋" w:hAnsi="仿宋" w:eastAsia="仿宋" w:cs="仿宋"/>
                <w:sz w:val="24"/>
              </w:rPr>
              <w:t xml:space="preserve">19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服务费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招标代理费由中标供应商支付。中标供应商须在中标通知书发出前，向招标代理机构</w:t>
            </w:r>
            <w:r>
              <w:rPr>
                <w:rFonts w:hint="eastAsia" w:ascii="仿宋" w:hAnsi="仿宋" w:eastAsia="仿宋" w:cs="仿宋"/>
                <w:sz w:val="24"/>
                <w:lang w:val="en-US" w:eastAsia="zh-CN"/>
              </w:rPr>
              <w:t xml:space="preserve">支付代理服务费</w:t>
            </w:r>
            <w:r>
              <w:rPr>
                <w:rFonts w:hint="eastAsia" w:ascii="仿宋" w:hAnsi="仿宋" w:eastAsia="仿宋" w:cs="仿宋"/>
                <w:sz w:val="24"/>
              </w:rPr>
              <w:t xml:space="preserve">。</w:t>
            </w:r>
            <w:r>
              <w:rPr>
                <w:rFonts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hint="eastAsia"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r>
            <w:r/>
          </w:p>
          <w:tbl>
            <w:tblPr>
              <w:tblW w:w="4916" w:type="pct"/>
              <w:jc w:val="center"/>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2"/>
                <w:trHeight w:val="449"/>
              </w:trPr>
              <w:tc>
                <w:tcPr>
                  <w:tcW w:w="391"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1744"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中标（成交）金额（万元）</w:t>
                  </w:r>
                  <w:r>
                    <w:rPr>
                      <w:rFonts w:hint="eastAsia" w:ascii="仿宋" w:hAnsi="仿宋" w:eastAsia="仿宋" w:cs="仿宋"/>
                      <w:b/>
                      <w:bCs/>
                      <w:sz w:val="24"/>
                      <w:szCs w:val="24"/>
                    </w:rPr>
                  </w:r>
                  <w:r/>
                </w:p>
              </w:tc>
              <w:tc>
                <w:tcPr>
                  <w:tcW w:w="2863"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费用比例</w:t>
                  </w:r>
                  <w:r>
                    <w:rPr>
                      <w:rFonts w:hint="eastAsia" w:ascii="仿宋" w:hAnsi="仿宋" w:eastAsia="仿宋" w:cs="仿宋"/>
                      <w:b/>
                      <w:bCs/>
                      <w:sz w:val="24"/>
                      <w:szCs w:val="24"/>
                    </w:rPr>
                  </w:r>
                  <w:r/>
                </w:p>
              </w:tc>
            </w:tr>
            <w:tr>
              <w:trPr>
                <w:trHeight w:val="494"/>
              </w:trPr>
              <w:tc>
                <w:tcPr>
                  <w:tcW w:w="391"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1744"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服务招标</w:t>
                  </w: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物资招标</w:t>
                  </w:r>
                  <w:r>
                    <w:rPr>
                      <w:rFonts w:hint="eastAsia" w:ascii="仿宋" w:hAnsi="仿宋" w:eastAsia="仿宋" w:cs="仿宋"/>
                      <w:b/>
                      <w:bCs/>
                      <w:sz w:val="24"/>
                      <w:szCs w:val="24"/>
                      <w:lang w:val="en-US" w:eastAsia="zh-CN"/>
                    </w:rPr>
                  </w:r>
                  <w:r/>
                </w:p>
              </w:tc>
              <w:tc>
                <w:tcPr>
                  <w:tcW w:w="955"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工程招标</w:t>
                  </w:r>
                  <w:r>
                    <w:rPr>
                      <w:rFonts w:hint="eastAsia" w:ascii="仿宋" w:hAnsi="仿宋" w:eastAsia="仿宋" w:cs="仿宋"/>
                      <w:b/>
                      <w:bCs/>
                      <w:sz w:val="24"/>
                      <w:szCs w:val="24"/>
                    </w:rPr>
                  </w:r>
                  <w:r/>
                </w:p>
              </w:tc>
            </w:tr>
            <w:tr>
              <w:trPr>
                <w:trHeight w:val="44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100以下</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w:t>
                  </w:r>
                  <w:r>
                    <w:rPr>
                      <w:rFonts w:hint="eastAsia" w:ascii="仿宋" w:hAnsi="仿宋" w:eastAsia="仿宋" w:cs="仿宋"/>
                      <w:sz w:val="24"/>
                      <w:szCs w:val="24"/>
                    </w:rPr>
                  </w:r>
                  <w:r/>
                </w:p>
              </w:tc>
            </w:tr>
            <w:tr>
              <w:trPr>
                <w:trHeight w:val="40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100-500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0.7%</w:t>
                  </w:r>
                  <w:r>
                    <w:rPr>
                      <w:rFonts w:hint="eastAsia" w:ascii="仿宋" w:hAnsi="仿宋" w:eastAsia="仿宋" w:cs="仿宋"/>
                      <w:sz w:val="24"/>
                      <w:szCs w:val="24"/>
                    </w:rPr>
                  </w:r>
                  <w:r/>
                </w:p>
              </w:tc>
            </w:tr>
            <w:tr>
              <w:trPr>
                <w:trHeight w:val="37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500-1000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0.45%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0.55%</w:t>
                  </w:r>
                  <w:r>
                    <w:rPr>
                      <w:rFonts w:hint="eastAsia" w:ascii="仿宋" w:hAnsi="仿宋" w:eastAsia="仿宋" w:cs="仿宋"/>
                      <w:sz w:val="24"/>
                      <w:szCs w:val="24"/>
                    </w:rPr>
                  </w:r>
                  <w:r/>
                </w:p>
              </w:tc>
            </w:tr>
            <w:tr>
              <w:trPr>
                <w:trHeight w:val="39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1000-5000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0.25%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0.35%</w:t>
                  </w:r>
                  <w:r>
                    <w:rPr>
                      <w:rFonts w:hint="eastAsia" w:ascii="仿宋" w:hAnsi="仿宋" w:eastAsia="仿宋" w:cs="仿宋"/>
                      <w:sz w:val="24"/>
                      <w:szCs w:val="24"/>
                    </w:rPr>
                  </w:r>
                  <w:r/>
                </w:p>
              </w:tc>
            </w:tr>
          </w:tbl>
          <w:p>
            <w:pPr>
              <w:pStyle w:val="1019"/>
              <w:rPr>
                <w:rFonts w:hint="eastAsia" w:ascii="仿宋" w:hAnsi="仿宋" w:eastAsia="仿宋" w:cs="仿宋"/>
                <w:sz w:val="24"/>
              </w:rPr>
            </w:pPr>
            <w:r>
              <w:rPr>
                <w:rFonts w:hint="eastAsia" w:ascii="仿宋" w:hAnsi="仿宋" w:eastAsia="仿宋" w:cs="仿宋"/>
                <w:sz w:val="24"/>
              </w:rPr>
            </w:r>
            <w:r/>
          </w:p>
        </w:tc>
      </w:tr>
    </w:tbl>
    <w:p>
      <w:pPr>
        <w:pStyle w:val="1019"/>
        <w:rPr>
          <w:rFonts w:ascii="黑体" w:hAnsi="黑体" w:eastAsia="黑体" w:cs="黑体"/>
          <w:sz w:val="28"/>
          <w:szCs w:val="28"/>
        </w:rPr>
      </w:pPr>
      <w:r>
        <w:rPr>
          <w:rFonts w:hint="eastAsia" w:ascii="黑体" w:hAnsi="黑体" w:eastAsia="黑体" w:cs="黑体"/>
          <w:sz w:val="28"/>
          <w:szCs w:val="28"/>
        </w:rPr>
        <w:br w:type="page" w:clear="all"/>
      </w:r>
      <w:r>
        <w:rPr>
          <w:rFonts w:ascii="黑体" w:hAnsi="黑体" w:eastAsia="黑体" w:cs="黑体"/>
          <w:sz w:val="28"/>
          <w:szCs w:val="28"/>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51" w:name="_Toc7537"/>
      <w:r>
        <w:rPr>
          <w:rFonts w:hint="eastAsia" w:ascii="仿宋" w:hAnsi="仿宋" w:eastAsia="仿宋" w:cs="仿宋"/>
          <w:b/>
          <w:bCs/>
          <w:sz w:val="24"/>
          <w:lang w:val="en-US" w:eastAsia="zh-CN"/>
        </w:rPr>
        <w:t xml:space="preserve">二</w:t>
      </w:r>
      <w:r>
        <w:rPr>
          <w:rFonts w:hint="eastAsia" w:ascii="仿宋" w:hAnsi="仿宋" w:eastAsia="仿宋" w:cs="仿宋"/>
          <w:b/>
          <w:bCs/>
          <w:sz w:val="24"/>
        </w:rPr>
        <w:t xml:space="preserve">、</w:t>
      </w:r>
      <w:bookmarkEnd w:id="48"/>
      <w:r/>
      <w:bookmarkEnd w:id="49"/>
      <w:r/>
      <w:bookmarkStart w:id="52" w:name="_Toc2837"/>
      <w:r/>
      <w:bookmarkStart w:id="53" w:name="_Toc27953"/>
      <w:r>
        <w:rPr>
          <w:rFonts w:hint="eastAsia" w:ascii="仿宋" w:hAnsi="仿宋" w:eastAsia="仿宋" w:cs="仿宋"/>
          <w:b/>
          <w:bCs/>
          <w:sz w:val="24"/>
        </w:rPr>
        <w:t xml:space="preserve">评标办法和定标原则</w:t>
      </w:r>
      <w:bookmarkEnd w:id="50"/>
      <w:r/>
      <w:bookmarkEnd w:id="51"/>
      <w:r/>
      <w:bookmarkEnd w:id="52"/>
      <w:r/>
      <w:bookmarkEnd w:id="53"/>
      <w:r>
        <w:rPr>
          <w:rFonts w:ascii="仿宋" w:hAnsi="仿宋" w:eastAsia="仿宋" w:cs="仿宋"/>
          <w:b/>
          <w:bCs/>
          <w:sz w:val="24"/>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本项目采用综合评分法，总分为100分，评标结果按评审后得分由高到低顺序排列。得分相同的，按投标报价由低到高顺序排列；得分相同且投标报价相同的，按技术指标优劣顺序排列。</w:t>
      </w:r>
      <w:r>
        <w:rPr>
          <w:rFonts w:ascii="仿宋" w:hAnsi="仿宋" w:eastAsia="仿宋" w:cs="仿宋"/>
          <w:sz w:val="24"/>
          <w:lang w:val="zh-CN"/>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投标文件满足</w:t>
      </w:r>
      <w:r>
        <w:rPr>
          <w:rFonts w:hint="eastAsia" w:ascii="仿宋" w:hAnsi="仿宋" w:eastAsia="仿宋" w:cs="仿宋"/>
          <w:sz w:val="24"/>
        </w:rPr>
        <w:t xml:space="preserve">招标文件</w:t>
      </w:r>
      <w:r>
        <w:rPr>
          <w:rFonts w:hint="eastAsia" w:ascii="仿宋" w:hAnsi="仿宋" w:eastAsia="仿宋" w:cs="仿宋"/>
          <w:sz w:val="24"/>
          <w:lang w:val="zh-CN"/>
        </w:rPr>
        <w:t xml:space="preserve">全部实质性要求，且按照评审因素的量化指标评审得分最高的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为第一中标候选人，依次类推。评标委员会认为投标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的报价明显低于其他通过符合性审查投标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的报价，有可能影响产品质量或者不能诚信履约的，评标委员会有权要求其在评标现场合理的时间内提供书面说明，必要时提交相关证明材料；投标</w:t>
      </w:r>
      <w:r>
        <w:rPr>
          <w:rFonts w:hint="eastAsia" w:ascii="仿宋" w:hAnsi="仿宋" w:eastAsia="仿宋" w:cs="仿宋"/>
          <w:sz w:val="24"/>
        </w:rPr>
        <w:t xml:space="preserve">供应商</w:t>
      </w:r>
      <w:r>
        <w:rPr>
          <w:rFonts w:hint="eastAsia" w:ascii="仿宋" w:hAnsi="仿宋" w:eastAsia="仿宋" w:cs="仿宋"/>
          <w:sz w:val="24"/>
          <w:lang w:val="zh-CN"/>
        </w:rPr>
        <w:t xml:space="preserve">不能证明其报价合理性的，评标委员会将其作为无效投标处理。</w:t>
      </w:r>
      <w:r>
        <w:rPr>
          <w:rFonts w:ascii="仿宋" w:hAnsi="仿宋" w:eastAsia="仿宋" w:cs="仿宋"/>
          <w:sz w:val="24"/>
          <w:lang w:val="zh-CN"/>
        </w:rPr>
      </w:r>
      <w:r/>
    </w:p>
    <w:p>
      <w:pPr>
        <w:pStyle w:val="1037"/>
        <w:ind w:left="1470" w:right="1470"/>
        <w:rPr>
          <w:rFonts w:ascii="宋体" w:hAnsi="宋体" w:cs="宋体"/>
          <w:sz w:val="28"/>
          <w:szCs w:val="28"/>
          <w:lang w:val="zh-CN"/>
        </w:rPr>
      </w:pPr>
      <w:r>
        <w:rPr>
          <w:rFonts w:ascii="宋体" w:hAnsi="宋体" w:cs="宋体"/>
          <w:sz w:val="28"/>
          <w:szCs w:val="28"/>
          <w:lang w:val="zh-CN"/>
        </w:rPr>
      </w:r>
      <w:r/>
    </w:p>
    <w:p>
      <w:pPr>
        <w:pStyle w:val="1019"/>
        <w:rPr>
          <w:lang w:val="zh-CN"/>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lang w:val="zh-CN"/>
        </w:rPr>
      </w:r>
      <w:r/>
    </w:p>
    <w:p>
      <w:pPr>
        <w:pStyle w:val="1019"/>
        <w:ind w:firstLine="562"/>
        <w:jc w:val="center"/>
        <w:spacing w:line="480" w:lineRule="exact"/>
        <w:rPr>
          <w:rFonts w:hint="eastAsia" w:ascii="仿宋" w:hAnsi="仿宋" w:eastAsia="仿宋" w:cs="仿宋"/>
          <w:b/>
          <w:bCs/>
          <w:sz w:val="28"/>
          <w:szCs w:val="28"/>
        </w:rPr>
        <w:pBdr>
          <w:top w:val="none" w:color="000000" w:sz="0" w:space="1"/>
          <w:left w:val="none" w:color="000000" w:sz="0" w:space="4"/>
          <w:bottom w:val="none" w:color="000000" w:sz="0" w:space="1"/>
          <w:right w:val="none" w:color="000000" w:sz="0" w:space="4"/>
        </w:pBdr>
        <w:outlineLvl w:val="1"/>
      </w:pPr>
      <w:r/>
      <w:bookmarkStart w:id="54" w:name="_Toc24138"/>
      <w:r/>
      <w:bookmarkStart w:id="55" w:name="_Toc29594"/>
      <w:r>
        <w:rPr>
          <w:rFonts w:hint="eastAsia" w:ascii="仿宋" w:hAnsi="仿宋" w:eastAsia="仿宋" w:cs="仿宋"/>
          <w:b/>
          <w:bCs/>
          <w:sz w:val="28"/>
          <w:szCs w:val="28"/>
        </w:rPr>
        <w:t xml:space="preserve">（一）资格性评审记录表</w:t>
      </w:r>
      <w:bookmarkEnd w:id="54"/>
      <w:r/>
      <w:bookmarkEnd w:id="55"/>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495"/>
        </w:trPr>
        <w:tc>
          <w:tcPr>
            <w:tcW w:w="746" w:type="dxa"/>
            <w:vAlign w:val="center"/>
            <w:textDirection w:val="lrTb"/>
            <w:noWrap w:val="false"/>
          </w:tcPr>
          <w:p>
            <w:pPr>
              <w:pStyle w:val="1019"/>
              <w:jc w:val="center"/>
              <w:rPr>
                <w:rFonts w:ascii="仿宋" w:hAnsi="仿宋" w:eastAsia="仿宋" w:cs="仿宋"/>
                <w:b/>
                <w:bCs/>
                <w:sz w:val="24"/>
                <w:lang w:val="zh-CN"/>
              </w:rPr>
            </w:pPr>
            <w:r>
              <w:rPr>
                <w:rFonts w:hint="eastAsia" w:ascii="仿宋" w:hAnsi="仿宋" w:eastAsia="仿宋" w:cs="仿宋"/>
                <w:b/>
                <w:bCs/>
                <w:sz w:val="24"/>
                <w:lang w:val="zh-CN"/>
              </w:rPr>
              <w:t xml:space="preserve">序号</w:t>
            </w:r>
            <w:r>
              <w:rPr>
                <w:rFonts w:ascii="仿宋" w:hAnsi="仿宋" w:eastAsia="仿宋" w:cs="仿宋"/>
                <w:b/>
                <w:bCs/>
                <w:sz w:val="24"/>
                <w:lang w:val="zh-CN"/>
              </w:rPr>
            </w:r>
            <w:r/>
          </w:p>
        </w:tc>
        <w:tc>
          <w:tcPr>
            <w:tcW w:w="7503"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审查项目</w:t>
            </w:r>
            <w:r>
              <w:rPr>
                <w:rFonts w:ascii="仿宋" w:hAnsi="仿宋" w:eastAsia="仿宋" w:cs="仿宋"/>
                <w:b/>
                <w:bCs/>
                <w:sz w:val="24"/>
              </w:rPr>
            </w:r>
            <w:r/>
          </w:p>
        </w:tc>
        <w:tc>
          <w:tcPr>
            <w:tcW w:w="1701" w:type="dxa"/>
            <w:vAlign w:val="center"/>
            <w:textDirection w:val="lrTb"/>
            <w:noWrap w:val="false"/>
          </w:tcPr>
          <w:p>
            <w:pPr>
              <w:pStyle w:val="1019"/>
              <w:jc w:val="center"/>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rPr>
                <w:rFonts w:hint="eastAsia" w:ascii="仿宋" w:hAnsi="仿宋" w:eastAsia="仿宋" w:cs="仿宋"/>
                <w:b/>
                <w:bCs/>
                <w:sz w:val="24"/>
                <w:lang w:val="en-US"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一</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资格性审查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具有独立承担民事责任的能力（投标供应商须具有独立法人资格，提供法人或者其他组织的营业执照复印件</w:t>
            </w:r>
            <w:r>
              <w:rPr>
                <w:rFonts w:hint="eastAsia" w:ascii="仿宋" w:hAnsi="仿宋" w:eastAsia="仿宋" w:cs="仿宋"/>
                <w:sz w:val="24"/>
                <w:lang w:val="en-US" w:eastAsia="zh-CN"/>
              </w:rPr>
              <w:t xml:space="preserve">或扫描件</w:t>
            </w:r>
            <w:r>
              <w:rPr>
                <w:rFonts w:hint="eastAsia" w:ascii="仿宋" w:hAnsi="仿宋" w:eastAsia="仿宋" w:cs="仿宋"/>
                <w:sz w:val="24"/>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具有良好的商业信誉和健全的财务会计制度[提供202</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年度财务报告，或投标截止时间前六个月内银行出具的资信证明，或开标前六个月内任意一个月的财务状况报告（至少包括资产负债表和利润表）（法人或者其他组织成立未满三个月的可以不提供），或财政部门认可的政府采购专业担保机构出具的投标担保函。]；</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具有履行合同所必需的设备和专业技术能力（无须提供证明文件，以投标供应商提供的《投标函》为准）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1701"/>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参加本次采购活动前三年内，在经营活动中没有重大违法记录（无须提供证明文件，以投标供应商提供的《投标函》为准）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lang w:val="zh-CN"/>
              </w:rPr>
              <w:t xml:space="preserve">法律、行政法规规定的其他条件。（无须提供证明文件，以投标供应商提供的《投标函》为准）。</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拒绝下述投标供应商参加本次招标活动：（1）为招标项目提供整体设计、规范编制或者项目管理、监理、检测等服务的；不得再参加本项目的招标活动；（2）投标供应商单位负责人为同一人或者存在直接控股、管理关系的不同投标供应商，不得参加同一合同项下的招标活动；（3）被“信用中国”网站（www.creditchina.gov.cn）列入失信被执行人、重大税收违法失信主体；中国政府采购网（www.ccgp.gov.cn)）政府采购严重违法失信行为记录名单。</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本项目不接受联合体投标，不允许转包、分包（无须提供证明文件，以投标供应商提供的《投标函》为准）。</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rPr>
              <w:t xml:space="preserve">其他满足招标文件要求。</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rPr>
            </w:pPr>
            <w:r>
              <w:rPr>
                <w:rFonts w:hint="eastAsia" w:ascii="仿宋" w:hAnsi="仿宋" w:eastAsia="仿宋" w:cs="仿宋"/>
                <w:sz w:val="24"/>
              </w:rPr>
            </w:r>
            <w:r/>
          </w:p>
        </w:tc>
      </w:tr>
    </w:tbl>
    <w:p>
      <w:pPr>
        <w:pStyle w:val="1019"/>
        <w:spacing w:line="480" w:lineRule="exact"/>
        <w:rPr>
          <w:rFonts w:ascii="仿宋" w:hAnsi="仿宋" w:eastAsia="仿宋" w:cs="仿宋"/>
          <w:sz w:val="24"/>
        </w:rPr>
      </w:pPr>
      <w:r>
        <w:rPr>
          <w:rFonts w:hint="eastAsia" w:ascii="仿宋" w:hAnsi="仿宋" w:eastAsia="仿宋" w:cs="仿宋"/>
          <w:sz w:val="24"/>
        </w:rPr>
        <w:t xml:space="preserve">注：以上标准其中有一项不符合，则视为评审不通过。通过投标文件</w:t>
      </w:r>
      <w:r>
        <w:rPr>
          <w:rFonts w:hint="eastAsia" w:ascii="仿宋" w:hAnsi="仿宋" w:eastAsia="仿宋" w:cs="仿宋"/>
          <w:sz w:val="24"/>
          <w:lang w:val="en-US" w:eastAsia="zh-CN"/>
        </w:rPr>
        <w:t xml:space="preserve">资格</w:t>
      </w:r>
      <w:r>
        <w:rPr>
          <w:rFonts w:hint="eastAsia" w:ascii="仿宋" w:hAnsi="仿宋" w:eastAsia="仿宋" w:cs="仿宋"/>
          <w:sz w:val="24"/>
        </w:rPr>
        <w:t xml:space="preserve">性审查的合格供应商不足3家的，不进入</w:t>
      </w:r>
      <w:r>
        <w:rPr>
          <w:rFonts w:hint="eastAsia" w:ascii="仿宋" w:hAnsi="仿宋" w:eastAsia="仿宋" w:cs="仿宋"/>
          <w:sz w:val="24"/>
          <w:lang w:val="en-US" w:eastAsia="zh-CN"/>
        </w:rPr>
        <w:t xml:space="preserve">符合性</w:t>
      </w:r>
      <w:r>
        <w:rPr>
          <w:rFonts w:hint="eastAsia" w:ascii="仿宋" w:hAnsi="仿宋" w:eastAsia="仿宋" w:cs="仿宋"/>
          <w:sz w:val="24"/>
        </w:rPr>
        <w:t xml:space="preserve">评审。</w:t>
      </w:r>
      <w:r>
        <w:rPr>
          <w:rFonts w:ascii="仿宋" w:hAnsi="仿宋" w:eastAsia="仿宋" w:cs="仿宋"/>
          <w:sz w:val="24"/>
        </w:rPr>
      </w:r>
      <w:r/>
    </w:p>
    <w:p>
      <w:pPr>
        <w:pStyle w:val="1019"/>
        <w:rPr>
          <w:rFonts w:hint="eastAsia"/>
        </w:rPr>
      </w:pPr>
      <w:r>
        <w:rPr>
          <w:rFonts w:hint="eastAsia"/>
        </w:rPr>
      </w:r>
      <w:r/>
    </w:p>
    <w:p>
      <w:pPr>
        <w:pStyle w:val="1021"/>
        <w:jc w:val="center"/>
        <w:rPr>
          <w:rFonts w:hint="eastAsia" w:ascii="仿宋" w:hAnsi="仿宋" w:eastAsia="仿宋" w:cs="仿宋"/>
          <w:b/>
          <w:bCs/>
          <w:sz w:val="28"/>
          <w:szCs w:val="28"/>
        </w:rPr>
      </w:pPr>
      <w:r>
        <w:rPr>
          <w:rFonts w:hint="eastAsia" w:ascii="仿宋" w:hAnsi="仿宋" w:eastAsia="仿宋" w:cs="仿宋"/>
          <w:b/>
          <w:sz w:val="28"/>
          <w:szCs w:val="28"/>
        </w:rPr>
        <w:br w:type="page" w:clear="all"/>
      </w:r>
      <w:bookmarkStart w:id="56" w:name="_Toc3472"/>
      <w:r>
        <w:rPr>
          <w:rFonts w:hint="eastAsia" w:ascii="仿宋" w:hAnsi="仿宋" w:eastAsia="仿宋" w:cs="仿宋"/>
          <w:b/>
          <w:bCs/>
          <w:sz w:val="28"/>
          <w:szCs w:val="28"/>
          <w:lang w:val="en-US" w:eastAsia="zh-CN" w:bidi="ar-SA"/>
        </w:rPr>
        <w:t xml:space="preserve">（二）符合性评审记录表</w:t>
      </w:r>
      <w:bookmarkEnd w:id="56"/>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567"/>
        </w:trPr>
        <w:tc>
          <w:tcPr>
            <w:tcW w:w="746" w:type="dxa"/>
            <w:vAlign w:val="center"/>
            <w:textDirection w:val="lrTb"/>
            <w:noWrap w:val="false"/>
          </w:tcPr>
          <w:p>
            <w:pPr>
              <w:pStyle w:val="1019"/>
              <w:jc w:val="center"/>
              <w:rPr>
                <w:rFonts w:hint="eastAsia" w:ascii="仿宋" w:hAnsi="仿宋" w:eastAsia="仿宋" w:cs="仿宋"/>
                <w:b/>
                <w:bCs/>
                <w:sz w:val="24"/>
                <w:szCs w:val="24"/>
                <w:lang w:val="zh-CN" w:eastAsia="zh-CN" w:bidi="ar-SA"/>
              </w:rPr>
            </w:pPr>
            <w:r>
              <w:rPr>
                <w:rFonts w:hint="eastAsia" w:ascii="仿宋" w:hAnsi="仿宋" w:eastAsia="仿宋" w:cs="仿宋"/>
                <w:b/>
                <w:bCs/>
                <w:sz w:val="24"/>
                <w:lang w:val="zh-CN"/>
              </w:rPr>
              <w:t xml:space="preserve">序号</w:t>
            </w:r>
            <w:r>
              <w:rPr>
                <w:rFonts w:hint="eastAsia" w:ascii="仿宋" w:hAnsi="仿宋" w:eastAsia="仿宋" w:cs="仿宋"/>
                <w:b/>
                <w:bCs/>
                <w:sz w:val="24"/>
                <w:szCs w:val="24"/>
                <w:lang w:val="zh-CN" w:eastAsia="zh-CN" w:bidi="ar-SA"/>
              </w:rPr>
            </w:r>
            <w:r/>
          </w:p>
        </w:tc>
        <w:tc>
          <w:tcPr>
            <w:tcW w:w="7503"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rPr>
              <w:t xml:space="preserve">审查项目</w:t>
            </w:r>
            <w:r>
              <w:rPr>
                <w:rFonts w:hint="eastAsia" w:ascii="仿宋" w:hAnsi="仿宋" w:eastAsia="仿宋" w:cs="仿宋"/>
                <w:b/>
                <w:bCs/>
                <w:sz w:val="24"/>
                <w:szCs w:val="24"/>
                <w:lang w:val="en-US" w:eastAsia="zh-CN" w:bidi="ar-SA"/>
              </w:rPr>
            </w:r>
            <w:r/>
          </w:p>
        </w:tc>
        <w:tc>
          <w:tcPr>
            <w:tcW w:w="1701"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备注</w:t>
            </w:r>
            <w:r>
              <w:rPr>
                <w:rFonts w:hint="eastAsia" w:ascii="仿宋" w:hAnsi="仿宋" w:eastAsia="仿宋" w:cs="仿宋"/>
                <w:b/>
                <w:bCs/>
                <w:sz w:val="24"/>
                <w:szCs w:val="24"/>
                <w:lang w:val="en-US" w:eastAsia="zh-CN" w:bidi="ar-SA"/>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二</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符合性审查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报价符合性审查。（投标报价低于</w:t>
            </w:r>
            <w:r>
              <w:rPr>
                <w:rFonts w:hint="eastAsia" w:ascii="仿宋" w:hAnsi="仿宋" w:eastAsia="仿宋" w:cs="仿宋"/>
                <w:sz w:val="24"/>
                <w:lang w:val="en-US" w:eastAsia="zh-CN"/>
              </w:rPr>
              <w:t xml:space="preserve">本</w:t>
            </w:r>
            <w:r>
              <w:rPr>
                <w:rFonts w:hint="eastAsia" w:ascii="仿宋" w:hAnsi="仿宋" w:eastAsia="仿宋" w:cs="仿宋"/>
                <w:sz w:val="24"/>
                <w:lang w:val="zh-CN"/>
              </w:rPr>
              <w:t xml:space="preserve">项目最高限价</w:t>
            </w:r>
            <w:r>
              <w:rPr>
                <w:rFonts w:hint="eastAsia" w:ascii="仿宋" w:hAnsi="仿宋" w:eastAsia="仿宋" w:cs="仿宋"/>
                <w:sz w:val="24"/>
                <w:lang w:val="en-US" w:eastAsia="zh-CN"/>
              </w:rPr>
              <w:t xml:space="preserve">45%</w:t>
            </w:r>
            <w:r>
              <w:rPr>
                <w:rFonts w:hint="eastAsia" w:ascii="仿宋" w:hAnsi="仿宋" w:eastAsia="仿宋" w:cs="仿宋"/>
                <w:sz w:val="24"/>
                <w:lang w:val="zh-CN"/>
              </w:rPr>
              <w:t xml:space="preserve">的，即投标报价＜</w:t>
            </w:r>
            <w:r>
              <w:rPr>
                <w:rFonts w:hint="eastAsia" w:ascii="仿宋" w:hAnsi="仿宋" w:eastAsia="仿宋" w:cs="仿宋"/>
                <w:sz w:val="24"/>
                <w:lang w:val="en-US" w:eastAsia="zh-CN"/>
              </w:rPr>
              <w:t xml:space="preserve">本</w:t>
            </w:r>
            <w:r>
              <w:rPr>
                <w:rFonts w:hint="eastAsia" w:ascii="仿宋" w:hAnsi="仿宋" w:eastAsia="仿宋" w:cs="仿宋"/>
                <w:sz w:val="24"/>
                <w:lang w:val="zh-CN"/>
              </w:rPr>
              <w:t xml:space="preserve">项目最高限价×</w:t>
            </w:r>
            <w:r>
              <w:rPr>
                <w:rFonts w:hint="eastAsia" w:ascii="仿宋" w:hAnsi="仿宋" w:eastAsia="仿宋" w:cs="仿宋"/>
                <w:sz w:val="24"/>
                <w:lang w:val="en-US" w:eastAsia="zh-CN"/>
              </w:rPr>
              <w:t xml:space="preserve">45%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投标人</w:t>
            </w:r>
            <w:r>
              <w:rPr>
                <w:rFonts w:hint="eastAsia" w:ascii="仿宋" w:hAnsi="仿宋" w:eastAsia="仿宋" w:cs="仿宋"/>
                <w:sz w:val="24"/>
                <w:lang w:val="zh-CN"/>
              </w:rPr>
              <w:t xml:space="preserve">可随投标文件一并提交相关书面说明及必要的证明材料。）</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2</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lang w:val="en-US" w:eastAsia="zh-CN"/>
              </w:rPr>
            </w:pPr>
            <w:r>
              <w:rPr>
                <w:rFonts w:hint="eastAsia" w:ascii="仿宋" w:hAnsi="仿宋" w:eastAsia="仿宋" w:cs="仿宋"/>
                <w:sz w:val="24"/>
                <w:lang w:val="zh-CN"/>
              </w:rPr>
              <w:t xml:space="preserve">投标文件按要求签署及盖章。</w:t>
            </w:r>
            <w:r>
              <w:rPr>
                <w:rFonts w:hint="eastAsia" w:ascii="仿宋" w:hAnsi="仿宋" w:eastAsia="仿宋" w:cs="仿宋"/>
                <w:sz w:val="24"/>
                <w:lang w:val="en-US" w:eastAsia="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szCs w:val="24"/>
                <w:lang w:val="en-US" w:eastAsia="zh-CN" w:bidi="ar-SA"/>
              </w:rPr>
            </w:pPr>
            <w:r>
              <w:rPr>
                <w:rFonts w:hint="eastAsia" w:ascii="仿宋" w:hAnsi="仿宋" w:eastAsia="仿宋" w:cs="仿宋"/>
                <w:sz w:val="24"/>
              </w:rPr>
              <w:t xml:space="preserve">3</w:t>
            </w:r>
            <w:r>
              <w:rPr>
                <w:rFonts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投标文件组成齐全完整。</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szCs w:val="24"/>
                <w:lang w:val="en-US" w:eastAsia="zh-CN" w:bidi="ar-SA"/>
              </w:rPr>
            </w:pPr>
            <w:r>
              <w:rPr>
                <w:rFonts w:hint="eastAsia" w:ascii="仿宋" w:hAnsi="仿宋" w:eastAsia="仿宋" w:cs="仿宋"/>
                <w:sz w:val="24"/>
              </w:rPr>
              <w:t xml:space="preserve">4</w:t>
            </w:r>
            <w:r>
              <w:rPr>
                <w:rFonts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按规定递交了合格的《投标函》，投标有效期符合招标文件规定。</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szCs w:val="24"/>
                <w:lang w:val="en-US" w:eastAsia="zh-CN" w:bidi="ar-SA"/>
              </w:rPr>
            </w:pPr>
            <w:r>
              <w:rPr>
                <w:rFonts w:hint="eastAsia" w:ascii="仿宋" w:hAnsi="仿宋" w:eastAsia="仿宋" w:cs="仿宋"/>
                <w:sz w:val="24"/>
              </w:rPr>
              <w:t xml:space="preserve">5</w:t>
            </w:r>
            <w:r>
              <w:rPr>
                <w:rFonts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供应商提供法定代表人授权书原件、法定代表人身份证复印件、授权代表身份证复印件（如果是法定代表人直接参与投标的可以不提供授权书）。</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6</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投标</w:t>
            </w:r>
            <w:r>
              <w:rPr>
                <w:rFonts w:hint="eastAsia" w:ascii="仿宋" w:hAnsi="仿宋" w:eastAsia="仿宋" w:cs="仿宋"/>
                <w:sz w:val="24"/>
                <w:lang w:val="zh-CN"/>
              </w:rPr>
              <w:t xml:space="preserve">报价</w:t>
            </w:r>
            <w:r>
              <w:rPr>
                <w:rFonts w:hint="eastAsia" w:ascii="仿宋" w:hAnsi="仿宋" w:eastAsia="仿宋" w:cs="仿宋"/>
                <w:sz w:val="24"/>
              </w:rPr>
              <w:t xml:space="preserve">未</w:t>
            </w:r>
            <w:r>
              <w:rPr>
                <w:rFonts w:hint="eastAsia" w:ascii="仿宋" w:hAnsi="仿宋" w:eastAsia="仿宋" w:cs="仿宋"/>
                <w:sz w:val="24"/>
                <w:lang w:val="zh-CN"/>
              </w:rPr>
              <w:t xml:space="preserve">超过</w:t>
            </w:r>
            <w:r>
              <w:rPr>
                <w:rFonts w:hint="eastAsia" w:ascii="仿宋" w:hAnsi="仿宋" w:eastAsia="仿宋" w:cs="仿宋"/>
                <w:sz w:val="24"/>
              </w:rPr>
              <w:t xml:space="preserve">最高限价。</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7</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en-US"/>
              </w:rPr>
            </w:pPr>
            <w:r>
              <w:rPr>
                <w:rFonts w:hint="eastAsia" w:ascii="仿宋" w:hAnsi="仿宋" w:eastAsia="仿宋" w:cs="仿宋"/>
                <w:sz w:val="24"/>
                <w:lang w:val="en-US" w:eastAsia="zh-CN"/>
              </w:rPr>
              <w:t xml:space="preserve">商务要求中“★”号商务条款满足谈判文件要求。</w:t>
            </w:r>
            <w:r>
              <w:rPr>
                <w:rFonts w:ascii="仿宋" w:hAnsi="仿宋" w:eastAsia="仿宋" w:cs="仿宋"/>
                <w:sz w:val="24"/>
                <w:lang w:val="en-US"/>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8</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en-US" w:eastAsia="zh-CN"/>
              </w:rPr>
              <w:t xml:space="preserve">技术要求中“★”号技术条款满足谈判文件要求。</w:t>
            </w:r>
            <w:r>
              <w:rPr>
                <w:rFonts w:hint="eastAsia"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9</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没有《招标文件》不允许的附加条件。</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10</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rPr>
              <w:t xml:space="preserve">没有串通投标情形。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lang w:val="en-US" w:eastAsia="zh-CN"/>
              </w:rPr>
            </w:pPr>
            <w:r>
              <w:rPr>
                <w:rFonts w:hint="eastAsia" w:ascii="仿宋" w:hAnsi="仿宋" w:eastAsia="仿宋" w:cs="仿宋"/>
                <w:sz w:val="24"/>
                <w:lang w:val="en-US" w:eastAsia="zh-CN"/>
              </w:rPr>
              <w:t xml:space="preserve">11</w:t>
            </w:r>
            <w:r>
              <w:rPr>
                <w:rFonts w:ascii="仿宋" w:hAnsi="仿宋" w:eastAsia="仿宋" w:cs="仿宋"/>
                <w:sz w:val="24"/>
                <w:lang w:val="en-US" w:eastAsia="zh-CN"/>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eastAsia="zh-CN"/>
              </w:rPr>
              <w:t xml:space="preserve">投标文件</w:t>
            </w:r>
            <w:r>
              <w:rPr>
                <w:rFonts w:hint="eastAsia" w:ascii="仿宋" w:hAnsi="仿宋" w:eastAsia="仿宋" w:cs="仿宋"/>
                <w:sz w:val="24"/>
                <w:lang w:val="zh-CN"/>
              </w:rPr>
              <w:t xml:space="preserve">没有法律、法规和</w:t>
            </w:r>
            <w:r>
              <w:rPr>
                <w:rFonts w:hint="eastAsia" w:ascii="仿宋" w:hAnsi="仿宋" w:eastAsia="仿宋" w:cs="仿宋"/>
                <w:sz w:val="24"/>
                <w:lang w:val="zh-CN" w:eastAsia="zh-CN"/>
              </w:rPr>
              <w:t xml:space="preserve">招标文件</w:t>
            </w:r>
            <w:r>
              <w:rPr>
                <w:rFonts w:hint="eastAsia" w:ascii="仿宋" w:hAnsi="仿宋" w:eastAsia="仿宋" w:cs="仿宋"/>
                <w:sz w:val="24"/>
                <w:lang w:val="zh-CN"/>
              </w:rPr>
              <w:t xml:space="preserve">规定的其他无效情形。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bl>
    <w:p>
      <w:pPr>
        <w:pStyle w:val="1019"/>
        <w:spacing w:line="480" w:lineRule="exact"/>
        <w:rPr>
          <w:rFonts w:hint="eastAsia" w:ascii="仿宋" w:hAnsi="仿宋" w:eastAsia="仿宋" w:cs="仿宋"/>
          <w:sz w:val="24"/>
        </w:rPr>
      </w:pPr>
      <w:r>
        <w:rPr>
          <w:rFonts w:hint="eastAsia" w:ascii="仿宋" w:hAnsi="仿宋" w:eastAsia="仿宋" w:cs="仿宋"/>
          <w:sz w:val="24"/>
        </w:rPr>
        <w:t xml:space="preserve">注：以上标准其中有一项不符合，则视为评审不通过。通过投标文件符合性审查的合格供应商不足3家的，不进入综合评审。</w:t>
      </w:r>
      <w:r>
        <w:rPr>
          <w:rFonts w:hint="eastAsia" w:ascii="仿宋" w:hAnsi="仿宋" w:eastAsia="仿宋" w:cs="仿宋"/>
          <w:sz w:val="24"/>
        </w:rPr>
      </w:r>
      <w:r/>
    </w:p>
    <w:p>
      <w:pPr>
        <w:pStyle w:val="1021"/>
        <w:jc w:val="center"/>
        <w:rPr>
          <w:rFonts w:ascii="仿宋" w:hAnsi="仿宋" w:eastAsia="仿宋" w:cs="仿宋"/>
          <w:b w:val="0"/>
          <w:color w:val="000000"/>
          <w:sz w:val="28"/>
          <w:szCs w:val="28"/>
          <w:highlight w:val="none"/>
        </w:rPr>
      </w:pPr>
      <w:r>
        <w:rPr>
          <w:rFonts w:hint="eastAsia" w:ascii="仿宋" w:hAnsi="仿宋" w:eastAsia="仿宋" w:cs="仿宋"/>
          <w:sz w:val="24"/>
        </w:rPr>
        <w:br w:type="page" w:clear="all"/>
      </w:r>
      <w:bookmarkStart w:id="57" w:name="_Toc8201"/>
      <w:r/>
      <w:bookmarkStart w:id="58" w:name="_Toc27139"/>
      <w:r/>
      <w:bookmarkStart w:id="59" w:name="OLE_LINK23"/>
      <w:r/>
      <w:bookmarkStart w:id="60" w:name="OLE_LINK22"/>
      <w:r>
        <w:rPr>
          <w:rFonts w:hint="eastAsia" w:ascii="仿宋" w:hAnsi="仿宋" w:eastAsia="仿宋" w:cs="仿宋"/>
          <w:b/>
          <w:bCs w:val="0"/>
          <w:color w:val="000000"/>
          <w:sz w:val="28"/>
          <w:szCs w:val="28"/>
          <w:highlight w:val="none"/>
        </w:rPr>
        <w:t xml:space="preserve">（</w:t>
      </w:r>
      <w:r>
        <w:rPr>
          <w:rFonts w:hint="eastAsia" w:ascii="仿宋" w:hAnsi="仿宋" w:eastAsia="仿宋" w:cs="仿宋"/>
          <w:b/>
          <w:bCs w:val="0"/>
          <w:color w:val="000000"/>
          <w:sz w:val="28"/>
          <w:szCs w:val="28"/>
          <w:highlight w:val="none"/>
          <w:lang w:val="en-US" w:eastAsia="zh-CN"/>
        </w:rPr>
        <w:t xml:space="preserve">三</w:t>
      </w:r>
      <w:r>
        <w:rPr>
          <w:rFonts w:hint="eastAsia" w:ascii="仿宋" w:hAnsi="仿宋" w:eastAsia="仿宋" w:cs="仿宋"/>
          <w:b/>
          <w:bCs w:val="0"/>
          <w:color w:val="000000"/>
          <w:sz w:val="28"/>
          <w:szCs w:val="28"/>
          <w:highlight w:val="none"/>
        </w:rPr>
        <w:t xml:space="preserve">）评分因素及分值</w:t>
      </w:r>
      <w:bookmarkEnd w:id="57"/>
      <w:r/>
      <w:bookmarkEnd w:id="58"/>
      <w:r>
        <w:rPr>
          <w:rFonts w:ascii="仿宋" w:hAnsi="仿宋" w:eastAsia="仿宋" w:cs="仿宋"/>
          <w:b w:val="0"/>
          <w:color w:val="000000"/>
          <w:sz w:val="28"/>
          <w:szCs w:val="28"/>
          <w:highlight w:val="none"/>
        </w:rPr>
      </w:r>
      <w:r/>
    </w:p>
    <w:tbl>
      <w:tblPr>
        <w:tblW w:w="0" w:type="auto"/>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314"/>
        <w:gridCol w:w="1314"/>
        <w:gridCol w:w="5234"/>
        <w:gridCol w:w="787"/>
      </w:tblGrid>
      <w:tr>
        <w:trPr>
          <w:trHeight w:val="567"/>
          <w:tblHeader/>
        </w:trPr>
        <w:tc>
          <w:tcPr>
            <w:shd w:val="clear" w:color="auto" w:fill="ffffff"/>
            <w:tcW w:w="69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gridSpan w:val="2"/>
            <w:shd w:val="clear" w:color="auto" w:fill="ffffff"/>
            <w:tcW w:w="262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评分因素</w:t>
            </w:r>
            <w:r>
              <w:rPr>
                <w:rFonts w:ascii="仿宋" w:hAnsi="仿宋" w:eastAsia="仿宋" w:cs="仿宋"/>
                <w:b/>
                <w:color w:val="000000"/>
                <w:sz w:val="24"/>
              </w:rPr>
            </w:r>
            <w:r/>
          </w:p>
        </w:tc>
        <w:tc>
          <w:tcPr>
            <w:shd w:val="clear" w:color="auto" w:fill="ffffff"/>
            <w:tcW w:w="5234"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评审标准</w:t>
            </w:r>
            <w:r>
              <w:rPr>
                <w:rFonts w:ascii="仿宋" w:hAnsi="仿宋" w:eastAsia="仿宋" w:cs="仿宋"/>
                <w:b/>
                <w:color w:val="000000"/>
                <w:sz w:val="24"/>
              </w:rPr>
            </w:r>
            <w:r/>
          </w:p>
        </w:tc>
        <w:tc>
          <w:tcPr>
            <w:shd w:val="clear" w:color="auto" w:fill="ffffff"/>
            <w:tcW w:w="787"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分值</w:t>
            </w:r>
            <w:r>
              <w:rPr>
                <w:rFonts w:ascii="仿宋" w:hAnsi="仿宋" w:eastAsia="仿宋" w:cs="仿宋"/>
                <w:b/>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bookmarkStart w:id="61" w:name="_Hlk401005359"/>
            <w:r>
              <w:rPr>
                <w:rFonts w:hint="eastAsia" w:ascii="仿宋" w:hAnsi="仿宋" w:eastAsia="仿宋" w:cs="仿宋"/>
                <w:color w:val="000000"/>
                <w:sz w:val="24"/>
              </w:rPr>
              <w:t xml:space="preserve">1</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价格</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lang w:val="en-US" w:eastAsia="zh-CN"/>
              </w:rPr>
              <w:t xml:space="preserve">40</w:t>
            </w:r>
            <w:r>
              <w:rPr>
                <w:rFonts w:hint="eastAsia" w:ascii="仿宋" w:hAnsi="仿宋" w:eastAsia="仿宋" w:cs="仿宋"/>
                <w:color w:val="000000"/>
                <w:sz w:val="24"/>
              </w:rPr>
              <w:t xml:space="preserve">分。</w:t>
            </w:r>
            <w:r>
              <w:rPr>
                <w:rFonts w:ascii="仿宋" w:hAnsi="仿宋" w:eastAsia="仿宋" w:cs="仿宋"/>
                <w:color w:val="000000"/>
                <w:sz w:val="24"/>
              </w:rPr>
            </w:r>
            <w:r/>
          </w:p>
          <w:p>
            <w:pPr>
              <w:pStyle w:val="1072"/>
              <w:rPr>
                <w:rFonts w:ascii="仿宋" w:hAnsi="仿宋" w:eastAsia="仿宋" w:cs="仿宋"/>
                <w:color w:val="000000"/>
                <w:sz w:val="24"/>
              </w:rPr>
            </w:pPr>
            <w:r>
              <w:rPr>
                <w:rFonts w:hint="eastAsia" w:ascii="仿宋" w:hAnsi="仿宋" w:eastAsia="仿宋" w:cs="仿宋"/>
                <w:color w:val="000000"/>
                <w:sz w:val="24"/>
              </w:rPr>
              <w:t xml:space="preserve">价格分统一按照下列公式计算：投标报价得分=(评标基准价／投标报价)×</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业绩</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202</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年1月1日（含，以合同签订时间为准）至今</w:t>
            </w: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rPr>
              <w:t xml:space="preserve">实施过</w:t>
            </w:r>
            <w:r>
              <w:rPr>
                <w:rFonts w:hint="eastAsia" w:ascii="仿宋" w:hAnsi="仿宋" w:eastAsia="仿宋" w:cs="仿宋"/>
                <w:color w:val="000000"/>
                <w:sz w:val="24"/>
                <w:lang w:val="en-US" w:eastAsia="zh-CN"/>
              </w:rPr>
              <w:t xml:space="preserve">救援</w:t>
            </w:r>
            <w:r>
              <w:rPr>
                <w:rFonts w:hint="eastAsia" w:ascii="仿宋" w:hAnsi="仿宋" w:eastAsia="仿宋" w:cs="仿宋"/>
                <w:color w:val="000000"/>
                <w:sz w:val="24"/>
              </w:rPr>
              <w:t xml:space="preserve">项目，每有一个有效业绩得3分，最高得9分。[提供中标通知书（或成交通知书）、合同复印件加盖供应商公章，二者缺一不可，未提供或虽提供但资料不完整、无法辨识的不得分；合同如反映不出相关内容，须另外提供有效证明材料]。</w:t>
            </w:r>
            <w:r>
              <w:rPr>
                <w:rFonts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eastAsia="zh-CN"/>
              </w:rPr>
            </w:r>
            <w:r/>
          </w:p>
        </w:tc>
      </w:tr>
      <w:tr>
        <w:trPr>
          <w:trHeight w:val="724"/>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技术性能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招标文件第四章技术要求全部满足招标要求的得满分，打★指标为必须满足项，如有负偏离将作为无效投标，打▲指标为重要指标，有1项负偏离扣2分，其余指标有1项负偏离扣1分，</w:t>
            </w:r>
            <w:r>
              <w:rPr>
                <w:rFonts w:hint="eastAsia" w:ascii="仿宋" w:hAnsi="仿宋" w:eastAsia="仿宋" w:cs="仿宋"/>
                <w:color w:val="000000"/>
                <w:sz w:val="24"/>
                <w:lang w:val="en-US" w:eastAsia="zh-CN"/>
              </w:rPr>
              <w:t xml:space="preserve">25分</w:t>
            </w:r>
            <w:r>
              <w:rPr>
                <w:rFonts w:hint="eastAsia" w:ascii="仿宋" w:hAnsi="仿宋" w:eastAsia="仿宋" w:cs="仿宋"/>
                <w:color w:val="000000"/>
                <w:sz w:val="24"/>
              </w:rPr>
              <w:t xml:space="preserve">扣完为止。（</w:t>
            </w:r>
            <w:r>
              <w:rPr>
                <w:rFonts w:hint="eastAsia" w:ascii="仿宋" w:hAnsi="仿宋" w:eastAsia="仿宋" w:cs="仿宋"/>
                <w:color w:val="000000"/>
                <w:sz w:val="24"/>
                <w:lang w:val="en-US" w:eastAsia="zh-CN"/>
              </w:rPr>
              <w:t xml:space="preserve">投标l人</w:t>
            </w:r>
            <w:r>
              <w:rPr>
                <w:rFonts w:hint="eastAsia" w:ascii="仿宋" w:hAnsi="仿宋" w:eastAsia="仿宋" w:cs="仿宋"/>
                <w:color w:val="000000"/>
                <w:sz w:val="24"/>
              </w:rPr>
              <w:t xml:space="preserve">需在《技术条款偏离表》中如实逐项填列所投产品的参数，如</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文件要求提供相应证明材料的，应在偏离表中注明证明材料所在</w:t>
            </w:r>
            <w:r>
              <w:rPr>
                <w:rFonts w:hint="eastAsia" w:ascii="仿宋" w:hAnsi="仿宋" w:eastAsia="仿宋" w:cs="仿宋"/>
                <w:color w:val="000000"/>
                <w:sz w:val="24"/>
                <w:lang w:eastAsia="zh-CN"/>
              </w:rPr>
              <w:t xml:space="preserve">投标文件</w:t>
            </w:r>
            <w:r>
              <w:rPr>
                <w:rFonts w:hint="eastAsia" w:ascii="仿宋" w:hAnsi="仿宋" w:eastAsia="仿宋" w:cs="仿宋"/>
                <w:color w:val="000000"/>
                <w:sz w:val="24"/>
              </w:rPr>
              <w:t xml:space="preserve">的页码位置，否则</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rPr>
              <w:t xml:space="preserve">委员会有权做负偏离处理）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lang w:val="en-US" w:eastAsia="zh-CN"/>
              </w:rPr>
            </w:r>
            <w:r/>
          </w:p>
        </w:tc>
      </w:tr>
      <w:tr>
        <w:trPr>
          <w:trHeight w:val="724"/>
        </w:trPr>
        <w:tc>
          <w:tcPr>
            <w:tcW w:w="698" w:type="dxa"/>
            <w:vAlign w:val="center"/>
            <w:vMerge w:val="restart"/>
            <w:textDirection w:val="lrTb"/>
            <w:noWrap w:val="false"/>
          </w:tcPr>
          <w:p>
            <w:pPr>
              <w:pStyle w:val="1072"/>
              <w:jc w:val="center"/>
              <w:rPr>
                <w:rFonts w:hint="eastAsia" w:eastAsia="宋体"/>
                <w:color w:val="000000"/>
                <w:lang w:val="en-US" w:eastAsia="zh-CN"/>
              </w:rPr>
            </w:pPr>
            <w:r>
              <w:rPr>
                <w:rFonts w:hint="eastAsia"/>
                <w:color w:val="000000"/>
                <w:lang w:val="en-US" w:eastAsia="zh-CN"/>
              </w:rPr>
              <w:t xml:space="preserve">4</w:t>
            </w:r>
            <w:r>
              <w:rPr>
                <w:rFonts w:hint="eastAsia" w:eastAsia="宋体"/>
                <w:color w:val="000000"/>
                <w:lang w:val="en-US" w:eastAsia="zh-CN"/>
              </w:rPr>
            </w:r>
            <w:r/>
          </w:p>
        </w:tc>
        <w:tc>
          <w:tcPr>
            <w:tcW w:w="1314" w:type="dxa"/>
            <w:vAlign w:val="center"/>
            <w:vMerge w:val="restart"/>
            <w:textDirection w:val="lrTb"/>
            <w:noWrap w:val="false"/>
          </w:tcPr>
          <w:p>
            <w:pPr>
              <w:pStyle w:val="1072"/>
              <w:jc w:val="center"/>
              <w:rPr>
                <w:rFonts w:hint="eastAsia" w:ascii="仿宋" w:hAnsi="仿宋" w:eastAsia="仿宋" w:cs="仿宋"/>
                <w:color w:val="000000"/>
                <w:sz w:val="24"/>
                <w:szCs w:val="32"/>
              </w:rPr>
            </w:pPr>
            <w:r>
              <w:rPr>
                <w:rFonts w:hint="eastAsia" w:ascii="仿宋" w:hAnsi="仿宋" w:eastAsia="仿宋" w:cs="仿宋"/>
                <w:color w:val="000000"/>
                <w:sz w:val="24"/>
                <w:szCs w:val="24"/>
                <w:highlight w:val="none"/>
                <w:lang w:val="en-US" w:eastAsia="zh-CN"/>
              </w:rPr>
              <w:t xml:space="preserve">项目实施方案</w:t>
            </w:r>
            <w:r>
              <w:rPr>
                <w:rFonts w:hint="eastAsia" w:ascii="仿宋" w:hAnsi="仿宋" w:eastAsia="仿宋" w:cs="仿宋"/>
                <w:color w:val="000000"/>
                <w:sz w:val="24"/>
                <w:szCs w:val="32"/>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供货</w:t>
            </w:r>
            <w:r>
              <w:rPr>
                <w:rFonts w:hint="eastAsia" w:ascii="仿宋" w:hAnsi="仿宋" w:eastAsia="仿宋" w:cs="仿宋"/>
                <w:color w:val="000000"/>
                <w:sz w:val="24"/>
              </w:rPr>
              <w:t xml:space="preserve">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投标人针对本项目编制供货方案，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安装、调试方案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投标人针对本项目编制</w:t>
            </w:r>
            <w:r>
              <w:rPr>
                <w:rFonts w:hint="eastAsia" w:ascii="仿宋" w:hAnsi="仿宋" w:eastAsia="仿宋" w:cs="仿宋"/>
                <w:color w:val="000000"/>
                <w:sz w:val="24"/>
              </w:rPr>
              <w:t xml:space="preserve">安装、调试</w:t>
            </w:r>
            <w:r>
              <w:rPr>
                <w:rFonts w:hint="eastAsia" w:ascii="仿宋" w:hAnsi="仿宋" w:eastAsia="仿宋" w:cs="仿宋"/>
                <w:color w:val="000000"/>
                <w:sz w:val="24"/>
                <w:lang w:val="en-US" w:eastAsia="zh-CN"/>
              </w:rPr>
              <w:t xml:space="preserve">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质量、安全、进度控制方案及措施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rPr>
              <w:t xml:space="preserve">针对本项目制定质量、安全、进度控制方案及措施，方案针对性强，可行性好得</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分；方案一般，基本满足得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分；方案不完整、内容不全面、描述不清晰、针对性不强得1分；无内容不得分。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验收方案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rPr>
              <w:t xml:space="preserve">针对本项目制定验收方案，验收计划、验收内容、验收方式等针对性强、全面具体，得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分；方案有部分针对性、内容不够全面，得2分；有验收方案，但内容无针对性得1分；无内容不得分。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培训方案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rPr>
              <w:t xml:space="preserve">针对本项目制定培训方案，科学合理、全面细致且切实可行，并提供相应培训材料，完全满足本项目需求的得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分；方案完整，但合理性欠缺，不能较好满足本项目要求的得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分；方案不完整得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en-US" w:eastAsia="zh-CN"/>
              </w:rPr>
            </w:r>
            <w:r/>
          </w:p>
        </w:tc>
      </w:tr>
      <w:tr>
        <w:trPr>
          <w:trHeight w:val="675"/>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售后服务方案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rPr>
              <w:t xml:space="preserve">针对本项目制定售后服务方案（如服务体系、服务内容、故障解决方案、专业技术人员保障及服务电话、质保期满后更换零配件及相关耗材的供应清单及收费标准等），方案科学合理得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分，基本合理略有瑕疵得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分，方案不全面或有重大瑕疵得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r>
            <w:r/>
          </w:p>
        </w:tc>
      </w:tr>
      <w:tr>
        <w:trPr>
          <w:trHeight w:val="567"/>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响应时间</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投标人</w:t>
            </w:r>
            <w:r>
              <w:rPr>
                <w:rFonts w:hint="eastAsia" w:ascii="仿宋" w:hAnsi="仿宋" w:eastAsia="仿宋" w:cs="仿宋"/>
                <w:color w:val="000000"/>
                <w:sz w:val="24"/>
                <w:lang w:val="zh-CN"/>
              </w:rPr>
              <w:t xml:space="preserve">承诺在</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使用期间（无论是否过保）可在</w:t>
            </w:r>
            <w:r>
              <w:rPr>
                <w:rFonts w:hint="eastAsia" w:ascii="仿宋" w:hAnsi="仿宋" w:eastAsia="仿宋" w:cs="仿宋"/>
                <w:color w:val="000000"/>
                <w:sz w:val="24"/>
              </w:rPr>
              <w:t xml:space="preserve">30分钟</w:t>
            </w:r>
            <w:r>
              <w:rPr>
                <w:rFonts w:hint="eastAsia" w:ascii="仿宋" w:hAnsi="仿宋" w:eastAsia="仿宋" w:cs="仿宋"/>
                <w:color w:val="000000"/>
                <w:sz w:val="24"/>
                <w:lang w:val="zh-CN"/>
              </w:rPr>
              <w:t xml:space="preserve">以内为采购人提供现场技术指导或解决</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使用问题的得2分，</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小时以内的得1分，2小时以内的得0.5分，其余不得分。需提供承诺及切实可行的保障措施</w:t>
            </w:r>
            <w:r>
              <w:rPr>
                <w:rFonts w:hint="eastAsia" w:ascii="仿宋" w:hAnsi="仿宋" w:eastAsia="仿宋" w:cs="仿宋"/>
                <w:color w:val="000000"/>
                <w:sz w:val="24"/>
              </w:rPr>
              <w:t xml:space="preserve">并</w:t>
            </w:r>
            <w:r>
              <w:rPr>
                <w:rFonts w:hint="eastAsia" w:ascii="仿宋" w:hAnsi="仿宋" w:eastAsia="仿宋" w:cs="仿宋"/>
                <w:color w:val="000000"/>
                <w:sz w:val="24"/>
                <w:lang w:val="zh-CN"/>
              </w:rPr>
              <w:t xml:space="preserve">加盖公章（若未提供保障措施</w:t>
            </w:r>
            <w:r>
              <w:rPr>
                <w:rFonts w:hint="eastAsia" w:ascii="仿宋" w:hAnsi="仿宋" w:eastAsia="仿宋" w:cs="仿宋"/>
                <w:color w:val="000000"/>
                <w:sz w:val="24"/>
              </w:rPr>
              <w:t xml:space="preserve">或</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lang w:val="zh-CN"/>
              </w:rPr>
              <w:t xml:space="preserve">委员会认为保障措施不具备可行性，本项不得分）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r>
      <w:tr>
        <w:trPr>
          <w:trHeight w:val="567"/>
        </w:trPr>
        <w:tc>
          <w:tcPr>
            <w:gridSpan w:val="4"/>
            <w:tcW w:w="8560" w:type="dxa"/>
            <w:vAlign w:val="center"/>
            <w:textDirection w:val="lrTb"/>
            <w:noWrap w:val="false"/>
          </w:tcPr>
          <w:p>
            <w:pPr>
              <w:pStyle w:val="1072"/>
              <w:ind w:firstLine="240"/>
              <w:jc w:val="center"/>
              <w:rPr>
                <w:rFonts w:ascii="仿宋" w:hAnsi="仿宋" w:eastAsia="仿宋" w:cs="仿宋"/>
                <w:color w:val="000000"/>
                <w:sz w:val="24"/>
              </w:rPr>
            </w:pPr>
            <w:r>
              <w:rPr>
                <w:rFonts w:hint="eastAsia" w:ascii="仿宋" w:hAnsi="仿宋" w:eastAsia="仿宋" w:cs="仿宋"/>
                <w:color w:val="000000"/>
                <w:sz w:val="24"/>
              </w:rPr>
              <w:t xml:space="preserve">合计</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100</w:t>
            </w:r>
            <w:r>
              <w:rPr>
                <w:rFonts w:ascii="仿宋" w:hAnsi="仿宋" w:eastAsia="仿宋" w:cs="仿宋"/>
                <w:color w:val="000000"/>
                <w:sz w:val="24"/>
              </w:rPr>
            </w:r>
            <w:r/>
          </w:p>
        </w:tc>
      </w:tr>
    </w:tbl>
    <w:p>
      <w:pPr>
        <w:pStyle w:val="1019"/>
        <w:spacing w:line="480" w:lineRule="exact"/>
        <w:rPr>
          <w:rFonts w:ascii="仿宋" w:hAnsi="仿宋" w:eastAsia="仿宋" w:cs="仿宋"/>
          <w:b/>
          <w:sz w:val="24"/>
        </w:rPr>
      </w:pPr>
      <w:r/>
      <w:bookmarkEnd w:id="59"/>
      <w:r/>
      <w:bookmarkEnd w:id="60"/>
      <w:r/>
      <w:bookmarkEnd w:id="61"/>
      <w:r>
        <w:rPr>
          <w:rFonts w:hint="eastAsia" w:ascii="仿宋" w:hAnsi="仿宋" w:eastAsia="仿宋" w:cs="仿宋"/>
          <w:b/>
          <w:bCs/>
          <w:sz w:val="24"/>
        </w:rPr>
        <w:t xml:space="preserve">特别说明：对小微型企业、监狱企业和残疾人福利单位的价格分政策</w:t>
      </w:r>
      <w:r>
        <w:rPr>
          <w:rFonts w:ascii="仿宋" w:hAnsi="仿宋" w:eastAsia="仿宋" w:cs="仿宋"/>
          <w:b/>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1.小微型企业价格分政策</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
          <w:bCs/>
          <w:sz w:val="24"/>
        </w:rPr>
        <w:t xml:space="preserve">采用最低评标价法和综合评分法（价格分采用低价优先法计算的）：</w:t>
      </w:r>
      <w:r>
        <w:rPr>
          <w:rFonts w:hint="eastAsia" w:ascii="仿宋" w:hAnsi="仿宋" w:eastAsia="仿宋" w:cs="仿宋"/>
          <w:sz w:val="24"/>
        </w:rPr>
        <w:t xml:space="preserve">如投标供应商拟为本项目对提供的货物全部由符合政策要求的小型和微型企业产品制造，提供的服务全部由符合政策要求的小型和微型企业承接的，则给予10%的扣除价格，用扣除后的价格参与评审。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1.2投标供应商需按照招标文件的要求提供相应的《中小企业声明函》。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1.3企业标准请参照《关于印发中小企业划型标准规定的通知》（工信部联企业[2011]300号）文件规定自行填写。</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2.残疾人福利单位价格扣除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2.1本项目对残疾人福利性单位视同小型、微型企业，给予上述相应的价格扣除，用扣除后的价格参与评审。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2.2残疾人福利单位需按照招标通知书的要求提供《残疾人福利性单位声明函》。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2.3残疾人福利单位标准请参照《关于促进残疾人就业政府采购政策的通知》（财库〔2017〕141号）。</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3.监狱和戒毒企业价格扣除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3.1本项目对监狱和戒毒企业（简称监狱企业）视同小型、微型企业，给予上述相应的价格扣除，用扣除后的价格参与评审。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3.2监狱企业参加政府招标活动时，需提供由省级以上监狱管理局、戒毒管理局(含新疆生产建设兵团)出具的属于监狱企业的证明文件。投标供应商如不提供上述证明文件，价格将不做相应扣除。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3.3监狱企业标准请参照《关于政府采购支持监狱企业发展有关问题的通知》（财库[2014]68号）。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4.残疾人福利单位、监狱企业属于小型、微型企业的，不重复享受政策。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如接受大中型企业与小微企业（残疾人福利单位、监狱企业）组成联合体或者允许大中型企业向一家或者多家小微企业分包的招标项目，对于联合协议或者分包意向协议约定小微企业（残疾人福利单位、监狱企业）的合同份额占到合同总金额 30%以上的，对联合体或者大中型企业的报价给予 2%的扣除，用扣除后的价格参加评审。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6.投标供应商的报价如相同，则优先采购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62" w:name="_Toc6983"/>
      <w:r/>
      <w:bookmarkStart w:id="63" w:name="_Toc26237"/>
      <w:r/>
      <w:bookmarkStart w:id="64" w:name="_Toc21982"/>
      <w:r/>
      <w:bookmarkStart w:id="65" w:name="_Toc448911840"/>
      <w:r/>
      <w:bookmarkStart w:id="66" w:name="_Toc5091"/>
      <w:r/>
      <w:bookmarkStart w:id="67" w:name="_Toc17133"/>
      <w:r/>
      <w:bookmarkStart w:id="68" w:name="_Toc19016"/>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w:t>
      </w:r>
      <w:bookmarkEnd w:id="62"/>
      <w:r/>
      <w:bookmarkStart w:id="69" w:name="_Toc4256"/>
      <w:r/>
      <w:bookmarkStart w:id="70" w:name="_Toc24971"/>
      <w:r/>
      <w:bookmarkStart w:id="71" w:name="_Toc10948"/>
      <w:r>
        <w:rPr>
          <w:rFonts w:hint="eastAsia" w:ascii="仿宋" w:hAnsi="仿宋" w:eastAsia="仿宋" w:cs="仿宋"/>
          <w:b/>
          <w:bCs/>
          <w:sz w:val="24"/>
        </w:rPr>
        <w:t xml:space="preserve">关于样品</w:t>
      </w:r>
      <w:bookmarkEnd w:id="63"/>
      <w:r/>
      <w:bookmarkEnd w:id="69"/>
      <w:r/>
      <w:bookmarkEnd w:id="70"/>
      <w:r/>
      <w:bookmarkEnd w:id="71"/>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2" w:name="_Toc24190"/>
      <w:r/>
      <w:bookmarkStart w:id="73" w:name="_Toc22231"/>
      <w:r/>
      <w:bookmarkStart w:id="74" w:name="_Toc16857"/>
      <w:r/>
      <w:bookmarkStart w:id="75" w:name="_Toc23054"/>
      <w:r/>
      <w:bookmarkStart w:id="76" w:name="_Toc31924"/>
      <w:r/>
      <w:bookmarkStart w:id="77" w:name="_Toc12623"/>
      <w:r/>
      <w:bookmarkStart w:id="78" w:name="_Toc6713"/>
      <w:r>
        <w:rPr>
          <w:rFonts w:hint="eastAsia" w:ascii="仿宋" w:hAnsi="仿宋" w:eastAsia="仿宋" w:cs="仿宋"/>
          <w:b/>
          <w:bCs/>
          <w:sz w:val="24"/>
          <w:lang w:val="en-US" w:eastAsia="zh-CN"/>
        </w:rPr>
        <w:t xml:space="preserve">四</w:t>
      </w:r>
      <w:r>
        <w:rPr>
          <w:rFonts w:hint="eastAsia" w:ascii="仿宋" w:hAnsi="仿宋" w:eastAsia="仿宋" w:cs="仿宋"/>
          <w:b/>
          <w:bCs/>
          <w:sz w:val="24"/>
        </w:rPr>
        <w:t xml:space="preserve">、关于现场陈述</w:t>
      </w:r>
      <w:bookmarkEnd w:id="76"/>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9" w:name="_Toc5064"/>
      <w:r>
        <w:rPr>
          <w:rFonts w:hint="eastAsia" w:ascii="仿宋" w:hAnsi="仿宋" w:eastAsia="仿宋" w:cs="仿宋"/>
          <w:b/>
          <w:bCs/>
          <w:sz w:val="24"/>
          <w:lang w:val="en-US" w:eastAsia="zh-CN"/>
        </w:rPr>
        <w:t xml:space="preserve">五</w:t>
      </w:r>
      <w:r>
        <w:rPr>
          <w:rFonts w:hint="eastAsia" w:ascii="仿宋" w:hAnsi="仿宋" w:eastAsia="仿宋" w:cs="仿宋"/>
          <w:b/>
          <w:bCs/>
          <w:sz w:val="24"/>
        </w:rPr>
        <w:t xml:space="preserve">、有关开标当日流程</w:t>
      </w:r>
      <w:bookmarkEnd w:id="72"/>
      <w:r/>
      <w:bookmarkEnd w:id="73"/>
      <w:r/>
      <w:bookmarkEnd w:id="74"/>
      <w:r/>
      <w:bookmarkEnd w:id="75"/>
      <w:r/>
      <w:bookmarkEnd w:id="77"/>
      <w:r/>
      <w:bookmarkEnd w:id="79"/>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5.1供应商授权代表在投标截止时间前到达开标地点。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5.2供应商授权代表持《法人授权委托书》和身份证原件到招标代理机构签到处验证合格后办理签到手续，并递交投标文件。（法定代表人参与投标的，须持《法定代表人身份证明》和身份证原件）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5.3招标代理机构组织开标、唱标。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评标委员会应当对符合资格的供应商的投标文件进行符合性审查，以确定其是否满足招标文件的实质性要求。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授权代表不要远离开评标会场，并保持通讯工具畅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5.5评标委员会应当按照招标文件中规定的评标方法和标准，对符合性审查合格的投标文件进行商务和技术评估，综合比较与评价，招标人委托评标委员会按照评审因素的量化指标评审得分</w:t>
      </w:r>
      <w:r>
        <w:rPr>
          <w:rFonts w:hint="eastAsia" w:ascii="仿宋" w:hAnsi="仿宋" w:eastAsia="仿宋" w:cs="仿宋"/>
          <w:sz w:val="24"/>
          <w:lang w:val="zh-CN"/>
        </w:rPr>
        <w:t xml:space="preserve">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w:t>
      </w:r>
      <w:r>
        <w:rPr>
          <w:rFonts w:hint="eastAsia" w:ascii="仿宋" w:hAnsi="仿宋" w:eastAsia="仿宋" w:cs="仿宋"/>
          <w:sz w:val="24"/>
        </w:rPr>
        <w:t xml:space="preserve">。</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80" w:name="_Toc13390"/>
      <w:r/>
      <w:bookmarkStart w:id="81" w:name="_Toc31214"/>
      <w:r/>
      <w:bookmarkStart w:id="82" w:name="_Toc15892"/>
      <w:r>
        <w:rPr>
          <w:rFonts w:hint="eastAsia" w:ascii="仿宋" w:hAnsi="仿宋" w:eastAsia="仿宋" w:cs="仿宋"/>
          <w:b/>
          <w:bCs/>
          <w:sz w:val="24"/>
          <w:lang w:val="en-US" w:eastAsia="zh-CN"/>
        </w:rPr>
        <w:t xml:space="preserve">六</w:t>
      </w:r>
      <w:r>
        <w:rPr>
          <w:rFonts w:hint="eastAsia" w:ascii="仿宋" w:hAnsi="仿宋" w:eastAsia="仿宋" w:cs="仿宋"/>
          <w:b/>
          <w:bCs/>
          <w:sz w:val="24"/>
        </w:rPr>
        <w:t xml:space="preserve">、参加招标活动的费用</w:t>
      </w:r>
      <w:bookmarkEnd w:id="78"/>
      <w:r/>
      <w:bookmarkEnd w:id="80"/>
      <w:r/>
      <w:bookmarkEnd w:id="81"/>
      <w:r/>
      <w:bookmarkEnd w:id="82"/>
      <w:r>
        <w:rPr>
          <w:rFonts w:ascii="仿宋" w:hAnsi="仿宋" w:eastAsia="仿宋" w:cs="仿宋"/>
          <w:b/>
          <w:bCs/>
          <w:sz w:val="24"/>
        </w:rPr>
      </w:r>
      <w:r/>
    </w:p>
    <w:p>
      <w:pPr>
        <w:pStyle w:val="1019"/>
        <w:ind w:firstLine="480"/>
        <w:spacing w:line="480" w:lineRule="exact"/>
        <w:rPr>
          <w:rFonts w:hint="eastAsia" w:ascii="仿宋" w:hAnsi="仿宋" w:eastAsia="仿宋" w:cs="仿宋"/>
          <w:sz w:val="24"/>
        </w:rPr>
      </w:pPr>
      <w:r/>
      <w:bookmarkStart w:id="83" w:name="_Toc21765"/>
      <w:r/>
      <w:bookmarkStart w:id="84" w:name="_Toc8948"/>
      <w:r>
        <w:rPr>
          <w:rFonts w:hint="eastAsia" w:ascii="仿宋" w:hAnsi="仿宋" w:eastAsia="仿宋" w:cs="仿宋"/>
          <w:sz w:val="24"/>
        </w:rPr>
        <w:t xml:space="preserve">招标代理费由中标供应商支付。中标供应商须在中标通知书发出前，向招标代理机构支付代理服务费。</w:t>
      </w:r>
      <w:r>
        <w:rPr>
          <w:rFonts w:hint="eastAsia"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ascii="仿宋" w:hAnsi="仿宋" w:eastAsia="仿宋" w:cs="仿宋"/>
          <w:sz w:val="24"/>
        </w:rPr>
      </w:r>
      <w:r/>
    </w:p>
    <w:p>
      <w:pPr>
        <w:pStyle w:val="1019"/>
        <w:ind w:firstLine="560"/>
        <w:spacing w:line="400" w:lineRule="exact"/>
        <w:rPr>
          <w:rFonts w:ascii="仿宋" w:hAnsi="仿宋" w:eastAsia="仿宋" w:cs="仿宋"/>
          <w:sz w:val="28"/>
          <w:szCs w:val="28"/>
        </w:rPr>
      </w:pPr>
      <w:r>
        <w:rPr>
          <w:rFonts w:ascii="仿宋" w:hAnsi="仿宋" w:eastAsia="仿宋" w:cs="仿宋"/>
          <w:sz w:val="28"/>
          <w:szCs w:val="28"/>
        </w:rPr>
      </w:r>
      <w:r/>
    </w:p>
    <w:p>
      <w:pPr>
        <w:pStyle w:val="1019"/>
        <w:ind w:firstLine="560"/>
        <w:spacing w:line="400" w:lineRule="exact"/>
        <w:rPr>
          <w:rFonts w:ascii="仿宋" w:hAnsi="仿宋" w:eastAsia="仿宋" w:cs="仿宋"/>
          <w:sz w:val="28"/>
          <w:szCs w:val="28"/>
        </w:rPr>
        <w:sectPr>
          <w:footnotePr/>
          <w:endnotePr/>
          <w:type w:val="nextPage"/>
          <w:pgSz w:w="11906" w:h="16838" w:orient="portrait"/>
          <w:pgMar w:top="1417" w:right="1134" w:bottom="1417" w:left="1417" w:header="851" w:footer="992" w:gutter="0"/>
          <w:pgNumType w:start="1"/>
          <w:cols w:num="1" w:sep="0" w:space="1701" w:equalWidth="1"/>
          <w:docGrid w:linePitch="360"/>
        </w:sectPr>
      </w:pPr>
      <w:r/>
      <w:bookmarkEnd w:id="83"/>
      <w:r/>
      <w:bookmarkEnd w:id="84"/>
      <w:r>
        <w:rPr>
          <w:rFonts w:ascii="仿宋" w:hAnsi="仿宋" w:eastAsia="仿宋" w:cs="仿宋"/>
          <w:sz w:val="28"/>
          <w:szCs w:val="28"/>
        </w:rPr>
      </w:r>
      <w:r/>
    </w:p>
    <w:p>
      <w:pPr>
        <w:pStyle w:val="1020"/>
        <w:jc w:val="center"/>
        <w:spacing w:before="0" w:after="156" w:line="560" w:lineRule="exact"/>
        <w:rPr>
          <w:rFonts w:ascii="楷体" w:hAnsi="楷体" w:eastAsia="楷体" w:cs="楷体"/>
          <w:sz w:val="28"/>
          <w:szCs w:val="28"/>
        </w:rPr>
      </w:pPr>
      <w:r/>
      <w:bookmarkEnd w:id="64"/>
      <w:r/>
      <w:bookmarkEnd w:id="65"/>
      <w:r/>
      <w:bookmarkEnd w:id="66"/>
      <w:r/>
      <w:bookmarkEnd w:id="67"/>
      <w:r/>
      <w:bookmarkEnd w:id="68"/>
      <w:r/>
      <w:bookmarkStart w:id="85" w:name="_Toc17855"/>
      <w:r/>
      <w:bookmarkStart w:id="86" w:name="_Toc152045609"/>
      <w:r/>
      <w:bookmarkStart w:id="87" w:name="_Toc144974577"/>
      <w:r/>
      <w:bookmarkStart w:id="88" w:name="_Toc152042387"/>
      <w:r/>
      <w:bookmarkStart w:id="89" w:name="_Toc14979"/>
      <w:r>
        <w:rPr>
          <w:rFonts w:hint="eastAsia" w:ascii="楷体" w:hAnsi="楷体" w:eastAsia="楷体" w:cs="楷体"/>
          <w:sz w:val="28"/>
          <w:szCs w:val="28"/>
        </w:rPr>
        <w:t xml:space="preserve">第四章 </w:t>
      </w:r>
      <w:bookmarkEnd w:id="85"/>
      <w:r/>
      <w:bookmarkEnd w:id="86"/>
      <w:r/>
      <w:bookmarkEnd w:id="87"/>
      <w:r/>
      <w:bookmarkEnd w:id="88"/>
      <w:r>
        <w:rPr>
          <w:rFonts w:hint="eastAsia" w:ascii="楷体" w:hAnsi="楷体" w:eastAsia="楷体" w:cs="楷体"/>
          <w:sz w:val="28"/>
          <w:szCs w:val="28"/>
        </w:rPr>
        <w:t xml:space="preserve">项目需求</w:t>
      </w:r>
      <w:bookmarkEnd w:id="89"/>
      <w:r>
        <w:rPr>
          <w:rFonts w:ascii="楷体" w:hAnsi="楷体" w:eastAsia="楷体" w:cs="楷体"/>
          <w:sz w:val="28"/>
          <w:szCs w:val="28"/>
        </w:rPr>
      </w:r>
      <w:r/>
    </w:p>
    <w:p>
      <w:pPr>
        <w:pStyle w:val="1019"/>
        <w:rPr>
          <w:rFonts w:hint="eastAsia"/>
          <w:b/>
          <w:bCs/>
        </w:rPr>
      </w:pPr>
      <w:r/>
      <w:bookmarkStart w:id="90" w:name="_Toc144974834"/>
      <w:r/>
      <w:bookmarkStart w:id="91" w:name="_Toc152045772"/>
      <w:r/>
      <w:bookmarkStart w:id="92" w:name="_Toc152042554"/>
      <w:r/>
      <w:bookmarkStart w:id="93" w:name="_Toc12940"/>
      <w:r>
        <w:rPr>
          <w:rFonts w:hint="eastAsia"/>
          <w:b/>
          <w:bCs/>
        </w:rPr>
      </w:r>
      <w:r/>
    </w:p>
    <w:p>
      <w:pPr>
        <w:pStyle w:val="1019"/>
        <w:rPr>
          <w:rFonts w:hint="eastAsia"/>
          <w:b/>
          <w:bCs/>
        </w:rPr>
      </w:pPr>
      <w:r>
        <w:rPr>
          <w:rFonts w:hint="eastAsia"/>
          <w:b/>
          <w:bCs/>
        </w:rPr>
        <w:t xml:space="preserve">本项目项目需求中</w:t>
      </w:r>
      <w:r>
        <w:rPr>
          <w:rFonts w:hint="eastAsia"/>
          <w:b/>
          <w:bCs/>
          <w:lang w:eastAsia="zh-CN"/>
        </w:rPr>
        <w:t xml:space="preserve">，</w:t>
      </w:r>
      <w:r>
        <w:rPr>
          <w:rFonts w:hint="eastAsia"/>
          <w:b/>
          <w:bCs/>
        </w:rPr>
        <w:t xml:space="preserve">标★项为实质性要求，投标供应商投标时需全部响应，否则作无效投标处理。</w:t>
      </w:r>
      <w:r>
        <w:rPr>
          <w:rFonts w:hint="eastAsia"/>
          <w:b/>
          <w:bCs/>
        </w:rPr>
      </w:r>
      <w:r/>
    </w:p>
    <w:p>
      <w:pPr>
        <w:pStyle w:val="1021"/>
        <w:rPr>
          <w:rFonts w:hint="eastAsia"/>
          <w:sz w:val="24"/>
          <w:szCs w:val="24"/>
        </w:rPr>
      </w:pPr>
      <w:r/>
      <w:bookmarkStart w:id="94" w:name="_Toc13680"/>
      <w:r>
        <w:rPr>
          <w:rFonts w:hint="eastAsia"/>
          <w:sz w:val="24"/>
          <w:szCs w:val="24"/>
        </w:rPr>
        <w:t xml:space="preserve">一、项目概况</w:t>
      </w:r>
      <w:bookmarkEnd w:id="94"/>
      <w:r>
        <w:rPr>
          <w:rFonts w:hint="eastAsia"/>
          <w:sz w:val="24"/>
          <w:szCs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JSZC-320000-TYCQ-G2026-0003</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江苏省消防核事故应急处置专业队第二批装备器材采购及相关服务第三次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8.本项目标的所属行业：工业。</w:t>
      </w:r>
      <w:r>
        <w:rPr>
          <w:rFonts w:hint="eastAsia" w:ascii="仿宋" w:hAnsi="仿宋" w:eastAsia="仿宋" w:cs="仿宋"/>
          <w:sz w:val="24"/>
          <w:highlight w:val="none"/>
          <w:lang w:val="en-US" w:eastAsia="zh-CN"/>
        </w:rPr>
      </w:r>
      <w:r/>
    </w:p>
    <w:p>
      <w:pPr>
        <w:pStyle w:val="1021"/>
        <w:rPr>
          <w:rFonts w:hint="eastAsia"/>
          <w:sz w:val="24"/>
          <w:szCs w:val="24"/>
          <w:highlight w:val="none"/>
          <w:lang w:eastAsia="zh-CN"/>
        </w:rPr>
      </w:pPr>
      <w:r/>
      <w:bookmarkStart w:id="95" w:name="_Toc3441"/>
      <w:r>
        <w:rPr>
          <w:rFonts w:hint="eastAsia"/>
          <w:sz w:val="24"/>
          <w:szCs w:val="24"/>
          <w:highlight w:val="none"/>
        </w:rPr>
        <w:t xml:space="preserve">★</w:t>
      </w:r>
      <w:r>
        <w:rPr>
          <w:rFonts w:hint="eastAsia"/>
          <w:sz w:val="24"/>
          <w:szCs w:val="24"/>
          <w:highlight w:val="none"/>
          <w:lang w:val="en-US" w:eastAsia="zh-CN"/>
        </w:rPr>
        <w:t xml:space="preserve">二</w:t>
      </w:r>
      <w:r>
        <w:rPr>
          <w:rFonts w:hint="eastAsia"/>
          <w:sz w:val="24"/>
          <w:szCs w:val="24"/>
          <w:highlight w:val="none"/>
        </w:rPr>
        <w:t xml:space="preserve">、</w:t>
      </w:r>
      <w:r>
        <w:rPr>
          <w:rFonts w:hint="eastAsia"/>
          <w:sz w:val="24"/>
          <w:szCs w:val="24"/>
          <w:highlight w:val="none"/>
          <w:lang w:val="en-US" w:eastAsia="zh-CN"/>
        </w:rPr>
        <w:t xml:space="preserve">商务要求</w:t>
      </w:r>
      <w:bookmarkEnd w:id="95"/>
      <w:r>
        <w:rPr>
          <w:rFonts w:hint="eastAsia"/>
          <w:sz w:val="24"/>
          <w:szCs w:val="24"/>
          <w:highlight w:val="none"/>
          <w:lang w:eastAsia="zh-CN"/>
        </w:rPr>
      </w:r>
      <w:r/>
    </w:p>
    <w:p>
      <w:pPr>
        <w:pStyle w:val="1019"/>
        <w:ind w:firstLine="482"/>
        <w:spacing w:line="480" w:lineRule="exact"/>
        <w:widowControl/>
        <w:rPr>
          <w:rFonts w:hint="eastAsia" w:ascii="仿宋" w:hAnsi="仿宋" w:eastAsia="仿宋" w:cs="仿宋"/>
          <w:b/>
          <w:bCs/>
          <w:sz w:val="24"/>
        </w:rPr>
      </w:pPr>
      <w:r>
        <w:rPr>
          <w:rFonts w:hint="eastAsia" w:ascii="仿宋" w:hAnsi="仿宋" w:eastAsia="仿宋" w:cs="仿宋"/>
          <w:b/>
          <w:bCs/>
          <w:sz w:val="24"/>
          <w:lang w:val="en-US" w:eastAsia="zh-CN"/>
        </w:rPr>
        <w:t xml:space="preserve">1.</w:t>
      </w:r>
      <w:r>
        <w:rPr>
          <w:rFonts w:hint="eastAsia" w:ascii="仿宋" w:hAnsi="仿宋" w:eastAsia="仿宋" w:cs="仿宋"/>
          <w:b/>
          <w:bCs/>
          <w:sz w:val="24"/>
        </w:rPr>
        <w:t xml:space="preserve">响应报价</w:t>
      </w:r>
      <w:r>
        <w:rPr>
          <w:rFonts w:hint="eastAsia" w:ascii="仿宋" w:hAnsi="仿宋" w:eastAsia="仿宋" w:cs="仿宋"/>
          <w:b/>
          <w:bCs/>
          <w:sz w:val="24"/>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eastAsia="zh-CN"/>
        </w:rPr>
        <w:t xml:space="preserve">）报价为全包费用报价，报价应是本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文件所包含确定的全部工作内容及本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文件未说明但完成该项目必须包含的所有全包费用的价格体现，</w:t>
      </w:r>
      <w:r>
        <w:rPr>
          <w:rFonts w:hint="eastAsia" w:ascii="仿宋" w:hAnsi="仿宋" w:eastAsia="仿宋" w:cs="仿宋"/>
          <w:sz w:val="24"/>
          <w:lang w:val="en-US" w:eastAsia="zh-CN"/>
        </w:rPr>
        <w:t xml:space="preserve">详</w:t>
      </w: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lang w:val="zh-CN" w:eastAsia="zh-CN"/>
        </w:rPr>
        <w:t xml:space="preserve">供应商的任何错漏、优惠、竞争性报价不得作为减轻责任、减少服务、增加收费、降低质量的理由。在项目验收过程中，如发现有漏项、缺件，卖方应无条件、无偿补齐，所发生的一切费用，视为已包含在卖方的</w:t>
      </w:r>
      <w:r>
        <w:rPr>
          <w:rFonts w:hint="eastAsia" w:ascii="仿宋" w:hAnsi="仿宋" w:eastAsia="仿宋" w:cs="仿宋"/>
          <w:sz w:val="24"/>
          <w:lang w:val="en-US" w:eastAsia="zh-CN"/>
        </w:rPr>
        <w:t xml:space="preserve">投标</w:t>
      </w:r>
      <w:r>
        <w:rPr>
          <w:rFonts w:hint="eastAsia" w:ascii="仿宋" w:hAnsi="仿宋" w:eastAsia="仿宋" w:cs="仿宋"/>
          <w:sz w:val="24"/>
          <w:lang w:val="zh-CN" w:eastAsia="zh-CN"/>
        </w:rPr>
        <w:t xml:space="preserve">报价中。</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2</w:t>
      </w:r>
      <w:r>
        <w:rPr>
          <w:rFonts w:hint="eastAsia" w:ascii="仿宋" w:hAnsi="仿宋" w:eastAsia="仿宋" w:cs="仿宋"/>
          <w:sz w:val="24"/>
          <w:lang w:val="zh-CN" w:eastAsia="zh-CN"/>
        </w:rPr>
        <w:t xml:space="preserve">）本合同执行期间合同</w:t>
      </w:r>
      <w:r>
        <w:rPr>
          <w:rFonts w:hint="eastAsia" w:ascii="仿宋" w:hAnsi="仿宋" w:eastAsia="仿宋" w:cs="仿宋"/>
          <w:sz w:val="24"/>
          <w:lang w:val="en-US" w:eastAsia="zh-CN"/>
        </w:rPr>
        <w:t xml:space="preserve">单</w:t>
      </w:r>
      <w:r>
        <w:rPr>
          <w:rFonts w:hint="eastAsia" w:ascii="仿宋" w:hAnsi="仿宋" w:eastAsia="仿宋" w:cs="仿宋"/>
          <w:sz w:val="24"/>
          <w:lang w:val="zh-CN" w:eastAsia="zh-CN"/>
        </w:rPr>
        <w:t xml:space="preserve">款不变。</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）响应报价，以人民币万元或元为单位报价。</w:t>
      </w:r>
      <w:r>
        <w:rPr>
          <w:rFonts w:hint="eastAsia" w:ascii="仿宋" w:hAnsi="仿宋" w:eastAsia="仿宋" w:cs="仿宋"/>
          <w:sz w:val="24"/>
          <w:lang w:eastAsia="zh-CN"/>
        </w:rPr>
      </w:r>
      <w:r/>
    </w:p>
    <w:p>
      <w:pPr>
        <w:pStyle w:val="1019"/>
        <w:ind w:firstLine="482"/>
        <w:spacing w:line="480" w:lineRule="exact"/>
        <w:widowControl/>
        <w:rPr>
          <w:rFonts w:ascii="仿宋" w:hAnsi="仿宋" w:eastAsia="仿宋" w:cs="仿宋"/>
          <w:b/>
          <w:bCs/>
          <w:sz w:val="24"/>
          <w:lang w:val="en-US" w:eastAsia="zh-CN"/>
        </w:rPr>
      </w:pPr>
      <w:r>
        <w:rPr>
          <w:rFonts w:hint="eastAsia" w:ascii="仿宋" w:hAnsi="仿宋" w:eastAsia="仿宋" w:cs="仿宋"/>
          <w:b/>
          <w:bCs/>
          <w:sz w:val="24"/>
          <w:lang w:val="en-US" w:eastAsia="zh-CN"/>
        </w:rPr>
        <w:t xml:space="preserve">2.交付方式</w:t>
      </w:r>
      <w:r>
        <w:rPr>
          <w:rFonts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 xml:space="preserve">交货时间：合同签订后30个日历日内完成采购范围内全部内容，并安装调试结束、验收合格，交付甲方使用</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1019"/>
        <w:ind w:firstLine="480"/>
        <w:spacing w:line="48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交付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sz w:val="24"/>
          <w:highlight w:val="none"/>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质保期：本项目免费质保期自验收通过之日起计不少于12个月。</w:t>
      </w:r>
      <w:r>
        <w:rPr>
          <w:rFonts w:hint="eastAsia" w:ascii="仿宋" w:hAnsi="仿宋" w:eastAsia="仿宋" w:cs="仿宋"/>
          <w:sz w:val="24"/>
          <w:highlight w:val="none"/>
          <w:lang w:val="en-US" w:eastAsia="zh-CN"/>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3.有关标准</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rFonts w:hint="eastAsia" w:ascii="仿宋" w:hAnsi="仿宋" w:eastAsia="仿宋" w:cs="仿宋"/>
          <w:sz w:val="24"/>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4.付款事项</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rPr>
        <w:t xml:space="preserve">。</w:t>
      </w:r>
      <w:r>
        <w:rPr>
          <w:rFonts w:hint="eastAsia" w:ascii="仿宋" w:hAnsi="仿宋" w:eastAsia="仿宋" w:cs="仿宋"/>
          <w:sz w:val="24"/>
        </w:rPr>
      </w:r>
      <w:r/>
    </w:p>
    <w:p>
      <w:pPr>
        <w:pStyle w:val="1021"/>
        <w:rPr>
          <w:rFonts w:hint="eastAsia" w:ascii="Arial" w:hAnsi="Arial" w:eastAsia="黑体" w:cs="Times New Roman"/>
          <w:b/>
          <w:bCs/>
          <w:sz w:val="24"/>
          <w:szCs w:val="24"/>
          <w:highlight w:val="none"/>
          <w:lang w:eastAsia="zh-CN"/>
        </w:rPr>
      </w:pPr>
      <w:r/>
      <w:bookmarkStart w:id="96" w:name="_Toc7875"/>
      <w:r>
        <w:rPr>
          <w:rFonts w:hint="eastAsia" w:ascii="Arial" w:hAnsi="Arial" w:cs="Times New Roman"/>
          <w:b/>
          <w:bCs/>
          <w:sz w:val="24"/>
          <w:szCs w:val="24"/>
          <w:highlight w:val="none"/>
          <w:lang w:val="en-US" w:eastAsia="zh-CN"/>
        </w:rPr>
        <w:t xml:space="preserve">三</w:t>
      </w:r>
      <w:r>
        <w:rPr>
          <w:rFonts w:hint="eastAsia" w:ascii="Arial" w:hAnsi="Arial" w:cs="Times New Roman"/>
          <w:b/>
          <w:bCs/>
          <w:sz w:val="24"/>
          <w:szCs w:val="24"/>
          <w:highlight w:val="none"/>
        </w:rPr>
        <w:t xml:space="preserve">、</w:t>
      </w:r>
      <w:r>
        <w:rPr>
          <w:rFonts w:hint="eastAsia" w:ascii="Arial" w:hAnsi="Arial" w:cs="Times New Roman"/>
          <w:b/>
          <w:bCs/>
          <w:sz w:val="24"/>
          <w:szCs w:val="24"/>
          <w:highlight w:val="none"/>
          <w:lang w:val="en-US" w:eastAsia="zh-CN"/>
        </w:rPr>
        <w:t xml:space="preserve">技术要求</w:t>
      </w:r>
      <w:bookmarkEnd w:id="96"/>
      <w:r>
        <w:rPr>
          <w:rFonts w:hint="eastAsia" w:ascii="Arial" w:hAnsi="Arial" w:eastAsia="黑体" w:cs="Times New Roman"/>
          <w:b/>
          <w:bCs/>
          <w:sz w:val="24"/>
          <w:szCs w:val="24"/>
          <w:highlight w:val="none"/>
          <w:lang w:eastAsia="zh-CN"/>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464"/>
        <w:gridCol w:w="1052"/>
        <w:gridCol w:w="444"/>
        <w:gridCol w:w="595"/>
        <w:gridCol w:w="5831"/>
      </w:tblGrid>
      <w:tr>
        <w:trPr>
          <w:trHeight w:val="1016"/>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种类</w:t>
            </w:r>
            <w:r>
              <w:rPr>
                <w:rFonts w:hint="eastAsia" w:ascii="仿宋" w:hAnsi="仿宋" w:eastAsia="仿宋" w:cs="仿宋"/>
                <w:i w:val="0"/>
                <w:iCs w:val="0"/>
                <w:color w:val="000000"/>
                <w:sz w:val="21"/>
                <w:szCs w:val="21"/>
                <w:u w:val="none"/>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序号</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装备名称</w:t>
            </w:r>
            <w:r>
              <w:rPr>
                <w:rFonts w:hint="eastAsia" w:ascii="仿宋" w:hAnsi="仿宋" w:eastAsia="仿宋" w:cs="仿宋"/>
                <w:i w:val="0"/>
                <w:iCs w:val="0"/>
                <w:color w:val="000000"/>
                <w:sz w:val="21"/>
                <w:szCs w:val="21"/>
                <w:u w:val="none"/>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rPr>
                <w:rFonts w:hint="eastAsia" w:ascii="仿宋" w:hAnsi="仿宋" w:eastAsia="仿宋" w:cs="仿宋"/>
                <w:i w:val="0"/>
                <w:iCs w:val="0"/>
                <w:color w:val="000000"/>
                <w:sz w:val="21"/>
                <w:szCs w:val="21"/>
                <w:u w:val="none"/>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rPr>
                <w:rFonts w:hint="eastAsia" w:ascii="仿宋" w:hAnsi="仿宋" w:eastAsia="仿宋" w:cs="仿宋"/>
                <w:i w:val="0"/>
                <w:iCs w:val="0"/>
                <w:color w:val="000000"/>
                <w:sz w:val="21"/>
                <w:szCs w:val="21"/>
                <w:u w:val="none"/>
              </w:rPr>
            </w:r>
            <w:r/>
          </w:p>
        </w:tc>
        <w:tc>
          <w:tcPr>
            <w:tcW w:w="583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技术要求</w:t>
            </w:r>
            <w:r>
              <w:rPr>
                <w:rFonts w:hint="eastAsia" w:ascii="仿宋" w:hAnsi="仿宋" w:eastAsia="仿宋" w:cs="仿宋"/>
                <w:i w:val="0"/>
                <w:iCs w:val="0"/>
                <w:color w:val="000000"/>
                <w:sz w:val="21"/>
                <w:szCs w:val="21"/>
                <w:u w:val="none"/>
                <w:lang w:val="en-US" w:eastAsia="zh-CN" w:bidi="ar"/>
              </w:rPr>
            </w:r>
            <w:r/>
          </w:p>
        </w:tc>
      </w:tr>
      <w:tr>
        <w:trPr>
          <w:trHeight w:val="4035"/>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防护类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连体式核与辐射防护服</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t xml:space="preserve">1、材料采用高性能超轻超柔无铅辐射屏蔽复合材料，是一种重量轻、无毒、无铅、耐用，国家权威机构测试；</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▲1.1、防护服依据《GBZ/T 147-2002 X射线防护材料衰减性能的测定》检测，可有效屏蔽低到中等能量的γ、x射线、高和低能β粒子和α粒子。</w:t>
            </w:r>
            <w:r>
              <w:rPr>
                <w:rFonts w:hint="eastAsia" w:ascii="仿宋" w:hAnsi="仿宋" w:eastAsia="仿宋" w:cs="仿宋"/>
                <w:i w:val="0"/>
                <w:iCs w:val="0"/>
                <w:color w:val="000000"/>
                <w:sz w:val="21"/>
                <w:szCs w:val="21"/>
                <w:u w:val="none"/>
                <w:lang w:val="en-US" w:eastAsia="zh-CN" w:bidi="ar"/>
              </w:rPr>
            </w:r>
            <w:r/>
          </w:p>
          <w:p>
            <w:pPr>
              <w:pStyle w:val="1033"/>
              <w:jc w:val="left"/>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t xml:space="preserve">1.2、防护效率：对于100KeV能段的X射线屏蔽率≥70%；对于130KeV能段X射线屏蔽率≥60%；</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1.3、防护效率：躯干部位（胸、腹、裆部）对130kev的γ射线屏蔽率≥70%；其他部位（后背、四肢、头罩等）对130kev的γ射线屏蔽率≥50%；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2、连体连帽型，配腰带，拉链门襟，袖口裤口魔术贴加固；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3、配备训练服一件与连体式核与辐射防护服重量、外观一致，并印有“训练服”标识。</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核辐射护目镜</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1、采用无铅复合材料，可防护 x、γ射线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核辐射防护面罩</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罩体采用优质天然橡胶，具有良好的物理机械性能，密合框采用反折边结构，佩戴舒适，可与防化服配套使用，镜片为增强聚碳酸酯表面镀膜，透光性能好，耐磨、耐冲击性能好。产品符合《GB2890-2022呼吸防护 自吸过滤式防毒面具》。</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1、吸气阻力(30L/min):≤50Pa；吸气阻力(85L/min):≤150Pa；</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2、呼气阻力（160L/min）≤150Pa；</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3、视野:总视野不小于75%，双目视野不小于40%，下方视野不小于35°；</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4、面罩泄漏率：≦0.05%;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5、采用无铅复合材料：透光率高、强韧耐用、重量轻。</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6、射线防护面罩采用人性化结构设计：配戴舒适、视野宽、结实可靠。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核辐射防护手套</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分指防护手套，辐射防护手套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1、采用无铅复合材料；</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2、辐射屏蔽性能不小于0.35mmPb铅当量；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3、佩戴方便，容易清洗,柔软舒适；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4、大、中、小号三种尺码可选。</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过滤式防毒面罩</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1、面罩采用无毒材质，抗老化，防过敏，耐用，易清洗，表面光滑，无棱角和毛刺；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2、符合国家GB2890-2022标准《呼吸防护 自吸过滤式防毒面具》标准；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3、与脸部四周紧密贴合，面罩可满足不同脸型需求；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4、面罩镜片透光率：具有开阔的视野，良好的光学、耐磨、耐冲击性能，经过防雾和硬化处理，透光率≥90%；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5、面罩泄漏率：≤0.05%；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6、面罩视野：总视野≥80%，双目视野≥70%；下方视野 ≥40°；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7、吸气阻力：≤35帕，呼气阻力≤65帕。</w:t>
            </w:r>
            <w:r>
              <w:rPr>
                <w:rFonts w:hint="eastAsia" w:ascii="仿宋" w:hAnsi="仿宋" w:eastAsia="仿宋" w:cs="仿宋"/>
                <w:i w:val="0"/>
                <w:iCs w:val="0"/>
                <w:color w:val="000000"/>
                <w:sz w:val="21"/>
                <w:szCs w:val="21"/>
                <w:u w:val="none"/>
                <w:lang w:val="en-US" w:eastAsia="zh-CN" w:bidi="ar"/>
              </w:rPr>
            </w:r>
            <w:r/>
          </w:p>
        </w:tc>
      </w:tr>
      <w:tr>
        <w:trPr>
          <w:trHeight w:val="339"/>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滤毒罐</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多用气体/ 蒸气滤毒盒及P100 颗粒物滤棉；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对有机蒸汽、氯气、二氧化氯、氯化氢、二氧化硫、氟化氢、硫化氢、氨气、甲胺和甲醛及各类颗粒物的高效防护（P100）</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透气防毒服</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1、用于存在危险物质或者敏感物质或进行污染物处理的环境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2、棉涤布科，内衬碳纤维，由夹克式上衣和裤子组成；与防毒手套、防毒靴套、防毒面具、滤罐等配套使用；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3、可以有效地防御各种蒸汽状和小液滴毒剂对人体的伤害6小时以上；</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4、服装具有防化、阻燃等功能，重≤2公斤；</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5、使用环境为-35℃-40℃,气温低于20℃时，防护衣并不增加穿着人员的体力消耗，服装的防毒性能也不易受到损失，可以较长时间穿着可防核辐射、生物和化学。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二、防毒手套（防化手套）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1.材质:丁情沦涂层橡胶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2.颜色:绿色</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3.尺寸：长度≥35cm，厚度0.7mm～1.0mm，提供大、中、小号可选。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三、防毒靴套(防化脚套)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1.材质: 丁苯橡胶制成，为软底式;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2.靴套在36°C试验条件下对VX神经毒剂和梭曼神经毒剂≥90分钟;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3.糜烂性毒芥子气≥130分钟;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4.靴底防VX和梭曼:120分钟，芥子气:160分钟。</w:t>
            </w:r>
            <w:r>
              <w:rPr>
                <w:rFonts w:hint="eastAsia" w:ascii="仿宋" w:hAnsi="仿宋" w:eastAsia="仿宋" w:cs="仿宋"/>
                <w:i w:val="0"/>
                <w:iCs w:val="0"/>
                <w:color w:val="000000"/>
                <w:sz w:val="21"/>
                <w:szCs w:val="21"/>
                <w:u w:val="none"/>
                <w:lang w:val="en-US" w:eastAsia="zh-CN" w:bidi="ar"/>
              </w:rPr>
            </w:r>
            <w:r/>
          </w:p>
        </w:tc>
      </w:tr>
      <w:tr>
        <w:trPr>
          <w:trHeight w:val="9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个人辐射剂量仪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技术指标：</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1.测量范围：剂量率：0.01 μSv/h～5mSv/h，累积剂量：0.00 μSv ～9999Sv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2.X-γ能量范围：48Kev～3.0Mev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3.能量响应误差：≤±30%（相对于137Cs）</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▲4.相对基本误差：≤±10%（在20uSv/h时）</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5.剂量率报警阈值：全量程内可调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6.累计剂量报警阈值：全量程内可调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7.防护报警响应时间：≤3秒(在10uSv/h时)，报警方式：声、光、振动等方式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8.显示单位：剂量率：μSv/h、mSv/h、Sv/h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累积剂量：μSv、mSV、Sv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9.供电方式：电池版为2节7号电池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10.可充电式，并配有可充电锂电池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11.重量：≤120克</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检测类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核侦检无人机</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1.1.使用高灵敏闪烁晶体+SiPM，应可检测自然环境的微弱辐射变化，快速响应危险情况；</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▲1.2在有限探测范围内，设备应能对0.01μSv/h~100mSv/h的入射辐射发生响应；</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▲1.3.剂量率范围：0.01μSv/h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1.4.能量范围：35keV~3MeV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1.5.相对固有误差≤±5%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1.6.报警响应时间td≤10秒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1.7.具备声光报警功能，支持蓝牙通讯和手机APP报警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1.8.供电方式：可充电锂电池，满电状态下，续航时间≥35小时</w:t>
            </w:r>
            <w:r>
              <w:rPr>
                <w:rFonts w:hint="eastAsia" w:ascii="仿宋" w:hAnsi="仿宋" w:eastAsia="仿宋" w:cs="仿宋"/>
                <w:i w:val="0"/>
                <w:iCs w:val="0"/>
                <w:color w:val="000000"/>
                <w:sz w:val="21"/>
                <w:szCs w:val="21"/>
                <w:u w:val="none"/>
                <w:lang w:val="en-US" w:eastAsia="zh-CN" w:bidi="ar"/>
              </w:rPr>
            </w:r>
            <w:r/>
          </w:p>
          <w:p>
            <w:pPr>
              <w:pStyle w:val="1019"/>
            </w:p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2.0.探测器：配置不低于高灵敏CsI探测器和硅倍增管，在有效探测区域内，应能对χ射线、γ射线的电离辐射发生响应；</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2.1.无人机类型：电动四轴多旋翼，支持1分钟内快速展开和折叠，配备快拆脚架；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2.2.对称电机轴距：≤1300mm；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2.3.最大载重：≥15kg；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2.4.最大起飞重量：≥34kg；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2.5.最长悬停飞行时间（无载重）：≥75min；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2.6.悬停飞行时间（载重15kg）：≥31min；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2.7.悬停飞行时间（载重6kg）：≥50min；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2.8.最大飞行速度：≥20m/s；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2.9.最大信号有效距离（无干扰无遮挡）：≥20km；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2.10.遥控器显示屏尺寸：≥7英寸；</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2.11.FPV摄像头分辨率：画面分辨率不低于720p；</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2.12.整机防护等级：≥IP55；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2.13.电池状态指示配置：每块电池均配备电源开关与电池电量指示灯；</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2.14.采用机身快拆双电池并联供电，当一块电池出现故障时，无人机仍可安全返航；</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2.15.自动避障：四向激光自动避障，可实时检测障碍物距离并进行飞行制动操作；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2.16.AI智能识别：实时自动检测和识别人员、车辆、烟雾、火焰并自动框选目标，支持不同种类目标数量统计和设定报警类型；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2.17.无人机机臂展开后通过圆形套筒锁扣自动锁止到位，有效防止机臂意外松开，折叠时需按下安全按钮解除套筒锁扣方可操作，以机械锁止结构与安全按键的双重设计保障飞行中机臂连接的稳固性；</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2.18.目标共享：无人机管理平台在地图中为某台无人机标记目标位置，共享给前端操作员，引导无人机飞至目标位置；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2.19全自主抛投：相机实时动态锁定动态或静态目标，操作员确认目标后，无人机自主规划路线飞行至目标上方进行自动抛投，确保目标始终保持在相机画面范围内；</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2.20.无人机管理平台功能：支持操作员通过地面站软件和指挥中心的无人机管理平台进行远程实时双向语音通话，飞行画面实时直播；</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2.21.指点飞行：在地面站卫星地图上点击任意位置，无人机将自动飞至目标点；</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2.22.视频投影：具备视频投影功能，将视频画面实时叠加在地图上显示；实时视频快拼：飞行中提取视频关键帧并完成实时快拼，快拼成果同步叠加至地图上显示；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2.23.语音控制起飞：遥控器地面站具备语音唤醒功能，指令接收后可驱动无人机执行起飞动作。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2.24.配置机载核辐射监测模块；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2.25.定位功能：无人机飞控终端平台应能显示核射线监测模块的位置及实测数据、故障状态等；</w:t>
            </w:r>
            <w:r>
              <w:rPr>
                <w:rFonts w:hint="eastAsia" w:ascii="仿宋" w:hAnsi="仿宋" w:eastAsia="仿宋" w:cs="仿宋"/>
                <w:i w:val="0"/>
                <w:iCs w:val="0"/>
                <w:color w:val="000000"/>
                <w:sz w:val="21"/>
                <w:szCs w:val="21"/>
                <w:u w:val="none"/>
                <w:lang w:val="en-US" w:eastAsia="zh-CN" w:bidi="ar"/>
              </w:rPr>
            </w:r>
            <w:r/>
          </w:p>
        </w:tc>
      </w:tr>
      <w:tr>
        <w:trPr>
          <w:trHeight w:val="1016"/>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立柱式核辐射剂量检测系统</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▲1.能量范围：25keV～3.0MeV（γ），0.025eV～14MeV（中子）；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2.报警灵敏度：＜1μCiCs-137；</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3.活度响应非线性：≤15%；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4.报警响应时间：≤0.3s；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5.通过速度：≥2m/s；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6.检测空间尺寸：检测高度0-2m,宽度不小于1m；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7.伽马灵敏度一致性：变化率不超过30%；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8.静态探测效率：137Cs≥800cps/MBq，241Am≥180cps/MBq,60Co≥1500cps/MBq，133Ba≥1400cps/MBq；</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9.误报率：≤0.1%；</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10.探测器个数：≥4个（两侧上下各一个，可单独显示）；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11.配套携行箱：1个</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12.断电保护：配备用铅酸电池×2，断电后工作＞4小时</w:t>
            </w:r>
            <w:r>
              <w:rPr>
                <w:rFonts w:hint="eastAsia" w:ascii="仿宋" w:hAnsi="仿宋" w:eastAsia="仿宋" w:cs="仿宋"/>
                <w:i w:val="0"/>
                <w:iCs w:val="0"/>
                <w:color w:val="000000"/>
                <w:sz w:val="21"/>
                <w:szCs w:val="21"/>
                <w:u w:val="none"/>
                <w:lang w:val="en-US" w:eastAsia="zh-CN" w:bidi="ar"/>
              </w:rPr>
            </w:r>
            <w:r/>
          </w:p>
        </w:tc>
      </w:tr>
      <w:tr>
        <w:trPr>
          <w:trHeight w:val="2097"/>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核素识别仪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1.探测器：NaI(TI)晶体体积≥100cm³，或提供等效探测效率证明+能量补偿型GM管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2、显示屏：彩色显示屏，尺寸≥3.0英寸。</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3、测量模式：采样识别、剂量、剂量率、寻源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4、灵敏度：≥2000cps（137 Cs，1μGy/h）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5、能量范围：30KeV ~ 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6、剂量当量率范围：0.01μSv/h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7、累积剂量范围：0 ~ 9999 mSv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8、置信度：≥95%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9、相对固有误差：剂量当量率：≤±20%，剂量当量：≤±15%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11、入射角响应：2π立体角的响应变化≤20%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12、放射性核素识别种类</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特殊核材料：233U、235U、238U、237U、239U</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医用核材料：18F、67Ga、99mTc、111In、153Sm、123I、125I、131I、133Xe、201TI、51Cr、103Pd</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工业用核素：57Co、75Se、60Co、133Ba、137Cs、192Ir、241Am、152Eu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天然核素：40K、226Ra、232Th、238U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13、核素识别率及识别时间：单核素：≥95%，≤1min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多核素：≥95%，≤2min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14、能谱特征：1024道或更高，线性，校准和稳定化能量刻度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15、图谱存储：可存储5000组以上图谱数据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16、核素库：内置核素库，可学习并自定义核素库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17、报警方式：声、光报警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18、响应时间：≤10s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19、通讯接口：网口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20、供  电：内置充电锂电池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21、工作时间：≥ 8h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22、工作温度：-30℃ ~ +50℃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贮存温度：-40℃ ~ +55℃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相对湿度：≤95% (35℃，非冷凝)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防护等级：IP56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23、外形尺寸（长×宽×高）：≤350mm×200mm×180mm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重  量：≤3.5kg（含电池）</w:t>
            </w:r>
            <w:r>
              <w:rPr>
                <w:rFonts w:hint="eastAsia" w:ascii="仿宋" w:hAnsi="仿宋" w:eastAsia="仿宋" w:cs="仿宋"/>
                <w:i w:val="0"/>
                <w:iCs w:val="0"/>
                <w:color w:val="000000"/>
                <w:sz w:val="21"/>
                <w:szCs w:val="21"/>
                <w:u w:val="none"/>
                <w:lang w:val="en-US" w:eastAsia="zh-CN" w:bidi="ar"/>
              </w:rPr>
            </w:r>
            <w:r/>
          </w:p>
        </w:tc>
      </w:tr>
      <w:tr>
        <w:trPr>
          <w:trHeight w:val="625"/>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表面沾染检测仪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一、基本要求：用于人体或物体表面放射性污染监测。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二、α、β表面污染监测仪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1.探测面积(≥170cm2)；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2.声光报警，报警阈可调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3.用户友好界面，显示单位cps、 Bq 或 Bq /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4.内置核素库，能针对不同核素做区分测量；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5.探测器类型：复合闪烁体(ZnS(Ag)+塑料闪烁体)探测器；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6.本底扣除：是否扣除本底可选，本底测量时间在2～999s范围内可设；</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7.显示：≥3.0寸彩屏显示；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8.本底：α：≤ 0.1 cps；β：≤ 15 cps；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9.计数范围：α：0~9999cps , β：0~50000cps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10.表面发射率满足国标要求：对α发射体低于0.04Bq/cm2,对β发射体低于0.4Bq/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11.探测效率：α：241Am≥30%；β：90Sr－90Y≥40%（提供第三方检定证书）；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12.相对固有误差：＜±15%（提供第三方检定证书）；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13.重复性：＜2%（提供第三方检定证书）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15.响应时间：＜10s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16.数据存储：可存储 30000 组以上测量数据；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17.电    源：可充电锂电池；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18.工作温度：−41～50 ℃；贮存温度：-30℃～55℃；</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有毒气体探测仪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一、总体要求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可对环境中CL2、 CO 、H2S、 NH3、 SO2、NO2进行检测，数据传输距离不小于500m，探测数据可通过4G/5G传输到现场移动终端，可实时获取数据及报警状态。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二、性能要求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1.采样方式：泵吸式。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2.可同时测量气体：CL2、CO 、H2S、 NH3、 SO2、NO2等。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3.具备声、光、振动报警和跌倒报警功能，支持远程无线报警。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4.显示屏：≥2.8英寸彩色显示屏，具备实时读数功能，可显示实时浓度、报警时间、温度、湿度等信息，可显示最大值、最小值及平均值。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5.报警点设置：具备A1报警值、A2报警值；可单独设置TWA报警值、STEL报警值设置。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6.响应时间≤30s。具备2级及以上的目标点校准功能，可设置标准标定值，一键调零。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7.具备数据存储功能，存储间隔可自定义，可存储≥30万组带日期时间标识的数据。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8.工作时间：配备可充电电池，续航时间不低于10h。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9.仪器应可接入网络平台或客户端进行数据管理、设备管理、云端数据分析等功能，可在平台实时监测系统运行状况，接收现场报警信息、故障信息及其他参数。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▲11.防护等级：≥IP67，提供防护等级证书。防爆等级：不低于Ex ib IIB T4 Gb，提供防爆合格证书。</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12.为便于携带，要求提供可收纳整套设备的便携箱。</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无线复合气体检测仪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用于检测化学品作业场所或设备内部空气中的可燃、有毒气体和蒸气含量并超限报警。具备危化品救援现场检测环境气体和射线浓度等实时监测，同时检测有毒有害气体等有害物质。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1.仪器应具有可燃气、一氧化碳、氧气、硫化氢、VOC挥发性有机污染物实时监测功能，报警结果应能同屏显示。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3.仪器应可检测有毒有害气体不低于300种。应可显示实时曲线图或柱状图；并应显示开机后测试浓度的最大值、最小值、平均值。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4.报警方式:低限报警、高限报警、区间报警、加权平均值报警等设置，提供界面、声音、灯光3种报警，并可通过软件设置报警功能开或关；可对报警恢复方式进行选择：自动复位或手动复位。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5.仪器应可接入网络平台或客户端进行数据管理、设备管理、云端数据分析等功能，可在平台实时监测系统运行状况，接收现场报警信息、故障信息及其他参数，实现危险物质的实时监测及传播预测，辅助决策。</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6.仪器应采用双过滤方式。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7.仪器应具备人员跌倒报警功能，用户可选开启或关闭，灵敏度可选高/低。</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8.单组电池连续工作时间≥15小时，采用Mini-USB或typec充电接口设计。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9.仪器正常开机时间应不大于1 分钟；仪器应具备一键开机功能，开机时间不大于 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▲11.防护等级：≥IP67，提供防护等级证书。防爆等级：不低于Ex ib IIB T4 Gb，提供防爆合格证书，CCCF证书。</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12.浓度单位：ppm ,mg/m3 , %VOL，%LEL等，可一键切换显示，浓度值由仪器内部系统自动换算</w:t>
            </w:r>
            <w:r>
              <w:rPr>
                <w:rFonts w:hint="eastAsia" w:ascii="仿宋" w:hAnsi="仿宋" w:eastAsia="仿宋" w:cs="仿宋"/>
                <w:i w:val="0"/>
                <w:iCs w:val="0"/>
                <w:color w:val="000000"/>
                <w:sz w:val="21"/>
                <w:szCs w:val="21"/>
                <w:u w:val="none"/>
                <w:lang w:val="en-US" w:eastAsia="zh-CN" w:bidi="ar"/>
              </w:rPr>
            </w:r>
            <w:r/>
          </w:p>
        </w:tc>
      </w:tr>
      <w:tr>
        <w:trPr>
          <w:trHeight w:val="349"/>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洗消类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公众洗消站</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pPr>
            <w:r>
              <w:rPr>
                <w:rFonts w:hint="eastAsia" w:ascii="仿宋" w:hAnsi="仿宋" w:eastAsia="仿宋" w:cs="仿宋"/>
                <w:i w:val="0"/>
                <w:iCs w:val="0"/>
                <w:color w:val="000000"/>
                <w:sz w:val="21"/>
                <w:szCs w:val="21"/>
                <w:u w:val="none"/>
                <w:lang w:val="en-US" w:eastAsia="zh-CN" w:bidi="ar"/>
              </w:rPr>
              <w:t xml:space="preserve">▲1、洗消帐篷为双路通道结构一路伤员担架洗消通道，一路正常行人通道，还可以定制三通道，每个通道划分三个室分别为前室、中室、后室，可根据要求定制各室的尺寸，前室可设为污染区、中室为洗消间、后室可设为清洁区，在伤员担架清洗通道内置可装卸式滑轨装置，可翻转，中室洗消间配置洗消喷淋系统包括冷热水管路、洗消喷头、手持喷枪等，配置暖风口；帐篷采用的材料防水性能好，内置充气柱框架，高频焊接热合成型，各室之间隔水性能好，污水排放方便。可在任何气候条件下使用，气柱压力值保持24小时正常，七天不倒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2、颜色：可定制迷彩、红色、黄色、蓝色等；可根据客户要求印刷文字logo或图案；</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技术参数：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1.洗消帐篷：</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1.1、尺寸（长宽高）：≥6×5×3m（±0.2m，边高＞2米）；展开后使用面积不小于30㎡，尺寸可按客户要求定制；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1.2、通道宽度可按客户要求定制；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1.3、材料：外篷布：高强度防水牛津布，撕裂强度满足行业标准；内衬：高密度涤纶布；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1.4、气柱布：厚度≥0.7mm的高强工业夹网布，耐压值满足设计要求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1.5、充气时间：4-10min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1.6、适温范围：-55℃ - +72℃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1.7、防地表水：160~200mm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1.8、静水压：≥16kpa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1.9、阻燃性能：离火自熄时间≤5秒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1.10、重量：≤150kg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2.加热加压均混洗消一体机：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2.1、额定压力:0.2~0.5 MPa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2.2、出水流量:720Lh~3000Lh(可调)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2.3、加热器热功率:≥50kw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2.4、出水温度:30℃-80℃(可调)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2.5、热效率:≧85%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2.6、药剂均混功能:有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2.7、均混比例:0.4%~4%</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2.8、均混/清水切换方式:手动阀门切换(有指示)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2.9、作业环境温度:0℃~46℃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2.10、储存环境温度:-55℃~70℃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2.11、适用介质:清水</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2.12、进水温度:常温</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2.13、外形尺寸，便于车载运输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3.电动充排气泵：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3.1、额定电压：220V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3.2、输出功率：1900W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3.3、风    量：≥4500L/min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3.4、风    压：5PSI </w:t>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3.5、外形尺寸：便携式设计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4.洗消排污泵：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4.1、全机身不锈钢内外防腐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4.2、出口直径：40mm或65mm（2.5英寸）</w:t>
            </w:r>
            <w:r>
              <w:rPr>
                <w:rFonts w:hint="eastAsia" w:ascii="仿宋" w:hAnsi="仿宋" w:eastAsia="仿宋" w:cs="仿宋"/>
                <w:i w:val="0"/>
                <w:iCs w:val="0"/>
                <w:color w:val="000000"/>
                <w:sz w:val="21"/>
                <w:szCs w:val="21"/>
                <w:u w:val="none"/>
                <w:lang w:val="en-US" w:eastAsia="zh-CN" w:bidi="ar"/>
              </w:rPr>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4.3、材质：不锈钢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4.4、功率：根据流量扬程匹配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4.5、流量：≥10m3/h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4.6、扬程：≥8m</w:t>
            </w:r>
            <w:r>
              <w:rPr>
                <w:rFonts w:hint="eastAsia" w:ascii="仿宋" w:hAnsi="仿宋" w:eastAsia="仿宋" w:cs="仿宋"/>
                <w:i w:val="0"/>
                <w:iCs w:val="0"/>
                <w:color w:val="000000"/>
                <w:sz w:val="21"/>
                <w:szCs w:val="21"/>
                <w:u w:val="none"/>
                <w:lang w:val="en-US" w:eastAsia="zh-CN" w:bidi="ar"/>
              </w:rPr>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4.7、电压：220V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5.洗消废水回收袋：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用于收集消防用水，洗消废水，化学物质，油料等危险液体，配备进出水口，进水口能与排污泵快速连接使用。安全阀门方便废水的回收与排放，容量≥500L。</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6.自升式储水袋：可为整套系统暂存干净清水，有封盖设计，为水囊提供良好密闭性，展开快捷方便，结构牢固，配有65型或80型快速注水接口和泄水口，容量≥1000L。 </w:t>
            </w:r>
            <w:r>
              <w:rPr>
                <w:rFonts w:hint="eastAsia" w:ascii="仿宋" w:hAnsi="仿宋" w:eastAsia="仿宋" w:cs="仿宋"/>
                <w:i w:val="0"/>
                <w:iCs w:val="0"/>
                <w:color w:val="000000"/>
                <w:sz w:val="21"/>
                <w:szCs w:val="21"/>
                <w:u w:val="none"/>
                <w:lang w:val="en-US" w:eastAsia="zh-CN" w:bidi="ar"/>
              </w:rPr>
            </w:r>
            <w:r/>
          </w:p>
        </w:tc>
      </w:tr>
    </w:tbl>
    <w:p>
      <w:pPr>
        <w:pStyle w:val="1019"/>
        <w:ind w:firstLine="562"/>
        <w:spacing w:line="480" w:lineRule="exact"/>
        <w:widowControl/>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t xml:space="preserve">注：关键性技术指标参数前标记“★”符号，重要指标参数前标记“▲”符号，一般性指标参数前不作标记。</w:t>
      </w:r>
      <w:r>
        <w:rPr>
          <w:rFonts w:hint="eastAsia" w:ascii="宋体" w:hAnsi="宋体" w:eastAsia="宋体" w:cs="Times New Roman"/>
          <w:b/>
          <w:bCs/>
          <w:color w:val="000000"/>
          <w:sz w:val="28"/>
          <w:szCs w:val="28"/>
          <w:lang w:val="en-US" w:eastAsia="zh-CN"/>
        </w:rPr>
      </w:r>
      <w:r/>
    </w:p>
    <w:p>
      <w:pPr>
        <w:pStyle w:val="1019"/>
        <w:ind w:firstLine="723"/>
        <w:spacing w:line="480" w:lineRule="exact"/>
        <w:widowControl/>
        <w:rPr>
          <w:rFonts w:ascii="仿宋" w:hAnsi="仿宋" w:eastAsia="宋体" w:cs="仿宋"/>
          <w:b/>
          <w:bCs/>
          <w:sz w:val="32"/>
          <w:szCs w:val="32"/>
          <w:lang w:val="en-US" w:eastAsia="zh-CN"/>
        </w:rPr>
      </w:pPr>
      <w:r>
        <w:rPr>
          <w:rFonts w:hint="eastAsia" w:ascii="宋体" w:hAnsi="宋体" w:eastAsia="宋体" w:cs="Times New Roman"/>
          <w:b/>
          <w:bCs/>
          <w:color w:val="000000"/>
          <w:sz w:val="36"/>
          <w:szCs w:val="36"/>
        </w:rPr>
        <w:t xml:space="preserve">带“★”条款参数须具有第三方检测机构出具的近2年（2024年至今）符合技术要求的检测报告，检测报告须具备“CMA”或“CNAS”认证标识。带“▲”条款参数须具有第三方检测机构出具的近2年（2024年至今）符合技术要求的检测报告或提供相关证明材料或证书</w:t>
      </w:r>
      <w:r>
        <w:rPr>
          <w:rFonts w:hint="eastAsia" w:ascii="宋体" w:hAnsi="宋体"/>
          <w:b/>
          <w:bCs/>
          <w:color w:val="000000"/>
          <w:sz w:val="36"/>
          <w:szCs w:val="36"/>
          <w:lang w:val="en-US" w:eastAsia="zh-CN"/>
        </w:rPr>
        <w:t xml:space="preserve">。</w:t>
      </w:r>
      <w:r>
        <w:rPr>
          <w:rFonts w:ascii="仿宋" w:hAnsi="仿宋" w:eastAsia="宋体" w:cs="仿宋"/>
          <w:b/>
          <w:bCs/>
          <w:sz w:val="32"/>
          <w:szCs w:val="32"/>
          <w:lang w:val="en-US" w:eastAsia="zh-CN"/>
        </w:rPr>
      </w:r>
      <w:r/>
    </w:p>
    <w:p>
      <w:pPr>
        <w:pStyle w:val="1019"/>
        <w:ind w:firstLine="482"/>
        <w:spacing w:line="480" w:lineRule="exact"/>
        <w:widowControl/>
        <w:rPr>
          <w:rFonts w:ascii="仿宋" w:hAnsi="仿宋" w:eastAsia="仿宋" w:cs="仿宋"/>
          <w:b/>
          <w:bCs/>
          <w:sz w:val="24"/>
        </w:rPr>
      </w:pPr>
      <w:r>
        <w:rPr>
          <w:rFonts w:ascii="仿宋" w:hAnsi="仿宋" w:eastAsia="仿宋" w:cs="仿宋"/>
          <w:b/>
          <w:bCs/>
          <w:sz w:val="24"/>
        </w:rPr>
      </w:r>
      <w:r/>
    </w:p>
    <w:p>
      <w:pPr>
        <w:pStyle w:val="1020"/>
        <w:spacing w:before="0" w:after="0" w:line="400" w:lineRule="exact"/>
        <w:rPr>
          <w:rFonts w:ascii="仿宋" w:hAnsi="仿宋" w:eastAsia="仿宋" w:cs="仿宋"/>
          <w:b w:val="0"/>
          <w:bCs w:val="0"/>
          <w:sz w:val="28"/>
          <w:szCs w:val="28"/>
        </w:rPr>
        <w:sectPr>
          <w:footerReference w:type="default" r:id="rId15"/>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b w:val="0"/>
          <w:bCs w:val="0"/>
          <w:sz w:val="28"/>
          <w:szCs w:val="28"/>
        </w:rPr>
      </w:r>
      <w:r/>
    </w:p>
    <w:p>
      <w:pPr>
        <w:pStyle w:val="1019"/>
        <w:jc w:val="center"/>
        <w:spacing w:line="360" w:lineRule="auto"/>
        <w:rPr>
          <w:rFonts w:ascii="宋体" w:cs="宋体"/>
          <w:highlight w:val="none"/>
        </w:rPr>
        <w:outlineLvl w:val="0"/>
      </w:pPr>
      <w:r/>
      <w:bookmarkEnd w:id="90"/>
      <w:r/>
      <w:bookmarkEnd w:id="91"/>
      <w:r/>
      <w:bookmarkEnd w:id="92"/>
      <w:r/>
      <w:bookmarkEnd w:id="93"/>
      <w:r/>
      <w:bookmarkStart w:id="97" w:name="_Toc960"/>
      <w:r/>
      <w:bookmarkStart w:id="98" w:name="_Toc152042571"/>
      <w:r/>
      <w:bookmarkStart w:id="99" w:name="_Toc152045782"/>
      <w:r/>
      <w:bookmarkStart w:id="100" w:name="_Toc16193"/>
      <w:r/>
      <w:bookmarkStart w:id="101" w:name="_Toc144974851"/>
      <w:r>
        <w:rPr>
          <w:rFonts w:hint="eastAsia" w:ascii="宋体" w:hAnsi="宋体" w:cs="宋体"/>
          <w:sz w:val="36"/>
          <w:szCs w:val="36"/>
          <w:highlight w:val="none"/>
        </w:rPr>
        <w:t xml:space="preserve">第五章</w:t>
      </w:r>
      <w:r>
        <w:rPr>
          <w:rFonts w:ascii="宋体" w:hAnsi="宋体" w:cs="宋体"/>
          <w:sz w:val="36"/>
          <w:szCs w:val="36"/>
          <w:highlight w:val="none"/>
        </w:rPr>
        <w:t xml:space="preserve"> </w:t>
      </w:r>
      <w:r>
        <w:rPr>
          <w:rFonts w:hint="eastAsia" w:ascii="宋体" w:hAnsi="宋体" w:cs="宋体"/>
          <w:sz w:val="36"/>
          <w:szCs w:val="36"/>
          <w:highlight w:val="none"/>
        </w:rPr>
        <w:t xml:space="preserve">合同主要条款及格式</w:t>
      </w:r>
      <w:bookmarkEnd w:id="97"/>
      <w:r>
        <w:rPr>
          <w:rFonts w:ascii="宋体" w:cs="宋体"/>
          <w:highlight w:val="none"/>
        </w:rPr>
      </w:r>
      <w:r/>
    </w:p>
    <w:p>
      <w:pPr>
        <w:pStyle w:val="1021"/>
        <w:numPr>
          <w:ilvl w:val="0"/>
          <w:numId w:val="0"/>
        </w:numPr>
        <w:jc w:val="center"/>
        <w:keepLines w:val="0"/>
        <w:keepNext w:val="0"/>
        <w:spacing w:before="0" w:after="0" w:line="360" w:lineRule="auto"/>
        <w:rPr>
          <w:rFonts w:ascii="宋体" w:hAnsi="宋体" w:cs="宋体"/>
          <w:color w:val="000000"/>
          <w:sz w:val="28"/>
          <w:szCs w:val="28"/>
          <w:highlight w:val="none"/>
        </w:rPr>
      </w:pPr>
      <w:r/>
      <w:bookmarkStart w:id="102" w:name="_Toc25576"/>
      <w:r/>
      <w:bookmarkStart w:id="103" w:name="_Toc29201"/>
      <w:r/>
      <w:bookmarkStart w:id="104" w:name="_Toc17300"/>
      <w:r/>
      <w:bookmarkStart w:id="105" w:name="_Toc15559"/>
      <w:r/>
      <w:bookmarkStart w:id="106" w:name="_Toc6944"/>
      <w:r>
        <w:rPr>
          <w:rFonts w:hint="eastAsia" w:ascii="宋体" w:hAnsi="宋体" w:cs="宋体"/>
          <w:color w:val="000000"/>
          <w:highlight w:val="none"/>
        </w:rPr>
        <w:t xml:space="preserve">一、合同协议书</w:t>
      </w:r>
      <w:bookmarkEnd w:id="102"/>
      <w:r/>
      <w:bookmarkEnd w:id="103"/>
      <w:r/>
      <w:bookmarkEnd w:id="104"/>
      <w:r/>
      <w:bookmarkEnd w:id="105"/>
      <w:r/>
      <w:bookmarkEnd w:id="106"/>
      <w:r>
        <w:rPr>
          <w:rFonts w:ascii="宋体" w:hAnsi="宋体" w:cs="宋体"/>
          <w:color w:val="000000"/>
          <w:sz w:val="28"/>
          <w:szCs w:val="28"/>
          <w:highlight w:val="none"/>
        </w:rPr>
      </w:r>
      <w:r/>
    </w:p>
    <w:p>
      <w:pPr>
        <w:pStyle w:val="1019"/>
        <w:spacing w:line="360" w:lineRule="auto"/>
        <w:rPr>
          <w:rFonts w:hint="eastAsia" w:ascii="仿宋" w:hAnsi="仿宋" w:eastAsia="仿宋" w:cs="仿宋"/>
          <w:b/>
          <w:color w:val="000000"/>
          <w:sz w:val="24"/>
          <w:szCs w:val="24"/>
          <w:highlight w:val="none"/>
          <w:lang w:eastAsia="zh-CN"/>
        </w:rPr>
      </w:pPr>
      <w:r/>
      <w:bookmarkStart w:id="107" w:name="_Toc472520404"/>
      <w:r>
        <w:rPr>
          <w:rFonts w:hint="eastAsia" w:ascii="仿宋" w:hAnsi="仿宋" w:eastAsia="仿宋" w:cs="仿宋"/>
          <w:b/>
          <w:color w:val="000000"/>
          <w:sz w:val="24"/>
          <w:szCs w:val="24"/>
          <w:highlight w:val="none"/>
        </w:rPr>
        <w:t xml:space="preserve">买方（甲方）：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b/>
          <w:color w:val="000000"/>
          <w:sz w:val="24"/>
          <w:szCs w:val="24"/>
          <w:highlight w:val="none"/>
          <w:lang w:eastAsia="zh-CN"/>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卖方（乙方）：</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bookmarkEnd w:id="107"/>
      <w:r>
        <w:rPr>
          <w:rFonts w:hint="eastAsia" w:ascii="仿宋" w:hAnsi="仿宋" w:eastAsia="仿宋" w:cs="仿宋"/>
          <w:color w:val="000000"/>
          <w:sz w:val="24"/>
          <w:szCs w:val="24"/>
          <w:highlight w:val="none"/>
        </w:rPr>
        <w:t xml:space="preserve">一、说明：</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受甲方委托，采购代理机构于202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日组织了</w:t>
      </w:r>
      <w:r>
        <w:rPr>
          <w:rFonts w:hint="eastAsia" w:ascii="仿宋" w:hAnsi="仿宋" w:eastAsia="仿宋" w:cs="仿宋"/>
          <w:color w:val="000000"/>
          <w:sz w:val="24"/>
          <w:szCs w:val="24"/>
          <w:highlight w:val="none"/>
          <w:lang w:eastAsia="zh-CN"/>
        </w:rPr>
        <w:t xml:space="preserve">江苏省消防核事故应急处置专业队第二批装备器材采购及相关服务第三次</w:t>
      </w:r>
      <w:r>
        <w:rPr>
          <w:rFonts w:hint="eastAsia" w:ascii="仿宋" w:hAnsi="仿宋" w:eastAsia="仿宋" w:cs="仿宋"/>
          <w:color w:val="000000"/>
          <w:sz w:val="24"/>
          <w:szCs w:val="24"/>
          <w:highlight w:val="none"/>
        </w:rPr>
        <w:t xml:space="preserve">的公开招标，经评委认真严格地评审，确定由乙方中标。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二、合同条款：</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合同由甲、乙双方签订，并依据编号</w:t>
      </w:r>
      <w:r>
        <w:rPr>
          <w:rFonts w:hint="eastAsia" w:ascii="仿宋" w:hAnsi="仿宋" w:eastAsia="仿宋" w:cs="仿宋"/>
          <w:color w:val="000000"/>
          <w:sz w:val="24"/>
          <w:szCs w:val="24"/>
          <w:highlight w:val="none"/>
          <w:lang w:eastAsia="zh-CN"/>
        </w:rPr>
        <w:t xml:space="preserve">JSZC-320000-TYCQ-G2026-0003</w:t>
      </w:r>
      <w:r>
        <w:rPr>
          <w:rFonts w:hint="eastAsia" w:ascii="仿宋" w:hAnsi="仿宋" w:eastAsia="仿宋" w:cs="仿宋"/>
          <w:color w:val="000000"/>
          <w:sz w:val="24"/>
          <w:szCs w:val="24"/>
          <w:highlight w:val="none"/>
        </w:rPr>
        <w:t xml:space="preserve">号招标文件规定，按下列合同条款甲方同意购入、乙方同意卖出下列设备及服务。</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w:t>
      </w:r>
      <w:r>
        <w:rPr>
          <w:rFonts w:hint="eastAsia" w:ascii="仿宋" w:hAnsi="仿宋" w:eastAsia="仿宋" w:cs="仿宋"/>
          <w:b/>
          <w:bCs/>
          <w:color w:val="000000"/>
          <w:sz w:val="24"/>
          <w:szCs w:val="24"/>
          <w:highlight w:val="none"/>
        </w:rPr>
        <w:t xml:space="preserve">货物及其数量、金额等</w:t>
      </w:r>
      <w:r>
        <w:rPr>
          <w:rFonts w:hint="eastAsia" w:ascii="仿宋" w:hAnsi="仿宋" w:eastAsia="仿宋" w:cs="仿宋"/>
          <w:b/>
          <w:color w:val="000000"/>
          <w:sz w:val="24"/>
          <w:szCs w:val="24"/>
          <w:highlight w:val="none"/>
        </w:rPr>
      </w:r>
      <w:r/>
    </w:p>
    <w:tbl>
      <w:tblPr>
        <w:tblW w:w="9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94"/>
        <w:gridCol w:w="1482"/>
        <w:gridCol w:w="2268"/>
        <w:gridCol w:w="709"/>
        <w:gridCol w:w="850"/>
        <w:gridCol w:w="993"/>
        <w:gridCol w:w="1275"/>
        <w:gridCol w:w="1495"/>
      </w:tblGrid>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采购货物名称</w:t>
            </w: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规格型号（技术参数）</w:t>
            </w: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免费质保期</w:t>
            </w: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w:t>
            </w: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bookmarkStart w:id="108" w:name="Ord_Seq_Name"/>
            <w:r/>
            <w:bookmarkEnd w:id="108"/>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9"/>
            <w:tcW w:w="9796"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合同总金额：人民币（大写）                  元整。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109" w:name="Ppp_Amt_1"/>
            <w:r/>
            <w:bookmarkEnd w:id="109"/>
            <w:r>
              <w:rPr>
                <w:rFonts w:hint="eastAsia" w:ascii="仿宋" w:hAnsi="仿宋" w:eastAsia="仿宋" w:cs="仿宋"/>
                <w:color w:val="000000"/>
                <w:sz w:val="24"/>
                <w:szCs w:val="24"/>
                <w:highlight w:val="none"/>
              </w:rPr>
              <w:t xml:space="preserve">                  元整</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固定电话：</w:t>
            </w:r>
            <w:bookmarkStart w:id="110" w:name="Cus_Tel"/>
            <w:r/>
            <w:bookmarkEnd w:id="110"/>
            <w:r>
              <w:rPr>
                <w:rFonts w:hint="eastAsia" w:ascii="仿宋" w:hAnsi="仿宋" w:eastAsia="仿宋" w:cs="仿宋"/>
                <w:color w:val="000000"/>
                <w:sz w:val="24"/>
                <w:szCs w:val="24"/>
                <w:highlight w:val="none"/>
              </w:rPr>
              <w:t xml:space="preserve">               移动电话：</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bookmarkStart w:id="111" w:name="Spr_Usr"/>
            <w:r/>
            <w:bookmarkEnd w:id="111"/>
            <w:r>
              <w:rPr>
                <w:rFonts w:hint="eastAsia" w:ascii="仿宋" w:hAnsi="仿宋" w:eastAsia="仿宋" w:cs="仿宋"/>
                <w:color w:val="000000"/>
                <w:sz w:val="24"/>
                <w:szCs w:val="24"/>
                <w:highlight w:val="none"/>
              </w:rPr>
              <w:t xml:space="preserve">                    固定电话：</w:t>
            </w:r>
            <w:bookmarkStart w:id="112" w:name="Spr_Tel"/>
            <w:r/>
            <w:bookmarkEnd w:id="112"/>
            <w:r>
              <w:rPr>
                <w:rFonts w:hint="eastAsia" w:ascii="仿宋" w:hAnsi="仿宋" w:eastAsia="仿宋" w:cs="仿宋"/>
                <w:color w:val="000000"/>
                <w:sz w:val="24"/>
                <w:szCs w:val="24"/>
                <w:highlight w:val="none"/>
              </w:rPr>
              <w:t xml:space="preserve">               移动电话：</w:t>
            </w:r>
            <w:bookmarkStart w:id="113" w:name="Spr_Mob"/>
            <w:r/>
            <w:bookmarkEnd w:id="113"/>
            <w:r>
              <w:rPr>
                <w:rFonts w:hint="eastAsia" w:ascii="仿宋" w:hAnsi="仿宋" w:eastAsia="仿宋" w:cs="仿宋"/>
                <w:color w:val="000000"/>
                <w:sz w:val="24"/>
                <w:szCs w:val="24"/>
                <w:highlight w:val="none"/>
              </w:rPr>
            </w:r>
            <w:r/>
          </w:p>
        </w:tc>
      </w:tr>
    </w:tbl>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w:t>
      </w:r>
      <w:r>
        <w:rPr>
          <w:rFonts w:hint="eastAsia" w:ascii="仿宋" w:hAnsi="仿宋" w:eastAsia="仿宋" w:cs="仿宋"/>
          <w:b/>
          <w:bCs/>
          <w:color w:val="000000"/>
          <w:sz w:val="24"/>
          <w:szCs w:val="24"/>
          <w:highlight w:val="none"/>
        </w:rPr>
        <w:t xml:space="preserve">履约保证金</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本项目不收取履约保证金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（三）货物包装、发运及运输</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1．产品标志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1.1产品上应有明显清晰、不易涂改的商标。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1.2包装标志内容：产品名称、产品型号、规格尺寸、产品标准编号及生产厂名、生产日期、商标、外形尺寸（长×宽×高）、包装储运图示标志。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2．包装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2.1每件产品应附有合格证、安装使用说明书及装配图，有附件的产品应附有清单，合格证上应有检验员代号和检验日期。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2.2产品包装应牢固，不应破损。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3．运输和贮存</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3.1搬运时，应轻拿、轻放，严禁摔扔，以防破损、变形。</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3.2在运输和存放时，应有防雨措施，防止包装受潮，防止撞击。</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4.使用说明书、质量检验证明书、随配附件和工具以及清单一并附于货物内。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5.乙方在货物发运手续办理完毕后24小时内或货到采购方48小时前通知甲方，以准备接货。</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6.货物在交付甲方前发生的风险均由乙方负责。</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7.货物在规定的交付期限内由乙方送达甲方指定的地点视为交付。</w:t>
      </w:r>
      <w:r>
        <w:rPr>
          <w:rFonts w:hint="eastAsia" w:ascii="仿宋" w:hAnsi="仿宋" w:eastAsia="仿宋" w:cs="仿宋"/>
          <w:b/>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（四）交货方式</w:t>
      </w:r>
      <w:r>
        <w:rPr>
          <w:rFonts w:hint="eastAsia" w:ascii="仿宋" w:hAnsi="仿宋" w:eastAsia="仿宋" w:cs="仿宋"/>
          <w:b/>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交货时间：合同签订后30个日历日内完成采购范围内全部内容，并安装调试结束、验收合格，交付甲方使用</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交付地点：用户指定地点。由乙方负责办理运输和装卸等，费用由乙方负责。</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（五）调试和验收</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对乙方提交的货物依据招标文件上的技术规格要求和有关质量标准进行现场初步验收，外观、说明书符合招标文件技术要求的，给予签收，初步验收不合格的不予签收。货到后，甲方需在五个工作日内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2.乙方交货前应对产品作出全面检查和对验收文件进行整理，并列出清单，作为甲方收货验收和使用的技术条件依据，检验的结果应随货物交甲方。</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3.甲方对乙方提供的货物在使用前进行调试时，乙方需负责安装并培训甲方的使用操作人员，并协助甲方一起调试，直到符合技术要求，甲方才做最终验收。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4.对技术复杂的货物，甲方可请国家认可的专业检测机构参与初步验收及最终验收，并由其出具质量检测报告。</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5.验收时乙方必须在现场，验收完毕后作出验收结果报告；验收费用由甲乙双方协商解决。</w:t>
      </w:r>
      <w:r>
        <w:rPr>
          <w:rFonts w:hint="eastAsia" w:ascii="仿宋" w:hAnsi="仿宋" w:eastAsia="仿宋" w:cs="仿宋"/>
          <w:color w:val="000000"/>
          <w:sz w:val="24"/>
          <w:szCs w:val="24"/>
          <w:highlight w:val="none"/>
        </w:rPr>
      </w:r>
      <w:r/>
    </w:p>
    <w:p>
      <w:pPr>
        <w:pStyle w:val="1077"/>
        <w:contextualSpacing/>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（六）货款支付</w:t>
      </w:r>
      <w:r>
        <w:rPr>
          <w:rFonts w:hint="eastAsia" w:ascii="仿宋" w:hAnsi="仿宋" w:eastAsia="仿宋" w:cs="仿宋"/>
          <w:b/>
          <w:color w:val="000000"/>
          <w:sz w:val="24"/>
          <w:szCs w:val="24"/>
          <w:highlight w:val="none"/>
        </w:rPr>
      </w:r>
      <w:r/>
    </w:p>
    <w:p>
      <w:pPr>
        <w:pStyle w:val="1019"/>
        <w:ind w:firstLine="480"/>
        <w:spacing w:line="360" w:lineRule="auto"/>
        <w:tabs>
          <w:tab w:val="left" w:pos="547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1.设备交付到达安装现场，调试完毕，经甲方书面确认验收合格且收到乙方开具合同总价全额的正规增值税普通发票后30日内，甲方向乙方支付合同总价95%（人民币元）的货款，剩余5%质保期满后支付</w:t>
      </w:r>
      <w:r>
        <w:rPr>
          <w:rFonts w:hint="eastAsia" w:ascii="仿宋" w:hAnsi="仿宋" w:eastAsia="仿宋" w:cs="仿宋"/>
          <w:color w:val="000000"/>
          <w:sz w:val="24"/>
          <w:szCs w:val="24"/>
          <w:highlight w:val="none"/>
        </w:rPr>
      </w:r>
      <w:r/>
    </w:p>
    <w:p>
      <w:pPr>
        <w:pStyle w:val="1019"/>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（七）质量保证及售后服务</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所供产品均须为全新设备（不得采用翻新设备），并完全符合本招标文件规定的质量、规格和性能的要求。</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本项目免费质保期自验收通过之日起计不少于</w:t>
      </w:r>
      <w:r>
        <w:rPr>
          <w:rFonts w:hint="eastAsia" w:ascii="仿宋" w:hAnsi="仿宋" w:eastAsia="仿宋" w:cs="仿宋"/>
          <w:color w:val="000000"/>
          <w:sz w:val="24"/>
          <w:szCs w:val="24"/>
          <w:highlight w:val="none"/>
          <w:u w:val="single"/>
          <w:lang w:val="en-US" w:eastAsia="zh-CN"/>
        </w:rPr>
        <w:t xml:space="preserve"> 12 </w:t>
      </w:r>
      <w:r>
        <w:rPr>
          <w:rFonts w:hint="eastAsia" w:ascii="仿宋" w:hAnsi="仿宋" w:eastAsia="仿宋" w:cs="仿宋"/>
          <w:color w:val="000000"/>
          <w:sz w:val="24"/>
          <w:szCs w:val="24"/>
          <w:highlight w:val="none"/>
        </w:rPr>
        <w:t xml:space="preserve">个月。如因甲方原因导致不能及时安装的，产品的质保期自到货之日起1个月后开始计算。在质保期内设备发生问题，乙方须在接到通知1小时内响应，4小时内上门，24小时内必须解决问题，否则乙方应提供与原货物相同或不低于原货物档次的备用货物。上门及维修产生的一切费用由乙方承担。故障排除后乙方应出具书面故障诊断报告备案。出现故障后，乙方如未按上述要求进行响应，甲方可以采取必要的补救措施，由此产生的风险和费用将由乙方承担。</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（八）技术资料</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1.乙方应按招标文件规定的时间向甲方提供使用货物的有关技术资料。</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（九）转包或分包</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1.本合同范围的货物，应由乙方直接供应，不得转让他人供应；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2.除非得到甲方的书面同意，乙方不得部分分包给他人供应；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3.如有转让和未经甲方同意的分包行为，甲方有权给予终止合同。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（十）违约责任</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1.甲方无正当理由拒收货物的，甲方向乙方偿付拒收货款总值的百分之五违约金。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2.甲方无故逾期验收和办理货款支付手续的，甲方应按逾期付款总额每日万分之五向乙方支付违约金。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（十一）不可抗力事件处理</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2.不可抗力事件发生后，应立即通知对方，并寄送有关证明</w:t>
      </w:r>
      <w:r>
        <w:rPr>
          <w:rFonts w:hint="eastAsia" w:ascii="仿宋" w:hAnsi="仿宋" w:eastAsia="仿宋" w:cs="仿宋"/>
          <w:color w:val="000000"/>
          <w:sz w:val="24"/>
          <w:szCs w:val="24"/>
          <w:highlight w:val="none"/>
          <w:lang w:val="en-US" w:eastAsia="zh-CN"/>
        </w:rPr>
        <w:t xml:space="preserve">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3.不可抗力事件延续120天以上，双方应通过友好协商，确定是否继续履行合同。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（十二）诉讼</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双方在执行合同中所发生的一切争议，应通过协商解决。如协商不成，可向合同签订地法院起诉，合同签订地在此约定为南京市。</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（十三）合同生效及其它</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1.合同经双方法定代表人或授权委托代表人签字并加盖单位公章后生效。</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2.本合同未尽事宜，遵照《民法典》有关条文执行。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3.本合同一式陆份，具有同等法律效力，甲方执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rPr>
      </w:r>
      <w:r/>
    </w:p>
    <w:p>
      <w:pPr>
        <w:pStyle w:val="1019"/>
        <w:ind w:firstLine="482"/>
        <w:keepLines w:val="0"/>
        <w:keepNext w:val="0"/>
        <w:pageBreakBefore w:val="0"/>
        <w:spacing w:line="360" w:lineRule="auto"/>
        <w:shd w:val="clear" w:color="auto" w:fill="ffffff"/>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签约各方：</w:t>
      </w:r>
      <w:r>
        <w:rPr>
          <w:rFonts w:hint="eastAsia" w:ascii="仿宋" w:hAnsi="仿宋" w:eastAsia="仿宋" w:cs="仿宋"/>
          <w:b/>
          <w:color w:val="000000"/>
          <w:sz w:val="24"/>
          <w:szCs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10"/>
        <w:gridCol w:w="4961"/>
      </w:tblGrid>
      <w:tr>
        <w:trPr>
          <w:trHeight w:val="680" w:hRule="exact"/>
        </w:trPr>
        <w:tc>
          <w:tcPr>
            <w:tcBorders>
              <w:top w:val="none" w:color="000000" w:sz="0" w:space="0"/>
              <w:left w:val="none" w:color="000000" w:sz="0" w:space="0"/>
              <w:bottom w:val="none" w:color="000000" w:sz="4"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4"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1077"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甲方法定代表人或其委托代理人（</w:t>
            </w:r>
            <w:r>
              <w:rPr>
                <w:rFonts w:hint="eastAsia" w:ascii="仿宋" w:hAnsi="仿宋" w:eastAsia="仿宋" w:cs="仿宋"/>
                <w:b/>
                <w:color w:val="000000"/>
                <w:sz w:val="24"/>
                <w:szCs w:val="24"/>
                <w:highlight w:val="none"/>
                <w:lang w:val="en-US" w:eastAsia="zh-CN"/>
              </w:rPr>
              <w:t xml:space="preserve">签字或签章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left="479" w:firstLine="0"/>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乙方法定代表人或其委托代理人（</w:t>
            </w:r>
            <w:r>
              <w:rPr>
                <w:rFonts w:hint="eastAsia" w:ascii="仿宋" w:hAnsi="仿宋" w:eastAsia="仿宋" w:cs="仿宋"/>
                <w:b/>
                <w:color w:val="000000"/>
                <w:sz w:val="24"/>
                <w:szCs w:val="24"/>
                <w:highlight w:val="none"/>
                <w:lang w:val="en-US" w:eastAsia="zh-CN"/>
              </w:rPr>
              <w:t xml:space="preserve">签字或</w:t>
            </w:r>
            <w:r>
              <w:rPr>
                <w:rFonts w:hint="eastAsia" w:ascii="仿宋" w:hAnsi="仿宋" w:eastAsia="仿宋" w:cs="仿宋"/>
                <w:b/>
                <w:color w:val="000000"/>
                <w:sz w:val="24"/>
                <w:szCs w:val="24"/>
                <w:highlight w:val="none"/>
              </w:rPr>
              <w:t xml:space="preserve">签</w:t>
            </w:r>
            <w:r>
              <w:rPr>
                <w:rFonts w:hint="eastAsia" w:ascii="仿宋" w:hAnsi="仿宋" w:eastAsia="仿宋" w:cs="仿宋"/>
                <w:b/>
                <w:color w:val="000000"/>
                <w:sz w:val="24"/>
                <w:szCs w:val="24"/>
                <w:highlight w:val="none"/>
                <w:lang w:val="en-US" w:eastAsia="zh-CN"/>
              </w:rPr>
              <w:t xml:space="preserve">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0" w:space="0"/>
              <w:bottom w:val="none" w:color="000000" w:sz="0"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c>
          <w:tcPr>
            <w:tcBorders>
              <w:top w:val="none" w:color="000000" w:sz="4" w:space="0"/>
              <w:left w:val="none" w:color="000000" w:sz="0" w:space="0"/>
              <w:bottom w:val="none" w:color="000000" w:sz="0"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r>
      <w:tr>
        <w:trPr>
          <w:trHeight w:val="404" w:hRule="exact"/>
        </w:trPr>
        <w:tc>
          <w:tcPr>
            <w:tcBorders>
              <w:top w:val="none" w:color="000000" w:sz="0" w:space="0"/>
              <w:left w:val="none" w:color="000000" w:sz="0" w:space="0"/>
              <w:bottom w:val="none" w:color="000000" w:sz="0" w:space="0"/>
              <w:right w:val="none" w:color="000000" w:sz="0" w:space="0"/>
            </w:tcBorders>
            <w:tcW w:w="2408" w:type="dxa"/>
            <w:vAlign w:val="top"/>
            <w:textDirection w:val="lrTb"/>
            <w:noWrap/>
          </w:tcPr>
          <w:p>
            <w:pPr>
              <w:pStyle w:val="1019"/>
              <w:ind w:firstLine="843"/>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91" w:type="dxa"/>
            <w:vAlign w:val="top"/>
            <w:textDirection w:val="lrTb"/>
            <w:noWrap/>
          </w:tcPr>
          <w:p>
            <w:pPr>
              <w:pStyle w:val="1019"/>
              <w:ind w:firstLine="1325"/>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r>
    </w:tbl>
    <w:p>
      <w:pPr>
        <w:pStyle w:val="1019"/>
        <w:jc w:val="right"/>
        <w:spacing w:before="120" w:after="120" w:line="400" w:lineRule="exact"/>
        <w:rPr>
          <w:rFonts w:ascii="仿宋" w:hAnsi="仿宋" w:eastAsia="仿宋" w:cs="仿宋"/>
          <w:spacing w:val="6"/>
          <w:sz w:val="30"/>
          <w:szCs w:val="30"/>
        </w:rPr>
      </w:pPr>
      <w:r>
        <w:rPr>
          <w:rFonts w:ascii="仿宋" w:hAnsi="仿宋" w:eastAsia="仿宋" w:cs="仿宋"/>
          <w:spacing w:val="6"/>
          <w:sz w:val="30"/>
          <w:szCs w:val="30"/>
        </w:rPr>
        <w:br w:type="page" w:clear="all"/>
      </w:r>
      <w:r>
        <w:rPr>
          <w:rFonts w:ascii="仿宋" w:hAnsi="仿宋" w:eastAsia="仿宋" w:cs="仿宋"/>
          <w:spacing w:val="6"/>
          <w:sz w:val="30"/>
          <w:szCs w:val="30"/>
        </w:rPr>
      </w:r>
      <w:r/>
    </w:p>
    <w:p>
      <w:pPr>
        <w:pStyle w:val="1019"/>
        <w:jc w:val="center"/>
        <w:spacing w:line="360" w:lineRule="auto"/>
        <w:tabs>
          <w:tab w:val="left" w:pos="-235" w:leader="none"/>
        </w:tabs>
        <w:rPr>
          <w:rFonts w:ascii="宋体" w:hAnsi="宋体" w:cs="宋体"/>
          <w:b/>
          <w:bCs/>
          <w:color w:val="000000"/>
          <w:sz w:val="30"/>
          <w:szCs w:val="30"/>
          <w:highlight w:val="none"/>
        </w:rPr>
        <w:outlineLvl w:val="1"/>
      </w:pPr>
      <w:r/>
      <w:bookmarkStart w:id="114" w:name="_Toc3688"/>
      <w:r>
        <w:rPr>
          <w:rFonts w:hint="eastAsia" w:ascii="宋体" w:hAnsi="宋体" w:cs="宋体"/>
          <w:b/>
          <w:bCs/>
          <w:color w:val="000000"/>
          <w:sz w:val="30"/>
          <w:szCs w:val="30"/>
          <w:highlight w:val="none"/>
        </w:rPr>
        <w:t xml:space="preserve">二、廉政合同</w:t>
      </w:r>
      <w:bookmarkEnd w:id="114"/>
      <w:r>
        <w:rPr>
          <w:rFonts w:ascii="宋体" w:hAnsi="宋体" w:cs="宋体"/>
          <w:b/>
          <w:bCs/>
          <w:color w:val="000000"/>
          <w:sz w:val="30"/>
          <w:szCs w:val="30"/>
          <w:highlight w:val="none"/>
        </w:rPr>
      </w:r>
      <w:r/>
    </w:p>
    <w:p>
      <w:pPr>
        <w:pStyle w:val="1019"/>
        <w:spacing w:line="360" w:lineRule="auto"/>
        <w:shd w:val="clear" w:color="auto" w:fill="ffff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color w:val="000000"/>
          <w:sz w:val="24"/>
          <w:szCs w:val="24"/>
          <w:highlight w:val="none"/>
          <w:lang w:eastAsia="zh-CN"/>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1、甲、乙双方订立《购销合同》，双方系业务合作伙伴关系。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2、本合同所称业务人员是指合同签约代表、合同经办人或者与履行合同有关的其他人员。</w:t>
      </w:r>
      <w:r>
        <w:rPr>
          <w:rFonts w:hint="eastAsia" w:ascii="仿宋" w:hAnsi="仿宋" w:eastAsia="仿宋" w:cs="仿宋"/>
          <w:color w:val="000000"/>
          <w:sz w:val="24"/>
          <w:szCs w:val="24"/>
          <w:highlight w:val="none"/>
        </w:rPr>
      </w:r>
      <w:r/>
    </w:p>
    <w:p>
      <w:pPr>
        <w:pStyle w:val="1019"/>
        <w:ind w:firstLine="480"/>
        <w:keepLines w:val="0"/>
        <w:keepNext w:val="0"/>
        <w:pageBreakBefore w:val="0"/>
        <w:spacing w:line="360" w:lineRule="auto"/>
        <w:shd w:val="clear" w:color="auto" w:fill="ffffff"/>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为了更好地根据诚实信用原则履行双方订立的合同，维护各自单位内部正常的管理秩序，防止滋生各种腐败行为，经双方协商达成如下协议，以资共同遵守：</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一、在双方业务关系存续期间以及终止业务关系后二年内，任何一方不得有以下行为：</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（一）向对方的业务人员（包括亲属）赠送现金、购物卡、礼品、实物；</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（二）借对方业务人员（包括亲属）的婚姻、生日、升迁、乔迁等事宜，向业务人员赠送现金、购物卡、礼品、实物等；</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（三）安排对方业务人员进行违法的娱乐性消费。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二、任何一方发现对方业务人员索取现金、购物卡、礼品、实物等好处，或者要求提供违法的娱乐性消费的，不得满足其要求，并应当及时通知对方。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任何一方违反本合同第一条，应当向对方支付所赠送现金、购物卡、礼品、实物价值10倍的违约金，并在货款中直接扣除；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任何一方在对方业务人员索取现金、购物卡、礼品、实物等好处时，给予馈赠的，视为有本合同第一条规定的行为；如没有馈赠，但没有通知对方，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五、双方高层管理人员公开的礼节性馈赠小礼品不适用本合同。</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六、本合同至少一年一签。</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七、本合同一式贰份，双方各执壹份；本合同经双方代表签字、盖章后生效</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甲方代表（采购责任部门负责人）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乙方代表</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单位公章</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年  月  日 </w:t>
      </w:r>
      <w:r>
        <w:rPr>
          <w:rFonts w:hint="eastAsia" w:ascii="仿宋" w:hAnsi="仿宋" w:eastAsia="仿宋" w:cs="仿宋"/>
          <w:color w:val="000000"/>
          <w:sz w:val="24"/>
          <w:szCs w:val="24"/>
          <w:highlight w:val="none"/>
        </w:rPr>
      </w:r>
      <w:r/>
    </w:p>
    <w:p>
      <w:pPr>
        <w:pStyle w:val="1019"/>
        <w:rPr>
          <w:rFonts w:ascii="仿宋" w:hAnsi="仿宋" w:eastAsia="仿宋" w:cs="仿宋"/>
          <w:spacing w:val="6"/>
          <w:sz w:val="30"/>
          <w:szCs w:val="3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pacing w:val="6"/>
          <w:sz w:val="30"/>
          <w:szCs w:val="30"/>
        </w:rPr>
      </w:r>
      <w:r/>
    </w:p>
    <w:p>
      <w:pPr>
        <w:pStyle w:val="1020"/>
        <w:jc w:val="center"/>
        <w:spacing w:before="0" w:after="156" w:line="560" w:lineRule="exact"/>
        <w:rPr>
          <w:rFonts w:ascii="楷体" w:hAnsi="楷体" w:eastAsia="楷体" w:cs="楷体"/>
          <w:sz w:val="28"/>
          <w:szCs w:val="28"/>
        </w:rPr>
      </w:pPr>
      <w:r/>
      <w:bookmarkStart w:id="115" w:name="_Toc8970"/>
      <w:r>
        <w:rPr>
          <w:rFonts w:hint="eastAsia" w:ascii="楷体" w:hAnsi="楷体" w:eastAsia="楷体" w:cs="楷体"/>
          <w:sz w:val="28"/>
          <w:szCs w:val="28"/>
        </w:rPr>
        <w:t xml:space="preserve">第六章 </w:t>
      </w:r>
      <w:bookmarkEnd w:id="98"/>
      <w:r/>
      <w:bookmarkEnd w:id="99"/>
      <w:r/>
      <w:bookmarkEnd w:id="100"/>
      <w:r/>
      <w:bookmarkEnd w:id="101"/>
      <w:r>
        <w:rPr>
          <w:rFonts w:hint="eastAsia" w:ascii="楷体" w:hAnsi="楷体" w:eastAsia="楷体" w:cs="楷体"/>
          <w:sz w:val="28"/>
          <w:szCs w:val="28"/>
        </w:rPr>
        <w:t xml:space="preserve">投标文件格式</w:t>
      </w:r>
      <w:bookmarkEnd w:id="115"/>
      <w:r>
        <w:rPr>
          <w:rFonts w:ascii="楷体" w:hAnsi="楷体" w:eastAsia="楷体" w:cs="楷体"/>
          <w:sz w:val="28"/>
          <w:szCs w:val="28"/>
        </w:rPr>
      </w:r>
      <w:r/>
    </w:p>
    <w:p>
      <w:pPr>
        <w:pStyle w:val="1038"/>
        <w:ind w:left="0" w:firstLine="482"/>
        <w:jc w:val="left"/>
        <w:spacing w:line="400" w:lineRule="exact"/>
        <w:rPr>
          <w:rFonts w:ascii="仿宋" w:hAnsi="仿宋" w:eastAsia="仿宋" w:cs="仿宋"/>
          <w:b/>
          <w:bCs/>
          <w:sz w:val="24"/>
          <w:szCs w:val="24"/>
        </w:rPr>
      </w:pPr>
      <w:r>
        <w:rPr>
          <w:rFonts w:hint="eastAsia" w:ascii="仿宋" w:hAnsi="仿宋" w:eastAsia="仿宋" w:cs="仿宋"/>
          <w:b/>
          <w:bCs/>
          <w:sz w:val="24"/>
          <w:szCs w:val="24"/>
        </w:rPr>
        <w:t xml:space="preserve">注：</w:t>
      </w:r>
      <w:r>
        <w:rPr>
          <w:rFonts w:ascii="仿宋" w:hAnsi="仿宋" w:eastAsia="仿宋" w:cs="仿宋"/>
          <w:b/>
          <w:bCs/>
          <w:sz w:val="24"/>
          <w:szCs w:val="24"/>
        </w:rPr>
      </w:r>
      <w:r/>
    </w:p>
    <w:p>
      <w:pPr>
        <w:pStyle w:val="1038"/>
        <w:ind w:left="0" w:firstLine="482"/>
        <w:jc w:val="left"/>
        <w:spacing w:line="400" w:lineRule="exact"/>
        <w:rPr>
          <w:rFonts w:ascii="微软雅黑" w:hAnsi="微软雅黑" w:cs="微软雅黑"/>
          <w:b/>
          <w:i/>
          <w:iCs/>
          <w:sz w:val="24"/>
          <w:szCs w:val="24"/>
          <w:u w:val="single"/>
        </w:rPr>
      </w:pPr>
      <w:r>
        <w:rPr>
          <w:rFonts w:hint="eastAsia" w:ascii="仿宋" w:hAnsi="仿宋" w:eastAsia="仿宋" w:cs="仿宋"/>
          <w:b/>
          <w:bCs/>
          <w:sz w:val="24"/>
          <w:szCs w:val="24"/>
        </w:rPr>
        <w:t xml:space="preserve">请供应商按照以下文件的要求格式、内容，顺序制作投标文件，并请编制目录及页码，否则可能将影响对投标文件的评价。</w:t>
      </w:r>
      <w:r>
        <w:rPr>
          <w:rFonts w:ascii="微软雅黑" w:hAnsi="微软雅黑" w:cs="微软雅黑"/>
          <w:b/>
          <w:i/>
          <w:iCs/>
          <w:sz w:val="24"/>
          <w:szCs w:val="24"/>
          <w:u w:val="single"/>
        </w:rPr>
      </w:r>
      <w:r/>
    </w:p>
    <w:p>
      <w:pPr>
        <w:pStyle w:val="1038"/>
        <w:ind w:left="0" w:firstLine="482"/>
        <w:jc w:val="left"/>
        <w:spacing w:line="400" w:lineRule="exact"/>
        <w:rPr>
          <w:rFonts w:ascii="仿宋" w:hAnsi="仿宋" w:eastAsia="仿宋" w:cs="仿宋"/>
          <w:b/>
          <w:bCs/>
          <w:sz w:val="24"/>
          <w:szCs w:val="24"/>
        </w:rPr>
      </w:pPr>
      <w:r>
        <w:rPr>
          <w:rFonts w:ascii="仿宋" w:hAnsi="仿宋" w:eastAsia="仿宋" w:cs="仿宋"/>
          <w:b/>
          <w:bCs/>
          <w:sz w:val="24"/>
          <w:szCs w:val="24"/>
        </w:rPr>
      </w:r>
      <w:r/>
    </w:p>
    <w:p>
      <w:pPr>
        <w:pStyle w:val="1019"/>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019"/>
        <w:jc w:val="left"/>
        <w:spacing w:line="420" w:lineRule="exact"/>
        <w:rPr>
          <w:rFonts w:ascii="黑体" w:hAnsi="黑体" w:eastAsia="黑体" w:cs="黑体"/>
          <w:sz w:val="40"/>
          <w:szCs w:val="40"/>
        </w:rPr>
      </w:pPr>
      <w:r>
        <w:rPr>
          <w:rFonts w:hint="eastAsia" w:ascii="黑体" w:hAnsi="黑体" w:eastAsia="黑体" w:cs="黑体"/>
          <w:sz w:val="40"/>
          <w:szCs w:val="40"/>
        </w:rPr>
        <w:t xml:space="preserve">【正/副本】</w:t>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江苏省消防核事故应急处置专业队第二批装备器材采购及相关服务第三次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价  格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w:t>
      </w:r>
      <w:r>
        <w:rPr>
          <w:rFonts w:hint="eastAsia" w:eastAsia="黑体"/>
          <w:sz w:val="28"/>
          <w:szCs w:val="28"/>
          <w:u w:val="single"/>
          <w:lang w:eastAsia="zh-CN"/>
        </w:rPr>
        <w:t xml:space="preserve">江苏省消防核事故应急处置专业队第二批装备器材采购及相关服务第三次</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lang w:eastAsia="zh-CN"/>
        </w:rPr>
        <w:t xml:space="preserve">JSZC-320000-TYCQ-G2026-0003</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w:t>
      </w:r>
      <w:r>
        <w:rPr>
          <w:rFonts w:hint="eastAsia" w:ascii="黑体" w:hAnsi="黑体" w:eastAsia="黑体" w:cs="黑体"/>
          <w:sz w:val="28"/>
          <w:szCs w:val="28"/>
          <w:u w:val="none"/>
          <w:lang w:eastAsia="zh-CN"/>
        </w:rPr>
        <w:t xml:space="preserve">加盖CA电子公章</w:t>
      </w:r>
      <w:r>
        <w:rPr>
          <w:rFonts w:eastAsia="黑体"/>
          <w:sz w:val="28"/>
          <w:szCs w:val="28"/>
        </w:rPr>
        <w:t xml:space="preserve">）</w:t>
      </w:r>
      <w:r>
        <w:rPr>
          <w:rFonts w:eastAsia="黑体"/>
          <w:sz w:val="28"/>
          <w:szCs w:val="28"/>
          <w:u w:val="single"/>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0"/>
          <w:szCs w:val="20"/>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0"/>
          <w:szCs w:val="20"/>
        </w:rPr>
      </w:r>
      <w:r/>
    </w:p>
    <w:p>
      <w:pPr>
        <w:pStyle w:val="1019"/>
        <w:spacing w:line="440" w:lineRule="exact"/>
        <w:rPr>
          <w:rFonts w:eastAsia="黑体"/>
          <w:sz w:val="20"/>
          <w:szCs w:val="20"/>
        </w:rPr>
      </w:pPr>
      <w:r>
        <w:rPr>
          <w:rFonts w:eastAsia="黑体"/>
          <w:sz w:val="20"/>
          <w:szCs w:val="20"/>
        </w:rPr>
      </w:r>
      <w:r/>
    </w:p>
    <w:p>
      <w:pPr>
        <w:pStyle w:val="1019"/>
        <w:spacing w:line="400" w:lineRule="exact"/>
        <w:sectPr>
          <w:footnotePr/>
          <w:endnotePr/>
          <w:type w:val="nextPage"/>
          <w:pgSz w:w="11906" w:h="16838" w:orient="portrait"/>
          <w:pgMar w:top="1417" w:right="1134" w:bottom="1417" w:left="1417" w:header="851" w:footer="992" w:gutter="0"/>
          <w:pgNumType w:start="1"/>
          <w:cols w:num="1" w:sep="0" w:space="1701" w:equalWidth="1"/>
          <w:docGrid w:linePitch="360"/>
        </w:sectPr>
      </w:pPr>
      <w:r/>
      <w:r/>
    </w:p>
    <w:p>
      <w:pPr>
        <w:pStyle w:val="1062"/>
        <w:jc w:val="center"/>
        <w:spacing w:before="156" w:after="156" w:line="560" w:lineRule="exact"/>
        <w:rPr>
          <w:rFonts w:ascii="楷体" w:hAnsi="楷体" w:eastAsia="楷体" w:cs="楷体"/>
          <w:b/>
          <w:bCs/>
          <w:sz w:val="32"/>
          <w:szCs w:val="32"/>
        </w:rPr>
      </w:pPr>
      <w:r/>
      <w:bookmarkStart w:id="116" w:name="_Toc2467"/>
      <w:r/>
      <w:bookmarkStart w:id="117" w:name="_Toc144974856"/>
      <w:r/>
      <w:bookmarkStart w:id="118" w:name="_Toc152042576"/>
      <w:r/>
      <w:bookmarkStart w:id="119" w:name="_Toc17888"/>
      <w:r/>
      <w:bookmarkStart w:id="120" w:name="_Toc152045787"/>
      <w:r/>
      <w:bookmarkStart w:id="121" w:name="_Toc152045788"/>
      <w:r/>
      <w:bookmarkStart w:id="122" w:name="_Toc152042577"/>
      <w:r/>
      <w:bookmarkStart w:id="123" w:name="_Toc144974857"/>
      <w:r>
        <w:rPr>
          <w:rFonts w:hint="eastAsia" w:ascii="楷体" w:hAnsi="楷体" w:eastAsia="楷体" w:cs="楷体"/>
          <w:b/>
          <w:bCs/>
          <w:sz w:val="32"/>
          <w:szCs w:val="32"/>
        </w:rPr>
        <w:t xml:space="preserve">开标一览表</w:t>
      </w:r>
      <w:bookmarkEnd w:id="116"/>
      <w:r>
        <w:rPr>
          <w:rFonts w:ascii="楷体" w:hAnsi="楷体" w:eastAsia="楷体" w:cs="楷体"/>
          <w:b/>
          <w:bCs/>
          <w:sz w:val="32"/>
          <w:szCs w:val="32"/>
        </w:rPr>
      </w:r>
      <w:r/>
    </w:p>
    <w:p>
      <w:pPr>
        <w:pStyle w:val="1019"/>
        <w:spacing w:line="560" w:lineRule="exact"/>
        <w:rPr>
          <w:rFonts w:ascii="楷体" w:hAnsi="楷体" w:eastAsia="楷体" w:cs="楷体"/>
          <w:sz w:val="28"/>
          <w:szCs w:val="20"/>
        </w:rPr>
      </w:pPr>
      <w:r>
        <w:rPr>
          <w:rFonts w:hint="eastAsia" w:ascii="楷体" w:hAnsi="楷体" w:eastAsia="楷体" w:cs="楷体"/>
          <w:sz w:val="28"/>
          <w:szCs w:val="20"/>
        </w:rPr>
        <w:t xml:space="preserve">项目名称：                           项目编号：</w:t>
      </w:r>
      <w:r>
        <w:rPr>
          <w:rFonts w:ascii="楷体" w:hAnsi="楷体" w:eastAsia="楷体" w:cs="楷体"/>
          <w:sz w:val="28"/>
          <w:szCs w:val="20"/>
        </w:rPr>
      </w:r>
      <w:r/>
    </w:p>
    <w:tbl>
      <w:tblPr>
        <w:tblStyle w:val="1074"/>
        <w:tblW w:w="9495" w:type="dxa"/>
        <w:jc w:val="center"/>
        <w:tblInd w:w="-5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17"/>
        <w:gridCol w:w="6978"/>
      </w:tblGrid>
      <w:tr>
        <w:trPr>
          <w:trHeight w:val="567"/>
        </w:trPr>
        <w:tc>
          <w:tcPr>
            <w:tcW w:w="2517" w:type="dxa"/>
            <w:vAlign w:val="center"/>
            <w:textDirection w:val="lrTb"/>
            <w:noWrap w:val="false"/>
          </w:tcPr>
          <w:p>
            <w:pPr>
              <w:pStyle w:val="1019"/>
              <w:ind w:left="83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85"/>
        </w:trPr>
        <w:tc>
          <w:tcPr>
            <w:tcW w:w="2517" w:type="dxa"/>
            <w:vAlign w:val="center"/>
            <w:textDirection w:val="lrTb"/>
            <w:noWrap w:val="false"/>
          </w:tcPr>
          <w:p>
            <w:pPr>
              <w:pStyle w:val="1019"/>
              <w:ind w:left="617"/>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投标总价</w:t>
            </w:r>
            <w:r>
              <w:rPr>
                <w:rFonts w:hint="eastAsia" w:ascii="仿宋" w:hAnsi="仿宋" w:eastAsia="仿宋" w:cs="仿宋"/>
                <w:color w:val="000000"/>
                <w:sz w:val="24"/>
                <w:szCs w:val="24"/>
              </w:rPr>
            </w:r>
            <w:r/>
          </w:p>
        </w:tc>
        <w:tc>
          <w:tcPr>
            <w:tcW w:w="6978" w:type="dxa"/>
            <w:vAlign w:val="center"/>
            <w:textDirection w:val="lrTb"/>
            <w:noWrap w:val="false"/>
          </w:tcPr>
          <w:p>
            <w:pPr>
              <w:pStyle w:val="1019"/>
              <w:ind w:left="1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19"/>
              <w:ind w:left="12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bl>
    <w:p>
      <w:pPr>
        <w:pStyle w:val="1019"/>
      </w:pPr>
      <w:r/>
      <w:r/>
    </w:p>
    <w:p>
      <w:pPr>
        <w:pStyle w:val="1038"/>
        <w:ind w:left="1260"/>
      </w:p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ind w:left="3150"/>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19"/>
        <w:ind w:firstLine="360"/>
        <w:spacing w:line="420" w:lineRule="exact"/>
        <w:rPr>
          <w:rFonts w:ascii="仿宋" w:hAnsi="仿宋" w:eastAsia="仿宋" w:cs="仿宋"/>
          <w:sz w:val="24"/>
        </w:rPr>
      </w:pPr>
      <w:r>
        <w:rPr>
          <w:rFonts w:hint="eastAsia" w:ascii="仿宋" w:hAnsi="仿宋" w:eastAsia="仿宋" w:cs="仿宋"/>
          <w:sz w:val="24"/>
        </w:rPr>
        <w:t xml:space="preserve">注:</w:t>
      </w:r>
      <w:r>
        <w:rPr>
          <w:rFonts w:ascii="仿宋" w:hAnsi="仿宋" w:eastAsia="仿宋" w:cs="仿宋"/>
          <w:sz w:val="24"/>
        </w:rPr>
      </w:r>
      <w:r/>
    </w:p>
    <w:p>
      <w:pPr>
        <w:pStyle w:val="1019"/>
        <w:ind w:firstLine="480"/>
        <w:spacing w:line="360" w:lineRule="exact"/>
        <w:rPr>
          <w:rFonts w:ascii="仿宋" w:hAnsi="仿宋" w:eastAsia="仿宋" w:cs="仿宋"/>
          <w:sz w:val="24"/>
        </w:rPr>
      </w:pPr>
      <w:r>
        <w:rPr>
          <w:rFonts w:hint="eastAsia" w:ascii="仿宋" w:hAnsi="仿宋" w:eastAsia="仿宋" w:cs="仿宋"/>
          <w:sz w:val="24"/>
        </w:rPr>
        <w:t xml:space="preserve">1.投标报价应包括招标文件所规定的招标范围的全部内容。</w:t>
      </w:r>
      <w:r>
        <w:rPr>
          <w:rFonts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rPr>
        <w:t xml:space="preserve">2.供应商不得实质性改动报价一览表格式及内容。</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.本项目仅接受一个价格，不得填报有选择性报价方案。若有优惠条款须注明，但不得影响报价，影响产品整体功能。</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.如未按要求提供、填写，或相关内容表述不清前后矛盾的，不享受价格扣除</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38"/>
        <w:ind w:left="0" w:firstLine="482"/>
        <w:spacing w:line="360" w:lineRule="exact"/>
        <w:rPr>
          <w:rFonts w:ascii="仿宋" w:hAnsi="仿宋" w:eastAsia="仿宋" w:cs="仿宋"/>
          <w:b/>
          <w:bCs/>
          <w:sz w:val="24"/>
          <w:szCs w:val="24"/>
        </w:rPr>
      </w:pPr>
      <w:r>
        <w:rPr>
          <w:rFonts w:ascii="仿宋" w:hAnsi="仿宋" w:eastAsia="仿宋" w:cs="仿宋"/>
          <w:b/>
          <w:bCs/>
          <w:sz w:val="24"/>
          <w:szCs w:val="24"/>
        </w:rPr>
      </w:r>
      <w:r/>
    </w:p>
    <w:p>
      <w:pPr>
        <w:pStyle w:val="1062"/>
        <w:jc w:val="center"/>
        <w:rPr>
          <w:rFonts w:ascii="仿宋" w:hAnsi="仿宋" w:eastAsia="仿宋" w:cs="仿宋"/>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24"/>
          <w:szCs w:val="24"/>
        </w:rPr>
      </w:r>
      <w:r/>
    </w:p>
    <w:p>
      <w:pPr>
        <w:pStyle w:val="1062"/>
        <w:jc w:val="center"/>
        <w:spacing w:before="156" w:after="156" w:line="560" w:lineRule="exact"/>
        <w:rPr>
          <w:rFonts w:ascii="楷体" w:hAnsi="楷体" w:eastAsia="楷体" w:cs="楷体"/>
          <w:b/>
          <w:bCs/>
          <w:sz w:val="32"/>
          <w:szCs w:val="32"/>
        </w:rPr>
      </w:pPr>
      <w:r/>
      <w:bookmarkStart w:id="124" w:name="_Toc22668"/>
      <w:r>
        <w:rPr>
          <w:rFonts w:hint="eastAsia" w:ascii="楷体" w:hAnsi="楷体" w:eastAsia="楷体" w:cs="楷体"/>
          <w:b/>
          <w:bCs/>
          <w:sz w:val="32"/>
          <w:szCs w:val="32"/>
        </w:rPr>
        <w:t xml:space="preserve">分项报价表</w:t>
      </w:r>
      <w:bookmarkEnd w:id="124"/>
      <w:r>
        <w:rPr>
          <w:rFonts w:ascii="楷体" w:hAnsi="楷体" w:eastAsia="楷体" w:cs="楷体"/>
          <w:b/>
          <w:bCs/>
          <w:sz w:val="32"/>
          <w:szCs w:val="32"/>
        </w:rPr>
      </w:r>
      <w:r/>
    </w:p>
    <w:tbl>
      <w:tblPr>
        <w:tblW w:w="4991"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535"/>
        <w:gridCol w:w="2727"/>
        <w:gridCol w:w="759"/>
        <w:gridCol w:w="1388"/>
        <w:gridCol w:w="1506"/>
        <w:gridCol w:w="1646"/>
      </w:tblGrid>
      <w:tr>
        <w:trPr>
          <w:trHeight w:val="794"/>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种类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rPr>
                <w:rFonts w:hint="eastAsia" w:ascii="仿宋" w:hAnsi="仿宋" w:eastAsia="仿宋" w:cs="仿宋"/>
                <w:i w:val="0"/>
                <w:iCs w:val="0"/>
                <w:color w:val="000000"/>
                <w:sz w:val="24"/>
                <w:szCs w:val="24"/>
                <w:u w:val="none"/>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装备名称</w:t>
            </w:r>
            <w:r>
              <w:rPr>
                <w:rFonts w:hint="eastAsia" w:ascii="仿宋" w:hAnsi="仿宋" w:eastAsia="仿宋" w:cs="仿宋"/>
                <w:i w:val="0"/>
                <w:iCs w:val="0"/>
                <w:color w:val="000000"/>
                <w:sz w:val="24"/>
                <w:szCs w:val="24"/>
                <w:u w:val="none"/>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单位</w:t>
            </w:r>
            <w:r>
              <w:rPr>
                <w:rFonts w:hint="eastAsia" w:ascii="仿宋" w:hAnsi="仿宋" w:eastAsia="仿宋" w:cs="仿宋"/>
                <w:i w:val="0"/>
                <w:iCs w:val="0"/>
                <w:color w:val="000000"/>
                <w:sz w:val="24"/>
                <w:szCs w:val="24"/>
                <w:u w:val="none"/>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配备数量</w:t>
            </w:r>
            <w:r>
              <w:rPr>
                <w:rFonts w:hint="eastAsia" w:ascii="仿宋" w:hAnsi="仿宋" w:eastAsia="仿宋" w:cs="仿宋"/>
                <w:i w:val="0"/>
                <w:iCs w:val="0"/>
                <w:color w:val="000000"/>
                <w:sz w:val="24"/>
                <w:szCs w:val="24"/>
                <w:u w:val="none"/>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单价（单位：元）</w:t>
            </w: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总价（单位：元）</w:t>
            </w: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防护类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连体式核与辐射防护服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核辐射护目镜</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核辐射防护手套</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过滤式防毒面罩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滤毒罐</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透气防毒服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个人辐射剂量仪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 xml:space="preserve">检测类</w:t>
            </w: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核侦检无人机</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立柱式核辐射剂量检测系统</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核素识别仪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表面沾染检测仪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有毒气体探测仪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无线复合气体检测仪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洗消类</w:t>
            </w:r>
            <w:r>
              <w:rPr>
                <w:rFonts w:hint="eastAsia" w:ascii="仿宋" w:hAnsi="仿宋" w:eastAsia="仿宋" w:cs="仿宋"/>
                <w:i w:val="0"/>
                <w:iCs w:val="0"/>
                <w:color w:val="000000"/>
                <w:sz w:val="24"/>
                <w:szCs w:val="24"/>
                <w:highlight w:val="none"/>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公众洗消站</w:t>
            </w:r>
            <w:r>
              <w:rPr>
                <w:rFonts w:hint="eastAsia" w:ascii="仿宋" w:hAnsi="仿宋" w:eastAsia="仿宋" w:cs="仿宋"/>
                <w:i w:val="0"/>
                <w:iCs w:val="0"/>
                <w:color w:val="000000"/>
                <w:sz w:val="24"/>
                <w:szCs w:val="24"/>
                <w:highlight w:val="none"/>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138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r>
      <w:tr>
        <w:trPr>
          <w:trHeight w:val="397"/>
        </w:trPr>
        <w:tc>
          <w:tcPr>
            <w:gridSpan w:val="6"/>
            <w:tcW w:w="790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合计（单位：元）</w:t>
            </w:r>
            <w:r>
              <w:rPr>
                <w:rFonts w:hint="eastAsia" w:ascii="仿宋" w:hAnsi="仿宋" w:eastAsia="仿宋" w:cs="仿宋"/>
                <w:i w:val="0"/>
                <w:iCs w:val="0"/>
                <w:color w:val="000000"/>
                <w:sz w:val="24"/>
                <w:szCs w:val="24"/>
                <w:u w:val="none"/>
                <w:lang w:val="en-US" w:eastAsia="zh-CN"/>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bl>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rPr>
          <w:rFonts w:ascii="微软雅黑" w:hAnsi="微软雅黑" w:cs="微软雅黑"/>
          <w:sz w:val="18"/>
          <w:szCs w:val="18"/>
          <w:lang w:bidi="ar"/>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微软雅黑" w:hAnsi="微软雅黑" w:cs="微软雅黑"/>
          <w:sz w:val="18"/>
          <w:szCs w:val="18"/>
          <w:lang w:bidi="ar"/>
        </w:rPr>
      </w:r>
      <w:r/>
    </w:p>
    <w:p>
      <w:pPr>
        <w:pStyle w:val="1019"/>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注：1.此表为表样，行数可自行添加，但表式不变。</w:t>
      </w:r>
      <w:r>
        <w:rPr>
          <w:rFonts w:ascii="仿宋" w:hAnsi="仿宋" w:eastAsia="仿宋" w:cs="仿宋"/>
          <w:sz w:val="24"/>
        </w:rPr>
      </w:r>
      <w:r/>
    </w:p>
    <w:p>
      <w:pPr>
        <w:pStyle w:val="1019"/>
        <w:ind w:firstLine="480"/>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2.总价=单价*数量</w:t>
      </w:r>
      <w:r>
        <w:rPr>
          <w:rFonts w:hint="eastAsia" w:ascii="仿宋" w:hAnsi="仿宋" w:eastAsia="仿宋" w:cs="仿宋"/>
          <w:sz w:val="24"/>
          <w:lang w:eastAsia="zh-CN" w:bidi="ar"/>
        </w:rPr>
        <w:t xml:space="preserve">，《分项报价表》中“</w:t>
      </w:r>
      <w:r>
        <w:rPr>
          <w:rFonts w:hint="eastAsia" w:ascii="仿宋" w:hAnsi="仿宋" w:eastAsia="仿宋" w:cs="仿宋"/>
          <w:sz w:val="24"/>
          <w:lang w:val="en-US" w:eastAsia="zh-CN" w:bidi="ar"/>
        </w:rPr>
        <w:t xml:space="preserve">合计</w:t>
      </w:r>
      <w:r>
        <w:rPr>
          <w:rFonts w:hint="eastAsia" w:ascii="仿宋" w:hAnsi="仿宋" w:eastAsia="仿宋" w:cs="仿宋"/>
          <w:sz w:val="24"/>
          <w:lang w:eastAsia="zh-CN" w:bidi="ar"/>
        </w:rPr>
        <w:t xml:space="preserve">总价”应当与《开标一览表》中“投标总价”一致</w:t>
      </w:r>
      <w:r>
        <w:rPr>
          <w:rFonts w:hint="eastAsia" w:ascii="仿宋" w:hAnsi="仿宋" w:eastAsia="仿宋" w:cs="仿宋"/>
          <w:sz w:val="24"/>
          <w:lang w:bidi="ar"/>
        </w:rPr>
        <w:t xml:space="preserve">。</w:t>
      </w:r>
      <w:r>
        <w:rPr>
          <w:rFonts w:ascii="仿宋" w:hAnsi="仿宋" w:eastAsia="仿宋" w:cs="仿宋"/>
          <w:sz w:val="24"/>
        </w:rPr>
      </w:r>
      <w:r/>
    </w:p>
    <w:p>
      <w:pPr>
        <w:pStyle w:val="1019"/>
        <w:ind w:firstLine="480"/>
        <w:jc w:val="left"/>
        <w:keepLines w:val="0"/>
        <w:keepNext w:val="0"/>
        <w:pageBreakBefore w:val="0"/>
        <w:spacing w:line="400" w:lineRule="exact"/>
        <w:widowControl w:val="off"/>
        <w:tabs>
          <w:tab w:val="left" w:pos="220" w:leader="none"/>
        </w:tabs>
        <w:rPr>
          <w:rFonts w:hint="eastAsia" w:ascii="仿宋" w:hAnsi="仿宋" w:eastAsia="仿宋" w:cs="仿宋"/>
          <w:sz w:val="24"/>
          <w:lang w:bidi="ar"/>
        </w:rPr>
      </w:pPr>
      <w:r>
        <w:rPr>
          <w:rFonts w:hint="eastAsia" w:ascii="仿宋" w:hAnsi="仿宋" w:eastAsia="仿宋" w:cs="仿宋"/>
          <w:sz w:val="24"/>
          <w:lang w:bidi="ar"/>
        </w:rPr>
        <w:t xml:space="preserve">3.投标报价应包括但不限于完成该项目所有的费用，每一单项均应计算并填写单价和总价和其相应的单价分项表，并由法定代表人或授权委托代理人签署。投标供应商未填单价或总价的项目，在实施后，招标单位将不予支付，并视为该项费用已包括在其它有价款的单价或总价内。</w:t>
      </w:r>
      <w:r>
        <w:rPr>
          <w:rFonts w:hint="eastAsia" w:ascii="仿宋" w:hAnsi="仿宋" w:eastAsia="仿宋" w:cs="仿宋"/>
          <w:sz w:val="24"/>
          <w:lang w:bidi="ar"/>
        </w:rPr>
      </w:r>
      <w:r/>
    </w:p>
    <w:p>
      <w:pPr>
        <w:pStyle w:val="1019"/>
        <w:ind w:firstLine="480"/>
        <w:jc w:val="left"/>
        <w:keepLines w:val="0"/>
        <w:keepNext w:val="0"/>
        <w:pageBreakBefore w:val="0"/>
        <w:spacing w:line="400" w:lineRule="exact"/>
        <w:widowControl w:val="off"/>
        <w:tabs>
          <w:tab w:val="left" w:pos="220" w:leader="none"/>
        </w:tabs>
        <w:rPr>
          <w:rFonts w:ascii="仿宋" w:hAnsi="仿宋" w:eastAsia="仿宋" w:cs="仿宋"/>
          <w:sz w:val="24"/>
          <w:lang w:val="en-US" w:eastAsia="zh-CN" w:bidi="ar"/>
        </w:rPr>
      </w:pPr>
      <w:r>
        <w:rPr>
          <w:rFonts w:hint="eastAsia" w:ascii="仿宋" w:hAnsi="仿宋" w:eastAsia="仿宋" w:cs="仿宋"/>
          <w:sz w:val="24"/>
          <w:lang w:eastAsia="zh-CN" w:bidi="ar"/>
        </w:rPr>
        <w:t xml:space="preserve">4供应商的任何错漏、优惠、竞争性报价不得作为减轻责任、减少服务、增加收费、降低质量的理由。</w:t>
      </w:r>
      <w:r>
        <w:rPr>
          <w:rFonts w:ascii="仿宋" w:hAnsi="仿宋" w:eastAsia="仿宋" w:cs="仿宋"/>
          <w:sz w:val="24"/>
          <w:lang w:val="en-US" w:eastAsia="zh-CN" w:bidi="ar"/>
        </w:rPr>
      </w:r>
      <w:r/>
    </w:p>
    <w:p>
      <w:pPr>
        <w:pStyle w:val="1019"/>
        <w:ind w:firstLine="480"/>
        <w:jc w:val="left"/>
        <w:keepLines w:val="0"/>
        <w:keepNext w:val="0"/>
        <w:pageBreakBefore w:val="0"/>
        <w:spacing w:line="400" w:lineRule="exact"/>
        <w:widowControl w:val="off"/>
        <w:tabs>
          <w:tab w:val="left" w:pos="220" w:leader="none"/>
        </w:tabs>
        <w:rPr>
          <w:rFonts w:ascii="黑体" w:hAnsi="黑体" w:eastAsia="黑体" w:cs="黑体"/>
          <w:sz w:val="40"/>
          <w:szCs w:val="40"/>
        </w:rPr>
      </w:pPr>
      <w:r>
        <w:rPr>
          <w:rFonts w:hint="eastAsia" w:ascii="仿宋" w:hAnsi="仿宋" w:eastAsia="仿宋" w:cs="仿宋"/>
          <w:sz w:val="24"/>
          <w:lang w:eastAsia="zh-CN" w:bidi="ar"/>
        </w:rPr>
        <w:t xml:space="preserve">5.供应商在报价时应充分考虑政策性调整、市场风险等因素，相关费用计入投标报价。中标后发生的政策变化或市场风险所引起的费用变化一律不再调整。</w:t>
      </w:r>
      <w:r>
        <w:rPr>
          <w:rFonts w:hint="eastAsia"/>
        </w:rPr>
        <w:br w:type="page" w:clear="all"/>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37"/>
        <w:ind w:left="0" w:right="0"/>
        <w:jc w:val="left"/>
        <w:spacing w:after="0" w:line="560" w:lineRule="exact"/>
        <w:rPr>
          <w:rFonts w:ascii="仿宋" w:hAnsi="仿宋" w:eastAsia="仿宋" w:cs="仿宋"/>
        </w:rPr>
      </w:pPr>
      <w:r>
        <w:rPr>
          <w:rFonts w:ascii="仿宋" w:hAnsi="仿宋" w:eastAsia="仿宋" w:cs="仿宋"/>
        </w:rPr>
      </w:r>
      <w:r/>
    </w:p>
    <w:p>
      <w:pPr>
        <w:pStyle w:val="1019"/>
        <w:jc w:val="left"/>
        <w:spacing w:line="560" w:lineRule="exact"/>
        <w:rPr>
          <w:rFonts w:ascii="仿宋" w:hAnsi="仿宋" w:eastAsia="仿宋" w:cs="仿宋"/>
          <w:sz w:val="28"/>
          <w:szCs w:val="28"/>
          <w:u w:val="single"/>
        </w:rPr>
      </w:pPr>
      <w:r>
        <w:rPr>
          <w:rFonts w:ascii="仿宋" w:hAnsi="仿宋" w:eastAsia="仿宋" w:cs="仿宋"/>
          <w:sz w:val="28"/>
          <w:szCs w:val="28"/>
          <w:u w:val="single"/>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江苏省消防核事故应急处置专业队第二批装备器材采购及相关服务第三次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投  标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w:t>
      </w:r>
      <w:r>
        <w:rPr>
          <w:rFonts w:hint="eastAsia" w:eastAsia="黑体"/>
          <w:sz w:val="28"/>
          <w:szCs w:val="28"/>
          <w:u w:val="single"/>
          <w:lang w:eastAsia="zh-CN"/>
        </w:rPr>
        <w:t xml:space="preserve">江苏省消防核事故应急处置专业队第二批装备器材采购及相关服务第三次</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lang w:eastAsia="zh-CN"/>
        </w:rPr>
        <w:t xml:space="preserve">JSZC-320000-TYCQ-G2026-0003</w:t>
      </w:r>
      <w:r>
        <w:rPr>
          <w:rFonts w:hint="eastAsia" w:ascii="黑体" w:hAnsi="黑体" w:eastAsia="黑体" w:cs="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w:t>
      </w:r>
      <w:r>
        <w:rPr>
          <w:rFonts w:hint="eastAsia" w:eastAsia="黑体"/>
          <w:sz w:val="28"/>
          <w:szCs w:val="28"/>
          <w:lang w:eastAsia="zh-CN"/>
        </w:rPr>
        <w:t xml:space="preserve">加盖CA电子公章</w:t>
      </w:r>
      <w:r>
        <w:rPr>
          <w:rFonts w:eastAsia="黑体"/>
          <w:sz w:val="28"/>
          <w:szCs w:val="28"/>
        </w:rPr>
        <w:t xml:space="preserve">）</w:t>
      </w:r>
      <w:r>
        <w:rPr>
          <w:rFonts w:eastAsia="黑体"/>
          <w:sz w:val="28"/>
          <w:szCs w:val="28"/>
          <w:u w:val="single"/>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8"/>
          <w:szCs w:val="28"/>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8"/>
          <w:szCs w:val="28"/>
        </w:rPr>
      </w:r>
      <w:r/>
    </w:p>
    <w:p>
      <w:pPr>
        <w:pStyle w:val="1062"/>
        <w:jc w:val="center"/>
        <w:spacing w:before="156" w:after="156" w:line="560" w:lineRule="exact"/>
        <w:rPr>
          <w:rFonts w:hint="eastAsia" w:ascii="楷体" w:hAnsi="楷体" w:eastAsia="楷体" w:cs="楷体"/>
          <w:b/>
          <w:bCs/>
          <w:sz w:val="32"/>
          <w:szCs w:val="32"/>
        </w:rPr>
      </w:pPr>
      <w:r>
        <w:rPr>
          <w:rFonts w:eastAsia="黑体"/>
          <w:sz w:val="28"/>
          <w:szCs w:val="28"/>
        </w:rPr>
        <w:br w:type="page" w:clear="all"/>
      </w:r>
      <w:bookmarkEnd w:id="117"/>
      <w:r/>
      <w:bookmarkEnd w:id="118"/>
      <w:r/>
      <w:bookmarkEnd w:id="119"/>
      <w:r/>
      <w:bookmarkEnd w:id="120"/>
      <w:r/>
      <w:bookmarkStart w:id="125" w:name="_Toc12959"/>
      <w:r/>
      <w:bookmarkStart w:id="126" w:name="_Toc21283"/>
      <w:r>
        <w:rPr>
          <w:rFonts w:hint="eastAsia" w:ascii="楷体" w:hAnsi="楷体" w:eastAsia="楷体" w:cs="楷体"/>
          <w:b/>
          <w:bCs/>
          <w:sz w:val="32"/>
          <w:szCs w:val="32"/>
        </w:rPr>
        <w:t xml:space="preserve">一、投标函</w:t>
      </w:r>
      <w:bookmarkEnd w:id="121"/>
      <w:r/>
      <w:bookmarkEnd w:id="122"/>
      <w:r/>
      <w:bookmarkEnd w:id="123"/>
      <w:r/>
      <w:bookmarkEnd w:id="125"/>
      <w:r/>
      <w:bookmarkEnd w:id="126"/>
      <w:r>
        <w:rPr>
          <w:rFonts w:hint="eastAsia" w:ascii="楷体" w:hAnsi="楷体" w:eastAsia="楷体" w:cs="楷体"/>
          <w:b/>
          <w:bCs/>
          <w:sz w:val="32"/>
          <w:szCs w:val="32"/>
        </w:rPr>
      </w:r>
      <w:r/>
    </w:p>
    <w:p>
      <w:pPr>
        <w:pStyle w:val="1019"/>
        <w:spacing w:line="480" w:lineRule="exact"/>
        <w:rPr>
          <w:rFonts w:ascii="仿宋" w:hAnsi="仿宋" w:eastAsia="仿宋" w:cs="仿宋"/>
          <w:sz w:val="24"/>
        </w:rPr>
      </w:pP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你们项目名称：</w:t>
      </w:r>
      <w:r>
        <w:rPr>
          <w:rFonts w:hint="eastAsia" w:ascii="仿宋" w:hAnsi="仿宋" w:eastAsia="仿宋" w:cs="仿宋"/>
          <w:sz w:val="24"/>
          <w:u w:val="single"/>
        </w:rPr>
        <w:t xml:space="preserve">           （项目编号为：        ）</w:t>
      </w:r>
      <w:r>
        <w:rPr>
          <w:rFonts w:hint="eastAsia" w:ascii="仿宋" w:hAnsi="仿宋" w:eastAsia="仿宋" w:cs="仿宋"/>
          <w:sz w:val="24"/>
        </w:rPr>
        <w:t xml:space="preserve">投标文件（包括更正公告，如果有的话）收悉，我们经详细审阅和研究，现决定参加投标。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1.我们郑重承诺：我们是符合招标文件中规定的投标供应商，并严格遵守招标文件中的规定，本投标文件中提供的所有材料均是真实有效的。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2.我们已详细审核全部招标文件及其有效补充文件，我们接受招标文件的所有的条款和规定。我们放弃对招标文件任何误解的权利，提交投标文件后，</w:t>
      </w:r>
      <w:r>
        <w:rPr>
          <w:rFonts w:hint="eastAsia" w:ascii="仿宋" w:hAnsi="仿宋" w:eastAsia="仿宋" w:cs="仿宋"/>
          <w:b/>
          <w:bCs/>
          <w:sz w:val="24"/>
        </w:rPr>
        <w:t xml:space="preserve">不对招标文件本身提出质疑</w:t>
      </w:r>
      <w:r>
        <w:rPr>
          <w:rFonts w:hint="eastAsia" w:ascii="仿宋" w:hAnsi="仿宋" w:eastAsia="仿宋" w:cs="仿宋"/>
          <w:sz w:val="24"/>
        </w:rPr>
        <w:t xml:space="preserve">。否则，属于不诚信和故意扰乱招标活动行为，我们将无条件接受处罚。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们同意按照本招标文件第二章“投标供应商须知”第3.6条的规定，本投标文件的有效期为从投标截止之日起计算的90日，在此期间，本投标文件将始终对我们具有约束力，并可随时被接受。如果我们中标，本投标文件在此期间之后将继续保持有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4.我们同意提供采购代理机构要求的有关本次招标的所有资料。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5.我们理解你们无义务必须接受投标报价最低的投标，并有权拒绝所有的投标。同时也理解你们不承担我们本次投标的费用。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6.如果我们中标，为执行合同，我们将按投标</w:t>
      </w:r>
      <w:r>
        <w:rPr>
          <w:rFonts w:hint="eastAsia" w:ascii="仿宋" w:hAnsi="仿宋" w:eastAsia="仿宋" w:cs="仿宋"/>
          <w:sz w:val="24"/>
          <w:lang w:val="en-US" w:eastAsia="zh-CN"/>
        </w:rPr>
        <w:t xml:space="preserve">人</w:t>
      </w:r>
      <w:r>
        <w:rPr>
          <w:rFonts w:hint="eastAsia" w:ascii="仿宋" w:hAnsi="仿宋" w:eastAsia="仿宋" w:cs="仿宋"/>
          <w:sz w:val="24"/>
        </w:rPr>
        <w:t xml:space="preserve">须知有关要求提供必要的履约保证。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7.承诺如下：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（1）我方具有履行合同所必需的设备和专业技术能力。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（2）我方在参加本次招标活动前三年内，在经营活动中没有重大违法记录。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（3）我方符合法律、行政法规规定的其他条件。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（4）我方不是为招标项目提供整体设计、规范编制或者项目管理、监理、检测等服务的单位。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（5）我方不存在单位负责人为同一人或者存在直接控股、管理关系的不同投标供应商，同时参加同一合同项下的招标活动；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（6）经自查，我方没有被“信用中国”网站(www.creditchina.gov.cn)列入失信被执行人、重大税收违法失信主体；没有被中国政府采购网(www.ccgp.gov.cn)）列入政府采购严重违法失信行为记录名单。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（7）我方不是联合体投标，如果我们中标，不会将项目转包、分包。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u w:val="single"/>
        </w:rPr>
        <w:t xml:space="preserve">                              </w:t>
      </w:r>
      <w:r>
        <w:rPr>
          <w:rFonts w:hint="eastAsia" w:ascii="仿宋" w:hAnsi="仿宋" w:eastAsia="仿宋" w:cs="仿宋"/>
          <w:sz w:val="24"/>
        </w:rPr>
        <w:t xml:space="preserve">（其他补充说明）。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（加盖CA电子公章）</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网址：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传真：</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邮政编码：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spacing w:line="440" w:lineRule="exact"/>
        <w:rPr>
          <w:rFonts w:eastAsia="黑体"/>
          <w:szCs w:val="21"/>
        </w:rPr>
      </w:pPr>
      <w:r>
        <w:rPr>
          <w:rFonts w:eastAsia="黑体"/>
          <w:szCs w:val="21"/>
        </w:rPr>
      </w:r>
      <w:r/>
    </w:p>
    <w:p>
      <w:pPr>
        <w:pStyle w:val="1019"/>
        <w:spacing w:line="440" w:lineRule="exact"/>
        <w:rPr>
          <w:rFonts w:eastAsia="黑体"/>
          <w:sz w:val="20"/>
          <w:szCs w:val="2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eastAsia="黑体"/>
          <w:sz w:val="20"/>
          <w:szCs w:val="20"/>
        </w:rPr>
      </w:r>
      <w:r/>
    </w:p>
    <w:p>
      <w:pPr>
        <w:pStyle w:val="1062"/>
        <w:jc w:val="center"/>
        <w:spacing w:before="156" w:after="156" w:line="560" w:lineRule="exact"/>
        <w:rPr>
          <w:rFonts w:hint="eastAsia" w:ascii="楷体" w:hAnsi="楷体" w:eastAsia="楷体" w:cs="楷体"/>
          <w:b/>
          <w:bCs/>
          <w:sz w:val="32"/>
          <w:szCs w:val="32"/>
        </w:rPr>
      </w:pPr>
      <w:r/>
      <w:bookmarkStart w:id="127" w:name="_Toc7963"/>
      <w:r/>
      <w:bookmarkStart w:id="128" w:name="_Toc25276"/>
      <w:r/>
      <w:bookmarkStart w:id="129" w:name="_Toc152042580"/>
      <w:r/>
      <w:bookmarkStart w:id="130" w:name="_Toc152045791"/>
      <w:r/>
      <w:bookmarkStart w:id="131" w:name="_Toc144974860"/>
      <w:r>
        <w:rPr>
          <w:rFonts w:hint="eastAsia" w:ascii="楷体" w:hAnsi="楷体" w:eastAsia="楷体" w:cs="楷体"/>
          <w:b/>
          <w:bCs/>
          <w:sz w:val="32"/>
          <w:szCs w:val="32"/>
        </w:rPr>
        <w:t xml:space="preserve">二、法定代表人身份证明</w:t>
      </w:r>
      <w:bookmarkEnd w:id="127"/>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投标供应商名称：</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t xml:space="preserve"> 年</w:t>
      </w:r>
      <w:r>
        <w:rPr>
          <w:rFonts w:hint="eastAsia" w:ascii="仿宋" w:hAnsi="仿宋" w:eastAsia="仿宋" w:cs="仿宋"/>
          <w:sz w:val="24"/>
          <w:u w:val="single"/>
        </w:rPr>
        <w:t xml:space="preserve">       </w:t>
      </w:r>
      <w:r>
        <w:rPr>
          <w:rFonts w:hint="eastAsia" w:ascii="仿宋" w:hAnsi="仿宋" w:eastAsia="仿宋" w:cs="仿宋"/>
          <w:sz w:val="24"/>
        </w:rPr>
        <w:t xml:space="preserve"> 月</w:t>
      </w:r>
      <w:r>
        <w:rPr>
          <w:rFonts w:hint="eastAsia" w:ascii="仿宋" w:hAnsi="仿宋" w:eastAsia="仿宋" w:cs="仿宋"/>
          <w:sz w:val="24"/>
          <w:u w:val="single"/>
        </w:rPr>
        <w:t xml:space="preserve">       </w:t>
      </w:r>
      <w:r>
        <w:rPr>
          <w:rFonts w:hint="eastAsia" w:ascii="仿宋" w:hAnsi="仿宋" w:eastAsia="仿宋" w:cs="仿宋"/>
          <w:sz w:val="24"/>
        </w:rPr>
        <w:t xml:space="preserve"> 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年龄：</w:t>
      </w:r>
      <w:r>
        <w:rPr>
          <w:rFonts w:hint="eastAsia" w:ascii="仿宋" w:hAnsi="仿宋" w:eastAsia="仿宋" w:cs="仿宋"/>
          <w:sz w:val="24"/>
          <w:u w:val="single"/>
        </w:rPr>
        <w:t xml:space="preserve">      </w:t>
      </w:r>
      <w:r>
        <w:rPr>
          <w:rFonts w:hint="eastAsia" w:ascii="仿宋" w:hAnsi="仿宋" w:eastAsia="仿宋" w:cs="仿宋"/>
          <w:sz w:val="24"/>
        </w:rPr>
        <w:t xml:space="preserve">  职务：</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特此证明。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（加盖CA电子公章）</w:t>
      </w: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jc w:val="center"/>
        <w:spacing w:line="480" w:lineRule="exact"/>
        <w:rPr>
          <w:rFonts w:ascii="仿宋" w:hAnsi="仿宋" w:eastAsia="仿宋" w:cs="仿宋"/>
          <w:sz w:val="24"/>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hint="eastAsia" w:ascii="楷体" w:hAnsi="楷体" w:eastAsia="楷体" w:cs="楷体"/>
          <w:b/>
          <w:bCs/>
          <w:sz w:val="32"/>
          <w:szCs w:val="32"/>
        </w:rPr>
      </w:pPr>
      <w:r/>
      <w:bookmarkStart w:id="132" w:name="_Toc152042581"/>
      <w:r/>
      <w:bookmarkStart w:id="133" w:name="_Toc29418"/>
      <w:r/>
      <w:bookmarkStart w:id="134" w:name="_Toc144974861"/>
      <w:r/>
      <w:bookmarkStart w:id="135" w:name="_Toc152045792"/>
      <w:r/>
      <w:bookmarkStart w:id="136" w:name="_Toc29363"/>
      <w:r>
        <w:rPr>
          <w:rFonts w:hint="eastAsia" w:ascii="楷体" w:hAnsi="楷体" w:eastAsia="楷体" w:cs="楷体"/>
          <w:b/>
          <w:bCs/>
          <w:sz w:val="32"/>
          <w:szCs w:val="32"/>
        </w:rPr>
        <w:t xml:space="preserve">三、授权委托书</w:t>
      </w:r>
      <w:bookmarkEnd w:id="132"/>
      <w:r/>
      <w:bookmarkEnd w:id="133"/>
      <w:r/>
      <w:bookmarkEnd w:id="134"/>
      <w:r/>
      <w:bookmarkEnd w:id="135"/>
      <w:r/>
      <w:bookmarkEnd w:id="136"/>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本人</w:t>
      </w:r>
      <w:r>
        <w:rPr>
          <w:rFonts w:hint="eastAsia" w:ascii="仿宋" w:hAnsi="仿宋" w:eastAsia="仿宋" w:cs="仿宋"/>
          <w:sz w:val="24"/>
          <w:u w:val="single"/>
        </w:rPr>
        <w:t xml:space="preserve">    </w:t>
      </w:r>
      <w:r>
        <w:rPr>
          <w:rFonts w:hint="eastAsia" w:ascii="仿宋" w:hAnsi="仿宋" w:eastAsia="仿宋" w:cs="仿宋"/>
          <w:sz w:val="24"/>
        </w:rPr>
        <w:t xml:space="preserve">（姓名）系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（投标供应商名称）的法定代表人，现委托</w:t>
      </w:r>
      <w:r>
        <w:rPr>
          <w:rFonts w:hint="eastAsia" w:ascii="仿宋" w:hAnsi="仿宋" w:eastAsia="仿宋" w:cs="仿宋"/>
          <w:sz w:val="24"/>
          <w:u w:val="single"/>
        </w:rPr>
        <w:t xml:space="preserve">    </w:t>
      </w:r>
      <w:r>
        <w:rPr>
          <w:rFonts w:hint="eastAsia" w:ascii="仿宋" w:hAnsi="仿宋" w:eastAsia="仿宋" w:cs="仿宋"/>
          <w:sz w:val="24"/>
        </w:rPr>
        <w:t xml:space="preserve">（姓名）为我方代理人。代理人根据授权，以我方名义签署、澄清、说明、补正、递交、撤回、修改</w:t>
      </w:r>
      <w:r>
        <w:rPr>
          <w:rFonts w:hint="eastAsia" w:ascii="仿宋" w:hAnsi="仿宋" w:eastAsia="仿宋" w:cs="仿宋"/>
          <w:sz w:val="24"/>
          <w:u w:val="single"/>
        </w:rPr>
        <w:t xml:space="preserve">项目名称：     、项目编号：     </w:t>
      </w:r>
      <w:r>
        <w:rPr>
          <w:rFonts w:hint="eastAsia" w:ascii="仿宋" w:hAnsi="仿宋" w:eastAsia="仿宋" w:cs="仿宋"/>
          <w:sz w:val="24"/>
        </w:rPr>
        <w:t xml:space="preserve">投标文件、签订合同和处理有关事宜，其法律后果由我方承担。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委托期限：</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代理人无转委托权。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附：</w:t>
      </w:r>
      <w:r>
        <w:rPr>
          <w:rFonts w:ascii="仿宋" w:hAnsi="仿宋" w:eastAsia="仿宋" w:cs="仿宋"/>
          <w:sz w:val="24"/>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3069590</wp:posOffset>
                </wp:positionH>
                <wp:positionV relativeFrom="paragraph">
                  <wp:posOffset>69850</wp:posOffset>
                </wp:positionV>
                <wp:extent cx="2131695" cy="117538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131695" cy="117538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241.7pt;mso-position-horizontal:absolute;mso-position-vertical-relative:text;margin-top:5.5pt;mso-position-vertical:absolute;width:167.8pt;height:92.5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335915</wp:posOffset>
                </wp:positionH>
                <wp:positionV relativeFrom="paragraph">
                  <wp:posOffset>83820</wp:posOffset>
                </wp:positionV>
                <wp:extent cx="2044700" cy="114681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044700" cy="1146810"/>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6.4pt;mso-position-horizontal:absolute;mso-position-vertical-relative:text;margin-top:6.6pt;mso-position-vertical:absolute;width:161.0pt;height:90.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3065780</wp:posOffset>
                </wp:positionH>
                <wp:positionV relativeFrom="paragraph">
                  <wp:posOffset>27305</wp:posOffset>
                </wp:positionV>
                <wp:extent cx="2129790" cy="11855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129790" cy="118554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241.4pt;mso-position-horizontal:absolute;mso-position-vertical-relative:text;margin-top:2.1pt;mso-position-vertical:absolute;width:167.7pt;height:93.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32385</wp:posOffset>
                </wp:positionV>
                <wp:extent cx="2054860" cy="118427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054860" cy="118427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8" o:spid="_x0000_s8" o:spt="202" type="#_x0000_t202" style="position:absolute;z-index:251658242;o:allowoverlap:true;o:allowincell:true;mso-position-horizontal-relative:text;margin-left:26.6pt;mso-position-horizontal:absolute;mso-position-vertical-relative:text;margin-top:2.5pt;mso-position-vertical:absolute;width:161.8pt;height:93.2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80" w:lineRule="exact"/>
        <w:rPr>
          <w:rFonts w:hint="eastAsia" w:ascii="仿宋" w:hAnsi="仿宋" w:eastAsia="仿宋" w:cs="仿宋"/>
          <w:sz w:val="24"/>
        </w:rPr>
      </w:pPr>
      <w:r>
        <w:rPr>
          <w:rFonts w:hint="eastAsia" w:ascii="仿宋" w:hAnsi="仿宋" w:eastAsia="仿宋" w:cs="仿宋"/>
          <w:sz w:val="24"/>
        </w:rPr>
      </w:r>
      <w:r/>
    </w:p>
    <w:p>
      <w:pPr>
        <w:pStyle w:val="1019"/>
        <w:spacing w:line="480" w:lineRule="exact"/>
        <w:rPr>
          <w:rFonts w:hint="eastAsia" w:ascii="仿宋" w:hAnsi="仿宋" w:eastAsia="仿宋" w:cs="仿宋"/>
          <w:sz w:val="24"/>
        </w:rPr>
      </w:pPr>
      <w:r>
        <w:rPr>
          <w:rFonts w:hint="eastAsia"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eastAsia="zh-CN"/>
        </w:rPr>
        <w:t xml:space="preserve">加盖CA电子公章</w:t>
      </w:r>
      <w:r>
        <w:rPr>
          <w:rFonts w:hint="eastAsia" w:ascii="仿宋" w:hAnsi="仿宋" w:eastAsia="仿宋" w:cs="仿宋"/>
          <w:sz w:val="24"/>
        </w:rPr>
        <w:t xml:space="preserve">）</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firstLine="2640"/>
        <w:jc w:val="right"/>
        <w:spacing w:line="480" w:lineRule="exact"/>
        <w:rPr>
          <w:rFonts w:ascii="仿宋" w:hAnsi="仿宋" w:eastAsia="仿宋" w:cs="仿宋"/>
          <w:sz w:val="24"/>
        </w:rPr>
        <w:sectPr>
          <w:footnotePr/>
          <w:endnotePr/>
          <w:type w:val="nextPage"/>
          <w:pgSz w:w="11906" w:h="16838" w:orient="portrait"/>
          <w:pgMar w:top="1134" w:right="1701" w:bottom="1417" w:left="1701" w:header="851" w:footer="992" w:gutter="0"/>
          <w:pgNumType w:start="1"/>
          <w:cols w:num="1" w:sep="0" w:space="1701" w:equalWidth="1"/>
          <w:docGrid w:linePitch="360"/>
        </w:sect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62"/>
        <w:numPr>
          <w:ilvl w:val="0"/>
          <w:numId w:val="1"/>
        </w:numPr>
        <w:jc w:val="center"/>
        <w:spacing w:before="156" w:after="156" w:line="560" w:lineRule="exact"/>
        <w:rPr>
          <w:rFonts w:hint="eastAsia" w:ascii="楷体" w:hAnsi="楷体" w:eastAsia="楷体" w:cs="楷体"/>
          <w:b/>
          <w:bCs/>
          <w:sz w:val="32"/>
          <w:szCs w:val="32"/>
          <w:lang w:val="en-US" w:eastAsia="zh-CN"/>
        </w:rPr>
      </w:pPr>
      <w:r/>
      <w:bookmarkStart w:id="137" w:name="_Toc20361"/>
      <w:r>
        <w:rPr>
          <w:rFonts w:hint="eastAsia" w:ascii="楷体" w:hAnsi="楷体" w:eastAsia="楷体" w:cs="楷体"/>
          <w:b/>
          <w:bCs/>
          <w:sz w:val="32"/>
          <w:szCs w:val="32"/>
          <w:lang w:val="en-US" w:eastAsia="zh-CN"/>
        </w:rPr>
        <w:t xml:space="preserve">商务条款偏离表</w:t>
      </w:r>
      <w:bookmarkEnd w:id="137"/>
      <w:r>
        <w:rPr>
          <w:rFonts w:hint="eastAsia" w:ascii="楷体" w:hAnsi="楷体" w:eastAsia="楷体" w:cs="楷体"/>
          <w:b/>
          <w:bCs/>
          <w:sz w:val="32"/>
          <w:szCs w:val="32"/>
          <w:lang w:val="en-US" w:eastAsia="zh-CN"/>
        </w:rPr>
      </w:r>
      <w:r/>
    </w:p>
    <w:p>
      <w:pPr>
        <w:pStyle w:val="1019"/>
        <w:rPr>
          <w:sz w:val="24"/>
          <w:szCs w:val="24"/>
          <w:lang w:val="en-US" w:eastAsia="zh-CN"/>
        </w:rPr>
      </w:pPr>
      <w:r>
        <w:rPr>
          <w:sz w:val="24"/>
          <w:szCs w:val="24"/>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2112"/>
        <w:gridCol w:w="1500"/>
        <w:gridCol w:w="2073"/>
        <w:gridCol w:w="737"/>
      </w:tblGrid>
      <w:tr>
        <w:trPr>
          <w:trHeight w:val="643"/>
        </w:trPr>
        <w:tc>
          <w:tcPr>
            <w:tcW w:w="80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招标文件条目号</w:t>
            </w:r>
            <w:r>
              <w:rPr>
                <w:rFonts w:hint="eastAsia" w:ascii="仿宋" w:hAnsi="仿宋" w:eastAsia="仿宋" w:cs="仿宋"/>
                <w:b/>
                <w:bCs/>
                <w:sz w:val="24"/>
              </w:rPr>
            </w:r>
            <w:r/>
          </w:p>
        </w:tc>
        <w:tc>
          <w:tcPr>
            <w:tcW w:w="2112"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招标文件的商务条款</w:t>
            </w:r>
            <w:r>
              <w:rPr>
                <w:rFonts w:hint="eastAsia" w:ascii="仿宋" w:hAnsi="仿宋" w:eastAsia="仿宋" w:cs="仿宋"/>
                <w:b/>
                <w:bCs/>
                <w:sz w:val="24"/>
              </w:rPr>
            </w:r>
            <w:r/>
          </w:p>
        </w:tc>
        <w:tc>
          <w:tcPr>
            <w:tcW w:w="1500"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投标文件响应</w:t>
            </w:r>
            <w:r>
              <w:rPr>
                <w:rFonts w:hint="eastAsia" w:ascii="仿宋" w:hAnsi="仿宋" w:eastAsia="仿宋" w:cs="仿宋"/>
                <w:b/>
                <w:bCs/>
                <w:sz w:val="24"/>
              </w:rPr>
            </w:r>
            <w:r/>
          </w:p>
        </w:tc>
        <w:tc>
          <w:tcPr>
            <w:tcW w:w="207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供应商的承诺或说明</w:t>
            </w:r>
            <w:r>
              <w:rPr>
                <w:rFonts w:hint="eastAsia" w:ascii="仿宋" w:hAnsi="仿宋" w:eastAsia="仿宋" w:cs="仿宋"/>
                <w:b/>
                <w:bCs/>
                <w:sz w:val="24"/>
              </w:rPr>
            </w:r>
            <w:r/>
          </w:p>
        </w:tc>
        <w:tc>
          <w:tcPr>
            <w:tcW w:w="73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备注</w:t>
            </w:r>
            <w:r>
              <w:rPr>
                <w:rFonts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注：1.投标供应商必须仔细阅读本招标文件“第四章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的商务要</w:t>
      </w:r>
      <w:r>
        <w:rPr>
          <w:rFonts w:hint="eastAsia" w:ascii="仿宋" w:hAnsi="仿宋" w:eastAsia="仿宋" w:cs="仿宋"/>
          <w:sz w:val="24"/>
        </w:rPr>
        <w:t xml:space="preserve">求，</w:t>
      </w:r>
      <w:r>
        <w:rPr>
          <w:rFonts w:hint="eastAsia" w:ascii="仿宋" w:hAnsi="仿宋" w:eastAsia="仿宋" w:cs="仿宋"/>
          <w:b/>
          <w:bCs/>
          <w:sz w:val="24"/>
        </w:rPr>
        <w:t xml:space="preserve">并对所有</w:t>
      </w:r>
      <w:r>
        <w:rPr>
          <w:rFonts w:hint="eastAsia" w:ascii="仿宋" w:hAnsi="仿宋" w:eastAsia="仿宋" w:cs="仿宋"/>
          <w:b/>
          <w:bCs/>
          <w:sz w:val="24"/>
          <w:lang w:val="en-US" w:eastAsia="zh-CN"/>
        </w:rPr>
        <w:t xml:space="preserve">商务</w:t>
      </w:r>
      <w:r>
        <w:rPr>
          <w:rFonts w:hint="eastAsia" w:ascii="仿宋" w:hAnsi="仿宋" w:eastAsia="仿宋" w:cs="仿宋"/>
          <w:b/>
          <w:bCs/>
          <w:sz w:val="24"/>
        </w:rPr>
        <w:t xml:space="preserve">要求的条目列入上表，未列入上表中的内容视为完全响应</w:t>
      </w:r>
      <w:r>
        <w:rPr>
          <w:rFonts w:hint="eastAsia" w:ascii="仿宋" w:hAnsi="仿宋" w:eastAsia="仿宋" w:cs="仿宋"/>
          <w:sz w:val="24"/>
        </w:rPr>
        <w:t xml:space="preserve">。投标供应商必须根据所将提供服务的实际情况如实填写，评委会如发现有虚假描述的，该投标文件视为无效。</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2.“供应商的承诺或说明”栏请注明“响应/正偏离/负偏离”，正偏离指供应商的响应高于招标文件要求，负偏离指供应商的响应低于招标文件要求。</w:t>
      </w:r>
      <w:r>
        <w:rPr>
          <w:rFonts w:hint="eastAsia" w:ascii="仿宋" w:hAnsi="仿宋" w:eastAsia="仿宋" w:cs="仿宋"/>
          <w:sz w:val="24"/>
        </w:rPr>
      </w:r>
      <w:r/>
    </w:p>
    <w:p>
      <w:pPr>
        <w:pStyle w:val="1019"/>
        <w:ind w:firstLine="480"/>
        <w:spacing w:line="400" w:lineRule="exact"/>
        <w:rPr>
          <w:rFonts w:ascii="仿宋" w:hAnsi="仿宋" w:eastAsia="仿宋" w:cs="仿宋"/>
          <w:sz w:val="24"/>
        </w:rPr>
      </w:pPr>
      <w:r>
        <w:rPr>
          <w:rFonts w:hint="eastAsia" w:ascii="仿宋" w:hAnsi="仿宋" w:eastAsia="仿宋" w:cs="仿宋"/>
          <w:sz w:val="24"/>
        </w:rPr>
        <w:t xml:space="preserve">3.此表为表样，行数可自行添加，但表式不变。</w:t>
      </w:r>
      <w:r>
        <w:rPr>
          <w:rFonts w:ascii="仿宋" w:hAnsi="仿宋" w:eastAsia="仿宋" w:cs="仿宋"/>
          <w:sz w:val="24"/>
        </w:rPr>
      </w:r>
      <w:r/>
    </w:p>
    <w:p>
      <w:pPr>
        <w:pStyle w:val="1019"/>
        <w:spacing w:line="400" w:lineRule="exact"/>
        <w:rPr>
          <w:rFonts w:ascii="仿宋" w:hAnsi="仿宋" w:eastAsia="仿宋" w:cs="仿宋"/>
          <w:sz w:val="24"/>
        </w:rPr>
        <w:sectPr>
          <w:headerReference w:type="default" r:id="rId10"/>
          <w:footerReference w:type="default" r:id="rId16"/>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numPr>
          <w:ilvl w:val="0"/>
          <w:numId w:val="1"/>
        </w:numPr>
        <w:ind w:left="0" w:firstLine="0"/>
        <w:jc w:val="center"/>
        <w:spacing w:before="156" w:after="156" w:line="560" w:lineRule="exact"/>
        <w:rPr>
          <w:rFonts w:hint="eastAsia" w:ascii="楷体" w:hAnsi="楷体" w:eastAsia="楷体" w:cs="楷体"/>
          <w:b/>
          <w:bCs/>
          <w:sz w:val="32"/>
          <w:szCs w:val="32"/>
          <w:lang w:val="en-US" w:eastAsia="zh-CN"/>
        </w:rPr>
      </w:pPr>
      <w:r/>
      <w:bookmarkStart w:id="138" w:name="_Toc29682"/>
      <w:r>
        <w:rPr>
          <w:rFonts w:hint="eastAsia" w:ascii="楷体" w:hAnsi="楷体" w:eastAsia="楷体" w:cs="楷体"/>
          <w:b/>
          <w:bCs/>
          <w:sz w:val="32"/>
          <w:szCs w:val="32"/>
          <w:lang w:val="en-US" w:eastAsia="zh-CN"/>
        </w:rPr>
        <w:t xml:space="preserve">技术条款偏离表</w:t>
      </w:r>
      <w:bookmarkEnd w:id="138"/>
      <w:r>
        <w:rPr>
          <w:rFonts w:hint="eastAsia" w:ascii="楷体" w:hAnsi="楷体" w:eastAsia="楷体" w:cs="楷体"/>
          <w:b/>
          <w:bCs/>
          <w:sz w:val="32"/>
          <w:szCs w:val="32"/>
          <w:lang w:val="en-US" w:eastAsia="zh-CN"/>
        </w:rPr>
      </w:r>
      <w:r/>
    </w:p>
    <w:p>
      <w:pPr>
        <w:pStyle w:val="1019"/>
        <w:rPr>
          <w:lang w:val="en-US" w:eastAsia="zh-CN"/>
        </w:rPr>
      </w:pPr>
      <w:r>
        <w:rPr>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1668"/>
        <w:gridCol w:w="1944"/>
        <w:gridCol w:w="1272"/>
        <w:gridCol w:w="1538"/>
      </w:tblGrid>
      <w:tr>
        <w:trPr>
          <w:trHeight w:val="643"/>
        </w:trPr>
        <w:tc>
          <w:tcPr>
            <w:tcW w:w="801"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gridSpan w:val="2"/>
            <w:tcW w:w="298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w:t>
            </w:r>
            <w:r>
              <w:rPr>
                <w:rFonts w:hint="eastAsia" w:ascii="仿宋" w:hAnsi="仿宋" w:eastAsia="仿宋" w:cs="仿宋"/>
                <w:b/>
                <w:bCs/>
                <w:sz w:val="24"/>
              </w:rPr>
            </w:r>
            <w:r/>
          </w:p>
        </w:tc>
        <w:tc>
          <w:tcPr>
            <w:tcW w:w="1272"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说明</w:t>
            </w:r>
            <w:r>
              <w:rPr>
                <w:rFonts w:hint="eastAsia" w:ascii="仿宋" w:hAnsi="仿宋" w:eastAsia="仿宋" w:cs="仿宋"/>
                <w:b/>
                <w:bCs/>
                <w:sz w:val="24"/>
              </w:rPr>
            </w:r>
            <w:r/>
          </w:p>
        </w:tc>
        <w:tc>
          <w:tcPr>
            <w:tcW w:w="1538"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响应的具体位置</w:t>
            </w:r>
            <w:r>
              <w:rPr>
                <w:rFonts w:hint="eastAsia" w:ascii="仿宋" w:hAnsi="仿宋" w:eastAsia="仿宋" w:cs="仿宋"/>
                <w:b/>
                <w:bCs/>
                <w:sz w:val="24"/>
              </w:rPr>
            </w:r>
            <w:r/>
          </w:p>
        </w:tc>
      </w:tr>
      <w:tr>
        <w:trPr>
          <w:trHeight w:val="643"/>
        </w:trPr>
        <w:tc>
          <w:tcPr>
            <w:tcW w:w="801"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条目号</w:t>
            </w:r>
            <w:r>
              <w:rPr>
                <w:rFonts w:hint="eastAsia" w:ascii="仿宋" w:hAnsi="仿宋" w:eastAsia="仿宋" w:cs="仿宋"/>
                <w:b/>
                <w:bCs/>
                <w:sz w:val="24"/>
              </w:rPr>
            </w:r>
            <w:r/>
          </w:p>
        </w:tc>
        <w:tc>
          <w:tcPr>
            <w:tcW w:w="1668"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采购要求规格</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响应具体情况</w:t>
            </w:r>
            <w:r>
              <w:rPr>
                <w:rFonts w:hint="eastAsia" w:ascii="仿宋" w:hAnsi="仿宋" w:eastAsia="仿宋" w:cs="仿宋"/>
                <w:b/>
                <w:bCs/>
                <w:sz w:val="24"/>
              </w:rPr>
            </w:r>
            <w:r/>
          </w:p>
        </w:tc>
        <w:tc>
          <w:tcPr>
            <w:tcW w:w="1272"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538"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注：1.供应商应对招标文件“第四章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的技术要</w:t>
      </w:r>
      <w:r>
        <w:rPr>
          <w:rFonts w:hint="eastAsia" w:ascii="仿宋" w:hAnsi="仿宋" w:eastAsia="仿宋" w:cs="仿宋"/>
          <w:sz w:val="24"/>
        </w:rPr>
        <w:t xml:space="preserve">求的内容给予</w:t>
      </w:r>
      <w:r>
        <w:rPr>
          <w:rFonts w:hint="eastAsia" w:ascii="仿宋" w:hAnsi="仿宋" w:eastAsia="仿宋" w:cs="仿宋"/>
          <w:b/>
          <w:bCs/>
          <w:sz w:val="24"/>
        </w:rPr>
        <w:t xml:space="preserve">逐条响应</w:t>
      </w:r>
      <w:r>
        <w:rPr>
          <w:rFonts w:hint="eastAsia" w:ascii="仿宋" w:hAnsi="仿宋" w:eastAsia="仿宋" w:cs="仿宋"/>
          <w:sz w:val="24"/>
        </w:rPr>
        <w:t xml:space="preserve">，以投标服务所能达到的内容予以填写，</w:t>
      </w:r>
      <w:r>
        <w:rPr>
          <w:rFonts w:hint="eastAsia" w:ascii="仿宋" w:hAnsi="仿宋" w:eastAsia="仿宋" w:cs="仿宋"/>
          <w:b/>
          <w:bCs/>
          <w:sz w:val="24"/>
        </w:rPr>
        <w:t xml:space="preserve">而不应通过简单拷贝招标文件技术要求作为响应内容</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2.投标文件“响应具体情况”，指所提供服务的应答情况。“说明”栏请注明“响应/正偏离/负偏离”，并且标注响应的证明文件在投标文件中的页码及具体位置。</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3.“响应的具体位置”应标注具体证明材料所在页面，证明材料的要求见“第三章 </w:t>
      </w:r>
      <w:r>
        <w:rPr>
          <w:rFonts w:hint="eastAsia" w:ascii="仿宋" w:hAnsi="仿宋" w:eastAsia="仿宋" w:cs="仿宋"/>
          <w:sz w:val="24"/>
          <w:lang w:val="en-US" w:eastAsia="zh-CN"/>
        </w:rPr>
        <w:t xml:space="preserve">招标书</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.此表为表样，行数可自行添加，但表式不变</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19"/>
        <w:spacing w:line="400" w:lineRule="exact"/>
        <w:rPr>
          <w:rFonts w:ascii="仿宋" w:hAnsi="仿宋" w:eastAsia="仿宋" w:cs="仿宋"/>
          <w:sz w:val="24"/>
        </w:rPr>
        <w:sectPr>
          <w:headerReference w:type="default" r:id="rId11"/>
          <w:footerReference w:type="default" r:id="rId17"/>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ascii="楷体" w:hAnsi="楷体" w:eastAsia="楷体" w:cs="楷体"/>
          <w:b/>
          <w:bCs/>
          <w:sz w:val="32"/>
          <w:szCs w:val="32"/>
        </w:rPr>
      </w:pPr>
      <w:r/>
      <w:bookmarkStart w:id="139" w:name="_Toc20628"/>
      <w:r>
        <w:rPr>
          <w:rFonts w:hint="eastAsia" w:ascii="楷体" w:hAnsi="楷体" w:eastAsia="楷体" w:cs="楷体"/>
          <w:b/>
          <w:bCs/>
          <w:sz w:val="32"/>
          <w:szCs w:val="32"/>
          <w:lang w:val="en-US" w:eastAsia="zh-CN"/>
        </w:rPr>
        <w:t xml:space="preserve">六</w:t>
      </w:r>
      <w:r>
        <w:rPr>
          <w:rFonts w:hint="eastAsia" w:ascii="楷体" w:hAnsi="楷体" w:eastAsia="楷体" w:cs="楷体"/>
          <w:b/>
          <w:bCs/>
          <w:sz w:val="32"/>
          <w:szCs w:val="32"/>
        </w:rPr>
        <w:t xml:space="preserve">、资格证明文件</w:t>
      </w:r>
      <w:bookmarkEnd w:id="139"/>
      <w:r>
        <w:rPr>
          <w:rFonts w:ascii="楷体" w:hAnsi="楷体" w:eastAsia="楷体" w:cs="楷体"/>
          <w:b/>
          <w:bCs/>
          <w:sz w:val="32"/>
          <w:szCs w:val="32"/>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outlineLvl w:val="9"/>
      </w:pPr>
      <w:r/>
      <w:r/>
    </w:p>
    <w:p>
      <w:pPr>
        <w:pStyle w:val="1062"/>
        <w:jc w:val="center"/>
        <w:sectPr>
          <w:footnotePr/>
          <w:endnotePr/>
          <w:type w:val="nextPage"/>
          <w:pgSz w:w="11906" w:h="16838" w:orient="portrait"/>
          <w:pgMar w:top="1417" w:right="1134" w:bottom="1417" w:left="1417" w:header="851" w:footer="992" w:gutter="0"/>
          <w:pgNumType w:start="1"/>
          <w:cols w:num="1" w:sep="0" w:space="1701" w:equalWidth="1"/>
          <w:docGrid w:linePitch="360"/>
        </w:sectPr>
        <w:outlineLvl w:val="9"/>
      </w:pPr>
      <w:r/>
      <w:r/>
    </w:p>
    <w:p>
      <w:pPr>
        <w:pStyle w:val="1062"/>
        <w:jc w:val="center"/>
        <w:spacing w:before="156" w:after="156" w:line="560" w:lineRule="exact"/>
        <w:rPr>
          <w:rFonts w:ascii="楷体" w:hAnsi="楷体" w:eastAsia="楷体" w:cs="楷体"/>
          <w:b/>
          <w:bCs/>
          <w:sz w:val="32"/>
          <w:szCs w:val="32"/>
        </w:rPr>
      </w:pPr>
      <w:r/>
      <w:bookmarkStart w:id="140" w:name="_Toc13065"/>
      <w:r>
        <w:rPr>
          <w:rFonts w:hint="eastAsia" w:ascii="楷体" w:hAnsi="楷体" w:eastAsia="楷体" w:cs="楷体"/>
          <w:b/>
          <w:bCs/>
          <w:sz w:val="32"/>
          <w:szCs w:val="32"/>
          <w:lang w:val="en-US" w:eastAsia="zh-CN"/>
        </w:rPr>
        <w:t xml:space="preserve">七</w:t>
      </w:r>
      <w:r>
        <w:rPr>
          <w:rFonts w:hint="eastAsia" w:ascii="楷体" w:hAnsi="楷体" w:eastAsia="楷体" w:cs="楷体"/>
          <w:b/>
          <w:bCs/>
          <w:sz w:val="32"/>
          <w:szCs w:val="32"/>
        </w:rPr>
        <w:t xml:space="preserve">、技术性能</w:t>
      </w:r>
      <w:bookmarkEnd w:id="140"/>
      <w:r>
        <w:rPr>
          <w:rFonts w:ascii="楷体" w:hAnsi="楷体" w:eastAsia="楷体" w:cs="楷体"/>
          <w:b/>
          <w:bCs/>
          <w:sz w:val="32"/>
          <w:szCs w:val="32"/>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bookmarkStart w:id="141" w:name="_Toc24207"/>
      <w:r/>
      <w:bookmarkStart w:id="142" w:name="_Toc441152192"/>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19"/>
        <w:rPr>
          <w:szCs w:val="28"/>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szCs w:val="28"/>
        </w:rPr>
      </w:r>
      <w:r/>
    </w:p>
    <w:p>
      <w:pPr>
        <w:pStyle w:val="1062"/>
        <w:jc w:val="center"/>
        <w:spacing w:before="156" w:after="156" w:line="560" w:lineRule="exact"/>
        <w:rPr>
          <w:rFonts w:ascii="楷体" w:hAnsi="楷体" w:eastAsia="楷体" w:cs="楷体"/>
          <w:b/>
          <w:bCs/>
          <w:sz w:val="32"/>
          <w:szCs w:val="32"/>
        </w:rPr>
      </w:pPr>
      <w:r/>
      <w:bookmarkEnd w:id="141"/>
      <w:r/>
      <w:bookmarkEnd w:id="142"/>
      <w:r/>
      <w:bookmarkStart w:id="143" w:name="_Toc24782"/>
      <w:r/>
      <w:bookmarkStart w:id="144" w:name="_Toc4645"/>
      <w:r>
        <w:rPr>
          <w:rFonts w:hint="eastAsia" w:ascii="楷体" w:hAnsi="楷体" w:eastAsia="楷体" w:cs="楷体"/>
          <w:b/>
          <w:bCs/>
          <w:sz w:val="32"/>
          <w:szCs w:val="32"/>
          <w:lang w:val="en-US" w:eastAsia="zh-CN"/>
        </w:rPr>
        <w:t xml:space="preserve">八</w:t>
      </w:r>
      <w:r>
        <w:rPr>
          <w:rFonts w:hint="eastAsia" w:ascii="楷体" w:hAnsi="楷体" w:eastAsia="楷体" w:cs="楷体"/>
          <w:b/>
          <w:bCs/>
          <w:sz w:val="32"/>
          <w:szCs w:val="32"/>
        </w:rPr>
        <w:t xml:space="preserve">、项目实施方案</w:t>
      </w:r>
      <w:bookmarkEnd w:id="143"/>
      <w:r>
        <w:rPr>
          <w:rFonts w:ascii="楷体" w:hAnsi="楷体" w:eastAsia="楷体" w:cs="楷体"/>
          <w:b/>
          <w:bCs/>
          <w:sz w:val="32"/>
          <w:szCs w:val="32"/>
        </w:rPr>
      </w:r>
      <w:r/>
    </w:p>
    <w:p>
      <w:pPr>
        <w:pStyle w:val="1019"/>
        <w:spacing w:line="420" w:lineRule="exact"/>
        <w:rPr>
          <w:rFonts w:ascii="微软雅黑" w:hAnsi="微软雅黑" w:cs="微软雅黑"/>
          <w:sz w:val="24"/>
        </w:rPr>
      </w:pPr>
      <w:r/>
      <w:bookmarkEnd w:id="144"/>
      <w:r>
        <w:rPr>
          <w:rFonts w:ascii="微软雅黑" w:hAnsi="微软雅黑" w:cs="微软雅黑"/>
          <w:sz w:val="24"/>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rPr>
          <w:rStyle w:val="1075"/>
          <w:rFonts w:ascii="宋体" w:hAnsi="宋体"/>
          <w:b/>
        </w:rPr>
      </w:pPr>
      <w:r>
        <w:rPr>
          <w:rStyle w:val="1075"/>
          <w:rFonts w:hint="eastAsia" w:ascii="宋体" w:hAnsi="宋体"/>
          <w:b/>
        </w:rPr>
        <w:br w:type="page" w:clear="all"/>
      </w:r>
      <w:r>
        <w:rPr>
          <w:rStyle w:val="1075"/>
          <w:rFonts w:ascii="宋体" w:hAnsi="宋体"/>
          <w:b/>
        </w:rPr>
      </w:r>
      <w:r/>
    </w:p>
    <w:p>
      <w:pPr>
        <w:pStyle w:val="1062"/>
        <w:numPr>
          <w:ilvl w:val="0"/>
          <w:numId w:val="2"/>
        </w:numPr>
        <w:jc w:val="center"/>
        <w:spacing w:before="156" w:after="156" w:line="560" w:lineRule="exact"/>
        <w:rPr>
          <w:rFonts w:hint="eastAsia" w:ascii="楷体" w:hAnsi="楷体" w:eastAsia="楷体" w:cs="楷体"/>
          <w:b/>
          <w:bCs/>
          <w:sz w:val="32"/>
          <w:szCs w:val="32"/>
        </w:rPr>
      </w:pPr>
      <w:r/>
      <w:bookmarkStart w:id="145" w:name="_Toc23941"/>
      <w:r>
        <w:rPr>
          <w:rFonts w:hint="eastAsia" w:ascii="楷体" w:hAnsi="楷体" w:eastAsia="楷体" w:cs="楷体"/>
          <w:b/>
          <w:bCs/>
          <w:sz w:val="32"/>
          <w:szCs w:val="32"/>
        </w:rPr>
        <w:t xml:space="preserve">业绩</w:t>
      </w:r>
      <w:bookmarkEnd w:id="145"/>
      <w:r>
        <w:rPr>
          <w:rFonts w:hint="eastAsia" w:ascii="楷体" w:hAnsi="楷体" w:eastAsia="楷体" w:cs="楷体"/>
          <w:b/>
          <w:bCs/>
          <w:sz w:val="32"/>
          <w:szCs w:val="32"/>
        </w:rPr>
      </w:r>
      <w:r/>
    </w:p>
    <w:p>
      <w:pPr>
        <w:pStyle w:val="1019"/>
        <w:rPr>
          <w:rFonts w:hint="eastAsia" w:ascii="仿宋" w:hAnsi="仿宋" w:eastAsia="仿宋" w:cs="仿宋"/>
          <w:sz w:val="24"/>
          <w:szCs w:val="24"/>
        </w:rPr>
      </w:pPr>
      <w:r>
        <w:rPr>
          <w:rFonts w:hint="eastAsia" w:ascii="仿宋" w:hAnsi="仿宋" w:eastAsia="仿宋" w:cs="仿宋"/>
          <w:sz w:val="24"/>
          <w:szCs w:val="24"/>
        </w:rPr>
      </w:r>
      <w:r/>
    </w:p>
    <w:p>
      <w:pPr>
        <w:pStyle w:val="1019"/>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提供中标通知书（或成交通知书）、合同复印件加盖供应商公章，二者缺一不可，未提供或虽提供但资料不完整、无法辨识的不得分；合同如反映不出相关内容，须另外提供有效证明材料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19"/>
        <w:rPr>
          <w:rFonts w:hint="eastAsia"/>
        </w:rPr>
      </w:pPr>
      <w:r>
        <w:rPr>
          <w:rFonts w:hint="eastAsia"/>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665"/>
        <w:gridCol w:w="2551"/>
        <w:gridCol w:w="1247"/>
        <w:gridCol w:w="2317"/>
      </w:tblGrid>
      <w:tr>
        <w:trPr>
          <w:trHeight w:val="421"/>
        </w:trPr>
        <w:tc>
          <w:tcPr>
            <w:tcW w:w="73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665"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业绩名称</w:t>
            </w:r>
            <w:r>
              <w:rPr>
                <w:rFonts w:ascii="仿宋" w:hAnsi="仿宋" w:eastAsia="仿宋" w:cs="仿宋"/>
                <w:b/>
                <w:bCs/>
                <w:sz w:val="24"/>
              </w:rPr>
            </w:r>
            <w:r/>
          </w:p>
        </w:tc>
        <w:tc>
          <w:tcPr>
            <w:tcW w:w="2551"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委托单位及联系人、联系方式</w:t>
            </w:r>
            <w:r>
              <w:rPr>
                <w:rFonts w:ascii="仿宋" w:hAnsi="仿宋" w:eastAsia="仿宋" w:cs="仿宋"/>
                <w:b/>
                <w:bCs/>
                <w:sz w:val="24"/>
              </w:rPr>
            </w:r>
            <w:r/>
          </w:p>
        </w:tc>
        <w:tc>
          <w:tcPr>
            <w:tcW w:w="124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签订时间</w:t>
            </w:r>
            <w:r>
              <w:rPr>
                <w:rFonts w:ascii="仿宋" w:hAnsi="仿宋" w:eastAsia="仿宋" w:cs="仿宋"/>
                <w:b/>
                <w:bCs/>
                <w:sz w:val="24"/>
              </w:rPr>
            </w:r>
            <w:r/>
          </w:p>
        </w:tc>
        <w:tc>
          <w:tcPr>
            <w:tcW w:w="231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证明材料</w:t>
            </w:r>
            <w:r>
              <w:rPr>
                <w:rFonts w:ascii="仿宋" w:hAnsi="仿宋" w:eastAsia="仿宋" w:cs="仿宋"/>
                <w:b/>
                <w:bCs/>
                <w:sz w:val="24"/>
              </w:rPr>
            </w:r>
            <w:r/>
          </w:p>
          <w:p>
            <w:pPr>
              <w:pStyle w:val="1019"/>
              <w:jc w:val="center"/>
              <w:rPr>
                <w:rFonts w:ascii="仿宋" w:hAnsi="仿宋" w:eastAsia="仿宋" w:cs="仿宋"/>
                <w:b/>
                <w:bCs/>
                <w:sz w:val="24"/>
              </w:rPr>
            </w:pPr>
            <w:r>
              <w:rPr>
                <w:rFonts w:hint="eastAsia" w:ascii="仿宋" w:hAnsi="仿宋" w:eastAsia="仿宋" w:cs="仿宋"/>
                <w:b/>
                <w:bCs/>
                <w:sz w:val="24"/>
              </w:rPr>
              <w:t xml:space="preserve">（第几页—第几页）</w:t>
            </w:r>
            <w:r>
              <w:rPr>
                <w:rFonts w:ascii="仿宋" w:hAnsi="仿宋" w:eastAsia="仿宋" w:cs="仿宋"/>
                <w:b/>
                <w:bCs/>
                <w:sz w:val="24"/>
              </w:rPr>
            </w:r>
            <w:r/>
          </w:p>
        </w:tc>
      </w:tr>
      <w:tr>
        <w:trPr>
          <w:trHeight w:val="530"/>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48"/>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spacing w:line="420" w:lineRule="exact"/>
        <w:rPr>
          <w:rFonts w:ascii="微软雅黑" w:hAnsi="微软雅黑" w:cs="微软雅黑"/>
          <w:sz w:val="24"/>
        </w:rPr>
      </w:pPr>
      <w:r>
        <w:rPr>
          <w:rFonts w:ascii="微软雅黑" w:hAnsi="微软雅黑" w:cs="微软雅黑"/>
          <w:sz w:val="24"/>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投标供应商全称（加盖CA电子公章）：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spacing w:line="400" w:lineRule="exact"/>
        <w:rPr>
          <w:rFonts w:ascii="仿宋" w:hAnsi="仿宋" w:eastAsia="仿宋" w:cs="仿宋"/>
          <w:sz w:val="24"/>
          <w:szCs w:val="24"/>
        </w:rPr>
      </w:pPr>
      <w:r>
        <w:rPr>
          <w:rFonts w:hint="eastAsia" w:ascii="仿宋" w:hAnsi="仿宋" w:eastAsia="仿宋" w:cs="仿宋"/>
          <w:sz w:val="24"/>
          <w:szCs w:val="24"/>
        </w:rPr>
        <w:t xml:space="preserve">注：1.此表为表样，须填写完整，行数可自行添加，但表式不变。</w:t>
      </w:r>
      <w:r>
        <w:rPr>
          <w:rFonts w:ascii="仿宋" w:hAnsi="仿宋" w:eastAsia="仿宋" w:cs="仿宋"/>
          <w:sz w:val="24"/>
          <w:szCs w:val="24"/>
        </w:rPr>
      </w:r>
      <w:r/>
    </w:p>
    <w:p>
      <w:pPr>
        <w:pStyle w:val="1019"/>
        <w:jc w:val="both"/>
        <w:spacing w:line="400" w:lineRule="exact"/>
        <w:rPr>
          <w:rFonts w:hint="eastAsia" w:ascii="仿宋" w:hAnsi="仿宋" w:eastAsia="仿宋" w:cs="仿宋"/>
          <w:sz w:val="24"/>
          <w:szCs w:val="24"/>
          <w:lang w:eastAsia="zh-CN"/>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rFonts w:hint="eastAsia" w:ascii="仿宋" w:hAnsi="仿宋" w:eastAsia="仿宋" w:cs="仿宋"/>
          <w:sz w:val="24"/>
          <w:szCs w:val="24"/>
        </w:rPr>
        <w:t xml:space="preserve">2.投标供应商所提供的经营业绩必须列入上表中，未列入上表的不予计算。评委将依据每个经营业绩所附证明材料的有效性判断该业绩有效性</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62"/>
        <w:jc w:val="center"/>
        <w:spacing w:before="156" w:after="156" w:line="560" w:lineRule="exact"/>
        <w:rPr>
          <w:rFonts w:hint="eastAsia" w:ascii="楷体" w:hAnsi="楷体" w:eastAsia="楷体" w:cs="楷体"/>
          <w:b/>
          <w:bCs/>
          <w:sz w:val="32"/>
          <w:szCs w:val="32"/>
          <w:lang w:eastAsia="zh-CN"/>
        </w:rPr>
      </w:pPr>
      <w:r/>
      <w:bookmarkEnd w:id="128"/>
      <w:r/>
      <w:bookmarkEnd w:id="129"/>
      <w:r/>
      <w:bookmarkEnd w:id="130"/>
      <w:r/>
      <w:bookmarkEnd w:id="131"/>
      <w:r/>
      <w:bookmarkStart w:id="146" w:name="_Toc1271"/>
      <w:r/>
      <w:bookmarkStart w:id="147" w:name="_Toc27817"/>
      <w:r>
        <w:rPr>
          <w:rFonts w:hint="eastAsia" w:ascii="楷体" w:hAnsi="楷体" w:eastAsia="楷体" w:cs="楷体"/>
          <w:b/>
          <w:bCs/>
          <w:sz w:val="32"/>
          <w:szCs w:val="32"/>
          <w:lang w:val="en-US" w:eastAsia="zh-CN"/>
        </w:rPr>
        <w:t xml:space="preserve">十</w:t>
      </w:r>
      <w:r>
        <w:rPr>
          <w:rFonts w:hint="eastAsia" w:ascii="楷体" w:hAnsi="楷体" w:eastAsia="楷体" w:cs="楷体"/>
          <w:b/>
          <w:bCs/>
          <w:sz w:val="32"/>
          <w:szCs w:val="32"/>
        </w:rPr>
        <w:t xml:space="preserve">、附件</w:t>
      </w:r>
      <w:r>
        <w:rPr>
          <w:rFonts w:hint="eastAsia" w:ascii="楷体" w:hAnsi="楷体" w:eastAsia="楷体" w:cs="楷体"/>
          <w:b/>
          <w:bCs/>
          <w:sz w:val="32"/>
          <w:szCs w:val="32"/>
          <w:lang w:eastAsia="zh-CN"/>
        </w:rPr>
        <w:t xml:space="preserve">（</w:t>
      </w:r>
      <w:r>
        <w:rPr>
          <w:rFonts w:hint="eastAsia" w:ascii="楷体" w:hAnsi="楷体" w:eastAsia="楷体" w:cs="楷体"/>
          <w:b/>
          <w:bCs/>
          <w:sz w:val="32"/>
          <w:szCs w:val="32"/>
          <w:lang w:val="en-US" w:eastAsia="zh-CN"/>
        </w:rPr>
        <w:t xml:space="preserve">如有</w:t>
      </w:r>
      <w:r>
        <w:rPr>
          <w:rFonts w:hint="eastAsia" w:ascii="楷体" w:hAnsi="楷体" w:eastAsia="楷体" w:cs="楷体"/>
          <w:b/>
          <w:bCs/>
          <w:sz w:val="32"/>
          <w:szCs w:val="32"/>
          <w:lang w:eastAsia="zh-CN"/>
        </w:rPr>
        <w:t xml:space="preserve">）</w:t>
      </w:r>
      <w:bookmarkEnd w:id="146"/>
      <w:r>
        <w:rPr>
          <w:rFonts w:hint="eastAsia" w:ascii="楷体" w:hAnsi="楷体" w:eastAsia="楷体" w:cs="楷体"/>
          <w:b/>
          <w:bCs/>
          <w:sz w:val="32"/>
          <w:szCs w:val="32"/>
          <w:lang w:eastAsia="zh-CN"/>
        </w:rPr>
      </w:r>
      <w:r/>
    </w:p>
    <w:p>
      <w:pPr>
        <w:pStyle w:val="1019"/>
        <w:spacing w:line="480" w:lineRule="exact"/>
        <w:rPr>
          <w:rFonts w:ascii="仿宋" w:hAnsi="仿宋" w:eastAsia="仿宋" w:cs="仿宋"/>
          <w:b/>
          <w:bCs/>
          <w:sz w:val="24"/>
        </w:rPr>
        <w:outlineLvl w:val="1"/>
      </w:pPr>
      <w:r/>
      <w:bookmarkEnd w:id="147"/>
      <w:r/>
      <w:bookmarkStart w:id="148" w:name="_Toc28311"/>
      <w:r/>
      <w:bookmarkStart w:id="149" w:name="_Toc7248"/>
      <w:r/>
      <w:bookmarkStart w:id="150" w:name="_Toc26315"/>
      <w:r/>
      <w:bookmarkStart w:id="151" w:name="_Toc29714"/>
      <w:r/>
      <w:bookmarkStart w:id="152" w:name="_Toc3876"/>
      <w:r/>
      <w:bookmarkStart w:id="153" w:name="_Toc144974881"/>
      <w:r/>
      <w:bookmarkStart w:id="154" w:name="_Toc152042602"/>
      <w:r/>
      <w:bookmarkStart w:id="155" w:name="_Toc152045813"/>
      <w:r>
        <w:rPr>
          <w:rFonts w:hint="eastAsia" w:ascii="仿宋" w:hAnsi="仿宋" w:eastAsia="仿宋" w:cs="仿宋"/>
          <w:b/>
          <w:bCs/>
          <w:sz w:val="24"/>
        </w:rPr>
        <w:t xml:space="preserve">1、中小企业声明函</w:t>
      </w:r>
      <w:bookmarkEnd w:id="148"/>
      <w:r/>
      <w:bookmarkEnd w:id="149"/>
      <w:r/>
      <w:bookmarkEnd w:id="150"/>
      <w:r/>
      <w:bookmarkEnd w:id="151"/>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中小企业声明函</w:t>
      </w:r>
      <w:r>
        <w:rPr>
          <w:rFonts w:ascii="仿宋" w:hAnsi="仿宋" w:eastAsia="仿宋" w:cs="仿宋"/>
          <w:b/>
          <w:bCs/>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项目</w:t>
      </w:r>
      <w:r>
        <w:rPr>
          <w:rFonts w:hint="eastAsia" w:ascii="仿宋" w:hAnsi="仿宋" w:eastAsia="仿宋" w:cs="仿宋"/>
          <w:color w:val="000000"/>
          <w:sz w:val="24"/>
        </w:rPr>
        <w:t xml:space="preserve">（项目名称）（采购包号：</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）的采购活动，提供的货物全部由符合政策要求的中小微企业制造。相关企业（含联合体中的中小微企业、签订采购包意向协议的中小微企业）的具体情况如下：</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企业名称</w:t>
      </w:r>
      <w:r>
        <w:rPr>
          <w:rFonts w:hint="eastAsia" w:ascii="仿宋" w:hAnsi="仿宋" w:eastAsia="仿宋" w:cs="仿宋"/>
          <w:color w:val="000000"/>
          <w:sz w:val="24"/>
          <w:lang w:eastAsia="zh-CN"/>
        </w:rPr>
        <w:t xml:space="preserve">（加盖CA电子公章）</w:t>
      </w:r>
      <w:r>
        <w:rPr>
          <w:rFonts w:hint="eastAsia" w:ascii="仿宋" w:hAnsi="仿宋" w:eastAsia="仿宋" w:cs="仿宋"/>
          <w:color w:val="000000"/>
          <w:sz w:val="24"/>
        </w:rPr>
        <w:t xml:space="preserve">：</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7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备注：1.从业人员、营业收入、资产总额填报上一年度数据，无上一年度数据的新成立企业可不填报。</w:t>
      </w:r>
      <w:r>
        <w:rPr>
          <w:rFonts w:hint="eastAsia" w:ascii="仿宋" w:hAnsi="仿宋" w:eastAsia="仿宋" w:cs="仿宋"/>
          <w:color w:val="000000"/>
          <w:sz w:val="24"/>
        </w:rPr>
      </w:r>
      <w:r/>
    </w:p>
    <w:p>
      <w:pPr>
        <w:pStyle w:val="107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rPr>
      </w:r>
      <w:r/>
    </w:p>
    <w:p>
      <w:pPr>
        <w:pStyle w:val="1076"/>
        <w:ind w:firstLine="480"/>
        <w:spacing w:line="360" w:lineRule="auto"/>
        <w:rPr>
          <w:rFonts w:ascii="仿宋" w:hAnsi="仿宋" w:eastAsia="仿宋" w:cs="仿宋"/>
          <w:sz w:val="24"/>
        </w:rPr>
      </w:pPr>
      <w:r>
        <w:rPr>
          <w:rFonts w:hint="eastAsia" w:ascii="仿宋" w:hAnsi="仿宋" w:eastAsia="仿宋" w:cs="仿宋"/>
          <w:color w:val="000000"/>
          <w:sz w:val="24"/>
        </w:rPr>
        <w:t xml:space="preserve">3.供应商应对照《工业和信息化部、国家统计局、国家发展和改革委员会</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ascii="仿宋" w:hAnsi="仿宋" w:eastAsia="仿宋" w:cs="仿宋"/>
          <w:sz w:val="24"/>
        </w:rPr>
      </w:r>
      <w:r/>
    </w:p>
    <w:p>
      <w:pPr>
        <w:pStyle w:val="1019"/>
        <w:rPr>
          <w:sz w:val="28"/>
          <w:szCs w:val="28"/>
        </w:rPr>
      </w:pPr>
      <w:r>
        <w:rPr>
          <w:rFonts w:hint="eastAsia"/>
        </w:rPr>
        <w:br w:type="page" w:clear="all"/>
      </w:r>
      <w:r>
        <w:rPr>
          <w:sz w:val="28"/>
          <w:szCs w:val="28"/>
        </w:rPr>
      </w:r>
      <w:r/>
    </w:p>
    <w:p>
      <w:pPr>
        <w:pStyle w:val="1019"/>
        <w:spacing w:line="480" w:lineRule="exact"/>
        <w:rPr>
          <w:rFonts w:ascii="仿宋" w:hAnsi="仿宋" w:eastAsia="仿宋" w:cs="仿宋"/>
          <w:b/>
          <w:bCs/>
          <w:sz w:val="24"/>
        </w:rPr>
        <w:outlineLvl w:val="1"/>
      </w:pPr>
      <w:r/>
      <w:bookmarkStart w:id="156" w:name="_Toc24539"/>
      <w:r/>
      <w:bookmarkStart w:id="157" w:name="_Toc30869"/>
      <w:r/>
      <w:bookmarkStart w:id="158" w:name="_Toc28246"/>
      <w:r/>
      <w:bookmarkStart w:id="159" w:name="_Toc26116"/>
      <w:r>
        <w:rPr>
          <w:rFonts w:hint="eastAsia" w:ascii="仿宋" w:hAnsi="仿宋" w:eastAsia="仿宋" w:cs="仿宋"/>
          <w:b/>
          <w:bCs/>
          <w:sz w:val="24"/>
        </w:rPr>
        <w:t xml:space="preserve">2、残疾人福利性单位声明函</w:t>
      </w:r>
      <w:bookmarkEnd w:id="156"/>
      <w:r/>
      <w:bookmarkEnd w:id="157"/>
      <w:r/>
      <w:bookmarkEnd w:id="158"/>
      <w:r/>
      <w:bookmarkEnd w:id="159"/>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残疾人福利性单位声明函</w:t>
      </w:r>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单位的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ascii="仿宋" w:hAnsi="仿宋" w:eastAsia="仿宋" w:cs="仿宋"/>
          <w:color w:val="000000"/>
          <w:sz w:val="24"/>
        </w:rPr>
      </w:r>
      <w:r/>
    </w:p>
    <w:p>
      <w:pPr>
        <w:pStyle w:val="1019"/>
        <w:rPr>
          <w:rFonts w:ascii="仿宋" w:hAnsi="仿宋" w:eastAsia="仿宋" w:cs="仿宋"/>
        </w:rPr>
      </w:pPr>
      <w:r>
        <w:rPr>
          <w:rFonts w:ascii="仿宋" w:hAnsi="仿宋" w:eastAsia="仿宋" w:cs="仿宋"/>
        </w:rPr>
      </w:r>
      <w:r/>
    </w:p>
    <w:p>
      <w:pPr>
        <w:pStyle w:val="1019"/>
        <w:rPr>
          <w:rFonts w:ascii="仿宋" w:hAnsi="仿宋" w:eastAsia="仿宋" w:cs="仿宋"/>
        </w:rPr>
      </w:pPr>
      <w:r>
        <w:rPr>
          <w:rFonts w:ascii="仿宋" w:hAnsi="仿宋" w:eastAsia="仿宋" w:cs="仿宋"/>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供应商名称：</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19"/>
      </w:pPr>
      <w:r/>
      <w:r/>
    </w:p>
    <w:p>
      <w:pPr>
        <w:pStyle w:val="1019"/>
      </w:pPr>
      <w:r/>
      <w:r/>
    </w:p>
    <w:p>
      <w:pPr>
        <w:pStyle w:val="1019"/>
        <w:spacing w:line="480" w:lineRule="exact"/>
        <w:rPr>
          <w:rFonts w:ascii="仿宋" w:hAnsi="仿宋" w:eastAsia="仿宋" w:cs="仿宋"/>
          <w:b/>
          <w:bCs/>
          <w:sz w:val="24"/>
        </w:rPr>
        <w:outlineLvl w:val="1"/>
      </w:pPr>
      <w:r/>
      <w:bookmarkStart w:id="160" w:name="_Toc12975"/>
      <w:r/>
      <w:bookmarkStart w:id="161" w:name="_Toc5622"/>
      <w:r/>
      <w:bookmarkStart w:id="162" w:name="_Toc22565"/>
      <w:r/>
      <w:bookmarkStart w:id="163" w:name="_Toc17079"/>
      <w:r>
        <w:rPr>
          <w:rFonts w:hint="eastAsia" w:ascii="仿宋" w:hAnsi="仿宋" w:eastAsia="仿宋" w:cs="仿宋"/>
          <w:b/>
          <w:bCs/>
          <w:sz w:val="24"/>
        </w:rPr>
        <w:t xml:space="preserve">3、属于监狱企业的证明文件</w:t>
      </w:r>
      <w:bookmarkEnd w:id="160"/>
      <w:r/>
      <w:bookmarkEnd w:id="161"/>
      <w:r/>
      <w:bookmarkEnd w:id="162"/>
      <w:r/>
      <w:bookmarkEnd w:id="163"/>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（提供由省级以上监狱管理局、戒毒管理局(含新疆生产建设兵团)出具的属于监狱企业的证明文件）</w:t>
      </w:r>
      <w:r>
        <w:rPr>
          <w:rFonts w:ascii="仿宋" w:hAnsi="仿宋" w:eastAsia="仿宋" w:cs="仿宋"/>
          <w:color w:val="000000"/>
          <w:sz w:val="24"/>
        </w:rPr>
      </w:r>
      <w:r/>
    </w:p>
    <w:p>
      <w:pPr>
        <w:pStyle w:val="1019"/>
      </w:pPr>
      <w:r/>
      <w:bookmarkStart w:id="164" w:name="_Toc31959"/>
      <w:r/>
      <w:bookmarkStart w:id="165" w:name="_Toc26888"/>
      <w:r/>
      <w:r/>
    </w:p>
    <w:p>
      <w:pPr>
        <w:pStyle w:val="1035"/>
      </w:pPr>
      <w:r/>
      <w:r/>
    </w:p>
    <w:p>
      <w:pPr>
        <w:pStyle w:val="1019"/>
        <w:spacing w:line="480" w:lineRule="exact"/>
        <w:rPr>
          <w:rFonts w:ascii="仿宋" w:hAnsi="仿宋" w:eastAsia="仿宋" w:cs="仿宋"/>
          <w:b/>
          <w:bCs/>
          <w:sz w:val="24"/>
        </w:rPr>
        <w:outlineLvl w:val="1"/>
      </w:pPr>
      <w:r/>
      <w:bookmarkStart w:id="166" w:name="_Toc18394"/>
      <w:r/>
      <w:bookmarkStart w:id="167" w:name="_Toc27664"/>
      <w:r/>
      <w:bookmarkStart w:id="168" w:name="_Toc27764"/>
      <w:r/>
      <w:bookmarkStart w:id="169" w:name="_Toc1116"/>
      <w:r>
        <w:rPr>
          <w:rFonts w:hint="eastAsia" w:ascii="仿宋" w:hAnsi="仿宋" w:eastAsia="仿宋" w:cs="仿宋"/>
          <w:b/>
          <w:bCs/>
          <w:sz w:val="24"/>
        </w:rPr>
        <w:t xml:space="preserve">4、节能产品认证证书</w:t>
      </w:r>
      <w:bookmarkEnd w:id="166"/>
      <w:r/>
      <w:bookmarkEnd w:id="167"/>
      <w:r/>
      <w:bookmarkEnd w:id="168"/>
      <w:r/>
      <w:bookmarkEnd w:id="169"/>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19"/>
      </w:pPr>
      <w:r/>
      <w:r/>
    </w:p>
    <w:p>
      <w:pPr>
        <w:pStyle w:val="1035"/>
      </w:pPr>
      <w:r/>
      <w:r/>
    </w:p>
    <w:p>
      <w:pPr>
        <w:pStyle w:val="1019"/>
        <w:spacing w:line="480" w:lineRule="exact"/>
        <w:rPr>
          <w:rFonts w:ascii="仿宋" w:hAnsi="仿宋" w:eastAsia="仿宋" w:cs="仿宋"/>
          <w:b/>
          <w:bCs/>
          <w:sz w:val="24"/>
        </w:rPr>
        <w:outlineLvl w:val="1"/>
      </w:pPr>
      <w:r/>
      <w:bookmarkStart w:id="170" w:name="_Toc31295"/>
      <w:r/>
      <w:bookmarkStart w:id="171" w:name="_Toc19846"/>
      <w:r/>
      <w:bookmarkStart w:id="172" w:name="_Toc27318"/>
      <w:r/>
      <w:bookmarkStart w:id="173" w:name="_Toc25659"/>
      <w:r>
        <w:rPr>
          <w:rFonts w:hint="eastAsia" w:ascii="仿宋" w:hAnsi="仿宋" w:eastAsia="仿宋" w:cs="仿宋"/>
          <w:b/>
          <w:bCs/>
          <w:sz w:val="24"/>
        </w:rPr>
        <w:t xml:space="preserve">5、环境标志产品认证证书</w:t>
      </w:r>
      <w:bookmarkEnd w:id="170"/>
      <w:r/>
      <w:bookmarkEnd w:id="171"/>
      <w:r/>
      <w:bookmarkEnd w:id="172"/>
      <w:r/>
      <w:bookmarkEnd w:id="173"/>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35"/>
      </w:pPr>
      <w:r/>
      <w:r/>
    </w:p>
    <w:p>
      <w:pPr>
        <w:pStyle w:val="1035"/>
      </w:pPr>
      <w:r/>
      <w:r/>
    </w:p>
    <w:p>
      <w:pPr>
        <w:pStyle w:val="1019"/>
        <w:spacing w:line="480" w:lineRule="exact"/>
        <w:rPr>
          <w:rFonts w:ascii="仿宋" w:hAnsi="仿宋" w:eastAsia="仿宋" w:cs="仿宋"/>
          <w:b/>
          <w:bCs/>
          <w:sz w:val="24"/>
        </w:rPr>
        <w:outlineLvl w:val="1"/>
      </w:pPr>
      <w:r/>
      <w:bookmarkStart w:id="174" w:name="_Toc27484"/>
      <w:r/>
      <w:bookmarkStart w:id="175" w:name="_Toc4636"/>
      <w:r>
        <w:rPr>
          <w:rFonts w:hint="eastAsia" w:ascii="仿宋" w:hAnsi="仿宋" w:eastAsia="仿宋" w:cs="仿宋"/>
          <w:b/>
          <w:bCs/>
          <w:sz w:val="24"/>
        </w:rPr>
        <w:t xml:space="preserve">6、进口产品转让技术、消化吸收再创新方案</w:t>
      </w:r>
      <w:bookmarkEnd w:id="164"/>
      <w:r/>
      <w:bookmarkEnd w:id="165"/>
      <w:r/>
      <w:bookmarkEnd w:id="174"/>
      <w:r/>
      <w:bookmarkEnd w:id="175"/>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（对于允许进口产品参加的项目）</w:t>
      </w:r>
      <w:r>
        <w:rPr>
          <w:rFonts w:ascii="仿宋" w:hAnsi="仿宋" w:eastAsia="仿宋" w:cs="仿宋"/>
          <w:color w:val="000000"/>
          <w:sz w:val="24"/>
        </w:rPr>
      </w:r>
      <w:r/>
    </w:p>
    <w:p>
      <w:pPr>
        <w:pStyle w:val="1062"/>
        <w:jc w:val="center"/>
        <w:spacing w:before="156" w:after="156" w:line="560" w:lineRule="exact"/>
        <w:rPr>
          <w:rFonts w:ascii="楷体" w:hAnsi="楷体" w:eastAsia="楷体" w:cs="楷体"/>
          <w:b/>
          <w:bCs/>
          <w:sz w:val="32"/>
          <w:szCs w:val="32"/>
        </w:rPr>
      </w:pPr>
      <w:r>
        <w:rPr>
          <w:rFonts w:hint="eastAsia" w:ascii="楷体" w:hAnsi="楷体" w:eastAsia="楷体" w:cs="楷体"/>
          <w:b/>
          <w:bCs/>
          <w:sz w:val="32"/>
          <w:szCs w:val="32"/>
        </w:rPr>
        <w:br w:type="page" w:clear="all"/>
      </w:r>
      <w:bookmarkStart w:id="176" w:name="_Toc31593"/>
      <w:r>
        <w:rPr>
          <w:rFonts w:hint="eastAsia" w:ascii="楷体" w:hAnsi="楷体" w:eastAsia="楷体" w:cs="楷体"/>
          <w:b/>
          <w:bCs/>
          <w:sz w:val="32"/>
          <w:szCs w:val="32"/>
        </w:rPr>
        <w:t xml:space="preserve">十</w:t>
      </w:r>
      <w:r>
        <w:rPr>
          <w:rFonts w:hint="eastAsia" w:ascii="楷体" w:hAnsi="楷体" w:eastAsia="楷体" w:cs="楷体"/>
          <w:b/>
          <w:bCs/>
          <w:sz w:val="32"/>
          <w:szCs w:val="32"/>
          <w:lang w:val="en-US" w:eastAsia="zh-CN"/>
        </w:rPr>
        <w:t xml:space="preserve">一</w:t>
      </w:r>
      <w:r>
        <w:rPr>
          <w:rFonts w:hint="eastAsia" w:ascii="楷体" w:hAnsi="楷体" w:eastAsia="楷体" w:cs="楷体"/>
          <w:b/>
          <w:bCs/>
          <w:sz w:val="32"/>
          <w:szCs w:val="32"/>
        </w:rPr>
        <w:t xml:space="preserve">、关于符合本国产品标准的声明函</w:t>
      </w:r>
      <w:bookmarkEnd w:id="176"/>
      <w:r>
        <w:rPr>
          <w:rFonts w:ascii="楷体" w:hAnsi="楷体" w:eastAsia="楷体" w:cs="楷体"/>
          <w:b/>
          <w:bCs/>
          <w:sz w:val="32"/>
          <w:szCs w:val="32"/>
        </w:rPr>
      </w:r>
      <w:r/>
    </w:p>
    <w:p>
      <w:pPr>
        <w:pStyle w:val="1019"/>
      </w:pPr>
      <w:r/>
      <w:r/>
    </w:p>
    <w:p>
      <w:pPr>
        <w:pStyle w:val="1049"/>
        <w:ind w:left="0" w:right="0" w:firstLine="420"/>
        <w:keepLines w:val="0"/>
        <w:keepNext w:val="0"/>
        <w:spacing w:before="0" w:beforeAutospacing="0" w:after="0" w:afterAutospacing="0" w:line="360" w:lineRule="auto"/>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本公司（单位</w:t>
      </w:r>
      <w:bookmarkStart w:id="177" w:name="_GoBack"/>
      <w:r>
        <w:rPr>
          <w:rFonts w:hint="eastAsia" w:ascii="仿宋" w:hAnsi="仿宋" w:eastAsia="仿宋" w:cs="仿宋"/>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rPr>
      </w:r>
      <w:r/>
    </w:p>
    <w:p>
      <w:pPr>
        <w:pStyle w:val="104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1.</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rPr>
      </w:r>
      <w:r/>
    </w:p>
    <w:p>
      <w:pPr>
        <w:pStyle w:val="104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2.</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rPr>
      </w:r>
      <w:r/>
    </w:p>
    <w:p>
      <w:pPr>
        <w:pStyle w:val="104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w:t>
      </w:r>
      <w:r>
        <w:rPr>
          <w:rFonts w:hint="eastAsia" w:ascii="仿宋" w:hAnsi="仿宋" w:eastAsia="仿宋" w:cs="仿宋"/>
        </w:rPr>
      </w:r>
      <w:r/>
    </w:p>
    <w:p>
      <w:pPr>
        <w:pStyle w:val="104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rPr>
          <w:rFonts w:hint="eastAsia" w:ascii="仿宋" w:hAnsi="仿宋" w:eastAsia="仿宋" w:cs="仿宋"/>
        </w:rPr>
      </w:r>
      <w:r/>
    </w:p>
    <w:p>
      <w:pPr>
        <w:pStyle w:val="1019"/>
        <w:ind w:firstLine="48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企业名称（加盖CA电子公章）：</w:t>
      </w:r>
      <w:r>
        <w:rPr>
          <w:rFonts w:hint="eastAsia" w:ascii="仿宋" w:hAnsi="仿宋" w:eastAsia="仿宋" w:cs="仿宋"/>
          <w:color w:val="000000"/>
          <w:sz w:val="24"/>
        </w:rPr>
      </w:r>
      <w:r/>
    </w:p>
    <w:p>
      <w:pPr>
        <w:pStyle w:val="1019"/>
        <w:ind w:firstLine="480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rPr>
      </w:r>
      <w:r/>
    </w:p>
    <w:p>
      <w:pPr>
        <w:pStyle w:val="1049"/>
        <w:keepLines w:val="0"/>
        <w:keepNext w:val="0"/>
        <w:spacing w:before="30" w:beforeAutospacing="0" w:after="30" w:afterAutospacing="0" w:line="0" w:lineRule="atLeast"/>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_________________</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1.产品如有型号，请在“产品名称”栏一并填写。</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4.该产品的关键组件要求实施前，“关键组件”栏可不填，下同。</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5.该产品的关键工序要求实施前，“关键工序”栏可不填，下同。</w:t>
      </w:r>
      <w:r>
        <w:rPr>
          <w:rFonts w:hint="eastAsia" w:ascii="仿宋" w:hAnsi="仿宋" w:eastAsia="仿宋" w:cs="仿宋"/>
        </w:rPr>
      </w:r>
      <w:r/>
    </w:p>
    <w:p>
      <w:pPr>
        <w:pStyle w:val="1049"/>
        <w:keepLines w:val="0"/>
        <w:keepNext w:val="0"/>
        <w:spacing w:before="30" w:beforeAutospacing="0" w:after="30" w:afterAutospacing="0" w:line="360" w:lineRule="auto"/>
        <w:shd w:val="clear" w:color="auto" w:fill="ffffff"/>
        <w:widowControl/>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6.《声明函》中标注“</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”的地方无需填写。</w:t>
      </w:r>
      <w:r>
        <w:rPr>
          <w:rFonts w:hint="eastAsia" w:ascii="仿宋" w:hAnsi="仿宋" w:eastAsia="仿宋" w:cs="仿宋"/>
        </w:rPr>
      </w:r>
      <w:r/>
    </w:p>
    <w:p>
      <w:pPr>
        <w:pStyle w:val="1062"/>
        <w:jc w:val="center"/>
        <w:spacing w:before="156" w:after="156" w:line="560" w:lineRule="exact"/>
        <w:rPr>
          <w:rFonts w:ascii="楷体" w:hAnsi="楷体" w:eastAsia="楷体" w:cs="楷体"/>
          <w:b/>
          <w:bCs/>
          <w:sz w:val="32"/>
          <w:szCs w:val="32"/>
        </w:rPr>
      </w:pPr>
      <w:r/>
      <w:bookmarkEnd w:id="177"/>
      <w:r>
        <w:rPr>
          <w:rFonts w:hint="eastAsia" w:ascii="楷体" w:hAnsi="楷体" w:eastAsia="楷体" w:cs="楷体"/>
          <w:b/>
          <w:bCs/>
          <w:sz w:val="32"/>
          <w:szCs w:val="32"/>
        </w:rPr>
        <w:br w:type="page" w:clear="all"/>
      </w:r>
      <w:bookmarkStart w:id="178" w:name="_Toc5218"/>
      <w:r>
        <w:rPr>
          <w:rFonts w:hint="eastAsia" w:ascii="楷体" w:hAnsi="楷体" w:eastAsia="楷体" w:cs="楷体"/>
          <w:b/>
          <w:bCs/>
          <w:sz w:val="32"/>
          <w:szCs w:val="32"/>
        </w:rPr>
        <w:t xml:space="preserve">十</w:t>
      </w:r>
      <w:r>
        <w:rPr>
          <w:rFonts w:hint="eastAsia" w:ascii="楷体" w:hAnsi="楷体" w:eastAsia="楷体" w:cs="楷体"/>
          <w:b/>
          <w:bCs/>
          <w:sz w:val="32"/>
          <w:szCs w:val="32"/>
          <w:lang w:val="en-US" w:eastAsia="zh-CN"/>
        </w:rPr>
        <w:t xml:space="preserve">二</w:t>
      </w:r>
      <w:r>
        <w:rPr>
          <w:rFonts w:hint="eastAsia" w:ascii="楷体" w:hAnsi="楷体" w:eastAsia="楷体" w:cs="楷体"/>
          <w:b/>
          <w:bCs/>
          <w:sz w:val="32"/>
          <w:szCs w:val="32"/>
        </w:rPr>
        <w:t xml:space="preserve">、其他材料</w:t>
      </w:r>
      <w:bookmarkEnd w:id="152"/>
      <w:r/>
      <w:bookmarkEnd w:id="153"/>
      <w:r/>
      <w:bookmarkEnd w:id="154"/>
      <w:r/>
      <w:bookmarkEnd w:id="155"/>
      <w:r>
        <w:rPr>
          <w:rFonts w:hint="eastAsia" w:ascii="楷体" w:hAnsi="楷体" w:eastAsia="楷体" w:cs="楷体"/>
          <w:b/>
          <w:bCs/>
          <w:sz w:val="32"/>
          <w:szCs w:val="32"/>
        </w:rPr>
        <w:t xml:space="preserve">（如有）</w:t>
      </w:r>
      <w:bookmarkEnd w:id="178"/>
      <w:r>
        <w:rPr>
          <w:rFonts w:ascii="楷体" w:hAnsi="楷体" w:eastAsia="楷体" w:cs="楷体"/>
          <w:b/>
          <w:bCs/>
          <w:sz w:val="32"/>
          <w:szCs w:val="32"/>
        </w:rPr>
      </w:r>
      <w:r/>
    </w:p>
    <w:p>
      <w:pPr>
        <w:pStyle w:val="1019"/>
      </w:pPr>
      <w:r/>
      <w:r/>
    </w:p>
    <w:p>
      <w:pPr>
        <w:pStyle w:val="1019"/>
      </w:pPr>
      <w:r/>
      <w:r/>
    </w:p>
    <w:p>
      <w:pPr>
        <w:pStyle w:val="1019"/>
        <w:rPr>
          <w:rFonts w:hint="eastAsia" w:ascii="仿宋" w:hAnsi="仿宋" w:eastAsia="仿宋" w:cs="仿宋"/>
          <w:sz w:val="24"/>
          <w:szCs w:val="24"/>
        </w:rPr>
      </w:pPr>
      <w:r>
        <w:rPr>
          <w:rFonts w:hint="eastAsia" w:ascii="仿宋" w:hAnsi="仿宋" w:eastAsia="仿宋" w:cs="仿宋"/>
          <w:sz w:val="24"/>
          <w:szCs w:val="24"/>
          <w:highlight w:val="none"/>
        </w:rPr>
        <w:t xml:space="preserve">注释：此处可附供应商认为需要提供的其他材料。</w:t>
      </w:r>
      <w:r>
        <w:rPr>
          <w:rFonts w:hint="eastAsia" w:ascii="仿宋" w:hAnsi="仿宋" w:eastAsia="仿宋" w:cs="仿宋"/>
          <w:sz w:val="24"/>
          <w:szCs w:val="24"/>
        </w:rPr>
      </w:r>
      <w:r/>
    </w:p>
    <w:sectPr>
      <w:footnotePr/>
      <w:endnotePr/>
      <w:type w:val="nextPage"/>
      <w:pgSz w:w="11906" w:h="16838" w:orient="portrait"/>
      <w:pgMar w:top="1134" w:right="1701" w:bottom="1417"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微软雅黑">
    <w:panose1 w:val="020B0503020204020204"/>
  </w:font>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华文细黑">
    <w:panose1 w:val="02010600040101010101"/>
  </w:font>
  <w:font w:name="方正小标宋简体">
    <w:panose1 w:val="020B0503020202020204"/>
  </w:font>
  <w:font w:name="Courier New">
    <w:panose1 w:val="02070309020205020404"/>
  </w:font>
  <w:font w:name="Verdana">
    <w:panose1 w:val="020B0604030504040204"/>
  </w:font>
  <w:font w:name="仿宋_GB2312">
    <w:panose1 w:val="0201060906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仿宋" w:hAnsi="仿宋" w:eastAsia="仿宋" w:cs="仿宋"/>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v:textbox>
            </v:shape>
          </w:pict>
        </mc:Fallback>
      </mc:AlternateContent>
    </w:r>
    <w:r>
      <w:rPr>
        <w:rFonts w:ascii="仿宋" w:hAnsi="仿宋" w:eastAsia="仿宋" w:cs="仿宋"/>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9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9"/>
    <w:next w:val="1019"/>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9"/>
    <w:next w:val="1019"/>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9"/>
    <w:next w:val="1019"/>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19"/>
    <w:link w:val="1019"/>
    <w:qFormat/>
    <w:pPr>
      <w:jc w:val="both"/>
      <w:widowControl w:val="off"/>
    </w:pPr>
    <w:rPr>
      <w:sz w:val="21"/>
      <w:szCs w:val="24"/>
      <w:lang w:val="en-US" w:eastAsia="zh-CN" w:bidi="ar-SA"/>
    </w:rPr>
  </w:style>
  <w:style w:type="paragraph" w:styleId="1020">
    <w:name w:val="标题 1"/>
    <w:basedOn w:val="1019"/>
    <w:next w:val="1019"/>
    <w:link w:val="1019"/>
    <w:qFormat/>
    <w:pPr>
      <w:keepLines/>
      <w:keepNext/>
      <w:spacing w:before="340" w:after="330" w:line="578" w:lineRule="auto"/>
      <w:outlineLvl w:val="0"/>
    </w:pPr>
    <w:rPr>
      <w:b/>
      <w:bCs/>
      <w:sz w:val="44"/>
      <w:szCs w:val="44"/>
    </w:rPr>
  </w:style>
  <w:style w:type="paragraph" w:styleId="1021">
    <w:name w:val="标题 2"/>
    <w:basedOn w:val="1019"/>
    <w:next w:val="1019"/>
    <w:link w:val="1030"/>
    <w:qFormat/>
    <w:pPr>
      <w:keepLines/>
      <w:keepNext/>
      <w:spacing w:before="260" w:after="260" w:line="416" w:lineRule="auto"/>
      <w:outlineLvl w:val="1"/>
    </w:pPr>
    <w:rPr>
      <w:rFonts w:ascii="Arial" w:hAnsi="Arial" w:eastAsia="黑体"/>
      <w:b/>
      <w:bCs/>
      <w:sz w:val="32"/>
      <w:szCs w:val="32"/>
    </w:rPr>
  </w:style>
  <w:style w:type="paragraph" w:styleId="1022">
    <w:name w:val="标题 3"/>
    <w:basedOn w:val="1019"/>
    <w:next w:val="1019"/>
    <w:link w:val="1019"/>
    <w:qFormat/>
    <w:pPr>
      <w:keepLines/>
      <w:keepNext/>
      <w:spacing w:before="260" w:after="260" w:line="416" w:lineRule="auto"/>
      <w:outlineLvl w:val="2"/>
    </w:pPr>
    <w:rPr>
      <w:b/>
      <w:bCs/>
      <w:sz w:val="32"/>
      <w:szCs w:val="32"/>
    </w:rPr>
  </w:style>
  <w:style w:type="paragraph" w:styleId="1023">
    <w:name w:val="标题 4"/>
    <w:basedOn w:val="1019"/>
    <w:next w:val="1019"/>
    <w:link w:val="1019"/>
    <w:qFormat/>
    <w:pPr>
      <w:keepLines/>
      <w:keepNext/>
      <w:spacing w:before="280" w:after="290" w:line="376" w:lineRule="auto"/>
      <w:outlineLvl w:val="3"/>
    </w:pPr>
    <w:rPr>
      <w:rFonts w:ascii="Arial" w:hAnsi="Arial" w:eastAsia="黑体"/>
      <w:b/>
      <w:bCs/>
      <w:sz w:val="28"/>
      <w:szCs w:val="28"/>
    </w:rPr>
  </w:style>
  <w:style w:type="paragraph" w:styleId="1024">
    <w:name w:val="标题 6"/>
    <w:basedOn w:val="1019"/>
    <w:next w:val="1019"/>
    <w:link w:val="1019"/>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1025">
    <w:name w:val="标题 7"/>
    <w:basedOn w:val="1019"/>
    <w:next w:val="1019"/>
    <w:link w:val="1019"/>
    <w:qFormat/>
    <w:pPr>
      <w:ind w:left="1296" w:hanging="1296"/>
      <w:jc w:val="left"/>
      <w:keepLines/>
      <w:keepNext/>
      <w:spacing w:before="240" w:after="64" w:line="320" w:lineRule="auto"/>
      <w:widowControl/>
      <w:tabs>
        <w:tab w:val="left" w:pos="2520" w:leader="none"/>
      </w:tabs>
      <w:outlineLvl w:val="6"/>
    </w:pPr>
    <w:rPr>
      <w:b/>
      <w:bCs/>
      <w:sz w:val="24"/>
    </w:rPr>
  </w:style>
  <w:style w:type="paragraph" w:styleId="1026">
    <w:name w:val="标题 8"/>
    <w:basedOn w:val="1019"/>
    <w:next w:val="1019"/>
    <w:link w:val="1019"/>
    <w:qFormat/>
    <w:pPr>
      <w:ind w:left="1440" w:hanging="1440"/>
      <w:jc w:val="left"/>
      <w:keepLines/>
      <w:keepNext/>
      <w:spacing w:before="240" w:after="64" w:line="320" w:lineRule="auto"/>
      <w:widowControl/>
      <w:tabs>
        <w:tab w:val="left" w:pos="1440" w:leader="none"/>
      </w:tabs>
      <w:outlineLvl w:val="7"/>
    </w:pPr>
    <w:rPr>
      <w:rFonts w:ascii="Arial" w:hAnsi="Arial" w:eastAsia="黑体"/>
      <w:sz w:val="24"/>
    </w:rPr>
  </w:style>
  <w:style w:type="paragraph" w:styleId="1027">
    <w:name w:val="标题 9"/>
    <w:basedOn w:val="1019"/>
    <w:next w:val="1019"/>
    <w:link w:val="1019"/>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1028">
    <w:name w:val="默认段落字体"/>
    <w:next w:val="1028"/>
    <w:link w:val="1019"/>
    <w:uiPriority w:val="1"/>
    <w:unhideWhenUsed/>
  </w:style>
  <w:style w:type="table" w:styleId="1029">
    <w:name w:val="普通表格"/>
    <w:next w:val="1029"/>
    <w:link w:val="1019"/>
    <w:uiPriority w:val="99"/>
    <w:unhideWhenUsed/>
    <w:tblPr/>
  </w:style>
  <w:style w:type="character" w:styleId="1030">
    <w:name w:val="标题 2 字符"/>
    <w:next w:val="1030"/>
    <w:link w:val="1021"/>
    <w:qFormat/>
    <w:rPr>
      <w:rFonts w:ascii="Arial" w:hAnsi="Arial" w:eastAsia="黑体"/>
      <w:b/>
      <w:bCs/>
      <w:sz w:val="32"/>
      <w:szCs w:val="32"/>
      <w:lang w:val="en-US" w:eastAsia="zh-CN" w:bidi="ar-SA"/>
    </w:rPr>
  </w:style>
  <w:style w:type="paragraph" w:styleId="1031">
    <w:name w:val="正文缩进"/>
    <w:basedOn w:val="1019"/>
    <w:next w:val="1031"/>
    <w:link w:val="1019"/>
    <w:qFormat/>
    <w:pPr>
      <w:ind w:firstLine="420"/>
    </w:pPr>
  </w:style>
  <w:style w:type="paragraph" w:styleId="1032">
    <w:name w:val="文档结构图"/>
    <w:basedOn w:val="1019"/>
    <w:next w:val="1032"/>
    <w:link w:val="1019"/>
    <w:semiHidden/>
    <w:qFormat/>
    <w:pPr>
      <w:shd w:val="clear" w:color="auto" w:fill="000080"/>
    </w:pPr>
  </w:style>
  <w:style w:type="paragraph" w:styleId="1033">
    <w:name w:val="批注文字"/>
    <w:basedOn w:val="1019"/>
    <w:next w:val="1033"/>
    <w:link w:val="1019"/>
    <w:semiHidden/>
    <w:qFormat/>
    <w:pPr>
      <w:jc w:val="left"/>
    </w:pPr>
  </w:style>
  <w:style w:type="paragraph" w:styleId="1034">
    <w:name w:val="正文文本 3"/>
    <w:basedOn w:val="1019"/>
    <w:next w:val="1034"/>
    <w:link w:val="1019"/>
    <w:qFormat/>
    <w:rPr>
      <w:rFonts w:ascii="宋体"/>
      <w:sz w:val="24"/>
      <w:szCs w:val="20"/>
    </w:rPr>
  </w:style>
  <w:style w:type="paragraph" w:styleId="1035">
    <w:name w:val="正文文本"/>
    <w:basedOn w:val="1019"/>
    <w:next w:val="1035"/>
    <w:link w:val="1019"/>
    <w:qFormat/>
    <w:pPr>
      <w:spacing w:after="120"/>
    </w:pPr>
  </w:style>
  <w:style w:type="paragraph" w:styleId="1036">
    <w:name w:val="正文文本缩进"/>
    <w:basedOn w:val="1019"/>
    <w:next w:val="1036"/>
    <w:link w:val="1019"/>
    <w:qFormat/>
    <w:pPr>
      <w:ind w:left="420"/>
      <w:spacing w:after="120"/>
    </w:pPr>
  </w:style>
  <w:style w:type="paragraph" w:styleId="1037">
    <w:name w:val="文本块"/>
    <w:basedOn w:val="1019"/>
    <w:next w:val="1019"/>
    <w:link w:val="1019"/>
    <w:uiPriority w:val="99"/>
    <w:unhideWhenUsed/>
    <w:qFormat/>
    <w:pPr>
      <w:ind w:left="1440" w:right="1440"/>
      <w:spacing w:after="120"/>
    </w:pPr>
  </w:style>
  <w:style w:type="paragraph" w:styleId="1038">
    <w:name w:val="索引 4"/>
    <w:basedOn w:val="1019"/>
    <w:next w:val="1019"/>
    <w:link w:val="1019"/>
    <w:uiPriority w:val="99"/>
    <w:unhideWhenUsed/>
    <w:qFormat/>
    <w:pPr>
      <w:ind w:left="600"/>
    </w:pPr>
    <w:rPr>
      <w:rFonts w:ascii="Verdana" w:hAnsi="Verdana"/>
      <w:szCs w:val="20"/>
    </w:rPr>
  </w:style>
  <w:style w:type="paragraph" w:styleId="1039">
    <w:name w:val="目录 3"/>
    <w:basedOn w:val="1019"/>
    <w:next w:val="1019"/>
    <w:link w:val="1019"/>
    <w:semiHidden/>
    <w:qFormat/>
    <w:pPr>
      <w:ind w:left="840"/>
    </w:pPr>
    <w:rPr>
      <w:rFonts w:eastAsia="黑体"/>
    </w:rPr>
  </w:style>
  <w:style w:type="paragraph" w:styleId="1040">
    <w:name w:val="纯文本"/>
    <w:basedOn w:val="1019"/>
    <w:next w:val="1040"/>
    <w:link w:val="1019"/>
    <w:unhideWhenUsed/>
    <w:qFormat/>
    <w:rPr>
      <w:rFonts w:ascii="宋体" w:hAnsi="Courier New"/>
    </w:rPr>
  </w:style>
  <w:style w:type="paragraph" w:styleId="1041">
    <w:name w:val="日期"/>
    <w:basedOn w:val="1019"/>
    <w:next w:val="1019"/>
    <w:link w:val="1019"/>
    <w:qFormat/>
    <w:rPr>
      <w:sz w:val="24"/>
      <w:szCs w:val="20"/>
    </w:rPr>
  </w:style>
  <w:style w:type="paragraph" w:styleId="1042">
    <w:name w:val="正文文本缩进 2"/>
    <w:basedOn w:val="1019"/>
    <w:next w:val="1042"/>
    <w:link w:val="1019"/>
    <w:qFormat/>
    <w:pPr>
      <w:ind w:firstLine="480"/>
      <w:spacing w:line="400" w:lineRule="exact"/>
    </w:pPr>
    <w:rPr>
      <w:rFonts w:ascii="宋体" w:hAnsi="宋体"/>
      <w:sz w:val="24"/>
    </w:rPr>
  </w:style>
  <w:style w:type="paragraph" w:styleId="1043">
    <w:name w:val="批注框文本"/>
    <w:basedOn w:val="1019"/>
    <w:next w:val="1043"/>
    <w:link w:val="1019"/>
    <w:semiHidden/>
    <w:qFormat/>
    <w:rPr>
      <w:sz w:val="18"/>
      <w:szCs w:val="18"/>
    </w:rPr>
  </w:style>
  <w:style w:type="paragraph" w:styleId="1044">
    <w:name w:val="页脚"/>
    <w:basedOn w:val="1019"/>
    <w:next w:val="1044"/>
    <w:link w:val="1019"/>
    <w:qFormat/>
    <w:pPr>
      <w:jc w:val="left"/>
      <w:tabs>
        <w:tab w:val="center" w:pos="4153" w:leader="none"/>
        <w:tab w:val="right" w:pos="8306" w:leader="none"/>
      </w:tabs>
    </w:pPr>
    <w:rPr>
      <w:sz w:val="18"/>
      <w:szCs w:val="18"/>
    </w:rPr>
  </w:style>
  <w:style w:type="paragraph" w:styleId="1045">
    <w:name w:val="页眉"/>
    <w:basedOn w:val="1019"/>
    <w:next w:val="1045"/>
    <w:link w:val="1019"/>
    <w:qFormat/>
    <w:pPr>
      <w:jc w:val="center"/>
      <w:tabs>
        <w:tab w:val="center" w:pos="4153" w:leader="none"/>
        <w:tab w:val="right" w:pos="8306" w:leader="none"/>
      </w:tabs>
      <w:pBdr>
        <w:bottom w:val="single" w:color="000000" w:sz="6" w:space="1"/>
      </w:pBdr>
    </w:pPr>
    <w:rPr>
      <w:sz w:val="18"/>
      <w:szCs w:val="18"/>
    </w:rPr>
  </w:style>
  <w:style w:type="paragraph" w:styleId="1046">
    <w:name w:val="目录 1"/>
    <w:basedOn w:val="1019"/>
    <w:next w:val="1019"/>
    <w:link w:val="1019"/>
    <w:semiHidden/>
    <w:qFormat/>
    <w:pPr>
      <w:jc w:val="center"/>
      <w:spacing w:line="440" w:lineRule="exact"/>
    </w:pPr>
  </w:style>
  <w:style w:type="paragraph" w:styleId="1047">
    <w:name w:val="正文文本缩进 3"/>
    <w:basedOn w:val="1019"/>
    <w:next w:val="1047"/>
    <w:link w:val="1019"/>
    <w:qFormat/>
    <w:pPr>
      <w:ind w:left="420"/>
      <w:spacing w:after="120"/>
    </w:pPr>
    <w:rPr>
      <w:sz w:val="16"/>
      <w:szCs w:val="16"/>
    </w:rPr>
  </w:style>
  <w:style w:type="paragraph" w:styleId="1048">
    <w:name w:val="目录 2"/>
    <w:basedOn w:val="1019"/>
    <w:next w:val="1019"/>
    <w:link w:val="1019"/>
    <w:semiHidden/>
    <w:qFormat/>
    <w:pPr>
      <w:ind w:left="420"/>
    </w:pPr>
    <w:rPr>
      <w:rFonts w:eastAsia="黑体"/>
    </w:rPr>
  </w:style>
  <w:style w:type="paragraph" w:styleId="1049">
    <w:name w:val="普通(网站)"/>
    <w:basedOn w:val="1019"/>
    <w:next w:val="1049"/>
    <w:link w:val="1019"/>
    <w:uiPriority w:val="99"/>
    <w:unhideWhenUsed/>
    <w:qFormat/>
    <w:pPr>
      <w:jc w:val="left"/>
      <w:spacing w:before="100" w:beforeAutospacing="1" w:after="100" w:afterAutospacing="1"/>
      <w:widowControl/>
    </w:pPr>
    <w:rPr>
      <w:rFonts w:ascii="宋体" w:hAnsi="宋体" w:cs="宋体"/>
      <w:sz w:val="24"/>
    </w:rPr>
  </w:style>
  <w:style w:type="paragraph" w:styleId="1050">
    <w:name w:val="索引 1"/>
    <w:basedOn w:val="1019"/>
    <w:next w:val="1019"/>
    <w:link w:val="1019"/>
    <w:semiHidden/>
    <w:qFormat/>
    <w:pPr>
      <w:jc w:val="center"/>
      <w:spacing w:line="220" w:lineRule="exact"/>
    </w:pPr>
    <w:rPr>
      <w:rFonts w:ascii="仿宋_GB2312" w:eastAsia="仿宋_GB2312"/>
      <w:szCs w:val="21"/>
    </w:rPr>
  </w:style>
  <w:style w:type="paragraph" w:styleId="1051">
    <w:name w:val="标题"/>
    <w:basedOn w:val="1019"/>
    <w:next w:val="1019"/>
    <w:link w:val="1019"/>
    <w:qFormat/>
    <w:pPr>
      <w:jc w:val="center"/>
      <w:spacing w:before="240" w:after="60" w:line="420" w:lineRule="atLeast"/>
      <w:outlineLvl w:val="0"/>
    </w:pPr>
    <w:rPr>
      <w:rFonts w:ascii="Arial" w:hAnsi="Arial"/>
      <w:b/>
      <w:sz w:val="32"/>
      <w:szCs w:val="20"/>
    </w:rPr>
  </w:style>
  <w:style w:type="paragraph" w:styleId="1052">
    <w:name w:val="正文首行缩进"/>
    <w:basedOn w:val="1035"/>
    <w:next w:val="1019"/>
    <w:link w:val="1019"/>
    <w:uiPriority w:val="99"/>
    <w:unhideWhenUsed/>
    <w:qFormat/>
    <w:pPr>
      <w:ind w:firstLine="420"/>
    </w:pPr>
    <w:rPr>
      <w:szCs w:val="22"/>
    </w:rPr>
  </w:style>
  <w:style w:type="paragraph" w:styleId="1053">
    <w:name w:val="正文首行缩进 2"/>
    <w:basedOn w:val="1036"/>
    <w:next w:val="1053"/>
    <w:link w:val="1019"/>
    <w:uiPriority w:val="99"/>
    <w:unhideWhenUsed/>
    <w:qFormat/>
    <w:pPr>
      <w:ind w:firstLine="420"/>
    </w:pPr>
    <w:rPr>
      <w:sz w:val="20"/>
    </w:rPr>
  </w:style>
  <w:style w:type="table" w:styleId="1054">
    <w:name w:val="网格型"/>
    <w:basedOn w:val="1029"/>
    <w:next w:val="1054"/>
    <w:link w:val="1019"/>
    <w:qFormat/>
    <w:pPr>
      <w:jc w:val="both"/>
      <w:widowControl w:val="off"/>
    </w:pPr>
    <w:tblPr/>
  </w:style>
  <w:style w:type="character" w:styleId="1055">
    <w:name w:val="要点"/>
    <w:basedOn w:val="1028"/>
    <w:next w:val="1055"/>
    <w:link w:val="1019"/>
    <w:qFormat/>
    <w:rPr>
      <w:b/>
    </w:rPr>
  </w:style>
  <w:style w:type="character" w:styleId="1056">
    <w:name w:val="页码"/>
    <w:next w:val="1056"/>
    <w:link w:val="1019"/>
    <w:qFormat/>
  </w:style>
  <w:style w:type="character" w:styleId="1057">
    <w:name w:val="已访问的超链接"/>
    <w:next w:val="1057"/>
    <w:link w:val="1019"/>
    <w:qFormat/>
    <w:rPr>
      <w:color w:val="800080"/>
      <w:u w:val="single"/>
    </w:rPr>
  </w:style>
  <w:style w:type="character" w:styleId="1058">
    <w:name w:val="超链接"/>
    <w:next w:val="1058"/>
    <w:link w:val="1019"/>
    <w:qFormat/>
    <w:rPr>
      <w:color w:val="0000ff"/>
      <w:u w:val="single"/>
    </w:rPr>
  </w:style>
  <w:style w:type="character" w:styleId="1059">
    <w:name w:val="批注引用"/>
    <w:next w:val="1059"/>
    <w:link w:val="1019"/>
    <w:semiHidden/>
    <w:qFormat/>
    <w:rPr>
      <w:sz w:val="21"/>
      <w:szCs w:val="21"/>
    </w:rPr>
  </w:style>
  <w:style w:type="paragraph" w:styleId="1060">
    <w:name w:val="首行缩进"/>
    <w:basedOn w:val="1019"/>
    <w:next w:val="1060"/>
    <w:link w:val="1019"/>
    <w:qFormat/>
    <w:pPr>
      <w:ind w:firstLine="480"/>
    </w:pPr>
    <w:rPr>
      <w:szCs w:val="20"/>
      <w:lang w:val="zh-CN"/>
    </w:rPr>
  </w:style>
  <w:style w:type="paragraph" w:styleId="1061">
    <w:name w:val="样式 标题 3 + (中文) 黑体 小四 非加粗 段前: 7.8 磅 段后: 0 磅 行距: 固定值 20 磅"/>
    <w:basedOn w:val="1022"/>
    <w:next w:val="1061"/>
    <w:link w:val="1019"/>
    <w:qFormat/>
    <w:pPr>
      <w:spacing w:before="0" w:after="0" w:line="400" w:lineRule="exact"/>
    </w:pPr>
    <w:rPr>
      <w:rFonts w:eastAsia="黑体" w:cs="宋体"/>
      <w:b w:val="0"/>
      <w:bCs w:val="0"/>
      <w:sz w:val="24"/>
      <w:szCs w:val="20"/>
    </w:rPr>
  </w:style>
  <w:style w:type="paragraph" w:styleId="1062">
    <w:name w:val="样式 标题 2 + Times New Roman 四号 非加粗 段前: 5 磅 段后: 0 磅 行距: 固定值 20..."/>
    <w:basedOn w:val="1021"/>
    <w:next w:val="1062"/>
    <w:link w:val="1019"/>
    <w:qFormat/>
    <w:pPr>
      <w:spacing w:before="100" w:after="0" w:line="400" w:lineRule="exact"/>
    </w:pPr>
    <w:rPr>
      <w:rFonts w:ascii="Times New Roman" w:hAnsi="Times New Roman" w:cs="宋体"/>
      <w:b w:val="0"/>
      <w:bCs w:val="0"/>
      <w:sz w:val="28"/>
      <w:szCs w:val="20"/>
    </w:rPr>
  </w:style>
  <w:style w:type="paragraph" w:styleId="1063">
    <w:name w:val="样式 标题 1 + 黑体 三号 非加粗 居中 段前: 6 磅 段后: 6 磅 行距: 固定值 20 磅"/>
    <w:basedOn w:val="1020"/>
    <w:next w:val="1063"/>
    <w:link w:val="1019"/>
    <w:qFormat/>
    <w:pPr>
      <w:jc w:val="center"/>
      <w:spacing w:before="120" w:after="120" w:line="400" w:lineRule="exact"/>
    </w:pPr>
    <w:rPr>
      <w:rFonts w:ascii="黑体" w:hAnsi="黑体" w:eastAsia="黑体" w:cs="宋体"/>
      <w:b w:val="0"/>
      <w:bCs w:val="0"/>
      <w:sz w:val="32"/>
      <w:szCs w:val="20"/>
    </w:rPr>
  </w:style>
  <w:style w:type="paragraph" w:styleId="1064">
    <w:name w:val="1"/>
    <w:basedOn w:val="1019"/>
    <w:next w:val="1064"/>
    <w:link w:val="1019"/>
    <w:qFormat/>
  </w:style>
  <w:style w:type="character" w:styleId="1065">
    <w:name w:val="font161"/>
    <w:next w:val="1065"/>
    <w:link w:val="1019"/>
    <w:qFormat/>
    <w:rPr>
      <w:b/>
      <w:bCs/>
      <w:sz w:val="32"/>
      <w:szCs w:val="32"/>
    </w:rPr>
  </w:style>
  <w:style w:type="paragraph" w:styleId="1066">
    <w:name w:val="6'"/>
    <w:basedOn w:val="1019"/>
    <w:next w:val="1066"/>
    <w:link w:val="1019"/>
    <w:qFormat/>
    <w:pPr>
      <w:jc w:val="center"/>
      <w:spacing w:line="320" w:lineRule="exact"/>
    </w:pPr>
    <w:rPr>
      <w:spacing w:val="20"/>
      <w:szCs w:val="20"/>
    </w:rPr>
  </w:style>
  <w:style w:type="paragraph" w:styleId="1067">
    <w:name w:val="表格"/>
    <w:basedOn w:val="1019"/>
    <w:next w:val="1067"/>
    <w:link w:val="1019"/>
    <w:qFormat/>
    <w:pPr>
      <w:jc w:val="center"/>
    </w:pPr>
    <w:rPr>
      <w:rFonts w:ascii="华文细黑" w:hAnsi="华文细黑"/>
      <w:szCs w:val="20"/>
    </w:rPr>
  </w:style>
  <w:style w:type="paragraph" w:styleId="1068">
    <w:name w:val="表格文字"/>
    <w:basedOn w:val="1019"/>
    <w:next w:val="1068"/>
    <w:link w:val="1019"/>
    <w:qFormat/>
    <w:pPr>
      <w:jc w:val="left"/>
      <w:spacing w:line="420" w:lineRule="atLeast"/>
    </w:pPr>
    <w:rPr>
      <w:szCs w:val="20"/>
    </w:rPr>
  </w:style>
  <w:style w:type="paragraph" w:styleId="1069">
    <w:name w:val="Default"/>
    <w:next w:val="1069"/>
    <w:link w:val="1019"/>
    <w:qFormat/>
    <w:pPr>
      <w:widowControl w:val="off"/>
    </w:pPr>
    <w:rPr>
      <w:rFonts w:ascii="宋体" w:cs="宋体"/>
      <w:color w:val="000000"/>
      <w:sz w:val="24"/>
      <w:szCs w:val="24"/>
      <w:lang w:val="en-US" w:eastAsia="zh-CN" w:bidi="ar-SA"/>
    </w:rPr>
  </w:style>
  <w:style w:type="paragraph" w:styleId="1070">
    <w:name w:val="日期1"/>
    <w:basedOn w:val="1019"/>
    <w:next w:val="1019"/>
    <w:link w:val="1019"/>
    <w:qFormat/>
    <w:pPr>
      <w:ind w:left="100"/>
    </w:pPr>
    <w:rPr>
      <w:sz w:val="24"/>
    </w:rPr>
  </w:style>
  <w:style w:type="paragraph" w:styleId="1071">
    <w:name w:val="普通正文"/>
    <w:basedOn w:val="1019"/>
    <w:next w:val="1071"/>
    <w:link w:val="1019"/>
    <w:qFormat/>
    <w:pPr>
      <w:ind w:firstLine="480"/>
      <w:jc w:val="left"/>
      <w:spacing w:before="120" w:after="120" w:line="360" w:lineRule="auto"/>
    </w:pPr>
    <w:rPr>
      <w:rFonts w:ascii="Arial" w:hAnsi="Arial"/>
      <w:sz w:val="24"/>
    </w:rPr>
  </w:style>
  <w:style w:type="paragraph" w:styleId="1072">
    <w:name w:val="RZM投标图片和表格"/>
    <w:basedOn w:val="1019"/>
    <w:next w:val="1072"/>
    <w:link w:val="1019"/>
    <w:qFormat/>
  </w:style>
  <w:style w:type="paragraph" w:styleId="1073">
    <w:name w:val="（RZM政采）正文-首行缩进2"/>
    <w:basedOn w:val="1019"/>
    <w:next w:val="1073"/>
    <w:link w:val="1019"/>
    <w:qFormat/>
    <w:pPr>
      <w:ind w:firstLine="200"/>
      <w:spacing w:line="360" w:lineRule="auto"/>
    </w:pPr>
    <w:rPr>
      <w:rFonts w:ascii="宋体" w:hAnsi="宋体"/>
      <w:szCs w:val="21"/>
      <w:lang w:val="zh-CN"/>
    </w:rPr>
  </w:style>
  <w:style w:type="table" w:styleId="1074">
    <w:name w:val="Table Normal"/>
    <w:next w:val="1074"/>
    <w:link w:val="1019"/>
    <w:unhideWhenUsed/>
    <w:qFormat/>
    <w:rPr>
      <w:lang w:val="en-US" w:eastAsia="zh-CN" w:bidi="ar-SA"/>
    </w:rPr>
    <w:tblPr/>
  </w:style>
  <w:style w:type="character" w:styleId="1075">
    <w:name w:val="NormalCharacter1"/>
    <w:next w:val="1075"/>
    <w:link w:val="1019"/>
    <w:qFormat/>
  </w:style>
  <w:style w:type="paragraph" w:styleId="1076">
    <w:name w:val="列出段落"/>
    <w:basedOn w:val="1019"/>
    <w:next w:val="1076"/>
    <w:link w:val="1019"/>
    <w:uiPriority w:val="34"/>
    <w:qFormat/>
    <w:pPr>
      <w:ind w:firstLine="420"/>
    </w:pPr>
  </w:style>
  <w:style w:type="paragraph" w:styleId="1077">
    <w:name w:val="正文1"/>
    <w:next w:val="1077"/>
    <w:link w:val="1019"/>
    <w:qFormat/>
    <w:pPr>
      <w:jc w:val="both"/>
      <w:widowControl w:val="off"/>
    </w:pPr>
    <w:rPr>
      <w:rFonts w:ascii="Times New Roman" w:hAnsi="Times New Roman" w:eastAsia="宋体" w:cs="Times New Roman"/>
      <w:lang w:val="en-US" w:eastAsia="zh-CN" w:bidi="ar-SA"/>
    </w:r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dc:title>
  <dc:creator>1</dc:creator>
  <cp:lastModifiedBy>郑福森</cp:lastModifiedBy>
  <cp:revision>4</cp:revision>
  <dcterms:created xsi:type="dcterms:W3CDTF">2025-09-10T03:23:00Z</dcterms:created>
  <dcterms:modified xsi:type="dcterms:W3CDTF">2026-07-21T07:11:08Z</dcterms:modified>
</cp:coreProperties>
</file>