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77"/>
        <w:rPr>
          <w:rFonts w:hint="eastAsia"/>
        </w:rPr>
      </w:pPr>
      <w:r>
        <w:rPr>
          <w:rFonts w:hint="eastAsia"/>
        </w:rPr>
      </w:r>
      <w:r/>
    </w:p>
    <w:p>
      <w:pPr>
        <w:pStyle w:val="988"/>
        <w:jc w:val="center"/>
        <w:rPr>
          <w:rFonts w:hint="eastAsia" w:ascii="Arial" w:hAnsi="Arial" w:eastAsia="黑体" w:cs="Times New Roman"/>
          <w:b/>
          <w:bCs/>
          <w:color w:val="000000"/>
          <w:sz w:val="84"/>
          <w:szCs w:val="24"/>
        </w:rPr>
      </w:pPr>
      <w:r>
        <w:rPr>
          <w:rFonts w:hint="eastAsia" w:ascii="Arial" w:hAnsi="Arial" w:eastAsia="黑体" w:cs="Times New Roman"/>
          <w:b/>
          <w:bCs/>
          <w:color w:val="000000"/>
          <w:sz w:val="84"/>
          <w:szCs w:val="24"/>
        </w:rPr>
        <w:t xml:space="preserve">招　标　文　件</w:t>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ind w:firstLine="1506"/>
        <w:rPr>
          <w:rFonts w:hint="eastAsia" w:eastAsia="宋体" w:cs="Times New Roman"/>
          <w:b/>
          <w:color w:val="000000"/>
          <w:sz w:val="30"/>
          <w:szCs w:val="30"/>
          <w:lang w:eastAsia="zh-CN"/>
        </w:rPr>
      </w:pPr>
      <w:r>
        <w:rPr>
          <w:rFonts w:hint="eastAsia" w:eastAsia="宋体" w:cs="Times New Roman"/>
          <w:b/>
          <w:color w:val="000000"/>
          <w:sz w:val="30"/>
          <w:szCs w:val="30"/>
          <w:lang w:eastAsia="zh-CN"/>
        </w:rPr>
      </w:r>
      <w:r/>
    </w:p>
    <w:p>
      <w:pPr>
        <w:jc w:val="center"/>
        <w:keepLines w:val="0"/>
        <w:keepNext w:val="0"/>
        <w:pageBreakBefore w:val="0"/>
        <w:spacing w:line="360" w:lineRule="auto"/>
        <w:widowControl w:val="off"/>
        <w:rPr>
          <w:rFonts w:eastAsia="宋体" w:cs="Times New Roman"/>
          <w:b/>
          <w:color w:val="000000"/>
          <w:sz w:val="36"/>
          <w:szCs w:val="36"/>
          <w:u w:val="single"/>
          <w:lang w:val="en-US" w:eastAsia="zh-CN"/>
        </w:rPr>
      </w:pPr>
      <w:r>
        <w:rPr>
          <w:rFonts w:hint="eastAsia" w:cs="Times New Roman"/>
          <w:b/>
          <w:color w:val="000000"/>
          <w:sz w:val="44"/>
          <w:szCs w:val="44"/>
          <w:lang w:val="en-US" w:eastAsia="zh-CN"/>
        </w:rPr>
        <w:t xml:space="preserve">   </w:t>
      </w:r>
      <w:r>
        <w:rPr>
          <w:rFonts w:hint="eastAsia" w:eastAsia="宋体" w:cs="Times New Roman"/>
          <w:b/>
          <w:color w:val="000000"/>
          <w:sz w:val="36"/>
          <w:szCs w:val="36"/>
          <w:lang w:eastAsia="zh-CN"/>
        </w:rPr>
        <w:t xml:space="preserve">项目名称：</w:t>
      </w:r>
      <w:r>
        <w:rPr>
          <w:rFonts w:hint="eastAsia" w:cs="Times New Roman"/>
          <w:b/>
          <w:bCs w:val="0"/>
          <w:color w:val="000000"/>
          <w:sz w:val="36"/>
          <w:szCs w:val="36"/>
          <w:u w:val="none"/>
          <w:lang w:val="en-US" w:eastAsia="zh-CN"/>
        </w:rPr>
        <w:t xml:space="preserve">基于评级的基础设施提升和保障服务项目-机房容灾备份及网络安全加固项目</w:t>
      </w:r>
      <w:r/>
    </w:p>
    <w:p>
      <w:pPr>
        <w:jc w:val="center"/>
        <w:keepLines w:val="0"/>
        <w:keepNext w:val="0"/>
        <w:pageBreakBefore w:val="0"/>
        <w:spacing w:line="360" w:lineRule="auto"/>
        <w:widowControl w:val="off"/>
        <w:rPr>
          <w:rFonts w:hint="eastAsia" w:eastAsia="宋体" w:cs="Times New Roman"/>
          <w:b w:val="0"/>
          <w:bCs/>
          <w:color w:val="000000"/>
          <w:sz w:val="36"/>
          <w:szCs w:val="36"/>
          <w:lang w:eastAsia="zh-CN"/>
        </w:rPr>
      </w:pPr>
      <w:r>
        <w:rPr>
          <w:rFonts w:hint="eastAsia" w:eastAsia="宋体" w:cs="Times New Roman"/>
          <w:b/>
          <w:color w:val="000000"/>
          <w:sz w:val="36"/>
          <w:szCs w:val="36"/>
          <w:lang w:eastAsia="zh-CN"/>
        </w:rPr>
        <w:t xml:space="preserve">项目编号：</w:t>
      </w:r>
      <w:r>
        <w:rPr>
          <w:rFonts w:hint="eastAsia" w:cs="Times New Roman"/>
          <w:b w:val="0"/>
          <w:bCs/>
          <w:color w:val="000000"/>
          <w:sz w:val="36"/>
          <w:szCs w:val="36"/>
          <w:u w:val="none"/>
          <w:lang w:eastAsia="zh-CN"/>
        </w:rPr>
        <w:t xml:space="preserve">JSZC-320111-NJYY-G2026-0001</w:t>
      </w:r>
      <w:r/>
    </w:p>
    <w:p>
      <w:pPr>
        <w:jc w:val="center"/>
        <w:keepLines w:val="0"/>
        <w:keepNext w:val="0"/>
        <w:pageBreakBefore w:val="0"/>
        <w:spacing w:line="360" w:lineRule="auto"/>
        <w:widowControl w:val="off"/>
        <w:rPr>
          <w:rFonts w:hint="eastAsia" w:ascii="宋体" w:hAnsi="宋体"/>
          <w:color w:val="000000"/>
          <w:sz w:val="36"/>
          <w:szCs w:val="36"/>
        </w:rPr>
      </w:pPr>
      <w:r>
        <w:rPr>
          <w:rFonts w:hint="eastAsia" w:eastAsia="宋体" w:cs="Times New Roman"/>
          <w:b/>
          <w:color w:val="000000"/>
          <w:sz w:val="36"/>
          <w:szCs w:val="36"/>
          <w:lang w:eastAsia="zh-CN"/>
        </w:rPr>
        <w:t xml:space="preserve">（</w:t>
      </w:r>
      <w:r>
        <w:rPr>
          <w:rFonts w:hint="eastAsia" w:eastAsia="宋体" w:cs="Times New Roman"/>
          <w:b/>
          <w:color w:val="000000"/>
          <w:sz w:val="36"/>
          <w:szCs w:val="36"/>
          <w:lang w:val="en-US" w:eastAsia="zh-CN"/>
        </w:rPr>
        <w:t xml:space="preserve">非</w:t>
      </w:r>
      <w:r>
        <w:rPr>
          <w:rFonts w:hint="eastAsia" w:ascii="宋体" w:hAnsi="宋体" w:eastAsia="宋体" w:cs="宋体"/>
          <w:b/>
          <w:bCs/>
          <w:color w:val="000000"/>
          <w:sz w:val="36"/>
          <w:szCs w:val="36"/>
          <w:highlight w:val="none"/>
          <w:lang w:eastAsia="zh-CN"/>
        </w:rPr>
        <w:t xml:space="preserve">专门</w:t>
      </w:r>
      <w:r>
        <w:rPr>
          <w:rFonts w:hint="eastAsia" w:ascii="Times New Roman" w:hAnsi="Times New Roman" w:eastAsia="宋体" w:cs="Times New Roman"/>
          <w:b/>
          <w:bCs w:val="0"/>
          <w:color w:val="000000"/>
          <w:sz w:val="36"/>
          <w:szCs w:val="36"/>
          <w:lang w:eastAsia="zh-CN"/>
        </w:rPr>
        <w:t xml:space="preserve">面向中小企业</w:t>
      </w:r>
      <w:r>
        <w:rPr>
          <w:rFonts w:hint="eastAsia" w:eastAsia="宋体" w:cs="Times New Roman"/>
          <w:b/>
          <w:color w:val="000000"/>
          <w:sz w:val="36"/>
          <w:szCs w:val="36"/>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ind w:firstLine="0"/>
        <w:jc w:val="center"/>
        <w:rPr>
          <w:rFonts w:hint="eastAsia"/>
          <w:b/>
          <w:bCs/>
          <w:sz w:val="32"/>
          <w:lang w:eastAsia="zh-CN"/>
        </w:rPr>
      </w:pPr>
      <w:r>
        <w:rPr>
          <w:rFonts w:hint="eastAsia"/>
          <w:b/>
          <w:bCs/>
          <w:sz w:val="32"/>
          <w:lang w:eastAsia="zh-CN"/>
        </w:rPr>
      </w:r>
      <w:r/>
    </w:p>
    <w:p>
      <w:pPr>
        <w:ind w:firstLine="0"/>
        <w:jc w:val="center"/>
        <w:rPr>
          <w:rFonts w:hint="eastAsia"/>
          <w:b/>
          <w:bCs/>
          <w:sz w:val="32"/>
          <w:lang w:eastAsia="zh-CN"/>
        </w:rPr>
      </w:pPr>
      <w:r>
        <w:rPr>
          <w:rFonts w:hint="eastAsia"/>
          <w:b/>
          <w:bCs/>
          <w:sz w:val="32"/>
          <w:lang w:eastAsia="zh-CN"/>
        </w:rPr>
      </w:r>
      <w:r/>
    </w:p>
    <w:p>
      <w:pPr>
        <w:ind w:firstLine="0"/>
        <w:jc w:val="center"/>
        <w:keepLines w:val="0"/>
        <w:keepNext w:val="0"/>
        <w:pageBreakBefore w:val="0"/>
        <w:spacing w:line="360" w:lineRule="auto"/>
        <w:widowControl w:val="off"/>
        <w:rPr>
          <w:rFonts w:hint="eastAsia"/>
          <w:b/>
          <w:bCs/>
          <w:sz w:val="48"/>
          <w:szCs w:val="48"/>
          <w:lang w:eastAsia="zh-CN"/>
        </w:rPr>
      </w:pPr>
      <w:r>
        <w:rPr>
          <w:rFonts w:hint="eastAsia"/>
          <w:b/>
          <w:bCs/>
          <w:sz w:val="48"/>
          <w:szCs w:val="48"/>
          <w:lang w:eastAsia="zh-CN"/>
        </w:rPr>
        <w:t xml:space="preserve">南京永埜工程咨询有限责任公司</w:t>
      </w:r>
      <w:r/>
    </w:p>
    <w:p>
      <w:pPr>
        <w:ind w:firstLine="0"/>
        <w:jc w:val="center"/>
        <w:keepLines w:val="0"/>
        <w:keepNext w:val="0"/>
        <w:pageBreakBefore w:val="0"/>
        <w:spacing w:line="360" w:lineRule="auto"/>
        <w:widowControl w:val="off"/>
        <w:rPr>
          <w:rFonts w:hint="eastAsia" w:ascii="Times New Roman" w:hAnsi="Times New Roman" w:eastAsia="宋体" w:cs="Times New Roman"/>
          <w:b/>
          <w:bCs w:val="0"/>
          <w:color w:val="000000"/>
          <w:sz w:val="48"/>
          <w:szCs w:val="48"/>
          <w:u w:val="none"/>
          <w:lang w:val="en-US" w:eastAsia="zh-CN"/>
        </w:rPr>
      </w:pPr>
      <w:r>
        <w:rPr>
          <w:rFonts w:hint="eastAsia" w:ascii="Times New Roman" w:hAnsi="Times New Roman" w:eastAsia="宋体" w:cs="Times New Roman"/>
          <w:b/>
          <w:bCs w:val="0"/>
          <w:color w:val="000000"/>
          <w:sz w:val="48"/>
          <w:szCs w:val="48"/>
          <w:u w:val="none"/>
          <w:lang w:val="en-US" w:eastAsia="zh-CN"/>
        </w:rPr>
        <w:t xml:space="preserve">202</w:t>
      </w:r>
      <w:r>
        <w:rPr>
          <w:rFonts w:hint="eastAsia" w:cs="Times New Roman"/>
          <w:b/>
          <w:bCs w:val="0"/>
          <w:color w:val="000000"/>
          <w:sz w:val="48"/>
          <w:szCs w:val="48"/>
          <w:u w:val="none"/>
          <w:lang w:val="en-US" w:eastAsia="zh-CN"/>
        </w:rPr>
        <w:t xml:space="preserve">6</w:t>
      </w:r>
      <w:r>
        <w:rPr>
          <w:rFonts w:hint="eastAsia" w:ascii="Times New Roman" w:hAnsi="Times New Roman" w:eastAsia="宋体" w:cs="Times New Roman"/>
          <w:b/>
          <w:bCs w:val="0"/>
          <w:color w:val="000000"/>
          <w:sz w:val="48"/>
          <w:szCs w:val="48"/>
          <w:u w:val="none"/>
          <w:lang w:val="en-US" w:eastAsia="zh-CN"/>
        </w:rPr>
        <w:t xml:space="preserve">年</w:t>
      </w:r>
      <w:r>
        <w:rPr>
          <w:rFonts w:hint="eastAsia" w:cs="Times New Roman"/>
          <w:b/>
          <w:bCs w:val="0"/>
          <w:color w:val="000000"/>
          <w:sz w:val="48"/>
          <w:szCs w:val="48"/>
          <w:u w:val="none"/>
          <w:lang w:val="en-US" w:eastAsia="zh-CN"/>
        </w:rPr>
        <w:t xml:space="preserve">8</w:t>
      </w:r>
      <w:r>
        <w:rPr>
          <w:rFonts w:hint="eastAsia" w:ascii="Times New Roman" w:hAnsi="Times New Roman" w:eastAsia="宋体" w:cs="Times New Roman"/>
          <w:b/>
          <w:bCs w:val="0"/>
          <w:color w:val="000000"/>
          <w:sz w:val="48"/>
          <w:szCs w:val="48"/>
          <w:u w:val="none"/>
          <w:lang w:val="en-US" w:eastAsia="zh-CN"/>
        </w:rPr>
        <w:t xml:space="preserve">月</w:t>
      </w:r>
      <w:r/>
    </w:p>
    <w:p>
      <w:pPr>
        <w:rPr>
          <w:rFonts w:hint="eastAsia" w:ascii="黑体" w:hAnsi="Arial" w:eastAsia="黑体" w:cs="Times New Roman"/>
          <w:b/>
          <w:color w:val="000000"/>
          <w:sz w:val="44"/>
          <w:szCs w:val="21"/>
        </w:rPr>
      </w:pPr>
      <w:r/>
      <w:bookmarkStart w:id="0" w:name="_Toc120614210"/>
      <w:r/>
      <w:bookmarkStart w:id="1" w:name="_Toc513029200"/>
      <w:r/>
      <w:bookmarkStart w:id="2" w:name="_Toc20823272"/>
      <w:r/>
      <w:bookmarkStart w:id="3" w:name="_Toc523127445"/>
      <w:r/>
      <w:bookmarkStart w:id="4" w:name="_Toc16938516"/>
      <w:r/>
      <w:bookmarkStart w:id="5" w:name="_Toc479757206"/>
      <w:r>
        <w:rPr>
          <w:rFonts w:hint="eastAsia" w:ascii="黑体" w:hAnsi="Arial" w:eastAsia="黑体" w:cs="Times New Roman"/>
          <w:b/>
          <w:color w:val="000000"/>
          <w:sz w:val="44"/>
          <w:szCs w:val="21"/>
        </w:rPr>
        <w:br w:type="page" w:clear="all"/>
      </w:r>
      <w:r/>
    </w:p>
    <w:p>
      <w:pPr>
        <w:jc w:val="center"/>
        <w:spacing w:line="480" w:lineRule="auto"/>
        <w:rPr>
          <w:rFonts w:hint="eastAsia" w:ascii="黑体" w:hAnsi="Arial" w:eastAsia="黑体" w:cs="Times New Roman"/>
          <w:b/>
          <w:bCs/>
          <w:color w:val="000000"/>
          <w:sz w:val="44"/>
          <w:szCs w:val="44"/>
          <w:highlight w:val="none"/>
        </w:rPr>
        <w:outlineLvl w:val="9"/>
      </w:pPr>
      <w:r>
        <w:rPr>
          <w:rFonts w:hint="eastAsia" w:ascii="黑体" w:hAnsi="Arial" w:eastAsia="黑体" w:cs="Times New Roman"/>
          <w:b/>
          <w:color w:val="000000"/>
          <w:sz w:val="44"/>
          <w:szCs w:val="21"/>
        </w:rPr>
        <w:t xml:space="preserve">总  目  录</w:t>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b/>
          <w:color w:val="000000"/>
          <w:sz w:val="44"/>
          <w:szCs w:val="44"/>
        </w:rPr>
        <w:fldChar w:fldCharType="begin"/>
      </w:r>
      <w:r>
        <w:rPr>
          <w:rFonts w:hint="eastAsia" w:ascii="仿宋_GB2312" w:hAnsi="Arial" w:eastAsia="仿宋_GB2312"/>
          <w:b/>
          <w:color w:val="000000"/>
          <w:sz w:val="44"/>
          <w:szCs w:val="44"/>
        </w:rPr>
        <w:instrText xml:space="preserve">TOC \o "1-1" \h \u </w:instrText>
      </w:r>
      <w:r>
        <w:rPr>
          <w:rFonts w:hint="eastAsia" w:ascii="仿宋_GB2312" w:hAnsi="Arial" w:eastAsia="仿宋_GB2312"/>
          <w:b/>
          <w:color w:val="000000"/>
          <w:sz w:val="44"/>
          <w:szCs w:val="44"/>
        </w:rPr>
        <w:fldChar w:fldCharType="separate"/>
      </w: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_Toc23793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rPr>
        <w:t xml:space="preserve">第一章  投标邀请</w:t>
      </w:r>
      <w:r>
        <w:rPr>
          <w:sz w:val="44"/>
          <w:szCs w:val="44"/>
        </w:rPr>
        <w:tab/>
      </w:r>
      <w:r>
        <w:rPr>
          <w:sz w:val="44"/>
          <w:szCs w:val="44"/>
        </w:rPr>
        <w:fldChar w:fldCharType="begin"/>
      </w:r>
      <w:r>
        <w:rPr>
          <w:sz w:val="44"/>
          <w:szCs w:val="44"/>
        </w:rPr>
        <w:instrText xml:space="preserve"> PAGEREF _Toc23793 \h </w:instrText>
      </w:r>
      <w:r>
        <w:rPr>
          <w:sz w:val="44"/>
          <w:szCs w:val="44"/>
        </w:rPr>
        <w:fldChar w:fldCharType="separate"/>
      </w:r>
      <w:r>
        <w:rPr>
          <w:sz w:val="44"/>
          <w:szCs w:val="44"/>
        </w:rPr>
        <w:t xml:space="preserve">1</w:t>
      </w:r>
      <w:r>
        <w:rPr>
          <w:sz w:val="44"/>
          <w:szCs w:val="44"/>
        </w:rPr>
        <w:fldChar w:fldCharType="end"/>
      </w:r>
      <w:r>
        <w:rPr>
          <w:rFonts w:hint="eastAsia" w:ascii="仿宋_GB2312" w:hAnsi="Arial" w:eastAsia="仿宋_GB2312"/>
          <w:color w:val="000000"/>
          <w:sz w:val="44"/>
          <w:szCs w:val="44"/>
        </w:rPr>
        <w:fldChar w:fldCharType="end"/>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_Toc18070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rPr>
        <w:t xml:space="preserve">第二章  投标人须知</w:t>
      </w:r>
      <w:r>
        <w:rPr>
          <w:sz w:val="44"/>
          <w:szCs w:val="44"/>
        </w:rPr>
        <w:tab/>
      </w:r>
      <w:r>
        <w:rPr>
          <w:sz w:val="44"/>
          <w:szCs w:val="44"/>
        </w:rPr>
        <w:fldChar w:fldCharType="begin"/>
      </w:r>
      <w:r>
        <w:rPr>
          <w:sz w:val="44"/>
          <w:szCs w:val="44"/>
        </w:rPr>
        <w:instrText xml:space="preserve"> PAGEREF _Toc18070 \h </w:instrText>
      </w:r>
      <w:r>
        <w:rPr>
          <w:sz w:val="44"/>
          <w:szCs w:val="44"/>
        </w:rPr>
        <w:fldChar w:fldCharType="separate"/>
      </w:r>
      <w:r>
        <w:rPr>
          <w:sz w:val="44"/>
          <w:szCs w:val="44"/>
        </w:rPr>
        <w:t xml:space="preserve">5</w:t>
      </w:r>
      <w:r>
        <w:rPr>
          <w:sz w:val="44"/>
          <w:szCs w:val="44"/>
        </w:rPr>
        <w:fldChar w:fldCharType="end"/>
      </w:r>
      <w:r>
        <w:rPr>
          <w:rFonts w:hint="eastAsia" w:ascii="仿宋_GB2312" w:hAnsi="Arial" w:eastAsia="仿宋_GB2312"/>
          <w:color w:val="000000"/>
          <w:sz w:val="44"/>
          <w:szCs w:val="44"/>
        </w:rPr>
        <w:fldChar w:fldCharType="end"/>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_Toc19191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lang w:val="en-US"/>
        </w:rPr>
        <w:t xml:space="preserve">第三章  合同文本</w:t>
      </w:r>
      <w:r>
        <w:rPr>
          <w:sz w:val="44"/>
          <w:szCs w:val="44"/>
        </w:rPr>
        <w:tab/>
      </w:r>
      <w:r>
        <w:rPr>
          <w:sz w:val="44"/>
          <w:szCs w:val="44"/>
        </w:rPr>
        <w:fldChar w:fldCharType="begin"/>
      </w:r>
      <w:r>
        <w:rPr>
          <w:sz w:val="44"/>
          <w:szCs w:val="44"/>
        </w:rPr>
        <w:instrText xml:space="preserve"> PAGEREF _Toc19191 \h </w:instrText>
      </w:r>
      <w:r>
        <w:rPr>
          <w:sz w:val="44"/>
          <w:szCs w:val="44"/>
        </w:rPr>
        <w:fldChar w:fldCharType="separate"/>
      </w:r>
      <w:r>
        <w:rPr>
          <w:sz w:val="44"/>
          <w:szCs w:val="44"/>
        </w:rPr>
        <w:t xml:space="preserve">19</w:t>
      </w:r>
      <w:r>
        <w:rPr>
          <w:sz w:val="44"/>
          <w:szCs w:val="44"/>
        </w:rPr>
        <w:fldChar w:fldCharType="end"/>
      </w:r>
      <w:r>
        <w:rPr>
          <w:rFonts w:hint="eastAsia" w:ascii="仿宋_GB2312" w:hAnsi="Arial" w:eastAsia="仿宋_GB2312"/>
          <w:color w:val="000000"/>
          <w:sz w:val="44"/>
          <w:szCs w:val="44"/>
        </w:rPr>
        <w:fldChar w:fldCharType="end"/>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_Toc17493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rPr>
        <w:t xml:space="preserve">第四章</w:t>
      </w:r>
      <w:r>
        <w:rPr>
          <w:rFonts w:hint="eastAsia" w:ascii="方正小标宋简体" w:hAnsi="方正小标宋简体" w:eastAsia="方正小标宋简体" w:cs="方正小标宋简体"/>
          <w:sz w:val="44"/>
          <w:szCs w:val="44"/>
          <w:lang w:val="en-US" w:eastAsia="zh-CN"/>
        </w:rPr>
        <w:t xml:space="preserve">  </w:t>
      </w:r>
      <w:r>
        <w:rPr>
          <w:rFonts w:hint="eastAsia" w:ascii="方正小标宋简体" w:hAnsi="方正小标宋简体" w:eastAsia="方正小标宋简体" w:cs="方正小标宋简体"/>
          <w:sz w:val="44"/>
          <w:szCs w:val="44"/>
        </w:rPr>
        <w:t xml:space="preserve">采购需求</w:t>
      </w:r>
      <w:r>
        <w:rPr>
          <w:sz w:val="44"/>
          <w:szCs w:val="44"/>
        </w:rPr>
        <w:tab/>
      </w:r>
      <w:r>
        <w:rPr>
          <w:sz w:val="44"/>
          <w:szCs w:val="44"/>
        </w:rPr>
        <w:fldChar w:fldCharType="begin"/>
      </w:r>
      <w:r>
        <w:rPr>
          <w:sz w:val="44"/>
          <w:szCs w:val="44"/>
        </w:rPr>
        <w:instrText xml:space="preserve"> PAGEREF _Toc17493 \h </w:instrText>
      </w:r>
      <w:r>
        <w:rPr>
          <w:sz w:val="44"/>
          <w:szCs w:val="44"/>
        </w:rPr>
        <w:fldChar w:fldCharType="separate"/>
      </w:r>
      <w:r>
        <w:rPr>
          <w:sz w:val="44"/>
          <w:szCs w:val="44"/>
        </w:rPr>
        <w:t xml:space="preserve">24</w:t>
      </w:r>
      <w:r>
        <w:rPr>
          <w:sz w:val="44"/>
          <w:szCs w:val="44"/>
        </w:rPr>
        <w:fldChar w:fldCharType="end"/>
      </w:r>
      <w:r>
        <w:rPr>
          <w:rFonts w:hint="eastAsia" w:ascii="仿宋_GB2312" w:hAnsi="Arial" w:eastAsia="仿宋_GB2312"/>
          <w:color w:val="000000"/>
          <w:sz w:val="44"/>
          <w:szCs w:val="44"/>
        </w:rPr>
        <w:fldChar w:fldCharType="end"/>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_Toc9579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rPr>
        <w:t xml:space="preserve">第五章  评标方法与评标标准</w:t>
      </w:r>
      <w:r>
        <w:rPr>
          <w:sz w:val="44"/>
          <w:szCs w:val="44"/>
        </w:rPr>
        <w:tab/>
      </w:r>
      <w:r>
        <w:rPr>
          <w:sz w:val="44"/>
          <w:szCs w:val="44"/>
        </w:rPr>
        <w:fldChar w:fldCharType="begin"/>
      </w:r>
      <w:r>
        <w:rPr>
          <w:sz w:val="44"/>
          <w:szCs w:val="44"/>
        </w:rPr>
        <w:instrText xml:space="preserve"> PAGEREF _Toc9579 \h </w:instrText>
      </w:r>
      <w:r>
        <w:rPr>
          <w:sz w:val="44"/>
          <w:szCs w:val="44"/>
        </w:rPr>
        <w:fldChar w:fldCharType="separate"/>
      </w:r>
      <w:r>
        <w:rPr>
          <w:sz w:val="44"/>
          <w:szCs w:val="44"/>
        </w:rPr>
        <w:t xml:space="preserve">38</w:t>
      </w:r>
      <w:r>
        <w:rPr>
          <w:sz w:val="44"/>
          <w:szCs w:val="44"/>
        </w:rPr>
        <w:fldChar w:fldCharType="end"/>
      </w:r>
      <w:r>
        <w:rPr>
          <w:rFonts w:hint="eastAsia" w:ascii="仿宋_GB2312" w:hAnsi="Arial" w:eastAsia="仿宋_GB2312"/>
          <w:color w:val="000000"/>
          <w:sz w:val="44"/>
          <w:szCs w:val="44"/>
        </w:rPr>
        <w:fldChar w:fldCharType="end"/>
      </w:r>
      <w:r/>
    </w:p>
    <w:p>
      <w:pPr>
        <w:pStyle w:val="738"/>
        <w:keepLines w:val="0"/>
        <w:keepNext w:val="0"/>
        <w:pageBreakBefore w:val="0"/>
        <w:spacing w:line="480" w:lineRule="auto"/>
        <w:widowControl w:val="off"/>
        <w:tabs>
          <w:tab w:val="right" w:pos="9746" w:leader="dot"/>
        </w:tabs>
        <w:rPr>
          <w:sz w:val="44"/>
          <w:szCs w:val="44"/>
        </w:rPr>
      </w:pPr>
      <w:r>
        <w:rPr>
          <w:rFonts w:hint="eastAsia" w:ascii="仿宋_GB2312" w:hAnsi="Arial" w:eastAsia="仿宋_GB2312"/>
          <w:color w:val="000000"/>
          <w:sz w:val="44"/>
          <w:szCs w:val="44"/>
        </w:rPr>
        <w:fldChar w:fldCharType="begin"/>
      </w:r>
      <w:r>
        <w:rPr>
          <w:rFonts w:hint="eastAsia" w:ascii="仿宋_GB2312" w:hAnsi="Arial" w:eastAsia="仿宋_GB2312"/>
          <w:sz w:val="44"/>
          <w:szCs w:val="44"/>
        </w:rPr>
        <w:instrText xml:space="preserve"> HYPERLINK \l _Toc14477 </w:instrText>
      </w:r>
      <w:r>
        <w:rPr>
          <w:rFonts w:hint="eastAsia" w:ascii="仿宋_GB2312" w:hAnsi="Arial" w:eastAsia="仿宋_GB2312"/>
          <w:sz w:val="44"/>
          <w:szCs w:val="44"/>
        </w:rPr>
        <w:fldChar w:fldCharType="separate"/>
      </w:r>
      <w:r>
        <w:rPr>
          <w:rFonts w:hint="eastAsia" w:ascii="方正小标宋简体" w:hAnsi="方正小标宋简体" w:eastAsia="方正小标宋简体" w:cs="方正小标宋简体"/>
          <w:sz w:val="44"/>
          <w:szCs w:val="44"/>
        </w:rPr>
        <w:t xml:space="preserve">第六章  投标文件格式</w:t>
      </w:r>
      <w:r>
        <w:rPr>
          <w:sz w:val="44"/>
          <w:szCs w:val="44"/>
        </w:rPr>
        <w:tab/>
      </w:r>
      <w:r>
        <w:rPr>
          <w:sz w:val="44"/>
          <w:szCs w:val="44"/>
        </w:rPr>
        <w:fldChar w:fldCharType="begin"/>
      </w:r>
      <w:r>
        <w:rPr>
          <w:sz w:val="44"/>
          <w:szCs w:val="44"/>
        </w:rPr>
        <w:instrText xml:space="preserve"> PAGEREF _Toc14477 \h </w:instrText>
      </w:r>
      <w:r>
        <w:rPr>
          <w:sz w:val="44"/>
          <w:szCs w:val="44"/>
        </w:rPr>
        <w:fldChar w:fldCharType="separate"/>
      </w:r>
      <w:r>
        <w:rPr>
          <w:sz w:val="44"/>
          <w:szCs w:val="44"/>
        </w:rPr>
        <w:t xml:space="preserve">41</w:t>
      </w:r>
      <w:r>
        <w:rPr>
          <w:sz w:val="44"/>
          <w:szCs w:val="44"/>
        </w:rPr>
        <w:fldChar w:fldCharType="end"/>
      </w:r>
      <w:r>
        <w:rPr>
          <w:rFonts w:hint="eastAsia" w:ascii="仿宋_GB2312" w:hAnsi="Arial" w:eastAsia="仿宋_GB2312"/>
          <w:color w:val="000000"/>
          <w:sz w:val="44"/>
          <w:szCs w:val="44"/>
        </w:rPr>
        <w:fldChar w:fldCharType="end"/>
      </w:r>
      <w:r/>
    </w:p>
    <w:p>
      <w:pPr>
        <w:keepLines w:val="0"/>
        <w:keepNext w:val="0"/>
        <w:pageBreakBefore w:val="0"/>
        <w:spacing w:line="480" w:lineRule="auto"/>
        <w:widowControl w:val="off"/>
        <w:rPr>
          <w:rFonts w:hint="eastAsia" w:ascii="仿宋_GB2312" w:hAnsi="Arial" w:eastAsia="仿宋_GB2312"/>
          <w:b/>
          <w:color w:val="000000"/>
          <w:sz w:val="28"/>
          <w:szCs w:val="21"/>
        </w:rPr>
      </w:pPr>
      <w:r>
        <w:rPr>
          <w:rFonts w:hint="eastAsia" w:ascii="仿宋_GB2312" w:hAnsi="Arial" w:eastAsia="仿宋_GB2312"/>
          <w:color w:val="000000"/>
          <w:sz w:val="44"/>
          <w:szCs w:val="44"/>
        </w:rPr>
        <w:fldChar w:fldCharType="end"/>
      </w:r>
      <w:r/>
    </w:p>
    <w:p>
      <w:pPr>
        <w:rPr>
          <w:rFonts w:hint="eastAsia" w:ascii="Times New Roman" w:hAnsi="Times New Roman"/>
          <w:color w:val="000000"/>
          <w:szCs w:val="21"/>
        </w:rPr>
      </w:pPr>
      <w:r>
        <w:rPr>
          <w:rFonts w:hint="eastAsia" w:ascii="Times New Roman" w:hAnsi="Times New Roman"/>
          <w:color w:val="000000"/>
          <w:szCs w:val="21"/>
        </w:rPr>
      </w:r>
      <w:bookmarkEnd w:id="0"/>
      <w:r/>
    </w:p>
    <w:p>
      <w:pPr>
        <w:ind w:right="840"/>
        <w:jc w:val="center"/>
        <w:rPr>
          <w:rFonts w:hint="eastAsia" w:ascii="方正小标宋简体" w:hAnsi="方正小标宋简体" w:eastAsia="方正小标宋简体" w:cs="方正小标宋简体"/>
          <w:color w:val="000000"/>
          <w:sz w:val="36"/>
          <w:szCs w:val="36"/>
        </w:rP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color w:val="000000"/>
          <w:sz w:val="36"/>
          <w:szCs w:val="36"/>
        </w:rPr>
      </w:r>
      <w:r/>
    </w:p>
    <w:p>
      <w:pPr>
        <w:ind w:right="840"/>
        <w:jc w:val="center"/>
        <w:rPr>
          <w:rFonts w:hint="eastAsia" w:ascii="方正小标宋简体" w:hAnsi="方正小标宋简体" w:eastAsia="方正小标宋简体" w:cs="方正小标宋简体"/>
          <w:color w:val="000000"/>
          <w:sz w:val="36"/>
          <w:szCs w:val="36"/>
        </w:rPr>
        <w:outlineLvl w:val="0"/>
      </w:pPr>
      <w:r/>
      <w:bookmarkStart w:id="6" w:name="_Toc23793"/>
      <w:r/>
      <w:bookmarkStart w:id="7" w:name="_Toc32162"/>
      <w:r>
        <w:rPr>
          <w:rFonts w:hint="eastAsia" w:ascii="方正小标宋简体" w:hAnsi="方正小标宋简体" w:eastAsia="方正小标宋简体" w:cs="方正小标宋简体"/>
          <w:color w:val="000000"/>
          <w:sz w:val="36"/>
          <w:szCs w:val="36"/>
        </w:rPr>
        <w:t xml:space="preserve">第一章  投标邀请</w:t>
      </w:r>
      <w:bookmarkEnd w:id="6"/>
      <w:r/>
      <w:bookmarkEnd w:id="7"/>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ind w:firstLine="480"/>
        <w:keepLines w:val="0"/>
        <w:keepNext w:val="0"/>
        <w:pageBreakBefore w:val="0"/>
        <w:spacing w:line="360" w:lineRule="auto"/>
        <w:widowControl w:val="off"/>
        <w:rPr>
          <w:rFonts w:ascii="宋体" w:hAnsi="宋体"/>
          <w:sz w:val="24"/>
          <w:szCs w:val="24"/>
        </w:rPr>
      </w:pPr>
      <w:r/>
      <w:bookmarkStart w:id="8" w:name="_Toc28359002"/>
      <w:r/>
      <w:bookmarkStart w:id="9" w:name="_Toc38985263"/>
      <w:r/>
      <w:bookmarkStart w:id="10" w:name="_Toc35393621"/>
      <w:r/>
      <w:bookmarkStart w:id="11" w:name="_Toc35393790"/>
      <w:r/>
      <w:bookmarkStart w:id="12" w:name="_Toc28359079"/>
      <w:r/>
      <w:bookmarkStart w:id="13" w:name="_Hlk24379207"/>
      <w:r>
        <w:rPr>
          <w:rFonts w:hint="eastAsia" w:ascii="宋体" w:hAnsi="宋体"/>
          <w:sz w:val="24"/>
          <w:szCs w:val="24"/>
        </w:rPr>
        <w:t xml:space="preserve">受</w:t>
      </w:r>
      <w:r>
        <w:rPr>
          <w:rFonts w:hint="eastAsia" w:ascii="宋体" w:hAnsi="宋体"/>
          <w:sz w:val="24"/>
          <w:szCs w:val="24"/>
          <w:u w:val="none"/>
          <w:lang w:val="en-US" w:eastAsia="zh-CN"/>
        </w:rPr>
        <w:t xml:space="preserve">南京市浦口区中医院</w:t>
      </w:r>
      <w:r>
        <w:rPr>
          <w:rFonts w:hint="eastAsia" w:ascii="宋体" w:hAnsi="宋体"/>
          <w:sz w:val="24"/>
          <w:szCs w:val="24"/>
          <w:u w:val="none"/>
          <w:lang w:eastAsia="zh-CN"/>
        </w:rPr>
        <w:t xml:space="preserve">（</w:t>
      </w:r>
      <w:r>
        <w:rPr>
          <w:rFonts w:hint="eastAsia" w:ascii="宋体" w:hAnsi="宋体"/>
          <w:sz w:val="24"/>
          <w:szCs w:val="24"/>
          <w:u w:val="none"/>
          <w:lang w:val="en-US" w:eastAsia="zh-CN"/>
        </w:rPr>
        <w:t xml:space="preserve">以下简称“采购</w:t>
      </w:r>
      <w:r>
        <w:rPr>
          <w:rFonts w:hint="eastAsia" w:ascii="宋体" w:hAnsi="宋体"/>
          <w:sz w:val="24"/>
          <w:szCs w:val="24"/>
          <w:u w:val="none"/>
        </w:rPr>
        <w:t xml:space="preserve">单位</w:t>
      </w:r>
      <w:r>
        <w:rPr>
          <w:rFonts w:hint="eastAsia" w:ascii="宋体" w:hAnsi="宋体"/>
          <w:sz w:val="24"/>
          <w:szCs w:val="24"/>
          <w:u w:val="none"/>
          <w:lang w:val="en-US" w:eastAsia="zh-CN"/>
        </w:rPr>
        <w:t xml:space="preserve">”</w:t>
      </w:r>
      <w:r>
        <w:rPr>
          <w:rFonts w:hint="eastAsia" w:ascii="宋体" w:hAnsi="宋体"/>
          <w:sz w:val="24"/>
          <w:szCs w:val="24"/>
          <w:u w:val="none"/>
          <w:lang w:eastAsia="zh-CN"/>
        </w:rPr>
        <w:t xml:space="preserve">）</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b w:val="0"/>
          <w:bCs w:val="0"/>
          <w:color w:val="000000"/>
          <w:sz w:val="24"/>
          <w:szCs w:val="24"/>
          <w:lang w:val="en-US" w:eastAsia="zh-CN"/>
        </w:rPr>
        <w:t xml:space="preserve">南京永埜工程咨询有限责任公司</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以下简称“代理机构”</w:t>
      </w:r>
      <w:r>
        <w:rPr>
          <w:rFonts w:hint="eastAsia" w:ascii="宋体" w:hAnsi="宋体"/>
          <w:color w:val="000000"/>
          <w:sz w:val="24"/>
          <w:szCs w:val="24"/>
          <w:lang w:eastAsia="zh-CN"/>
        </w:rPr>
        <w:t xml:space="preserve">）</w:t>
      </w:r>
      <w:r>
        <w:rPr>
          <w:rFonts w:hint="eastAsia" w:ascii="宋体" w:hAnsi="宋体"/>
          <w:sz w:val="24"/>
          <w:szCs w:val="24"/>
        </w:rPr>
        <w:t xml:space="preserve">就</w:t>
      </w:r>
      <w:r>
        <w:rPr>
          <w:rFonts w:hint="eastAsia" w:ascii="宋体" w:hAnsi="宋体"/>
          <w:color w:val="000000"/>
          <w:sz w:val="24"/>
          <w:szCs w:val="24"/>
          <w:u w:val="none"/>
          <w:lang w:val="en-US" w:eastAsia="zh-CN"/>
        </w:rPr>
        <w:t xml:space="preserve">基于评级的基础设施提升和保障服务项目-机房容灾备份及网络安全加固项目</w:t>
      </w:r>
      <w:r>
        <w:rPr>
          <w:rFonts w:hint="eastAsia" w:ascii="宋体" w:hAnsi="宋体"/>
          <w:sz w:val="24"/>
          <w:szCs w:val="24"/>
          <w:u w:val="none"/>
          <w:lang w:val="en-US" w:eastAsia="zh-CN"/>
        </w:rPr>
        <w:t xml:space="preserve">（</w:t>
      </w:r>
      <w:r>
        <w:rPr>
          <w:rFonts w:hint="eastAsia" w:ascii="宋体" w:hAnsi="宋体"/>
          <w:sz w:val="24"/>
          <w:szCs w:val="24"/>
        </w:rPr>
        <w:t xml:space="preserve">项目名称</w:t>
      </w:r>
      <w:r>
        <w:rPr>
          <w:rFonts w:hint="eastAsia" w:ascii="宋体" w:hAnsi="宋体"/>
          <w:sz w:val="24"/>
          <w:szCs w:val="24"/>
          <w:u w:val="none"/>
          <w:lang w:val="en-US" w:eastAsia="zh-CN"/>
        </w:rPr>
        <w:t xml:space="preserve">）</w:t>
      </w:r>
      <w:r>
        <w:rPr>
          <w:rFonts w:hint="eastAsia" w:ascii="宋体" w:hAnsi="宋体"/>
          <w:sz w:val="24"/>
          <w:szCs w:val="24"/>
        </w:rPr>
        <w:t xml:space="preserve">进行</w:t>
      </w:r>
      <w:r>
        <w:rPr>
          <w:rFonts w:hint="eastAsia" w:ascii="宋体" w:hAnsi="宋体"/>
          <w:sz w:val="24"/>
          <w:szCs w:val="24"/>
          <w:highlight w:val="none"/>
        </w:rPr>
        <w:t xml:space="preserve">公开招标</w:t>
      </w:r>
      <w:r>
        <w:rPr>
          <w:rFonts w:hint="eastAsia" w:ascii="宋体" w:hAnsi="宋体"/>
          <w:sz w:val="24"/>
          <w:szCs w:val="24"/>
        </w:rPr>
        <w:t xml:space="preserve">采购</w:t>
      </w:r>
      <w:r>
        <w:rPr>
          <w:rFonts w:hint="eastAsia" w:ascii="宋体" w:hAnsi="宋体"/>
          <w:sz w:val="24"/>
          <w:szCs w:val="24"/>
          <w:lang w:eastAsia="zh-CN"/>
        </w:rPr>
        <w:t xml:space="preserve">，</w:t>
      </w:r>
      <w:r>
        <w:rPr>
          <w:rFonts w:hint="eastAsia" w:ascii="宋体" w:hAnsi="宋体"/>
          <w:sz w:val="24"/>
          <w:szCs w:val="24"/>
        </w:rPr>
        <w:t xml:space="preserve">欢迎符合条件的供应商投标。</w:t>
      </w:r>
      <w:r/>
    </w:p>
    <w:p>
      <w:pPr>
        <w:pStyle w:val="752"/>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bookmarkEnd w:id="8"/>
      <w:r/>
      <w:bookmarkEnd w:id="9"/>
      <w:r/>
      <w:bookmarkEnd w:id="10"/>
      <w:r/>
      <w:bookmarkEnd w:id="11"/>
      <w:r/>
      <w:bookmarkEnd w:id="12"/>
      <w:r/>
      <w:bookmarkEnd w:id="13"/>
      <w:r/>
    </w:p>
    <w:p>
      <w:pPr>
        <w:ind w:firstLine="480"/>
        <w:pageBreakBefore w:val="0"/>
        <w:spacing w:line="360" w:lineRule="auto"/>
        <w:widowControl w:val="off"/>
        <w:rPr>
          <w:rFonts w:ascii="宋体" w:hAnsi="宋体"/>
          <w:color w:val="000000"/>
          <w:sz w:val="24"/>
          <w:szCs w:val="24"/>
        </w:rPr>
      </w:pPr>
      <w:r/>
      <w:bookmarkStart w:id="14" w:name="_Toc28359003"/>
      <w:r/>
      <w:bookmarkStart w:id="15" w:name="_Toc38985264"/>
      <w:r/>
      <w:bookmarkStart w:id="16" w:name="_Toc35393791"/>
      <w:r/>
      <w:bookmarkStart w:id="17" w:name="_Toc35393622"/>
      <w:r/>
      <w:bookmarkStart w:id="18" w:name="_Toc28359080"/>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JSZC-320111-NJYY-G2026-0001</w:t>
      </w:r>
      <w:r>
        <w:rPr>
          <w:rFonts w:hint="eastAsia" w:ascii="宋体" w:hAnsi="宋体" w:eastAsia="宋体" w:cs="Times New Roman"/>
          <w:color w:val="000000"/>
          <w:sz w:val="24"/>
          <w:szCs w:val="24"/>
          <w:lang w:eastAsia="zh-CN"/>
        </w:rPr>
        <w:t xml:space="preserve"> </w:t>
      </w:r>
      <w:r/>
    </w:p>
    <w:p>
      <w:pPr>
        <w:ind w:firstLine="48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color w:val="000000"/>
          <w:sz w:val="24"/>
          <w:szCs w:val="24"/>
        </w:rPr>
        <w:t xml:space="preserve">2.项目名称：</w:t>
      </w:r>
      <w:r>
        <w:rPr>
          <w:rFonts w:hint="eastAsia" w:ascii="宋体" w:hAnsi="宋体"/>
          <w:color w:val="000000"/>
          <w:sz w:val="24"/>
          <w:szCs w:val="24"/>
          <w:u w:val="none"/>
          <w:lang w:val="en-US" w:eastAsia="zh-CN"/>
        </w:rPr>
        <w:t xml:space="preserve">基于评级的基础设施提升和保障服务项目-机房容灾备份及网络安全加固项目</w:t>
      </w:r>
      <w:r/>
    </w:p>
    <w:p>
      <w:pPr>
        <w:ind w:firstLine="48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3.预算金额：</w:t>
      </w:r>
      <w:r>
        <w:rPr>
          <w:rFonts w:hint="eastAsia" w:ascii="宋体" w:hAnsi="宋体" w:cs="Times New Roman"/>
          <w:color w:val="000000"/>
          <w:sz w:val="24"/>
          <w:szCs w:val="24"/>
          <w:lang w:val="en-US" w:eastAsia="zh-CN"/>
        </w:rPr>
        <w:t xml:space="preserve">183</w:t>
      </w:r>
      <w:r>
        <w:rPr>
          <w:rFonts w:hint="eastAsia" w:ascii="宋体" w:hAnsi="宋体" w:eastAsia="宋体" w:cs="Times New Roman"/>
          <w:color w:val="000000"/>
          <w:sz w:val="24"/>
          <w:szCs w:val="24"/>
          <w:lang w:val="en-US" w:eastAsia="zh-CN"/>
        </w:rPr>
        <w:t xml:space="preserve">万元</w:t>
      </w:r>
      <w:r/>
    </w:p>
    <w:p>
      <w:pPr>
        <w:ind w:firstLine="480"/>
        <w:pageBreakBefore w:val="0"/>
        <w:spacing w:line="360" w:lineRule="auto"/>
        <w:widowControl w:val="off"/>
        <w:rPr>
          <w:rFonts w:hint="eastAsia" w:ascii="宋体" w:hAnsi="宋体" w:eastAsia="宋体" w:cs="宋体"/>
          <w:color w:val="000000"/>
          <w:sz w:val="24"/>
          <w:szCs w:val="24"/>
          <w:highlight w:val="yellow"/>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最高限价：183</w:t>
      </w:r>
      <w:r>
        <w:rPr>
          <w:rFonts w:hint="eastAsia" w:ascii="宋体" w:hAnsi="宋体" w:eastAsia="宋体"/>
          <w:color w:val="000000"/>
          <w:sz w:val="24"/>
          <w:szCs w:val="24"/>
          <w:lang w:val="en-US" w:eastAsia="zh-CN"/>
        </w:rPr>
        <w:t xml:space="preserve">万元</w:t>
      </w:r>
      <w:r>
        <w:rPr>
          <w:rFonts w:hint="eastAsia" w:ascii="宋体" w:hAnsi="宋体" w:eastAsia="宋体" w:cs="宋体"/>
          <w:color w:val="000000"/>
          <w:sz w:val="24"/>
          <w:szCs w:val="24"/>
          <w:highlight w:val="none"/>
        </w:rPr>
        <w:t xml:space="preserve">。</w:t>
      </w:r>
      <w:r/>
    </w:p>
    <w:p>
      <w:pPr>
        <w:ind w:firstLine="480"/>
        <w:pageBreakBefore w:val="0"/>
        <w:spacing w:line="360"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为提升医院核心业务系统（HIS、EMR、LIS、PACS以及各临床业务系统）的数据安全保障能力和网络防护水平，满足国家卫健委互联互通四级甲等测评及电子病历五级测评等相关评级要求，同时为满足网络安全方面的各项要求，浦口区中医院拟采购机房容灾备份及网络安全加固项目，主要建设内容包括：容灾备份系统软硬件一套，网络安全加固涉及的基础设施及各网络安全相关软硬件一套，以及系统集成及电子病历五级评级相关的容灾备份及网络安全保障服务1项。各分项均含三年软硬件质保及网络安全设备特征库升级服务。</w:t>
      </w:r>
      <w:r>
        <w:rPr>
          <w:rFonts w:hint="eastAsia" w:ascii="宋体" w:hAnsi="宋体" w:cs="宋体"/>
          <w:color w:val="000000"/>
          <w:sz w:val="24"/>
          <w:szCs w:val="24"/>
        </w:rPr>
        <w:t xml:space="preserve">（详细内容见本招标文件第四章）</w:t>
      </w:r>
      <w:r/>
    </w:p>
    <w:p>
      <w:pPr>
        <w:ind w:firstLine="480"/>
        <w:pageBreakBefore w:val="0"/>
        <w:spacing w:line="360" w:lineRule="auto"/>
        <w:widowControl w:val="off"/>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6.合同履行期限：</w:t>
      </w:r>
      <w:r>
        <w:rPr>
          <w:rFonts w:hint="eastAsia" w:ascii="宋体" w:hAnsi="宋体"/>
          <w:color w:val="auto"/>
          <w:sz w:val="24"/>
          <w:szCs w:val="24"/>
          <w:highlight w:val="none"/>
          <w:lang w:val="en-US" w:eastAsia="zh-CN"/>
        </w:rPr>
        <w:t xml:space="preserve">交货期</w:t>
      </w:r>
      <w:r>
        <w:rPr>
          <w:rFonts w:hint="eastAsia" w:ascii="宋体" w:hAnsi="宋体" w:eastAsia="宋体"/>
          <w:color w:val="auto"/>
          <w:sz w:val="24"/>
          <w:szCs w:val="24"/>
          <w:highlight w:val="none"/>
          <w:lang w:val="en-US" w:eastAsia="zh-CN"/>
        </w:rPr>
        <w:t xml:space="preserve">为合同签订后</w:t>
      </w:r>
      <w:r>
        <w:rPr>
          <w:rFonts w:hint="eastAsia" w:ascii="宋体" w:hAnsi="宋体"/>
          <w:color w:val="auto"/>
          <w:sz w:val="24"/>
          <w:szCs w:val="24"/>
          <w:highlight w:val="none"/>
          <w:lang w:val="en-US" w:eastAsia="zh-CN"/>
        </w:rPr>
        <w:t xml:space="preserve">三个月内，硬件质保期</w:t>
      </w:r>
      <w:r>
        <w:rPr>
          <w:rFonts w:hint="eastAsia" w:ascii="宋体" w:hAnsi="宋体" w:eastAsia="宋体"/>
          <w:color w:val="auto"/>
          <w:sz w:val="24"/>
          <w:szCs w:val="24"/>
          <w:highlight w:val="none"/>
          <w:lang w:val="en-US" w:eastAsia="zh-CN"/>
        </w:rPr>
        <w:t xml:space="preserve">为验收合格后</w:t>
      </w:r>
      <w:r>
        <w:rPr>
          <w:rFonts w:hint="eastAsia" w:ascii="宋体" w:hAnsi="宋体"/>
          <w:color w:val="auto"/>
          <w:sz w:val="24"/>
          <w:szCs w:val="24"/>
          <w:highlight w:val="none"/>
          <w:lang w:val="en-US" w:eastAsia="zh-CN"/>
        </w:rPr>
        <w:t xml:space="preserve">3</w:t>
      </w:r>
      <w:r>
        <w:rPr>
          <w:rFonts w:hint="eastAsia" w:ascii="宋体" w:hAnsi="宋体" w:eastAsia="宋体"/>
          <w:color w:val="auto"/>
          <w:sz w:val="24"/>
          <w:szCs w:val="24"/>
          <w:highlight w:val="none"/>
          <w:lang w:val="en-US" w:eastAsia="zh-CN"/>
        </w:rPr>
        <w:t xml:space="preserve">年</w:t>
      </w:r>
      <w:r>
        <w:rPr>
          <w:rFonts w:hint="eastAsia" w:ascii="宋体" w:hAnsi="宋体"/>
          <w:color w:val="auto"/>
          <w:sz w:val="24"/>
          <w:szCs w:val="24"/>
          <w:highlight w:val="none"/>
          <w:lang w:val="en-US" w:eastAsia="zh-CN"/>
        </w:rPr>
        <w:t xml:space="preserve">，软件质保为3年</w:t>
      </w:r>
      <w:r>
        <w:rPr>
          <w:rFonts w:hint="eastAsia" w:ascii="宋体" w:hAnsi="宋体" w:eastAsia="宋体" w:cs="Times New Roman"/>
          <w:color w:val="auto"/>
          <w:sz w:val="24"/>
          <w:szCs w:val="24"/>
          <w:lang w:val="en-US"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7.本项目</w:t>
      </w:r>
      <w:r>
        <w:rPr>
          <w:rFonts w:hint="eastAsia" w:ascii="宋体" w:hAnsi="宋体" w:eastAsia="宋体" w:cs="Times New Roman"/>
          <w:color w:val="000000"/>
          <w:sz w:val="24"/>
          <w:szCs w:val="24"/>
          <w:u w:val="none"/>
          <w:lang w:val="en-US" w:eastAsia="zh-CN"/>
        </w:rPr>
        <w:t xml:space="preserve">不接受</w:t>
      </w:r>
      <w:r>
        <w:rPr>
          <w:rFonts w:hint="eastAsia" w:ascii="宋体" w:hAnsi="宋体" w:eastAsia="宋体" w:cs="Times New Roman"/>
          <w:color w:val="000000"/>
          <w:sz w:val="24"/>
          <w:szCs w:val="24"/>
          <w:lang w:val="en-US" w:eastAsia="zh-CN"/>
        </w:rPr>
        <w:t xml:space="preserve">进口产品投标。</w:t>
      </w:r>
      <w:r/>
    </w:p>
    <w:p>
      <w:pPr>
        <w:ind w:firstLine="48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bookmarkEnd w:id="14"/>
      <w:r/>
      <w:bookmarkEnd w:id="15"/>
      <w:r/>
      <w:bookmarkEnd w:id="16"/>
      <w:r/>
      <w:bookmarkEnd w:id="17"/>
      <w:r/>
      <w:bookmarkEnd w:id="18"/>
      <w:r/>
      <w:r/>
    </w:p>
    <w:p>
      <w:pPr>
        <w:ind w:firstLine="480"/>
        <w:pageBreakBefore w:val="0"/>
        <w:spacing w:line="360" w:lineRule="auto"/>
        <w:widowControl w:val="off"/>
        <w:rPr>
          <w:rFonts w:hint="eastAsia" w:ascii="宋体" w:hAnsi="宋体" w:eastAsia="宋体" w:cs="宋体"/>
          <w:b w:val="0"/>
          <w:bCs w:val="0"/>
          <w:color w:val="000000"/>
          <w:sz w:val="24"/>
          <w:szCs w:val="24"/>
          <w:highlight w:val="none"/>
        </w:rPr>
      </w:pPr>
      <w:r/>
      <w:bookmarkStart w:id="19" w:name="_Toc28359081"/>
      <w:r/>
      <w:bookmarkStart w:id="20" w:name="_Toc35393623"/>
      <w:r/>
      <w:bookmarkStart w:id="21" w:name="_Toc38985265"/>
      <w:r/>
      <w:bookmarkStart w:id="22" w:name="_Toc35393792"/>
      <w:r/>
      <w:bookmarkStart w:id="23" w:name="_Toc28359004"/>
      <w:r>
        <w:rPr>
          <w:rFonts w:hint="eastAsia" w:ascii="宋体" w:hAnsi="宋体" w:eastAsia="宋体" w:cs="宋体"/>
          <w:b w:val="0"/>
          <w:bCs w:val="0"/>
          <w:color w:val="000000"/>
          <w:sz w:val="24"/>
          <w:szCs w:val="24"/>
          <w:highlight w:val="none"/>
        </w:rPr>
        <w:t xml:space="preserve">（一）通用资格要求</w:t>
      </w:r>
      <w:r/>
    </w:p>
    <w:p>
      <w:pPr>
        <w:ind w:firstLine="480"/>
        <w:pageBreakBefore w:val="0"/>
        <w:spacing w:line="360" w:lineRule="auto"/>
        <w:widowControl w:val="off"/>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rPr>
          <w:rFonts w:hint="eastAsia" w:ascii="宋体" w:hAnsi="宋体"/>
          <w:color w:val="000000"/>
          <w:sz w:val="24"/>
          <w:szCs w:val="24"/>
          <w:lang w:eastAsia="zh-CN"/>
        </w:rPr>
        <w:t xml:space="preserve">，</w:t>
      </w:r>
      <w:r>
        <w:rPr>
          <w:rFonts w:hint="eastAsia" w:ascii="宋体" w:hAnsi="宋体"/>
          <w:color w:val="000000"/>
          <w:sz w:val="24"/>
          <w:szCs w:val="24"/>
        </w:rPr>
        <w:t xml:space="preserve">并提供下列材料：</w:t>
      </w:r>
      <w:r/>
    </w:p>
    <w:p>
      <w:pPr>
        <w:ind w:firstLine="480"/>
        <w:pageBreakBefore w:val="0"/>
        <w:spacing w:line="360" w:lineRule="auto"/>
        <w:widowControl w:val="off"/>
        <w:rPr>
          <w:rFonts w:hint="eastAsia" w:ascii="宋体" w:hAnsi="宋体"/>
          <w:b w:val="0"/>
          <w:bCs w:val="0"/>
          <w:color w:val="000000"/>
          <w:sz w:val="24"/>
          <w:szCs w:val="24"/>
          <w:highlight w:val="none"/>
          <w:lang w:val="zh-CN"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p>
    <w:p>
      <w:pPr>
        <w:pStyle w:val="969"/>
        <w:rPr>
          <w:rFonts w:hint="eastAsia" w:ascii="宋体" w:hAnsi="宋体" w:eastAsia="宋体" w:cs="Times New Roman"/>
          <w:color w:val="000000"/>
          <w:sz w:val="24"/>
          <w:szCs w:val="24"/>
          <w:highlight w:val="none"/>
          <w:lang w:val="zh-CN" w:eastAsia="zh-CN" w:bidi="ar-SA"/>
        </w:rPr>
      </w:pPr>
      <w:r>
        <w:rPr>
          <w:rFonts w:hint="eastAsia" w:ascii="宋体" w:hAnsi="宋体" w:eastAsia="宋体" w:cs="Times New Roman"/>
          <w:color w:val="000000"/>
          <w:sz w:val="24"/>
          <w:szCs w:val="24"/>
          <w:highlight w:val="none"/>
          <w:lang w:val="en-US" w:eastAsia="zh-CN" w:bidi="ar-SA"/>
        </w:rPr>
        <w:t xml:space="preserve">1.</w:t>
      </w:r>
      <w:r>
        <w:rPr>
          <w:rFonts w:hint="eastAsia" w:ascii="宋体" w:hAnsi="宋体" w:eastAsia="宋体" w:cs="Times New Roman"/>
          <w:color w:val="000000"/>
          <w:sz w:val="24"/>
          <w:szCs w:val="24"/>
          <w:highlight w:val="none"/>
          <w:lang w:val="zh-CN" w:eastAsia="zh-CN" w:bidi="ar-SA"/>
        </w:rPr>
        <w:t xml:space="preserve">2未被“信用中国”网站（www.creditchina.gov.cn）列入失信被执行人、重大税收违法案件当事人名单、政府采购严重失信行为记录名单。</w:t>
      </w:r>
      <w:r/>
    </w:p>
    <w:p>
      <w:pPr>
        <w:ind w:firstLine="480"/>
        <w:pageBreakBefore w:val="0"/>
        <w:spacing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2.落实政府采购政策需满足的资格要求：</w:t>
      </w:r>
      <w:r/>
    </w:p>
    <w:p>
      <w:pPr>
        <w:ind w:firstLine="480"/>
        <w:pageBreakBefore w:val="0"/>
        <w:spacing w:line="360" w:lineRule="auto"/>
        <w:widowControl w:val="off"/>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本项目不专门面向中小微企业采购，执行价格扣除优惠政策，对供应商为小微企业的，报价给予10%的扣除。提供《中小企业声明函》（格式见第六章）；监狱和戒毒企业视同小型、微型企业，提供由省级以上监狱管理局、戒毒管理局(含新疆生产建设兵团)出具的属于监狱企业的证明文件；残疾人福利性单位视同小型、微型企业，提供《残疾人福利性单位声明函》（格式见第六章）。</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u w:val="none"/>
          <w:lang w:val="en-US" w:eastAsia="zh-CN"/>
        </w:rPr>
        <w:t xml:space="preserve">无</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p>
    <w:p>
      <w:pPr>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rPr>
        <w:t xml:space="preserve">单位负责人为同一人或者存在直接控股、管理关系的不同供应商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不得参加同一合同项下的政府采购活动</w:t>
      </w:r>
      <w:r>
        <w:rPr>
          <w:rFonts w:hint="eastAsia" w:ascii="宋体" w:hAnsi="宋体" w:eastAsia="宋体" w:cs="Times New Roman"/>
          <w:color w:val="000000"/>
          <w:sz w:val="24"/>
          <w:szCs w:val="24"/>
          <w:lang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color w:val="000000"/>
          <w:sz w:val="24"/>
          <w:szCs w:val="24"/>
        </w:rPr>
        <w:t xml:space="preserve">为采购项目提供整体设计、规范编制或者项目管理、监理、检测等服务的供应商</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不得参加本项目的采购活动</w:t>
      </w:r>
      <w:r>
        <w:rPr>
          <w:rFonts w:hint="eastAsia" w:ascii="宋体" w:hAnsi="宋体" w:eastAsia="宋体" w:cs="Times New Roman"/>
          <w:color w:val="000000"/>
          <w:sz w:val="24"/>
          <w:szCs w:val="24"/>
          <w:lang w:eastAsia="zh-CN"/>
        </w:rPr>
        <w:t xml:space="preserve">。</w:t>
      </w:r>
      <w:r/>
    </w:p>
    <w:p>
      <w:pPr>
        <w:ind w:firstLine="48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lang w:eastAsia="zh-CN"/>
        </w:rPr>
        <w:t xml:space="preserve">。</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三、获取招标文件</w:t>
      </w:r>
      <w:bookmarkEnd w:id="19"/>
      <w:r/>
      <w:bookmarkEnd w:id="20"/>
      <w:r/>
      <w:bookmarkEnd w:id="21"/>
      <w:r/>
      <w:bookmarkEnd w:id="22"/>
      <w:r/>
      <w:bookmarkEnd w:id="23"/>
      <w:r/>
      <w:r/>
    </w:p>
    <w:p>
      <w:pPr>
        <w:ind w:firstLine="480"/>
        <w:pageBreakBefore w:val="0"/>
        <w:spacing w:line="360" w:lineRule="auto"/>
        <w:widowControl w:val="off"/>
        <w:rPr>
          <w:rFonts w:ascii="宋体" w:hAnsi="宋体" w:cs="宋体"/>
          <w:color w:val="000000"/>
          <w:sz w:val="24"/>
          <w:szCs w:val="24"/>
        </w:rPr>
      </w:pPr>
      <w:r/>
      <w:bookmarkStart w:id="24" w:name="_Toc28359082"/>
      <w:r/>
      <w:bookmarkStart w:id="25" w:name="_Toc28359005"/>
      <w:r/>
      <w:bookmarkStart w:id="26" w:name="_Toc35393624"/>
      <w:r/>
      <w:bookmarkStart w:id="27" w:name="_Toc38985266"/>
      <w:r/>
      <w:bookmarkStart w:id="28" w:name="_Toc35393793"/>
      <w:r>
        <w:rPr>
          <w:rFonts w:hint="eastAsia" w:ascii="宋体" w:hAnsi="宋体" w:cs="宋体"/>
          <w:color w:val="000000"/>
          <w:sz w:val="24"/>
          <w:szCs w:val="24"/>
        </w:rPr>
        <w:t xml:space="preserve">1.时间：自招标文件公告发布之日起。</w:t>
      </w:r>
      <w:r/>
    </w:p>
    <w:p>
      <w:pPr>
        <w:ind w:firstLine="480"/>
        <w:pageBreakBefore w:val="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地点</w:t>
      </w:r>
      <w:r>
        <w:rPr>
          <w:rFonts w:hint="eastAsia" w:ascii="宋体" w:hAnsi="宋体" w:cs="宋体"/>
          <w:color w:val="000000"/>
          <w:sz w:val="24"/>
          <w:szCs w:val="24"/>
        </w:rPr>
        <w:t xml:space="preserve">：在“江苏政府采购网”</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南京公共采购信息网</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免费下载。</w:t>
      </w:r>
      <w:r/>
    </w:p>
    <w:p>
      <w:pPr>
        <w:ind w:firstLine="480"/>
        <w:pageBreakBefore w:val="0"/>
        <w:spacing w:line="360" w:lineRule="auto"/>
        <w:widowControl w:val="off"/>
        <w:rPr>
          <w:rFonts w:eastAsia="宋体"/>
          <w:lang w:val="en-US" w:eastAsia="zh-CN"/>
        </w:rPr>
      </w:pPr>
      <w:r>
        <w:rPr>
          <w:rFonts w:hint="eastAsia" w:ascii="宋体" w:hAnsi="宋体" w:eastAsia="宋体" w:cs="宋体"/>
          <w:color w:val="000000"/>
          <w:sz w:val="24"/>
          <w:szCs w:val="24"/>
          <w:lang w:val="en-US" w:eastAsia="zh-CN"/>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四、提交投标文件</w:t>
      </w:r>
      <w:bookmarkEnd w:id="24"/>
      <w:r/>
      <w:bookmarkEnd w:id="25"/>
      <w:r>
        <w:rPr>
          <w:rFonts w:hint="eastAsia" w:ascii="方正黑体_GBK" w:hAnsi="方正黑体_GBK" w:eastAsia="方正黑体_GBK" w:cs="方正黑体_GBK"/>
          <w:b w:val="0"/>
          <w:bCs w:val="0"/>
          <w:color w:val="000000"/>
          <w:sz w:val="30"/>
          <w:szCs w:val="30"/>
        </w:rPr>
        <w:t xml:space="preserve">截止时间、开标时间和地点</w:t>
      </w:r>
      <w:bookmarkEnd w:id="26"/>
      <w:r/>
      <w:bookmarkEnd w:id="27"/>
      <w:r/>
      <w:bookmarkEnd w:id="28"/>
      <w:r/>
      <w:r/>
    </w:p>
    <w:p>
      <w:pPr>
        <w:ind w:firstLine="480"/>
        <w:pageBreakBefore w:val="0"/>
        <w:spacing w:line="360" w:lineRule="auto"/>
        <w:widowControl w:val="off"/>
        <w:rPr>
          <w:rFonts w:hint="eastAsia" w:ascii="宋体" w:hAnsi="宋体" w:eastAsia="宋体"/>
          <w:bCs/>
          <w:color w:val="000000"/>
          <w:sz w:val="24"/>
          <w:szCs w:val="24"/>
          <w:highlight w:val="none"/>
          <w:u w:val="single"/>
          <w:lang w:val="en-US" w:eastAsia="zh-CN"/>
        </w:rPr>
      </w:pPr>
      <w:r/>
      <w:bookmarkStart w:id="29" w:name="_Toc28359007"/>
      <w:r/>
      <w:bookmarkStart w:id="30" w:name="_Toc38985267"/>
      <w:r/>
      <w:bookmarkStart w:id="31" w:name="_Toc35393625"/>
      <w:r/>
      <w:bookmarkStart w:id="32" w:name="_Toc28359084"/>
      <w:r/>
      <w:bookmarkStart w:id="33" w:name="_Toc35393794"/>
      <w:r>
        <w:rPr>
          <w:rFonts w:hint="eastAsia" w:ascii="宋体" w:hAnsi="宋体" w:eastAsia="宋体" w:cs="宋体"/>
          <w:color w:val="000000"/>
          <w:sz w:val="24"/>
          <w:szCs w:val="24"/>
        </w:rPr>
        <w:t xml:space="preserve">1.提交投标文件截止时间、</w:t>
      </w:r>
      <w:r>
        <w:rPr>
          <w:rFonts w:hint="eastAsia" w:ascii="宋体" w:hAnsi="宋体" w:eastAsia="宋体" w:cs="宋体"/>
          <w:color w:val="000000"/>
          <w:sz w:val="24"/>
          <w:szCs w:val="24"/>
          <w:highlight w:val="none"/>
        </w:rPr>
        <w:t xml:space="preserve">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6</w:t>
      </w:r>
      <w:r>
        <w:rPr>
          <w:rFonts w:hint="eastAsia" w:ascii="宋体" w:hAnsi="宋体"/>
          <w:bCs/>
          <w:color w:val="000000"/>
          <w:sz w:val="24"/>
          <w:szCs w:val="24"/>
          <w:highlight w:val="none"/>
          <w:u w:val="none"/>
        </w:rPr>
        <w:t xml:space="preserve">年</w:t>
      </w:r>
      <w:r>
        <w:rPr>
          <w:rFonts w:hint="eastAsia" w:ascii="宋体" w:hAnsi="宋体"/>
          <w:bCs/>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lang w:val="en-US" w:eastAsia="zh-CN"/>
        </w:rPr>
        <w:t xml:space="preserve">8</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09</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eastAsia="宋体" w:cs="宋体"/>
          <w:color w:val="000000"/>
          <w:sz w:val="24"/>
          <w:szCs w:val="24"/>
          <w:highlight w:val="none"/>
          <w:u w:val="none"/>
          <w:lang w:val="en-US" w:eastAsia="zh-CN"/>
        </w:rPr>
        <w:t xml:space="preserve">30</w:t>
      </w:r>
      <w:r>
        <w:rPr>
          <w:rFonts w:hint="eastAsia" w:ascii="宋体" w:hAnsi="宋体"/>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p>
    <w:p>
      <w:pPr>
        <w:ind w:firstLine="480"/>
        <w:pageBreakBefore w:val="0"/>
        <w:spacing w:line="36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bookmarkEnd w:id="29"/>
      <w:r/>
      <w:bookmarkEnd w:id="30"/>
      <w:r/>
      <w:bookmarkEnd w:id="31"/>
      <w:r/>
      <w:bookmarkEnd w:id="32"/>
      <w:r/>
      <w:bookmarkEnd w:id="33"/>
      <w:r/>
      <w:r/>
    </w:p>
    <w:p>
      <w:pPr>
        <w:ind w:firstLine="480"/>
        <w:pageBreakBefore w:val="0"/>
        <w:spacing w:line="360" w:lineRule="auto"/>
        <w:widowControl w:val="off"/>
        <w:rPr>
          <w:rFonts w:ascii="宋体" w:hAnsi="宋体" w:cs="宋体"/>
          <w:color w:val="000000"/>
          <w:sz w:val="24"/>
          <w:szCs w:val="24"/>
        </w:rPr>
      </w:pPr>
      <w:r/>
      <w:bookmarkStart w:id="34" w:name="_Toc35393795"/>
      <w:r/>
      <w:bookmarkStart w:id="35" w:name="_Toc35393626"/>
      <w:r/>
      <w:bookmarkStart w:id="36" w:name="_Toc38985268"/>
      <w:r>
        <w:rPr>
          <w:rFonts w:hint="eastAsia" w:ascii="宋体" w:hAnsi="宋体" w:cs="宋体"/>
          <w:color w:val="000000"/>
          <w:sz w:val="24"/>
          <w:szCs w:val="24"/>
        </w:rPr>
        <w:t xml:space="preserve">公告期限为自本公告发布之日起5个工作日。</w:t>
      </w:r>
      <w:r/>
    </w:p>
    <w:p>
      <w:pPr>
        <w:pStyle w:val="752"/>
        <w:ind w:firstLine="498"/>
        <w:pageBreakBefore w:val="0"/>
        <w:spacing w:before="145" w:after="145" w:line="360" w:lineRule="auto"/>
        <w:widowControl w:val="off"/>
        <w:rPr>
          <w:rFonts w:hint="eastAsia" w:ascii="Times New Roman" w:hAnsi="Times New Roman" w:eastAsia="宋体" w:cs="Times New Roman"/>
          <w:b/>
          <w:bCs/>
          <w:color w:val="000000"/>
        </w:rPr>
      </w:pPr>
      <w:r>
        <w:rPr>
          <w:rFonts w:hint="eastAsia" w:ascii="Times New Roman" w:hAnsi="Times New Roman" w:eastAsia="宋体" w:cs="Times New Roman"/>
          <w:b/>
          <w:bCs/>
          <w:color w:val="000000"/>
        </w:rPr>
        <w:t xml:space="preserve">六、其他事宜</w:t>
      </w:r>
      <w:bookmarkEnd w:id="34"/>
      <w:r/>
      <w:bookmarkEnd w:id="35"/>
      <w:r/>
      <w:bookmarkEnd w:id="36"/>
      <w:r/>
      <w:r/>
    </w:p>
    <w:p>
      <w:pPr>
        <w:ind w:firstLine="480"/>
        <w:pageBreakBefore w:val="0"/>
        <w:spacing w:line="360" w:lineRule="auto"/>
        <w:widowControl w:val="off"/>
        <w:tabs>
          <w:tab w:val="left" w:pos="900" w:leader="none"/>
        </w:tabs>
        <w:rPr>
          <w:rFonts w:hint="eastAsia" w:ascii="宋体" w:hAnsi="宋体"/>
          <w:bCs/>
          <w:color w:val="000000"/>
          <w:sz w:val="24"/>
          <w:szCs w:val="24"/>
        </w:rPr>
      </w:pPr>
      <w:r/>
      <w:bookmarkStart w:id="37" w:name="_Toc38985269"/>
      <w:r/>
      <w:bookmarkStart w:id="38" w:name="_Toc28359085"/>
      <w:r/>
      <w:bookmarkStart w:id="39" w:name="_Toc28359008"/>
      <w:r/>
      <w:bookmarkStart w:id="40" w:name="_Toc35393796"/>
      <w:r/>
      <w:bookmarkStart w:id="41" w:name="_Toc35393627"/>
      <w:r>
        <w:rPr>
          <w:rFonts w:hint="eastAsia" w:ascii="宋体" w:hAnsi="宋体" w:eastAsia="宋体" w:cs="宋体"/>
          <w:color w:val="000000"/>
          <w:sz w:val="24"/>
          <w:szCs w:val="24"/>
        </w:rPr>
        <w:t xml:space="preserve">1.</w:t>
      </w:r>
      <w:r>
        <w:rPr>
          <w:rFonts w:hint="eastAsia" w:ascii="宋体" w:hAnsi="宋体"/>
          <w:bCs/>
          <w:color w:val="000000"/>
          <w:sz w:val="24"/>
          <w:szCs w:val="24"/>
        </w:rPr>
        <w:t xml:space="preserve">本次招标不收取投标保证金。</w:t>
      </w:r>
      <w:r/>
    </w:p>
    <w:p>
      <w:pPr>
        <w:ind w:firstLine="480"/>
        <w:pageBreakBefore w:val="0"/>
        <w:spacing w:line="360" w:lineRule="auto"/>
        <w:widowControl w:val="off"/>
        <w:tabs>
          <w:tab w:val="left" w:pos="900" w:leader="none"/>
        </w:tabs>
        <w:rPr>
          <w:rFonts w:hint="eastAsia" w:ascii="宋体" w:hAnsi="宋体" w:eastAsia="宋体" w:cs="宋体"/>
          <w:color w:val="000000"/>
          <w:sz w:val="24"/>
          <w:szCs w:val="24"/>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本项目不组织集中</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江苏省政府采购数字证书及电子公章，具体详见苏采云系统登录页“新CA办理指南”。《苏采云系统供应商操作手册》（以下简称《操作手册》）可至江苏政府采购网―办事指南-资料下载中心下载，供应商按《操作手册》进行注册、制作、上传电子投标文件。</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.潜在供应商访问政府采购管理交易系统（苏采云）的网络地址和方法：</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（2）“CA数字证书”的获取：供应商需办理CA锁，“苏采云”系统目前仅支持“苏采云”系统下的政务CA，省内各地区办理的“苏采云”系统下的政务CA全省通用。</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（3）“CA数字证书”的办理材料以及供应商操作手册详见：http://jsxcmm.com/help/gys.html。</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（4）潜在供应商访问“苏采云”系统的网络地址和方法：“苏采云”系统的网址：http://jszfcg.jsczt.cn/jszc/login。</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（5）采购文件（后缀名为“.kedt”）、供应商操作手册及政府采购客户端工具也可通过“苏采云”系统--已报名项目--报名详情页面内相应链接进行下载。</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（6）招标代理机构（采购代理机构）将数据电文形式的采购文件加载至“苏采云”系统，供潜在供应商下载或者查阅。</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（7）苏采云系统使用谷歌浏览器参与不见面开标。</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（8）“苏采云”南京地区客服热线025-83633744、025-83633743。</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.投标文件的解密：开标当天各供应商及时登录不见面开标大厅，投标文件递交截止时间后，采购人将在系统内公布供应商名单，然后通</w:t>
      </w:r>
      <w:r>
        <w:rPr>
          <w:rFonts w:hint="eastAsia" w:ascii="宋体" w:hAnsi="宋体" w:eastAsia="宋体" w:cs="宋体"/>
          <w:color w:val="000000"/>
          <w:sz w:val="24"/>
          <w:szCs w:val="24"/>
          <w:highlight w:val="none"/>
          <w:lang w:eastAsia="zh-CN"/>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投标文件在规定时间内未能解密、解密失败或解密超时，视为投标供应商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.有关本次招标的事项若存在变动或修改，请及时关注“江苏政府采购网”“南京公共采购信息网”更正公告。</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七、本次招标联系方式</w:t>
      </w:r>
      <w:bookmarkEnd w:id="37"/>
      <w:r/>
      <w:bookmarkEnd w:id="38"/>
      <w:r/>
      <w:bookmarkEnd w:id="39"/>
      <w:r/>
      <w:bookmarkEnd w:id="40"/>
      <w:r/>
      <w:bookmarkEnd w:id="41"/>
      <w:r/>
      <w:r/>
    </w:p>
    <w:p>
      <w:pPr>
        <w:ind w:firstLine="48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cs="Times New Roman"/>
          <w:color w:val="000000"/>
          <w:sz w:val="24"/>
          <w:szCs w:val="24"/>
          <w:u w:val="none"/>
          <w:lang w:val="en-US" w:eastAsia="zh-CN"/>
        </w:rPr>
        <w:t xml:space="preserve">南京市浦口区中医院</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南京市浦口区江浦街道公园北路18号</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汪科长</w:t>
      </w:r>
      <w:r>
        <w:rPr>
          <w:rFonts w:hint="eastAsia" w:ascii="宋体" w:hAnsi="宋体" w:eastAsia="宋体" w:cs="Times New Roman"/>
          <w:color w:val="000000"/>
          <w:sz w:val="24"/>
          <w:szCs w:val="24"/>
          <w:u w:val="none"/>
          <w:lang w:val="en-US" w:eastAsia="zh-CN"/>
        </w:rPr>
        <w:t xml:space="preserve">  </w:t>
      </w:r>
      <w:bookmarkStart w:id="42" w:name="_Toc28359086"/>
      <w:r/>
      <w:bookmarkStart w:id="43" w:name="_Toc28359009"/>
      <w:r/>
      <w:bookmarkEnd w:id="42"/>
      <w:bookmarkEnd w:id="43"/>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2.采购代理机构信息</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名称：南京永埜工程咨询有限责任公司</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地址：南京市浦口区浦滨路150号中科创新广场23栋1601室</w:t>
      </w:r>
      <w:r/>
    </w:p>
    <w:p>
      <w:pPr>
        <w:ind w:firstLine="480"/>
        <w:pageBreakBefore w:val="0"/>
        <w:spacing w:line="36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联系人：王工</w:t>
      </w:r>
      <w:r/>
    </w:p>
    <w:p>
      <w:pPr>
        <w:ind w:firstLine="480"/>
        <w:pageBreakBefore w:val="0"/>
        <w:spacing w:line="360" w:lineRule="auto"/>
        <w:widowControl w:val="off"/>
        <w:rPr>
          <w:rFonts w:hint="eastAsia"/>
          <w:color w:val="000000"/>
          <w:u w:val="none"/>
        </w:rPr>
      </w:pPr>
      <w:r>
        <w:rPr>
          <w:rFonts w:hint="eastAsia" w:ascii="宋体" w:hAnsi="宋体" w:eastAsia="宋体" w:cs="Times New Roman"/>
          <w:color w:val="000000"/>
          <w:sz w:val="24"/>
          <w:szCs w:val="24"/>
          <w:u w:val="none"/>
          <w:lang w:val="en-US" w:eastAsia="zh-CN"/>
        </w:rPr>
        <w:t xml:space="preserve">联系方式：18061655525 </w:t>
      </w:r>
      <w:r/>
    </w:p>
    <w:p>
      <w:pPr>
        <w:ind w:firstLine="48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right="840"/>
        <w:jc w:val="center"/>
        <w:rPr>
          <w:rFonts w:hint="eastAsia" w:ascii="方正小标宋简体" w:hAnsi="方正小标宋简体" w:eastAsia="方正小标宋简体" w:cs="方正小标宋简体"/>
          <w:color w:val="000000"/>
          <w:sz w:val="36"/>
          <w:szCs w:val="36"/>
        </w:rPr>
        <w:outlineLvl w:val="0"/>
      </w:pPr>
      <w:r>
        <w:rPr>
          <w:rFonts w:ascii="宋体" w:hAnsi="宋体"/>
          <w:color w:val="000000"/>
          <w:sz w:val="24"/>
          <w:szCs w:val="24"/>
        </w:rPr>
        <w:br w:type="page" w:clear="all"/>
      </w:r>
      <w:bookmarkEnd w:id="1"/>
      <w:r/>
      <w:bookmarkEnd w:id="2"/>
      <w:r/>
      <w:bookmarkEnd w:id="3"/>
      <w:r/>
      <w:bookmarkEnd w:id="4"/>
      <w:r/>
      <w:bookmarkEnd w:id="5"/>
      <w:r/>
      <w:bookmarkStart w:id="44" w:name="_Toc120614211"/>
      <w:r/>
      <w:bookmarkStart w:id="45" w:name="_Toc6662"/>
      <w:r/>
      <w:bookmarkStart w:id="46" w:name="_Toc18070"/>
      <w:r>
        <w:rPr>
          <w:rFonts w:hint="eastAsia" w:ascii="方正小标宋简体" w:hAnsi="方正小标宋简体" w:eastAsia="方正小标宋简体" w:cs="方正小标宋简体"/>
          <w:color w:val="000000"/>
          <w:sz w:val="36"/>
          <w:szCs w:val="36"/>
        </w:rPr>
        <w:t xml:space="preserve">第二章  </w:t>
      </w:r>
      <w:bookmarkEnd w:id="44"/>
      <w:r/>
      <w:bookmarkStart w:id="47" w:name="_Toc513029202"/>
      <w:r/>
      <w:bookmarkStart w:id="48" w:name="_Toc120614213"/>
      <w:r/>
      <w:bookmarkStart w:id="49" w:name="_Toc16938518"/>
      <w:r/>
      <w:bookmarkStart w:id="50" w:name="_Toc20823274"/>
      <w:r>
        <w:rPr>
          <w:rFonts w:hint="eastAsia" w:ascii="方正小标宋简体" w:hAnsi="方正小标宋简体" w:eastAsia="方正小标宋简体" w:cs="方正小标宋简体"/>
          <w:color w:val="000000"/>
          <w:sz w:val="36"/>
          <w:szCs w:val="36"/>
        </w:rPr>
        <w:t xml:space="preserve">投标人须知</w:t>
      </w:r>
      <w:bookmarkEnd w:id="45"/>
      <w:r/>
      <w:bookmarkEnd w:id="46"/>
      <w:r/>
      <w:bookmarkEnd w:id="47"/>
      <w:r/>
      <w:bookmarkEnd w:id="48"/>
      <w:r/>
      <w:bookmarkEnd w:id="49"/>
      <w:r/>
      <w:bookmarkEnd w:id="50"/>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51" w:name="_Toc120614214"/>
      <w:r/>
      <w:bookmarkStart w:id="52" w:name="_Toc20823275"/>
      <w:r/>
      <w:bookmarkStart w:id="53" w:name="_Toc16938519"/>
      <w:r/>
      <w:bookmarkStart w:id="54" w:name="_Toc513029203"/>
      <w:r/>
      <w:bookmarkStart w:id="55" w:name="_Toc513029242"/>
      <w:r/>
      <w:bookmarkStart w:id="56" w:name="_Toc16938558"/>
      <w:r/>
      <w:bookmarkStart w:id="57" w:name="_Toc479757207"/>
      <w:r/>
      <w:bookmarkStart w:id="58" w:name="_Toc20823314"/>
      <w:r/>
      <w:bookmarkStart w:id="59" w:name="_Toc120614221"/>
      <w:r>
        <w:rPr>
          <w:rFonts w:hint="eastAsia" w:ascii="方正黑体_GBK" w:hAnsi="方正黑体_GBK" w:eastAsia="方正黑体_GBK" w:cs="方正黑体_GBK"/>
          <w:b w:val="0"/>
          <w:bCs w:val="0"/>
          <w:color w:val="000000"/>
          <w:sz w:val="30"/>
          <w:szCs w:val="30"/>
        </w:rPr>
        <w:t xml:space="preserve">一、总则</w:t>
      </w:r>
      <w:bookmarkEnd w:id="51"/>
      <w:r/>
      <w:bookmarkEnd w:id="52"/>
      <w:r/>
      <w:bookmarkEnd w:id="53"/>
      <w:r/>
      <w:bookmarkEnd w:id="54"/>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60" w:name="_Hlt16619475"/>
      <w:r/>
      <w:bookmarkEnd w:id="60"/>
      <w:r/>
      <w:bookmarkStart w:id="61" w:name="_Toc458694821"/>
      <w:r/>
      <w:bookmarkStart w:id="62" w:name="_Toc16938520"/>
      <w:r/>
      <w:bookmarkStart w:id="63" w:name="_Toc513029204"/>
      <w:r/>
      <w:bookmarkStart w:id="64" w:name="_Toc20823276"/>
      <w:r>
        <w:rPr>
          <w:rFonts w:hint="eastAsia" w:ascii="方正楷体_GBK" w:hAnsi="方正楷体_GBK" w:eastAsia="方正楷体_GBK" w:cs="方正楷体_GBK"/>
          <w:b/>
          <w:bCs/>
        </w:rPr>
        <w:t xml:space="preserve">1</w:t>
      </w:r>
      <w:bookmarkEnd w:id="61"/>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招标方式</w:t>
      </w:r>
      <w:bookmarkEnd w:id="62"/>
      <w:r/>
      <w:bookmarkEnd w:id="63"/>
      <w:r/>
      <w:bookmarkEnd w:id="64"/>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 本次招标采取公开招标方式</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本文件仅适用于招标公告中所述项目。</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65" w:name="_Toc20823277"/>
      <w:r/>
      <w:bookmarkStart w:id="66" w:name="_Toc513029205"/>
      <w:r/>
      <w:bookmarkStart w:id="67" w:name="_Toc1693852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合格的投标人</w:t>
      </w:r>
      <w:bookmarkEnd w:id="65"/>
      <w:r/>
      <w:bookmarkEnd w:id="66"/>
      <w:r/>
      <w:bookmarkEnd w:id="67"/>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满足招标公告</w:t>
      </w:r>
      <w:r>
        <w:rPr>
          <w:rFonts w:hint="eastAsia" w:ascii="宋体" w:hAnsi="宋体" w:eastAsia="宋体" w:cs="Times New Roman"/>
          <w:color w:val="000000"/>
          <w:sz w:val="24"/>
          <w:lang w:eastAsia="zh-CN"/>
        </w:rPr>
        <w:t xml:space="preserve">对</w:t>
      </w:r>
      <w:r>
        <w:rPr>
          <w:rFonts w:hint="eastAsia" w:ascii="宋体" w:hAnsi="宋体" w:eastAsia="宋体" w:cs="Times New Roman"/>
          <w:color w:val="000000"/>
          <w:sz w:val="24"/>
        </w:rPr>
        <w:t xml:space="preserve">供应商资格要求的规定。</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2.2 满足</w:t>
      </w:r>
      <w:r>
        <w:rPr>
          <w:rFonts w:hint="eastAsia" w:ascii="宋体" w:hAnsi="宋体" w:eastAsia="宋体" w:cs="Times New Roman"/>
          <w:color w:val="000000"/>
          <w:sz w:val="24"/>
          <w:lang w:eastAsia="zh-CN"/>
        </w:rPr>
        <w:t xml:space="preserve">招标</w:t>
      </w:r>
      <w:r>
        <w:rPr>
          <w:rFonts w:hint="eastAsia" w:ascii="宋体" w:hAnsi="宋体" w:eastAsia="宋体" w:cs="Times New Roman"/>
          <w:color w:val="000000"/>
          <w:sz w:val="24"/>
        </w:rPr>
        <w:t xml:space="preserve">文件</w:t>
      </w:r>
      <w:r>
        <w:rPr>
          <w:rFonts w:hint="eastAsia" w:ascii="宋体" w:hAnsi="宋体" w:eastAsia="宋体" w:cs="Times New Roman"/>
          <w:color w:val="000000"/>
          <w:sz w:val="24"/>
          <w:lang w:eastAsia="zh-CN"/>
        </w:rPr>
        <w:t xml:space="preserve">规定的</w:t>
      </w:r>
      <w:r>
        <w:rPr>
          <w:rFonts w:hint="eastAsia" w:ascii="宋体" w:hAnsi="宋体" w:eastAsia="宋体" w:cs="Times New Roman"/>
          <w:color w:val="000000"/>
          <w:sz w:val="24"/>
        </w:rPr>
        <w:t xml:space="preserve">实质性要求和条件。</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68" w:name="_Toc513029206"/>
      <w:r/>
      <w:bookmarkStart w:id="69" w:name="_Toc20823278"/>
      <w:r/>
      <w:bookmarkStart w:id="70" w:name="_Toc16938522"/>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适用法律</w:t>
      </w:r>
      <w:bookmarkEnd w:id="68"/>
      <w:r/>
      <w:bookmarkEnd w:id="69"/>
      <w:r/>
      <w:bookmarkEnd w:id="70"/>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3.1 本次招标及由此产生的合同受中华人民共和国有关的法律法规制约和保护。</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71" w:name="_Toc16938523"/>
      <w:r/>
      <w:bookmarkStart w:id="72" w:name="_Toc462564067"/>
      <w:r/>
      <w:bookmarkStart w:id="73" w:name="_Toc513029207"/>
      <w:r/>
      <w:bookmarkStart w:id="74" w:name="_Toc20823279"/>
      <w:r>
        <w:rPr>
          <w:rFonts w:hint="eastAsia" w:ascii="方正楷体_GBK" w:hAnsi="方正楷体_GBK" w:eastAsia="方正楷体_GBK" w:cs="方正楷体_GBK"/>
          <w:b/>
          <w:bCs/>
        </w:rPr>
        <w:t xml:space="preserve">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投标费用</w:t>
      </w:r>
      <w:bookmarkEnd w:id="71"/>
      <w:r/>
      <w:bookmarkEnd w:id="72"/>
      <w:r/>
      <w:bookmarkEnd w:id="73"/>
      <w:r/>
      <w:bookmarkEnd w:id="74"/>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4.1 投标人应自行承担所有与参加投标有关的费用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无论投标过程中的做法和结果如何</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在任何情况下均无义务和责任承担这些费用。</w:t>
      </w:r>
      <w:r/>
    </w:p>
    <w:p>
      <w:pPr>
        <w:ind w:firstLine="422"/>
        <w:keepLines w:val="0"/>
        <w:keepNext w:val="0"/>
        <w:pageBreakBefore w:val="0"/>
        <w:spacing w:line="360" w:lineRule="auto"/>
        <w:widowControl w:val="off"/>
        <w:rPr>
          <w:rFonts w:hint="eastAsia" w:ascii="宋体" w:hAnsi="宋体" w:eastAsia="宋体" w:cs="Times New Roman"/>
          <w:b/>
          <w:bCs/>
          <w:color w:val="000000"/>
          <w:sz w:val="24"/>
        </w:rPr>
      </w:pPr>
      <w:r>
        <w:rPr>
          <w:rFonts w:hint="eastAsia" w:ascii="宋体" w:hAnsi="宋体" w:eastAsia="宋体" w:cs="Times New Roman"/>
          <w:b/>
          <w:bCs/>
          <w:color w:val="000000"/>
          <w:sz w:val="24"/>
        </w:rPr>
        <w:t xml:space="preserve">4.2</w:t>
      </w:r>
      <w:r>
        <w:rPr>
          <w:rFonts w:hint="eastAsia" w:ascii="宋体" w:hAnsi="宋体" w:eastAsia="宋体" w:cs="Times New Roman"/>
          <w:b/>
          <w:bCs/>
          <w:color w:val="000000"/>
          <w:sz w:val="24"/>
          <w:lang w:val="en-US" w:eastAsia="zh-CN"/>
        </w:rPr>
        <w:t xml:space="preserve"> </w:t>
      </w:r>
      <w:r>
        <w:rPr>
          <w:rFonts w:hint="eastAsia" w:ascii="宋体" w:hAnsi="宋体" w:eastAsia="宋体" w:cs="Times New Roman"/>
          <w:b/>
          <w:bCs/>
          <w:color w:val="000000"/>
          <w:sz w:val="24"/>
        </w:rPr>
        <w:t xml:space="preserve">招标代理服务费及专家评审费：本项目专家评审费按《关于规范江苏省政府采购专家评审费标准的通知》收取，由采购人支付；招标代理费按《招标代理服务收费管理暂行办法（计价格〔2002〕1980号）标准收取，招标代理费由中标供应商领取《中标通知书》前支付给代理机构，供应商在投标时应充分考虑以上费用，无论供应商是否将该费用包含在报价中，均视为已包含在投标价格中</w:t>
      </w:r>
      <w:r>
        <w:rPr>
          <w:rFonts w:hint="eastAsia" w:ascii="宋体" w:hAnsi="宋体" w:eastAsia="宋体" w:cs="Times New Roman"/>
          <w:b/>
          <w:bCs/>
          <w:color w:val="000000"/>
          <w:sz w:val="24"/>
          <w:lang w:val="en-US" w:eastAsia="zh-CN"/>
        </w:rPr>
        <w:t xml:space="preserve">。</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招标文件的约束力</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5.1 投标人一旦参加本项目采购活动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即被认为接受了本文件的规定和约束。</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75" w:name="_Toc120614215"/>
      <w:r/>
      <w:bookmarkStart w:id="76" w:name="_Toc20823281"/>
      <w:r/>
      <w:bookmarkStart w:id="77" w:name="_Toc513029209"/>
      <w:r/>
      <w:bookmarkStart w:id="78" w:name="_Toc16938525"/>
      <w:r>
        <w:rPr>
          <w:rFonts w:hint="eastAsia" w:ascii="方正黑体_GBK" w:hAnsi="方正黑体_GBK" w:eastAsia="方正黑体_GBK" w:cs="方正黑体_GBK"/>
          <w:b w:val="0"/>
          <w:bCs w:val="0"/>
          <w:color w:val="000000"/>
          <w:sz w:val="30"/>
          <w:szCs w:val="30"/>
        </w:rPr>
        <w:t xml:space="preserve">二、招标文件</w:t>
      </w:r>
      <w:bookmarkEnd w:id="75"/>
      <w:r/>
      <w:bookmarkEnd w:id="76"/>
      <w:r/>
      <w:bookmarkEnd w:id="77"/>
      <w:r/>
      <w:bookmarkEnd w:id="78"/>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79" w:name="_Toc513029210"/>
      <w:r/>
      <w:bookmarkStart w:id="80" w:name="_Toc20823282"/>
      <w:r/>
      <w:bookmarkStart w:id="81" w:name="_Toc16938526"/>
      <w:r>
        <w:rPr>
          <w:rFonts w:hint="eastAsia" w:ascii="方正楷体_GBK" w:hAnsi="方正楷体_GBK" w:eastAsia="方正楷体_GBK" w:cs="方正楷体_GBK"/>
          <w:b/>
          <w:bCs/>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招标文件构成</w:t>
      </w:r>
      <w:bookmarkEnd w:id="79"/>
      <w:r/>
      <w:bookmarkEnd w:id="80"/>
      <w:r/>
      <w:bookmarkEnd w:id="81"/>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6.1 招标文件由以下部分组成：</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（1）投标邀请</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（2）投标人须知</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（3）合同文本</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（4）采购需求</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（5）评标方法与评标标准</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（6）投标文件格式</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eastAsia="zh-CN"/>
        </w:rPr>
        <w:t xml:space="preserve">投标人应</w:t>
      </w:r>
      <w:r>
        <w:rPr>
          <w:rFonts w:hint="eastAsia" w:ascii="宋体" w:hAnsi="宋体" w:eastAsia="宋体" w:cs="Times New Roman"/>
          <w:color w:val="000000"/>
          <w:sz w:val="24"/>
        </w:rPr>
        <w:t xml:space="preserve">仔细检查招标文件是否齐全</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如有缺漏请立即与</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联系。</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并保证所提供的全部资料的真实性</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以使其投标文件对招标文件作出实质性响应</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否则其风险由投标人自行承担。</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82" w:name="_Toc16938527"/>
      <w:r/>
      <w:bookmarkStart w:id="83" w:name="_Toc20823283"/>
      <w:r/>
      <w:bookmarkStart w:id="84" w:name="_Toc462564070"/>
      <w:r/>
      <w:bookmarkStart w:id="85" w:name="_Toc513029211"/>
      <w:r>
        <w:rPr>
          <w:rFonts w:hint="eastAsia" w:ascii="方正楷体_GBK" w:hAnsi="方正楷体_GBK" w:eastAsia="方正楷体_GBK" w:cs="方正楷体_GBK"/>
          <w:b/>
          <w:bCs/>
        </w:rPr>
        <w:t xml:space="preserve">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招标文件的澄清</w:t>
      </w:r>
      <w:bookmarkEnd w:id="82"/>
      <w:r/>
      <w:bookmarkEnd w:id="83"/>
      <w:r/>
      <w:bookmarkEnd w:id="84"/>
      <w:r/>
      <w:bookmarkEnd w:id="85"/>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7.1 任何要求对招标文件进行澄清的投标人</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应在投标截止期十日前按招标公告中的通讯地址</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以书面形式通知</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86" w:name="_Toc16938528"/>
      <w:r/>
      <w:bookmarkStart w:id="87" w:name="_Toc513029212"/>
      <w:r/>
      <w:bookmarkStart w:id="88" w:name="_Toc20823284"/>
      <w:r/>
      <w:bookmarkStart w:id="89" w:name="_Toc462564071"/>
      <w:r>
        <w:rPr>
          <w:rFonts w:hint="eastAsia" w:ascii="方正楷体_GBK" w:hAnsi="方正楷体_GBK" w:eastAsia="方正楷体_GBK" w:cs="方正楷体_GBK"/>
          <w:b/>
          <w:bCs/>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招标文件的修改</w:t>
      </w:r>
      <w:bookmarkEnd w:id="86"/>
      <w:r/>
      <w:bookmarkEnd w:id="87"/>
      <w:r/>
      <w:bookmarkEnd w:id="88"/>
      <w:r/>
      <w:bookmarkEnd w:id="89"/>
      <w:r/>
      <w:r/>
    </w:p>
    <w:p>
      <w:pPr>
        <w:ind w:firstLine="420"/>
        <w:keepLines w:val="0"/>
        <w:keepNext w:val="0"/>
        <w:pageBreakBefore w:val="0"/>
        <w:spacing w:line="360" w:lineRule="auto"/>
        <w:widowControl w:val="off"/>
        <w:rPr>
          <w:rFonts w:hint="eastAsia" w:ascii="宋体" w:hAnsi="宋体" w:eastAsia="宋体" w:cs="Times New Roman"/>
          <w:color w:val="000000"/>
          <w:sz w:val="24"/>
        </w:rPr>
      </w:pPr>
      <w:r/>
      <w:bookmarkStart w:id="90" w:name="_Toc513029213"/>
      <w:r/>
      <w:bookmarkStart w:id="91" w:name="_Toc16938529"/>
      <w:r/>
      <w:bookmarkStart w:id="92" w:name="_Toc120614216"/>
      <w:r/>
      <w:bookmarkStart w:id="93" w:name="_Toc20823285"/>
      <w:r/>
      <w:bookmarkStart w:id="94" w:name="_Toc462564072"/>
      <w:r>
        <w:rPr>
          <w:rFonts w:hint="eastAsia" w:ascii="宋体" w:hAnsi="宋体" w:eastAsia="宋体" w:cs="Times New Roman"/>
          <w:color w:val="000000"/>
          <w:sz w:val="24"/>
        </w:rPr>
        <w:t xml:space="preserve">8.1 在投标截止时间前</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可以对招标文件进行修改。招标文件的修改将在原公告媒体发布更正公告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更正内容将作为招标文件的组成部分</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并对投标人具有约束力。</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投标人应在提交投标文件截止时间前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关注原公告媒体有关本项目的更正公告</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根据更正公告内容自行决定是否需要重新制作和提交投标文件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并承担由此产生的相应责任。</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8.3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有权按照法定的要求推迟投标截止日期和开标日期</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并在原公告媒体发布更正公告。</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三、投标文件的编制</w:t>
      </w:r>
      <w:bookmarkEnd w:id="90"/>
      <w:r/>
      <w:bookmarkEnd w:id="91"/>
      <w:r/>
      <w:bookmarkEnd w:id="92"/>
      <w:r/>
      <w:bookmarkEnd w:id="93"/>
      <w:r/>
      <w:bookmarkEnd w:id="94"/>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95" w:name="_Toc462564073"/>
      <w:r/>
      <w:bookmarkStart w:id="96" w:name="_Toc20823286"/>
      <w:r/>
      <w:bookmarkStart w:id="97" w:name="_Toc513029214"/>
      <w:r/>
      <w:bookmarkStart w:id="98" w:name="_Toc16938530"/>
      <w:r>
        <w:rPr>
          <w:rFonts w:hint="eastAsia" w:ascii="方正楷体_GBK" w:hAnsi="方正楷体_GBK" w:eastAsia="方正楷体_GBK" w:cs="方正楷体_GBK"/>
          <w:b/>
          <w:bCs/>
        </w:rPr>
        <w:t xml:space="preserve">9</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投标文件的语言及度量衡单位</w:t>
      </w:r>
      <w:bookmarkEnd w:id="95"/>
      <w:r/>
      <w:bookmarkEnd w:id="96"/>
      <w:r/>
      <w:bookmarkEnd w:id="97"/>
      <w:r/>
      <w:bookmarkEnd w:id="98"/>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9.1 投标人提交的投标文件以及投标人与</w:t>
      </w:r>
      <w:r>
        <w:rPr>
          <w:rFonts w:hint="eastAsia" w:ascii="宋体" w:hAnsi="宋体" w:eastAsia="宋体" w:cs="Times New Roman"/>
          <w:color w:val="000000"/>
          <w:sz w:val="24"/>
          <w:lang w:eastAsia="zh-CN"/>
        </w:rPr>
        <w:t xml:space="preserve">代理机构</w:t>
      </w:r>
      <w:r>
        <w:rPr>
          <w:rFonts w:hint="eastAsia" w:ascii="宋体" w:hAnsi="宋体" w:eastAsia="宋体" w:cs="Times New Roman"/>
          <w:color w:val="000000"/>
          <w:sz w:val="24"/>
        </w:rPr>
        <w:t xml:space="preserve">就有关投标的所有来往通知、函件和文件均应使用简体中文。</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9.2 除技术性能另有规定外</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投标文件所使用的度量衡单位</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均须采用国家法定计量单位。</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99" w:name="_Toc462564074"/>
      <w:r/>
      <w:bookmarkStart w:id="100" w:name="_Toc16938531"/>
      <w:r/>
      <w:bookmarkStart w:id="101" w:name="_Toc20823287"/>
      <w:r/>
      <w:bookmarkStart w:id="102" w:name="_Toc513029215"/>
      <w:r>
        <w:rPr>
          <w:rFonts w:hint="eastAsia" w:ascii="方正楷体_GBK" w:hAnsi="方正楷体_GBK" w:eastAsia="方正楷体_GBK" w:cs="方正楷体_GBK"/>
          <w:b/>
          <w:bCs/>
        </w:rPr>
        <w:t xml:space="preserve">10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投标文件构成</w:t>
      </w:r>
      <w:bookmarkEnd w:id="99"/>
      <w:r/>
      <w:bookmarkEnd w:id="100"/>
      <w:r/>
      <w:bookmarkEnd w:id="101"/>
      <w:r/>
      <w:bookmarkEnd w:id="102"/>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10.1 投标人编写的投标文件应包括资格证明文件、符合性证明文件、投标分项报价表、响应及偏离表、其他证明文件、投标函、开标一览表等部分。</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10.2 如标书制作工具中格式和内容与“江苏政府采购网”发布的招标文件不一致</w:t>
      </w:r>
      <w:r>
        <w:rPr>
          <w:rFonts w:hint="eastAsia" w:ascii="宋体" w:hAnsi="宋体" w:eastAsia="宋体" w:cs="Times New Roman"/>
          <w:color w:val="000000"/>
          <w:sz w:val="24"/>
          <w:lang w:eastAsia="zh-CN"/>
        </w:rPr>
        <w:t xml:space="preserve">，</w:t>
      </w:r>
      <w:r>
        <w:rPr>
          <w:rFonts w:hint="eastAsia" w:ascii="宋体" w:hAnsi="宋体" w:eastAsia="宋体" w:cs="Times New Roman"/>
          <w:b w:val="0"/>
          <w:bCs w:val="0"/>
          <w:i w:val="0"/>
          <w:iCs w:val="0"/>
          <w:color w:val="000000"/>
          <w:sz w:val="24"/>
          <w:u w:val="none"/>
        </w:rPr>
        <w:t xml:space="preserve">以“江苏政府采购网”发布的招标文件为准。</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03" w:name="_Hlt26954838"/>
      <w:r/>
      <w:bookmarkEnd w:id="103"/>
      <w:r/>
      <w:bookmarkStart w:id="104" w:name="_Hlt26670360"/>
      <w:r/>
      <w:bookmarkEnd w:id="104"/>
      <w:r/>
      <w:bookmarkStart w:id="105" w:name="_Hlt26668975"/>
      <w:r/>
      <w:bookmarkEnd w:id="105"/>
      <w:r/>
      <w:bookmarkStart w:id="106" w:name="_Toc14577357"/>
      <w:r/>
      <w:bookmarkStart w:id="107" w:name="_Toc49090509"/>
      <w:r/>
      <w:bookmarkStart w:id="108" w:name="_Toc513029219"/>
      <w:r/>
      <w:bookmarkStart w:id="109" w:name="_Toc49090507"/>
      <w:r/>
      <w:bookmarkStart w:id="110" w:name="_Toc513029216"/>
      <w:r/>
      <w:bookmarkStart w:id="111" w:name="_Toc14577354"/>
      <w:r>
        <w:rPr>
          <w:rFonts w:hint="eastAsia" w:ascii="方正楷体_GBK" w:hAnsi="方正楷体_GBK" w:eastAsia="方正楷体_GBK" w:cs="方正楷体_GBK"/>
          <w:b/>
          <w:bCs/>
        </w:rPr>
        <w:t xml:space="preserve">11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证明投标人及投标标的符合招标文件规定的文件</w:t>
      </w:r>
      <w:bookmarkEnd w:id="106"/>
      <w:r/>
      <w:bookmarkEnd w:id="107"/>
      <w:r/>
      <w:bookmarkEnd w:id="108"/>
      <w:r/>
      <w:bookmarkEnd w:id="109"/>
      <w:bookmarkEnd w:id="110"/>
      <w:bookmarkEnd w:id="111"/>
      <w:r/>
    </w:p>
    <w:p>
      <w:pPr>
        <w:ind w:firstLine="420"/>
        <w:keepLines w:val="0"/>
        <w:keepNext w:val="0"/>
        <w:pageBreakBefore w:val="0"/>
        <w:spacing w:line="360" w:lineRule="auto"/>
        <w:widowControl w:val="off"/>
        <w:rPr>
          <w:rFonts w:hint="eastAsia" w:ascii="宋体" w:hAnsi="宋体" w:eastAsia="宋体" w:cs="Times New Roman"/>
          <w:color w:val="000000"/>
          <w:sz w:val="24"/>
        </w:rPr>
      </w:pPr>
      <w:r/>
      <w:bookmarkStart w:id="112" w:name="_Toc14577355"/>
      <w:r/>
      <w:bookmarkStart w:id="113" w:name="_Toc49090508"/>
      <w:r>
        <w:rPr>
          <w:rFonts w:hint="eastAsia" w:ascii="宋体" w:hAnsi="宋体" w:eastAsia="宋体" w:cs="Times New Roman"/>
          <w:color w:val="000000"/>
          <w:sz w:val="24"/>
        </w:rPr>
        <w:t xml:space="preserve">11.1 投标人应按照法律、法规、规章和规范性文件以及招标文件要求提交证明文件</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证明其投标标的符合招标文件规定。</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招标文件对证明文件无明确形式要求的</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证明文件可以以文字资料、图纸和数据等形式提交。</w:t>
      </w:r>
      <w:r/>
    </w:p>
    <w:p>
      <w:pPr>
        <w:pStyle w:val="906"/>
        <w:ind w:firstLine="420"/>
        <w:pageBreakBefore w:val="0"/>
        <w:spacing w:before="0" w:after="0" w:line="360" w:lineRule="auto"/>
        <w:widowControl w:val="off"/>
        <w:rPr>
          <w:rFonts w:hint="eastAsia" w:ascii="方正楷体_GBK" w:hAnsi="方正楷体_GBK" w:eastAsia="方正楷体_GBK" w:cs="方正楷体_GBK"/>
          <w:b/>
          <w:bCs/>
          <w:color w:val="000000"/>
          <w:lang w:eastAsia="zh-CN"/>
        </w:rPr>
      </w:pPr>
      <w:r>
        <w:rPr>
          <w:rFonts w:hint="eastAsia" w:ascii="方正楷体_GBK" w:hAnsi="方正楷体_GBK" w:eastAsia="方正楷体_GBK" w:cs="方正楷体_GBK"/>
          <w:b/>
          <w:bCs/>
        </w:rPr>
        <w:t xml:space="preserve">12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投标分项报价</w:t>
      </w:r>
      <w:bookmarkEnd w:id="112"/>
      <w:r/>
      <w:bookmarkStart w:id="114" w:name="_Hlt26670373"/>
      <w:r/>
      <w:bookmarkEnd w:id="114"/>
      <w:r>
        <w:rPr>
          <w:rFonts w:hint="eastAsia" w:ascii="方正楷体_GBK" w:hAnsi="方正楷体_GBK" w:eastAsia="方正楷体_GBK" w:cs="方正楷体_GBK"/>
          <w:b/>
          <w:bCs/>
        </w:rPr>
        <w:t xml:space="preserve">表</w:t>
      </w:r>
      <w:bookmarkEnd w:id="113"/>
      <w:r>
        <w:rPr>
          <w:rFonts w:hint="eastAsia" w:ascii="方正楷体_GBK" w:hAnsi="方正楷体_GBK" w:eastAsia="方正楷体_GBK" w:cs="方正楷体_GBK"/>
          <w:b/>
          <w:bCs/>
          <w:color w:val="000000"/>
          <w:lang w:eastAsia="zh-CN"/>
        </w:rPr>
        <w:t xml:space="preserve">（如有）</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12.1 投</w:t>
      </w:r>
      <w:bookmarkStart w:id="115" w:name="_Hlt26954840"/>
      <w:r/>
      <w:bookmarkEnd w:id="115"/>
      <w:r>
        <w:rPr>
          <w:rFonts w:hint="eastAsia" w:ascii="宋体" w:hAnsi="宋体" w:eastAsia="宋体" w:cs="Times New Roman"/>
          <w:color w:val="000000"/>
          <w:sz w:val="24"/>
        </w:rPr>
        <w:t xml:space="preserve">标人应按照招标文件规定格式填报投标分项报价表</w:t>
      </w:r>
      <w:bookmarkStart w:id="116" w:name="_Hlt26670399"/>
      <w:r/>
      <w:bookmarkEnd w:id="116"/>
      <w:r>
        <w:rPr>
          <w:rFonts w:hint="eastAsia" w:ascii="宋体" w:hAnsi="宋体" w:eastAsia="宋体" w:cs="Times New Roman"/>
          <w:color w:val="000000"/>
          <w:sz w:val="24"/>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12.2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rPr>
        <w:t xml:space="preserve">投标文件中的单价和总价无特殊规定的采用人民币报价</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以元为单位标注。招标文件另有规定的按规定执行。</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17" w:name="_Hlt26954848"/>
      <w:r/>
      <w:bookmarkEnd w:id="117"/>
      <w:r/>
      <w:bookmarkStart w:id="118" w:name="_Hlt26670486"/>
      <w:r/>
      <w:bookmarkEnd w:id="118"/>
      <w:r/>
      <w:bookmarkStart w:id="119" w:name="_Hlt26670482"/>
      <w:r/>
      <w:bookmarkEnd w:id="119"/>
      <w:r/>
      <w:bookmarkStart w:id="120" w:name="_Hlt26954842"/>
      <w:r/>
      <w:bookmarkEnd w:id="120"/>
      <w:r/>
      <w:bookmarkStart w:id="121" w:name="_Hlt26954846"/>
      <w:r/>
      <w:bookmarkEnd w:id="121"/>
      <w:r/>
      <w:bookmarkStart w:id="122" w:name="_Hlt26670425"/>
      <w:r/>
      <w:bookmarkEnd w:id="122"/>
      <w:r/>
      <w:bookmarkStart w:id="123" w:name="_Hlt26954731"/>
      <w:r/>
      <w:bookmarkEnd w:id="123"/>
      <w:r/>
      <w:bookmarkStart w:id="124" w:name="_Hlt26668983"/>
      <w:r/>
      <w:bookmarkEnd w:id="124"/>
      <w:r/>
      <w:bookmarkStart w:id="125" w:name="_Hlt26954844"/>
      <w:r/>
      <w:bookmarkEnd w:id="125"/>
      <w:r/>
      <w:bookmarkStart w:id="126" w:name="_Hlt26670403"/>
      <w:r/>
      <w:bookmarkEnd w:id="126"/>
      <w:r>
        <w:rPr>
          <w:rFonts w:hint="eastAsia" w:ascii="方正楷体_GBK" w:hAnsi="方正楷体_GBK" w:eastAsia="方正楷体_GBK" w:cs="方正楷体_GBK"/>
          <w:b/>
          <w:bCs/>
        </w:rPr>
        <w:t xml:space="preserve">13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响应及偏离表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13.1 投标人需对招标文件中的技术要求与商务要求逐项作出响应或偏离说明。</w:t>
      </w:r>
      <w:r/>
    </w:p>
    <w:p>
      <w:pPr>
        <w:ind w:firstLine="420"/>
        <w:keepLines w:val="0"/>
        <w:keepNext w:val="0"/>
        <w:pageBreakBefore w:val="0"/>
        <w:spacing w:line="360" w:lineRule="auto"/>
        <w:widowControl w:val="off"/>
        <w:rPr>
          <w:rFonts w:hint="eastAsia" w:ascii="宋体" w:hAnsi="宋体" w:eastAsia="宋体" w:cs="Times New Roman"/>
          <w:sz w:val="24"/>
          <w:lang w:val="zh-CN"/>
        </w:rPr>
      </w:pPr>
      <w:r>
        <w:rPr>
          <w:rFonts w:hint="eastAsia" w:ascii="宋体" w:hAnsi="宋体" w:eastAsia="宋体" w:cs="Times New Roman"/>
          <w:color w:val="000000"/>
          <w:sz w:val="24"/>
          <w:lang w:val="zh-CN"/>
        </w:rPr>
        <w:t xml:space="preserve">13.2 投标人可以在投标文件中提供认为需要的其他技术文件或说明。</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27" w:name="_Toc49090510"/>
      <w:r/>
      <w:bookmarkStart w:id="128" w:name="_Toc14577359"/>
      <w:r>
        <w:rPr>
          <w:rFonts w:hint="eastAsia" w:ascii="方正楷体_GBK" w:hAnsi="方正楷体_GBK" w:eastAsia="方正楷体_GBK" w:cs="方正楷体_GBK"/>
          <w:b/>
          <w:bCs/>
        </w:rPr>
        <w:t xml:space="preserve">14</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投标函和开标一览表</w:t>
      </w:r>
      <w:r>
        <w:rPr>
          <w:rFonts w:hint="eastAsia" w:ascii="方正楷体_GBK" w:hAnsi="方正楷体_GBK" w:eastAsia="方正楷体_GBK" w:cs="方正楷体_GBK"/>
          <w:b/>
          <w:bCs/>
          <w:lang w:val="en-US" w:eastAsia="zh-CN"/>
        </w:rPr>
        <w:t xml:space="preserve">及核心产品品牌一览表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14.1 投标人应按照招标文件规定格式完整、正确填报投标函、开标一览表及</w:t>
      </w:r>
      <w:r>
        <w:rPr>
          <w:rFonts w:hint="eastAsia" w:ascii="宋体" w:hAnsi="宋体" w:eastAsia="宋体" w:cs="Times New Roman"/>
          <w:color w:val="000000"/>
          <w:sz w:val="24"/>
          <w:lang w:val="zh-CN" w:eastAsia="zh-CN"/>
        </w:rPr>
        <w:t xml:space="preserve">核心产品品牌一</w:t>
      </w:r>
      <w:r>
        <w:rPr>
          <w:rFonts w:hint="eastAsia" w:ascii="宋体" w:hAnsi="宋体" w:eastAsia="宋体" w:cs="Times New Roman"/>
          <w:color w:val="000000"/>
          <w:sz w:val="24"/>
          <w:lang w:val="zh-CN"/>
        </w:rPr>
        <w:t xml:space="preserve">览表</w:t>
      </w:r>
      <w:r>
        <w:rPr>
          <w:rFonts w:hint="eastAsia" w:ascii="宋体" w:hAnsi="宋体" w:eastAsia="宋体" w:cs="Times New Roman"/>
          <w:color w:val="000000"/>
          <w:sz w:val="24"/>
          <w:lang w:val="zh-CN" w:eastAsia="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lang w:val="en-US" w:eastAsia="zh-CN"/>
        </w:rPr>
        <w:t xml:space="preserve">以</w:t>
      </w:r>
      <w:r>
        <w:rPr>
          <w:rFonts w:hint="eastAsia" w:ascii="宋体" w:hAnsi="宋体" w:eastAsia="宋体" w:cs="Times New Roman"/>
          <w:color w:val="000000"/>
          <w:sz w:val="24"/>
          <w:lang w:val="zh-CN"/>
        </w:rPr>
        <w:t xml:space="preserve">开标一览表中价格为准。</w:t>
      </w:r>
      <w:r/>
    </w:p>
    <w:p>
      <w:pPr>
        <w:ind w:firstLine="420"/>
        <w:pageBreakBefore w:val="0"/>
        <w:spacing w:line="360" w:lineRule="auto"/>
        <w:widowControl w:val="off"/>
        <w:rPr>
          <w:rFonts w:hint="eastAsia" w:ascii="宋体" w:hAnsi="宋体" w:eastAsia="宋体" w:cs="Times New Roman"/>
          <w:color w:val="ff0000"/>
          <w:sz w:val="24"/>
          <w:lang w:val="zh-CN" w:eastAsia="zh-CN"/>
        </w:rPr>
      </w:pPr>
      <w:r>
        <w:rPr>
          <w:rFonts w:hint="eastAsia" w:ascii="宋体" w:hAnsi="宋体" w:eastAsia="宋体" w:cs="Times New Roman"/>
          <w:color w:val="000000"/>
          <w:sz w:val="24"/>
          <w:lang w:val="zh-CN" w:eastAsia="zh-CN"/>
        </w:rPr>
        <w:t xml:space="preserve">14.3 核心产品品牌一</w:t>
      </w:r>
      <w:r>
        <w:rPr>
          <w:rFonts w:hint="eastAsia" w:ascii="宋体" w:hAnsi="宋体" w:eastAsia="宋体" w:cs="Times New Roman"/>
          <w:color w:val="000000"/>
          <w:sz w:val="24"/>
          <w:lang w:val="zh-CN"/>
        </w:rPr>
        <w:t xml:space="preserve">览表中</w:t>
      </w:r>
      <w:r>
        <w:rPr>
          <w:rFonts w:hint="eastAsia" w:ascii="宋体" w:hAnsi="宋体" w:eastAsia="宋体" w:cs="Times New Roman"/>
          <w:color w:val="000000"/>
          <w:sz w:val="24"/>
          <w:lang w:val="zh-CN" w:eastAsia="zh-CN"/>
        </w:rPr>
        <w:t xml:space="preserve">所投核心产品品牌缺项的将</w:t>
      </w:r>
      <w:r>
        <w:rPr>
          <w:rFonts w:hint="eastAsia" w:ascii="宋体" w:hAnsi="宋体" w:eastAsia="宋体" w:cs="Times New Roman"/>
          <w:color w:val="000000"/>
          <w:sz w:val="24"/>
          <w:lang w:val="zh-CN"/>
        </w:rPr>
        <w:t xml:space="preserve">视为无效投标。</w:t>
      </w:r>
      <w:bookmarkEnd w:id="127"/>
      <w:bookmarkEnd w:id="128"/>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29" w:name="_Hlt26670489"/>
      <w:r/>
      <w:bookmarkEnd w:id="129"/>
      <w:r/>
      <w:bookmarkStart w:id="130" w:name="_Hlt26954850"/>
      <w:r/>
      <w:bookmarkEnd w:id="130"/>
      <w:r/>
      <w:bookmarkStart w:id="131" w:name="_Hlt26954734"/>
      <w:r/>
      <w:bookmarkEnd w:id="131"/>
      <w:r/>
      <w:bookmarkStart w:id="132" w:name="_Toc14577360"/>
      <w:r/>
      <w:bookmarkStart w:id="133" w:name="_Toc49090511"/>
      <w:r>
        <w:rPr>
          <w:rFonts w:hint="eastAsia" w:ascii="方正楷体_GBK" w:hAnsi="方正楷体_GBK" w:eastAsia="方正楷体_GBK" w:cs="方正楷体_GBK"/>
          <w:b/>
          <w:bCs/>
        </w:rPr>
        <w:t xml:space="preserve">15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w:t>
      </w:r>
      <w:bookmarkEnd w:id="132"/>
      <w:r/>
      <w:bookmarkEnd w:id="133"/>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15.1 投标有效期为</w:t>
      </w:r>
      <w:r>
        <w:rPr>
          <w:rFonts w:hint="eastAsia" w:ascii="宋体" w:hAnsi="宋体" w:eastAsia="宋体" w:cs="Times New Roman"/>
          <w:color w:val="000000"/>
          <w:sz w:val="24"/>
          <w:lang w:val="en-US" w:eastAsia="zh-CN"/>
        </w:rPr>
        <w:t xml:space="preserve">招标公告</w:t>
      </w:r>
      <w:r>
        <w:rPr>
          <w:rFonts w:hint="eastAsia" w:ascii="宋体" w:hAnsi="宋体" w:eastAsia="宋体" w:cs="Times New Roman"/>
          <w:color w:val="000000"/>
          <w:sz w:val="24"/>
          <w:lang w:val="zh-CN"/>
        </w:rPr>
        <w:t xml:space="preserve">规定的开标之日</w:t>
      </w:r>
      <w:r>
        <w:rPr>
          <w:rFonts w:hint="eastAsia" w:ascii="宋体" w:hAnsi="宋体" w:eastAsia="宋体" w:cs="Times New Roman"/>
          <w:color w:val="000000"/>
          <w:sz w:val="24"/>
          <w:lang w:val="en-US" w:eastAsia="zh-CN"/>
        </w:rPr>
        <w:t xml:space="preserve">起</w:t>
      </w:r>
      <w:r>
        <w:rPr>
          <w:rFonts w:hint="eastAsia" w:ascii="宋体" w:hAnsi="宋体" w:eastAsia="宋体" w:cs="Times New Roman"/>
          <w:color w:val="000000"/>
          <w:sz w:val="24"/>
          <w:lang w:val="zh-CN"/>
        </w:rPr>
        <w:t xml:space="preserve">六十天。投标有效期比规定短的将被视为未实质性响应招标文件而</w:t>
      </w:r>
      <w:r>
        <w:rPr>
          <w:rFonts w:hint="eastAsia" w:ascii="宋体" w:hAnsi="宋体" w:eastAsia="宋体" w:cs="Times New Roman"/>
          <w:color w:val="000000"/>
          <w:sz w:val="24"/>
          <w:lang w:val="en-US" w:eastAsia="zh-CN"/>
        </w:rPr>
        <w:t xml:space="preserve">被</w:t>
      </w:r>
      <w:r>
        <w:rPr>
          <w:rFonts w:hint="eastAsia" w:ascii="宋体" w:hAnsi="宋体" w:eastAsia="宋体" w:cs="Times New Roman"/>
          <w:color w:val="000000"/>
          <w:sz w:val="24"/>
          <w:lang w:val="zh-CN"/>
        </w:rPr>
        <w:t xml:space="preserve">拒绝。</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16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投标有效期的延长</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16.1 在特殊情况下，</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的这一要求而放弃投标。同意延长投标有效期的投标人既不能要求也不允许修改其投标文件，同时受投标有效期约束的所有权利与义务均延长至新的有效期满。</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134" w:name="_Hlt26954852"/>
      <w:r/>
      <w:bookmarkEnd w:id="134"/>
      <w:r/>
      <w:bookmarkStart w:id="135" w:name="_Hlt26954739"/>
      <w:r/>
      <w:bookmarkEnd w:id="135"/>
      <w:r/>
      <w:bookmarkStart w:id="136" w:name="_Toc20823296"/>
      <w:r/>
      <w:bookmarkStart w:id="137" w:name="_Toc16938540"/>
      <w:r/>
      <w:bookmarkStart w:id="138" w:name="_Toc120614217"/>
      <w:r/>
      <w:bookmarkStart w:id="139" w:name="_Toc513029224"/>
      <w:r>
        <w:rPr>
          <w:rFonts w:hint="eastAsia" w:ascii="方正黑体_GBK" w:hAnsi="方正黑体_GBK" w:eastAsia="方正黑体_GBK" w:cs="方正黑体_GBK"/>
          <w:b w:val="0"/>
          <w:bCs w:val="0"/>
          <w:color w:val="000000"/>
          <w:sz w:val="30"/>
          <w:szCs w:val="30"/>
        </w:rPr>
        <w:t xml:space="preserve">四、投标文件的递交</w:t>
      </w:r>
      <w:bookmarkEnd w:id="136"/>
      <w:r/>
      <w:bookmarkEnd w:id="137"/>
      <w:r/>
      <w:bookmarkEnd w:id="138"/>
      <w:r/>
      <w:bookmarkEnd w:id="139"/>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40" w:name="_Toc462564084"/>
      <w:r/>
      <w:bookmarkStart w:id="141" w:name="_Toc513029225"/>
      <w:r/>
      <w:bookmarkStart w:id="142" w:name="_Toc20823297"/>
      <w:r/>
      <w:bookmarkStart w:id="143" w:name="_Toc16938541"/>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0"/>
      <w:r/>
      <w:bookmarkEnd w:id="141"/>
      <w:r/>
      <w:bookmarkEnd w:id="142"/>
      <w:r/>
      <w:bookmarkEnd w:id="143"/>
      <w:r>
        <w:rPr>
          <w:rFonts w:hint="eastAsia" w:ascii="方正楷体_GBK" w:hAnsi="方正楷体_GBK" w:eastAsia="方正楷体_GBK" w:cs="方正楷体_GBK"/>
          <w:b/>
          <w:bCs/>
        </w:rPr>
        <w:t xml:space="preserve">的递交</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17.1 投标人应当按照《操作手册》规定，在招标公告规定的投标截止时间前制作并上传电子投标文件。</w:t>
      </w:r>
      <w:bookmarkStart w:id="144" w:name="_Toc513029226"/>
      <w:r/>
      <w:bookmarkStart w:id="145" w:name="_Toc16938542"/>
      <w:r/>
      <w:bookmarkStart w:id="146" w:name="_Toc20823298"/>
      <w:r/>
      <w:bookmarkEnd w:id="144"/>
      <w:bookmarkEnd w:id="145"/>
      <w:bookmarkEnd w:id="146"/>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 投标人应充分考虑网络环境、网络带宽等因素</w:t>
      </w:r>
      <w:r>
        <w:rPr>
          <w:rFonts w:hint="eastAsia" w:ascii="宋体" w:hAnsi="宋体" w:eastAsia="宋体" w:cs="Times New Roman"/>
          <w:color w:val="000000"/>
          <w:sz w:val="24"/>
          <w:lang w:val="en-US" w:eastAsia="zh-CN"/>
        </w:rPr>
        <w:t xml:space="preserve">可能对投标产生的影响</w:t>
      </w:r>
      <w:r>
        <w:rPr>
          <w:rFonts w:hint="eastAsia" w:ascii="宋体" w:hAnsi="宋体" w:eastAsia="宋体" w:cs="Times New Roman"/>
          <w:color w:val="000000"/>
          <w:sz w:val="24"/>
          <w:lang w:val="zh-CN"/>
        </w:rPr>
        <w:t xml:space="preserve">，如因投标人自身原因造成的电子投标文件上传不成功的，按照本招标文件第二章第2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.1条规定做无效投标处理。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 </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可以按照规定，通过修改招标文件酌情延长投标截止时间，在此情况下，投标人的所有权利和义务均以延长后新的截止时间为准。</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47" w:name="_Toc20823299"/>
      <w:r/>
      <w:bookmarkStart w:id="148" w:name="_Toc513029227"/>
      <w:r/>
      <w:bookmarkStart w:id="149" w:name="_Toc16938543"/>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7"/>
      <w:r/>
      <w:bookmarkEnd w:id="148"/>
      <w:r/>
      <w:bookmarkEnd w:id="149"/>
      <w:r>
        <w:rPr>
          <w:rFonts w:hint="eastAsia" w:ascii="方正楷体_GBK" w:hAnsi="方正楷体_GBK" w:eastAsia="方正楷体_GBK" w:cs="方正楷体_GBK"/>
          <w:b/>
          <w:bCs/>
        </w:rPr>
        <w:t xml:space="preserve">的拒收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投标截止时间后上传的任何投标文件将被拒绝。</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50" w:name="_Toc20823300"/>
      <w:r/>
      <w:bookmarkStart w:id="151" w:name="_Toc16938544"/>
      <w:r/>
      <w:bookmarkStart w:id="152"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50"/>
      <w:r/>
      <w:bookmarkEnd w:id="151"/>
      <w:r/>
      <w:bookmarkEnd w:id="152"/>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 投标文件的撤回</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投标人可在投标截止时间前撤回其电子投标文件，具体操作方法见《操作手册》。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投标人撤回电子投标文件，则认为其不再参与本项目投标活动。</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 投标文件的修改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投标人可在投标截止时间前对其电子投标文件进行修改，具体操作方法见《操作手册》。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投标截止时间之后，投标人不得对其电子投标文件作任何修改。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19</w:t>
      </w:r>
      <w:r>
        <w:rPr>
          <w:rFonts w:hint="eastAsia" w:ascii="宋体" w:hAnsi="宋体" w:eastAsia="宋体" w:cs="Times New Roman"/>
          <w:color w:val="000000"/>
          <w:sz w:val="24"/>
          <w:lang w:val="zh-CN"/>
        </w:rPr>
        <w:t xml:space="preserve">.3 在投标截止时间至招标文件中规定的投标有效期满之间的这段时间内，投标人不得撤回其投标。</w:t>
      </w:r>
      <w:bookmarkStart w:id="153" w:name="_Toc20823301"/>
      <w:r/>
      <w:bookmarkStart w:id="154" w:name="_Toc120614218"/>
      <w:r/>
      <w:bookmarkStart w:id="155" w:name="_Toc16938545"/>
      <w:r/>
      <w:bookmarkStart w:id="156" w:name="_Toc513029229"/>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五、开标与评标</w:t>
      </w:r>
      <w:bookmarkEnd w:id="153"/>
      <w:r/>
      <w:bookmarkEnd w:id="154"/>
      <w:r/>
      <w:bookmarkEnd w:id="155"/>
      <w:r/>
      <w:bookmarkEnd w:id="156"/>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57" w:name="_Toc20823302"/>
      <w:r/>
      <w:bookmarkStart w:id="158" w:name="_Toc16938546"/>
      <w:r/>
      <w:bookmarkStart w:id="159" w:name="_Toc513029230"/>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7"/>
      <w:r/>
      <w:bookmarkEnd w:id="158"/>
      <w:r/>
      <w:bookmarkEnd w:id="159"/>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投标人在开标过程中涉及到的投标文件解密、开标结果确认等工作，应按照《操作手册》规定执行。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0</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投标人如果对开标过程和开标</w:t>
      </w:r>
      <w:r>
        <w:rPr>
          <w:rFonts w:hint="eastAsia" w:ascii="宋体" w:hAnsi="宋体" w:eastAsia="宋体" w:cs="Times New Roman"/>
          <w:color w:val="000000"/>
          <w:sz w:val="24"/>
          <w:lang w:val="en-US" w:eastAsia="zh-CN"/>
        </w:rPr>
        <w:t xml:space="preserve">结果</w:t>
      </w:r>
      <w:r>
        <w:rPr>
          <w:rFonts w:hint="eastAsia" w:ascii="宋体" w:hAnsi="宋体" w:eastAsia="宋体" w:cs="Times New Roman"/>
          <w:color w:val="000000"/>
          <w:sz w:val="24"/>
          <w:lang w:val="zh-CN"/>
        </w:rPr>
        <w:t xml:space="preserve">有疑义，应当根据《操作手册》规定提出，苏采云系统中《开标记录表》公布后5分钟内未提出的，视同认可开标结果。</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60" w:name="_Toc20823303"/>
      <w:r/>
      <w:bookmarkStart w:id="161" w:name="_Toc16938547"/>
      <w:r/>
      <w:bookmarkStart w:id="162" w:name="_Toc513029231"/>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.1 </w:t>
      </w:r>
      <w:r>
        <w:rPr>
          <w:rFonts w:hint="eastAsia" w:ascii="宋体" w:hAnsi="宋体" w:eastAsia="宋体" w:cs="Times New Roman"/>
          <w:color w:val="000000"/>
          <w:sz w:val="24"/>
          <w:lang w:val="en-US" w:eastAsia="zh-CN"/>
        </w:rPr>
        <w:t xml:space="preserve">评标由依法组建的</w:t>
      </w:r>
      <w:r>
        <w:rPr>
          <w:rFonts w:hint="eastAsia" w:ascii="宋体" w:hAnsi="宋体" w:eastAsia="宋体" w:cs="Times New Roman"/>
          <w:color w:val="000000"/>
          <w:sz w:val="24"/>
          <w:lang w:val="zh-CN"/>
        </w:rPr>
        <w:t xml:space="preserve">评标委员会（以下简称“评委会”）进行。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.2 评委会由采购人代表和有关技术、经济或法律等方面的专家组成，且人员构成符合政府采购有关规定。</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评委会独立工作，负责评审所有投标文件并</w:t>
      </w:r>
      <w:r>
        <w:rPr>
          <w:rFonts w:hint="eastAsia" w:ascii="宋体" w:hAnsi="宋体" w:cs="Times New Roman"/>
          <w:color w:val="000000"/>
          <w:sz w:val="24"/>
          <w:lang w:val="en-US" w:eastAsia="zh-CN"/>
        </w:rPr>
        <w:t xml:space="preserve">推荐</w:t>
      </w:r>
      <w:r>
        <w:rPr>
          <w:rFonts w:hint="eastAsia" w:ascii="宋体" w:hAnsi="宋体" w:eastAsia="宋体" w:cs="Times New Roman"/>
          <w:color w:val="000000"/>
          <w:sz w:val="24"/>
          <w:lang w:val="zh-CN"/>
        </w:rPr>
        <w:t xml:space="preserve">中标候选人</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或根据采购人授权直接确定中标人</w:t>
      </w:r>
      <w:r>
        <w:rPr>
          <w:rFonts w:hint="eastAsia" w:ascii="宋体" w:hAnsi="宋体" w:eastAsia="宋体" w:cs="Times New Roman"/>
          <w:color w:val="000000"/>
          <w:sz w:val="24"/>
          <w:lang w:val="zh-CN"/>
        </w:rPr>
        <w:t xml:space="preserve">。</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60"/>
      <w:bookmarkEnd w:id="161"/>
      <w:bookmarkEnd w:id="162"/>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凡是与审查、澄清、评价和比较投标的有关资料以及授标建议等，采购人、评委、</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均不得向投标人或与评标无关的其他人员透露。</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投标人不得以任何</w:t>
      </w:r>
      <w:r>
        <w:rPr>
          <w:rFonts w:hint="eastAsia" w:ascii="宋体" w:hAnsi="宋体" w:eastAsia="宋体" w:cs="Times New Roman"/>
          <w:color w:val="000000"/>
          <w:sz w:val="24"/>
          <w:lang w:val="en-US" w:eastAsia="zh-CN"/>
        </w:rPr>
        <w:t xml:space="preserve">方式</w:t>
      </w:r>
      <w:r>
        <w:rPr>
          <w:rFonts w:hint="eastAsia" w:ascii="宋体" w:hAnsi="宋体" w:eastAsia="宋体" w:cs="Times New Roman"/>
          <w:color w:val="000000"/>
          <w:sz w:val="24"/>
          <w:lang w:val="zh-CN"/>
        </w:rPr>
        <w:t xml:space="preserve">影响评标，否则其投标文件将被作为无效投标文件。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和评委会不向未中标的投标人解释未中标原因，也不公布评标过程中的相关细节。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2</w:t>
      </w:r>
      <w:r>
        <w:rPr>
          <w:rFonts w:hint="eastAsia" w:ascii="宋体" w:hAnsi="宋体" w:eastAsia="宋体" w:cs="Times New Roman"/>
          <w:color w:val="000000"/>
          <w:sz w:val="24"/>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lang w:val="en-US" w:eastAsia="zh-CN"/>
        </w:rPr>
        <w:t xml:space="preserve">本单位</w:t>
      </w:r>
      <w:r>
        <w:rPr>
          <w:rFonts w:hint="eastAsia" w:ascii="宋体" w:hAnsi="宋体" w:eastAsia="宋体" w:cs="Times New Roman"/>
          <w:color w:val="000000"/>
          <w:sz w:val="24"/>
          <w:lang w:val="zh-CN"/>
        </w:rPr>
        <w:t xml:space="preserve">的评审得分及排</w:t>
      </w:r>
      <w:r>
        <w:rPr>
          <w:rFonts w:hint="eastAsia" w:ascii="宋体" w:hAnsi="宋体" w:eastAsia="宋体" w:cs="Times New Roman"/>
          <w:color w:val="000000"/>
          <w:sz w:val="24"/>
          <w:lang w:val="en-US" w:eastAsia="zh-CN"/>
        </w:rPr>
        <w:t xml:space="preserve">名</w:t>
      </w:r>
      <w:r>
        <w:rPr>
          <w:rFonts w:hint="eastAsia" w:ascii="宋体" w:hAnsi="宋体" w:eastAsia="宋体" w:cs="Times New Roman"/>
          <w:color w:val="000000"/>
          <w:sz w:val="24"/>
          <w:lang w:val="zh-CN"/>
        </w:rPr>
        <w:t xml:space="preserve">情况。</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63" w:name="_Toc20823304"/>
      <w:r/>
      <w:bookmarkStart w:id="164" w:name="_Toc16938548"/>
      <w:r/>
      <w:bookmarkStart w:id="165"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3"/>
      <w:r/>
      <w:bookmarkEnd w:id="164"/>
      <w:r/>
      <w:bookmarkEnd w:id="165"/>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投标人的澄清、说明或者补正不得超出投标文件的范围或者改变投标文件的实质性内容。</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评委会并非对每个投标人都做澄清要求。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需要供应商进行澄清、说明和补正的，评委会将通过苏采云系统向</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发出《澄清要求函》，接到《澄清要求函》的</w:t>
      </w:r>
      <w:r>
        <w:rPr>
          <w:rFonts w:hint="eastAsia" w:ascii="宋体" w:hAnsi="宋体" w:eastAsia="宋体" w:cs="Times New Roman"/>
          <w:color w:val="000000"/>
          <w:sz w:val="24"/>
          <w:lang w:val="en-US" w:eastAsia="zh-CN"/>
        </w:rPr>
        <w:t xml:space="preserve">投标人</w:t>
      </w:r>
      <w:r>
        <w:rPr>
          <w:rFonts w:hint="eastAsia" w:ascii="宋体" w:hAnsi="宋体" w:eastAsia="宋体" w:cs="Times New Roman"/>
          <w:color w:val="000000"/>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.3 接到评委会澄清、说明和补正要求的，投标人如未按规定</w:t>
      </w:r>
      <w:r>
        <w:rPr>
          <w:rFonts w:hint="eastAsia" w:ascii="宋体" w:hAnsi="宋体" w:eastAsia="宋体" w:cs="Times New Roman"/>
          <w:color w:val="000000"/>
          <w:sz w:val="24"/>
          <w:lang w:val="en-US" w:eastAsia="zh-CN"/>
        </w:rPr>
        <w:t xml:space="preserve">作</w:t>
      </w:r>
      <w:r>
        <w:rPr>
          <w:rFonts w:hint="eastAsia" w:ascii="宋体" w:hAnsi="宋体" w:eastAsia="宋体" w:cs="Times New Roman"/>
          <w:color w:val="000000"/>
          <w:sz w:val="24"/>
          <w:lang w:val="zh-CN"/>
        </w:rPr>
        <w:t xml:space="preserve">出澄清、说明和补正，其风险由投标人自行承担。</w:t>
      </w:r>
      <w:r/>
    </w:p>
    <w:p>
      <w:pPr>
        <w:pStyle w:val="906"/>
        <w:ind w:firstLine="420"/>
        <w:pageBreakBefore w:val="0"/>
        <w:spacing w:before="0" w:after="0" w:line="360" w:lineRule="auto"/>
        <w:widowControl w:val="off"/>
        <w:rPr>
          <w:rFonts w:hint="eastAsia" w:ascii="方正楷体_GBK" w:hAnsi="方正楷体_GBK" w:eastAsia="方正楷体_GBK" w:cs="方正楷体_GBK"/>
          <w:b/>
          <w:bCs/>
          <w:lang w:eastAsia="zh-CN"/>
        </w:rPr>
      </w:pPr>
      <w:r/>
      <w:bookmarkStart w:id="166" w:name="_Toc16938549"/>
      <w:r/>
      <w:bookmarkStart w:id="167" w:name="_Toc20823305"/>
      <w:r/>
      <w:bookmarkStart w:id="168"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6"/>
      <w:r/>
      <w:bookmarkEnd w:id="167"/>
      <w:r/>
      <w:bookmarkEnd w:id="168"/>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投标文件审查分为资格审查和符合性审查。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lang w:val="en-US" w:eastAsia="zh-CN"/>
        </w:rPr>
        <w:t xml:space="preserve">并</w:t>
      </w:r>
      <w:r>
        <w:rPr>
          <w:rFonts w:hint="eastAsia" w:ascii="宋体" w:hAnsi="宋体" w:eastAsia="宋体" w:cs="Times New Roman"/>
          <w:color w:val="000000"/>
          <w:sz w:val="24"/>
          <w:lang w:val="zh-CN"/>
        </w:rPr>
        <w:t xml:space="preserve">向评委会反馈</w:t>
      </w:r>
      <w:r>
        <w:rPr>
          <w:rFonts w:hint="eastAsia" w:ascii="宋体" w:hAnsi="宋体" w:eastAsia="宋体" w:cs="Times New Roman"/>
          <w:color w:val="000000"/>
          <w:sz w:val="24"/>
          <w:lang w:val="en-US" w:eastAsia="zh-CN"/>
        </w:rPr>
        <w:t xml:space="preserve">审查结论</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采购人进行资格审查时，将在“信用中国”网站（www.creditchina.gov.cn）查询投标人的信用记录，以确定投标人是否具备投标资格，查询结果留存并归档。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符合性审查。依据招标文件的规定，由评委会从有效性、完整性和对招标文件的响应程度</w:t>
      </w:r>
      <w:r>
        <w:rPr>
          <w:rFonts w:hint="eastAsia" w:ascii="宋体" w:hAnsi="宋体" w:eastAsia="宋体" w:cs="Times New Roman"/>
          <w:color w:val="000000"/>
          <w:sz w:val="24"/>
          <w:lang w:val="en-US" w:eastAsia="zh-CN"/>
        </w:rPr>
        <w:t xml:space="preserve">等方面对投标文件</w:t>
      </w:r>
      <w:r>
        <w:rPr>
          <w:rFonts w:hint="eastAsia" w:ascii="宋体" w:hAnsi="宋体" w:eastAsia="宋体" w:cs="Times New Roman"/>
          <w:color w:val="000000"/>
          <w:sz w:val="24"/>
          <w:lang w:val="zh-CN"/>
        </w:rPr>
        <w:t xml:space="preserve">进行审查，以确定是否对招标文件的实质性要求作出响应。</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未通过资格审查或符合性审查的投标人，</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将</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rPr>
        <w:t xml:space="preserve">苏采云系统告知</w:t>
      </w:r>
      <w:r>
        <w:rPr>
          <w:rFonts w:hint="eastAsia" w:ascii="宋体" w:hAnsi="宋体" w:eastAsia="宋体" w:cs="Times New Roman"/>
          <w:color w:val="000000"/>
          <w:sz w:val="24"/>
          <w:lang w:val="en-US" w:eastAsia="zh-CN"/>
        </w:rPr>
        <w:t xml:space="preserve">其具体</w:t>
      </w:r>
      <w:r>
        <w:rPr>
          <w:rFonts w:hint="eastAsia" w:ascii="宋体" w:hAnsi="宋体" w:eastAsia="宋体" w:cs="Times New Roman"/>
          <w:color w:val="000000"/>
          <w:sz w:val="24"/>
          <w:lang w:val="zh-CN"/>
        </w:rPr>
        <w:t xml:space="preserve">原因，评标结束后</w:t>
      </w:r>
      <w:r>
        <w:rPr>
          <w:rFonts w:hint="eastAsia" w:ascii="宋体" w:hAnsi="宋体" w:eastAsia="宋体" w:cs="Times New Roman"/>
          <w:color w:val="000000"/>
          <w:sz w:val="24"/>
          <w:lang w:val="en-US" w:eastAsia="zh-CN"/>
        </w:rPr>
        <w:t xml:space="preserve">不再接受有关询问</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仅对</w:t>
      </w:r>
      <w:r>
        <w:rPr>
          <w:rFonts w:hint="eastAsia" w:ascii="宋体" w:hAnsi="宋体" w:eastAsia="宋体" w:cs="Times New Roman"/>
          <w:color w:val="000000"/>
          <w:sz w:val="24"/>
          <w:lang w:val="zh-CN"/>
        </w:rPr>
        <w:t xml:space="preserve">实质性响应招标文件要求</w:t>
      </w:r>
      <w:r>
        <w:rPr>
          <w:rFonts w:hint="eastAsia" w:ascii="宋体" w:hAnsi="宋体" w:eastAsia="宋体" w:cs="Times New Roman"/>
          <w:color w:val="000000"/>
          <w:sz w:val="24"/>
          <w:lang w:val="en-US" w:eastAsia="zh-CN"/>
        </w:rPr>
        <w:t xml:space="preserve">的投标文件进行详细评审</w:t>
      </w:r>
      <w:r>
        <w:rPr>
          <w:rFonts w:hint="eastAsia" w:ascii="宋体" w:hAnsi="宋体" w:eastAsia="宋体" w:cs="Times New Roman"/>
          <w:color w:val="000000"/>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评委会</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少数服从多数的原则作出结论。评委</w:t>
      </w:r>
      <w:r>
        <w:rPr>
          <w:rFonts w:hint="eastAsia" w:ascii="宋体" w:hAnsi="宋体" w:eastAsia="宋体" w:cs="Times New Roman"/>
          <w:color w:val="000000"/>
          <w:sz w:val="24"/>
          <w:lang w:val="en-US" w:eastAsia="zh-CN"/>
        </w:rPr>
        <w:t xml:space="preserve">会认</w:t>
      </w:r>
      <w:r>
        <w:rPr>
          <w:rFonts w:hint="eastAsia" w:ascii="宋体" w:hAnsi="宋体" w:eastAsia="宋体" w:cs="Times New Roman"/>
          <w:color w:val="000000"/>
          <w:sz w:val="24"/>
          <w:lang w:val="zh-CN"/>
        </w:rPr>
        <w:t xml:space="preserve">定投标文件的响应性只根据投标文件本身的内容，而不寻求外部的证据。</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如果投标文件实质上没有响应招标文件的要求，评委会将予以拒绝，投标人不得通过修改或撤销不合要求的偏离或保留而使其投标成为实质性响应的投标。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（1）投标文件中开标一览表内容与投标文件中相应内容不一致的，以开标一览表为准；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（2）大写金额和小写金额不一致的，以大写金额为准；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（3）单价金额小数点或者百分比有明显错位的，以开标一览表的总价为准，并修改单价；</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（4）总价金额与按单价汇总金额不一致的，以单价金额计算结果为准。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同时出现两种以上错误的，按照前款规定的顺序修正。</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bookmarkStart w:id="169" w:name="_Toc20823306"/>
      <w:r/>
      <w:bookmarkStart w:id="170" w:name="_Toc16938550"/>
      <w:r/>
      <w:bookmarkStart w:id="171" w:name="_Toc513029234"/>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4</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及评委会联系。</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9"/>
      <w:r/>
      <w:bookmarkEnd w:id="170"/>
      <w:r/>
      <w:bookmarkEnd w:id="171"/>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bookmarkStart w:id="172" w:name="_Toc20823307"/>
      <w:r/>
      <w:bookmarkStart w:id="173" w:name="_Toc16938551"/>
      <w:r/>
      <w:bookmarkStart w:id="174" w:name="_Toc513029235"/>
      <w:r/>
      <w:bookmarkStart w:id="175" w:name="_Toc120614219"/>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无效投标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投标人在苏采云系统规定的时间内未成功解密电子投标文件。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投标人未按照招标文件要求上传电子投标文件。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同一投标人提交两个（含两个）以上不同的投标报价。</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投标人不具备招标文件中规定资格要求。</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投标人的报价超过了采购预算或最高限价。</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.1.6</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未通过符合性审查。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.1.7</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不符合招标文件中实质性要求和条件（</w:t>
      </w:r>
      <w:r>
        <w:rPr>
          <w:rFonts w:hint="eastAsia" w:ascii="宋体" w:hAnsi="宋体" w:eastAsia="宋体" w:cs="Times New Roman"/>
          <w:b/>
          <w:bCs/>
          <w:color w:val="000000"/>
          <w:sz w:val="24"/>
          <w:lang w:val="zh-CN"/>
        </w:rPr>
        <w:t xml:space="preserve">本文件中斜体且有下划线部分，或者打“</w:t>
      </w:r>
      <w:r>
        <w:rPr>
          <w:rFonts w:hint="eastAsia" w:ascii="宋体" w:hAnsi="宋体" w:eastAsia="宋体" w:cs="Times New Roman"/>
          <w:b/>
          <w:bCs/>
          <w:color w:val="000000"/>
          <w:sz w:val="24"/>
          <w:lang w:val="en-US" w:eastAsia="zh-CN"/>
        </w:rPr>
        <w:t xml:space="preserve">★</w:t>
      </w:r>
      <w:r>
        <w:rPr>
          <w:rFonts w:hint="eastAsia" w:ascii="宋体" w:hAnsi="宋体" w:eastAsia="宋体" w:cs="Times New Roman"/>
          <w:b/>
          <w:bCs/>
          <w:color w:val="000000"/>
          <w:sz w:val="24"/>
          <w:lang w:val="zh-CN"/>
        </w:rPr>
        <w:t xml:space="preserve">”内容为实质性要求和条件</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.1.8</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.1.9</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投标文件含有采购人不能接受的附加条件。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.1.10</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评委会认为投标人的报价明显低于其他通过符合性审查投标人的报价，有可能影响</w:t>
      </w:r>
      <w:r>
        <w:rPr>
          <w:rFonts w:hint="eastAsia" w:ascii="宋体" w:hAnsi="宋体" w:eastAsia="宋体" w:cs="Times New Roman"/>
          <w:color w:val="000000"/>
          <w:sz w:val="24"/>
          <w:lang w:val="en-US" w:eastAsia="zh-CN"/>
        </w:rPr>
        <w:t xml:space="preserve">服务</w:t>
      </w:r>
      <w:r>
        <w:rPr>
          <w:rFonts w:hint="eastAsia" w:ascii="宋体" w:hAnsi="宋体" w:eastAsia="宋体" w:cs="Times New Roman"/>
          <w:color w:val="000000"/>
          <w:sz w:val="24"/>
          <w:lang w:val="zh-CN"/>
        </w:rPr>
        <w:t xml:space="preserve">质量或者不能诚信履约的，将通过苏采云系统要求其在合理的时间内提供说明，必要时提交相关证明材料。投标人不能证明其报价合理性的，评委会应当将其作为无效投标处理。</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（一）评审过程中出现下列情形之一的评审委员会应当启动异常低价投标（响应）审查程序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1.投标（响应）报价低于全部通过符合性审查供应商投标（响应）报价平均值50%的，即投标（响应）报价&lt;全部通过符合性审查供应商投标（响应）报价平均值×50%；</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2.投标（响应）报价低于通过符合性审查的次低报价供应商投标（响应）报价50%的，即投标（响应）报价&lt;通过符合性审查的次低报价供应商投标（响应）报价×50%；</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3.投标（响应）报价低于采购项目最高限价45%的，即投标（响应）报价&lt;采购项目最高限价×45%；</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4.评审委员会基于专业判断，认为供应商报价过低，有可能影响产品质量或者不能诚信履约的其他情形。</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b/>
          <w:bCs/>
          <w:color w:val="000000"/>
          <w:sz w:val="24"/>
          <w:lang w:val="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zh-CN" w:eastAsia="zh-CN"/>
        </w:rPr>
        <w:t xml:space="preserve">5</w:t>
      </w:r>
      <w:r>
        <w:rPr>
          <w:rFonts w:hint="eastAsia" w:ascii="宋体" w:hAnsi="宋体" w:eastAsia="宋体" w:cs="Times New Roman"/>
          <w:color w:val="000000"/>
          <w:sz w:val="24"/>
          <w:lang w:val="zh-CN"/>
        </w:rPr>
        <w:t xml:space="preserve">.1.11</w:t>
      </w:r>
      <w:r>
        <w:rPr>
          <w:rFonts w:hint="eastAsia" w:ascii="宋体" w:hAnsi="宋体" w:eastAsia="宋体" w:cs="Times New Roman"/>
          <w:color w:val="000000"/>
          <w:sz w:val="24"/>
          <w:lang w:val="zh-CN" w:eastAsia="zh-CN"/>
        </w:rPr>
        <w:t xml:space="preserve"> 采购产品被财政部、国家发改委、生态环境部等列入“节能产品品目清单”强制采购范围，而投标人提供的产品不在强制采购范围内。</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2 </w:t>
      </w:r>
      <w:r>
        <w:rPr>
          <w:rFonts w:hint="eastAsia" w:ascii="宋体" w:hAnsi="宋体" w:eastAsia="宋体" w:cs="Times New Roman"/>
          <w:color w:val="000000"/>
          <w:sz w:val="24"/>
          <w:lang w:val="zh-CN"/>
        </w:rPr>
        <w:t xml:space="preserve">投标文件未按照招标文件要求加盖电子公章。</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.1.1</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lang w:val="zh-CN"/>
        </w:rPr>
        <w:t xml:space="preserve">法律法规及本招标文件规定的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无效投标情形。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废标</w:t>
      </w:r>
      <w:r>
        <w:rPr>
          <w:rFonts w:hint="eastAsia" w:ascii="宋体" w:hAnsi="宋体" w:eastAsia="宋体" w:cs="Times New Roman"/>
          <w:color w:val="000000"/>
          <w:sz w:val="24"/>
          <w:lang w:val="en-US" w:eastAsia="zh-CN"/>
        </w:rPr>
        <w:t xml:space="preserve">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符合资格条件的供应商或者对招标文件作实质响应的供应商不足三家。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出现影响采购公正的违法、违规行为。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因重大变故采购任务取消。</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评委会认定招标文件存在歧义、重大缺陷导致评审工作无法进行。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.2.5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因苏采云系统故障造成开标不成功。</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.3 如出现投标截止时间后参加投标的供应商或者对招标文件作出实质</w:t>
      </w:r>
      <w:r>
        <w:rPr>
          <w:rFonts w:hint="eastAsia" w:ascii="宋体" w:hAnsi="宋体" w:eastAsia="宋体" w:cs="Times New Roman"/>
          <w:color w:val="000000"/>
          <w:sz w:val="24"/>
          <w:lang w:val="en-US" w:eastAsia="zh-CN"/>
        </w:rPr>
        <w:t xml:space="preserve">性</w:t>
      </w:r>
      <w:r>
        <w:rPr>
          <w:rFonts w:hint="eastAsia" w:ascii="宋体" w:hAnsi="宋体" w:eastAsia="宋体" w:cs="Times New Roman"/>
          <w:color w:val="000000"/>
          <w:sz w:val="24"/>
          <w:lang w:val="zh-CN"/>
        </w:rPr>
        <w:t xml:space="preserve">响应的供应商不足三家</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情况，按政府采购相关规定执行。</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72"/>
      <w:r/>
      <w:bookmarkEnd w:id="173"/>
      <w:r/>
      <w:bookmarkEnd w:id="174"/>
      <w:r>
        <w:rPr>
          <w:rFonts w:hint="eastAsia" w:ascii="方正黑体_GBK" w:hAnsi="方正黑体_GBK" w:eastAsia="方正黑体_GBK" w:cs="方正黑体_GBK"/>
          <w:b w:val="0"/>
          <w:bCs w:val="0"/>
          <w:color w:val="000000"/>
          <w:sz w:val="30"/>
          <w:szCs w:val="30"/>
        </w:rPr>
        <w:t xml:space="preserve">定标</w:t>
      </w:r>
      <w:bookmarkEnd w:id="175"/>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76" w:name="_Toc513029238"/>
      <w:r/>
      <w:bookmarkStart w:id="177" w:name="_Toc16938554"/>
      <w:r/>
      <w:bookmarkStart w:id="178" w:name="_Toc20823310"/>
      <w:r>
        <w:rPr>
          <w:rFonts w:hint="eastAsia" w:ascii="方正楷体_GBK" w:hAnsi="方正楷体_GBK" w:eastAsia="方正楷体_GBK" w:cs="方正楷体_GBK"/>
          <w:b/>
          <w:bCs/>
        </w:rPr>
        <w:t xml:space="preserve">2</w:t>
      </w:r>
      <w:bookmarkEnd w:id="176"/>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7"/>
      <w:r/>
      <w:bookmarkEnd w:id="178"/>
      <w:r>
        <w:rPr>
          <w:rFonts w:hint="eastAsia" w:ascii="方正楷体_GBK" w:hAnsi="方正楷体_GBK" w:eastAsia="方正楷体_GBK" w:cs="方正楷体_GBK"/>
          <w:b/>
          <w:bCs/>
        </w:rPr>
        <w:t xml:space="preserve">中标单位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中标候选人的</w:t>
      </w:r>
      <w:r>
        <w:rPr>
          <w:rFonts w:hint="eastAsia" w:ascii="宋体" w:hAnsi="宋体" w:eastAsia="宋体" w:cs="Times New Roman"/>
          <w:color w:val="000000"/>
          <w:sz w:val="24"/>
          <w:lang w:val="en-US" w:eastAsia="zh-CN"/>
        </w:rPr>
        <w:t xml:space="preserve">确定</w:t>
      </w:r>
      <w:r>
        <w:rPr>
          <w:rFonts w:hint="eastAsia" w:ascii="宋体" w:hAnsi="宋体" w:eastAsia="宋体" w:cs="Times New Roman"/>
          <w:color w:val="000000"/>
          <w:sz w:val="24"/>
          <w:lang w:val="zh-CN"/>
        </w:rPr>
        <w:t xml:space="preserve">原则和数量见招标文件第五章。 </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.2 </w:t>
      </w:r>
      <w:r>
        <w:rPr>
          <w:rFonts w:hint="eastAsia" w:ascii="宋体" w:hAnsi="宋体" w:eastAsia="宋体" w:cs="Times New Roman"/>
          <w:color w:val="000000"/>
          <w:sz w:val="24"/>
          <w:highlight w:val="none"/>
          <w:lang w:val="zh-CN"/>
        </w:rPr>
        <w:t xml:space="preserve">按以下第（</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（1）评委会直接确定排名第一的中标候选人为中标人；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（2）采购人在评委会推荐的中标候选人中按顺序确定中标人。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按第二种方式确定中标人的，代理机构自评审结束之日起两个工作日内将评审报告送</w:t>
      </w:r>
      <w:r>
        <w:rPr>
          <w:rFonts w:hint="eastAsia" w:ascii="宋体" w:hAnsi="宋体" w:eastAsia="宋体" w:cs="Times New Roman"/>
          <w:color w:val="000000"/>
          <w:sz w:val="24"/>
          <w:lang w:val="en-US" w:eastAsia="zh-CN"/>
        </w:rPr>
        <w:t xml:space="preserve">达</w:t>
      </w:r>
      <w:r>
        <w:rPr>
          <w:rFonts w:hint="eastAsia" w:ascii="宋体" w:hAnsi="宋体" w:eastAsia="宋体" w:cs="Times New Roman"/>
          <w:color w:val="000000"/>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.3 </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将在“江苏政府采购网”发布中标公告，公告期限为1个工作日。</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若有充分证据证明中标人</w:t>
      </w:r>
      <w:r>
        <w:rPr>
          <w:rFonts w:hint="eastAsia" w:ascii="宋体" w:hAnsi="宋体" w:eastAsia="宋体" w:cs="Times New Roman"/>
          <w:b/>
          <w:bCs/>
          <w:color w:val="000000"/>
          <w:sz w:val="24"/>
          <w:lang w:val="en-US" w:eastAsia="zh-CN"/>
        </w:rPr>
        <w:t xml:space="preserve">有</w:t>
      </w:r>
      <w:r>
        <w:rPr>
          <w:rFonts w:hint="eastAsia" w:ascii="宋体" w:hAnsi="宋体" w:eastAsia="宋体" w:cs="Times New Roman"/>
          <w:b/>
          <w:bCs/>
          <w:color w:val="000000"/>
          <w:sz w:val="24"/>
          <w:lang w:val="zh-CN"/>
        </w:rPr>
        <w:t xml:space="preserve">下列情况之一的，一经查实将被取消中标资格：</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提供虚假材料谋取中标。</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向评审专家、采购人或代理机构工作人员行贿或者提供其他不正当利益。</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与其他供应商、评审专家、采购人或代理机构工作人员恶意串通。</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属于本文件规定的无效</w:t>
      </w:r>
      <w:r>
        <w:rPr>
          <w:rFonts w:hint="eastAsia" w:ascii="宋体" w:hAnsi="宋体" w:eastAsia="宋体" w:cs="Times New Roman"/>
          <w:color w:val="000000"/>
          <w:sz w:val="24"/>
          <w:lang w:val="en-US" w:eastAsia="zh-CN"/>
        </w:rPr>
        <w:t xml:space="preserve">投标情形</w:t>
      </w:r>
      <w:r>
        <w:rPr>
          <w:rFonts w:hint="eastAsia" w:ascii="宋体" w:hAnsi="宋体" w:eastAsia="宋体" w:cs="Times New Roman"/>
          <w:color w:val="000000"/>
          <w:sz w:val="24"/>
          <w:lang w:val="zh-CN"/>
        </w:rPr>
        <w:t xml:space="preserve">，但在评标过程中未被评委会发现。</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.4.5</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采取不正当手段诋毁、排挤其他供应商。</w:t>
      </w:r>
      <w:r/>
    </w:p>
    <w:p>
      <w:pPr>
        <w:ind w:firstLine="420"/>
        <w:keepLines w:val="0"/>
        <w:keepNext w:val="0"/>
        <w:pageBreakBefore w:val="0"/>
        <w:spacing w:line="360" w:lineRule="auto"/>
        <w:widowControl w:val="off"/>
        <w:rPr>
          <w:rFonts w:hint="eastAsia" w:ascii="宋体" w:hAnsi="宋体" w:eastAsia="宋体" w:cs="Times New Roman"/>
          <w:b/>
          <w:bCs/>
          <w:color w:val="000000"/>
          <w:sz w:val="24"/>
          <w:lang w:val="zh-CN"/>
        </w:rPr>
      </w:pPr>
      <w:r/>
      <w:bookmarkStart w:id="179" w:name="_Toc200451960"/>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w:t>
      </w:r>
      <w:r>
        <w:rPr>
          <w:rFonts w:hint="eastAsia" w:ascii="宋体" w:hAnsi="宋体" w:eastAsia="宋体" w:cs="Times New Roman"/>
          <w:color w:val="000000"/>
          <w:sz w:val="24"/>
          <w:lang w:val="en-US" w:eastAsia="zh-CN"/>
        </w:rPr>
        <w:t xml:space="preserve"> </w:t>
      </w:r>
      <w:r>
        <w:rPr>
          <w:rFonts w:hint="eastAsia" w:ascii="宋体" w:hAnsi="宋体" w:eastAsia="宋体" w:cs="Times New Roman"/>
          <w:b/>
          <w:bCs/>
          <w:color w:val="000000"/>
          <w:sz w:val="24"/>
          <w:lang w:val="zh-CN"/>
        </w:rPr>
        <w:t xml:space="preserve">有下列情形之一的视为投标人串通投标，投标无效：</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不同投标人的投标文件由同一单位或者个人编制。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不同投标人委托同一单位或者个人办理投标事宜。</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不同投标人的投标文件载明的项目管理成员或者联系人员为同一人。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.5.4</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不同投标人的投标文件异常一致或者投标报价呈规律性差异。</w:t>
      </w:r>
      <w:bookmarkEnd w:id="179"/>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.l 中标结果确定后，</w:t>
      </w:r>
      <w:r>
        <w:rPr>
          <w:rFonts w:hint="eastAsia" w:ascii="宋体" w:hAnsi="宋体" w:eastAsia="宋体" w:cs="Times New Roman"/>
          <w:color w:val="000000"/>
          <w:sz w:val="24"/>
          <w:lang w:val="zh-CN" w:eastAsia="zh-CN"/>
        </w:rPr>
        <w:t xml:space="preserve">代理机构</w:t>
      </w:r>
      <w:r>
        <w:rPr>
          <w:rFonts w:hint="eastAsia" w:ascii="宋体" w:hAnsi="宋体" w:eastAsia="宋体" w:cs="Times New Roman"/>
          <w:color w:val="000000"/>
          <w:sz w:val="24"/>
          <w:lang w:val="zh-CN"/>
        </w:rPr>
        <w:t xml:space="preserve">将向中标人发出《中标通知书》。中标人</w:t>
      </w:r>
      <w:r>
        <w:rPr>
          <w:rFonts w:hint="eastAsia" w:ascii="宋体" w:hAnsi="宋体" w:eastAsia="宋体" w:cs="Times New Roman"/>
          <w:color w:val="000000"/>
          <w:sz w:val="24"/>
          <w:lang w:val="en-US" w:eastAsia="zh-CN"/>
        </w:rPr>
        <w:t xml:space="preserve">可</w:t>
      </w:r>
      <w:r>
        <w:rPr>
          <w:rFonts w:hint="eastAsia" w:ascii="宋体" w:hAnsi="宋体" w:eastAsia="宋体" w:cs="Times New Roman"/>
          <w:color w:val="000000"/>
          <w:sz w:val="24"/>
          <w:lang w:val="zh-CN"/>
        </w:rPr>
        <w:t xml:space="preserve">在中标结果公告届满之日起三十日内，登录苏采云系统下载。</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7</w:t>
      </w:r>
      <w:r>
        <w:rPr>
          <w:rFonts w:hint="eastAsia" w:ascii="宋体" w:hAnsi="宋体" w:eastAsia="宋体" w:cs="Times New Roman"/>
          <w:color w:val="000000"/>
          <w:sz w:val="24"/>
          <w:lang w:val="zh-CN"/>
        </w:rPr>
        <w:t xml:space="preserve">.2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中标通知书</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是合同的一个组成部分，对采购人和中标人均具有法律效力。《中标通知书》发出后，采购人改变中标结果或者中标人放弃中标项目的，应当依法承担法律责任。</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rPr>
      </w:pPr>
      <w:r/>
      <w:bookmarkStart w:id="180" w:name="_Toc120614220"/>
      <w:r/>
      <w:bookmarkStart w:id="181" w:name="_Toc20823308"/>
      <w:r/>
      <w:bookmarkStart w:id="182" w:name="_Toc513029236"/>
      <w:r/>
      <w:bookmarkStart w:id="183" w:name="_Toc16938552"/>
      <w:r>
        <w:rPr>
          <w:rFonts w:hint="eastAsia" w:ascii="方正黑体_GBK" w:hAnsi="方正黑体_GBK" w:eastAsia="方正黑体_GBK" w:cs="方正黑体_GBK"/>
          <w:b w:val="0"/>
          <w:bCs w:val="0"/>
          <w:color w:val="000000"/>
          <w:sz w:val="30"/>
          <w:szCs w:val="30"/>
        </w:rPr>
        <w:t xml:space="preserve">七、授予合同</w:t>
      </w:r>
      <w:bookmarkEnd w:id="180"/>
      <w:r/>
      <w:bookmarkEnd w:id="181"/>
      <w:bookmarkEnd w:id="182"/>
      <w:bookmarkEnd w:id="183"/>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bookmarkStart w:id="184" w:name="_Toc16938553"/>
      <w:r/>
      <w:bookmarkStart w:id="185" w:name="_Toc20823309"/>
      <w:r/>
      <w:bookmarkStart w:id="186" w:name="_Toc513029237"/>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36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.l</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中标人应当在《中标通知书》发出之日起三十日内，按照招标文件确定的事项与采购人签订政府采购合同。采购人于合同签订后2个工作日内通过苏采云系统进行公示。</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.2 招标文件、中标人的投标文件及招标过程中有关澄清、承诺文件均作为合同附件。</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28</w:t>
      </w:r>
      <w:r>
        <w:rPr>
          <w:rFonts w:hint="eastAsia" w:ascii="宋体" w:hAnsi="宋体" w:eastAsia="宋体" w:cs="Times New Roman"/>
          <w:color w:val="000000"/>
          <w:sz w:val="24"/>
          <w:lang w:val="zh-CN" w:eastAsia="zh-CN"/>
        </w:rPr>
        <w:t xml:space="preserve">.4 中标人因自身原因拒绝与采购人签订合同的，不得参加采购人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29</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eastAsia="zh-CN"/>
        </w:rPr>
        <w:t xml:space="preserve">10%。</w:t>
      </w:r>
      <w:bookmarkEnd w:id="184"/>
      <w:bookmarkEnd w:id="185"/>
      <w:bookmarkEnd w:id="186"/>
      <w:r/>
    </w:p>
    <w:p>
      <w:pPr>
        <w:pStyle w:val="906"/>
        <w:ind w:firstLine="420"/>
        <w:pageBreakBefore w:val="0"/>
        <w:spacing w:before="0" w:after="0" w:line="36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30.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30.1 </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w:t>
      </w:r>
      <w:r>
        <w:rPr>
          <w:rFonts w:hint="eastAsia" w:ascii="宋体" w:hAnsi="宋体" w:eastAsia="宋体" w:cs="Times New Roman"/>
          <w:color w:val="000000"/>
          <w:sz w:val="24"/>
          <w:lang w:val="zh-CN" w:eastAsia="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eastAsia="zh-CN"/>
        </w:rPr>
        <w:t xml:space="preserve">网站“小企业融资平台”，</w:t>
      </w:r>
      <w:r>
        <w:rPr>
          <w:rFonts w:hint="eastAsia" w:ascii="宋体" w:hAnsi="宋体" w:eastAsia="宋体" w:cs="Times New Roman"/>
          <w:color w:val="000000"/>
          <w:sz w:val="24"/>
          <w:lang w:val="en-US" w:eastAsia="zh-CN"/>
        </w:rPr>
        <w:t xml:space="preserve">选择相应的金融机构</w:t>
      </w:r>
      <w:r>
        <w:rPr>
          <w:rFonts w:hint="eastAsia" w:ascii="宋体" w:hAnsi="宋体" w:eastAsia="宋体" w:cs="Times New Roman"/>
          <w:color w:val="000000"/>
          <w:sz w:val="24"/>
          <w:lang w:val="zh-CN" w:eastAsia="zh-CN"/>
        </w:rPr>
        <w:t xml:space="preserve">办理融资贷款。</w:t>
      </w:r>
      <w:r/>
    </w:p>
    <w:p>
      <w:pPr>
        <w:ind w:firstLine="420"/>
        <w:pageBreakBefore w:val="0"/>
        <w:spacing w:line="360" w:lineRule="auto"/>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w:t>
      </w:r>
      <w:r>
        <w:rPr>
          <w:rFonts w:hint="eastAsia" w:ascii="宋体" w:hAnsi="宋体" w:eastAsia="宋体" w:cs="Times New Roman"/>
          <w:color w:val="000000"/>
          <w:sz w:val="24"/>
          <w:lang w:val="zh-CN" w:eastAsia="zh-CN"/>
        </w:rPr>
        <w:t xml:space="preserve">中标</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p>
    <w:p>
      <w:pPr>
        <w:pStyle w:val="752"/>
        <w:ind w:firstLine="465"/>
        <w:pageBreakBefore w:val="0"/>
        <w:spacing w:before="145" w:after="145" w:line="36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规定以书面形式向采购人或代理机构提出质疑。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2.1 对采购文件提出质疑的，为收到采购文件之日或者采购文件公告期限届满之日。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2.2 对采购过程提出质疑的，为各采购程序环节结束之日。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2.3 对中标或者成交结果提出质疑的，为中标或者成交结果公告期限届满之日。</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供应商提出质疑应提交《质疑函》原件，且尽可能通过邮寄方式送达，代理机构和采购人不接受无运单的快件。《质疑函》应按照本招标文件中《质疑函范本》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p>
    <w:p>
      <w:pPr>
        <w:ind w:firstLine="420"/>
        <w:keepLines w:val="0"/>
        <w:keepNext w:val="0"/>
        <w:pageBreakBefore w:val="0"/>
        <w:spacing w:line="360" w:lineRule="auto"/>
        <w:widowControl w:val="off"/>
        <w:rPr>
          <w:rFonts w:hint="eastAsia" w:ascii="宋体" w:hAnsi="宋体" w:eastAsia="宋体" w:cs="Times New Roman"/>
          <w:b w:val="0"/>
          <w:bCs w:val="0"/>
          <w:color w:val="000000"/>
          <w:sz w:val="24"/>
          <w:lang w:val="zh-CN"/>
        </w:rPr>
      </w:pPr>
      <w:r>
        <w:rPr>
          <w:rFonts w:hint="eastAsia" w:ascii="宋体" w:hAnsi="宋体" w:cs="Times New Roman"/>
          <w:b w:val="0"/>
          <w:bCs w:val="0"/>
          <w:color w:val="000000"/>
          <w:sz w:val="24"/>
          <w:lang w:val="en-US" w:eastAsia="zh-CN"/>
        </w:rPr>
        <w:t xml:space="preserve">35.</w:t>
      </w:r>
      <w:r>
        <w:rPr>
          <w:rFonts w:hint="eastAsia" w:ascii="宋体" w:hAnsi="宋体" w:eastAsia="宋体" w:cs="Times New Roman"/>
          <w:b w:val="0"/>
          <w:bCs w:val="0"/>
          <w:color w:val="000000"/>
          <w:sz w:val="24"/>
          <w:lang w:val="zh-CN"/>
        </w:rPr>
        <w:t xml:space="preserve">供应商（含潜在供应商）对采购方式、采购需求、供应商资格条件及审查结果、评标方法和评标标准、合同文本的询问、质疑向采购</w:t>
      </w:r>
      <w:r>
        <w:rPr>
          <w:rFonts w:hint="eastAsia" w:ascii="宋体" w:hAnsi="宋体" w:cs="Times New Roman"/>
          <w:b w:val="0"/>
          <w:bCs w:val="0"/>
          <w:color w:val="000000"/>
          <w:sz w:val="24"/>
          <w:lang w:val="en-US" w:eastAsia="zh-CN"/>
        </w:rPr>
        <w:t xml:space="preserve">代理机构</w:t>
      </w:r>
      <w:r>
        <w:rPr>
          <w:rFonts w:hint="eastAsia" w:ascii="宋体" w:hAnsi="宋体" w:eastAsia="宋体" w:cs="Times New Roman"/>
          <w:b w:val="0"/>
          <w:bCs w:val="0"/>
          <w:color w:val="000000"/>
          <w:sz w:val="24"/>
          <w:lang w:val="zh-CN"/>
        </w:rPr>
        <w:t xml:space="preserve">提出，由代理机构负责答复。</w:t>
      </w:r>
      <w:r/>
    </w:p>
    <w:p>
      <w:pPr>
        <w:ind w:firstLine="420"/>
        <w:keepLines w:val="0"/>
        <w:keepNext w:val="0"/>
        <w:pageBreakBefore w:val="0"/>
        <w:spacing w:line="360" w:lineRule="auto"/>
        <w:widowControl w:val="off"/>
        <w:rPr>
          <w:rFonts w:hint="eastAsia" w:ascii="宋体" w:hAnsi="宋体" w:eastAsia="宋体" w:cs="Times New Roman"/>
          <w:b w:val="0"/>
          <w:bCs w:val="0"/>
          <w:color w:val="0000ff"/>
          <w:sz w:val="24"/>
          <w:lang w:val="en-US" w:eastAsia="zh-CN"/>
        </w:rPr>
      </w:pPr>
      <w:r>
        <w:rPr>
          <w:rFonts w:hint="eastAsia" w:ascii="宋体" w:hAnsi="宋体" w:eastAsia="宋体" w:cs="Times New Roman"/>
          <w:b w:val="0"/>
          <w:bCs w:val="0"/>
          <w:color w:val="000000"/>
          <w:sz w:val="24"/>
          <w:lang w:val="zh-CN"/>
        </w:rPr>
        <w:t xml:space="preserve">代理机构《质疑函》收件人：南京永埜工程咨询有限责任公司，地址：南京市浦口区浦滨路150号中科创新广场23栋1601室，联系电话：025-</w:t>
      </w:r>
      <w:r>
        <w:rPr>
          <w:rFonts w:hint="eastAsia" w:ascii="宋体" w:hAnsi="宋体" w:eastAsia="宋体" w:cs="Times New Roman"/>
          <w:b w:val="0"/>
          <w:bCs w:val="0"/>
          <w:color w:val="000000"/>
          <w:sz w:val="24"/>
          <w:lang w:val="en-US" w:eastAsia="zh-CN"/>
        </w:rPr>
        <w:t xml:space="preserve">58221946</w:t>
      </w:r>
      <w:r>
        <w:rPr>
          <w:rFonts w:hint="eastAsia" w:ascii="宋体" w:hAnsi="宋体" w:eastAsia="宋体" w:cs="Times New Roman"/>
          <w:b w:val="0"/>
          <w:bCs w:val="0"/>
          <w:color w:val="000000"/>
          <w:sz w:val="24"/>
          <w:lang w:val="zh-CN"/>
        </w:rPr>
        <w:t xml:space="preserve">。</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zh-CN"/>
        </w:rPr>
        <w:t xml:space="preserve">以下情形的质疑不予受理：</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内容不符合《政府采购质疑和投诉办法》第十二条规定的质疑。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超出政府采购法定期限的质疑。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以传真、电子邮件等方式递交的非原件形式的质疑。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6.4 未参加采购活动或在采购活动中自身权益未受到损害的供应商所提出的质疑。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6.5 供应商组成联合体参加采购活动，联合体中任何一方或多方未按要求签字</w:t>
      </w:r>
      <w:r>
        <w:rPr>
          <w:rFonts w:hint="eastAsia" w:ascii="宋体" w:hAnsi="宋体" w:eastAsia="宋体" w:cs="Times New Roman"/>
          <w:color w:val="000000"/>
          <w:sz w:val="24"/>
          <w:lang w:val="en-US" w:eastAsia="zh-CN"/>
        </w:rPr>
        <w:t xml:space="preserve">或签章</w:t>
      </w:r>
      <w:r>
        <w:rPr>
          <w:rFonts w:hint="eastAsia" w:ascii="宋体" w:hAnsi="宋体" w:eastAsia="宋体" w:cs="Times New Roman"/>
          <w:color w:val="000000"/>
          <w:sz w:val="24"/>
          <w:lang w:val="zh-CN"/>
        </w:rPr>
        <w:t xml:space="preserve">、加盖公章的质疑。</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6.</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rPr>
        <w:t xml:space="preserve">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52"/>
        <w:ind w:firstLine="465"/>
        <w:pageBreakBefore w:val="0"/>
        <w:spacing w:before="145" w:after="145" w:line="36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p>
    <w:p>
      <w:pPr>
        <w:pStyle w:val="906"/>
        <w:ind w:firstLine="420"/>
        <w:pageBreakBefore w:val="0"/>
        <w:spacing w:before="0" w:after="0" w:line="360" w:lineRule="auto"/>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p>
    <w:p>
      <w:pPr>
        <w:ind w:firstLine="420"/>
        <w:keepLines w:val="0"/>
        <w:keepNext w:val="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本项目中的</w:t>
      </w:r>
      <w:r>
        <w:rPr>
          <w:rFonts w:hint="eastAsia" w:ascii="宋体" w:hAnsi="宋体" w:eastAsia="宋体" w:cs="Times New Roman"/>
          <w:color w:val="000000"/>
          <w:sz w:val="24"/>
          <w:lang w:val="zh-CN"/>
        </w:rPr>
        <w:t xml:space="preserve">货物</w:t>
      </w:r>
      <w:r>
        <w:rPr>
          <w:rFonts w:hint="eastAsia" w:ascii="宋体" w:hAnsi="宋体" w:eastAsia="宋体" w:cs="Times New Roman"/>
          <w:color w:val="000000"/>
          <w:sz w:val="24"/>
          <w:lang w:val="en-US" w:eastAsia="zh-CN"/>
        </w:rPr>
        <w:t xml:space="preserve">全部</w:t>
      </w:r>
      <w:r>
        <w:rPr>
          <w:rFonts w:hint="eastAsia" w:ascii="宋体" w:hAnsi="宋体" w:eastAsia="宋体" w:cs="Times New Roman"/>
          <w:color w:val="000000"/>
          <w:sz w:val="24"/>
          <w:lang w:val="zh-CN"/>
        </w:rPr>
        <w:t xml:space="preserve">由中小企业制造的，</w:t>
      </w:r>
      <w:r>
        <w:rPr>
          <w:rFonts w:hint="eastAsia" w:ascii="宋体" w:hAnsi="宋体" w:eastAsia="宋体" w:cs="Times New Roman"/>
          <w:color w:val="000000"/>
          <w:sz w:val="24"/>
          <w:lang w:val="en-US" w:eastAsia="zh-CN"/>
        </w:rPr>
        <w:t xml:space="preserve">投标供应商</w:t>
      </w:r>
      <w:r>
        <w:rPr>
          <w:rFonts w:hint="eastAsia" w:ascii="宋体" w:hAnsi="宋体" w:eastAsia="宋体" w:cs="Times New Roman"/>
          <w:color w:val="000000"/>
          <w:sz w:val="24"/>
          <w:lang w:val="zh-CN"/>
        </w:rPr>
        <w:t xml:space="preserve">享受中小企业扶持政策。</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p>
    <w:p>
      <w:pPr>
        <w:ind w:firstLine="420"/>
        <w:pageBreakBefore w:val="0"/>
        <w:spacing w:line="36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p>
    <w:p>
      <w:pPr>
        <w:pStyle w:val="906"/>
        <w:ind w:firstLine="420"/>
        <w:pageBreakBefore w:val="0"/>
        <w:spacing w:before="0" w:after="0" w:line="36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w:t>
      </w:r>
      <w:r/>
    </w:p>
    <w:p>
      <w:pPr>
        <w:ind w:firstLine="420"/>
        <w:keepLines w:val="0"/>
        <w:keepNext w:val="0"/>
        <w:pageBreakBefore w:val="0"/>
        <w:spacing w:line="36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p>
    <w:p>
      <w:pPr>
        <w:pStyle w:val="906"/>
        <w:ind w:firstLine="420"/>
        <w:pageBreakBefore w:val="0"/>
        <w:spacing w:before="0" w:after="0" w:line="36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p>
    <w:p>
      <w:pPr>
        <w:ind w:firstLine="420"/>
        <w:pageBreakBefore w:val="0"/>
        <w:spacing w:line="36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color w:val="000000"/>
          <w:sz w:val="24"/>
          <w:lang w:val="en-US" w:eastAsia="zh-CN"/>
        </w:rPr>
        <w:t xml:space="preserve">《商品包装政府采购需求标准（试行）》《快递包装政府采购需求标准（试行）》（财办库〔2020〕123号）、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p>
    <w:p>
      <w:pPr>
        <w:ind w:firstLine="420"/>
        <w:pageBreakBefore w:val="0"/>
        <w:spacing w:line="36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36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36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p>
    <w:p>
      <w:pPr>
        <w:pStyle w:val="906"/>
        <w:ind w:firstLine="420"/>
        <w:pageBreakBefore w:val="0"/>
        <w:spacing w:before="0" w:after="0" w:line="36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p>
    <w:p>
      <w:pPr>
        <w:ind w:firstLine="420"/>
        <w:keepLines w:val="0"/>
        <w:keepNext w:val="0"/>
        <w:pageBreakBefore w:val="0"/>
        <w:spacing w:line="36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p>
    <w:p>
      <w:pPr>
        <w:pStyle w:val="906"/>
        <w:ind w:firstLine="420"/>
        <w:pageBreakBefore w:val="0"/>
        <w:spacing w:before="0" w:after="0" w:line="36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p>
    <w:p>
      <w:pPr>
        <w:ind w:firstLine="420"/>
        <w:pageBreakBefore w:val="0"/>
        <w:spacing w:line="36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p>
    <w:p>
      <w:pPr>
        <w:pStyle w:val="977"/>
        <w:ind w:left="0" w:firstLine="0"/>
        <w:jc w:val="both"/>
        <w:rPr>
          <w:rFonts w:hint="eastAsia"/>
          <w:lang w:val="zh-CN" w:eastAsia="zh-CN"/>
        </w:rPr>
        <w:outlineLvl w:val="0"/>
      </w:pPr>
      <w:r>
        <w:rPr>
          <w:rFonts w:hint="eastAsia"/>
          <w:lang w:val="zh-CN" w:eastAsia="zh-CN"/>
        </w:rPr>
      </w:r>
      <w:r/>
    </w:p>
    <w:p>
      <w:pPr>
        <w:pStyle w:val="977"/>
        <w:ind w:left="0" w:firstLine="0"/>
        <w:jc w:val="both"/>
        <w:rPr>
          <w:rFonts w:hint="eastAsia" w:ascii="黑体" w:hAnsi="Times New Roman" w:eastAsia="黑体" w:cs="Times New Roman"/>
          <w:color w:val="000000"/>
          <w:sz w:val="44"/>
          <w:szCs w:val="44"/>
        </w:rPr>
        <w:outlineLvl w:val="0"/>
      </w:pPr>
      <w:r>
        <w:rPr>
          <w:rFonts w:hint="eastAsia"/>
          <w:lang w:val="zh-CN" w:eastAsia="zh-CN"/>
        </w:rPr>
        <w:br w:type="page" w:clear="all"/>
      </w:r>
      <w:bookmarkStart w:id="187" w:name="_Toc5666"/>
      <w:r/>
      <w:bookmarkStart w:id="188" w:name="_Toc19191"/>
      <w:r>
        <w:rPr>
          <w:rFonts w:hint="eastAsia" w:ascii="方正小标宋简体" w:hAnsi="方正小标宋简体" w:eastAsia="方正小标宋简体" w:cs="方正小标宋简体"/>
          <w:color w:val="000000"/>
          <w:sz w:val="36"/>
          <w:szCs w:val="36"/>
          <w:lang w:val="en-US"/>
        </w:rPr>
        <w:t xml:space="preserve">第三章  合同</w:t>
      </w:r>
      <w:bookmarkEnd w:id="55"/>
      <w:r/>
      <w:bookmarkEnd w:id="56"/>
      <w:r/>
      <w:bookmarkEnd w:id="57"/>
      <w:r/>
      <w:bookmarkEnd w:id="58"/>
      <w:r/>
      <w:bookmarkEnd w:id="59"/>
      <w:r>
        <w:rPr>
          <w:rFonts w:hint="eastAsia" w:ascii="方正小标宋简体" w:hAnsi="方正小标宋简体" w:eastAsia="方正小标宋简体" w:cs="方正小标宋简体"/>
          <w:color w:val="000000"/>
          <w:sz w:val="36"/>
          <w:szCs w:val="36"/>
          <w:lang w:val="en-US"/>
        </w:rPr>
        <w:t xml:space="preserve">文本</w:t>
      </w:r>
      <w:bookmarkEnd w:id="187"/>
      <w:r/>
      <w:bookmarkEnd w:id="188"/>
      <w:r/>
      <w:r/>
    </w:p>
    <w:p>
      <w:pPr>
        <w:ind w:firstLine="480"/>
        <w:keepLines w:val="0"/>
        <w:keepNext w:val="0"/>
        <w:pageBreakBefore w:val="0"/>
        <w:spacing w:line="264" w:lineRule="auto"/>
        <w:widowControl w:val="off"/>
        <w:rPr>
          <w:rFonts w:hint="eastAsia" w:ascii="宋体" w:hAnsi="宋体"/>
          <w:bCs/>
          <w:color w:val="000000"/>
          <w:sz w:val="24"/>
          <w:szCs w:val="21"/>
        </w:rPr>
      </w:pPr>
      <w:r/>
      <w:bookmarkStart w:id="189" w:name="_Toc20823315"/>
      <w:r/>
      <w:bookmarkStart w:id="190" w:name="_Toc16938559"/>
      <w:r/>
      <w:bookmarkStart w:id="191" w:name="_Toc513029243"/>
      <w:r/>
      <w:bookmarkStart w:id="192" w:name="_Hlt16619350"/>
      <w:r/>
      <w:bookmarkStart w:id="193" w:name="_Toc16938590"/>
      <w:r/>
      <w:bookmarkStart w:id="194" w:name="_Toc120614244"/>
      <w:r/>
      <w:bookmarkStart w:id="195" w:name="_Toc20823346"/>
      <w:r/>
      <w:bookmarkStart w:id="196" w:name="_Toc462564139"/>
      <w:r/>
      <w:bookmarkStart w:id="197" w:name="_Toc479757211"/>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p>
    <w:p>
      <w:pPr>
        <w:jc w:val="center"/>
        <w:keepLines w:val="0"/>
        <w:keepNext w:val="0"/>
        <w:pageBreakBefore w:val="0"/>
        <w:spacing w:before="145" w:after="145" w:line="264" w:lineRule="auto"/>
        <w:widowControl w:val="off"/>
        <w:rPr>
          <w:rFonts w:hint="eastAsia" w:ascii="宋体" w:hAnsi="宋体"/>
          <w:b/>
          <w:color w:val="000000"/>
          <w:sz w:val="30"/>
          <w:szCs w:val="21"/>
        </w:rPr>
        <w:outlineLvl w:val="9"/>
      </w:pPr>
      <w:r>
        <w:rPr>
          <w:rFonts w:hint="eastAsia" w:ascii="宋体" w:hAnsi="宋体"/>
          <w:b/>
          <w:color w:val="000000"/>
          <w:sz w:val="30"/>
          <w:szCs w:val="21"/>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rPr>
        <w:t xml:space="preserve">政府采购合同（货物）</w:t>
      </w:r>
      <w:r/>
    </w:p>
    <w:p>
      <w:pPr>
        <w:jc w:val="left"/>
        <w:keepLines w:val="0"/>
        <w:keepNext w:val="0"/>
        <w:pageBreakBefore w:val="0"/>
        <w:spacing w:before="145" w:after="145" w:line="264"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p>
    <w:p>
      <w:pPr>
        <w:keepLines w:val="0"/>
        <w:keepNext w:val="0"/>
        <w:pageBreakBefore w:val="0"/>
        <w:spacing w:before="145" w:after="145"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w:t>
      </w:r>
      <w:r>
        <w:rPr>
          <w:rFonts w:hint="eastAsia" w:ascii="宋体" w:hAnsi="宋体" w:cs="Courier New"/>
          <w:color w:val="000000"/>
          <w:sz w:val="24"/>
          <w:szCs w:val="24"/>
          <w:lang w:eastAsia="zh-CN"/>
        </w:rPr>
        <w:t xml:space="preserve">基于评级的基础设施提升和保障服务项目-机房容灾备份及网络安全加固项目</w:t>
      </w:r>
      <w:r>
        <w:rPr>
          <w:rFonts w:ascii="宋体" w:hAnsi="宋体" w:cs="Courier New"/>
          <w:color w:val="000000"/>
          <w:sz w:val="24"/>
          <w:szCs w:val="24"/>
        </w:rPr>
        <w:t xml:space="preserve">   </w:t>
      </w:r>
      <w:r/>
    </w:p>
    <w:p>
      <w:pPr>
        <w:keepLines w:val="0"/>
        <w:keepNext w:val="0"/>
        <w:pageBreakBefore w:val="0"/>
        <w:spacing w:before="145" w:after="145" w:line="264"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rPr>
        <w:t xml:space="preserve">项目编号：</w:t>
      </w:r>
      <w:r>
        <w:rPr>
          <w:rFonts w:hint="eastAsia" w:ascii="宋体" w:hAnsi="宋体" w:cs="Courier New"/>
          <w:color w:val="000000"/>
          <w:sz w:val="24"/>
          <w:szCs w:val="24"/>
          <w:lang w:eastAsia="zh-CN"/>
        </w:rPr>
        <w:t xml:space="preserve">JSZC-320111-NJYY-G2026-0001</w:t>
      </w:r>
      <w:r/>
    </w:p>
    <w:p>
      <w:pPr>
        <w:jc w:val="left"/>
        <w:keepLines w:val="0"/>
        <w:keepNext w:val="0"/>
        <w:pageBreakBefore w:val="0"/>
        <w:spacing w:before="145" w:after="145" w:line="264" w:lineRule="auto"/>
        <w:widowControl w:val="off"/>
        <w:rPr>
          <w:rFonts w:ascii="宋体" w:hAnsi="宋体" w:eastAsia="宋体" w:cs="Courier New"/>
          <w:color w:val="000000"/>
          <w:sz w:val="24"/>
          <w:szCs w:val="24"/>
          <w:lang w:val="en-US" w:eastAsia="zh-CN"/>
        </w:rPr>
        <w:outlineLvl w:val="9"/>
      </w:pPr>
      <w:r>
        <w:rPr>
          <w:rFonts w:ascii="宋体" w:hAnsi="宋体" w:eastAsia="宋体" w:cs="Courier New"/>
          <w:color w:val="000000"/>
          <w:sz w:val="24"/>
          <w:szCs w:val="24"/>
        </w:rPr>
        <w:t xml:space="preserve">甲方（买方）：</w:t>
      </w:r>
      <w:r>
        <w:rPr>
          <w:rFonts w:hint="eastAsia" w:ascii="宋体" w:hAnsi="宋体" w:cs="Courier New"/>
          <w:color w:val="000000"/>
          <w:sz w:val="24"/>
          <w:szCs w:val="24"/>
          <w:lang w:val="en-US" w:eastAsia="zh-CN"/>
        </w:rPr>
        <w:t xml:space="preserve">南京市浦口区中医院</w:t>
      </w:r>
      <w:r/>
    </w:p>
    <w:p>
      <w:pPr>
        <w:jc w:val="left"/>
        <w:keepLines w:val="0"/>
        <w:keepNext w:val="0"/>
        <w:pageBreakBefore w:val="0"/>
        <w:spacing w:before="145" w:after="145"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36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u w:val="single"/>
          <w:lang w:val="en-US" w:eastAsia="zh-CN"/>
        </w:rPr>
        <w:t xml:space="preserve"> </w:t>
      </w:r>
      <w:r>
        <w:rPr>
          <w:rFonts w:hint="eastAsia" w:hAnsi="宋体" w:cs="Courier New"/>
          <w:sz w:val="24"/>
          <w:szCs w:val="24"/>
          <w:u w:val="single"/>
          <w:lang w:eastAsia="zh-CN"/>
        </w:rPr>
        <w:t xml:space="preserve">基于评级的基础设施提升和保障服务项目-机房容灾备份及网络安全加固项目</w:t>
      </w:r>
      <w:r>
        <w:rPr>
          <w:rFonts w:hint="eastAsia" w:hAnsi="宋体" w:eastAsia="宋体" w:cs="Courier New"/>
          <w:sz w:val="24"/>
          <w:szCs w:val="24"/>
          <w:u w:val="single"/>
        </w:rPr>
        <w:t xml:space="preserve">_</w:t>
      </w:r>
      <w:r>
        <w:rPr>
          <w:rFonts w:ascii="宋体" w:hAnsi="宋体" w:cs="Courier New"/>
          <w:color w:val="000000"/>
          <w:sz w:val="24"/>
          <w:szCs w:val="24"/>
        </w:rPr>
        <w:t xml:space="preserve">公开招标结果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rPr>
        <w:t xml:space="preserve">1.1 标的名称：</w:t>
      </w:r>
      <w:r>
        <w:rPr>
          <w:rFonts w:hint="eastAsia" w:ascii="宋体" w:hAnsi="宋体" w:cs="Courier New"/>
          <w:color w:val="000000"/>
          <w:sz w:val="24"/>
          <w:szCs w:val="24"/>
          <w:lang w:eastAsia="zh-CN"/>
        </w:rPr>
        <w:t xml:space="preserve">基于评级的基础设施提升和保障服务项目-机房容灾备份及网络安全加固项目</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p>
    <w:p>
      <w:pPr>
        <w:keepLines w:val="0"/>
        <w:keepNext w:val="0"/>
        <w:pageBreakBefore w:val="0"/>
        <w:spacing w:before="0" w:after="0" w:line="360" w:lineRule="auto"/>
        <w:widowControl w:val="off"/>
        <w:rPr>
          <w:rFonts w:hint="eastAsia" w:ascii="宋体" w:hAnsi="宋体" w:eastAsia="宋体" w:cs="Courier New"/>
          <w:color w:val="auto"/>
          <w:sz w:val="24"/>
          <w:szCs w:val="24"/>
        </w:rPr>
      </w:pPr>
      <w:r>
        <w:rPr>
          <w:rFonts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履行时间（期限）：交货期为合同签订后</w:t>
      </w:r>
      <w:r>
        <w:rPr>
          <w:rFonts w:hint="default" w:ascii="宋体" w:hAnsi="宋体" w:cs="Courier New"/>
          <w:color w:val="auto"/>
          <w:sz w:val="24"/>
          <w:szCs w:val="24"/>
          <w:lang w:val="en-US"/>
        </w:rPr>
        <w:t xml:space="preserve">60</w:t>
      </w:r>
      <w:r>
        <w:rPr>
          <w:rFonts w:hint="eastAsia" w:ascii="宋体" w:hAnsi="宋体" w:cs="Courier New"/>
          <w:color w:val="auto"/>
          <w:sz w:val="24"/>
          <w:szCs w:val="24"/>
          <w:lang w:val="en-US" w:eastAsia="zh-CN"/>
        </w:rPr>
        <w:t xml:space="preserve">日</w:t>
      </w:r>
      <w:r>
        <w:rPr>
          <w:rFonts w:hint="eastAsia" w:ascii="宋体" w:hAnsi="宋体" w:eastAsia="宋体" w:cs="Courier New"/>
          <w:color w:val="auto"/>
          <w:sz w:val="24"/>
          <w:szCs w:val="24"/>
        </w:rPr>
        <w:t xml:space="preserve">内，硬件质保期为验收合格后3年，软件质保为</w:t>
      </w:r>
      <w:r>
        <w:rPr>
          <w:rFonts w:hint="eastAsia" w:ascii="宋体" w:hAnsi="宋体" w:cs="Courier New"/>
          <w:color w:val="auto"/>
          <w:sz w:val="24"/>
          <w:szCs w:val="24"/>
          <w:lang w:val="en-US" w:eastAsia="zh-CN"/>
        </w:rPr>
        <w:t xml:space="preserve">3</w:t>
      </w:r>
      <w:r>
        <w:rPr>
          <w:rFonts w:hint="eastAsia" w:ascii="宋体" w:hAnsi="宋体" w:eastAsia="宋体" w:cs="Courier New"/>
          <w:color w:val="auto"/>
          <w:sz w:val="24"/>
          <w:szCs w:val="24"/>
        </w:rPr>
        <w:t xml:space="preserve">年</w:t>
      </w:r>
      <w:r>
        <w:rPr>
          <w:rFonts w:hint="eastAsia" w:ascii="宋体" w:hAnsi="宋体" w:eastAsia="宋体" w:cs="Courier New"/>
          <w:color w:val="auto"/>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lang w:eastAsia="zh-CN"/>
        </w:rPr>
        <w:t xml:space="preserve">采购人指定地点。</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lang w:eastAsia="zh-CN"/>
        </w:rPr>
        <w:t xml:space="preserve">按招标文件及投标文件执行。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p>
    <w:p>
      <w:pPr>
        <w:pStyle w:val="939"/>
        <w:keepLines w:val="0"/>
        <w:keepNext w:val="0"/>
        <w:pageBreakBefore w:val="0"/>
        <w:spacing w:before="0" w:after="0" w:line="36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eastAsia="宋体" w:cs="Courier New"/>
          <w:sz w:val="24"/>
          <w:szCs w:val="24"/>
        </w:rPr>
        <w:t xml:space="preserve">本合同金额为（大写）：____________________圆（________________元）人民币。</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乙方应按招标文件规定的时间向甲方提供货物(包含与货物相关的服务)的有关技术资料。</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3</w:t>
      </w:r>
      <w:r>
        <w:rPr>
          <w:rFonts w:hint="eastAsia" w:ascii="宋体" w:hAnsi="宋体" w:eastAsia="宋体" w:cs="Courier New"/>
          <w:color w:val="000000"/>
          <w:sz w:val="24"/>
          <w:szCs w:val="24"/>
        </w:rPr>
        <w:t xml:space="preserve">.2 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w:t>
      </w:r>
      <w:r>
        <w:rPr>
          <w:rFonts w:hint="eastAsia" w:ascii="宋体" w:hAnsi="宋体" w:eastAsia="宋体" w:cs="Courier New"/>
          <w:color w:val="000000"/>
          <w:sz w:val="24"/>
          <w:szCs w:val="24"/>
          <w:lang w:eastAsia="zh-CN"/>
        </w:rPr>
        <w:t xml:space="preserve">由甲方提供的</w:t>
      </w:r>
      <w:r>
        <w:rPr>
          <w:rFonts w:hint="eastAsia" w:ascii="宋体" w:hAnsi="宋体" w:eastAsia="宋体" w:cs="Courier New"/>
          <w:color w:val="000000"/>
          <w:sz w:val="24"/>
          <w:szCs w:val="24"/>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lang w:val="en-US" w:eastAsia="zh-CN"/>
        </w:rPr>
        <w:t xml:space="preserve">著作</w:t>
      </w:r>
      <w:r>
        <w:rPr>
          <w:rFonts w:hint="eastAsia" w:ascii="宋体" w:hAnsi="宋体" w:eastAsia="宋体" w:cs="Courier New"/>
          <w:color w:val="000000"/>
          <w:sz w:val="24"/>
          <w:szCs w:val="24"/>
        </w:rPr>
        <w:t xml:space="preserve">权、商标权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工业设计权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商业秘密</w:t>
      </w:r>
      <w:r>
        <w:rPr>
          <w:rFonts w:hint="eastAsia" w:ascii="宋体" w:hAnsi="宋体" w:eastAsia="宋体" w:cs="Courier New"/>
          <w:color w:val="000000"/>
          <w:sz w:val="24"/>
          <w:szCs w:val="24"/>
        </w:rPr>
        <w:t xml:space="preserve">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p>
    <w:p>
      <w:pPr>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u w:val="none"/>
        </w:rPr>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乙方保证所交付的货物（包含与货物相关的服务）的所有权完全属于乙方且无任何抵押、查封等产权瑕疵。</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360" w:lineRule="auto"/>
        <w:widowControl w:val="off"/>
        <w:rPr>
          <w:rFonts w:hint="eastAsia" w:ascii="宋体" w:hAnsi="宋体" w:eastAsia="宋体" w:cs="Courier New"/>
          <w:b w:val="0"/>
          <w:bCs w:val="0"/>
          <w:color w:val="0000ff"/>
          <w:sz w:val="24"/>
          <w:szCs w:val="24"/>
          <w:highlight w:val="none"/>
          <w:lang w:eastAsia="zh-CN"/>
        </w:rPr>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939"/>
        <w:keepLines w:val="0"/>
        <w:keepNext w:val="0"/>
        <w:pageBreakBefore w:val="0"/>
        <w:spacing w:before="0" w:after="0" w:line="36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pStyle w:val="939"/>
        <w:keepLines w:val="0"/>
        <w:keepNext w:val="0"/>
        <w:pageBreakBefore w:val="0"/>
        <w:spacing w:before="0" w:after="0" w:line="360" w:lineRule="auto"/>
        <w:widowControl w:val="off"/>
        <w:rPr>
          <w:rFonts w:hint="default" w:ascii="宋体" w:hAnsi="宋体" w:eastAsia="宋体" w:cs="Courier New"/>
          <w:color w:val="auto"/>
          <w:sz w:val="24"/>
          <w:szCs w:val="24"/>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1</w:t>
      </w:r>
      <w:r>
        <w:rPr>
          <w:rFonts w:hint="eastAsia" w:ascii="宋体" w:hAnsi="宋体" w:eastAsia="宋体" w:cs="Courier New"/>
          <w:color w:val="auto"/>
          <w:sz w:val="24"/>
          <w:szCs w:val="24"/>
          <w:highlight w:val="none"/>
          <w:lang w:val="en-US" w:eastAsia="zh-CN"/>
        </w:rPr>
        <w:t xml:space="preserve"> </w:t>
      </w:r>
      <w:r>
        <w:rPr>
          <w:rFonts w:hint="eastAsia" w:hAnsi="宋体" w:cs="Courier New"/>
          <w:color w:val="auto"/>
          <w:sz w:val="24"/>
          <w:szCs w:val="24"/>
          <w:highlight w:val="none"/>
          <w:lang w:val="en-US" w:eastAsia="zh-CN"/>
        </w:rPr>
        <w:t xml:space="preserve">合同签订后，甲方支付合同总价款的30%款项。</w:t>
      </w:r>
      <w:r/>
    </w:p>
    <w:p>
      <w:pPr>
        <w:pStyle w:val="939"/>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2</w:t>
      </w:r>
      <w:r>
        <w:rPr>
          <w:rFonts w:hint="eastAsia" w:ascii="宋体" w:hAnsi="宋体" w:eastAsia="宋体" w:cs="Courier New"/>
          <w:color w:val="auto"/>
          <w:sz w:val="24"/>
          <w:szCs w:val="24"/>
          <w:highlight w:val="none"/>
          <w:lang w:val="en-US" w:eastAsia="zh-CN"/>
        </w:rPr>
        <w:t xml:space="preserve"> 全部设备安装调试完成投入正常使用，并终验收合格后，甲方支付合同总价款的60%款项。</w:t>
      </w:r>
      <w:r/>
    </w:p>
    <w:p>
      <w:pPr>
        <w:pStyle w:val="939"/>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8.1.3自终验合格之日起，无质量、服务等问题，质保期满1年甲方支付合同总价款的5%款项。</w:t>
      </w:r>
      <w:r/>
    </w:p>
    <w:p>
      <w:pPr>
        <w:pStyle w:val="939"/>
        <w:keepLines w:val="0"/>
        <w:keepNext w:val="0"/>
        <w:pageBreakBefore w:val="0"/>
        <w:spacing w:before="0" w:after="0" w:line="36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w:t>
      </w:r>
      <w:r>
        <w:rPr>
          <w:rFonts w:hint="eastAsia" w:hAnsi="宋体" w:cs="Courier New"/>
          <w:color w:val="auto"/>
          <w:sz w:val="24"/>
          <w:szCs w:val="24"/>
          <w:highlight w:val="none"/>
          <w:lang w:val="en-US" w:eastAsia="zh-CN"/>
        </w:rPr>
        <w:t xml:space="preserve">4</w:t>
      </w:r>
      <w:r>
        <w:rPr>
          <w:rFonts w:hint="eastAsia" w:ascii="宋体" w:hAnsi="宋体" w:eastAsia="宋体" w:cs="Courier New"/>
          <w:color w:val="auto"/>
          <w:sz w:val="24"/>
          <w:szCs w:val="24"/>
          <w:highlight w:val="none"/>
          <w:lang w:val="en-US" w:eastAsia="zh-CN"/>
        </w:rPr>
        <w:t xml:space="preserve">自终验合格之日起，无质量、服务等问题，质保期满3年甲方支付合同总价款的5%款项。</w:t>
      </w:r>
      <w:r/>
    </w:p>
    <w:p>
      <w:pPr>
        <w:pStyle w:val="939"/>
        <w:keepLines w:val="0"/>
        <w:keepNext w:val="0"/>
        <w:pageBreakBefore w:val="0"/>
        <w:spacing w:before="0" w:after="0" w:line="36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5</w:t>
      </w:r>
      <w:r>
        <w:rPr>
          <w:rFonts w:hint="eastAsia" w:ascii="宋体" w:hAnsi="宋体" w:eastAsia="宋体" w:cs="Courier New"/>
          <w:color w:val="000000"/>
          <w:sz w:val="24"/>
          <w:szCs w:val="24"/>
          <w:lang w:val="en-US" w:eastAsia="zh-CN"/>
        </w:rPr>
        <w:t xml:space="preserve"> 满足合同约定支付条件的，甲方收到乙方发票，且预算资金到位后10个工作日内，将资金支付到合同约定的乙方账户。</w:t>
      </w:r>
      <w:r/>
    </w:p>
    <w:p>
      <w:pPr>
        <w:pStyle w:val="939"/>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根据工业和信息化部关于印发《保障中小企业款项支付投诉处理暂行办法》的通知（工信部企业〔2021〕224 号）</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pStyle w:val="939"/>
        <w:keepLines w:val="0"/>
        <w:keepNext w:val="0"/>
        <w:pageBreakBefore w:val="0"/>
        <w:spacing w:before="0" w:after="0" w:line="360" w:lineRule="auto"/>
        <w:widowControl w:val="off"/>
        <w:rPr>
          <w:rFonts w:hint="eastAsia" w:ascii="宋体" w:hAnsi="宋体" w:eastAsia="宋体" w:cs="Courier New"/>
          <w:sz w:val="24"/>
          <w:szCs w:val="24"/>
        </w:rPr>
      </w:pPr>
      <w:r>
        <w:rPr>
          <w:rFonts w:hint="eastAsia" w:ascii="宋体" w:hAnsi="宋体" w:eastAsia="宋体" w:cs="Courier New"/>
          <w:sz w:val="24"/>
          <w:szCs w:val="24"/>
        </w:rPr>
        <w:t xml:space="preserve">8.</w:t>
      </w:r>
      <w:r>
        <w:rPr>
          <w:rFonts w:hint="eastAsia" w:ascii="宋体" w:hAnsi="宋体" w:eastAsia="宋体" w:cs="Courier New"/>
          <w:sz w:val="24"/>
          <w:szCs w:val="24"/>
          <w:lang w:val="en-US" w:eastAsia="zh-CN"/>
        </w:rPr>
        <w:t xml:space="preserve">3 </w:t>
      </w:r>
      <w:r>
        <w:rPr>
          <w:rFonts w:hint="eastAsia" w:ascii="宋体" w:hAnsi="宋体" w:eastAsia="宋体" w:cs="Courier New"/>
          <w:sz w:val="24"/>
          <w:szCs w:val="24"/>
        </w:rPr>
        <w:t xml:space="preserve">当采购数量与实际使用数量不一致时</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乙方应根据实际使用量供货</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合同的最终结算金额按实际使用量乘以</w:t>
      </w:r>
      <w:r>
        <w:rPr>
          <w:rFonts w:hint="eastAsia" w:ascii="宋体" w:hAnsi="宋体" w:eastAsia="宋体" w:cs="Courier New"/>
          <w:sz w:val="24"/>
          <w:szCs w:val="24"/>
          <w:lang w:val="en-US" w:eastAsia="zh-CN"/>
        </w:rPr>
        <w:t xml:space="preserve">中标</w:t>
      </w:r>
      <w:r>
        <w:rPr>
          <w:rFonts w:hint="eastAsia" w:ascii="宋体" w:hAnsi="宋体" w:eastAsia="宋体" w:cs="Courier New"/>
          <w:sz w:val="24"/>
          <w:szCs w:val="24"/>
        </w:rPr>
        <w:t xml:space="preserve">单价进行计算。</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360" w:lineRule="auto"/>
        <w:widowControl w:val="off"/>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 w:val="0"/>
          <w:bCs/>
          <w:color w:val="000000"/>
          <w:sz w:val="24"/>
          <w:szCs w:val="24"/>
        </w:rPr>
        <w:t xml:space="preserve">十、质量保修范围和保修期及售后服务</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乙方应按招标文件规定的货物性能、技术要求、质量标准向甲方提供未经使用的全新产品。</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乙方提供的货物在质</w:t>
      </w:r>
      <w:r>
        <w:rPr>
          <w:rFonts w:hint="eastAsia" w:ascii="宋体" w:hAnsi="宋体" w:eastAsia="宋体" w:cs="Courier New"/>
          <w:color w:val="000000"/>
          <w:sz w:val="24"/>
          <w:szCs w:val="24"/>
          <w:lang w:val="en-US" w:eastAsia="zh-CN"/>
        </w:rPr>
        <w:t xml:space="preserve">保</w:t>
      </w:r>
      <w:r>
        <w:rPr>
          <w:rFonts w:hint="eastAsia" w:ascii="宋体" w:hAnsi="宋体" w:eastAsia="宋体" w:cs="Courier New"/>
          <w:color w:val="000000"/>
          <w:sz w:val="24"/>
          <w:szCs w:val="24"/>
        </w:rPr>
        <w:t xml:space="preserve">期内因货物本身的质量问题发生故障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乙方应负责免费更换。对达不到技术要求者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根据实际情况</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经双方协商可按以下</w:t>
      </w:r>
      <w:r>
        <w:rPr>
          <w:rFonts w:hint="eastAsia" w:ascii="宋体" w:hAnsi="宋体" w:eastAsia="宋体" w:cs="Courier New"/>
          <w:color w:val="000000"/>
          <w:sz w:val="24"/>
          <w:szCs w:val="24"/>
          <w:lang w:val="en-US" w:eastAsia="zh-CN"/>
        </w:rPr>
        <w:t xml:space="preserve">方式</w:t>
      </w:r>
      <w:r>
        <w:rPr>
          <w:rFonts w:hint="eastAsia" w:ascii="宋体" w:hAnsi="宋体" w:eastAsia="宋体" w:cs="Courier New"/>
          <w:color w:val="000000"/>
          <w:sz w:val="24"/>
          <w:szCs w:val="24"/>
        </w:rPr>
        <w:t xml:space="preserve">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10.2.1 </w:t>
      </w:r>
      <w:r>
        <w:rPr>
          <w:rFonts w:hint="eastAsia" w:ascii="宋体" w:hAnsi="宋体" w:eastAsia="宋体" w:cs="Courier New"/>
          <w:color w:val="000000"/>
          <w:sz w:val="24"/>
          <w:szCs w:val="24"/>
        </w:rPr>
        <w:t xml:space="preserve">更换：由乙方承担所发生的全部费用</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lang w:eastAsia="zh-CN"/>
        </w:rPr>
      </w:pPr>
      <w:r>
        <w:rPr>
          <w:rFonts w:hint="eastAsia" w:ascii="宋体" w:hAnsi="宋体" w:eastAsia="宋体" w:cs="Courier New"/>
          <w:color w:val="000000"/>
          <w:sz w:val="24"/>
          <w:szCs w:val="24"/>
          <w:lang w:val="en-US" w:eastAsia="zh-CN"/>
        </w:rPr>
        <w:t xml:space="preserve">10.2.2 </w:t>
      </w:r>
      <w:r>
        <w:rPr>
          <w:rFonts w:hint="eastAsia" w:ascii="宋体" w:hAnsi="宋体" w:eastAsia="宋体" w:cs="Courier New"/>
          <w:color w:val="000000"/>
          <w:sz w:val="24"/>
          <w:szCs w:val="24"/>
        </w:rPr>
        <w:t xml:space="preserve">贬值处理：由甲乙双方合议定价</w:t>
      </w:r>
      <w:r>
        <w:rPr>
          <w:rFonts w:hint="eastAsia" w:ascii="宋体" w:hAnsi="宋体" w:eastAsia="宋体" w:cs="Courier New"/>
          <w:color w:val="000000"/>
          <w:sz w:val="24"/>
          <w:szCs w:val="24"/>
          <w:lang w:eastAsia="zh-CN"/>
        </w:rPr>
        <w:t xml:space="preserve">。</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10.2.3 </w:t>
      </w:r>
      <w:r>
        <w:rPr>
          <w:rFonts w:hint="eastAsia" w:ascii="宋体" w:hAnsi="宋体" w:eastAsia="宋体" w:cs="Courier New"/>
          <w:color w:val="000000"/>
          <w:sz w:val="24"/>
          <w:szCs w:val="24"/>
        </w:rPr>
        <w:t xml:space="preserve">退货处理：乙方应退还甲方支付的合同款</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同时应承担该货物的直接费用（运输、保险、检验、货款利息及银行手续费等）。</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如在使用过程中发生质量问题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在接到甲方通知后</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12</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小时内到达甲方现场。</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乙方应对货物出现的质量及安全问题负责处理解决并承担一切费用。</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质保期为</w:t>
      </w:r>
      <w:r>
        <w:rPr>
          <w:rFonts w:hint="eastAsia" w:ascii="宋体" w:hAnsi="宋体" w:eastAsia="宋体" w:cs="Courier New"/>
          <w:color w:val="000000"/>
          <w:sz w:val="24"/>
          <w:szCs w:val="24"/>
          <w:u w:val="none"/>
        </w:rPr>
        <w:t xml:space="preserve">自交货验收合格之日起</w:t>
      </w:r>
      <w:r>
        <w:rPr>
          <w:rFonts w:hint="eastAsia" w:ascii="宋体" w:hAnsi="宋体" w:eastAsia="宋体" w:cs="Courier New"/>
          <w:color w:val="000000"/>
          <w:sz w:val="24"/>
          <w:szCs w:val="24"/>
          <w:u w:val="single"/>
        </w:rPr>
        <w:t xml:space="preserve"> </w:t>
      </w:r>
      <w:r>
        <w:rPr>
          <w:rFonts w:hint="eastAsia" w:ascii="宋体" w:hAnsi="宋体" w:cs="Courier New"/>
          <w:color w:val="000000"/>
          <w:sz w:val="24"/>
          <w:szCs w:val="24"/>
          <w:u w:val="single"/>
          <w:lang w:val="en-US" w:eastAsia="zh-CN"/>
        </w:rPr>
        <w:t xml:space="preserve">3</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rPr>
        <w:t xml:space="preserve">年</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因人为因素出现的故障不在质保范围内。超过质保期的</w:t>
      </w:r>
      <w:r>
        <w:rPr>
          <w:rFonts w:hint="eastAsia" w:ascii="宋体" w:hAnsi="宋体" w:eastAsia="宋体" w:cs="Courier New"/>
          <w:color w:val="000000"/>
          <w:sz w:val="24"/>
          <w:szCs w:val="24"/>
          <w:lang w:val="en-US" w:eastAsia="zh-CN"/>
        </w:rPr>
        <w:t xml:space="preserve">乙方负责</w:t>
      </w:r>
      <w:r>
        <w:rPr>
          <w:rFonts w:hint="eastAsia" w:ascii="宋体" w:hAnsi="宋体" w:eastAsia="宋体" w:cs="Courier New"/>
          <w:color w:val="000000"/>
          <w:sz w:val="24"/>
          <w:szCs w:val="24"/>
        </w:rPr>
        <w:t xml:space="preserve">终生维修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维修时只收</w:t>
      </w:r>
      <w:r>
        <w:rPr>
          <w:rFonts w:hint="eastAsia" w:ascii="宋体" w:hAnsi="宋体" w:eastAsia="宋体" w:cs="Courier New"/>
          <w:color w:val="000000"/>
          <w:sz w:val="24"/>
          <w:szCs w:val="24"/>
          <w:lang w:val="en-US" w:eastAsia="zh-CN"/>
        </w:rPr>
        <w:t xml:space="preserve">取</w:t>
      </w:r>
      <w:r>
        <w:rPr>
          <w:rFonts w:hint="eastAsia" w:ascii="宋体" w:hAnsi="宋体" w:eastAsia="宋体" w:cs="Courier New"/>
          <w:color w:val="000000"/>
          <w:sz w:val="24"/>
          <w:szCs w:val="24"/>
        </w:rPr>
        <w:t xml:space="preserve">部件成本费。</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十一、项目验收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甲方依法组织履约验收工作。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w:t>
      </w:r>
      <w:r>
        <w:rPr>
          <w:rFonts w:hint="eastAsia" w:ascii="宋体" w:hAnsi="宋体" w:eastAsia="宋体" w:cs="Courier New"/>
          <w:color w:val="000000"/>
          <w:sz w:val="24"/>
          <w:szCs w:val="24"/>
          <w:lang w:eastAsia="zh-CN"/>
        </w:rPr>
        <w:t xml:space="preserve">内容，</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val="en-US"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val="en-US" w:eastAsia="zh-CN"/>
        </w:rPr>
        <w:t xml:space="preserve">投标</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val="en-US"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列明各项标准的验收情况及项目总体评价</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val="en-US"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11.6</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验收合格的项目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十二、货物的包装、发运及运输</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12.</w:t>
      </w:r>
      <w:r>
        <w:rPr>
          <w:rFonts w:hint="eastAsia" w:ascii="宋体" w:hAnsi="宋体" w:eastAsia="宋体" w:cs="Courier New"/>
          <w:color w:val="000000"/>
          <w:sz w:val="24"/>
          <w:szCs w:val="24"/>
        </w:rPr>
        <w:t xml:space="preserve">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乙方应在货物发运前对其进行满足运输距离、防潮、防震、防锈和防破损装卸等要求包装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以保证货物安全运达甲方指定地点。货物的包装应符合《商品包装政府采购需求标准（试行）》《快递包装政府采购需求标准（试行）》的规定。</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使用说明书、质量检验证明书、随配附件和工具以及清单一并附于货物内。</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乙方在货物发运手续办理完毕后24小时内或货到甲方48小时前通知甲方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以准备接货。</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12.4</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货物在交付甲方前发生的风险均由乙方负责。</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12.5</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货物在规定的交付期限内由乙方送达甲方指定的地点视为交付</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乙方同时需通知甲方货物已送达。</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十三、违约责任</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甲方无正当理由拒收货物的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lang w:val="en-US" w:eastAsia="zh-CN"/>
        </w:rPr>
        <w:t xml:space="preserve">应</w:t>
      </w:r>
      <w:r>
        <w:rPr>
          <w:rFonts w:hint="eastAsia" w:ascii="宋体" w:hAnsi="宋体" w:eastAsia="宋体" w:cs="Courier New"/>
          <w:color w:val="000000"/>
          <w:sz w:val="24"/>
          <w:szCs w:val="24"/>
        </w:rPr>
        <w:t xml:space="preserve">向乙方偿付拒收货</w:t>
      </w:r>
      <w:r>
        <w:rPr>
          <w:rFonts w:hint="eastAsia" w:ascii="宋体" w:hAnsi="宋体" w:cs="Courier New"/>
          <w:color w:val="000000"/>
          <w:sz w:val="24"/>
          <w:szCs w:val="24"/>
          <w:lang w:val="en-US" w:eastAsia="zh-CN"/>
        </w:rPr>
        <w:t xml:space="preserve">物</w:t>
      </w:r>
      <w:r>
        <w:rPr>
          <w:rFonts w:hint="eastAsia" w:ascii="宋体" w:hAnsi="宋体" w:eastAsia="宋体" w:cs="Courier New"/>
          <w:color w:val="000000"/>
          <w:sz w:val="24"/>
          <w:szCs w:val="24"/>
        </w:rPr>
        <w:t xml:space="preserve">总</w:t>
      </w:r>
      <w:r>
        <w:rPr>
          <w:rFonts w:hint="eastAsia" w:ascii="宋体" w:hAnsi="宋体" w:cs="Courier New"/>
          <w:color w:val="000000"/>
          <w:sz w:val="24"/>
          <w:szCs w:val="24"/>
          <w:lang w:val="en-US" w:eastAsia="zh-CN"/>
        </w:rPr>
        <w:t xml:space="preserve">价</w:t>
      </w:r>
      <w:r>
        <w:rPr>
          <w:rFonts w:hint="eastAsia" w:ascii="宋体" w:hAnsi="宋体" w:eastAsia="宋体" w:cs="Courier New"/>
          <w:color w:val="000000"/>
          <w:sz w:val="24"/>
          <w:szCs w:val="24"/>
        </w:rPr>
        <w:t xml:space="preserve">款</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甲方无故逾期验收和办理货款支付手续的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0.1% </w:t>
      </w:r>
      <w:r>
        <w:rPr>
          <w:rFonts w:hint="eastAsia" w:ascii="宋体" w:hAnsi="宋体" w:eastAsia="宋体" w:cs="Courier New"/>
          <w:color w:val="000000"/>
          <w:sz w:val="24"/>
          <w:szCs w:val="24"/>
        </w:rPr>
        <w:t xml:space="preserve">向乙方支付违约金。</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乙方逾期交付货物的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应按逾期交货总额每日</w:t>
      </w:r>
      <w:r>
        <w:rPr>
          <w:rFonts w:hint="eastAsia" w:ascii="宋体" w:hAnsi="宋体" w:eastAsia="宋体" w:cs="Courier New"/>
          <w:color w:val="000000"/>
          <w:sz w:val="24"/>
          <w:szCs w:val="24"/>
          <w:u w:val="single"/>
          <w:lang w:val="en-US" w:eastAsia="zh-CN"/>
        </w:rPr>
        <w:t xml:space="preserve"> 0.1% </w:t>
      </w:r>
      <w:r>
        <w:rPr>
          <w:rFonts w:hint="eastAsia" w:ascii="宋体" w:hAnsi="宋体" w:eastAsia="宋体" w:cs="Courier New"/>
          <w:color w:val="000000"/>
          <w:sz w:val="24"/>
          <w:szCs w:val="24"/>
        </w:rPr>
        <w:t xml:space="preserve">向甲方支付违约金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由甲方从待付货款中扣除。逾期超过约定日期10个工作日不能交货的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甲方可解除本合同。乙方因逾期交货或因其他违约行为导致甲方解除合同的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eastAsia="宋体" w:cs="Courier New"/>
          <w:color w:val="000000"/>
          <w:sz w:val="24"/>
          <w:szCs w:val="24"/>
          <w:lang w:val="en-US" w:eastAsia="zh-CN"/>
        </w:rPr>
        <w:t xml:space="preserve">价</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的违约金。 </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13.4 乙方所交</w:t>
      </w:r>
      <w:r>
        <w:rPr>
          <w:rFonts w:hint="eastAsia" w:ascii="宋体" w:hAnsi="宋体" w:eastAsia="宋体" w:cs="Courier New"/>
          <w:color w:val="000000"/>
          <w:sz w:val="24"/>
          <w:szCs w:val="24"/>
          <w:lang w:val="en-US" w:eastAsia="zh-CN"/>
        </w:rPr>
        <w:t xml:space="preserve">付</w:t>
      </w:r>
      <w:r>
        <w:rPr>
          <w:rFonts w:hint="eastAsia" w:ascii="宋体" w:hAnsi="宋体" w:eastAsia="宋体" w:cs="Courier New"/>
          <w:color w:val="000000"/>
          <w:sz w:val="24"/>
          <w:szCs w:val="24"/>
        </w:rPr>
        <w:t xml:space="preserve">的货物品种、型号、规格、技术参数、质量不符合合同规定及招标文件规定标准的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甲方有权拒收该货物</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乙方愿意更换货物但逾期交货的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按乙方逾期交货处理。乙方拒绝更换货物的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甲方可单方面解除合同。</w:t>
      </w:r>
      <w:r/>
    </w:p>
    <w:p>
      <w:pPr>
        <w:keepLines w:val="0"/>
        <w:keepNext w:val="0"/>
        <w:pageBreakBefore w:val="0"/>
        <w:spacing w:before="0" w:after="0" w:line="360" w:lineRule="auto"/>
        <w:widowControl w:val="off"/>
        <w:rPr>
          <w:rFonts w:hint="eastAsia"/>
        </w:rPr>
      </w:pPr>
      <w:r>
        <w:rPr>
          <w:rFonts w:hint="eastAsia" w:ascii="宋体" w:hAnsi="宋体" w:eastAsia="宋体" w:cs="Courier New"/>
          <w:color w:val="000000"/>
          <w:sz w:val="24"/>
          <w:szCs w:val="24"/>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十四、不可抗力事件处理</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双方应通过友好协商确定是否继续履行合同。</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十五、解决争议的方法</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15.1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甲乙双方因合同签订、履行而发生的一切争议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应通过友好协商解决。协商不成</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36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十六、合同生效及其它</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16.1 </w:t>
      </w:r>
      <w:r>
        <w:rPr>
          <w:rFonts w:hint="eastAsia" w:ascii="宋体" w:hAnsi="宋体" w:eastAsia="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36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16.3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bookmarkEnd w:id="189"/>
      <w:bookmarkEnd w:id="190"/>
      <w:bookmarkEnd w:id="191"/>
      <w:r/>
    </w:p>
    <w:p>
      <w:pPr>
        <w:pStyle w:val="939"/>
        <w:keepLines w:val="0"/>
        <w:keepNext w:val="0"/>
        <w:pageBreakBefore w:val="0"/>
        <w:spacing w:before="120" w:after="120" w:line="360" w:lineRule="auto"/>
        <w:widowControl w:val="off"/>
        <w:rPr>
          <w:rFonts w:hint="eastAsia" w:hAnsi="宋体" w:eastAsia="宋体" w:cs="Courier New"/>
          <w:sz w:val="24"/>
          <w:szCs w:val="24"/>
        </w:rPr>
      </w:pPr>
      <w:r/>
      <w:bookmarkStart w:id="198" w:name="_Hlt16619369"/>
      <w:r/>
      <w:bookmarkEnd w:id="198"/>
      <w:r>
        <w:rPr>
          <w:rFonts w:hint="eastAsia" w:hAnsi="宋体" w:eastAsia="宋体" w:cs="Courier New"/>
          <w:sz w:val="24"/>
          <w:szCs w:val="24"/>
        </w:rPr>
        <w:t xml:space="preserve">  </w:t>
      </w:r>
      <w:r/>
    </w:p>
    <w:p>
      <w:pPr>
        <w:pStyle w:val="939"/>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甲</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939"/>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址： </w:t>
      </w:r>
      <w:r/>
    </w:p>
    <w:p>
      <w:pPr>
        <w:pStyle w:val="939"/>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939"/>
        <w:ind w:firstLine="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939"/>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                                          </w:t>
      </w:r>
      <w:r/>
    </w:p>
    <w:p>
      <w:pPr>
        <w:pStyle w:val="939"/>
        <w:ind w:firstLine="4800"/>
        <w:keepLines w:val="0"/>
        <w:keepNext w:val="0"/>
        <w:pageBreakBefore w:val="0"/>
        <w:spacing w:before="120" w:after="120" w:line="360" w:lineRule="auto"/>
        <w:widowControl w:val="off"/>
        <w:rPr>
          <w:rFonts w:hint="eastAsia" w:hAnsi="宋体" w:eastAsia="宋体" w:cs="Courier New"/>
          <w:sz w:val="24"/>
          <w:szCs w:val="24"/>
        </w:rPr>
      </w:pPr>
      <w:r>
        <w:rPr>
          <w:rFonts w:hint="eastAsia" w:hAnsi="宋体" w:eastAsia="宋体" w:cs="Courier New"/>
          <w:sz w:val="24"/>
          <w:szCs w:val="24"/>
        </w:rPr>
        <w:t xml:space="preserve">签订日期：      </w:t>
      </w:r>
      <w:r/>
    </w:p>
    <w:p>
      <w:pPr>
        <w:jc w:val="center"/>
        <w:keepLines w:val="0"/>
        <w:keepNext w:val="0"/>
        <w:pageBreakBefore w:val="0"/>
        <w:spacing w:before="145" w:after="145" w:line="264" w:lineRule="auto"/>
        <w:widowControl w:val="off"/>
        <w:rPr>
          <w:rFonts w:hint="eastAsia" w:ascii="宋体" w:hAnsi="宋体" w:eastAsia="宋体" w:cs="Times New Roman"/>
          <w:b/>
          <w:bCs w:val="0"/>
          <w:sz w:val="30"/>
          <w:szCs w:val="21"/>
          <w:highlight w:val="none"/>
        </w:rPr>
        <w:outlineLvl w:val="9"/>
      </w:pPr>
      <w:r>
        <w:rPr>
          <w:rFonts w:hint="eastAsia" w:ascii="宋体" w:hAnsi="宋体" w:eastAsia="宋体" w:cs="Times New Roman"/>
          <w:b/>
          <w:bCs w:val="0"/>
          <w:sz w:val="30"/>
          <w:szCs w:val="21"/>
          <w:highlight w:val="none"/>
        </w:rPr>
      </w:r>
      <w:r/>
    </w:p>
    <w:p>
      <w:pPr>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r>
      <w:r/>
    </w:p>
    <w:p>
      <w:pPr>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sz w:val="32"/>
          <w:szCs w:val="32"/>
          <w:highlight w:val="none"/>
        </w:rPr>
        <w:outlineLvl w:val="9"/>
      </w:pPr>
      <w:r>
        <w:rPr>
          <w:rFonts w:hint="eastAsia" w:ascii="方正小标宋简体" w:hAnsi="方正小标宋简体" w:eastAsia="方正小标宋简体" w:cs="方正小标宋简体"/>
          <w:b w:val="0"/>
          <w:bCs/>
          <w:sz w:val="32"/>
          <w:szCs w:val="32"/>
          <w:highlight w:val="none"/>
        </w:rPr>
        <w:t xml:space="preserve">《*******合同》补充协议（合同附件）</w:t>
      </w:r>
      <w:r/>
    </w:p>
    <w:p>
      <w:pPr>
        <w:pStyle w:val="939"/>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p>
    <w:p>
      <w:pPr>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ascii="黑体" w:hAnsi="Courier New" w:eastAsia="黑体" w:cs="Courier New"/>
          <w:bCs/>
          <w:color w:val="000000"/>
          <w:sz w:val="44"/>
          <w:szCs w:val="21"/>
        </w:rPr>
        <w:br w:type="page" w:clear="all"/>
      </w:r>
      <w:bookmarkStart w:id="199" w:name="_Toc17493"/>
      <w:r/>
      <w:bookmarkStart w:id="200" w:name="_Toc24673"/>
      <w:r>
        <w:rPr>
          <w:rFonts w:hint="eastAsia" w:ascii="方正小标宋简体" w:hAnsi="方正小标宋简体" w:eastAsia="方正小标宋简体" w:cs="方正小标宋简体"/>
          <w:color w:val="000000"/>
          <w:sz w:val="36"/>
          <w:szCs w:val="36"/>
        </w:rPr>
        <w:t xml:space="preserve">第</w:t>
      </w:r>
      <w:bookmarkEnd w:id="192"/>
      <w:r>
        <w:rPr>
          <w:rFonts w:hint="eastAsia" w:ascii="方正小标宋简体" w:hAnsi="方正小标宋简体" w:eastAsia="方正小标宋简体" w:cs="方正小标宋简体"/>
          <w:color w:val="000000"/>
          <w:sz w:val="36"/>
          <w:szCs w:val="36"/>
        </w:rPr>
        <w:t xml:space="preserve">四章</w:t>
      </w:r>
      <w:r>
        <w:rPr>
          <w:rFonts w:hint="eastAsia" w:ascii="方正小标宋简体" w:hAnsi="方正小标宋简体" w:eastAsia="方正小标宋简体" w:cs="方正小标宋简体"/>
          <w:color w:val="000000"/>
          <w:sz w:val="36"/>
          <w:szCs w:val="36"/>
          <w:lang w:val="en-US" w:eastAsia="zh-CN"/>
        </w:rPr>
        <w:t xml:space="preserve">  </w:t>
      </w:r>
      <w:r>
        <w:rPr>
          <w:rFonts w:hint="eastAsia" w:ascii="方正小标宋简体" w:hAnsi="方正小标宋简体" w:eastAsia="方正小标宋简体" w:cs="方正小标宋简体"/>
          <w:color w:val="000000"/>
          <w:sz w:val="36"/>
          <w:szCs w:val="36"/>
        </w:rPr>
        <w:t xml:space="preserve">采购需求</w:t>
      </w:r>
      <w:bookmarkEnd w:id="193"/>
      <w:r/>
      <w:bookmarkEnd w:id="194"/>
      <w:r/>
      <w:bookmarkEnd w:id="195"/>
      <w:r/>
      <w:bookmarkEnd w:id="199"/>
      <w:r/>
      <w:bookmarkEnd w:id="200"/>
      <w:r/>
      <w:r/>
    </w:p>
    <w:p>
      <w:pPr>
        <w:ind w:firstLine="480"/>
        <w:keepLines w:val="0"/>
        <w:keepNext w:val="0"/>
        <w:pageBreakBefore w:val="0"/>
        <w:spacing w:line="360" w:lineRule="auto"/>
        <w:widowControl w:val="off"/>
        <w:rPr>
          <w:rFonts w:hint="eastAsia" w:ascii="黑体" w:hAnsi="黑体" w:eastAsia="黑体" w:cs="黑体"/>
          <w:color w:val="000000"/>
          <w:sz w:val="24"/>
          <w:szCs w:val="24"/>
        </w:rPr>
      </w:pPr>
      <w:r/>
      <w:bookmarkStart w:id="201" w:name="_Toc26554093"/>
      <w:r/>
      <w:bookmarkStart w:id="202" w:name="_Toc49090575"/>
      <w:r>
        <w:rPr>
          <w:rFonts w:hint="eastAsia" w:ascii="黑体" w:hAnsi="黑体" w:eastAsia="黑体" w:cs="黑体"/>
          <w:color w:val="000000"/>
          <w:sz w:val="24"/>
          <w:szCs w:val="24"/>
          <w:lang w:eastAsia="zh-CN"/>
        </w:rPr>
        <w:t xml:space="preserve">一、</w:t>
      </w:r>
      <w:r>
        <w:rPr>
          <w:rFonts w:hint="eastAsia" w:ascii="黑体" w:hAnsi="黑体" w:eastAsia="黑体" w:cs="黑体"/>
          <w:color w:val="000000"/>
          <w:sz w:val="24"/>
          <w:szCs w:val="24"/>
        </w:rPr>
        <w:t xml:space="preserve">项目属性</w:t>
      </w:r>
      <w:r>
        <w:rPr>
          <w:rFonts w:hint="eastAsia" w:ascii="黑体" w:hAnsi="黑体" w:eastAsia="黑体" w:cs="黑体"/>
          <w:color w:val="000000"/>
          <w:sz w:val="24"/>
          <w:szCs w:val="24"/>
          <w:lang w:eastAsia="zh-CN"/>
        </w:rPr>
        <w:t xml:space="preserve">：</w:t>
      </w:r>
      <w:r>
        <w:rPr>
          <w:rFonts w:hint="eastAsia" w:ascii="宋体" w:hAnsi="宋体" w:eastAsia="宋体" w:cs="宋体"/>
          <w:color w:val="000000"/>
          <w:sz w:val="24"/>
          <w:szCs w:val="24"/>
          <w:lang w:eastAsia="zh-CN"/>
        </w:rPr>
        <w:t xml:space="preserve">货物</w:t>
      </w:r>
      <w:r>
        <w:rPr>
          <w:rFonts w:hint="eastAsia" w:ascii="宋体" w:hAnsi="宋体" w:eastAsia="宋体" w:cs="宋体"/>
          <w:color w:val="000000"/>
          <w:sz w:val="24"/>
          <w:szCs w:val="24"/>
        </w:rPr>
        <w:t xml:space="preserve">类项目。</w:t>
      </w:r>
      <w:r/>
    </w:p>
    <w:p>
      <w:pPr>
        <w:ind w:firstLine="480"/>
        <w:keepLines w:val="0"/>
        <w:keepNext w:val="0"/>
        <w:pageBreakBefore w:val="0"/>
        <w:spacing w:line="360" w:lineRule="auto"/>
        <w:widowControl w:val="off"/>
        <w:rPr>
          <w:rFonts w:hint="eastAsia" w:ascii="黑体" w:hAnsi="黑体" w:eastAsia="黑体" w:cs="黑体"/>
          <w:color w:val="000000"/>
          <w:sz w:val="24"/>
          <w:szCs w:val="24"/>
        </w:rPr>
      </w:pPr>
      <w:r>
        <w:rPr>
          <w:rFonts w:hint="eastAsia" w:ascii="黑体" w:hAnsi="黑体" w:eastAsia="黑体" w:cs="黑体"/>
          <w:color w:val="000000"/>
          <w:sz w:val="24"/>
          <w:szCs w:val="24"/>
          <w:lang w:eastAsia="zh-CN"/>
        </w:rPr>
        <w:t xml:space="preserve">二、</w:t>
      </w:r>
      <w:r>
        <w:rPr>
          <w:rFonts w:hint="eastAsia" w:ascii="黑体" w:hAnsi="黑体" w:eastAsia="黑体" w:cs="黑体"/>
          <w:color w:val="000000"/>
          <w:sz w:val="24"/>
          <w:szCs w:val="24"/>
        </w:rPr>
        <w:t xml:space="preserve">项目概况</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（一）项目</w:t>
      </w:r>
      <w:r>
        <w:rPr>
          <w:rFonts w:hint="eastAsia" w:ascii="宋体" w:hAnsi="宋体" w:eastAsia="宋体" w:cs="宋体"/>
          <w:bCs/>
          <w:sz w:val="24"/>
          <w:szCs w:val="24"/>
          <w:lang w:val="en-US" w:eastAsia="zh-CN"/>
        </w:rPr>
        <w:t xml:space="preserve">名称</w:t>
      </w:r>
      <w:r/>
    </w:p>
    <w:p>
      <w:pPr>
        <w:ind w:firstLine="480"/>
        <w:keepLines w:val="0"/>
        <w:keepNext w:val="0"/>
        <w:pageBreakBefore w:val="0"/>
        <w:spacing w:line="360" w:lineRule="auto"/>
        <w:widowControl w:val="off"/>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 xml:space="preserve">基于评级的基础设施提升和保障服务项目-机房容灾备份及网络安全加固项目</w:t>
      </w:r>
      <w:r/>
    </w:p>
    <w:p>
      <w:pPr>
        <w:ind w:firstLine="480"/>
        <w:keepLines w:val="0"/>
        <w:keepNext w:val="0"/>
        <w:pageBreakBefore w:val="0"/>
        <w:spacing w:line="360" w:lineRule="auto"/>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（二）</w:t>
      </w:r>
      <w:r>
        <w:rPr>
          <w:rFonts w:hint="eastAsia" w:ascii="宋体" w:hAnsi="宋体" w:eastAsia="宋体" w:cs="宋体"/>
          <w:bCs/>
          <w:sz w:val="24"/>
          <w:szCs w:val="24"/>
          <w:lang w:val="en-US" w:eastAsia="zh-CN"/>
        </w:rPr>
        <w:t xml:space="preserve">项目</w:t>
      </w:r>
      <w:r>
        <w:rPr>
          <w:rFonts w:hint="eastAsia" w:ascii="宋体" w:hAnsi="宋体" w:eastAsia="宋体" w:cs="宋体"/>
          <w:bCs/>
          <w:sz w:val="24"/>
          <w:szCs w:val="24"/>
          <w:lang w:eastAsia="zh-CN"/>
        </w:rPr>
        <w:t xml:space="preserve">建设</w:t>
      </w:r>
      <w:r>
        <w:rPr>
          <w:rFonts w:hint="eastAsia" w:ascii="宋体" w:hAnsi="宋体" w:eastAsia="宋体" w:cs="宋体"/>
          <w:bCs/>
          <w:sz w:val="24"/>
          <w:szCs w:val="24"/>
          <w:lang w:val="en-US" w:eastAsia="zh-CN"/>
        </w:rPr>
        <w:t xml:space="preserve">目标</w:t>
      </w:r>
      <w:r/>
    </w:p>
    <w:p>
      <w:pPr>
        <w:ind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保障核心系统及数据更加安全可靠，提高数据中心运行效率和应用系统业务连续性接管能力是目前亟须解决的问题。应对数据中心面临的风险，基础设施提升和运维保障建设从数据业务连续性复制、数据恢复等方面，以满足医院评级要求，提升基础设施稳定性和安全性，保证数据及业务的安全可靠运行。</w:t>
      </w:r>
      <w:r/>
    </w:p>
    <w:p>
      <w:pPr>
        <w:pStyle w:val="754"/>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▲为保障本项目对现有核心业务系统评级支撑的要求，供应商须具有医院电子病历5级评级的建设经验和医院核心业务系统快速切换的保障能力，提供证明材料。</w:t>
      </w:r>
      <w:r/>
    </w:p>
    <w:p>
      <w:pPr>
        <w:pStyle w:val="754"/>
        <w:ind w:left="0" w:firstLine="480"/>
        <w:keepLines w:val="0"/>
        <w:keepNext w:val="0"/>
        <w:pageBreakBefore w:val="0"/>
        <w:spacing w:line="360"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为保障本项目所涉及的数据库和前台程序能完整快速的进行容灾备份，需协调软件服务商技术支持人员提供现场技术保障（费用由供应商自行承担），供应商承诺中标后3个工作日内提供软件服务商出具的现场技术支持承诺函（提供承诺函并加盖公章</w:t>
      </w:r>
      <w:r>
        <w:rPr>
          <w:rFonts w:hint="eastAsia" w:ascii="宋体" w:hAnsi="宋体" w:cs="宋体"/>
          <w:bCs/>
          <w:color w:val="000000"/>
          <w:sz w:val="24"/>
          <w:szCs w:val="24"/>
          <w:lang w:val="en-US" w:eastAsia="zh-CN" w:bidi="ar-SA"/>
        </w:rPr>
        <w:t xml:space="preserve">，格式自拟</w:t>
      </w:r>
      <w:r>
        <w:rPr>
          <w:rFonts w:hint="eastAsia" w:ascii="宋体" w:hAnsi="宋体" w:eastAsia="宋体" w:cs="宋体"/>
          <w:bCs/>
          <w:color w:val="000000"/>
          <w:sz w:val="24"/>
          <w:szCs w:val="24"/>
          <w:lang w:val="en-US" w:eastAsia="zh-CN" w:bidi="ar-SA"/>
        </w:rPr>
        <w:t xml:space="preserve">）。</w:t>
      </w:r>
      <w:r/>
    </w:p>
    <w:p>
      <w:pPr>
        <w:rPr>
          <w:rFonts w:hint="eastAsia"/>
          <w:lang w:val="en-US" w:eastAsia="zh-CN"/>
        </w:rPr>
      </w:pPr>
      <w:r>
        <w:rPr>
          <w:rFonts w:hint="eastAsia"/>
          <w:lang w:val="en-US" w:eastAsia="zh-CN"/>
        </w:rPr>
      </w:r>
      <w:r/>
    </w:p>
    <w:p>
      <w:pPr>
        <w:ind w:firstLine="480"/>
        <w:keepLines w:val="0"/>
        <w:keepNext w:val="0"/>
        <w:pageBreakBefore w:val="0"/>
        <w:spacing w:line="264" w:lineRule="auto"/>
        <w:widowControl w:val="off"/>
        <w:rPr>
          <w:rFonts w:hint="eastAsia" w:ascii="宋体" w:hAnsi="宋体" w:eastAsia="宋体" w:cs="宋体"/>
          <w:bCs/>
          <w:sz w:val="24"/>
          <w:szCs w:val="24"/>
          <w:lang w:eastAsia="zh-CN"/>
        </w:rPr>
      </w:pPr>
      <w:r>
        <w:rPr>
          <w:rFonts w:hint="eastAsia" w:ascii="黑体" w:hAnsi="黑体" w:eastAsia="黑体" w:cs="黑体"/>
          <w:bCs w:val="0"/>
          <w:color w:val="000000"/>
          <w:sz w:val="24"/>
          <w:szCs w:val="24"/>
          <w:lang w:eastAsia="zh-CN"/>
        </w:rPr>
        <w:t xml:space="preserve">三、</w:t>
      </w:r>
      <w:r>
        <w:rPr>
          <w:rFonts w:hint="eastAsia" w:ascii="黑体" w:hAnsi="黑体" w:eastAsia="黑体" w:cs="黑体"/>
          <w:bCs w:val="0"/>
          <w:color w:val="000000"/>
          <w:sz w:val="24"/>
          <w:szCs w:val="24"/>
          <w:lang w:val="en-US" w:eastAsia="zh-CN"/>
        </w:rPr>
        <w:t xml:space="preserve">项目</w:t>
      </w:r>
      <w:r>
        <w:rPr>
          <w:rFonts w:hint="eastAsia" w:ascii="黑体" w:hAnsi="黑体" w:eastAsia="黑体" w:cs="黑体"/>
          <w:bCs w:val="0"/>
          <w:color w:val="000000"/>
          <w:sz w:val="24"/>
          <w:szCs w:val="24"/>
          <w:lang w:eastAsia="zh-CN"/>
        </w:rPr>
        <w:t xml:space="preserve">清单</w:t>
      </w:r>
      <w:r/>
    </w:p>
    <w:tbl>
      <w:tblPr>
        <w:tblStyle w:val="747"/>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9"/>
        <w:gridCol w:w="2535"/>
        <w:gridCol w:w="4827"/>
        <w:gridCol w:w="698"/>
        <w:gridCol w:w="809"/>
      </w:tblGrid>
      <w:tr>
        <w:trPr>
          <w:jc w:val="center"/>
          <w:trHeight w:val="119"/>
        </w:trPr>
        <w:tc>
          <w:tcPr>
            <w:tcW w:w="98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2535"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4827"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规格描述</w:t>
            </w:r>
            <w:r/>
          </w:p>
        </w:tc>
        <w:tc>
          <w:tcPr>
            <w:tcW w:w="698"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809" w:type="dxa"/>
            <w:vAlign w:val="center"/>
            <w:textDirection w:val="lrTb"/>
            <w:noWrap w:val="false"/>
          </w:tcPr>
          <w:p>
            <w:pPr>
              <w:jc w:val="center"/>
              <w:keepLines w:val="0"/>
              <w:keepNext w:val="0"/>
              <w:pageBreakBefore w:val="0"/>
              <w:spacing w:after="0"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备份</w:t>
            </w:r>
            <w:r>
              <w:rPr>
                <w:rFonts w:hint="eastAsia" w:ascii="宋体" w:hAnsi="宋体" w:cs="宋体"/>
                <w:color w:val="000000"/>
                <w:sz w:val="24"/>
                <w:szCs w:val="24"/>
                <w:lang w:val="en-US" w:eastAsia="zh-CN" w:bidi="ar"/>
              </w:rPr>
              <w:t xml:space="preserve">系统</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数据保护和管理解决方案，支持数据库备份、虚拟机备份和虚拟机CDP保护</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堡垒机</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含</w:t>
            </w:r>
            <w:r>
              <w:rPr>
                <w:rFonts w:hint="eastAsia" w:ascii="宋体" w:hAnsi="宋体" w:eastAsia="宋体" w:cs="宋体"/>
                <w:sz w:val="24"/>
                <w:szCs w:val="24"/>
                <w:lang w:val="en-US" w:eastAsia="zh-CN"/>
              </w:rPr>
              <w:t xml:space="preserve">不少于1</w:t>
            </w:r>
            <w:r>
              <w:rPr>
                <w:rFonts w:hint="eastAsia" w:ascii="宋体" w:hAnsi="宋体" w:eastAsia="宋体" w:cs="宋体"/>
                <w:sz w:val="24"/>
                <w:szCs w:val="24"/>
              </w:rPr>
              <w:t xml:space="preserve">00个访问授权</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98"/>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3</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网络准入控制系统</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eastAsia="zh-CN" w:bidi="ar"/>
              </w:rPr>
            </w:pPr>
            <w:r>
              <w:rPr>
                <w:rFonts w:hint="eastAsia" w:ascii="宋体" w:hAnsi="宋体" w:eastAsia="宋体" w:cs="宋体"/>
                <w:sz w:val="24"/>
                <w:szCs w:val="24"/>
                <w:lang w:val="en-US" w:eastAsia="zh-CN"/>
              </w:rPr>
              <w:t xml:space="preserve">内外网合计</w:t>
            </w:r>
            <w:r>
              <w:rPr>
                <w:rFonts w:hint="eastAsia" w:ascii="宋体" w:hAnsi="宋体" w:eastAsia="宋体" w:cs="宋体"/>
                <w:sz w:val="24"/>
                <w:szCs w:val="24"/>
              </w:rPr>
              <w:t xml:space="preserve">并发用户数</w:t>
            </w:r>
            <w:r>
              <w:rPr>
                <w:rFonts w:hint="eastAsia" w:ascii="宋体" w:hAnsi="宋体" w:eastAsia="宋体" w:cs="宋体"/>
                <w:sz w:val="24"/>
                <w:szCs w:val="24"/>
                <w:lang w:val="en-US" w:eastAsia="zh-CN"/>
              </w:rPr>
              <w:t xml:space="preserve">不少于</w:t>
            </w:r>
            <w:r>
              <w:rPr>
                <w:rFonts w:hint="eastAsia" w:ascii="宋体" w:hAnsi="宋体" w:cs="宋体"/>
                <w:sz w:val="24"/>
                <w:szCs w:val="24"/>
                <w:lang w:val="en-US" w:eastAsia="zh-CN"/>
              </w:rPr>
              <w:t xml:space="preserve">1500</w:t>
            </w:r>
            <w:r>
              <w:rPr>
                <w:rFonts w:hint="eastAsia" w:ascii="宋体" w:hAnsi="宋体" w:eastAsia="宋体" w:cs="宋体"/>
                <w:sz w:val="24"/>
                <w:szCs w:val="24"/>
              </w:rPr>
              <w:t xml:space="preserve">个</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每套并发用户数不少于750个</w:t>
            </w:r>
            <w:r>
              <w:rPr>
                <w:rFonts w:hint="eastAsia" w:ascii="宋体" w:hAnsi="宋体" w:cs="宋体"/>
                <w:sz w:val="24"/>
                <w:szCs w:val="24"/>
                <w:lang w:eastAsia="zh-CN"/>
              </w:rPr>
              <w:t xml:space="preserve">）</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2</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4</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防火墙</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用于</w:t>
            </w:r>
            <w:r>
              <w:rPr>
                <w:rFonts w:hint="eastAsia" w:ascii="宋体" w:hAnsi="宋体" w:eastAsia="宋体" w:cs="宋体"/>
                <w:sz w:val="24"/>
                <w:szCs w:val="24"/>
                <w:lang w:val="en-US" w:eastAsia="zh-CN"/>
              </w:rPr>
              <w:t xml:space="preserve">业务外</w:t>
            </w:r>
            <w:r>
              <w:rPr>
                <w:rFonts w:hint="eastAsia" w:ascii="宋体" w:hAnsi="宋体" w:eastAsia="宋体" w:cs="宋体"/>
                <w:sz w:val="24"/>
                <w:szCs w:val="24"/>
              </w:rPr>
              <w:t xml:space="preserve">网区域移动出口的边界保护</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5</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桌面杀毒</w:t>
            </w:r>
            <w:r/>
          </w:p>
        </w:tc>
        <w:tc>
          <w:tcPr>
            <w:tcW w:w="4827" w:type="dxa"/>
            <w:vAlign w:val="center"/>
            <w:textDirection w:val="lrTb"/>
            <w:noWrap w:val="false"/>
          </w:tcPr>
          <w:p>
            <w:pPr>
              <w:jc w:val="left"/>
              <w:keepLines w:val="0"/>
              <w:keepNext w:val="0"/>
              <w:pageBreakBefore w:val="0"/>
              <w:spacing w:after="0" w:line="240" w:lineRule="auto"/>
              <w:widowControl w:val="off"/>
              <w:rPr>
                <w:rFonts w:hint="eastAsia" w:ascii="宋体" w:hAnsi="宋体" w:eastAsia="宋体" w:cs="宋体"/>
                <w:color w:val="000000"/>
                <w:sz w:val="24"/>
                <w:szCs w:val="24"/>
                <w:lang w:val="en-US" w:eastAsia="zh-CN" w:bidi="ar"/>
              </w:rPr>
            </w:pPr>
            <w:r>
              <w:rPr>
                <w:rFonts w:hint="eastAsia" w:ascii="宋体" w:hAnsi="宋体" w:eastAsia="宋体" w:cs="宋体"/>
                <w:sz w:val="24"/>
                <w:szCs w:val="24"/>
                <w:lang w:val="en-US" w:eastAsia="zh-CN" w:bidi="ar-SA"/>
              </w:rPr>
              <w:t xml:space="preserve">办公外网不少于300个点，服务器不少于200个点</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6</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DNS安全监测系统</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用于外网的DNS安全监测</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套</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7</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电池更换</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老机房UPS电池（384块12V 100AH）更换和管理模块维修</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批</w:t>
            </w:r>
            <w:r/>
          </w:p>
        </w:tc>
      </w:tr>
      <w:tr>
        <w:trPr>
          <w:jc w:val="center"/>
          <w:trHeight w:val="119"/>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sz w:val="24"/>
                <w:szCs w:val="24"/>
              </w:rPr>
            </w:pPr>
            <w:r>
              <w:rPr>
                <w:rFonts w:hint="eastAsia" w:ascii="宋体" w:hAnsi="宋体" w:eastAsia="宋体" w:cs="宋体"/>
                <w:color w:val="000000"/>
                <w:sz w:val="24"/>
                <w:szCs w:val="24"/>
                <w:lang w:bidi="ar"/>
              </w:rPr>
              <w:t xml:space="preserve">8</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集成及评级保障服务</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color w:val="000000"/>
                <w:sz w:val="24"/>
                <w:szCs w:val="24"/>
                <w:lang w:bidi="ar"/>
              </w:rPr>
            </w:pPr>
            <w:r>
              <w:rPr>
                <w:rFonts w:hint="eastAsia" w:ascii="宋体" w:hAnsi="宋体" w:eastAsia="宋体" w:cs="宋体"/>
                <w:sz w:val="24"/>
                <w:szCs w:val="24"/>
              </w:rPr>
              <w:t xml:space="preserve">系统集成及评级相关的保障服务</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项</w:t>
            </w:r>
            <w:r/>
          </w:p>
        </w:tc>
      </w:tr>
      <w:tr>
        <w:trPr>
          <w:jc w:val="center"/>
          <w:trHeight w:val="120"/>
        </w:trPr>
        <w:tc>
          <w:tcPr>
            <w:tcW w:w="98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9</w:t>
            </w:r>
            <w:r/>
          </w:p>
        </w:tc>
        <w:tc>
          <w:tcPr>
            <w:tcW w:w="2535"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机房统一监控与预警系统</w:t>
            </w:r>
            <w:r/>
          </w:p>
        </w:tc>
        <w:tc>
          <w:tcPr>
            <w:tcW w:w="4827" w:type="dxa"/>
            <w:vAlign w:val="center"/>
            <w:textDirection w:val="lrTb"/>
            <w:noWrap w:val="false"/>
          </w:tcPr>
          <w:p>
            <w:pPr>
              <w:keepLines w:val="0"/>
              <w:keepNext w:val="0"/>
              <w:pageBreakBefore w:val="0"/>
              <w:spacing w:after="0" w:line="240" w:lineRule="auto"/>
              <w:rPr>
                <w:rFonts w:hint="eastAsia" w:ascii="宋体" w:hAnsi="宋体" w:eastAsia="宋体" w:cs="宋体"/>
                <w:sz w:val="24"/>
                <w:szCs w:val="24"/>
              </w:rPr>
            </w:pPr>
            <w:r>
              <w:rPr>
                <w:rFonts w:hint="eastAsia" w:ascii="宋体" w:hAnsi="宋体" w:eastAsia="宋体" w:cs="宋体"/>
                <w:sz w:val="24"/>
                <w:szCs w:val="24"/>
              </w:rPr>
              <w:t xml:space="preserve">机房统一监控与预警系统</w:t>
            </w:r>
            <w:r/>
          </w:p>
        </w:tc>
        <w:tc>
          <w:tcPr>
            <w:tcW w:w="698"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1</w:t>
            </w:r>
            <w:r/>
          </w:p>
        </w:tc>
        <w:tc>
          <w:tcPr>
            <w:tcW w:w="809" w:type="dxa"/>
            <w:vAlign w:val="center"/>
            <w:textDirection w:val="lrTb"/>
            <w:noWrap w:val="false"/>
          </w:tcPr>
          <w:p>
            <w:pPr>
              <w:jc w:val="center"/>
              <w:keepLines w:val="0"/>
              <w:keepNext w:val="0"/>
              <w:pageBreakBefore w:val="0"/>
              <w:spacing w:after="0" w:line="240" w:lineRule="auto"/>
              <w:widowControl/>
              <w:rPr>
                <w:rFonts w:hint="eastAsia" w:ascii="宋体" w:hAnsi="宋体" w:eastAsia="宋体" w:cs="宋体"/>
                <w:color w:val="000000"/>
                <w:sz w:val="24"/>
                <w:szCs w:val="24"/>
                <w:lang w:val="en-US" w:eastAsia="zh-CN" w:bidi="ar"/>
              </w:rPr>
            </w:pPr>
            <w:r>
              <w:rPr>
                <w:rFonts w:hint="eastAsia" w:ascii="宋体" w:hAnsi="宋体" w:eastAsia="宋体" w:cs="宋体"/>
                <w:color w:val="000000"/>
                <w:sz w:val="24"/>
                <w:szCs w:val="24"/>
                <w:lang w:val="en-US" w:eastAsia="zh-CN" w:bidi="ar"/>
              </w:rPr>
              <w:t xml:space="preserve">套</w:t>
            </w:r>
            <w:r/>
          </w:p>
        </w:tc>
      </w:tr>
    </w:tbl>
    <w:p>
      <w:pPr>
        <w:ind w:firstLine="482"/>
        <w:keepLines w:val="0"/>
        <w:keepNext w:val="0"/>
        <w:pageBreakBefore w:val="0"/>
        <w:spacing w:line="360" w:lineRule="auto"/>
        <w:widowControl w:val="off"/>
        <w:rPr>
          <w:rFonts w:hint="eastAsia" w:ascii="黑体" w:hAnsi="黑体" w:eastAsia="黑体" w:cs="黑体"/>
          <w:bCs w:val="0"/>
          <w:color w:val="000000"/>
          <w:sz w:val="24"/>
          <w:szCs w:val="24"/>
          <w:lang w:eastAsia="zh-CN"/>
        </w:rPr>
      </w:pPr>
      <w:r>
        <w:rPr>
          <w:rFonts w:hint="eastAsia" w:ascii="黑体" w:hAnsi="黑体" w:eastAsia="黑体" w:cs="黑体"/>
          <w:bCs w:val="0"/>
          <w:color w:val="000000"/>
          <w:sz w:val="24"/>
          <w:szCs w:val="24"/>
          <w:lang w:eastAsia="zh-CN"/>
        </w:rPr>
      </w:r>
      <w:r/>
    </w:p>
    <w:p>
      <w:pPr>
        <w:ind w:firstLine="482"/>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黑体" w:hAnsi="黑体" w:eastAsia="黑体" w:cs="黑体"/>
          <w:bCs w:val="0"/>
          <w:color w:val="000000"/>
          <w:sz w:val="24"/>
          <w:szCs w:val="24"/>
          <w:lang w:eastAsia="zh-CN"/>
        </w:rPr>
        <w:br w:type="page" w:clear="all"/>
      </w:r>
      <w:r>
        <w:rPr>
          <w:rFonts w:hint="eastAsia" w:ascii="黑体" w:hAnsi="黑体" w:eastAsia="黑体" w:cs="黑体"/>
          <w:bCs w:val="0"/>
          <w:color w:val="000000"/>
          <w:sz w:val="24"/>
          <w:szCs w:val="24"/>
          <w:lang w:eastAsia="zh-CN"/>
        </w:rPr>
        <w:t xml:space="preserve">四、拟采购标的需要满足的技术、商务要求</w:t>
      </w:r>
      <w:r/>
    </w:p>
    <w:p>
      <w:pPr>
        <w:ind w:firstLine="482"/>
        <w:keepLines w:val="0"/>
        <w:keepNext w:val="0"/>
        <w:pageBreakBefore w:val="0"/>
        <w:spacing w:beforeAutospacing="0" w:afterAutospacing="0"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（一）技术</w:t>
      </w:r>
      <w:r>
        <w:rPr>
          <w:rFonts w:hint="eastAsia" w:ascii="宋体" w:hAnsi="宋体" w:eastAsia="宋体" w:cs="宋体"/>
          <w:bCs/>
          <w:color w:val="000000"/>
          <w:sz w:val="24"/>
          <w:szCs w:val="24"/>
          <w:lang w:eastAsia="zh-CN"/>
        </w:rPr>
        <w:t xml:space="preserve">部分</w:t>
      </w:r>
      <w:r>
        <w:rPr>
          <w:rFonts w:hint="eastAsia" w:ascii="宋体" w:hAnsi="宋体" w:eastAsia="宋体" w:cs="宋体"/>
          <w:bCs/>
          <w:color w:val="000000"/>
          <w:sz w:val="24"/>
          <w:szCs w:val="24"/>
        </w:rPr>
        <w:t xml:space="preserve">要求</w:t>
      </w:r>
      <w:r/>
    </w:p>
    <w:p>
      <w:pPr>
        <w:numPr>
          <w:ilvl w:val="0"/>
          <w:numId w:val="0"/>
        </w:numPr>
        <w:ind w:left="0" w:firstLine="0"/>
        <w:jc w:val="left"/>
        <w:keepLines w:val="0"/>
        <w:keepNext w:val="0"/>
        <w:pageBreakBefore w:val="0"/>
        <w:spacing w:beforeAutospacing="0" w:afterAutospacing="0" w:line="360" w:lineRule="auto"/>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1、备份系统</w:t>
      </w:r>
      <w:r/>
    </w:p>
    <w:tbl>
      <w:tblPr>
        <w:tblStyle w:val="727"/>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247"/>
        <w:gridCol w:w="7370"/>
      </w:tblGrid>
      <w:tr>
        <w:trPr>
          <w:jc w:val="center"/>
          <w:trHeight w:val="567"/>
        </w:trPr>
        <w:tc>
          <w:tcPr>
            <w:tcW w:w="102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指标项</w:t>
            </w:r>
            <w:r/>
          </w:p>
        </w:tc>
        <w:tc>
          <w:tcPr>
            <w:tcW w:w="73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90"/>
        </w:trPr>
        <w:tc>
          <w:tcPr>
            <w:tcW w:w="1020" w:type="dxa"/>
            <w:vAlign w:val="center"/>
            <w:vMerge w:val="restart"/>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实质性参数</w:t>
            </w:r>
            <w:r/>
          </w:p>
        </w:tc>
        <w:tc>
          <w:tcPr>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支撑平台</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配置2颗16核以上高性能处理器，内存≥128GB，两块≥480GB SSD固态硬盘，≥7块14TB机械硬盘，独立阵列卡，支持Raid0、1、5、6等，≥2GB Raid卡缓存，配置2个千兆网口、2个万兆网口，冗余高性能电源。</w:t>
            </w:r>
            <w:r/>
          </w:p>
        </w:tc>
      </w:tr>
      <w:tr>
        <w:trPr>
          <w:jc w:val="center"/>
          <w:trHeight w:val="327"/>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软件授权</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80T全功能定时和实时（CDP）可任意分配，软件底层操作系统须满足国产化正版要求，提供不限数量虚拟机、物理机器、数据库、文件、NAS、S3云归档、对象存储、压缩重删、永久增量、可视化大屏展示、虚拟机LAN- free、虚拟机即时挂载恢复、WORM不可变存储等功能模块、虚拟机无代理异构恢复授权（不少于10台）。</w:t>
            </w:r>
            <w:r/>
          </w:p>
        </w:tc>
      </w:tr>
      <w:tr>
        <w:trPr>
          <w:jc w:val="center"/>
          <w:trHeight w:val="327"/>
        </w:trPr>
        <w:tc>
          <w:tcPr>
            <w:tcW w:w="1020"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非实质性参数</w:t>
            </w:r>
            <w:r/>
          </w:p>
        </w:tc>
        <w:tc>
          <w:tcPr>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软件功能</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lang w:bidi="ar"/>
              </w:rPr>
              <w:t xml:space="preserve">部署专业备份系统，实现HIS、EMR、LIS、PACS等核心业务系统数据库及虚拟机应用级备份，采用CDP（持续数据保护）技术，将RTO、RPO严格控制在15分钟以内</w:t>
            </w:r>
            <w:r>
              <w:rPr>
                <w:rFonts w:hint="eastAsia" w:ascii="宋体" w:hAnsi="宋体" w:eastAsia="宋体" w:cs="宋体"/>
                <w:sz w:val="24"/>
                <w:szCs w:val="24"/>
                <w:lang w:eastAsia="zh-CN" w:bidi="ar"/>
              </w:rPr>
              <w:t xml:space="preserve">。</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支持主流的数据库备份恢复，包括：OracleRAC、SQL Server、MySQL、MairaDB、PostgreSQL等主流数据库的应用级备份，备份任务全流程图形化向导指引。</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▲国内外主流虚拟化平台的免代理备份及恢复，支持Vmware vSphere、Nutanix AHV、H3C CAS、Zstack、Sangfor、SmartX、Lenovo AIO、Proxmox等主流虚拟化平台的备份恢复，无需提前创建恢复虚拟机。（提供上述虚拟化无代理功能截图）</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▲支持无代理异构跨平台恢复，提供国外虚拟化Vmware、Nutanix AHV、Proxmox等恢复至国内虚拟化深信服、SmartX、H3C、Zstack等。（提供3种不同平台无代理异构恢复功能截图证明）</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支持对物理主机、虚拟机、云主机提供CDP持续数据保护，实时备份磁盘任意时刻的状态，备份时间粒度最小可达秒级实现RPO趋近于0。</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Oracle归档日志触发备份能力，针对Oracle数据库归档日志数据，提供条件触发的日志备份机制，解决人为无法准确定义日志备份周期问题。触发条件支持界面自定义配置，可配置的选项包括归档日志备份次数、归档日志备份天数、归档日志备份后的保留策略等。（提供归档日志备份次数、归档日志备份天数、归档日志备份后的保留策略产品功能截图证明）</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创建恢复任务时支持查看备份数据的状态，包括但不限于数据完整性、备份点验证状态、数据健康度、安全状态等，以便进行准确、安全的恢复数据，避免无效恢复。</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多台主机批量并发验证/演练，无需编排或工作流即可定期验证最新时间点，全程无需人工干预；支持自动开展网络连通性、主机心跳、系统开机截图、数据校验、病毒扫描等操作；验证演练完成自动生成演练报告。（提供网络连通性、主机心跳、系统开机截图、数据校验、病毒扫描相关产品功能及演练报告截图或第三方CNAS报告作为证明材料）</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支持预设系统安全加固策略模板，涵盖防火墙配置、SSH访问控制、远程服务管控、端口权限限制等核心维度，可一键部署应用，满足安全加固、勒索病毒防护等多场景合规要求。</w:t>
            </w:r>
            <w:r/>
          </w:p>
        </w:tc>
      </w:tr>
      <w:tr>
        <w:trPr>
          <w:jc w:val="center"/>
          <w:trHeight w:val="90"/>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集成要求</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bidi="ar"/>
              </w:rPr>
              <w:t xml:space="preserve">▲为保证项目实施过程的安全性和准确性，避免业务迁移过程中存在未知的数据安全风险，提供医院现有使用的HIS厂商工程师现场技术支持服务</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（提供现场技术支持工程师名单及</w:t>
            </w:r>
            <w:r>
              <w:rPr>
                <w:rFonts w:hint="eastAsia" w:ascii="宋体" w:hAnsi="宋体" w:eastAsia="宋体" w:cs="宋体"/>
                <w:sz w:val="24"/>
                <w:szCs w:val="24"/>
              </w:rPr>
              <w:t xml:space="preserve">近六个月中任意一个月</w:t>
            </w:r>
            <w:r>
              <w:rPr>
                <w:rFonts w:hint="eastAsia" w:ascii="宋体" w:hAnsi="宋体" w:eastAsia="宋体" w:cs="宋体"/>
                <w:sz w:val="24"/>
                <w:szCs w:val="24"/>
                <w:lang w:bidi="ar"/>
              </w:rPr>
              <w:t xml:space="preserve">社保证明）</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bidi="ar"/>
              </w:rPr>
              <w:outlineLvl w:val="9"/>
            </w:pPr>
            <w:r>
              <w:rPr>
                <w:rFonts w:hint="eastAsia" w:ascii="宋体" w:hAnsi="宋体" w:eastAsia="宋体" w:cs="宋体"/>
                <w:sz w:val="24"/>
                <w:szCs w:val="24"/>
                <w:lang w:bidi="ar"/>
              </w:rPr>
              <w:t xml:space="preserve">▲为了确保移动影像数据备份准确性，提供医院现有使用的移动影像业务系统厂商工程师现场影像数据验证服务</w:t>
            </w:r>
            <w:r>
              <w:rPr>
                <w:rFonts w:hint="eastAsia" w:ascii="宋体" w:hAnsi="宋体" w:eastAsia="宋体" w:cs="宋体"/>
                <w:sz w:val="24"/>
                <w:szCs w:val="24"/>
                <w:lang w:eastAsia="zh-CN" w:bidi="ar"/>
              </w:rPr>
              <w:t xml:space="preserve">。</w:t>
            </w:r>
            <w:r>
              <w:rPr>
                <w:rFonts w:hint="eastAsia" w:ascii="宋体" w:hAnsi="宋体" w:eastAsia="宋体" w:cs="宋体"/>
                <w:sz w:val="24"/>
                <w:szCs w:val="24"/>
                <w:lang w:bidi="ar"/>
              </w:rPr>
              <w:t xml:space="preserve">（提供现场技术支持工程师名单及</w:t>
            </w:r>
            <w:r>
              <w:rPr>
                <w:rFonts w:hint="eastAsia" w:ascii="宋体" w:hAnsi="宋体" w:eastAsia="宋体" w:cs="宋体"/>
                <w:sz w:val="24"/>
                <w:szCs w:val="24"/>
              </w:rPr>
              <w:t xml:space="preserve">近六个月中任意一个月</w:t>
            </w:r>
            <w:r>
              <w:rPr>
                <w:rFonts w:hint="eastAsia" w:ascii="宋体" w:hAnsi="宋体" w:eastAsia="宋体" w:cs="宋体"/>
                <w:sz w:val="24"/>
                <w:szCs w:val="24"/>
                <w:lang w:bidi="ar"/>
              </w:rPr>
              <w:t xml:space="preserve">社保证明）</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质保服务</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提供3年原厂5*8小时远程支持服务，服务期内免费的软件升级服务。</w:t>
            </w:r>
            <w:r/>
          </w:p>
        </w:tc>
      </w:tr>
      <w:tr>
        <w:trPr>
          <w:jc w:val="center"/>
          <w:trHeight w:val="327"/>
        </w:trPr>
        <w:tc>
          <w:tcPr>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▲提供原厂三名及以上工信部认证中级或以上灾备相关工程师认证</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（提供证书复印件及原厂为其缴纳的近六个月中任意一个月</w:t>
            </w:r>
            <w:r>
              <w:rPr>
                <w:rFonts w:hint="eastAsia" w:ascii="宋体" w:hAnsi="宋体" w:eastAsia="宋体" w:cs="宋体"/>
                <w:sz w:val="24"/>
                <w:szCs w:val="24"/>
                <w:lang w:bidi="ar"/>
              </w:rPr>
              <w:t xml:space="preserve">社保证明</w:t>
            </w:r>
            <w:r>
              <w:rPr>
                <w:rFonts w:hint="eastAsia" w:ascii="宋体" w:hAnsi="宋体" w:eastAsia="宋体" w:cs="宋体"/>
                <w:sz w:val="24"/>
                <w:szCs w:val="24"/>
              </w:rPr>
              <w:t xml:space="preserve">）</w:t>
            </w:r>
            <w:r/>
          </w:p>
        </w:tc>
      </w:tr>
    </w:tbl>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二、堡垒机</w:t>
      </w:r>
      <w:r/>
    </w:p>
    <w:tbl>
      <w:tblPr>
        <w:tblStyle w:val="727"/>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247"/>
        <w:gridCol w:w="7370"/>
      </w:tblGrid>
      <w:tr>
        <w:trPr>
          <w:jc w:val="center"/>
          <w:trHeight w:val="907"/>
        </w:trPr>
        <w:tc>
          <w:tcPr>
            <w:tcBorders>
              <w:top w:val="single" w:color="auto" w:sz="4" w:space="0"/>
              <w:left w:val="single" w:color="auto" w:sz="4" w:space="0"/>
              <w:right w:val="single" w:color="auto" w:sz="4" w:space="0"/>
            </w:tcBorders>
            <w:tcW w:w="102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Borders>
              <w:top w:val="single" w:color="auto" w:sz="4" w:space="0"/>
              <w:left w:val="single" w:color="auto" w:sz="4" w:space="0"/>
              <w:right w:val="single" w:color="auto" w:sz="4" w:space="0"/>
            </w:tcBorders>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功能指标</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指标要求</w:t>
            </w:r>
            <w:r/>
          </w:p>
        </w:tc>
      </w:tr>
      <w:tr>
        <w:trPr>
          <w:jc w:val="center"/>
          <w:trHeight w:val="90"/>
        </w:trPr>
        <w:tc>
          <w:tcPr>
            <w:tcBorders>
              <w:top w:val="single" w:color="auto" w:sz="4" w:space="0"/>
              <w:left w:val="single" w:color="auto" w:sz="4" w:space="0"/>
              <w:right w:val="single" w:color="auto" w:sz="4" w:space="0"/>
            </w:tcBorders>
            <w:tcW w:w="1020"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实质性参数</w:t>
            </w:r>
            <w:r/>
          </w:p>
        </w:tc>
        <w:tc>
          <w:tcPr>
            <w:tcBorders>
              <w:top w:val="single" w:color="auto" w:sz="4" w:space="0"/>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en-US" w:eastAsia="zh-CN"/>
              </w:rPr>
              <w:t xml:space="preserve">规格</w:t>
            </w:r>
            <w:r>
              <w:rPr>
                <w:rFonts w:hint="eastAsia" w:ascii="宋体" w:hAnsi="宋体" w:eastAsia="宋体" w:cs="宋体"/>
                <w:sz w:val="24"/>
                <w:szCs w:val="24"/>
              </w:rPr>
              <w:t xml:space="preserve">参数</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内存大小≥8G，硬盘容量≥1.92T，接口≥6千兆电口+2千兆光口SFP（满配光模块）。</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性能参数</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lang w:val="zh-TW" w:eastAsia="zh-TW"/>
              </w:rPr>
              <w:t xml:space="preserve">运维授权数</w:t>
            </w:r>
            <w:r>
              <w:rPr>
                <w:rFonts w:hint="eastAsia" w:ascii="宋体" w:hAnsi="宋体" w:eastAsia="宋体" w:cs="宋体"/>
                <w:sz w:val="24"/>
                <w:szCs w:val="24"/>
                <w:lang w:val="zh-TW"/>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00</w:t>
            </w:r>
            <w:r>
              <w:rPr>
                <w:rFonts w:hint="eastAsia" w:ascii="宋体" w:hAnsi="宋体" w:eastAsia="宋体" w:cs="宋体"/>
                <w:sz w:val="24"/>
                <w:szCs w:val="24"/>
                <w:lang w:val="zh-TW" w:eastAsia="zh-TW"/>
              </w:rPr>
              <w:t xml:space="preserve">，图形运维最大并发数</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200，字符运维最大并发数</w:t>
            </w:r>
            <w:r>
              <w:rPr>
                <w:rFonts w:hint="eastAsia" w:ascii="宋体" w:hAnsi="宋体" w:eastAsia="宋体" w:cs="宋体"/>
                <w:sz w:val="24"/>
                <w:szCs w:val="24"/>
                <w:lang w:val="zh-TW"/>
              </w:rPr>
              <w:t xml:space="preserve">≥</w:t>
            </w:r>
            <w:r>
              <w:rPr>
                <w:rFonts w:hint="eastAsia" w:ascii="宋体" w:hAnsi="宋体" w:eastAsia="宋体" w:cs="宋体"/>
                <w:sz w:val="24"/>
                <w:szCs w:val="24"/>
                <w:lang w:val="zh-TW" w:eastAsia="zh-TW"/>
              </w:rPr>
              <w:t xml:space="preserve">200。</w:t>
            </w:r>
            <w:r/>
          </w:p>
        </w:tc>
      </w:tr>
      <w:tr>
        <w:trPr>
          <w:jc w:val="center"/>
        </w:trPr>
        <w:tc>
          <w:tcPr>
            <w:tcBorders>
              <w:top w:val="single" w:color="auto" w:sz="4" w:space="0"/>
              <w:left w:val="single" w:color="auto" w:sz="4" w:space="0"/>
              <w:right w:val="single" w:color="auto" w:sz="4" w:space="0"/>
            </w:tcBorders>
            <w:tcW w:w="1020"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非实质性参数</w:t>
            </w:r>
            <w:r/>
          </w:p>
        </w:tc>
        <w:tc>
          <w:tcPr>
            <w:tcBorders>
              <w:top w:val="single" w:color="auto" w:sz="4" w:space="0"/>
              <w:left w:val="single" w:color="auto" w:sz="4" w:space="0"/>
              <w:right w:val="single" w:color="auto" w:sz="4" w:space="0"/>
            </w:tcBorders>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授权管理</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支持按授权名称、用户名称、用户账号、资源名称、资源地址、资源账号查询已授权信息。</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可设置单人审批和双人审批，双人审批可设置串行审批和并行审批。</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支持在授权基础上自定义访问审批流程，可设置一级或多级审批人，每级审批可指定通过投票数，需逐级审批通过才可最终发起运维操作</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（提供截图证明）</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支持自定义紧急运维流程开启或关闭，紧急运维开启时，运维人员可通过紧急运维流程直接访问目标设备，系统记录为紧急运维工单，审批人员可在事后查看或审批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（提供截图证明）</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动作流</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支持通过动作流配置提供广泛的应用接入支持，无论被接入的资源如何设计登录动作，通过动作流配置都可以实现单点登陆。（提供功能截图证明）</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right w:val="single" w:color="auto" w:sz="4" w:space="0"/>
            </w:tcBorders>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用户管理</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支持批量导入、导出用户信息；支持用户手动添加、删除、编辑、设定角色、单独指定登陆认证方式、设定用户有效期。</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用户登陆认证方式支持静态口令认证、手机动态口令认证、Usbkey（数字证书）认证、AD域认证、Radius认证等认证方式；并支持各种认证方式和静态口令组合认证。（提供功能截图证明）</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rPr>
              <w:outlineLvl w:val="9"/>
            </w:pPr>
            <w:r>
              <w:rPr>
                <w:rFonts w:hint="eastAsia" w:ascii="宋体" w:hAnsi="宋体" w:eastAsia="宋体" w:cs="宋体"/>
                <w:sz w:val="24"/>
                <w:szCs w:val="24"/>
                <w:lang w:val="zh-TW" w:eastAsia="zh-TW"/>
              </w:rPr>
              <w:t xml:space="preserve">支持Windows AD域账号与堡垒主机账号周期</w:t>
            </w:r>
            <w:r>
              <w:rPr>
                <w:rFonts w:hint="eastAsia" w:ascii="宋体" w:hAnsi="宋体" w:eastAsia="宋体" w:cs="宋体"/>
                <w:sz w:val="24"/>
                <w:szCs w:val="24"/>
              </w:rPr>
              <w:t xml:space="preserve">或手动同步。</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rPr>
              <w:outlineLvl w:val="9"/>
            </w:pPr>
            <w:r>
              <w:rPr>
                <w:rFonts w:hint="eastAsia" w:ascii="宋体" w:hAnsi="宋体" w:eastAsia="宋体" w:cs="宋体"/>
                <w:sz w:val="24"/>
                <w:szCs w:val="24"/>
              </w:rPr>
              <w:t xml:space="preserve">支持口令有效期设置，用户账号口令到期强制用户修改自身口令，口令强度必须符合密码策略要求。</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资源管理</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rPr>
              <w:outlineLvl w:val="9"/>
            </w:pPr>
            <w:r>
              <w:rPr>
                <w:rFonts w:hint="eastAsia" w:ascii="宋体" w:hAnsi="宋体" w:eastAsia="宋体" w:cs="宋体"/>
                <w:sz w:val="24"/>
                <w:szCs w:val="24"/>
                <w:lang w:val="zh-TW" w:eastAsia="zh-TW"/>
              </w:rPr>
              <w:t xml:space="preserve">支持unix资源、windows资源、网络设备资源、数据库资源、C/S资源、B/S资源</w:t>
            </w:r>
            <w:r>
              <w:rPr>
                <w:rFonts w:hint="eastAsia" w:ascii="宋体" w:hAnsi="宋体" w:eastAsia="宋体" w:cs="宋体"/>
                <w:sz w:val="24"/>
                <w:szCs w:val="24"/>
                <w:lang w:val="zh-TW"/>
              </w:rPr>
              <w:t xml:space="preserve">。</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TW"/>
              </w:rPr>
              <w:outlineLvl w:val="9"/>
            </w:pPr>
            <w:r>
              <w:rPr>
                <w:rFonts w:hint="eastAsia" w:ascii="宋体" w:hAnsi="宋体" w:eastAsia="宋体" w:cs="宋体"/>
                <w:sz w:val="24"/>
                <w:szCs w:val="24"/>
              </w:rPr>
              <w:t xml:space="preserve">访问控制</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CN"/>
              </w:rPr>
              <w:outlineLvl w:val="9"/>
            </w:pPr>
            <w:r>
              <w:rPr>
                <w:rFonts w:hint="eastAsia" w:ascii="宋体" w:hAnsi="宋体" w:eastAsia="宋体" w:cs="宋体"/>
                <w:sz w:val="24"/>
                <w:szCs w:val="24"/>
              </w:rPr>
              <w:t xml:space="preserve">支持命令黑命单，对字符型设备（如linux/unix/网络设备）的高危命令执行进行阻断，如rm、shutdown、reboot等</w:t>
            </w:r>
            <w:r>
              <w:rPr>
                <w:rFonts w:hint="eastAsia" w:ascii="宋体" w:hAnsi="宋体" w:eastAsia="宋体" w:cs="宋体"/>
                <w:sz w:val="24"/>
                <w:szCs w:val="24"/>
                <w:lang w:eastAsia="zh-CN"/>
              </w:rPr>
              <w:t xml:space="preserve">。</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TW"/>
              </w:rPr>
              <w:outlineLvl w:val="9"/>
            </w:pPr>
            <w:r>
              <w:rPr>
                <w:rFonts w:hint="eastAsia" w:ascii="宋体" w:hAnsi="宋体" w:eastAsia="宋体" w:cs="宋体"/>
                <w:sz w:val="24"/>
                <w:szCs w:val="24"/>
                <w:lang w:val="zh-TW" w:eastAsia="zh-TW"/>
              </w:rPr>
            </w:r>
            <w:r/>
          </w:p>
        </w:tc>
        <w:tc>
          <w:tcPr>
            <w:tcBorders>
              <w:left w:val="single" w:color="auto" w:sz="4" w:space="0"/>
              <w:right w:val="single" w:color="auto" w:sz="4" w:space="0"/>
            </w:tcBorders>
            <w:tcW w:w="1247"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TW"/>
              </w:rPr>
              <w:outlineLvl w:val="9"/>
            </w:pPr>
            <w:r>
              <w:rPr>
                <w:rFonts w:hint="eastAsia" w:ascii="宋体" w:hAnsi="宋体" w:eastAsia="宋体" w:cs="宋体"/>
                <w:sz w:val="24"/>
                <w:szCs w:val="24"/>
                <w:lang w:val="zh-TW" w:eastAsia="zh-TW"/>
              </w:rPr>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CN"/>
              </w:rPr>
              <w:outlineLvl w:val="9"/>
            </w:pPr>
            <w:r>
              <w:rPr>
                <w:rFonts w:hint="eastAsia" w:ascii="宋体" w:hAnsi="宋体" w:eastAsia="宋体" w:cs="宋体"/>
                <w:sz w:val="24"/>
                <w:szCs w:val="24"/>
              </w:rPr>
              <w:t xml:space="preserve">支持命令审批规则，用户执行高危命令时需要管理员审批后才允许执行</w:t>
            </w:r>
            <w:r>
              <w:rPr>
                <w:rFonts w:hint="eastAsia" w:ascii="宋体" w:hAnsi="宋体" w:eastAsia="宋体" w:cs="宋体"/>
                <w:sz w:val="24"/>
                <w:szCs w:val="24"/>
                <w:lang w:eastAsia="zh-CN"/>
              </w:rPr>
              <w:t xml:space="preserve">。</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运维方式</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支持web页面直接发起运维，无需安装任何控件，并同时支持调用SecureCRT、Xshell、Putty、WinSCP、RDP等客户端工具实现运维，不改变运维人员操作习惯。</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支持HA</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rPr>
              <w:outlineLvl w:val="9"/>
            </w:pPr>
            <w:r>
              <w:rPr>
                <w:rFonts w:hint="eastAsia" w:ascii="宋体" w:hAnsi="宋体" w:eastAsia="宋体" w:cs="宋体"/>
                <w:sz w:val="24"/>
                <w:szCs w:val="24"/>
              </w:rPr>
              <w:t xml:space="preserve">需支持 HA，配置信息实时同步，配置过程在 web 界面完成。</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Borders>
              <w:left w:val="single" w:color="auto" w:sz="4" w:space="0"/>
              <w:right w:val="single" w:color="auto" w:sz="4" w:space="0"/>
            </w:tcBorders>
            <w:tcW w:w="1247"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rPr>
              <w:t xml:space="preserve">访问控制</w:t>
            </w:r>
            <w:r/>
          </w:p>
        </w:tc>
        <w:tc>
          <w:tcPr>
            <w:shd w:val="clear" w:color="auto" w:fill="auto"/>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val="zh-TW" w:eastAsia="zh-CN" w:bidi="ar-SA"/>
              </w:rPr>
              <w:outlineLvl w:val="9"/>
            </w:pPr>
            <w:r>
              <w:rPr>
                <w:rFonts w:hint="eastAsia" w:ascii="宋体" w:hAnsi="宋体" w:eastAsia="宋体" w:cs="宋体"/>
                <w:sz w:val="24"/>
                <w:szCs w:val="24"/>
              </w:rPr>
              <w:t xml:space="preserve">支持命令黑命单，对字符型设备（如linux/unix/网络设备）的高危命令执行进行阻断，如rm、shutdown、reboot等。</w:t>
            </w:r>
            <w:r/>
          </w:p>
        </w:tc>
      </w:tr>
      <w:tr>
        <w:trPr>
          <w:jc w:val="center"/>
        </w:trPr>
        <w:tc>
          <w:tcPr>
            <w:tcBorders>
              <w:left w:val="single" w:color="auto" w:sz="4" w:space="0"/>
              <w:right w:val="single" w:color="auto" w:sz="4" w:space="0"/>
            </w:tcBorders>
            <w:tcW w:w="1020" w:type="dxa"/>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left w:val="single" w:color="auto" w:sz="4" w:space="0"/>
              <w:right w:val="single" w:color="auto" w:sz="4" w:space="0"/>
            </w:tcBorders>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质保要求</w:t>
            </w:r>
            <w:r/>
          </w:p>
        </w:tc>
        <w:tc>
          <w:tcPr>
            <w:tcBorders>
              <w:top w:val="single" w:color="auto" w:sz="4" w:space="0"/>
              <w:left w:val="single" w:color="auto" w:sz="4" w:space="0"/>
              <w:bottom w:val="single" w:color="auto" w:sz="4" w:space="0"/>
              <w:right w:val="single" w:color="auto" w:sz="4" w:space="0"/>
            </w:tcBorders>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sz w:val="24"/>
                <w:szCs w:val="24"/>
                <w:lang w:val="zh-TW"/>
              </w:rPr>
              <w:outlineLvl w:val="9"/>
            </w:pPr>
            <w:r>
              <w:rPr>
                <w:rFonts w:hint="eastAsia" w:ascii="宋体" w:hAnsi="宋体" w:eastAsia="宋体" w:cs="宋体"/>
                <w:color w:val="000000"/>
                <w:sz w:val="24"/>
                <w:szCs w:val="24"/>
              </w:rPr>
              <w:t xml:space="preserve">产品提供质保3年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含特征库升级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三、网络准入控制系统</w:t>
      </w:r>
      <w:r/>
    </w:p>
    <w:tbl>
      <w:tblPr>
        <w:tblStyle w:val="727"/>
        <w:tblW w:w="96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247"/>
        <w:gridCol w:w="7370"/>
      </w:tblGrid>
      <w:tr>
        <w:trPr>
          <w:jc w:val="center"/>
          <w:trHeight w:val="907"/>
        </w:trPr>
        <w:tc>
          <w:tcPr>
            <w:tcW w:w="102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color w:val="000000"/>
                <w:sz w:val="24"/>
                <w:szCs w:val="24"/>
              </w:rPr>
              <w:outlineLvl w:val="9"/>
            </w:pPr>
            <w:r>
              <w:rPr>
                <w:rFonts w:hint="eastAsia" w:ascii="宋体" w:hAnsi="宋体" w:eastAsia="宋体" w:cs="宋体"/>
                <w:b/>
                <w:bCs/>
                <w:color w:val="000000"/>
                <w:sz w:val="24"/>
                <w:szCs w:val="24"/>
              </w:rPr>
              <w:t xml:space="preserve">指标项</w:t>
            </w:r>
            <w:r/>
          </w:p>
        </w:tc>
        <w:tc>
          <w:tcPr>
            <w:tcW w:w="737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270"/>
        </w:trPr>
        <w:tc>
          <w:tcPr>
            <w:tcW w:w="102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实质性参数</w:t>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基本参数</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U,8个千兆电口，4个千兆光口,冗余电源,2个扩展槽位,</w:t>
            </w:r>
            <w:r>
              <w:rPr>
                <w:rFonts w:hint="eastAsia" w:ascii="宋体" w:hAnsi="宋体" w:eastAsia="宋体" w:cs="宋体"/>
                <w:sz w:val="24"/>
                <w:szCs w:val="24"/>
              </w:rPr>
              <w:t xml:space="preserve">≥</w:t>
            </w:r>
            <w:r>
              <w:rPr>
                <w:rFonts w:hint="eastAsia" w:ascii="宋体" w:hAnsi="宋体" w:eastAsia="宋体" w:cs="宋体"/>
                <w:color w:val="000000"/>
                <w:sz w:val="24"/>
                <w:szCs w:val="24"/>
                <w:lang w:val="en-US" w:eastAsia="zh-CN" w:bidi="ar"/>
              </w:rPr>
              <w:t xml:space="preserve">750</w:t>
            </w:r>
            <w:r>
              <w:rPr>
                <w:rFonts w:hint="eastAsia" w:ascii="宋体" w:hAnsi="宋体" w:eastAsia="宋体" w:cs="宋体"/>
                <w:color w:val="000000"/>
                <w:sz w:val="24"/>
                <w:szCs w:val="24"/>
                <w:lang w:bidi="ar"/>
              </w:rPr>
              <w:t xml:space="preserve">个用户数，提供</w:t>
            </w:r>
            <w:r>
              <w:rPr>
                <w:rFonts w:hint="eastAsia" w:ascii="宋体" w:hAnsi="宋体" w:eastAsia="宋体" w:cs="宋体"/>
                <w:color w:val="000000"/>
                <w:sz w:val="24"/>
                <w:szCs w:val="24"/>
              </w:rPr>
              <w:t xml:space="preserve">三年质保服务。</w:t>
            </w:r>
            <w:r/>
          </w:p>
        </w:tc>
      </w:tr>
      <w:tr>
        <w:trPr>
          <w:jc w:val="center"/>
          <w:trHeight w:val="285"/>
        </w:trPr>
        <w:tc>
          <w:tcPr>
            <w:tcW w:w="1020" w:type="dxa"/>
            <w:vAlign w:val="center"/>
            <w:vMerge w:val="restart"/>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非实质性参数</w:t>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系统架构</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采用专用硬件架构与专用安全操作系统。</w:t>
            </w:r>
            <w:r/>
          </w:p>
        </w:tc>
      </w:tr>
      <w:tr>
        <w:trPr>
          <w:jc w:val="center"/>
          <w:trHeight w:val="652"/>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部署模式</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系统部署简单，支持旁路或串联部署，支持命令行与B/S模式管理，提供系统首页图形化展示功能，可展示设备面板状态、CPU状态、内存状态、硬盘状态、在线用户、报警统计等信息。</w:t>
            </w:r>
            <w:r/>
          </w:p>
        </w:tc>
      </w:tr>
      <w:tr>
        <w:trPr>
          <w:jc w:val="center"/>
          <w:trHeight w:val="90"/>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可靠性</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设备提供硬件BYPASS功能，支持双操作系统冷备、双机热备，在单机模式下，提供独立系统逃生工具。</w:t>
            </w:r>
            <w:r/>
          </w:p>
        </w:tc>
      </w:tr>
      <w:tr>
        <w:trPr>
          <w:jc w:val="center"/>
          <w:trHeight w:val="285"/>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准入模式</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支持802.1X、Portal、透明网关、策略路由等多种准入模式选择，单设备情况下可进行混合准入模式应用。（提供功能截图证明）</w:t>
            </w:r>
            <w:r/>
          </w:p>
        </w:tc>
      </w:tr>
      <w:tr>
        <w:trPr>
          <w:jc w:val="center"/>
          <w:trHeight w:val="285"/>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认证方式</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提供客户端认证及手机短信认证方式，客户端认证可与第三方AD域、LDAP服务器进行用户信息同步；手机短信认证可与短信服务器联动，在终端入网认证时下发验证码。（提供功能截图证明）</w:t>
            </w:r>
            <w:r/>
          </w:p>
        </w:tc>
      </w:tr>
      <w:tr>
        <w:trPr>
          <w:jc w:val="center"/>
          <w:trHeight w:val="626"/>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访客管理</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支持访客入网管理，访客接入由受访人员（固定用户）协助其进行注册、账户创建等操作，并提供临时入网终端有效期管理，可设置在网时限。</w:t>
            </w:r>
            <w:r/>
          </w:p>
        </w:tc>
      </w:tr>
      <w:tr>
        <w:trPr>
          <w:jc w:val="center"/>
          <w:trHeight w:val="626"/>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IP冲突管理</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当入网终端与已在线终端出现IP冲突时可选择：不处理或强制下线已在线的终端。</w:t>
            </w:r>
            <w:r/>
          </w:p>
        </w:tc>
      </w:tr>
      <w:tr>
        <w:trPr>
          <w:jc w:val="center"/>
          <w:trHeight w:val="626"/>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外设管理</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支持终端接口外设监控，可对终端所有接口外设实施启停用控制，</w:t>
            </w:r>
            <w:r>
              <w:rPr>
                <w:rFonts w:hint="eastAsia" w:ascii="宋体" w:hAnsi="宋体" w:eastAsia="宋体" w:cs="宋体"/>
                <w:sz w:val="24"/>
                <w:szCs w:val="24"/>
              </w:rPr>
              <w:t xml:space="preserve">对USB设备添加USB硬件ID和设备信息，可设置例外项。</w:t>
            </w:r>
            <w:r/>
          </w:p>
        </w:tc>
      </w:tr>
      <w:tr>
        <w:trPr>
          <w:jc w:val="center"/>
          <w:trHeight w:val="570"/>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违规外联</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sz w:val="24"/>
                <w:szCs w:val="24"/>
              </w:rPr>
              <w:t xml:space="preserve">支持终端非法外联监控，可判断通过http、telnet、ping三种方式检测主机违规外联行为，给予违规处理方式（不处理、重启、断网、提示），并信息提示。</w:t>
            </w:r>
            <w:r/>
          </w:p>
        </w:tc>
      </w:tr>
      <w:tr>
        <w:trPr>
          <w:jc w:val="center"/>
          <w:trHeight w:val="227"/>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资产管理</w:t>
            </w:r>
            <w:r/>
          </w:p>
        </w:tc>
        <w:tc>
          <w:tcPr>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w:t>
            </w:r>
            <w:r>
              <w:rPr>
                <w:rFonts w:hint="eastAsia" w:ascii="宋体" w:hAnsi="宋体" w:eastAsia="宋体" w:cs="宋体"/>
                <w:sz w:val="24"/>
                <w:szCs w:val="24"/>
              </w:rPr>
              <w:t xml:space="preserve">支持资产管理功能，可管理不同类型入网资产；提供交换机网络设备管理功能，可查看交换机设备接口状态、主机连接等详细信息。对入网资产可发现、可审批入网。（提供功能截图证明）</w:t>
            </w:r>
            <w:r/>
          </w:p>
        </w:tc>
      </w:tr>
      <w:tr>
        <w:trPr>
          <w:jc w:val="center"/>
          <w:trHeight w:val="227"/>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shd w:val="clear" w:color="auto" w:fill="auto"/>
            <w:tcW w:w="1247"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rPr>
              <w:t xml:space="preserve">系统诊断</w:t>
            </w:r>
            <w:r/>
          </w:p>
        </w:tc>
        <w:tc>
          <w:tcPr>
            <w:shd w:val="clear" w:color="auto" w:fill="auto"/>
            <w:tcW w:w="7370" w:type="dxa"/>
            <w:vAlign w:val="center"/>
            <w:textDirection w:val="lrTb"/>
            <w:noWrap w:val="false"/>
          </w:tcPr>
          <w:p>
            <w:pPr>
              <w:keepLines w:val="0"/>
              <w:keepNext w:val="0"/>
              <w:pageBreakBefore w:val="0"/>
              <w:spacing w:line="312" w:lineRule="auto"/>
              <w:widowControl w:val="off"/>
              <w:rPr>
                <w:rFonts w:hint="eastAsia" w:ascii="宋体" w:hAnsi="宋体" w:eastAsia="宋体" w:cs="宋体"/>
                <w:color w:val="000000"/>
                <w:sz w:val="24"/>
                <w:szCs w:val="24"/>
                <w:lang w:val="en-US" w:eastAsia="zh-CN" w:bidi="ar-SA"/>
              </w:rPr>
              <w:outlineLvl w:val="9"/>
            </w:pPr>
            <w:r>
              <w:rPr>
                <w:rFonts w:hint="eastAsia" w:ascii="宋体" w:hAnsi="宋体" w:eastAsia="宋体" w:cs="宋体"/>
                <w:color w:val="000000"/>
                <w:sz w:val="24"/>
                <w:szCs w:val="24"/>
              </w:rPr>
              <w:t xml:space="preserve">诊断分析，可通过系统调试信息及抓包分析功能定位问题。</w:t>
            </w:r>
            <w:r/>
          </w:p>
        </w:tc>
      </w:tr>
      <w:tr>
        <w:trPr>
          <w:jc w:val="center"/>
          <w:trHeight w:val="478"/>
        </w:trPr>
        <w:tc>
          <w:tcPr>
            <w:tcW w:w="1020" w:type="dxa"/>
            <w:vAlign w:val="center"/>
            <w:vMerge w:val="continue"/>
            <w:textDirection w:val="lrTb"/>
            <w:noWrap w:val="false"/>
          </w:tcPr>
          <w:p>
            <w:pPr>
              <w:jc w:val="cente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质保要求</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产品提供质保3年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含特征库升级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四、防火墙</w:t>
      </w:r>
      <w:r/>
    </w:p>
    <w:tbl>
      <w:tblPr>
        <w:tblStyle w:val="7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0"/>
        <w:gridCol w:w="1247"/>
        <w:gridCol w:w="7370"/>
      </w:tblGrid>
      <w:tr>
        <w:trPr>
          <w:jc w:val="center"/>
          <w:trHeight w:val="907"/>
        </w:trPr>
        <w:tc>
          <w:tcPr>
            <w:tcW w:w="102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sz w:val="24"/>
                <w:szCs w:val="24"/>
              </w:rPr>
              <w:outlineLvl w:val="9"/>
            </w:pPr>
            <w:r>
              <w:rPr>
                <w:rFonts w:hint="eastAsia" w:ascii="宋体" w:hAnsi="宋体" w:eastAsia="宋体" w:cs="宋体"/>
                <w:b/>
                <w:sz w:val="24"/>
                <w:szCs w:val="24"/>
              </w:rPr>
              <w:t xml:space="preserve">指标</w:t>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sz w:val="24"/>
                <w:szCs w:val="24"/>
              </w:rPr>
              <w:outlineLvl w:val="9"/>
            </w:pPr>
            <w:r>
              <w:rPr>
                <w:rFonts w:hint="eastAsia" w:ascii="宋体" w:hAnsi="宋体" w:eastAsia="宋体" w:cs="宋体"/>
                <w:b/>
                <w:sz w:val="24"/>
                <w:szCs w:val="24"/>
              </w:rPr>
              <w:t xml:space="preserve">指标项</w:t>
            </w:r>
            <w:r/>
          </w:p>
        </w:tc>
        <w:tc>
          <w:tcPr>
            <w:tcW w:w="737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b/>
                <w:sz w:val="24"/>
                <w:szCs w:val="24"/>
              </w:rPr>
              <w:outlineLvl w:val="9"/>
            </w:pPr>
            <w:r>
              <w:rPr>
                <w:rFonts w:hint="eastAsia" w:ascii="宋体" w:hAnsi="宋体" w:eastAsia="宋体" w:cs="宋体"/>
                <w:b/>
                <w:bCs/>
                <w:sz w:val="24"/>
                <w:szCs w:val="24"/>
              </w:rPr>
              <w:t xml:space="preserve">详细要求</w:t>
            </w:r>
            <w:r/>
          </w:p>
        </w:tc>
      </w:tr>
      <w:tr>
        <w:trPr>
          <w:jc w:val="center"/>
          <w:trHeight w:val="148"/>
        </w:trPr>
        <w:tc>
          <w:tcPr>
            <w:tcW w:w="1020"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实质性参数</w:t>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硬件要求</w:t>
            </w:r>
            <w:r/>
          </w:p>
        </w:tc>
        <w:tc>
          <w:tcPr>
            <w:tcW w:w="7370" w:type="dxa"/>
            <w:vAlign w:val="center"/>
            <w:textDirection w:val="lrTb"/>
            <w:noWrap w:val="false"/>
          </w:tcPr>
          <w:p>
            <w:pP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网络层吞吐量≥20G，IPS吞吐量≥1.5G，并发连接数≥300万，HTTP新建连接数≥9万，接口不少于8个千兆电口、2个万兆光口。</w:t>
            </w:r>
            <w:r/>
          </w:p>
        </w:tc>
      </w:tr>
      <w:tr>
        <w:trPr>
          <w:jc w:val="center"/>
          <w:trHeight w:val="148"/>
        </w:trPr>
        <w:tc>
          <w:tcPr>
            <w:tcW w:w="1020" w:type="dxa"/>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非实质性参数</w:t>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云威胁情报</w:t>
            </w:r>
            <w:r/>
          </w:p>
        </w:tc>
        <w:tc>
          <w:tcPr>
            <w:tcW w:w="7370" w:type="dxa"/>
            <w:vAlign w:val="center"/>
            <w:textDirection w:val="lrTb"/>
            <w:noWrap w:val="false"/>
          </w:tcPr>
          <w:p>
            <w:pP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产品支持云威胁情报网关技术，通过全球超过30+pop节点，实现对威胁流量就近进行实时检测&amp;拦截，实现失陷外联实时阻断，保护资产安全。</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链路检测</w:t>
            </w:r>
            <w:r/>
          </w:p>
        </w:tc>
        <w:tc>
          <w:tcPr>
            <w:tcW w:w="7370" w:type="dxa"/>
            <w:textDirection w:val="lrTb"/>
            <w:noWrap w:val="false"/>
          </w:tcPr>
          <w:p>
            <w:pP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产品支持链路连通性检查功能，支持基于3种以上协议对链路连通性进行探测，探测协议至少包括DNS解析、ARP探测、PING和BFD等方式。</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智能选路</w:t>
            </w:r>
            <w:r/>
          </w:p>
        </w:tc>
        <w:tc>
          <w:tcPr>
            <w:tcW w:w="7370" w:type="dxa"/>
            <w:textDirection w:val="lrTb"/>
            <w:noWrap w:val="false"/>
          </w:tcPr>
          <w:p>
            <w:pPr>
              <w:jc w:val="left"/>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产品支持IPSec VPN智能选路功能，根据线路质量和应用实现自动链路切换选路模式支持智能负载选路、按指定顺序选路、优先使用质量最优的线路、按剩余带宽比例负载。</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路由功能</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产品支持静态路由、策略路由和多播路由协议，并支持BGP、RIP、OSPF等动态路由协议。</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应用识别</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支持对不少于9000种应用的识别和控制，应用类型包括游戏、购物、图书百科、工作招聘、P2P下载、聊天工具、旅游出行、股票软件等类型应用进行检测与控制。（提供产品功能截图证明和具备CMA/CNAS标识的第三方检测报告）</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访问控制</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产品支持基于网络区域、网络对象、MAC地址、服务、应用、域名等维度进行访问控制策略设置。</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t xml:space="preserve">会话控制</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产品支持基于IP对象的会话控制策略，实现并发和新建连接数的合理限制。</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lang w:bidi="ar"/>
              </w:rPr>
              <w:outlineLvl w:val="9"/>
            </w:pPr>
            <w:r>
              <w:rPr>
                <w:rFonts w:hint="eastAsia" w:ascii="宋体" w:hAnsi="宋体" w:eastAsia="宋体" w:cs="宋体"/>
                <w:color w:val="000000"/>
                <w:sz w:val="24"/>
                <w:szCs w:val="24"/>
                <w:lang w:bidi="ar"/>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lang w:bidi="ar"/>
              </w:rPr>
              <w:outlineLvl w:val="9"/>
            </w:pPr>
            <w:r>
              <w:rPr>
                <w:rFonts w:hint="eastAsia" w:ascii="宋体" w:hAnsi="宋体" w:eastAsia="宋体" w:cs="宋体"/>
                <w:color w:val="000000"/>
                <w:sz w:val="24"/>
                <w:szCs w:val="24"/>
                <w:lang w:bidi="ar"/>
              </w:rPr>
              <w:t xml:space="preserve">DDoS防护</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lang w:bidi="ar"/>
              </w:rPr>
              <w:outlineLvl w:val="9"/>
            </w:pPr>
            <w:r>
              <w:rPr>
                <w:rFonts w:hint="eastAsia" w:ascii="宋体" w:hAnsi="宋体" w:eastAsia="宋体" w:cs="宋体"/>
                <w:color w:val="000000"/>
                <w:sz w:val="24"/>
                <w:szCs w:val="24"/>
                <w:lang w:bidi="ar"/>
              </w:rPr>
              <w:t xml:space="preserve">产品支持异常数据包攻击防御，防护类型包括IP数据块分片传输防护、Teardrop攻击防护、Smurf攻击防护、Land攻击防护、WinNuke攻击防护等攻击类型。</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lang w:bidi="ar"/>
              </w:rPr>
              <w:outlineLvl w:val="9"/>
            </w:pPr>
            <w:r>
              <w:rPr>
                <w:rFonts w:hint="eastAsia" w:ascii="宋体" w:hAnsi="宋体" w:eastAsia="宋体" w:cs="宋体"/>
                <w:color w:val="000000"/>
                <w:sz w:val="24"/>
                <w:szCs w:val="24"/>
                <w:lang w:bidi="ar"/>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策略生命周期管理</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产品支持策略生命周期管理功能，支持对安全策略修改的时间、原因、变更类型进行统一管理，便于策略的运维与管理。（提供产品功能截图证明并提供具备CMA/CNAS标识的第三方检测报告）</w:t>
            </w:r>
            <w:r/>
          </w:p>
        </w:tc>
      </w:tr>
      <w:tr>
        <w:trPr>
          <w:jc w:val="center"/>
          <w:trHeight w:val="148"/>
        </w:trPr>
        <w:tc>
          <w:tcPr>
            <w:tcW w:w="1020" w:type="dxa"/>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r>
            <w:r/>
          </w:p>
        </w:tc>
        <w:tc>
          <w:tcPr>
            <w:tcW w:w="1247"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质保要求</w:t>
            </w:r>
            <w:r/>
          </w:p>
        </w:tc>
        <w:tc>
          <w:tcPr>
            <w:tcW w:w="7370"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color w:val="000000"/>
                <w:sz w:val="24"/>
                <w:szCs w:val="24"/>
              </w:rPr>
              <w:outlineLvl w:val="9"/>
            </w:pPr>
            <w:r>
              <w:rPr>
                <w:rFonts w:hint="eastAsia" w:ascii="宋体" w:hAnsi="宋体" w:eastAsia="宋体" w:cs="宋体"/>
                <w:color w:val="000000"/>
                <w:sz w:val="24"/>
                <w:szCs w:val="24"/>
              </w:rPr>
              <w:t xml:space="preserve">产品提供质保3年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含特征库升级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五、桌面杀毒</w:t>
      </w:r>
      <w:r/>
    </w:p>
    <w:tbl>
      <w:tblPr>
        <w:tblStyle w:val="727"/>
        <w:tblW w:w="482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1"/>
        <w:gridCol w:w="1242"/>
        <w:gridCol w:w="7366"/>
      </w:tblGrid>
      <w:tr>
        <w:trPr>
          <w:jc w:val="center"/>
          <w:trHeight w:val="907"/>
        </w:trPr>
        <w:tc>
          <w:tcPr>
            <w:tcW w:w="521"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646"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指标项</w:t>
            </w:r>
            <w:r/>
          </w:p>
        </w:tc>
        <w:tc>
          <w:tcPr>
            <w:tcW w:w="3832"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257"/>
        </w:trPr>
        <w:tc>
          <w:tcPr>
            <w:tcW w:w="521"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实质性参数</w:t>
            </w:r>
            <w:r/>
          </w:p>
        </w:tc>
        <w:tc>
          <w:tcPr>
            <w:tcW w:w="646"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性能指标</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00点PC版授权，≥200点服务器版授权，包含3年软件升级。</w:t>
            </w:r>
            <w:r/>
          </w:p>
        </w:tc>
      </w:tr>
      <w:tr>
        <w:trPr>
          <w:jc w:val="center"/>
          <w:trHeight w:val="416"/>
        </w:trPr>
        <w:tc>
          <w:tcPr>
            <w:tcW w:w="521" w:type="pct"/>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非实质性参数</w:t>
            </w:r>
            <w:r/>
          </w:p>
        </w:tc>
        <w:tc>
          <w:tcPr>
            <w:tcW w:w="646"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cs="宋体"/>
                <w:szCs w:val="21"/>
              </w:rPr>
              <w:t xml:space="preserve">基本要求</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客户端至少支持Windows、Linux、中标麒麟、银河麒麟、中科方德、深度、UOS等国内外主流操作系统。</w:t>
            </w:r>
            <w:r/>
          </w:p>
        </w:tc>
      </w:tr>
      <w:tr>
        <w:trPr>
          <w:jc w:val="center"/>
          <w:trHeight w:val="397"/>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restart"/>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cs="宋体"/>
                <w:szCs w:val="21"/>
              </w:rPr>
              <w:t xml:space="preserve">安装部署</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客户端安装支持本地安装、离线安装、命令行安装</w:t>
            </w:r>
            <w:r>
              <w:rPr>
                <w:rFonts w:hint="eastAsia" w:ascii="宋体" w:hAnsi="宋体" w:cs="宋体"/>
                <w:sz w:val="24"/>
                <w:szCs w:val="24"/>
                <w:lang w:eastAsia="zh-CN"/>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支持在线升级、离线升级，平台立即、定时推送升级</w:t>
            </w:r>
            <w:r>
              <w:rPr>
                <w:rFonts w:hint="eastAsia" w:ascii="宋体" w:hAnsi="宋体" w:cs="宋体"/>
                <w:sz w:val="24"/>
                <w:szCs w:val="24"/>
                <w:lang w:eastAsia="zh-CN"/>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支持配置终端IP、操作系统、端口信息等信息，实现Linux系统一键安装</w:t>
            </w:r>
            <w:r>
              <w:rPr>
                <w:rFonts w:hint="eastAsia" w:ascii="宋体" w:hAnsi="宋体" w:cs="宋体"/>
                <w:sz w:val="24"/>
                <w:szCs w:val="24"/>
                <w:lang w:eastAsia="zh-CN"/>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szCs w:val="21"/>
              </w:rPr>
              <w:t xml:space="preserve">终端管理</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管理中心支持实时显示客户端的状态及终端基本信息，并支持终端信息导出。</w:t>
            </w:r>
            <w:r/>
          </w:p>
        </w:tc>
      </w:tr>
      <w:tr>
        <w:trPr>
          <w:jc w:val="center"/>
          <w:trHeight w:val="510"/>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cs="宋体"/>
                <w:szCs w:val="21"/>
              </w:rPr>
              <w:t xml:space="preserve">补丁管理</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支持终端维度的漏洞情况统计，可根据部门、责任人、计算机名、IP、MAC进行查询并导出</w:t>
            </w:r>
            <w:r>
              <w:rPr>
                <w:rFonts w:hint="eastAsia" w:ascii="宋体" w:hAnsi="宋体" w:cs="宋体"/>
                <w:sz w:val="24"/>
                <w:szCs w:val="24"/>
                <w:lang w:eastAsia="zh-CN"/>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可以展示全网补丁情况，包括补丁编号、补丁类型、操作系统、下载状态等，支持补丁忽略功能</w:t>
            </w:r>
            <w:r>
              <w:rPr>
                <w:rFonts w:hint="eastAsia" w:ascii="宋体" w:hAnsi="宋体" w:cs="宋体"/>
                <w:sz w:val="24"/>
                <w:szCs w:val="24"/>
                <w:lang w:eastAsia="zh-CN"/>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textDirection w:val="lrTb"/>
            <w:noWrap w:val="false"/>
          </w:tcPr>
          <w:p>
            <w:pPr>
              <w:jc w:val="center"/>
              <w:rPr>
                <w:rFonts w:hint="eastAsia" w:ascii="宋体" w:hAnsi="宋体" w:eastAsia="宋体" w:cs="宋体"/>
                <w:sz w:val="24"/>
                <w:szCs w:val="24"/>
              </w:rPr>
            </w:pPr>
            <w:r>
              <w:rPr>
                <w:rFonts w:hint="eastAsia" w:ascii="宋体" w:hAnsi="宋体" w:cs="宋体"/>
                <w:szCs w:val="21"/>
              </w:rPr>
              <w:t xml:space="preserve">终端发现</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▲支持通过PING、ARP、NMAP方式扫描，发现尚未纳入管控的终端，支持展示终端的终端在线、离线、安装情况</w:t>
            </w:r>
            <w:r>
              <w:rPr>
                <w:rFonts w:hint="eastAsia" w:ascii="宋体" w:hAnsi="宋体" w:cs="宋体"/>
                <w:sz w:val="24"/>
                <w:szCs w:val="24"/>
                <w:lang w:eastAsia="zh-CN"/>
              </w:rPr>
              <w:t xml:space="preserve">。</w:t>
            </w:r>
            <w:r>
              <w:rPr>
                <w:rFonts w:hint="eastAsia" w:ascii="宋体" w:hAnsi="宋体" w:eastAsia="宋体" w:cs="宋体"/>
                <w:sz w:val="24"/>
                <w:szCs w:val="24"/>
              </w:rPr>
              <w:t xml:space="preserve">（提供产品截图</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终端防御</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支持对终端内部文件进行全盘扫描、快速扫描，自定义扫描三种扫描能力，同时支持错峰扫描</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支持基于虚拟沙盒的高效的本地反病毒引擎，实现极高的本地查杀能力</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支持对压缩文件内的恶意文件扫描，包括但不限于对Arj、bzip2、Lzh、Tar、Zip等压缩文件格式类型查杀防护</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▲支持对webshell后门进行扫描检测,webshell后门规则数量大于100000。（提供产品截图</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支持病毒自动隔离备份功能，客户端能自动将病毒文件隔离到本地隔离区，同时支持恢复隔离文件</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支持开启勒索诱捕功能，设置诱饵文件并实时监控，当勒索病毒对该文件进行加密操作时进行拦截</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主动对U盘中的文件进行扫描，对U盘传播类恶意软件常见恶意修改操作进行修复</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系统加固</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▲支持系统加固，从系统文件保护、病毒免疫、进程保护、注册表保护、危险动作拦截、执行防护等多个维度对系统进行防护。（提供产品截图</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restart"/>
            <w:textDirection w:val="lrTb"/>
            <w:noWrap w:val="false"/>
          </w:tcPr>
          <w:p>
            <w:pPr>
              <w:jc w:val="center"/>
              <w:rPr>
                <w:rFonts w:hint="eastAsia" w:ascii="宋体" w:hAnsi="宋体" w:cs="宋体"/>
                <w:szCs w:val="21"/>
              </w:rPr>
            </w:pPr>
            <w:r>
              <w:rPr>
                <w:rFonts w:hint="eastAsia" w:ascii="宋体" w:hAnsi="宋体" w:cs="宋体"/>
                <w:szCs w:val="21"/>
              </w:rPr>
              <w:t xml:space="preserve">合规管控</w:t>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支持从终端、资产两个维度统计终端软件安装情况，可自定义查询并导出软件资产</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支持远程控制，通过管理中心实现对客户端的远程运维，可设置例外终端。</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支持动态认证，配置动态认证策略可以在用户本地以及远程登录系统时进行口令认证。（提供产品截图</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Cs w:val="24"/>
              </w:rPr>
              <w:outlineLvl w:val="9"/>
            </w:pPr>
            <w:r>
              <w:rPr>
                <w:rFonts w:hint="eastAsia" w:ascii="宋体" w:hAnsi="宋体" w:eastAsia="宋体" w:cs="宋体"/>
                <w:sz w:val="24"/>
                <w:szCs w:val="24"/>
              </w:rPr>
              <w:t xml:space="preserve">支持文档检测功能，针对txt</w:t>
            </w:r>
            <w:r>
              <w:rPr>
                <w:rFonts w:hint="eastAsia" w:ascii="宋体" w:hAnsi="宋体" w:cs="宋体"/>
                <w:sz w:val="24"/>
                <w:szCs w:val="24"/>
                <w:lang w:eastAsia="zh-CN"/>
              </w:rPr>
              <w:t xml:space="preserve">，</w:t>
            </w:r>
            <w:r>
              <w:rPr>
                <w:rFonts w:hint="eastAsia" w:ascii="宋体" w:hAnsi="宋体" w:eastAsia="宋体" w:cs="宋体"/>
                <w:sz w:val="24"/>
                <w:szCs w:val="24"/>
              </w:rPr>
              <w:t xml:space="preserve">doc</w:t>
            </w:r>
            <w:r>
              <w:rPr>
                <w:rFonts w:hint="eastAsia" w:ascii="宋体" w:hAnsi="宋体" w:cs="宋体"/>
                <w:sz w:val="24"/>
                <w:szCs w:val="24"/>
                <w:lang w:eastAsia="zh-CN"/>
              </w:rPr>
              <w:t xml:space="preserve">，</w:t>
            </w:r>
            <w:r>
              <w:rPr>
                <w:rFonts w:hint="eastAsia" w:ascii="宋体" w:hAnsi="宋体" w:eastAsia="宋体" w:cs="宋体"/>
                <w:sz w:val="24"/>
                <w:szCs w:val="24"/>
              </w:rPr>
              <w:t xml:space="preserve">docx</w:t>
            </w:r>
            <w:r>
              <w:rPr>
                <w:rFonts w:hint="eastAsia" w:ascii="宋体" w:hAnsi="宋体" w:cs="宋体"/>
                <w:sz w:val="24"/>
                <w:szCs w:val="24"/>
                <w:lang w:eastAsia="zh-CN"/>
              </w:rPr>
              <w:t xml:space="preserve">，</w:t>
            </w:r>
            <w:r>
              <w:rPr>
                <w:rFonts w:hint="eastAsia" w:ascii="宋体" w:hAnsi="宋体" w:eastAsia="宋体" w:cs="宋体"/>
                <w:sz w:val="24"/>
                <w:szCs w:val="24"/>
              </w:rPr>
              <w:t xml:space="preserve">xls</w:t>
            </w:r>
            <w:r>
              <w:rPr>
                <w:rFonts w:hint="eastAsia" w:ascii="宋体" w:hAnsi="宋体" w:cs="宋体"/>
                <w:sz w:val="24"/>
                <w:szCs w:val="24"/>
                <w:lang w:eastAsia="zh-CN"/>
              </w:rPr>
              <w:t xml:space="preserve">，</w:t>
            </w:r>
            <w:r>
              <w:rPr>
                <w:rFonts w:hint="eastAsia" w:ascii="宋体" w:hAnsi="宋体" w:eastAsia="宋体" w:cs="宋体"/>
                <w:sz w:val="24"/>
                <w:szCs w:val="24"/>
              </w:rPr>
              <w:t xml:space="preserve">xlsx</w:t>
            </w:r>
            <w:r>
              <w:rPr>
                <w:rFonts w:hint="eastAsia" w:ascii="宋体" w:hAnsi="宋体" w:cs="宋体"/>
                <w:sz w:val="24"/>
                <w:szCs w:val="24"/>
                <w:lang w:eastAsia="zh-CN"/>
              </w:rPr>
              <w:t xml:space="preserve">，</w:t>
            </w:r>
            <w:r>
              <w:rPr>
                <w:rFonts w:hint="eastAsia" w:ascii="宋体" w:hAnsi="宋体" w:eastAsia="宋体" w:cs="宋体"/>
                <w:sz w:val="24"/>
                <w:szCs w:val="24"/>
              </w:rPr>
              <w:t xml:space="preserve">ppt</w:t>
            </w:r>
            <w:r>
              <w:rPr>
                <w:rFonts w:hint="eastAsia" w:ascii="宋体" w:hAnsi="宋体" w:cs="宋体"/>
                <w:sz w:val="24"/>
                <w:szCs w:val="24"/>
                <w:lang w:eastAsia="zh-CN"/>
              </w:rPr>
              <w:t xml:space="preserve">，</w:t>
            </w:r>
            <w:r>
              <w:rPr>
                <w:rFonts w:hint="eastAsia" w:ascii="宋体" w:hAnsi="宋体" w:eastAsia="宋体" w:cs="宋体"/>
                <w:sz w:val="24"/>
                <w:szCs w:val="24"/>
              </w:rPr>
              <w:t xml:space="preserve">pptx</w:t>
            </w:r>
            <w:r>
              <w:rPr>
                <w:rFonts w:hint="eastAsia" w:ascii="宋体" w:hAnsi="宋体" w:cs="宋体"/>
                <w:sz w:val="24"/>
                <w:szCs w:val="24"/>
                <w:lang w:eastAsia="zh-CN"/>
              </w:rPr>
              <w:t xml:space="preserve">，</w:t>
            </w:r>
            <w:r>
              <w:rPr>
                <w:rFonts w:hint="eastAsia" w:ascii="宋体" w:hAnsi="宋体" w:eastAsia="宋体" w:cs="宋体"/>
                <w:sz w:val="24"/>
                <w:szCs w:val="24"/>
              </w:rPr>
              <w:t xml:space="preserve">rtf</w:t>
            </w:r>
            <w:r>
              <w:rPr>
                <w:rFonts w:hint="eastAsia" w:ascii="宋体" w:hAnsi="宋体" w:cs="宋体"/>
                <w:sz w:val="24"/>
                <w:szCs w:val="24"/>
                <w:lang w:eastAsia="zh-CN"/>
              </w:rPr>
              <w:t xml:space="preserve">，</w:t>
            </w:r>
            <w:r>
              <w:rPr>
                <w:rFonts w:hint="eastAsia" w:ascii="宋体" w:hAnsi="宋体" w:eastAsia="宋体" w:cs="宋体"/>
                <w:sz w:val="24"/>
                <w:szCs w:val="24"/>
              </w:rPr>
              <w:t xml:space="preserve">pdf等格式文档的名称、内容进行包含关键字检查，对含有指定关键字的文档进行禁止发送、禁止拷贝等管控，消息提醒的同时将文档违规信息上报管理平台。（提供产品截图</w:t>
            </w:r>
            <w:r>
              <w:rPr>
                <w:rFonts w:hint="eastAsia" w:ascii="宋体" w:hAnsi="宋体" w:eastAsia="宋体" w:cs="宋体"/>
                <w:sz w:val="24"/>
                <w:szCs w:val="24"/>
                <w:lang w:val="en-US" w:eastAsia="zh-CN"/>
              </w:rPr>
              <w:t xml:space="preserve">证明</w:t>
            </w:r>
            <w:r>
              <w:rPr>
                <w:rFonts w:hint="eastAsia" w:ascii="宋体" w:hAnsi="宋体" w:eastAsia="宋体" w:cs="宋体"/>
                <w:sz w:val="24"/>
                <w:szCs w:val="24"/>
              </w:rPr>
              <w:t xml:space="preserve">）</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支持对移动存储设备采用标签式注册管理，可以自定义USB存储设备使用权限以及禁用无标签USB存储，并按照文件类型审计在移动存储介质上文件操作记录。</w:t>
            </w:r>
            <w:r/>
          </w:p>
        </w:tc>
      </w:tr>
      <w:tr>
        <w:trPr>
          <w:jc w:val="center"/>
          <w:trHeight w:val="416"/>
        </w:trPr>
        <w:tc>
          <w:tcPr>
            <w:tcW w:w="521" w:type="pct"/>
            <w:vAlign w:val="center"/>
            <w:vMerge w:val="continue"/>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rPr>
                <w:rFonts w:hint="eastAsia" w:ascii="宋体" w:hAnsi="宋体" w:cs="宋体"/>
                <w:szCs w:val="21"/>
              </w:rPr>
            </w:pPr>
            <w:r>
              <w:rPr>
                <w:rFonts w:hint="eastAsia" w:ascii="宋体" w:hAnsi="宋体" w:cs="宋体"/>
                <w:szCs w:val="21"/>
              </w:rPr>
            </w:r>
            <w:r/>
          </w:p>
        </w:tc>
        <w:tc>
          <w:tcPr>
            <w:tcW w:w="3832" w:type="pct"/>
            <w:vAlign w:val="center"/>
            <w:textDirection w:val="lrTb"/>
            <w:noWrap w:val="false"/>
          </w:tcPr>
          <w:p>
            <w:pPr>
              <w:keepLines w:val="0"/>
              <w:keepNext w:val="0"/>
              <w:pageBreakBefore w:val="0"/>
              <w:spacing w:line="312" w:lineRule="auto"/>
              <w:widowControl w:val="off"/>
              <w:rPr>
                <w:rFonts w:hint="eastAsia" w:ascii="宋体" w:hAnsi="宋体" w:cs="宋体"/>
                <w:szCs w:val="21"/>
              </w:rPr>
              <w:outlineLvl w:val="9"/>
            </w:pPr>
            <w:r>
              <w:rPr>
                <w:rFonts w:hint="eastAsia" w:ascii="宋体" w:hAnsi="宋体" w:eastAsia="宋体" w:cs="宋体"/>
                <w:color w:val="000000"/>
                <w:sz w:val="24"/>
                <w:szCs w:val="24"/>
              </w:rPr>
              <w:t xml:space="preserve">产品提供质保3年</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含特征库升级</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六、DNS安全监测系统</w:t>
      </w:r>
      <w:r/>
    </w:p>
    <w:tbl>
      <w:tblPr>
        <w:tblStyle w:val="727"/>
        <w:tblW w:w="48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7"/>
        <w:gridCol w:w="7368"/>
      </w:tblGrid>
      <w:tr>
        <w:trPr>
          <w:jc w:val="center"/>
          <w:trHeight w:val="907"/>
        </w:trPr>
        <w:tc>
          <w:tcPr>
            <w:tcW w:w="529"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rPr>
              <w:t xml:space="preserve">指标</w:t>
            </w:r>
            <w:r/>
          </w:p>
        </w:tc>
        <w:tc>
          <w:tcPr>
            <w:tcW w:w="646"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rPr>
              <w:t xml:space="preserve">指标项</w:t>
            </w:r>
            <w:r/>
          </w:p>
        </w:tc>
        <w:tc>
          <w:tcPr>
            <w:tcW w:w="3823"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val="0"/>
                <w:sz w:val="24"/>
                <w:szCs w:val="24"/>
              </w:rPr>
              <w:outlineLvl w:val="9"/>
            </w:pPr>
            <w:r>
              <w:rPr>
                <w:rFonts w:hint="eastAsia" w:ascii="宋体" w:hAnsi="宋体" w:eastAsia="宋体" w:cs="宋体"/>
                <w:b/>
                <w:bCs w:val="0"/>
                <w:sz w:val="24"/>
                <w:szCs w:val="24"/>
              </w:rPr>
              <w:t xml:space="preserve">详细要求</w:t>
            </w:r>
            <w:r/>
          </w:p>
        </w:tc>
      </w:tr>
      <w:tr>
        <w:trPr>
          <w:jc w:val="center"/>
          <w:trHeight w:val="324"/>
        </w:trPr>
        <w:tc>
          <w:tcPr>
            <w:tcW w:w="529"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Cs/>
                <w:sz w:val="24"/>
                <w:szCs w:val="24"/>
              </w:rPr>
              <w:outlineLvl w:val="9"/>
            </w:pPr>
            <w:r>
              <w:rPr>
                <w:rFonts w:hint="eastAsia" w:ascii="宋体" w:hAnsi="宋体" w:eastAsia="宋体" w:cs="宋体"/>
                <w:bCs/>
                <w:sz w:val="24"/>
                <w:szCs w:val="24"/>
              </w:rPr>
              <w:t xml:space="preserve">实质性要求</w:t>
            </w:r>
            <w:r/>
          </w:p>
        </w:tc>
        <w:tc>
          <w:tcPr>
            <w:tcW w:w="646"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Cs/>
                <w:sz w:val="24"/>
                <w:szCs w:val="24"/>
              </w:rPr>
              <w:outlineLvl w:val="9"/>
            </w:pPr>
            <w:r>
              <w:rPr>
                <w:rFonts w:hint="eastAsia" w:ascii="宋体" w:hAnsi="宋体" w:eastAsia="宋体" w:cs="宋体"/>
                <w:sz w:val="24"/>
                <w:szCs w:val="24"/>
              </w:rPr>
              <w:t xml:space="preserve">服务要求</w:t>
            </w:r>
            <w:r/>
          </w:p>
        </w:tc>
        <w:tc>
          <w:tcPr>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bCs/>
                <w:sz w:val="24"/>
                <w:szCs w:val="24"/>
                <w:lang w:eastAsia="zh-CN"/>
              </w:rPr>
              <w:outlineLvl w:val="9"/>
            </w:pPr>
            <w:r>
              <w:rPr>
                <w:rFonts w:hint="eastAsia" w:ascii="宋体" w:hAnsi="宋体" w:eastAsia="宋体" w:cs="宋体"/>
                <w:sz w:val="24"/>
                <w:szCs w:val="24"/>
              </w:rPr>
              <w:t xml:space="preserve">提供三年维保服务，提供不少于</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00个终端点数的三年订阅服务授权</w:t>
            </w:r>
            <w:r>
              <w:rPr>
                <w:rFonts w:hint="eastAsia" w:ascii="宋体" w:hAnsi="宋体" w:eastAsia="宋体" w:cs="宋体"/>
                <w:sz w:val="24"/>
                <w:szCs w:val="24"/>
                <w:lang w:eastAsia="zh-CN"/>
              </w:rPr>
              <w:t xml:space="preserve">。</w:t>
            </w:r>
            <w:r/>
          </w:p>
        </w:tc>
      </w:tr>
      <w:tr>
        <w:trPr>
          <w:jc w:val="center"/>
          <w:trHeight w:val="1075"/>
        </w:trPr>
        <w:tc>
          <w:tcPr>
            <w:tcBorders>
              <w:top w:val="single" w:color="auto" w:sz="4" w:space="0"/>
              <w:left w:val="single" w:color="auto" w:sz="4" w:space="0"/>
              <w:right w:val="single" w:color="auto" w:sz="4" w:space="0"/>
            </w:tcBorders>
            <w:tcW w:w="529" w:type="pct"/>
            <w:vAlign w:val="center"/>
            <w:vMerge w:val="restart"/>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非实质性要求</w:t>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代理转发器接入</w:t>
            </w:r>
            <w:r/>
          </w:p>
        </w:tc>
        <w:tc>
          <w:tcPr>
            <w:tcBorders>
              <w:top w:val="single" w:color="auto"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支持内网资产识别；支持本地DNS缓存加速；支持DoH 加密解析，企业资产上网将会受到加密保护，防止第三方偷窥和篡改；支持串联和旁路模式接入流量；支持通过 syslog接收DNS日志；支持采集 DHCP 日志。</w:t>
            </w:r>
            <w:r/>
          </w:p>
        </w:tc>
      </w:tr>
      <w:tr>
        <w:trPr>
          <w:jc w:val="center"/>
          <w:trHeight w:val="386"/>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漫游终端接入</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支持漫游终端在企业环境内使用企业内安全DNS服务，离开企业环境后仍然使用 DoH 加密解析。</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网络分组管理</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每个网络分组提供出口 IP、代理转发器、漫游终端三种接入方式；提供专属 DoH 域名接入；支持根据网络分组配置告警拦截策略。</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内网域名管理</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支持配置多组内网DNS服务器，同时配置内网的泛域名列表。</w:t>
            </w:r>
            <w:r/>
          </w:p>
        </w:tc>
      </w:tr>
      <w:tr>
        <w:trPr>
          <w:jc w:val="center"/>
          <w:trHeight w:val="107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传输加密</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支持客户本地通过DoH/DoT加密协议进行域名解析，对出公网的域名解析进行加密保护，有效防止了第三方对DNS解析的偷窥和篡改，保护了企业的用户隐私。</w:t>
            </w:r>
            <w:r/>
          </w:p>
        </w:tc>
      </w:tr>
      <w:tr>
        <w:trPr>
          <w:jc w:val="center"/>
          <w:trHeight w:val="514"/>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威胁情报</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威胁情报数量不少于1500万条，APT情报不少于4万条。</w:t>
            </w:r>
            <w:r/>
          </w:p>
        </w:tc>
      </w:tr>
      <w:tr>
        <w:trPr>
          <w:jc w:val="center"/>
          <w:trHeight w:val="45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威胁检测</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根据管理员定义的拦截策略，对DNS流量进行实时的威胁检测和展示。</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威胁告警</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支持1年范围内告警日志检索；支持以威胁事件、恶意域名、风险分组、失陷资产的视角对告警数据进行分组展示。</w:t>
            </w:r>
            <w:r/>
          </w:p>
        </w:tc>
      </w:tr>
      <w:tr>
        <w:trPr>
          <w:jc w:val="center"/>
          <w:trHeight w:val="527"/>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告警通知</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支持按照威胁类型、威胁等级配置告警通知策略。</w:t>
            </w:r>
            <w:r/>
          </w:p>
        </w:tc>
      </w:tr>
      <w:tr>
        <w:trPr>
          <w:jc w:val="center"/>
          <w:trHeight w:val="107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资产定位</w:t>
            </w:r>
            <w:r/>
          </w:p>
        </w:tc>
        <w:tc>
          <w:tcPr>
            <w:tcBorders>
              <w:top w:val="single" w:color="auto" w:sz="4" w:space="0"/>
              <w:left w:val="single" w:color="auto"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支持识别定位内网终端资产IP地址；支持查询选定时间范围内，TOP活跃资产的列表，列表包括资产 IP、资产分组、DNS 请求数、最近请求时间、威胁等级和分类；支持TOP活跃资产列表导出。</w:t>
            </w:r>
            <w:r/>
          </w:p>
        </w:tc>
      </w:tr>
      <w:tr>
        <w:trPr>
          <w:jc w:val="center"/>
          <w:trHeight w:val="41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single" w:color="auto"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资产分组</w:t>
            </w:r>
            <w:r/>
          </w:p>
        </w:tc>
        <w:tc>
          <w:tcPr>
            <w:tcBorders>
              <w:top w:val="single" w:color="auto"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支持按照IP或者IP段划分虚拟资产组。</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资产告警屏蔽</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支持定义企业需要屏蔽告警的资产白名单列表，支持IP及IP段的配置；设置的IP名单的资产不产生告警通知，但不影响策略的拦截效果。</w:t>
            </w:r>
            <w:r/>
          </w:p>
        </w:tc>
      </w:tr>
      <w:tr>
        <w:trPr>
          <w:jc w:val="center"/>
          <w:trHeight w:val="107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威胁域名拦截</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支持配置威胁域名拦截策略、内容分类拦截策略；支持自定义拦截时返回的 IP 地址，默认情况下提供拦截页面，并且支持用户自定义拦截页面的文案或者跳转的URL。</w:t>
            </w:r>
            <w:r/>
          </w:p>
        </w:tc>
      </w:tr>
      <w:tr>
        <w:trPr>
          <w:jc w:val="center"/>
          <w:trHeight w:val="107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自定义黑名单</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支持配置自定义黑名单，系统对添加到黑名单的域名系统进行拦截；支持自定义策略生效范围；支持自定义拦截时返回的 IP 地址，默认情况下提供拦截页面，并且支持用户自定义拦截页面的文案或者跳转的URL。</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自定义白名单</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支持配置自定义白名单，系统对添加到白名单的域名不进行告警和拦截；支持自定义策略生效范围。</w:t>
            </w:r>
            <w:r/>
          </w:p>
        </w:tc>
      </w:tr>
      <w:tr>
        <w:trPr>
          <w:jc w:val="center"/>
          <w:trHeight w:val="1075"/>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综合分析报告</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支持单次生成或定期生成报告；支持自定义生成报告的时间范围；支持按资产分组选择生成报告的数据范围；主要侧重于企业内部上网的综合分析，便于日常汇报使用。</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账号管理</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支持管理员直接添加账号或者通过手机号邀请人员加入企业；账号角色分为系统管理员、操作员和分析师。</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操作日志</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记录了系统中用户关键操作的日志详情，包括操作时间、用户名、角色、操作IP、操作模块和操作描述，支持列表展示和导出。</w:t>
            </w:r>
            <w:r/>
          </w:p>
        </w:tc>
      </w:tr>
      <w:tr>
        <w:trPr>
          <w:jc w:val="center"/>
          <w:trHeight w:val="719"/>
        </w:trPr>
        <w:tc>
          <w:tcPr>
            <w:tcBorders>
              <w:left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安全设置</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支持设置访问系统控制台的IP白名单列表，只有访问IP在白名单的用户能够访问系统控制台。</w:t>
            </w:r>
            <w:r/>
          </w:p>
        </w:tc>
      </w:tr>
      <w:tr>
        <w:trPr>
          <w:jc w:val="center"/>
          <w:trHeight w:val="729"/>
        </w:trPr>
        <w:tc>
          <w:tcPr>
            <w:tcBorders>
              <w:left w:val="single" w:color="auto" w:sz="4" w:space="0"/>
              <w:bottom w:val="single" w:color="auto" w:sz="4" w:space="0"/>
              <w:right w:val="single" w:color="auto" w:sz="4" w:space="0"/>
            </w:tcBorders>
            <w:tcW w:w="529" w:type="pct"/>
            <w:vAlign w:val="center"/>
            <w:vMerge w:val="continue"/>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Borders>
              <w:top w:val="none" w:color="000000" w:sz="4" w:space="0"/>
              <w:left w:val="single" w:color="auto" w:sz="4" w:space="0"/>
              <w:bottom w:val="single" w:color="auto" w:sz="4" w:space="0"/>
              <w:right w:val="single" w:color="auto" w:sz="4" w:space="0"/>
            </w:tcBorders>
            <w:tcW w:w="646" w:type="pct"/>
            <w:vAlign w:val="center"/>
            <w:textDirection w:val="lrTb"/>
            <w:noWrap/>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API接口</w:t>
            </w:r>
            <w:r/>
          </w:p>
        </w:tc>
        <w:tc>
          <w:tcPr>
            <w:tcBorders>
              <w:top w:val="none" w:color="000000" w:sz="4" w:space="0"/>
              <w:left w:val="none" w:color="000000" w:sz="4" w:space="0"/>
              <w:bottom w:val="single" w:color="auto" w:sz="4" w:space="0"/>
              <w:right w:val="single" w:color="auto" w:sz="4" w:space="0"/>
            </w:tcBorders>
            <w:tcW w:w="3823" w:type="pct"/>
            <w:vAlign w:val="center"/>
            <w:textDirection w:val="lrTb"/>
            <w:noWrap w:val="false"/>
          </w:tcPr>
          <w:p>
            <w:pPr>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提供API接口对接第三方平台，包括：威胁告警日志查询接口；自定义黑白名单管控接口，支持添加或删除自定义域名。</w:t>
            </w:r>
            <w:r/>
          </w:p>
        </w:tc>
      </w:tr>
    </w:tbl>
    <w:p>
      <w:pPr>
        <w:ind w:left="0"/>
        <w:jc w:val="both"/>
        <w:widowControl w:val="off"/>
        <w:rPr>
          <w:rFonts w:hint="eastAsia" w:ascii="宋体" w:hAnsi="宋体" w:eastAsia="宋体" w:cs="宋体"/>
          <w:sz w:val="24"/>
          <w:szCs w:val="24"/>
          <w:lang w:val="en-US" w:eastAsia="zh-CN" w:bidi="ar-SA"/>
        </w:rPr>
        <w:outlineLvl w:val="9"/>
      </w:pPr>
      <w:r>
        <w:rPr>
          <w:rFonts w:hint="eastAsia" w:ascii="宋体" w:hAnsi="宋体" w:eastAsia="宋体" w:cs="宋体"/>
          <w:sz w:val="24"/>
          <w:szCs w:val="24"/>
          <w:lang w:val="en-US" w:eastAsia="zh-CN" w:bidi="ar-SA"/>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七、电池更换</w:t>
      </w:r>
      <w:r/>
    </w:p>
    <w:tbl>
      <w:tblPr>
        <w:tblStyle w:val="727"/>
        <w:tblW w:w="483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8"/>
        <w:gridCol w:w="1618"/>
        <w:gridCol w:w="6991"/>
      </w:tblGrid>
      <w:tr>
        <w:trPr>
          <w:jc w:val="center"/>
          <w:trHeight w:val="907"/>
        </w:trPr>
        <w:tc>
          <w:tcPr>
            <w:tcW w:w="529"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840"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指标项</w:t>
            </w:r>
            <w:r/>
          </w:p>
        </w:tc>
        <w:tc>
          <w:tcPr>
            <w:tcW w:w="3630" w:type="pct"/>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140"/>
        </w:trPr>
        <w:tc>
          <w:tcPr>
            <w:tcW w:w="529"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实质性参数</w:t>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rPr>
              <w:t xml:space="preserve">规格</w:t>
            </w:r>
            <w:r>
              <w:rPr>
                <w:rFonts w:hint="eastAsia" w:ascii="宋体" w:hAnsi="宋体" w:eastAsia="宋体" w:cs="宋体"/>
                <w:sz w:val="24"/>
                <w:szCs w:val="24"/>
                <w:lang w:val="en-US" w:eastAsia="zh-CN"/>
              </w:rPr>
              <w:t xml:space="preserve">参数</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数量：384块；</w:t>
            </w:r>
            <w:r/>
          </w:p>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规格：阀控式铅酸蓄电池 电压12V，额定容量≥100Ah，采用阀控式密封结构。</w:t>
            </w:r>
            <w:r/>
          </w:p>
        </w:tc>
      </w:tr>
      <w:tr>
        <w:trPr>
          <w:jc w:val="center"/>
          <w:trHeight w:val="97"/>
        </w:trPr>
        <w:tc>
          <w:tcPr>
            <w:tcW w:w="529" w:type="pct"/>
            <w:vAlign w:val="center"/>
            <w:vMerge w:val="restart"/>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非实质性参数</w:t>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使用寿命</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25℃环境下浮充设计寿命≥10 年。</w:t>
            </w:r>
            <w:r/>
          </w:p>
        </w:tc>
      </w:tr>
      <w:tr>
        <w:trPr>
          <w:jc w:val="center"/>
          <w:trHeight w:val="140"/>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工作环境</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-15℃~50℃可正常工作，需提供温度 - 容量曲线图、温度 - 寿命曲线图。</w:t>
            </w:r>
            <w:r/>
          </w:p>
        </w:tc>
      </w:tr>
      <w:tr>
        <w:trPr>
          <w:jc w:val="center"/>
          <w:trHeight w:val="140"/>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外观要求</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标志清晰，无变形、漏液、裂纹及污迹；正负极端子标识明确，便于连接。</w:t>
            </w:r>
            <w:r/>
          </w:p>
        </w:tc>
      </w:tr>
      <w:tr>
        <w:trPr>
          <w:jc w:val="center"/>
          <w:trHeight w:val="278"/>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安全性能</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蓄电池在正常浮充工作中应无酸雾逸出，蓄电池安全阀应具有自动开启和自动关闭的功能。</w:t>
            </w:r>
            <w:r/>
          </w:p>
        </w:tc>
      </w:tr>
      <w:tr>
        <w:trPr>
          <w:jc w:val="center"/>
          <w:trHeight w:val="278"/>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安全阀开阀压力</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安全阀开阀压力应满足范围:10~35kPa，闭阀压力应满足范围：10 ~ 35kPa。</w:t>
            </w:r>
            <w:r/>
          </w:p>
        </w:tc>
      </w:tr>
      <w:tr>
        <w:trPr>
          <w:jc w:val="center"/>
          <w:trHeight w:val="97"/>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电化学性能</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密封反应效率≥9</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w:t>
            </w:r>
            <w:r/>
          </w:p>
        </w:tc>
      </w:tr>
      <w:tr>
        <w:trPr>
          <w:jc w:val="center"/>
          <w:trHeight w:val="97"/>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容量保存率</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静置 28 天后≥96%。</w:t>
            </w:r>
            <w:r/>
          </w:p>
        </w:tc>
      </w:tr>
      <w:tr>
        <w:trPr>
          <w:jc w:val="center"/>
          <w:trHeight w:val="140"/>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端电压均衡性</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开路状态最高与最低值≤100mV，浮充 24h 后端电压差≤480mV，放电时端电压差≤300mV。</w:t>
            </w:r>
            <w:r/>
          </w:p>
        </w:tc>
      </w:tr>
      <w:tr>
        <w:trPr>
          <w:jc w:val="center"/>
          <w:trHeight w:val="97"/>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连接条电压降</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5.5I10 放电条件下≤10mV。</w:t>
            </w:r>
            <w:r/>
          </w:p>
        </w:tc>
      </w:tr>
      <w:tr>
        <w:trPr>
          <w:jc w:val="center"/>
          <w:trHeight w:val="97"/>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配置要求</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t xml:space="preserve">含电池开关、线缆等辅材，满足现场安装需求。</w:t>
            </w:r>
            <w:r/>
          </w:p>
        </w:tc>
      </w:tr>
      <w:tr>
        <w:trPr>
          <w:jc w:val="center"/>
          <w:trHeight w:val="97"/>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1618"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质保要求</w:t>
            </w:r>
            <w:r/>
          </w:p>
        </w:tc>
        <w:tc>
          <w:tcPr>
            <w:tcW w:w="6991" w:type="dxa"/>
            <w:vAlign w:val="center"/>
            <w:textDirection w:val="lrTb"/>
            <w:noWrap w:val="false"/>
          </w:tcPr>
          <w:p>
            <w:pPr>
              <w:jc w:val="left"/>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color w:val="000000"/>
                <w:sz w:val="24"/>
                <w:szCs w:val="24"/>
              </w:rPr>
              <w:t xml:space="preserve">产品提供质保3年。</w:t>
            </w:r>
            <w:r/>
          </w:p>
        </w:tc>
      </w:tr>
      <w:tr>
        <w:trPr>
          <w:jc w:val="center"/>
          <w:trHeight w:val="99"/>
        </w:trPr>
        <w:tc>
          <w:tcPr>
            <w:tcW w:w="529" w:type="pct"/>
            <w:vAlign w:val="center"/>
            <w:vMerge w:val="continue"/>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eastAsia="宋体" w:cs="宋体"/>
                <w:sz w:val="24"/>
                <w:szCs w:val="24"/>
              </w:rPr>
            </w:r>
            <w:r/>
          </w:p>
        </w:tc>
        <w:tc>
          <w:tcPr>
            <w:tcW w:w="84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lang w:eastAsia="zh-CN"/>
              </w:rPr>
              <w:outlineLvl w:val="9"/>
            </w:pPr>
            <w:r>
              <w:rPr>
                <w:rFonts w:hint="eastAsia" w:ascii="宋体" w:hAnsi="宋体" w:eastAsia="宋体" w:cs="宋体"/>
                <w:sz w:val="24"/>
                <w:szCs w:val="24"/>
              </w:rPr>
              <w:t xml:space="preserve">管理模块</w:t>
            </w:r>
            <w:r>
              <w:rPr>
                <w:rFonts w:hint="eastAsia" w:ascii="宋体" w:hAnsi="宋体" w:cs="宋体"/>
                <w:sz w:val="24"/>
                <w:szCs w:val="24"/>
                <w:lang w:val="en-US" w:eastAsia="zh-CN"/>
              </w:rPr>
              <w:t xml:space="preserve">维修</w:t>
            </w:r>
            <w:r/>
          </w:p>
        </w:tc>
        <w:tc>
          <w:tcPr>
            <w:tcW w:w="3630" w:type="pct"/>
            <w:vAlign w:val="center"/>
            <w:textDirection w:val="lrTb"/>
            <w:noWrap w:val="false"/>
          </w:tcPr>
          <w:p>
            <w:pPr>
              <w:jc w:val="both"/>
              <w:keepLines w:val="0"/>
              <w:keepNext w:val="0"/>
              <w:pageBreakBefore w:val="0"/>
              <w:spacing w:line="312" w:lineRule="auto"/>
              <w:widowControl w:val="off"/>
              <w:rPr>
                <w:rFonts w:hint="eastAsia" w:ascii="宋体" w:hAnsi="宋体" w:eastAsia="宋体" w:cs="宋体"/>
                <w:sz w:val="24"/>
                <w:szCs w:val="24"/>
              </w:rPr>
              <w:outlineLvl w:val="9"/>
            </w:pPr>
            <w:r>
              <w:rPr>
                <w:rFonts w:hint="eastAsia" w:ascii="宋体" w:hAnsi="宋体" w:cs="宋体"/>
                <w:sz w:val="24"/>
                <w:szCs w:val="24"/>
                <w:lang w:val="en-US" w:eastAsia="zh-CN"/>
              </w:rPr>
              <w:t xml:space="preserve">维修</w:t>
            </w:r>
            <w:r>
              <w:rPr>
                <w:rFonts w:hint="eastAsia" w:ascii="宋体" w:hAnsi="宋体" w:eastAsia="宋体" w:cs="宋体"/>
                <w:sz w:val="24"/>
                <w:szCs w:val="24"/>
              </w:rPr>
              <w:t xml:space="preserve">损坏的管理模块1个。</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八、集成及评级保障服务</w:t>
      </w:r>
      <w:r/>
    </w:p>
    <w:tbl>
      <w:tblPr>
        <w:tblStyle w:val="727"/>
        <w:tblW w:w="48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7"/>
        <w:gridCol w:w="7368"/>
      </w:tblGrid>
      <w:tr>
        <w:trPr>
          <w:jc w:val="center"/>
          <w:trHeight w:val="907"/>
        </w:trPr>
        <w:tc>
          <w:tcPr>
            <w:tcW w:w="529"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646"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指标项</w:t>
            </w:r>
            <w:r/>
          </w:p>
        </w:tc>
        <w:tc>
          <w:tcPr>
            <w:tcW w:w="3823"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571"/>
        </w:trPr>
        <w:tc>
          <w:tcPr>
            <w:tcW w:w="529" w:type="pct"/>
            <w:vAlign w:val="center"/>
            <w:vMerge w:val="restart"/>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sz w:val="24"/>
                <w:szCs w:val="24"/>
              </w:rPr>
              <w:t xml:space="preserve">实质性要求</w:t>
            </w:r>
            <w:r/>
          </w:p>
        </w:tc>
        <w:tc>
          <w:tcPr>
            <w:tcW w:w="646" w:type="pct"/>
            <w:vAlign w:val="center"/>
            <w:vMerge w:val="restart"/>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评级服务</w:t>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提供对评级标准进行解读服务，提供评级前-中-后的材料准备及归纳总结。</w:t>
            </w:r>
            <w:r/>
          </w:p>
        </w:tc>
      </w:tr>
      <w:tr>
        <w:trPr>
          <w:jc w:val="center"/>
          <w:trHeight w:val="266"/>
        </w:trPr>
        <w:tc>
          <w:tcPr>
            <w:tcW w:w="529"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widowControl/>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依据评级标准，对现有资源进行梳理，提供差异化分析报告,并依据差异化分析，进行配置优化、策略调整与技术升级等，达到评级要求。</w:t>
            </w:r>
            <w:r/>
          </w:p>
        </w:tc>
      </w:tr>
      <w:tr>
        <w:trPr>
          <w:jc w:val="center"/>
          <w:trHeight w:val="289"/>
        </w:trPr>
        <w:tc>
          <w:tcPr>
            <w:tcW w:w="529" w:type="pct"/>
            <w:vAlign w:val="center"/>
            <w:vMerge w:val="restart"/>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非实质性要求</w:t>
            </w:r>
            <w:r/>
          </w:p>
        </w:tc>
        <w:tc>
          <w:tcPr>
            <w:tcW w:w="646" w:type="pct"/>
            <w:vAlign w:val="center"/>
            <w:vMerge w:val="restart"/>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集成服务</w:t>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主机设备的上架、通电、测试、操作系统等安装及实施服务。</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网络安全备份等设备的上架、通电、测试等安装及实施服务。</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提供集成安装,产品培训服务，每季度巡检服务。</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提供虚拟化无代理定时备份策略配置。</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提供数据库滚动定时备份策略配置。</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提供整机实时备份策略配置。</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提供副本归档策略配置。</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提供核心业务数据库初始化备份及容灾测试服务。</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提供核心业务数据库初始化备份及容灾演练服务。</w:t>
            </w:r>
            <w:r/>
          </w:p>
        </w:tc>
      </w:tr>
      <w:tr>
        <w:trPr>
          <w:jc w:val="center"/>
          <w:trHeight w:val="289"/>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提供可视化备份及容灾、数据恢复策略配置服务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（提供证明材料）</w:t>
            </w:r>
            <w:r/>
          </w:p>
        </w:tc>
      </w:tr>
      <w:tr>
        <w:trPr>
          <w:jc w:val="center"/>
          <w:trHeight w:val="571"/>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lang w:bidi="ar"/>
              </w:rPr>
              <w:outlineLvl w:val="9"/>
            </w:pPr>
            <w:r>
              <w:rPr>
                <w:rFonts w:hint="eastAsia" w:ascii="宋体" w:hAnsi="宋体" w:eastAsia="宋体" w:cs="宋体"/>
                <w:color w:val="000000"/>
                <w:sz w:val="24"/>
                <w:szCs w:val="24"/>
                <w:u w:val="none"/>
                <w:lang w:bidi="ar"/>
              </w:rPr>
              <w:t xml:space="preserve">▲</w:t>
            </w:r>
            <w:r>
              <w:rPr>
                <w:rFonts w:hint="eastAsia" w:ascii="宋体" w:hAnsi="宋体" w:eastAsia="宋体" w:cs="宋体"/>
                <w:sz w:val="24"/>
                <w:szCs w:val="24"/>
              </w:rPr>
              <w:t xml:space="preserve">提供医院现有使用集成平台系统厂家现场保障及容灾测试技术服务,保障集成平台业务系统稳定运行，提供集成平台容灾测试技术方案。</w:t>
            </w:r>
            <w:r/>
          </w:p>
        </w:tc>
      </w:tr>
      <w:tr>
        <w:trPr>
          <w:jc w:val="center"/>
          <w:trHeight w:val="571"/>
        </w:trPr>
        <w:tc>
          <w:tcPr>
            <w:tcW w:w="529"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lang w:bidi="ar"/>
              </w:rPr>
              <w:outlineLvl w:val="9"/>
            </w:pPr>
            <w:r>
              <w:rPr>
                <w:rFonts w:hint="eastAsia" w:ascii="宋体" w:hAnsi="宋体" w:eastAsia="宋体" w:cs="宋体"/>
                <w:sz w:val="24"/>
                <w:szCs w:val="24"/>
              </w:rPr>
              <w:t xml:space="preserve">▲提供电子病历业务系统演练服务，灾备演练时为保障电子病历业务系统稳定运行，需提供电子病历系统业务厂商工程师现场保障服务，提供现场保障人员清单及近六个月中任意一个月社保证明。</w:t>
            </w:r>
            <w:r/>
          </w:p>
        </w:tc>
      </w:tr>
      <w:tr>
        <w:trPr>
          <w:jc w:val="center"/>
          <w:trHeight w:val="557"/>
        </w:trPr>
        <w:tc>
          <w:tcPr>
            <w:tcW w:w="529"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restart"/>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评级保障服务</w:t>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提供网络线路标识整理、机房环境整顿、出入机房登记闭环等工作，确保符合评级要求</w:t>
            </w:r>
            <w:r>
              <w:rPr>
                <w:rFonts w:hint="eastAsia" w:ascii="宋体" w:hAnsi="宋体" w:eastAsia="宋体" w:cs="宋体"/>
                <w:sz w:val="24"/>
                <w:szCs w:val="24"/>
                <w:lang w:eastAsia="zh-CN"/>
              </w:rPr>
              <w:t xml:space="preserve">。</w:t>
            </w:r>
            <w:r/>
          </w:p>
        </w:tc>
      </w:tr>
      <w:tr>
        <w:trPr>
          <w:jc w:val="center"/>
          <w:trHeight w:val="488"/>
        </w:trPr>
        <w:tc>
          <w:tcPr>
            <w:tcW w:w="529"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▲梳理备份策略，进行恢复演练并留档，确保符合评级要求。（提供能力证明材料）</w:t>
            </w:r>
            <w:r/>
          </w:p>
        </w:tc>
      </w:tr>
      <w:tr>
        <w:trPr>
          <w:jc w:val="center"/>
          <w:trHeight w:val="412"/>
        </w:trPr>
        <w:tc>
          <w:tcPr>
            <w:tcW w:w="529"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根据评级标准，针对高可用性、容灾与持续数据保护等核心技术要求，提供解决方案。</w:t>
            </w:r>
            <w:r/>
          </w:p>
        </w:tc>
      </w:tr>
      <w:tr>
        <w:trPr>
          <w:jc w:val="center"/>
          <w:trHeight w:val="543"/>
        </w:trPr>
        <w:tc>
          <w:tcPr>
            <w:tcW w:w="529"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46"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3823"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参与现场迎评工作，整理迎评脚本，针对专家问题进行解答。</w:t>
            </w:r>
            <w:r/>
          </w:p>
        </w:tc>
      </w:tr>
    </w:tbl>
    <w:p>
      <w:pPr>
        <w:rPr>
          <w:rFonts w:hint="eastAsia" w:ascii="宋体" w:hAnsi="宋体" w:eastAsia="宋体" w:cs="宋体"/>
          <w:sz w:val="24"/>
          <w:szCs w:val="24"/>
        </w:rPr>
        <w:outlineLvl w:val="9"/>
      </w:pPr>
      <w:r>
        <w:rPr>
          <w:rFonts w:hint="eastAsia" w:ascii="宋体" w:hAnsi="宋体" w:eastAsia="宋体" w:cs="宋体"/>
          <w:sz w:val="24"/>
          <w:szCs w:val="24"/>
        </w:rPr>
      </w:r>
      <w:r/>
    </w:p>
    <w:p>
      <w:pPr>
        <w:numPr>
          <w:ilvl w:val="0"/>
          <w:numId w:val="0"/>
        </w:numPr>
        <w:ind w:left="0" w:firstLine="0"/>
        <w:jc w:val="left"/>
        <w:spacing w:beforeAutospacing="1" w:afterAutospacing="1"/>
        <w:widowControl w:val="off"/>
        <w:rPr>
          <w:rFonts w:hint="eastAsia" w:ascii="宋体" w:hAnsi="宋体" w:eastAsia="宋体" w:cs="宋体"/>
          <w:b/>
          <w:bCs/>
          <w:sz w:val="24"/>
          <w:szCs w:val="24"/>
          <w:lang w:val="en-US" w:eastAsia="zh-CN" w:bidi="ar-SA"/>
        </w:rPr>
        <w:outlineLvl w:val="9"/>
      </w:pPr>
      <w:r>
        <w:rPr>
          <w:rFonts w:hint="eastAsia" w:ascii="宋体" w:hAnsi="宋体" w:eastAsia="宋体" w:cs="宋体"/>
          <w:b/>
          <w:bCs/>
          <w:sz w:val="24"/>
          <w:szCs w:val="24"/>
          <w:lang w:val="en-US" w:eastAsia="zh-CN" w:bidi="ar-SA"/>
        </w:rPr>
        <w:t xml:space="preserve">九、机房统一监控与预警系统</w:t>
      </w:r>
      <w:r/>
    </w:p>
    <w:tbl>
      <w:tblPr>
        <w:tblStyle w:val="727"/>
        <w:tblW w:w="49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0"/>
        <w:gridCol w:w="1247"/>
        <w:gridCol w:w="7540"/>
      </w:tblGrid>
      <w:tr>
        <w:trPr>
          <w:jc w:val="center"/>
          <w:trHeight w:val="907"/>
        </w:trPr>
        <w:tc>
          <w:tcPr>
            <w:tcW w:w="520"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w:t>
            </w:r>
            <w:r/>
          </w:p>
        </w:tc>
        <w:tc>
          <w:tcPr>
            <w:tcW w:w="635"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指标项</w:t>
            </w:r>
            <w:r/>
          </w:p>
        </w:tc>
        <w:tc>
          <w:tcPr>
            <w:tcW w:w="3844" w:type="pct"/>
            <w:vAlign w:val="center"/>
            <w:textDirection w:val="lrTb"/>
            <w:noWrap w:val="false"/>
          </w:tcPr>
          <w:p>
            <w:pPr>
              <w:jc w:val="center"/>
              <w:keepLines w:val="0"/>
              <w:keepNext w:val="0"/>
              <w:pageBreakBefore w:val="0"/>
              <w:spacing w:line="312" w:lineRule="auto"/>
              <w:widowControl/>
              <w:rPr>
                <w:rFonts w:hint="eastAsia" w:ascii="宋体" w:hAnsi="宋体" w:eastAsia="宋体" w:cs="宋体"/>
                <w:b/>
                <w:bCs/>
                <w:sz w:val="24"/>
                <w:szCs w:val="24"/>
              </w:rPr>
              <w:outlineLvl w:val="9"/>
            </w:pPr>
            <w:r>
              <w:rPr>
                <w:rFonts w:hint="eastAsia" w:ascii="宋体" w:hAnsi="宋体" w:eastAsia="宋体" w:cs="宋体"/>
                <w:b/>
                <w:bCs/>
                <w:sz w:val="24"/>
                <w:szCs w:val="24"/>
              </w:rPr>
              <w:t xml:space="preserve">详细要求</w:t>
            </w:r>
            <w:r/>
          </w:p>
        </w:tc>
      </w:tr>
      <w:tr>
        <w:trPr>
          <w:jc w:val="center"/>
          <w:trHeight w:val="327"/>
        </w:trPr>
        <w:tc>
          <w:tcPr>
            <w:tcW w:w="520" w:type="pct"/>
            <w:vAlign w:val="center"/>
            <w:vMerge w:val="restart"/>
            <w:textDirection w:val="lrTb"/>
            <w:noWrap w:val="false"/>
          </w:tcPr>
          <w:p>
            <w:pPr>
              <w:keepLines w:val="0"/>
              <w:keepNext w:val="0"/>
              <w:pageBreakBefore w:val="0"/>
              <w:spacing w:line="312" w:lineRule="auto"/>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非实质性要求</w:t>
            </w:r>
            <w:r/>
          </w:p>
        </w:tc>
        <w:tc>
          <w:tcPr>
            <w:tcW w:w="635" w:type="pct"/>
            <w:vAlign w:val="center"/>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全栈数据采集与监控能力</w:t>
            </w:r>
            <w:r/>
          </w:p>
        </w:tc>
        <w:tc>
          <w:tcPr>
            <w:tcW w:w="3844"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提供多协议监控包含原生支持 Agent（主动/被动模式）、SNMP（含 SNMP GetBulk 批量采集）、IPMI、JMX、HTTP/HTTPS、SSH、Telnet 等，提供数据中心机房物理机、虚拟机、存储、容器、中间件、云基础设施,网络设备、安全设备等全方位监控及数据采集服务。（提供截图）</w:t>
            </w:r>
            <w:r/>
          </w:p>
        </w:tc>
      </w:tr>
      <w:tr>
        <w:trPr>
          <w:jc w:val="center"/>
          <w:trHeight w:val="311"/>
        </w:trPr>
        <w:tc>
          <w:tcPr>
            <w:tcW w:w="520" w:type="pct"/>
            <w:vAlign w:val="center"/>
            <w:vMerge w:val="continue"/>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35" w:type="pct"/>
            <w:vAlign w:val="center"/>
            <w:textDirection w:val="lrTb"/>
            <w:noWrap w:val="false"/>
          </w:tcPr>
          <w:p>
            <w:pPr>
              <w:jc w:val="cente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智能告警与自动化运维</w:t>
            </w:r>
            <w:r/>
          </w:p>
        </w:tc>
        <w:tc>
          <w:tcPr>
            <w:tcW w:w="3844"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复杂的逻辑表达式、预测性函数（如预测磁盘何时写满）以及时间同步检测，精准定义异常状态告警触发器，支持多种方式的告警信息推送。支持告警升级机制（未处理自动通知更高级别人员），并可联动远程命令或脚本实现故障自愈（如自动重启服务、清理临时文件）。</w:t>
            </w:r>
            <w:r/>
          </w:p>
        </w:tc>
      </w:tr>
      <w:tr>
        <w:trPr>
          <w:jc w:val="center"/>
          <w:trHeight w:val="939"/>
        </w:trPr>
        <w:tc>
          <w:tcPr>
            <w:tcW w:w="520" w:type="pct"/>
            <w:vAlign w:val="center"/>
            <w:vMerge w:val="continue"/>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r>
            <w:r/>
          </w:p>
        </w:tc>
        <w:tc>
          <w:tcPr>
            <w:tcW w:w="635"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大屏展示</w:t>
            </w:r>
            <w:r/>
          </w:p>
        </w:tc>
        <w:tc>
          <w:tcPr>
            <w:tcW w:w="3844" w:type="pct"/>
            <w:vAlign w:val="center"/>
            <w:textDirection w:val="lrTb"/>
            <w:noWrap w:val="false"/>
          </w:tcPr>
          <w:p>
            <w:pPr>
              <w:keepLines w:val="0"/>
              <w:keepNext w:val="0"/>
              <w:pageBreakBefore w:val="0"/>
              <w:spacing w:line="312" w:lineRule="auto"/>
              <w:rPr>
                <w:rFonts w:hint="eastAsia" w:ascii="宋体" w:hAnsi="宋体" w:eastAsia="宋体" w:cs="宋体"/>
                <w:sz w:val="24"/>
                <w:szCs w:val="24"/>
              </w:rPr>
              <w:outlineLvl w:val="9"/>
            </w:pPr>
            <w:r>
              <w:rPr>
                <w:rFonts w:hint="eastAsia" w:ascii="宋体" w:hAnsi="宋体" w:eastAsia="宋体" w:cs="宋体"/>
                <w:sz w:val="24"/>
                <w:szCs w:val="24"/>
              </w:rPr>
              <w:t xml:space="preserve">提供监控大屏展示自定义，支持实时刷新，包含系统概览、资产分布、实时告警信息、流量监控、报表统计、WEB监控等功能。</w:t>
            </w:r>
            <w:r/>
          </w:p>
        </w:tc>
      </w:tr>
    </w:tbl>
    <w:p>
      <w:pPr>
        <w:pStyle w:val="969"/>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（二）商务要求</w:t>
      </w:r>
      <w:r/>
    </w:p>
    <w:p>
      <w:pPr>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ascii="宋体" w:hAnsi="宋体" w:eastAsia="宋体" w:cs="宋体"/>
          <w:color w:val="000000"/>
          <w:sz w:val="24"/>
          <w:szCs w:val="24"/>
          <w:lang w:val="en-US" w:eastAsia="zh-CN"/>
        </w:rPr>
        <w:t xml:space="preserve">报价要求</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keepLines w:val="0"/>
        <w:keepNext w:val="0"/>
        <w:pageBreakBefore w:val="0"/>
        <w:spacing w:line="36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p>
    <w:p>
      <w:pPr>
        <w:ind w:firstLine="480"/>
        <w:keepLines w:val="0"/>
        <w:keepNext w:val="0"/>
        <w:pageBreakBefore w:val="0"/>
        <w:spacing w:line="36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color w:val="000000"/>
          <w:sz w:val="24"/>
          <w:szCs w:val="24"/>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p>
    <w:p>
      <w:pPr>
        <w:ind w:firstLine="480"/>
        <w:keepLines w:val="0"/>
        <w:keepNext w:val="0"/>
        <w:pageBreakBefore w:val="0"/>
        <w:spacing w:line="360"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①供应商提供设备安装日程计划。 </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②供应商应当在合同规定时间内将设备安装调试完毕，并交付采购人正常使用，安装地点由采购人指定。 </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b w:val="0"/>
          <w:bCs w:val="0"/>
          <w:i w:val="0"/>
          <w:iCs w:val="0"/>
          <w:color w:val="000000"/>
          <w:sz w:val="24"/>
          <w:u w:val="none"/>
          <w:lang w:val="en-US" w:eastAsia="zh-CN"/>
        </w:rPr>
        <w:t xml:space="preserve">★</w:t>
      </w: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所供货物必须为全新产品，须有中标人代表、使用部门指定负责人及设备科人员到现场共同开箱验收。中标人应保证货物是全新、未使用过的合格正品，并完全符合合同规定的质量、规格和性能的要求。中标人应保证其提供的货物在正确安装、正常使用和保养条件下，在其使用寿命内具有良好的性能。</w:t>
      </w:r>
      <w:r/>
    </w:p>
    <w:p>
      <w:pPr>
        <w:ind w:firstLine="480"/>
        <w:keepLines w:val="0"/>
        <w:keepNext w:val="0"/>
        <w:pageBreakBefore w:val="0"/>
        <w:spacing w:line="360" w:lineRule="auto"/>
        <w:widowControl w:val="off"/>
        <w:rPr>
          <w:rFonts w:hint="eastAsia" w:ascii="宋体" w:hAnsi="宋体" w:eastAsia="宋体" w:cs="宋体"/>
          <w:b w:val="0"/>
          <w:bCs w:val="0"/>
          <w:color w:val="0000ff"/>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p>
    <w:p>
      <w:pPr>
        <w:ind w:firstLine="480"/>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中标供应商需要根据本项目建设需求和设计方案，提供详细的系统验收手册和验收流程、验收通过标准，经采购人认可后，由双方共同组织人员进行系统验收。主要是针对业务设备功能、操作规范、安全体系等内容进行验收，要求必须充分完全的实现项目的建设要求，并在具体功能实现上完全符合设计要求、操作规范符合用户的操作习惯、设备安全符合国家标准，能够充分保证数据安全、网络安全和应用安全。</w:t>
      </w:r>
      <w:r/>
    </w:p>
    <w:p>
      <w:pPr>
        <w:ind w:firstLine="480"/>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rPr>
      </w:pPr>
      <w:r>
        <w:rPr>
          <w:rFonts w:hint="eastAsia" w:ascii="宋体" w:hAnsi="宋体" w:eastAsia="宋体" w:cs="Times New Roman"/>
          <w:b w:val="0"/>
          <w:bCs w:val="0"/>
          <w:i w:val="0"/>
          <w:iCs w:val="0"/>
          <w:color w:val="auto"/>
          <w:sz w:val="24"/>
          <w:u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（4）质保（维保）及售后要求</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①质保期内</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每年维护保养1次</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维护保养及更换损坏件的费用包含在投标总价中。</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t xml:space="preserve">②质保期内</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一旦产品发生质量问题</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供应商接到报修请求</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在2小时内响应</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12小时内维修人员到达现场进行修理、更换或退货</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费用由供应商负责。如供应商在接到通知后2小时内没有答复</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则视为承认质量问题并承担由此发生的一切费用。质保期内</w:t>
      </w:r>
      <w:r>
        <w:rPr>
          <w:rFonts w:hint="eastAsia" w:ascii="宋体" w:hAnsi="宋体" w:eastAsia="宋体" w:cs="宋体"/>
          <w:b w:val="0"/>
          <w:bCs w:val="0"/>
          <w:color w:val="auto"/>
          <w:sz w:val="24"/>
          <w:szCs w:val="24"/>
          <w:highlight w:val="none"/>
          <w:lang w:val="en-US" w:eastAsia="zh-CN"/>
        </w:rPr>
        <w:t xml:space="preserve">产品</w:t>
      </w:r>
      <w:r>
        <w:rPr>
          <w:rFonts w:ascii="宋体" w:hAnsi="宋体" w:eastAsia="宋体" w:cs="宋体"/>
          <w:b w:val="0"/>
          <w:bCs w:val="0"/>
          <w:color w:val="auto"/>
          <w:sz w:val="24"/>
          <w:szCs w:val="24"/>
          <w:highlight w:val="none"/>
          <w:lang w:val="en-US" w:eastAsia="zh-CN"/>
        </w:rPr>
        <w:t xml:space="preserve">的一切质量问题</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更换部件及</w:t>
      </w:r>
      <w:r>
        <w:rPr>
          <w:rFonts w:hint="eastAsia" w:ascii="宋体" w:hAnsi="宋体" w:eastAsia="宋体" w:cs="宋体"/>
          <w:b w:val="0"/>
          <w:bCs w:val="0"/>
          <w:color w:val="auto"/>
          <w:sz w:val="24"/>
          <w:szCs w:val="24"/>
          <w:highlight w:val="none"/>
          <w:lang w:val="en-US" w:eastAsia="zh-CN"/>
        </w:rPr>
        <w:t xml:space="preserve">产品</w:t>
      </w:r>
      <w:r>
        <w:rPr>
          <w:rFonts w:ascii="宋体" w:hAnsi="宋体" w:eastAsia="宋体" w:cs="宋体"/>
          <w:b w:val="0"/>
          <w:bCs w:val="0"/>
          <w:color w:val="auto"/>
          <w:sz w:val="24"/>
          <w:szCs w:val="24"/>
          <w:highlight w:val="none"/>
          <w:lang w:val="en-US" w:eastAsia="zh-CN"/>
        </w:rPr>
        <w:t xml:space="preserve">本身质量原因造成的直接经济损失全部由供应商负责。无法短时间完成维修的</w:t>
      </w:r>
      <w:r>
        <w:rPr>
          <w:rFonts w:hint="eastAsia" w:ascii="宋体" w:hAnsi="宋体" w:eastAsia="宋体" w:cs="宋体"/>
          <w:b w:val="0"/>
          <w:bCs w:val="0"/>
          <w:color w:val="auto"/>
          <w:sz w:val="24"/>
          <w:szCs w:val="24"/>
          <w:highlight w:val="none"/>
          <w:lang w:val="en-US" w:eastAsia="zh-CN"/>
        </w:rPr>
        <w:t xml:space="preserve">，</w:t>
      </w:r>
      <w:r>
        <w:rPr>
          <w:rFonts w:ascii="宋体" w:hAnsi="宋体" w:eastAsia="宋体" w:cs="宋体"/>
          <w:b w:val="0"/>
          <w:bCs w:val="0"/>
          <w:color w:val="auto"/>
          <w:sz w:val="24"/>
          <w:szCs w:val="24"/>
          <w:highlight w:val="none"/>
          <w:lang w:val="en-US" w:eastAsia="zh-CN"/>
        </w:rPr>
        <w:t xml:space="preserve">应向采购人提供应急备用产品。 </w:t>
      </w:r>
      <w:r/>
    </w:p>
    <w:p>
      <w:pPr>
        <w:ind w:firstLine="480"/>
        <w:keepLines w:val="0"/>
        <w:keepNext w:val="0"/>
        <w:pageBreakBefore w:val="0"/>
        <w:spacing w:line="360" w:lineRule="auto"/>
        <w:widowControl w:val="off"/>
        <w:rPr>
          <w:rFonts w:ascii="宋体" w:hAnsi="宋体" w:eastAsia="宋体" w:cs="宋体"/>
          <w:b w:val="0"/>
          <w:bCs w:val="0"/>
          <w:color w:val="auto"/>
          <w:sz w:val="24"/>
          <w:szCs w:val="24"/>
          <w:highlight w:val="none"/>
          <w:lang w:val="en-US" w:eastAsia="zh-CN"/>
        </w:rPr>
      </w:pPr>
      <w:r>
        <w:rPr>
          <w:rFonts w:ascii="宋体" w:hAnsi="宋体" w:eastAsia="宋体" w:cs="宋体"/>
          <w:b w:val="0"/>
          <w:bCs w:val="0"/>
          <w:color w:val="auto"/>
          <w:sz w:val="24"/>
          <w:szCs w:val="24"/>
          <w:highlight w:val="none"/>
          <w:lang w:val="en-US" w:eastAsia="zh-CN"/>
        </w:rPr>
        <w:fldChar w:fldCharType="begin"/>
      </w:r>
      <w:r>
        <w:rPr>
          <w:rFonts w:ascii="宋体" w:hAnsi="宋体" w:eastAsia="宋体" w:cs="宋体"/>
          <w:b w:val="0"/>
          <w:bCs w:val="0"/>
          <w:color w:val="auto"/>
          <w:sz w:val="24"/>
          <w:szCs w:val="24"/>
          <w:highlight w:val="none"/>
          <w:lang w:val="en-US" w:eastAsia="zh-CN"/>
        </w:rPr>
        <w:instrText xml:space="preserve"> = 3 \* GB3 \* MERGEFORMAT </w:instrText>
      </w:r>
      <w:r>
        <w:rPr>
          <w:rFonts w:ascii="宋体" w:hAnsi="宋体" w:eastAsia="宋体" w:cs="宋体"/>
          <w:b w:val="0"/>
          <w:bCs w:val="0"/>
          <w:color w:val="auto"/>
          <w:sz w:val="24"/>
          <w:szCs w:val="24"/>
          <w:highlight w:val="none"/>
          <w:lang w:val="en-US" w:eastAsia="zh-CN"/>
        </w:rPr>
        <w:fldChar w:fldCharType="separate"/>
      </w:r>
      <w:r>
        <w:rPr>
          <w:rFonts w:ascii="宋体" w:hAnsi="宋体" w:eastAsia="宋体" w:cs="宋体"/>
          <w:b w:val="0"/>
          <w:bCs w:val="0"/>
          <w:color w:val="auto"/>
          <w:sz w:val="24"/>
          <w:szCs w:val="24"/>
          <w:highlight w:val="none"/>
          <w:lang w:val="en-US" w:eastAsia="zh-CN"/>
        </w:rPr>
        <w:t xml:space="preserve">③</w:t>
      </w:r>
      <w:r>
        <w:rPr>
          <w:rFonts w:ascii="宋体" w:hAnsi="宋体" w:eastAsia="宋体" w:cs="宋体"/>
          <w:b w:val="0"/>
          <w:bCs w:val="0"/>
          <w:color w:val="auto"/>
          <w:sz w:val="24"/>
          <w:szCs w:val="24"/>
          <w:highlight w:val="none"/>
          <w:lang w:val="en-US" w:eastAsia="zh-CN"/>
        </w:rPr>
        <w:fldChar w:fldCharType="end"/>
      </w:r>
      <w:r>
        <w:rPr>
          <w:rFonts w:hint="eastAsia" w:ascii="宋体" w:hAnsi="宋体" w:eastAsia="宋体" w:cs="宋体"/>
          <w:b w:val="0"/>
          <w:bCs w:val="0"/>
          <w:color w:val="auto"/>
          <w:sz w:val="24"/>
          <w:szCs w:val="24"/>
          <w:highlight w:val="none"/>
          <w:lang w:val="en-US" w:eastAsia="zh-CN"/>
        </w:rPr>
        <w:t xml:space="preserve">质保期内维修（人为因素除外）费用包含在投标总价中，质保期外提供不高于市场价格的终身维护。中标后提供质保期外配件价格明细表。</w:t>
      </w:r>
      <w:r/>
    </w:p>
    <w:p>
      <w:pPr>
        <w:ind w:firstLine="480"/>
        <w:keepLines w:val="0"/>
        <w:keepNext w:val="0"/>
        <w:pageBreakBefore w:val="0"/>
        <w:spacing w:line="360"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p>
    <w:p>
      <w:pPr>
        <w:pStyle w:val="939"/>
        <w:ind w:firstLine="48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（1）全部设备到货验收合格后，甲方支付合同总价款的30%款项。</w:t>
      </w:r>
      <w:r/>
    </w:p>
    <w:p>
      <w:pPr>
        <w:pStyle w:val="939"/>
        <w:ind w:firstLine="480"/>
        <w:keepLines w:val="0"/>
        <w:keepNext w:val="0"/>
        <w:pageBreakBefore w:val="0"/>
        <w:spacing w:before="0" w:after="0" w:line="36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（2）全部设备安装调试完成投入正常使用，并终验收合格后，甲方支付合同总价款的60%款项。</w:t>
      </w:r>
      <w:r/>
    </w:p>
    <w:p>
      <w:pPr>
        <w:pStyle w:val="939"/>
        <w:ind w:firstLine="480"/>
        <w:keepLines w:val="0"/>
        <w:keepNext w:val="0"/>
        <w:pageBreakBefore w:val="0"/>
        <w:spacing w:before="0" w:after="0" w:line="360" w:lineRule="auto"/>
        <w:widowControl w:val="off"/>
      </w:pPr>
      <w:r>
        <w:rPr>
          <w:rFonts w:hint="eastAsia" w:ascii="宋体" w:hAnsi="宋体" w:eastAsia="宋体" w:cs="Courier New"/>
          <w:color w:val="000000"/>
          <w:sz w:val="24"/>
          <w:szCs w:val="24"/>
          <w:highlight w:val="none"/>
          <w:lang w:val="en-US" w:eastAsia="zh-CN"/>
        </w:rPr>
        <w:t xml:space="preserve">（3）自终验合格之日起，无质量、服务等问题，</w:t>
      </w:r>
      <w:r>
        <w:rPr>
          <w:rFonts w:hint="eastAsia" w:hAnsi="宋体" w:cs="Courier New"/>
          <w:color w:val="000000"/>
          <w:sz w:val="24"/>
          <w:szCs w:val="24"/>
          <w:highlight w:val="none"/>
          <w:lang w:val="en-US" w:eastAsia="zh-CN"/>
        </w:rPr>
        <w:t xml:space="preserve">质保期</w:t>
      </w:r>
      <w:r>
        <w:rPr>
          <w:rFonts w:hint="eastAsia" w:ascii="宋体" w:hAnsi="宋体" w:eastAsia="宋体" w:cs="Courier New"/>
          <w:color w:val="000000"/>
          <w:sz w:val="24"/>
          <w:szCs w:val="24"/>
          <w:highlight w:val="none"/>
          <w:lang w:val="en-US" w:eastAsia="zh-CN"/>
        </w:rPr>
        <w:t xml:space="preserve">满</w:t>
      </w:r>
      <w:r>
        <w:rPr>
          <w:rFonts w:hint="eastAsia"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年</w:t>
      </w:r>
      <w:r>
        <w:rPr>
          <w:rFonts w:hint="eastAsia" w:hAnsi="宋体" w:cs="Courier New"/>
          <w:color w:val="000000"/>
          <w:sz w:val="24"/>
          <w:szCs w:val="24"/>
          <w:highlight w:val="none"/>
          <w:lang w:val="en-US" w:eastAsia="zh-CN"/>
        </w:rPr>
        <w:t xml:space="preserve">甲方支付合同总价款的5%款项</w:t>
      </w:r>
      <w:r>
        <w:rPr>
          <w:rFonts w:hint="eastAsia" w:ascii="宋体" w:hAnsi="宋体" w:eastAsia="宋体" w:cs="Courier New"/>
          <w:color w:val="000000"/>
          <w:sz w:val="24"/>
          <w:szCs w:val="24"/>
          <w:highlight w:val="none"/>
          <w:lang w:val="en-US" w:eastAsia="zh-CN"/>
        </w:rPr>
        <w:t xml:space="preserve">。</w:t>
      </w:r>
      <w:r/>
    </w:p>
    <w:p>
      <w:pPr>
        <w:pStyle w:val="939"/>
        <w:ind w:firstLine="480"/>
        <w:keepLines w:val="0"/>
        <w:keepNext w:val="0"/>
        <w:pageBreakBefore w:val="0"/>
        <w:spacing w:before="0" w:after="0" w:line="360" w:lineRule="auto"/>
        <w:widowControl w:val="off"/>
        <w:rPr>
          <w:rFonts w:hint="eastAsia"/>
          <w:lang w:val="en-US" w:eastAsia="zh-CN"/>
        </w:rPr>
      </w:pPr>
      <w:r>
        <w:rPr>
          <w:rFonts w:hint="eastAsia" w:ascii="宋体" w:hAnsi="宋体" w:eastAsia="宋体" w:cs="Courier New"/>
          <w:color w:val="000000"/>
          <w:sz w:val="24"/>
          <w:szCs w:val="24"/>
          <w:highlight w:val="none"/>
          <w:lang w:val="en-US" w:eastAsia="zh-CN"/>
        </w:rPr>
        <w:t xml:space="preserve">（</w:t>
      </w:r>
      <w:r>
        <w:rPr>
          <w:rFonts w:hint="eastAsia" w:hAnsi="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）自终验合格之日起，无质量、服务等问题，</w:t>
      </w:r>
      <w:r>
        <w:rPr>
          <w:rFonts w:hint="eastAsia" w:hAnsi="宋体" w:cs="Courier New"/>
          <w:color w:val="000000"/>
          <w:sz w:val="24"/>
          <w:szCs w:val="24"/>
          <w:highlight w:val="none"/>
          <w:lang w:val="en-US" w:eastAsia="zh-CN"/>
        </w:rPr>
        <w:t xml:space="preserve">质保期</w:t>
      </w:r>
      <w:r>
        <w:rPr>
          <w:rFonts w:hint="eastAsia" w:ascii="宋体" w:hAnsi="宋体" w:eastAsia="宋体" w:cs="Courier New"/>
          <w:color w:val="000000"/>
          <w:sz w:val="24"/>
          <w:szCs w:val="24"/>
          <w:highlight w:val="none"/>
          <w:lang w:val="en-US" w:eastAsia="zh-CN"/>
        </w:rPr>
        <w:t xml:space="preserve">满</w:t>
      </w:r>
      <w:r>
        <w:rPr>
          <w:rFonts w:hint="eastAsia" w:hAnsi="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年</w:t>
      </w:r>
      <w:r>
        <w:rPr>
          <w:rFonts w:hint="eastAsia" w:hAnsi="宋体" w:cs="Courier New"/>
          <w:color w:val="000000"/>
          <w:sz w:val="24"/>
          <w:szCs w:val="24"/>
          <w:highlight w:val="none"/>
          <w:lang w:val="en-US" w:eastAsia="zh-CN"/>
        </w:rPr>
        <w:t xml:space="preserve">甲方支付合同总价款的5%款项</w:t>
      </w:r>
      <w:r>
        <w:rPr>
          <w:rFonts w:hint="eastAsia" w:ascii="宋体" w:hAnsi="宋体" w:eastAsia="宋体" w:cs="Courier New"/>
          <w:color w:val="000000"/>
          <w:sz w:val="24"/>
          <w:szCs w:val="24"/>
          <w:highlight w:val="none"/>
          <w:lang w:val="en-US" w:eastAsia="zh-CN"/>
        </w:rPr>
        <w:t xml:space="preserve">。</w:t>
      </w:r>
      <w:r/>
    </w:p>
    <w:p>
      <w:pPr>
        <w:pStyle w:val="939"/>
        <w:ind w:firstLine="480"/>
        <w:keepLines w:val="0"/>
        <w:keepNext w:val="0"/>
        <w:pageBreakBefore w:val="0"/>
        <w:spacing w:before="0" w:after="0" w:line="36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w:t>
      </w:r>
      <w:r>
        <w:rPr>
          <w:rFonts w:hint="eastAsia" w:hAnsi="宋体" w:cs="Courier New"/>
          <w:color w:val="000000"/>
          <w:sz w:val="24"/>
          <w:szCs w:val="24"/>
          <w:lang w:val="en-US" w:eastAsia="zh-CN"/>
        </w:rPr>
        <w:t xml:space="preserve">5</w:t>
      </w:r>
      <w:r>
        <w:rPr>
          <w:rFonts w:hint="eastAsia" w:ascii="宋体" w:hAnsi="宋体" w:eastAsia="宋体" w:cs="Courier New"/>
          <w:color w:val="000000"/>
          <w:sz w:val="24"/>
          <w:szCs w:val="24"/>
          <w:lang w:val="en-US" w:eastAsia="zh-CN"/>
        </w:rPr>
        <w:t xml:space="preserve">）满足合同约定支付条件的，甲方收到乙方发票，且预算资金到位后10个工作日内，将资金支付到合同约定的乙方账户。</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p>
    <w:p>
      <w:pPr>
        <w:ind w:firstLine="480"/>
        <w:keepLines w:val="0"/>
        <w:keepNext w:val="0"/>
        <w:pageBreakBefore w:val="0"/>
        <w:spacing w:line="360"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（1）交付时间：合同签订后</w:t>
      </w:r>
      <w:r>
        <w:rPr>
          <w:rFonts w:hint="eastAsia" w:ascii="宋体" w:hAnsi="宋体" w:eastAsia="宋体" w:cs="宋体"/>
          <w:bCs/>
          <w:color w:val="000000"/>
          <w:sz w:val="24"/>
          <w:szCs w:val="24"/>
          <w:highlight w:val="none"/>
          <w:lang w:val="en-US" w:eastAsia="zh-CN"/>
        </w:rPr>
        <w:t xml:space="preserve">60</w:t>
      </w:r>
      <w:r>
        <w:rPr>
          <w:rFonts w:ascii="宋体" w:hAnsi="宋体" w:eastAsia="宋体" w:cs="宋体"/>
          <w:color w:val="000000"/>
          <w:sz w:val="24"/>
          <w:szCs w:val="24"/>
        </w:rPr>
        <w:t xml:space="preserve">天内交付并完成安装调试及验收等相关工作</w:t>
      </w:r>
      <w:r>
        <w:rPr>
          <w:rFonts w:hint="eastAsia" w:ascii="宋体" w:hAnsi="宋体" w:eastAsia="宋体" w:cs="宋体"/>
          <w:color w:val="000000"/>
          <w:sz w:val="24"/>
          <w:szCs w:val="24"/>
          <w:lang w:eastAsia="zh-CN"/>
        </w:rPr>
        <w:t xml:space="preserve">。</w:t>
      </w:r>
      <w:r/>
    </w:p>
    <w:p>
      <w:pPr>
        <w:ind w:firstLine="480"/>
        <w:keepLines w:val="0"/>
        <w:keepNext w:val="0"/>
        <w:pageBreakBefore w:val="0"/>
        <w:spacing w:line="360" w:lineRule="auto"/>
        <w:widowControl w:val="off"/>
        <w:rPr>
          <w:rFonts w:hint="eastAsia"/>
          <w:color w:val="000000"/>
          <w:lang w:val="en-US"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p>
    <w:p>
      <w:pPr>
        <w:pStyle w:val="977"/>
        <w:rPr>
          <w:rFonts w:hint="eastAsia"/>
          <w:lang w:eastAsia="zh-CN"/>
        </w:rPr>
      </w:pPr>
      <w:r>
        <w:rPr>
          <w:rFonts w:hint="eastAsia"/>
          <w:lang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bookmarkStart w:id="203" w:name="_Toc120614281"/>
      <w:r>
        <w:rPr>
          <w:rFonts w:hint="eastAsia" w:ascii="方正小标宋简体" w:hAnsi="方正小标宋简体" w:eastAsia="方正小标宋简体" w:cs="方正小标宋简体"/>
          <w:color w:val="000000"/>
          <w:sz w:val="36"/>
          <w:szCs w:val="36"/>
        </w:rPr>
        <w:br w:type="page" w:clear="all"/>
      </w:r>
      <w:bookmarkStart w:id="204" w:name="_Toc9579"/>
      <w:r/>
      <w:bookmarkStart w:id="205" w:name="_Toc28317"/>
      <w:r>
        <w:rPr>
          <w:rFonts w:hint="eastAsia" w:ascii="方正小标宋简体" w:hAnsi="方正小标宋简体" w:eastAsia="方正小标宋简体" w:cs="方正小标宋简体"/>
          <w:color w:val="000000"/>
          <w:sz w:val="36"/>
          <w:szCs w:val="36"/>
        </w:rPr>
        <w:t xml:space="preserve">第五章  评标方法与评标标准</w:t>
      </w:r>
      <w:bookmarkEnd w:id="204"/>
      <w:r/>
      <w:bookmarkEnd w:id="205"/>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36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评标</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采用综合评分法</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评标结果按评审后得分由高到低顺序排列。得分相同的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按投标报价由低到高顺序排列。</w:t>
      </w:r>
      <w:r>
        <w:rPr>
          <w:rFonts w:hint="eastAsia" w:ascii="宋体" w:hAnsi="宋体" w:eastAsia="宋体" w:cs="宋体"/>
          <w:sz w:val="24"/>
          <w:szCs w:val="24"/>
          <w:lang w:val="en-US" w:eastAsia="zh-CN"/>
        </w:rPr>
        <w:t xml:space="preserve">在</w:t>
      </w:r>
      <w:r>
        <w:rPr>
          <w:rFonts w:hint="eastAsia" w:ascii="宋体" w:hAnsi="宋体" w:eastAsia="宋体" w:cs="宋体"/>
          <w:sz w:val="24"/>
          <w:szCs w:val="24"/>
          <w:lang w:eastAsia="zh-CN"/>
        </w:rPr>
        <w:t xml:space="preserve">投标文件满足招标文件全部实质性要求</w:t>
      </w:r>
      <w:r>
        <w:rPr>
          <w:rFonts w:hint="eastAsia" w:ascii="宋体" w:hAnsi="宋体" w:eastAsia="宋体" w:cs="宋体"/>
          <w:sz w:val="24"/>
          <w:szCs w:val="24"/>
          <w:lang w:val="en-US" w:eastAsia="zh-CN"/>
        </w:rPr>
        <w:t xml:space="preserve">的供应商中</w:t>
      </w:r>
      <w:r>
        <w:rPr>
          <w:rFonts w:hint="eastAsia" w:ascii="宋体" w:hAnsi="宋体" w:eastAsia="宋体" w:cs="宋体"/>
          <w:sz w:val="24"/>
          <w:szCs w:val="24"/>
          <w:lang w:eastAsia="zh-CN"/>
        </w:rPr>
        <w:t xml:space="preserve">，按照评审得分</w:t>
      </w:r>
      <w:r>
        <w:rPr>
          <w:rFonts w:hint="eastAsia" w:ascii="宋体" w:hAnsi="宋体" w:eastAsia="宋体" w:cs="宋体"/>
          <w:sz w:val="24"/>
          <w:szCs w:val="24"/>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sz w:val="24"/>
          <w:szCs w:val="24"/>
          <w:lang w:eastAsia="zh-CN"/>
        </w:rPr>
        <w:t xml:space="preserve">中标候选人。</w:t>
      </w:r>
      <w:r/>
    </w:p>
    <w:p>
      <w:pPr>
        <w:ind w:firstLine="480"/>
        <w:keepLines w:val="0"/>
        <w:keepNext w:val="0"/>
        <w:pageBreakBefore w:val="0"/>
        <w:spacing w:line="360" w:lineRule="auto"/>
        <w:widowControl w:val="off"/>
        <w:rPr>
          <w:rFonts w:hint="eastAsia"/>
          <w:lang w:eastAsia="zh-CN"/>
        </w:rPr>
      </w:pPr>
      <w:r>
        <w:rPr>
          <w:rFonts w:hint="eastAsia" w:ascii="黑体" w:hAnsi="黑体" w:eastAsia="黑体" w:cs="黑体"/>
          <w:b w:val="0"/>
          <w:bCs w:val="0"/>
          <w:color w:val="000000"/>
          <w:sz w:val="24"/>
          <w:szCs w:val="24"/>
          <w:highlight w:val="none"/>
          <w:lang w:val="en-US" w:eastAsia="zh-CN"/>
        </w:rPr>
        <w:t xml:space="preserve">二</w:t>
      </w:r>
      <w:r>
        <w:rPr>
          <w:rFonts w:hint="eastAsia" w:ascii="黑体" w:hAnsi="黑体" w:eastAsia="黑体" w:cs="黑体"/>
          <w:b w:val="0"/>
          <w:bCs w:val="0"/>
          <w:color w:val="000000"/>
          <w:sz w:val="24"/>
          <w:szCs w:val="24"/>
          <w:highlight w:val="none"/>
          <w:lang w:eastAsia="zh-CN"/>
        </w:rPr>
        <w:t xml:space="preserve">、评标标准</w:t>
      </w:r>
      <w:r/>
    </w:p>
    <w:tbl>
      <w:tblPr>
        <w:tblStyle w:val="1013"/>
        <w:tblpPr w:horzAnchor="page" w:tblpX="1147" w:vertAnchor="text" w:tblpY="445" w:leftFromText="180" w:topFromText="0" w:rightFromText="180" w:bottomFromText="0"/>
        <w:tblW w:w="9575"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序号</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评审因素</w:t>
            </w:r>
            <w:r/>
          </w:p>
        </w:tc>
        <w:tc>
          <w:tcPr>
            <w:tcW w:w="633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评审细则</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分值</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b/>
                <w:bCs/>
                <w:spacing w:val="-3"/>
                <w:sz w:val="24"/>
                <w:szCs w:val="24"/>
              </w:rPr>
            </w:pPr>
            <w:r>
              <w:rPr>
                <w:rFonts w:hint="eastAsia" w:ascii="宋体" w:hAnsi="宋体" w:eastAsia="宋体" w:cs="宋体"/>
                <w:b/>
                <w:bCs/>
                <w:spacing w:val="-3"/>
                <w:sz w:val="24"/>
                <w:szCs w:val="24"/>
              </w:rPr>
              <w:t xml:space="preserve">类型</w:t>
            </w:r>
            <w:r/>
          </w:p>
        </w:tc>
      </w:tr>
      <w:tr>
        <w:trPr>
          <w:trHeight w:val="460"/>
        </w:trPr>
        <w:tc>
          <w:tcPr>
            <w:gridSpan w:val="5"/>
            <w:tcW w:w="9575" w:type="dxa"/>
            <w:vAlign w:val="center"/>
            <w:textDirection w:val="lrTb"/>
            <w:noWrap w:val="false"/>
          </w:tcPr>
          <w:p>
            <w:pPr>
              <w:ind w:left="114"/>
              <w:jc w:val="center"/>
              <w:keepLines w:val="0"/>
              <w:keepNext w:val="0"/>
              <w:pageBreakBefore w:val="0"/>
              <w:spacing w:before="122" w:line="36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1.</w:t>
            </w:r>
            <w:r>
              <w:rPr>
                <w:rFonts w:hint="eastAsia" w:ascii="宋体" w:hAnsi="宋体" w:eastAsia="宋体" w:cs="宋体"/>
                <w:b/>
                <w:bCs/>
                <w:spacing w:val="-3"/>
                <w:sz w:val="24"/>
                <w:szCs w:val="24"/>
              </w:rPr>
              <w:t xml:space="preserve">价</w:t>
            </w:r>
            <w:r>
              <w:rPr>
                <w:rFonts w:hint="eastAsia" w:ascii="宋体" w:hAnsi="宋体" w:eastAsia="宋体" w:cs="宋体"/>
                <w:b/>
                <w:bCs/>
                <w:spacing w:val="-2"/>
                <w:sz w:val="24"/>
                <w:szCs w:val="24"/>
              </w:rPr>
              <w:t xml:space="preserve">格</w:t>
            </w:r>
            <w:r/>
          </w:p>
        </w:tc>
      </w:tr>
      <w:tr>
        <w:trPr>
          <w:trHeight w:val="1030"/>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1</w:t>
            </w:r>
            <w:r>
              <w:rPr>
                <w:rFonts w:hint="eastAsia" w:ascii="宋体" w:hAnsi="宋体" w:eastAsia="宋体" w:cs="宋体"/>
                <w:spacing w:val="-5"/>
                <w:sz w:val="24"/>
                <w:szCs w:val="24"/>
              </w:rPr>
              <w:t xml:space="preserve">.1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rPr>
            </w:pPr>
            <w:r>
              <w:rPr>
                <w:rFonts w:hint="eastAsia" w:ascii="宋体" w:hAnsi="宋体" w:eastAsia="宋体" w:cs="宋体"/>
                <w:spacing w:val="-2"/>
                <w:sz w:val="24"/>
                <w:szCs w:val="24"/>
              </w:rPr>
              <w:t xml:space="preserve">价格分</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pacing w:val="1"/>
                <w:sz w:val="24"/>
                <w:szCs w:val="24"/>
              </w:rPr>
              <w:t xml:space="preserve">采用低价优先</w:t>
            </w:r>
            <w:r>
              <w:rPr>
                <w:rFonts w:hint="eastAsia" w:ascii="宋体" w:hAnsi="宋体" w:eastAsia="宋体" w:cs="宋体"/>
                <w:sz w:val="24"/>
                <w:szCs w:val="24"/>
              </w:rPr>
              <w:t xml:space="preserve">法计算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即满足招标文件要求且投标价格最低的投标</w:t>
            </w:r>
            <w:r>
              <w:rPr>
                <w:rFonts w:hint="eastAsia" w:ascii="宋体" w:hAnsi="宋体" w:eastAsia="宋体" w:cs="宋体"/>
                <w:spacing w:val="1"/>
                <w:sz w:val="24"/>
                <w:szCs w:val="24"/>
              </w:rPr>
              <w:t xml:space="preserve">报价为评标基准</w:t>
            </w:r>
            <w:r>
              <w:rPr>
                <w:rFonts w:hint="eastAsia" w:ascii="宋体" w:hAnsi="宋体" w:eastAsia="宋体" w:cs="宋体"/>
                <w:sz w:val="24"/>
                <w:szCs w:val="24"/>
              </w:rPr>
              <w:t xml:space="preserve">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其价格分为满分。其他投标人的价格分统一按</w:t>
            </w:r>
            <w:r>
              <w:rPr>
                <w:rFonts w:hint="eastAsia" w:ascii="宋体" w:hAnsi="宋体" w:eastAsia="宋体" w:cs="宋体"/>
                <w:spacing w:val="-1"/>
                <w:sz w:val="24"/>
                <w:szCs w:val="24"/>
              </w:rPr>
              <w:t xml:space="preserve">照下列公</w:t>
            </w:r>
            <w:r>
              <w:rPr>
                <w:rFonts w:hint="eastAsia" w:ascii="宋体" w:hAnsi="宋体" w:eastAsia="宋体" w:cs="宋体"/>
                <w:sz w:val="24"/>
                <w:szCs w:val="24"/>
              </w:rPr>
              <w:t xml:space="preserve">式计算：投标报价得分=(评标基准价/投标报价)×</w:t>
            </w:r>
            <w:r>
              <w:rPr>
                <w:rFonts w:hint="eastAsia" w:ascii="宋体" w:hAnsi="宋体" w:eastAsia="宋体" w:cs="宋体"/>
                <w:sz w:val="24"/>
                <w:szCs w:val="24"/>
                <w:lang w:val="en-US" w:eastAsia="zh-CN"/>
              </w:rPr>
              <w:t xml:space="preserve">30（小数点保留两位）</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30</w:t>
            </w:r>
            <w:r/>
          </w:p>
        </w:tc>
        <w:tc>
          <w:tcPr>
            <w:tcW w:w="90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价格分</w:t>
            </w:r>
            <w:r/>
          </w:p>
        </w:tc>
      </w:tr>
      <w:tr>
        <w:trPr>
          <w:trHeight w:val="460"/>
        </w:trPr>
        <w:tc>
          <w:tcPr>
            <w:gridSpan w:val="5"/>
            <w:tcW w:w="9575" w:type="dxa"/>
            <w:vAlign w:val="center"/>
            <w:textDirection w:val="lrTb"/>
            <w:noWrap w:val="false"/>
          </w:tcPr>
          <w:p>
            <w:pPr>
              <w:ind w:left="114"/>
              <w:jc w:val="center"/>
              <w:keepLines w:val="0"/>
              <w:keepNext w:val="0"/>
              <w:pageBreakBefore w:val="0"/>
              <w:spacing w:before="123" w:line="36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2.技术</w:t>
            </w:r>
            <w:r/>
          </w:p>
        </w:tc>
      </w:tr>
      <w:tr>
        <w:trPr>
          <w:trHeight w:val="891"/>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rPr>
              <w:t xml:space="preserve">2.1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lang w:eastAsia="zh-CN"/>
              </w:rPr>
            </w:pPr>
            <w:r>
              <w:rPr>
                <w:rFonts w:hint="eastAsia" w:ascii="宋体" w:hAnsi="宋体" w:eastAsia="宋体" w:cs="宋体"/>
                <w:spacing w:val="-2"/>
                <w:sz w:val="24"/>
                <w:szCs w:val="24"/>
                <w:lang w:val="en-US" w:eastAsia="zh-CN"/>
              </w:rPr>
              <w:t xml:space="preserve">产品技术参数</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产品技术参数全部满足招标要求的得满分3</w:t>
            </w: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分；打★号指标为必须满足项，如有负偏离将作为无效投标；打▲号指标为重要指标，有一项负偏离扣2分；其他参数，有一项负偏离扣1分，扣完为止。严重负偏离影响项目履约的经半数以上评委认定，本项得0分。</w:t>
            </w:r>
            <w:r/>
          </w:p>
          <w:p>
            <w:pPr>
              <w:jc w:val="both"/>
              <w:keepLines w:val="0"/>
              <w:keepNext w:val="0"/>
              <w:pageBreakBefore w:val="0"/>
              <w:spacing w:line="360" w:lineRule="auto"/>
              <w:widowControl w:val="off"/>
              <w:rPr>
                <w:rFonts w:hint="eastAsia" w:ascii="宋体" w:hAnsi="宋体" w:eastAsia="宋体" w:cs="宋体"/>
                <w:spacing w:val="1"/>
                <w:sz w:val="24"/>
                <w:szCs w:val="24"/>
              </w:rPr>
            </w:pPr>
            <w:r>
              <w:rPr>
                <w:rFonts w:hint="eastAsia" w:ascii="宋体" w:hAnsi="宋体" w:eastAsia="宋体" w:cs="宋体"/>
                <w:sz w:val="24"/>
                <w:szCs w:val="24"/>
                <w:lang w:val="en-US" w:eastAsia="zh-CN"/>
              </w:rPr>
              <w:t xml:space="preserve">注：★</w:t>
            </w:r>
            <w:r>
              <w:rPr>
                <w:rFonts w:hint="eastAsia" w:ascii="宋体" w:hAnsi="宋体" w:cs="宋体"/>
                <w:sz w:val="24"/>
                <w:szCs w:val="24"/>
                <w:lang w:val="en-US" w:eastAsia="zh-CN"/>
              </w:rPr>
              <w:t xml:space="preserve">和</w:t>
            </w:r>
            <w:r>
              <w:rPr>
                <w:rFonts w:hint="eastAsia" w:ascii="宋体" w:hAnsi="宋体" w:eastAsia="宋体" w:cs="宋体"/>
                <w:sz w:val="24"/>
                <w:szCs w:val="24"/>
                <w:lang w:val="en-US" w:eastAsia="zh-CN"/>
              </w:rPr>
              <w:t xml:space="preserve">▲参数须在投标文件中提供证明文件，且须在技术响应偏差表详尽真实的提供偏差情况及证明材料页码，否则视为负偏离。</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34</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lang w:eastAsia="zh-CN"/>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trHeight w:val="472"/>
        </w:trPr>
        <w:tc>
          <w:tcPr>
            <w:gridSpan w:val="5"/>
            <w:tcW w:w="9575"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eastAsia="zh-CN"/>
              </w:rPr>
            </w:pPr>
            <w:r>
              <w:rPr>
                <w:rFonts w:hint="eastAsia" w:ascii="宋体" w:hAnsi="宋体" w:eastAsia="宋体" w:cs="宋体"/>
                <w:b/>
                <w:bCs/>
                <w:spacing w:val="-3"/>
                <w:sz w:val="24"/>
                <w:szCs w:val="24"/>
                <w:lang w:val="en-US" w:eastAsia="zh-CN"/>
              </w:rPr>
              <w:t xml:space="preserve">3.服务</w:t>
            </w:r>
            <w:r/>
          </w:p>
        </w:tc>
      </w:tr>
      <w:tr>
        <w:trPr>
          <w:trHeight w:val="108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3.1</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0000ff"/>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实施方案</w:t>
            </w:r>
            <w:r/>
          </w:p>
        </w:tc>
        <w:tc>
          <w:tcPr>
            <w:tcW w:w="6330" w:type="dxa"/>
            <w:vAlign w:val="center"/>
            <w:textDirection w:val="lrTb"/>
            <w:noWrap w:val="false"/>
          </w:tcPr>
          <w:p>
            <w:pPr>
              <w:pStyle w:val="1017"/>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zh-CN" w:eastAsia="zh-CN" w:bidi="ar-SA"/>
              </w:rPr>
              <w:t xml:space="preserve">评委根据投标人提供的项目</w:t>
            </w:r>
            <w:r>
              <w:rPr>
                <w:rFonts w:hint="eastAsia" w:ascii="宋体" w:hAnsi="宋体" w:eastAsia="宋体" w:cs="宋体"/>
                <w:sz w:val="24"/>
                <w:szCs w:val="24"/>
                <w:lang w:val="en-US" w:eastAsia="zh-CN" w:bidi="ar-SA"/>
              </w:rPr>
              <w:t xml:space="preserve">总体</w:t>
            </w:r>
            <w:r>
              <w:rPr>
                <w:rFonts w:hint="eastAsia" w:ascii="宋体" w:hAnsi="宋体" w:eastAsia="宋体" w:cs="宋体"/>
                <w:sz w:val="24"/>
                <w:szCs w:val="24"/>
                <w:lang w:val="zh-CN" w:eastAsia="zh-CN" w:bidi="ar-SA"/>
              </w:rPr>
              <w:t xml:space="preserve">实施方案（包括但不限于项目详细实施计划、人员组织保障、测试方案、协调配合</w:t>
            </w:r>
            <w:r>
              <w:rPr>
                <w:rFonts w:hint="eastAsia" w:ascii="宋体" w:hAnsi="宋体" w:eastAsia="宋体" w:cs="宋体"/>
                <w:sz w:val="24"/>
                <w:szCs w:val="24"/>
                <w:lang w:val="en-US" w:eastAsia="zh-CN" w:bidi="ar-SA"/>
              </w:rPr>
              <w:t xml:space="preserve">措施</w:t>
            </w:r>
            <w:r>
              <w:rPr>
                <w:rFonts w:hint="eastAsia" w:ascii="宋体" w:hAnsi="宋体" w:eastAsia="宋体" w:cs="宋体"/>
                <w:sz w:val="24"/>
                <w:szCs w:val="24"/>
                <w:lang w:val="zh-CN" w:eastAsia="zh-CN" w:bidi="ar-SA"/>
              </w:rPr>
              <w:t xml:space="preserve">等内容）综合评分：</w:t>
            </w:r>
            <w:r/>
          </w:p>
          <w:p>
            <w:pPr>
              <w:pStyle w:val="1017"/>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1、</w:t>
            </w:r>
            <w:r>
              <w:rPr>
                <w:rFonts w:hint="eastAsia" w:ascii="宋体" w:hAnsi="宋体" w:eastAsia="宋体" w:cs="宋体"/>
                <w:spacing w:val="0"/>
                <w:sz w:val="24"/>
                <w:szCs w:val="24"/>
                <w:lang w:val="zh-CN" w:eastAsia="zh-CN" w:bidi="ar-SA"/>
              </w:rPr>
              <w:t xml:space="preserve">方案</w:t>
            </w:r>
            <w:r>
              <w:rPr>
                <w:rFonts w:hint="eastAsia" w:ascii="宋体" w:hAnsi="宋体" w:eastAsia="宋体" w:cs="宋体"/>
                <w:sz w:val="24"/>
                <w:szCs w:val="24"/>
                <w:lang w:val="zh-CN" w:eastAsia="zh-CN" w:bidi="ar-SA"/>
              </w:rPr>
              <w:t xml:space="preserve">完整、科学性、合理性、操作性强的，得</w:t>
            </w:r>
            <w:r>
              <w:rPr>
                <w:rFonts w:hint="eastAsia" w:ascii="宋体" w:hAnsi="宋体" w:eastAsia="宋体" w:cs="宋体"/>
                <w:sz w:val="24"/>
                <w:szCs w:val="24"/>
                <w:lang w:val="en-US" w:eastAsia="zh-CN" w:bidi="ar-SA"/>
              </w:rPr>
              <w:t xml:space="preserve">7</w:t>
            </w:r>
            <w:r>
              <w:rPr>
                <w:rFonts w:hint="eastAsia" w:ascii="宋体" w:hAnsi="宋体" w:eastAsia="宋体" w:cs="宋体"/>
                <w:sz w:val="24"/>
                <w:szCs w:val="24"/>
                <w:lang w:val="zh-CN" w:eastAsia="zh-CN" w:bidi="ar-SA"/>
              </w:rPr>
              <w:t xml:space="preserve">分；</w:t>
            </w:r>
            <w:r/>
          </w:p>
          <w:p>
            <w:pPr>
              <w:pStyle w:val="1017"/>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2、</w:t>
            </w:r>
            <w:r>
              <w:rPr>
                <w:rFonts w:hint="eastAsia" w:ascii="宋体" w:hAnsi="宋体" w:eastAsia="宋体" w:cs="宋体"/>
                <w:spacing w:val="0"/>
                <w:sz w:val="24"/>
                <w:szCs w:val="24"/>
                <w:lang w:val="zh-CN" w:eastAsia="zh-CN" w:bidi="ar-SA"/>
              </w:rPr>
              <w:t xml:space="preserve">方案</w:t>
            </w:r>
            <w:r>
              <w:rPr>
                <w:rFonts w:hint="eastAsia" w:ascii="宋体" w:hAnsi="宋体" w:eastAsia="宋体" w:cs="宋体"/>
                <w:sz w:val="24"/>
                <w:szCs w:val="24"/>
                <w:lang w:val="zh-CN" w:eastAsia="zh-CN" w:bidi="ar-SA"/>
              </w:rPr>
              <w:t xml:space="preserve">基本完整、基本科学合理，有可操作性的，得</w:t>
            </w: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zh-CN" w:eastAsia="zh-CN" w:bidi="ar-SA"/>
              </w:rPr>
              <w:t xml:space="preserve">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w:t>
            </w:r>
            <w:r>
              <w:rPr>
                <w:rFonts w:hint="eastAsia" w:ascii="宋体" w:hAnsi="宋体" w:eastAsia="宋体" w:cs="宋体"/>
                <w:spacing w:val="0"/>
                <w:sz w:val="24"/>
                <w:szCs w:val="24"/>
                <w:lang w:val="zh-CN" w:eastAsia="zh-CN" w:bidi="ar-SA"/>
              </w:rPr>
              <w:t xml:space="preserve">方案</w:t>
            </w:r>
            <w:r>
              <w:rPr>
                <w:rFonts w:hint="eastAsia" w:ascii="宋体" w:hAnsi="宋体" w:eastAsia="宋体" w:cs="宋体"/>
                <w:sz w:val="24"/>
                <w:szCs w:val="24"/>
                <w:lang w:val="zh-CN" w:eastAsia="zh-CN" w:bidi="ar-SA"/>
              </w:rPr>
              <w:t xml:space="preserve">不完整、不科学合理、不具可操作性的，</w:t>
            </w:r>
            <w:r>
              <w:rPr>
                <w:rFonts w:hint="eastAsia" w:ascii="宋体" w:hAnsi="宋体" w:eastAsia="宋体" w:cs="宋体"/>
                <w:sz w:val="24"/>
                <w:szCs w:val="24"/>
                <w:lang w:val="en-US" w:eastAsia="zh-CN" w:bidi="ar-SA"/>
              </w:rPr>
              <w:t xml:space="preserve">得1分；</w:t>
            </w:r>
            <w:r/>
          </w:p>
          <w:p>
            <w:pPr>
              <w:pStyle w:val="1017"/>
              <w:jc w:val="both"/>
              <w:keepLines w:val="0"/>
              <w:keepNext w:val="0"/>
              <w:pageBreakBefore w:val="0"/>
              <w:spacing w:line="360" w:lineRule="auto"/>
              <w:widowControl w:val="off"/>
              <w:rPr>
                <w:rFonts w:hint="eastAsia" w:ascii="宋体" w:hAnsi="宋体" w:eastAsia="宋体" w:cs="宋体"/>
                <w:sz w:val="24"/>
                <w:szCs w:val="24"/>
                <w:lang w:val="zh-CN" w:eastAsia="zh-CN" w:bidi="ar-SA"/>
              </w:rPr>
            </w:pPr>
            <w:r>
              <w:rPr>
                <w:rFonts w:hint="eastAsia" w:ascii="宋体" w:hAnsi="宋体" w:eastAsia="宋体" w:cs="宋体"/>
                <w:sz w:val="24"/>
                <w:szCs w:val="24"/>
                <w:lang w:val="en-US" w:eastAsia="zh-CN" w:bidi="ar-SA"/>
              </w:rPr>
              <w:t xml:space="preserve">4、</w:t>
            </w:r>
            <w:r>
              <w:rPr>
                <w:rFonts w:hint="eastAsia" w:ascii="宋体" w:hAnsi="宋体" w:eastAsia="宋体" w:cs="宋体"/>
                <w:sz w:val="24"/>
                <w:szCs w:val="24"/>
                <w:lang w:val="zh-CN" w:eastAsia="zh-CN" w:bidi="ar-SA"/>
              </w:rPr>
              <w:t xml:space="preserve">未提供的不得分。</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7</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p>
        </w:tc>
      </w:tr>
      <w:tr>
        <w:trPr>
          <w:trHeight w:val="728"/>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3.2</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000000"/>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进度保障和质量保障方案</w:t>
            </w:r>
            <w:r/>
          </w:p>
        </w:tc>
        <w:tc>
          <w:tcPr>
            <w:tcW w:w="6330" w:type="dxa"/>
            <w:vAlign w:val="center"/>
            <w:textDirection w:val="lrTb"/>
            <w:noWrap w:val="false"/>
          </w:tcPr>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评委根据投标人提供的本项目进度保障和质量保障方案进行综合评分：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1、方案全面，实施进度控制、质量管理、验收方案科学合理得7分；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2、方案较全面，实施进度控制、质量管理、验收方案较科学合理，得4分；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3、方案包含基本内容，实施进度控制、质量管理、验收方案基本满足需求，得1分；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4、方案缺漏严重，实施进度控制、质量管理、验收方案不能满足要求或未提供实施方案的不得分。</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7</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p>
        </w:tc>
      </w:tr>
      <w:tr>
        <w:trPr>
          <w:trHeight w:val="13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t xml:space="preserve">3.3</w:t>
            </w:r>
            <w:r/>
          </w:p>
        </w:tc>
        <w:tc>
          <w:tcPr>
            <w:tcW w:w="117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0000ff"/>
                <w:spacing w:val="0"/>
                <w:sz w:val="24"/>
                <w:szCs w:val="24"/>
                <w:highlight w:val="none"/>
                <w:lang w:val="en-US" w:eastAsia="zh-CN"/>
              </w:rPr>
            </w:pPr>
            <w:r>
              <w:rPr>
                <w:rFonts w:hint="eastAsia" w:ascii="宋体" w:hAnsi="宋体" w:eastAsia="宋体" w:cs="宋体"/>
                <w:color w:val="000000"/>
                <w:spacing w:val="0"/>
                <w:sz w:val="24"/>
                <w:szCs w:val="24"/>
                <w:highlight w:val="none"/>
                <w:lang w:val="en-US" w:eastAsia="zh-CN"/>
              </w:rPr>
              <w:t xml:space="preserve">售后服务方案</w:t>
            </w:r>
            <w:r/>
          </w:p>
        </w:tc>
        <w:tc>
          <w:tcPr>
            <w:tcW w:w="6330" w:type="dxa"/>
            <w:vAlign w:val="center"/>
            <w:textDirection w:val="lrTb"/>
            <w:noWrap w:val="false"/>
          </w:tcPr>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评委根据投标人提供的项目售后服务方案（包括服务内容、故障解决方案、响应时间、技术人员保障及服务电话等内容）综合评分：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1、投标人具备完善的服务体系、全面的服务内容、可行的故障解决方案、可靠的人员保障和服务电话的，得</w:t>
            </w:r>
            <w:r>
              <w:rPr>
                <w:rFonts w:hint="eastAsia" w:cs="宋体"/>
                <w:sz w:val="24"/>
                <w:szCs w:val="24"/>
                <w:lang w:val="en-US" w:eastAsia="zh-CN" w:bidi="ar-SA"/>
              </w:rPr>
              <w:t xml:space="preserve">5</w:t>
            </w:r>
            <w:r>
              <w:rPr>
                <w:rFonts w:hint="eastAsia" w:ascii="宋体" w:hAnsi="宋体" w:eastAsia="宋体" w:cs="宋体"/>
                <w:sz w:val="24"/>
                <w:szCs w:val="24"/>
                <w:lang w:val="en-US" w:eastAsia="zh-CN" w:bidi="ar-SA"/>
              </w:rPr>
              <w:t xml:space="preserve">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2、投标人具备基本完善的服务体系、基本全面的服务内容、基本可行的故障解决方案、基本可靠的人员保障和服务电话的，得</w:t>
            </w:r>
            <w:r>
              <w:rPr>
                <w:rFonts w:hint="eastAsia" w:cs="宋体"/>
                <w:sz w:val="24"/>
                <w:szCs w:val="24"/>
                <w:lang w:val="en-US" w:eastAsia="zh-CN" w:bidi="ar-SA"/>
              </w:rPr>
              <w:t xml:space="preserve">3</w:t>
            </w:r>
            <w:r>
              <w:rPr>
                <w:rFonts w:hint="eastAsia" w:ascii="宋体" w:hAnsi="宋体" w:eastAsia="宋体" w:cs="宋体"/>
                <w:sz w:val="24"/>
                <w:szCs w:val="24"/>
                <w:lang w:val="en-US" w:eastAsia="zh-CN" w:bidi="ar-SA"/>
              </w:rPr>
              <w:t xml:space="preserve">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3、投标人不具备服务保障体系、服务内容缺失、故障解决方案不可行、人员能力不足的，得1分</w:t>
            </w:r>
            <w:r/>
          </w:p>
          <w:p>
            <w:pPr>
              <w:pStyle w:val="1017"/>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4、未提供的不得分。</w:t>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5</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6"/>
                <w:sz w:val="24"/>
                <w:szCs w:val="24"/>
                <w:lang w:val="en-US" w:eastAsia="zh-CN"/>
              </w:rPr>
            </w:pPr>
            <w:r>
              <w:rPr>
                <w:rFonts w:hint="eastAsia" w:ascii="宋体" w:hAnsi="宋体" w:eastAsia="宋体" w:cs="宋体"/>
                <w:spacing w:val="-6"/>
                <w:sz w:val="24"/>
                <w:szCs w:val="24"/>
                <w:lang w:val="en-US" w:eastAsia="zh-CN"/>
              </w:rPr>
              <w:t xml:space="preserve">主观分</w:t>
            </w:r>
            <w:r/>
          </w:p>
        </w:tc>
      </w:tr>
      <w:tr>
        <w:trPr>
          <w:trHeight w:val="455"/>
        </w:trPr>
        <w:tc>
          <w:tcPr>
            <w:gridSpan w:val="5"/>
            <w:tcW w:w="957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4.业绩</w:t>
            </w:r>
            <w:r/>
          </w:p>
        </w:tc>
      </w:tr>
      <w:tr>
        <w:trPr>
          <w:trHeight w:val="1015"/>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4</w:t>
            </w:r>
            <w:r>
              <w:rPr>
                <w:rFonts w:hint="eastAsia" w:ascii="宋体" w:hAnsi="宋体" w:eastAsia="宋体" w:cs="宋体"/>
                <w:spacing w:val="-2"/>
                <w:sz w:val="24"/>
                <w:szCs w:val="24"/>
              </w:rPr>
              <w:t xml:space="preserve">.1</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spacing w:val="-2"/>
                <w:sz w:val="24"/>
                <w:szCs w:val="24"/>
              </w:rPr>
            </w:pPr>
            <w:r>
              <w:rPr>
                <w:rFonts w:hint="eastAsia" w:ascii="宋体" w:hAnsi="宋体" w:eastAsia="宋体" w:cs="宋体"/>
                <w:color w:val="000000"/>
                <w:spacing w:val="-1"/>
                <w:sz w:val="24"/>
                <w:szCs w:val="24"/>
                <w:lang w:eastAsia="zh-CN"/>
              </w:rPr>
              <w:t xml:space="preserve">投标人</w:t>
            </w:r>
            <w:r>
              <w:rPr>
                <w:rFonts w:hint="eastAsia" w:ascii="宋体" w:hAnsi="宋体" w:eastAsia="宋体" w:cs="宋体"/>
                <w:color w:val="000000"/>
                <w:spacing w:val="-1"/>
                <w:sz w:val="24"/>
                <w:szCs w:val="24"/>
              </w:rPr>
              <w:t xml:space="preserve">业绩</w:t>
            </w:r>
            <w:r/>
          </w:p>
        </w:tc>
        <w:tc>
          <w:tcPr>
            <w:tcW w:w="6330"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color w:val="000000"/>
                <w:sz w:val="24"/>
                <w:szCs w:val="24"/>
                <w:lang w:val="en-US" w:eastAsia="zh-CN" w:bidi="zh-CN"/>
              </w:rPr>
            </w:pPr>
            <w:r>
              <w:rPr>
                <w:rFonts w:hint="eastAsia" w:ascii="宋体" w:hAnsi="宋体" w:eastAsia="宋体" w:cs="宋体"/>
                <w:color w:val="auto"/>
                <w:sz w:val="24"/>
                <w:szCs w:val="24"/>
                <w:lang w:val="en-US" w:eastAsia="zh-CN" w:bidi="ar-SA"/>
              </w:rPr>
              <w:t xml:space="preserve">投标人自202</w:t>
            </w:r>
            <w:r>
              <w:rPr>
                <w:rFonts w:hint="eastAsia" w:ascii="宋体" w:hAnsi="宋体" w:cs="宋体"/>
                <w:color w:val="auto"/>
                <w:sz w:val="24"/>
                <w:szCs w:val="24"/>
                <w:lang w:val="en-US" w:eastAsia="zh-CN" w:bidi="ar-SA"/>
              </w:rPr>
              <w:t xml:space="preserve">3</w:t>
            </w:r>
            <w:r>
              <w:rPr>
                <w:rFonts w:hint="eastAsia" w:ascii="宋体" w:hAnsi="宋体" w:eastAsia="宋体" w:cs="宋体"/>
                <w:color w:val="auto"/>
                <w:sz w:val="24"/>
                <w:szCs w:val="24"/>
                <w:lang w:val="en-US" w:eastAsia="zh-CN" w:bidi="ar-SA"/>
              </w:rPr>
              <w:t xml:space="preserve">年7月1日（含）以来具有承接类似</w:t>
            </w:r>
            <w:r>
              <w:rPr>
                <w:rFonts w:hint="eastAsia" w:ascii="宋体" w:hAnsi="宋体" w:cs="宋体"/>
                <w:color w:val="auto"/>
                <w:sz w:val="24"/>
                <w:szCs w:val="24"/>
                <w:lang w:val="en-US" w:eastAsia="zh-CN" w:bidi="ar-SA"/>
              </w:rPr>
              <w:t xml:space="preserve">支</w:t>
            </w:r>
            <w:r>
              <w:rPr>
                <w:rFonts w:hint="eastAsia" w:ascii="宋体" w:hAnsi="宋体" w:eastAsia="宋体" w:cs="宋体"/>
                <w:color w:val="auto"/>
                <w:sz w:val="24"/>
                <w:szCs w:val="24"/>
                <w:lang w:val="en-US" w:eastAsia="zh-CN" w:bidi="ar-SA"/>
              </w:rPr>
              <w:t xml:space="preserve">撑电子病历评级项目案例的，每提供一个案例得2分，最高得</w:t>
            </w:r>
            <w:r>
              <w:rPr>
                <w:rFonts w:hint="eastAsia" w:ascii="宋体" w:hAnsi="宋体" w:cs="宋体"/>
                <w:color w:val="auto"/>
                <w:sz w:val="24"/>
                <w:szCs w:val="24"/>
                <w:lang w:val="en-US" w:eastAsia="zh-CN" w:bidi="ar-SA"/>
              </w:rPr>
              <w:t xml:space="preserve">4</w:t>
            </w:r>
            <w:r>
              <w:rPr>
                <w:rFonts w:hint="eastAsia" w:ascii="宋体" w:hAnsi="宋体" w:eastAsia="宋体" w:cs="宋体"/>
                <w:color w:val="auto"/>
                <w:sz w:val="24"/>
                <w:szCs w:val="24"/>
                <w:lang w:val="en-US" w:eastAsia="zh-CN" w:bidi="ar-SA"/>
              </w:rPr>
              <w:t xml:space="preserve">分。（时间以合同签订时间为准，提供有效合同、测评通过的证明材料（如证书复印件、或铜牌照片、或网站截图）、用户单位联系人及联系方式，合同须能反映项目名称、主要标的物，合同页须清晰可见相应内容）</w:t>
            </w:r>
            <w:r/>
          </w:p>
        </w:tc>
        <w:tc>
          <w:tcPr>
            <w:tcW w:w="6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cs="宋体"/>
                <w:sz w:val="24"/>
                <w:szCs w:val="24"/>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eastAsia="zh-CN"/>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trHeight w:val="269"/>
        </w:trPr>
        <w:tc>
          <w:tcPr>
            <w:gridSpan w:val="5"/>
            <w:tcW w:w="9575" w:type="dxa"/>
            <w:vAlign w:val="center"/>
            <w:textDirection w:val="lrTb"/>
            <w:noWrap w:val="false"/>
          </w:tcPr>
          <w:p>
            <w:pPr>
              <w:jc w:val="center"/>
              <w:keepLines w:val="0"/>
              <w:keepNext w:val="0"/>
              <w:pageBreakBefore w:val="0"/>
              <w:spacing w:before="123" w:line="360" w:lineRule="auto"/>
              <w:widowControl w:val="off"/>
              <w:rPr>
                <w:rFonts w:hint="eastAsia" w:ascii="宋体" w:hAnsi="宋体" w:eastAsia="宋体" w:cs="宋体"/>
                <w:sz w:val="24"/>
                <w:szCs w:val="24"/>
              </w:rPr>
            </w:pPr>
            <w:r>
              <w:rPr>
                <w:rFonts w:hint="eastAsia" w:ascii="宋体" w:hAnsi="宋体" w:eastAsia="宋体" w:cs="宋体"/>
                <w:b/>
                <w:bCs/>
                <w:spacing w:val="-3"/>
                <w:sz w:val="24"/>
                <w:szCs w:val="24"/>
                <w:lang w:val="en-US" w:eastAsia="zh-CN"/>
              </w:rPr>
              <w:t xml:space="preserve">5.商务</w:t>
            </w:r>
            <w:r/>
          </w:p>
        </w:tc>
      </w:tr>
      <w:tr>
        <w:trPr>
          <w:trHeight w:val="387"/>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000000"/>
                <w:spacing w:val="-2"/>
                <w:sz w:val="24"/>
                <w:szCs w:val="24"/>
              </w:rPr>
            </w:pPr>
            <w:r>
              <w:rPr>
                <w:rFonts w:hint="eastAsia" w:ascii="宋体" w:hAnsi="宋体" w:eastAsia="宋体" w:cs="宋体"/>
                <w:color w:val="000000"/>
                <w:spacing w:val="-2"/>
                <w:sz w:val="24"/>
                <w:szCs w:val="24"/>
                <w:lang w:val="en-US" w:eastAsia="zh-CN"/>
              </w:rPr>
              <w:t xml:space="preserve">5</w:t>
            </w:r>
            <w:r>
              <w:rPr>
                <w:rFonts w:hint="eastAsia" w:ascii="宋体" w:hAnsi="宋体" w:eastAsia="宋体" w:cs="宋体"/>
                <w:color w:val="000000"/>
                <w:spacing w:val="-2"/>
                <w:sz w:val="24"/>
                <w:szCs w:val="24"/>
              </w:rPr>
              <w:t xml:space="preserve">.1</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投标人能力</w:t>
            </w:r>
            <w:r/>
          </w:p>
        </w:tc>
        <w:tc>
          <w:tcPr>
            <w:tcW w:w="6330" w:type="dxa"/>
            <w:vAlign w:val="center"/>
            <w:textDirection w:val="lrTb"/>
            <w:noWrap w:val="false"/>
          </w:tcPr>
          <w:p>
            <w:pPr>
              <w:jc w:val="both"/>
              <w:keepLines w:val="0"/>
              <w:keepNext w:val="0"/>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1、投标人</w:t>
            </w:r>
            <w:r>
              <w:rPr>
                <w:rFonts w:hint="eastAsia" w:ascii="宋体" w:hAnsi="宋体" w:eastAsia="宋体" w:cs="宋体"/>
                <w:sz w:val="24"/>
                <w:szCs w:val="24"/>
                <w:lang w:val="en-US" w:eastAsia="zh-CN" w:bidi="ar-SA"/>
              </w:rPr>
              <w:t xml:space="preserve">具有信息安全管理体系认证证书，且认证范围包含信息系统集成、医疗卫生行业软件系统的设计开发和运维服务相关的信息安全管理活动的，</w:t>
            </w:r>
            <w:r>
              <w:rPr>
                <w:rFonts w:hint="eastAsia" w:ascii="宋体" w:hAnsi="宋体" w:cs="宋体"/>
                <w:sz w:val="24"/>
                <w:szCs w:val="24"/>
                <w:lang w:val="en-US" w:eastAsia="zh-CN" w:bidi="ar-SA"/>
              </w:rPr>
              <w:t xml:space="preserve">有得3分；</w:t>
            </w:r>
            <w:r/>
          </w:p>
          <w:p>
            <w:pPr>
              <w:jc w:val="both"/>
              <w:keepLines w:val="0"/>
              <w:keepNext w:val="0"/>
              <w:pageBreakBefore w:val="0"/>
              <w:spacing w:line="360" w:lineRule="auto"/>
              <w:widowControl w:val="off"/>
              <w:rPr>
                <w:rFonts w:hint="default" w:ascii="宋体" w:hAnsi="宋体" w:cs="宋体"/>
                <w:color w:val="auto"/>
                <w:sz w:val="24"/>
                <w:szCs w:val="24"/>
                <w:lang w:val="en-US" w:eastAsia="zh-CN" w:bidi="ar-SA"/>
              </w:rPr>
            </w:pPr>
            <w:r>
              <w:rPr>
                <w:rFonts w:hint="eastAsia" w:ascii="宋体" w:hAnsi="宋体" w:cs="宋体"/>
                <w:sz w:val="24"/>
                <w:szCs w:val="24"/>
                <w:lang w:val="en-US" w:eastAsia="zh-CN" w:bidi="ar-SA"/>
              </w:rPr>
              <w:t xml:space="preserve">2、投标人具有中国信息安全测评中心颁布的信息安全服务资质证书(安全开发类一级)、信息安全服务资质证书(安全工程类一级)，</w:t>
            </w:r>
            <w:r>
              <w:rPr>
                <w:rFonts w:hint="eastAsia" w:ascii="宋体" w:hAnsi="宋体" w:cs="宋体"/>
                <w:color w:val="auto"/>
                <w:sz w:val="24"/>
                <w:szCs w:val="24"/>
                <w:lang w:val="en-US" w:eastAsia="zh-CN" w:bidi="ar-SA"/>
              </w:rPr>
              <w:t xml:space="preserve">每提供一个得2分，最多4分。</w:t>
            </w:r>
            <w:r/>
          </w:p>
          <w:p>
            <w:pPr>
              <w:jc w:val="both"/>
              <w:keepLines w:val="0"/>
              <w:keepNext w:val="0"/>
              <w:pageBreakBefore w:val="0"/>
              <w:spacing w:line="360" w:lineRule="auto"/>
              <w:widowControl w:val="off"/>
              <w:rPr>
                <w:rFonts w:hint="eastAsia" w:ascii="宋体" w:hAnsi="宋体" w:cs="宋体"/>
                <w:sz w:val="24"/>
                <w:szCs w:val="24"/>
                <w:lang w:val="en-US" w:eastAsia="zh-CN" w:bidi="ar-SA"/>
              </w:rPr>
            </w:pPr>
            <w:r>
              <w:rPr>
                <w:rFonts w:hint="eastAsia" w:ascii="宋体" w:hAnsi="宋体" w:cs="宋体"/>
                <w:sz w:val="24"/>
                <w:szCs w:val="24"/>
                <w:lang w:val="en-US" w:eastAsia="zh-CN" w:bidi="ar-SA"/>
              </w:rPr>
              <w:t xml:space="preserve">3、投标人具有“CDP数据备份、数据监管分析、云安全、医院评审”软件著作权证书，每个得 0.5 分，最多2分。</w:t>
            </w:r>
            <w:r/>
          </w:p>
          <w:p>
            <w:pPr>
              <w:jc w:val="both"/>
              <w:keepLines w:val="0"/>
              <w:keepNext w:val="0"/>
              <w:pageBreakBefore w:val="0"/>
              <w:spacing w:line="360" w:lineRule="auto"/>
              <w:widowControl w:val="off"/>
              <w:rPr>
                <w:rFonts w:hint="default" w:ascii="宋体" w:hAnsi="宋体" w:eastAsia="宋体" w:cs="宋体"/>
                <w:sz w:val="24"/>
                <w:szCs w:val="24"/>
                <w:lang w:val="en-US" w:eastAsia="zh-CN" w:bidi="ar-SA"/>
              </w:rPr>
            </w:pPr>
            <w:r>
              <w:rPr>
                <w:rFonts w:hint="eastAsia" w:ascii="宋体" w:hAnsi="宋体" w:cs="宋体"/>
                <w:sz w:val="24"/>
                <w:szCs w:val="24"/>
                <w:lang w:val="en-US" w:eastAsia="zh-CN" w:bidi="ar-SA"/>
              </w:rPr>
              <w:t xml:space="preserve">(提供上述证书复印件加盖公章)</w:t>
            </w:r>
            <w:r/>
          </w:p>
        </w:tc>
        <w:tc>
          <w:tcPr>
            <w:tcW w:w="647" w:type="dxa"/>
            <w:vAlign w:val="center"/>
            <w:textDirection w:val="lrTb"/>
            <w:noWrap w:val="false"/>
          </w:tcPr>
          <w:p>
            <w:pPr>
              <w:jc w:val="center"/>
              <w:keepLines w:val="0"/>
              <w:keepNext w:val="0"/>
              <w:pageBreakBefore w:val="0"/>
              <w:spacing w:before="68" w:line="360" w:lineRule="auto"/>
              <w:widowControl w:val="off"/>
              <w:rPr>
                <w:rFonts w:hint="default" w:ascii="宋体" w:hAnsi="宋体" w:eastAsia="宋体" w:cs="宋体"/>
                <w:color w:val="000000"/>
                <w:sz w:val="24"/>
                <w:szCs w:val="24"/>
                <w:lang w:val="en-US" w:eastAsia="zh-CN" w:bidi="ar-SA"/>
              </w:rPr>
            </w:pPr>
            <w:r>
              <w:rPr>
                <w:rFonts w:hint="eastAsia" w:ascii="宋体" w:hAnsi="宋体" w:cs="宋体"/>
                <w:strike w:val="0"/>
                <w:color w:val="auto"/>
                <w:sz w:val="24"/>
                <w:szCs w:val="24"/>
                <w:lang w:val="en-US" w:eastAsia="zh-CN" w:bidi="ar-SA"/>
              </w:rPr>
              <w:t xml:space="preserve">9</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color w:val="000000"/>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trHeight w:val="383"/>
        </w:trPr>
        <w:tc>
          <w:tcPr>
            <w:tcW w:w="519"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pacing w:val="-2"/>
                <w:sz w:val="24"/>
                <w:szCs w:val="24"/>
              </w:rPr>
            </w:pPr>
            <w:r>
              <w:rPr>
                <w:rFonts w:hint="eastAsia" w:ascii="宋体" w:hAnsi="宋体" w:eastAsia="宋体" w:cs="宋体"/>
                <w:spacing w:val="-2"/>
                <w:sz w:val="24"/>
                <w:szCs w:val="24"/>
                <w:lang w:val="en-US" w:eastAsia="zh-CN"/>
              </w:rPr>
              <w:t xml:space="preserve">5</w:t>
            </w:r>
            <w:r>
              <w:rPr>
                <w:rFonts w:hint="eastAsia" w:ascii="宋体" w:hAnsi="宋体" w:eastAsia="宋体" w:cs="宋体"/>
                <w:spacing w:val="-2"/>
                <w:sz w:val="24"/>
                <w:szCs w:val="24"/>
              </w:rPr>
              <w:t xml:space="preserve">.2</w:t>
            </w:r>
            <w:r/>
          </w:p>
        </w:tc>
        <w:tc>
          <w:tcPr>
            <w:tcW w:w="1179" w:type="dxa"/>
            <w:vAlign w:val="center"/>
            <w:textDirection w:val="lrTb"/>
            <w:noWrap w:val="false"/>
          </w:tcPr>
          <w:p>
            <w:pPr>
              <w:jc w:val="center"/>
              <w:keepLines w:val="0"/>
              <w:keepNext w:val="0"/>
              <w:pageBreakBefore w:val="0"/>
              <w:spacing w:before="69" w:line="360" w:lineRule="auto"/>
              <w:widowControl w:val="off"/>
              <w:rPr>
                <w:rFonts w:hint="eastAsia" w:ascii="宋体" w:hAnsi="宋体" w:eastAsia="宋体" w:cs="宋体"/>
                <w:color w:val="000000"/>
                <w:spacing w:val="-1"/>
                <w:sz w:val="24"/>
                <w:szCs w:val="24"/>
                <w:lang w:val="en-US" w:eastAsia="zh-CN"/>
              </w:rPr>
            </w:pPr>
            <w:r>
              <w:rPr>
                <w:rFonts w:hint="eastAsia" w:ascii="宋体" w:hAnsi="宋体" w:eastAsia="宋体" w:cs="宋体"/>
                <w:color w:val="000000"/>
                <w:spacing w:val="-1"/>
                <w:sz w:val="24"/>
                <w:szCs w:val="24"/>
                <w:lang w:val="en-US" w:eastAsia="zh-CN"/>
              </w:rPr>
              <w:t xml:space="preserve">项目团队</w:t>
            </w:r>
            <w:r>
              <w:rPr>
                <w:rFonts w:hint="eastAsia" w:ascii="宋体" w:hAnsi="宋体" w:eastAsia="宋体" w:cs="宋体"/>
                <w:color w:val="000000"/>
                <w:spacing w:val="-1"/>
                <w:sz w:val="24"/>
                <w:szCs w:val="24"/>
                <w:lang w:eastAsia="zh-CN"/>
              </w:rPr>
              <w:t xml:space="preserve">能力</w:t>
            </w:r>
            <w:r/>
          </w:p>
        </w:tc>
        <w:tc>
          <w:tcPr>
            <w:tcW w:w="6330"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bookmarkStart w:id="225" w:name="_GoBack"/>
            <w:r>
              <w:rPr>
                <w:rFonts w:hint="eastAsia" w:ascii="宋体" w:hAnsi="宋体" w:eastAsia="宋体" w:cs="宋体"/>
                <w:color w:val="000000"/>
                <w:sz w:val="24"/>
                <w:szCs w:val="24"/>
                <w:lang w:val="en-US" w:eastAsia="zh-CN" w:bidi="ar-SA"/>
              </w:rPr>
              <w:t xml:space="preserve">投标人拟组织实施本项目团队成员具有大专及以上学历，并同时具有以下证书：</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val="en-US" w:eastAsia="zh-CN" w:bidi="ar-SA"/>
              </w:rPr>
              <w:t xml:space="preserve">1、</w:t>
            </w:r>
            <w:r>
              <w:rPr>
                <w:rFonts w:hint="eastAsia" w:ascii="宋体" w:hAnsi="宋体" w:eastAsia="宋体" w:cs="宋体"/>
                <w:color w:val="000000"/>
                <w:sz w:val="24"/>
                <w:szCs w:val="24"/>
                <w:lang w:val="en-US" w:eastAsia="zh-CN" w:bidi="ar-SA"/>
              </w:rPr>
              <w:t xml:space="preserve">项目经理需同时具有</w:t>
            </w:r>
            <w:r>
              <w:rPr>
                <w:rFonts w:hint="eastAsia" w:ascii="宋体" w:hAnsi="宋体" w:cs="宋体"/>
                <w:color w:val="000000"/>
                <w:sz w:val="24"/>
                <w:szCs w:val="24"/>
                <w:lang w:val="en-US" w:eastAsia="zh-CN" w:bidi="ar-SA"/>
              </w:rPr>
              <w:t xml:space="preserve">有效期内的</w:t>
            </w:r>
            <w:r>
              <w:rPr>
                <w:rFonts w:hint="eastAsia" w:ascii="宋体" w:hAnsi="宋体" w:eastAsia="宋体" w:cs="宋体"/>
                <w:color w:val="000000"/>
                <w:sz w:val="24"/>
                <w:szCs w:val="24"/>
                <w:lang w:val="en-US" w:eastAsia="zh-CN" w:bidi="ar-SA"/>
              </w:rPr>
              <w:t xml:space="preserve">项目管理专业人士资格证书和注册和信息安全专业人员证书</w:t>
            </w:r>
            <w:r>
              <w:rPr>
                <w:rFonts w:hint="eastAsia" w:ascii="宋体" w:hAnsi="宋体" w:cs="宋体"/>
                <w:color w:val="000000"/>
                <w:sz w:val="24"/>
                <w:szCs w:val="24"/>
                <w:lang w:val="en-US" w:eastAsia="zh-CN" w:bidi="ar-SA"/>
              </w:rPr>
              <w:t xml:space="preserve">的</w:t>
            </w:r>
            <w:r>
              <w:rPr>
                <w:rFonts w:hint="eastAsia" w:ascii="宋体" w:hAnsi="宋体" w:eastAsia="宋体" w:cs="宋体"/>
                <w:color w:val="000000"/>
                <w:sz w:val="24"/>
                <w:szCs w:val="24"/>
                <w:lang w:val="en-US" w:eastAsia="zh-CN" w:bidi="ar-SA"/>
              </w:rPr>
              <w:t xml:space="preserve">得2分</w:t>
            </w:r>
            <w:r>
              <w:rPr>
                <w:rFonts w:hint="eastAsia" w:ascii="宋体" w:hAnsi="宋体" w:cs="宋体"/>
                <w:color w:val="000000"/>
                <w:sz w:val="24"/>
                <w:szCs w:val="24"/>
                <w:lang w:val="en-US" w:eastAsia="zh-CN" w:bidi="ar-SA"/>
              </w:rPr>
              <w:t xml:space="preserve">；</w:t>
            </w:r>
            <w:r/>
          </w:p>
          <w:p>
            <w:pPr>
              <w:jc w:val="left"/>
              <w:keepLines w:val="0"/>
              <w:keepNext w:val="0"/>
              <w:pageBreakBefore w:val="0"/>
              <w:spacing w:line="360" w:lineRule="auto"/>
              <w:widowControl w:val="off"/>
              <w:rPr>
                <w:rFonts w:hint="default" w:ascii="宋体" w:hAnsi="宋体" w:cs="宋体"/>
                <w:color w:val="000000"/>
                <w:sz w:val="24"/>
                <w:szCs w:val="24"/>
                <w:lang w:val="en-US" w:eastAsia="zh-CN" w:bidi="ar-SA"/>
              </w:rPr>
            </w:pPr>
            <w:r>
              <w:rPr>
                <w:rFonts w:hint="eastAsia" w:ascii="宋体" w:hAnsi="宋体" w:cs="宋体"/>
                <w:color w:val="000000"/>
                <w:sz w:val="24"/>
                <w:szCs w:val="24"/>
                <w:lang w:val="en-US" w:eastAsia="zh-CN" w:bidi="ar-SA"/>
              </w:rPr>
              <w:t xml:space="preserve">2、项目组成员（除项目经理外）具有有效期内的信息安全专业人员证书和市级电子信息工程中级专业技术资格评审委员会评审的工程师（计算机应用技术专业）资格证书的，每有一个得1分，最高得2分。</w:t>
            </w:r>
            <w:r/>
          </w:p>
          <w:p>
            <w:pPr>
              <w:jc w:val="left"/>
              <w:keepLines w:val="0"/>
              <w:keepNext w:val="0"/>
              <w:pageBreakBefore w:val="0"/>
              <w:spacing w:line="360" w:lineRule="auto"/>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需提供拟派项目团队成员身份证、资质证书复印件及投标人为其缴纳的202</w:t>
            </w:r>
            <w:r>
              <w:rPr>
                <w:rFonts w:hint="eastAsia" w:ascii="宋体" w:hAnsi="宋体" w:cs="宋体"/>
                <w:color w:val="000000"/>
                <w:sz w:val="24"/>
                <w:szCs w:val="24"/>
                <w:lang w:val="en-US" w:eastAsia="zh-CN" w:bidi="ar-SA"/>
              </w:rPr>
              <w:t xml:space="preserve">6</w:t>
            </w:r>
            <w:r>
              <w:rPr>
                <w:rFonts w:hint="eastAsia" w:ascii="宋体" w:hAnsi="宋体" w:eastAsia="宋体" w:cs="宋体"/>
                <w:color w:val="000000"/>
                <w:sz w:val="24"/>
                <w:szCs w:val="24"/>
                <w:lang w:val="en-US" w:eastAsia="zh-CN" w:bidi="ar-SA"/>
              </w:rPr>
              <w:t xml:space="preserve">年</w:t>
            </w:r>
            <w:r>
              <w:rPr>
                <w:rFonts w:hint="eastAsia" w:ascii="宋体" w:hAnsi="宋体" w:cs="宋体"/>
                <w:color w:val="000000"/>
                <w:sz w:val="24"/>
                <w:szCs w:val="24"/>
                <w:lang w:val="en-US" w:eastAsia="zh-CN" w:bidi="ar-SA"/>
              </w:rPr>
              <w:t xml:space="preserve">2</w:t>
            </w:r>
            <w:r>
              <w:rPr>
                <w:rFonts w:hint="eastAsia" w:ascii="宋体" w:hAnsi="宋体" w:eastAsia="宋体" w:cs="宋体"/>
                <w:color w:val="000000"/>
                <w:sz w:val="24"/>
                <w:szCs w:val="24"/>
                <w:lang w:val="en-US" w:eastAsia="zh-CN" w:bidi="ar-SA"/>
              </w:rPr>
              <w:t xml:space="preserve">月以来任意一个月养老保险缴费证明材料并加盖社保中心章或社保中心参保缴费证明电子专用章并加盖投标人公章）</w:t>
            </w:r>
            <w:bookmarkEnd w:id="225"/>
            <w:r/>
            <w:r/>
          </w:p>
        </w:tc>
        <w:tc>
          <w:tcPr>
            <w:tcW w:w="647"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lang w:val="en-US" w:eastAsia="zh-CN" w:bidi="ar-SA"/>
              </w:rPr>
            </w:pPr>
            <w:r>
              <w:rPr>
                <w:rFonts w:hint="eastAsia" w:ascii="宋体" w:hAnsi="宋体" w:cs="宋体"/>
                <w:sz w:val="24"/>
                <w:szCs w:val="24"/>
                <w:lang w:val="en-US" w:eastAsia="zh-CN"/>
              </w:rPr>
              <w:t xml:space="preserve">4</w:t>
            </w:r>
            <w:r/>
          </w:p>
        </w:tc>
        <w:tc>
          <w:tcPr>
            <w:tcW w:w="900" w:type="dxa"/>
            <w:vAlign w:val="center"/>
            <w:textDirection w:val="lrTb"/>
            <w:noWrap w:val="false"/>
          </w:tcPr>
          <w:p>
            <w:pPr>
              <w:jc w:val="center"/>
              <w:keepLines w:val="0"/>
              <w:keepNext w:val="0"/>
              <w:pageBreakBefore w:val="0"/>
              <w:spacing w:before="68" w:line="360" w:lineRule="auto"/>
              <w:widowControl w:val="off"/>
              <w:rPr>
                <w:rFonts w:hint="eastAsia" w:ascii="宋体" w:hAnsi="宋体" w:eastAsia="宋体" w:cs="宋体"/>
                <w:sz w:val="24"/>
                <w:szCs w:val="24"/>
              </w:rPr>
            </w:pPr>
            <w:r>
              <w:rPr>
                <w:rFonts w:hint="eastAsia" w:ascii="宋体" w:hAnsi="宋体" w:eastAsia="宋体" w:cs="宋体"/>
                <w:spacing w:val="-6"/>
                <w:sz w:val="24"/>
                <w:szCs w:val="24"/>
              </w:rPr>
              <w:t xml:space="preserve">客</w:t>
            </w:r>
            <w:r>
              <w:rPr>
                <w:rFonts w:hint="eastAsia" w:ascii="宋体" w:hAnsi="宋体" w:eastAsia="宋体" w:cs="宋体"/>
                <w:spacing w:val="-4"/>
                <w:sz w:val="24"/>
                <w:szCs w:val="24"/>
              </w:rPr>
              <w:t xml:space="preserve">观</w:t>
            </w:r>
            <w:r>
              <w:rPr>
                <w:rFonts w:hint="eastAsia" w:ascii="宋体" w:hAnsi="宋体" w:eastAsia="宋体" w:cs="宋体"/>
                <w:spacing w:val="-4"/>
                <w:sz w:val="24"/>
                <w:szCs w:val="24"/>
                <w:lang w:eastAsia="zh-CN"/>
              </w:rPr>
              <w:t xml:space="preserve">分</w:t>
            </w:r>
            <w:r/>
          </w:p>
        </w:tc>
      </w:tr>
      <w:tr>
        <w:trPr>
          <w:trHeight w:val="464"/>
        </w:trPr>
        <w:tc>
          <w:tcPr>
            <w:gridSpan w:val="3"/>
            <w:tcW w:w="8028" w:type="dxa"/>
            <w:vAlign w:val="center"/>
            <w:textDirection w:val="lrTb"/>
            <w:noWrap w:val="false"/>
          </w:tcPr>
          <w:p>
            <w:pPr>
              <w:ind w:left="172"/>
              <w:jc w:val="center"/>
              <w:keepLines w:val="0"/>
              <w:keepNext w:val="0"/>
              <w:pageBreakBefore w:val="0"/>
              <w:spacing w:before="123" w:line="360" w:lineRule="auto"/>
              <w:widowControl w:val="off"/>
              <w:rPr>
                <w:rFonts w:hint="eastAsia" w:ascii="宋体" w:hAnsi="宋体" w:eastAsia="宋体" w:cs="宋体"/>
                <w:color w:val="ff0000"/>
                <w:spacing w:val="-2"/>
                <w:sz w:val="24"/>
                <w:szCs w:val="24"/>
              </w:rPr>
            </w:pPr>
            <w:r>
              <w:rPr>
                <w:rFonts w:hint="eastAsia" w:ascii="宋体" w:hAnsi="宋体" w:eastAsia="宋体" w:cs="宋体"/>
                <w:spacing w:val="-3"/>
                <w:sz w:val="24"/>
                <w:szCs w:val="24"/>
              </w:rPr>
              <w:t xml:space="preserve">合</w:t>
            </w:r>
            <w:r>
              <w:rPr>
                <w:rFonts w:hint="eastAsia" w:ascii="宋体" w:hAnsi="宋体" w:eastAsia="宋体" w:cs="宋体"/>
                <w:spacing w:val="-2"/>
                <w:sz w:val="24"/>
                <w:szCs w:val="24"/>
              </w:rPr>
              <w:t xml:space="preserve">计</w:t>
            </w:r>
            <w:r/>
          </w:p>
        </w:tc>
        <w:tc>
          <w:tcPr>
            <w:gridSpan w:val="2"/>
            <w:tcW w:w="154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100分</w:t>
            </w:r>
            <w:r/>
          </w:p>
        </w:tc>
      </w:tr>
    </w:tbl>
    <w:p>
      <w:pPr>
        <w:ind w:right="840"/>
        <w:jc w:val="center"/>
        <w:spacing w:before="0" w:after="0" w:line="240" w:lineRule="auto"/>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bookmarkStart w:id="206" w:name="_Toc17136"/>
      <w:r/>
      <w:bookmarkStart w:id="207" w:name="_Toc14477"/>
      <w:r>
        <w:rPr>
          <w:rFonts w:hint="eastAsia" w:ascii="方正小标宋简体" w:hAnsi="方正小标宋简体" w:eastAsia="方正小标宋简体" w:cs="方正小标宋简体"/>
          <w:color w:val="000000"/>
          <w:sz w:val="36"/>
          <w:szCs w:val="36"/>
        </w:rPr>
        <w:t xml:space="preserve">第六章  投标</w:t>
      </w:r>
      <w:bookmarkEnd w:id="201"/>
      <w:r/>
      <w:bookmarkEnd w:id="202"/>
      <w:r/>
      <w:bookmarkEnd w:id="203"/>
      <w:r>
        <w:rPr>
          <w:rFonts w:hint="eastAsia" w:ascii="方正小标宋简体" w:hAnsi="方正小标宋简体" w:eastAsia="方正小标宋简体" w:cs="方正小标宋简体"/>
          <w:color w:val="000000"/>
          <w:sz w:val="36"/>
          <w:szCs w:val="36"/>
        </w:rPr>
        <w:t xml:space="preserve">文件格式</w:t>
      </w:r>
      <w:bookmarkEnd w:id="206"/>
      <w:r/>
      <w:bookmarkEnd w:id="207"/>
      <w:r>
        <w:rPr>
          <w:rFonts w:hint="eastAsia" w:ascii="方正小标宋简体" w:hAnsi="方正小标宋简体" w:eastAsia="方正小标宋简体" w:cs="方正小标宋简体"/>
          <w:color w:val="000000"/>
          <w:sz w:val="36"/>
          <w:szCs w:val="36"/>
        </w:rPr>
        <w:t xml:space="preserve"> </w:t>
      </w:r>
      <w:r/>
    </w:p>
    <w:p>
      <w:pPr>
        <w:jc w:val="center"/>
        <w:rPr>
          <w:rFonts w:hint="eastAsia" w:ascii="宋体" w:hAnsi="宋体"/>
          <w:b/>
          <w:color w:val="000000"/>
          <w:sz w:val="72"/>
          <w:szCs w:val="21"/>
        </w:rPr>
      </w:pPr>
      <w:r/>
      <w:bookmarkStart w:id="208" w:name="_Hlt26955039"/>
      <w:r/>
      <w:bookmarkEnd w:id="208"/>
      <w:r/>
      <w:bookmarkStart w:id="209" w:name="_Hlt26671244"/>
      <w:r/>
      <w:bookmarkEnd w:id="209"/>
      <w:r/>
      <w:bookmarkStart w:id="210" w:name="_Toc26554094"/>
      <w:r/>
      <w:bookmarkStart w:id="211" w:name="_Toc49090576"/>
      <w:r/>
      <w:bookmarkStart w:id="212"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p>
    <w:p>
      <w:pPr>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000000"/>
          <w:sz w:val="36"/>
          <w:szCs w:val="21"/>
          <w:u w:val="single"/>
        </w:rPr>
        <w:br w:type="page" w:clear="all"/>
      </w:r>
      <w:bookmarkEnd w:id="196"/>
      <w:r/>
      <w:bookmarkEnd w:id="197"/>
      <w:r/>
      <w:bookmarkEnd w:id="210"/>
      <w:r/>
      <w:bookmarkEnd w:id="211"/>
      <w:r/>
      <w:bookmarkEnd w:id="212"/>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bookmarkStart w:id="213" w:name="_Toc120614284"/>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六、投标分项报价表（如有）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pStyle w:val="1014"/>
        <w:rPr>
          <w:rFonts w:ascii="宋体" w:hAnsi="宋体"/>
          <w:sz w:val="24"/>
        </w:rPr>
      </w:pPr>
      <w:r>
        <w:rPr>
          <w:rFonts w:ascii="宋体" w:hAnsi="宋体"/>
          <w:sz w:val="24"/>
        </w:rPr>
      </w:r>
      <w:r/>
    </w:p>
    <w:p>
      <w:pPr>
        <w:pStyle w:val="1014"/>
        <w:rPr>
          <w:rFonts w:ascii="宋体" w:hAnsi="宋体"/>
          <w:sz w:val="24"/>
        </w:rPr>
      </w:pPr>
      <w:r>
        <w:rPr>
          <w:rFonts w:ascii="宋体" w:hAnsi="宋体"/>
          <w:sz w:val="24"/>
        </w:rPr>
      </w:r>
      <w:r/>
    </w:p>
    <w:p>
      <w:pPr>
        <w:pStyle w:val="1014"/>
        <w:rPr>
          <w:rFonts w:ascii="宋体" w:hAnsi="宋体"/>
          <w:sz w:val="24"/>
        </w:rPr>
      </w:pPr>
      <w:r>
        <w:rPr>
          <w:rFonts w:ascii="宋体" w:hAnsi="宋体"/>
          <w:sz w:val="24"/>
        </w:rPr>
      </w:r>
      <w:r/>
    </w:p>
    <w:p>
      <w:pPr>
        <w:pStyle w:val="1014"/>
        <w:rPr>
          <w:rFonts w:ascii="宋体" w:hAnsi="宋体"/>
          <w:sz w:val="24"/>
        </w:rPr>
      </w:pPr>
      <w:r>
        <w:rPr>
          <w:rFonts w:ascii="宋体" w:hAnsi="宋体"/>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9"/>
      </w:pPr>
      <w:r/>
      <w:bookmarkStart w:id="214" w:name="_Toc14101"/>
      <w:r>
        <w:rPr>
          <w:rFonts w:hint="eastAsia" w:ascii="方正小标宋简体" w:hAnsi="方正小标宋简体" w:eastAsia="方正小标宋简体" w:cs="方正小标宋简体"/>
          <w:color w:val="000000"/>
          <w:sz w:val="32"/>
          <w:szCs w:val="32"/>
          <w:lang w:val="en-US"/>
        </w:rPr>
        <w:t xml:space="preserve">供应商信用承诺函</w:t>
      </w:r>
      <w:bookmarkEnd w:id="214"/>
      <w:r/>
      <w:r/>
    </w:p>
    <w:p>
      <w:pPr>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lang w:val="en-US" w:eastAsia="zh-CN"/>
        </w:rPr>
        <w:t xml:space="preserve">南京永埜工程咨询有限责任公司</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我公司</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我公司符合下列要求：</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outlineLvl w:val="9"/>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如果我公司中标</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（1）营业执照副本或事业单位法人登记证书；</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outlineLvl w:val="9"/>
      </w:pPr>
      <w:r>
        <w:rPr>
          <w:rFonts w:hint="eastAsia"/>
          <w:color w:val="000000"/>
          <w:sz w:val="24"/>
          <w:szCs w:val="24"/>
        </w:rPr>
        <w:t xml:space="preserve">本公司对上述承诺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p>
    <w:p>
      <w:pPr>
        <w:ind w:firstLine="492"/>
        <w:spacing w:line="460" w:lineRule="exact"/>
        <w:rPr>
          <w:color w:val="000000"/>
          <w:sz w:val="24"/>
          <w:szCs w:val="24"/>
        </w:rPr>
        <w:outlineLvl w:val="9"/>
      </w:pPr>
      <w:r>
        <w:rPr>
          <w:color w:val="000000"/>
          <w:sz w:val="24"/>
          <w:szCs w:val="24"/>
        </w:rPr>
      </w:r>
      <w:r/>
    </w:p>
    <w:p>
      <w:pPr>
        <w:pStyle w:val="1015"/>
        <w:rPr>
          <w:color w:val="000000"/>
          <w:sz w:val="24"/>
          <w:szCs w:val="24"/>
        </w:rPr>
        <w:outlineLvl w:val="9"/>
      </w:pPr>
      <w:r>
        <w:rPr>
          <w:color w:val="000000"/>
          <w:sz w:val="24"/>
          <w:szCs w:val="24"/>
        </w:rPr>
      </w:r>
      <w:r/>
    </w:p>
    <w:p>
      <w:pPr>
        <w:ind w:right="180" w:firstLine="360"/>
        <w:jc w:val="right"/>
        <w:spacing w:line="560" w:lineRule="exact"/>
        <w:rPr>
          <w:rFonts w:hint="eastAsia" w:ascii="宋体" w:hAnsi="宋体"/>
          <w:sz w:val="24"/>
          <w:szCs w:val="24"/>
        </w:rPr>
        <w:outlineLvl w:val="9"/>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outlineLvl w:val="9"/>
      </w:pPr>
      <w:r>
        <w:rPr>
          <w:rFonts w:hint="eastAsia"/>
          <w:color w:val="000000"/>
          <w:sz w:val="24"/>
          <w:szCs w:val="24"/>
        </w:rPr>
        <w:t xml:space="preserve">日  期：</w:t>
      </w:r>
      <w:r/>
    </w:p>
    <w:p>
      <w:pPr>
        <w:rPr>
          <w:sz w:val="24"/>
          <w:szCs w:val="24"/>
        </w:rPr>
        <w:outlineLvl w:val="9"/>
      </w:pPr>
      <w:r>
        <w:rPr>
          <w:sz w:val="24"/>
          <w:szCs w:val="24"/>
        </w:rPr>
      </w:r>
      <w:r/>
    </w:p>
    <w:p>
      <w:pPr>
        <w:spacing w:line="440" w:lineRule="exact"/>
        <w:rPr>
          <w:rFonts w:hint="eastAsia" w:ascii="宋体" w:hAnsi="宋体"/>
          <w:sz w:val="24"/>
          <w:szCs w:val="24"/>
          <w:lang w:eastAsia="zh-CN"/>
        </w:rPr>
        <w:outlineLvl w:val="9"/>
      </w:pPr>
      <w:r>
        <w:rPr>
          <w:rFonts w:hint="eastAsia" w:ascii="宋体" w:hAnsi="宋体"/>
          <w:sz w:val="24"/>
          <w:szCs w:val="24"/>
          <w:lang w:eastAsia="zh-CN"/>
        </w:rPr>
      </w:r>
      <w:r/>
    </w:p>
    <w:p>
      <w:pPr>
        <w:ind w:firstLine="480"/>
        <w:spacing w:line="440" w:lineRule="exact"/>
        <w:rPr>
          <w:rFonts w:hint="eastAsia" w:ascii="宋体" w:hAnsi="宋体"/>
          <w:b w:val="0"/>
          <w:bCs w:val="0"/>
          <w:sz w:val="24"/>
          <w:szCs w:val="24"/>
          <w:lang w:eastAsia="zh-CN"/>
        </w:rPr>
        <w:outlineLvl w:val="9"/>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outlineLvl w:val="9"/>
      </w:pPr>
      <w:r>
        <w:rPr>
          <w:rFonts w:hint="eastAsia" w:ascii="宋体" w:hAnsi="宋体"/>
          <w:b w:val="0"/>
          <w:bCs w:val="0"/>
          <w:sz w:val="24"/>
          <w:szCs w:val="24"/>
          <w:lang w:eastAsia="zh-CN"/>
        </w:rPr>
      </w:r>
      <w:r/>
    </w:p>
    <w:p>
      <w:pPr>
        <w:ind w:firstLine="480"/>
        <w:spacing w:line="440" w:lineRule="exact"/>
        <w:rPr>
          <w:rFonts w:hint="eastAsia" w:ascii="宋体" w:hAnsi="宋体"/>
          <w:b w:val="0"/>
          <w:bCs w:val="0"/>
          <w:sz w:val="24"/>
          <w:szCs w:val="24"/>
          <w:lang w:eastAsia="zh-CN"/>
        </w:rPr>
        <w:outlineLvl w:val="9"/>
      </w:pPr>
      <w:r>
        <w:rPr>
          <w:rFonts w:hint="eastAsia" w:ascii="宋体" w:hAnsi="宋体"/>
          <w:b w:val="0"/>
          <w:bCs w:val="0"/>
          <w:sz w:val="24"/>
          <w:szCs w:val="24"/>
          <w:lang w:eastAsia="zh-CN"/>
        </w:rPr>
      </w:r>
      <w:r/>
    </w:p>
    <w:p>
      <w:pPr>
        <w:rPr>
          <w:rFonts w:hint="eastAsia" w:ascii="黑体" w:hAnsi="黑体" w:eastAsia="黑体" w:cs="Times New Roman"/>
          <w:i/>
          <w:color w:val="000000"/>
          <w:sz w:val="32"/>
          <w:szCs w:val="32"/>
          <w:u w:val="single"/>
          <w:lang w:eastAsia="zh-CN"/>
        </w:rPr>
        <w:outlineLvl w:val="9"/>
      </w:pPr>
      <w:r>
        <w:rPr>
          <w:rFonts w:hint="eastAsia" w:ascii="黑体" w:hAnsi="黑体" w:eastAsia="黑体" w:cs="Times New Roman"/>
          <w:i/>
          <w:color w:val="000000"/>
          <w:sz w:val="32"/>
          <w:szCs w:val="32"/>
          <w:u w:val="single"/>
          <w:lang w:eastAsia="zh-CN"/>
        </w:rPr>
      </w:r>
      <w:r/>
    </w:p>
    <w:p>
      <w:pPr>
        <w:rPr>
          <w:rFonts w:hint="eastAsia" w:ascii="黑体" w:hAnsi="黑体" w:eastAsia="黑体" w:cs="Times New Roman"/>
          <w:i/>
          <w:color w:val="000000"/>
          <w:sz w:val="32"/>
          <w:szCs w:val="32"/>
          <w:u w:val="single"/>
        </w:rPr>
        <w:outlineLvl w:val="9"/>
      </w:pPr>
      <w:r>
        <w:rPr>
          <w:rFonts w:hint="eastAsia" w:ascii="黑体" w:hAnsi="黑体" w:eastAsia="黑体" w:cs="Times New Roman"/>
          <w:i w:val="0"/>
          <w:color w:val="000000"/>
          <w:sz w:val="32"/>
          <w:szCs w:val="32"/>
          <w:u w:val="none"/>
          <w:lang w:eastAsia="zh-CN"/>
        </w:rPr>
        <w:t xml:space="preserve">二</w:t>
      </w:r>
      <w:r>
        <w:rPr>
          <w:rFonts w:hint="eastAsia" w:ascii="黑体" w:hAnsi="黑体" w:eastAsia="黑体" w:cs="Times New Roman"/>
          <w:i w:val="0"/>
          <w:color w:val="000000"/>
          <w:sz w:val="32"/>
          <w:szCs w:val="32"/>
          <w:u w:val="none"/>
        </w:rPr>
        <w:t xml:space="preserve">、</w:t>
      </w:r>
      <w:r>
        <w:rPr>
          <w:rFonts w:hint="eastAsia" w:ascii="黑体" w:hAnsi="黑体" w:eastAsia="黑体" w:cs="Times New Roman"/>
          <w:i w:val="0"/>
          <w:color w:val="000000"/>
          <w:sz w:val="32"/>
          <w:szCs w:val="32"/>
          <w:u w:val="none"/>
          <w:lang w:val="en-US" w:eastAsia="zh-CN"/>
        </w:rPr>
        <w:t xml:space="preserve">满足</w:t>
      </w:r>
      <w:r>
        <w:rPr>
          <w:rFonts w:hint="eastAsia" w:ascii="黑体" w:hAnsi="黑体" w:eastAsia="黑体" w:cs="Times New Roman"/>
          <w:i w:val="0"/>
          <w:color w:val="000000"/>
          <w:sz w:val="32"/>
          <w:szCs w:val="32"/>
          <w:u w:val="none"/>
        </w:rPr>
        <w:t xml:space="preserve">特定资格要求的证明文件</w:t>
      </w:r>
      <w:r/>
    </w:p>
    <w:p>
      <w:pPr>
        <w:pStyle w:val="986"/>
        <w:ind w:firstLine="480"/>
        <w:rPr>
          <w:rFonts w:hint="eastAsia" w:ascii="Times New Roman" w:hAnsi="Times New Roman" w:eastAsia="宋体" w:cs="Times New Roman"/>
          <w:sz w:val="24"/>
          <w:szCs w:val="24"/>
        </w:rPr>
        <w:outlineLvl w:val="9"/>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outlineLvl w:val="9"/>
      </w:pPr>
      <w:r>
        <w:rPr>
          <w:rFonts w:hint="eastAsia" w:ascii="黑体" w:hAnsi="黑体" w:eastAsia="黑体" w:cs="Times New Roman"/>
          <w:i/>
          <w:sz w:val="32"/>
          <w:szCs w:val="32"/>
          <w:u w:val="single"/>
        </w:rPr>
      </w:r>
      <w:r/>
    </w:p>
    <w:p>
      <w:pPr>
        <w:pStyle w:val="1016"/>
        <w:rPr>
          <w:rFonts w:hint="eastAsia"/>
        </w:rPr>
        <w:outlineLvl w:val="9"/>
      </w:pPr>
      <w:r>
        <w:rPr>
          <w:rFonts w:hint="eastAsia"/>
        </w:rPr>
      </w:r>
      <w:r/>
    </w:p>
    <w:p>
      <w:pPr>
        <w:rPr>
          <w:rFonts w:hint="eastAsia"/>
        </w:rPr>
        <w:outlineLvl w:val="9"/>
      </w:pPr>
      <w:r>
        <w:rPr>
          <w:rFonts w:hint="eastAsia"/>
        </w:rPr>
      </w:r>
      <w:r/>
    </w:p>
    <w:p>
      <w:pPr>
        <w:rPr>
          <w:rFonts w:hint="eastAsia" w:ascii="黑体" w:hAnsi="黑体" w:eastAsia="黑体" w:cs="Times New Roman"/>
          <w:i/>
          <w:sz w:val="32"/>
          <w:szCs w:val="32"/>
          <w:u w:val="single"/>
        </w:rPr>
        <w:outlineLvl w:val="9"/>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outlineLvl w:val="9"/>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outlineLvl w:val="9"/>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outlineLvl w:val="9"/>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outlineLvl w:val="9"/>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lang w:eastAsia="zh-CN"/>
        </w:rPr>
        <w:outlineLvl w:val="9"/>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9"/>
      </w:pPr>
      <w:r>
        <w:rPr>
          <w:rFonts w:hint="eastAsia" w:ascii="黑体" w:hAnsi="黑体" w:eastAsia="黑体" w:cs="Times New Roman"/>
          <w:i w:val="0"/>
          <w:sz w:val="32"/>
          <w:szCs w:val="32"/>
          <w:u w:val="none"/>
          <w:lang w:eastAsia="zh-CN"/>
        </w:rPr>
        <w:br w:type="page" w:clear="all"/>
      </w: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9"/>
      </w:pPr>
      <w:r/>
      <w:bookmarkStart w:id="215" w:name="_Toc31930"/>
      <w:r>
        <w:rPr>
          <w:rFonts w:hint="eastAsia" w:ascii="方正小标宋简体" w:hAnsi="方正小标宋简体" w:eastAsia="方正小标宋简体" w:cs="方正小标宋简体"/>
          <w:color w:val="000000"/>
          <w:sz w:val="32"/>
          <w:szCs w:val="32"/>
          <w:lang w:val="en-US"/>
        </w:rPr>
        <w:t xml:space="preserve">法人授权书</w:t>
      </w:r>
      <w:bookmarkEnd w:id="215"/>
      <w:r/>
      <w:r/>
    </w:p>
    <w:p>
      <w:pPr>
        <w:pStyle w:val="986"/>
        <w:ind w:firstLine="480"/>
        <w:spacing w:line="420" w:lineRule="exact"/>
        <w:rPr>
          <w:rFonts w:hint="eastAsia"/>
          <w:sz w:val="24"/>
          <w:szCs w:val="24"/>
        </w:rPr>
        <w:outlineLvl w:val="9"/>
      </w:pPr>
      <w:r>
        <w:rPr>
          <w:rFonts w:hint="eastAsia"/>
          <w:sz w:val="24"/>
          <w:szCs w:val="24"/>
        </w:rPr>
      </w:r>
      <w:r/>
    </w:p>
    <w:p>
      <w:pPr>
        <w:pStyle w:val="986"/>
        <w:ind w:firstLine="480"/>
        <w:spacing w:line="480" w:lineRule="exact"/>
        <w:rPr>
          <w:rFonts w:hint="eastAsia"/>
          <w:sz w:val="24"/>
          <w:szCs w:val="24"/>
        </w:rPr>
        <w:outlineLvl w:val="9"/>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p>
    <w:p>
      <w:pPr>
        <w:pStyle w:val="986"/>
        <w:ind w:firstLine="480"/>
        <w:spacing w:line="480" w:lineRule="exact"/>
        <w:rPr>
          <w:rFonts w:hint="eastAsia"/>
          <w:sz w:val="24"/>
          <w:szCs w:val="24"/>
        </w:rPr>
        <w:outlineLvl w:val="9"/>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w:t>
      </w:r>
      <w:r>
        <w:rPr>
          <w:rFonts w:hint="eastAsia"/>
          <w:sz w:val="24"/>
          <w:szCs w:val="24"/>
          <w:lang w:eastAsia="zh-CN"/>
        </w:rPr>
        <w:t xml:space="preserve">，</w:t>
      </w:r>
      <w:r>
        <w:rPr>
          <w:rFonts w:hint="eastAsia"/>
          <w:sz w:val="24"/>
          <w:szCs w:val="24"/>
        </w:rPr>
        <w:t xml:space="preserve">特此声明。</w:t>
      </w:r>
      <w:r/>
    </w:p>
    <w:p>
      <w:pPr>
        <w:pStyle w:val="986"/>
        <w:ind w:firstLine="480"/>
        <w:spacing w:line="480" w:lineRule="exact"/>
        <w:rPr>
          <w:rFonts w:hint="eastAsia"/>
          <w:sz w:val="24"/>
          <w:szCs w:val="24"/>
        </w:rPr>
        <w:outlineLvl w:val="9"/>
      </w:pPr>
      <w:r>
        <w:rPr>
          <w:rFonts w:hint="eastAsia"/>
          <w:sz w:val="24"/>
          <w:szCs w:val="24"/>
        </w:rPr>
        <w:t xml:space="preserve">被授权人身份证号码：</w:t>
      </w:r>
      <w:r/>
    </w:p>
    <w:p>
      <w:pPr>
        <w:pStyle w:val="986"/>
        <w:ind w:firstLine="480"/>
        <w:spacing w:line="480" w:lineRule="exact"/>
        <w:rPr>
          <w:rFonts w:hint="eastAsia" w:eastAsia="宋体"/>
          <w:sz w:val="24"/>
          <w:szCs w:val="24"/>
          <w:u w:val="single"/>
          <w:lang w:val="en-US" w:eastAsia="zh-CN"/>
        </w:rPr>
        <w:outlineLvl w:val="9"/>
      </w:pPr>
      <w:r>
        <w:rPr>
          <w:rFonts w:hint="eastAsia"/>
          <w:sz w:val="24"/>
          <w:szCs w:val="24"/>
        </w:rPr>
        <w:t xml:space="preserve">被授权人联系电话：（手机）</w:t>
      </w:r>
      <w:r/>
    </w:p>
    <w:p>
      <w:pPr>
        <w:pStyle w:val="986"/>
        <w:spacing w:line="480" w:lineRule="exact"/>
        <w:rPr>
          <w:rFonts w:eastAsia="宋体"/>
          <w:sz w:val="24"/>
          <w:szCs w:val="24"/>
          <w:lang w:val="en-US" w:eastAsia="zh-CN"/>
        </w:rPr>
        <w:outlineLvl w:val="9"/>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86"/>
        <w:ind w:firstLine="480"/>
        <w:spacing w:line="480" w:lineRule="exact"/>
        <w:rPr>
          <w:rFonts w:hint="eastAsia"/>
          <w:sz w:val="24"/>
          <w:szCs w:val="24"/>
          <w:u w:val="single"/>
        </w:rPr>
        <w:outlineLvl w:val="9"/>
      </w:pPr>
      <w:r>
        <w:rPr>
          <w:rFonts w:hint="eastAsia"/>
          <w:sz w:val="24"/>
          <w:szCs w:val="24"/>
        </w:rPr>
        <w:t xml:space="preserve">单位地址：</w:t>
      </w:r>
      <w:r/>
    </w:p>
    <w:p>
      <w:pPr>
        <w:pStyle w:val="986"/>
        <w:ind w:firstLine="480"/>
        <w:spacing w:line="480" w:lineRule="exact"/>
        <w:rPr>
          <w:rFonts w:hint="eastAsia"/>
          <w:sz w:val="24"/>
          <w:szCs w:val="24"/>
        </w:rPr>
        <w:outlineLvl w:val="9"/>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16" w:name="_Hlt26955070"/>
      <w:r/>
      <w:bookmarkEnd w:id="216"/>
      <w:r/>
      <w:bookmarkStart w:id="217" w:name="_Hlt26671380"/>
      <w:r/>
      <w:bookmarkEnd w:id="217"/>
      <w:r/>
      <w:bookmarkStart w:id="218" w:name="_格式3__银行出具的资信证明"/>
      <w:r/>
      <w:bookmarkEnd w:id="218"/>
      <w:r/>
      <w:r/>
    </w:p>
    <w:p>
      <w:pPr>
        <w:pStyle w:val="905"/>
        <w:rPr>
          <w:rFonts w:hint="eastAsia"/>
          <w:i/>
          <w:sz w:val="24"/>
          <w:szCs w:val="24"/>
          <w:u w:val="single"/>
        </w:rPr>
        <w:outlineLvl w:val="9"/>
      </w:pPr>
      <w:r>
        <w:rPr>
          <w:rFonts w:hint="eastAsia"/>
          <w:i/>
          <w:sz w:val="24"/>
          <w:szCs w:val="24"/>
          <w:u w:val="single"/>
        </w:rPr>
      </w:r>
      <w:r/>
    </w:p>
    <w:p>
      <w:pPr>
        <w:pStyle w:val="905"/>
        <w:ind w:firstLine="0"/>
        <w:rPr>
          <w:rFonts w:hint="eastAsia"/>
        </w:rPr>
        <w:outlineLvl w:val="9"/>
      </w:pPr>
      <w:r>
        <w:rPr>
          <w:rFonts w:hint="eastAsia"/>
        </w:rPr>
      </w:r>
      <w:r/>
    </w:p>
    <w:p>
      <w:pPr>
        <w:spacing w:line="460" w:lineRule="exact"/>
        <w:rPr>
          <w:rFonts w:hint="eastAsia" w:ascii="楷体" w:hAnsi="楷体" w:eastAsia="楷体"/>
          <w:bCs/>
          <w:sz w:val="24"/>
          <w:szCs w:val="24"/>
        </w:rPr>
        <w:outlineLvl w:val="9"/>
      </w:pPr>
      <w:r>
        <w:rPr>
          <w:rFonts w:hint="eastAsia" w:ascii="楷体" w:hAnsi="楷体" w:eastAsia="楷体"/>
          <w:bCs/>
          <w:sz w:val="24"/>
          <w:szCs w:val="24"/>
        </w:rPr>
      </w:r>
      <w:r/>
    </w:p>
    <w:p>
      <w:pPr>
        <w:spacing w:line="460" w:lineRule="exact"/>
        <w:rPr>
          <w:rFonts w:hint="eastAsia" w:ascii="宋体" w:hAnsi="宋体"/>
          <w:bCs/>
          <w:sz w:val="24"/>
        </w:rPr>
        <w:outlineLvl w:val="9"/>
      </w:pPr>
      <w:r>
        <w:rPr>
          <w:rFonts w:hint="eastAsia" w:ascii="宋体" w:hAnsi="宋体"/>
          <w:bCs/>
          <w:sz w:val="24"/>
        </w:rPr>
      </w:r>
      <w:r/>
    </w:p>
    <w:p>
      <w:pPr>
        <w:pStyle w:val="1014"/>
        <w:rPr>
          <w:rFonts w:hint="eastAsia" w:ascii="宋体" w:hAnsi="宋体"/>
          <w:bCs/>
          <w:sz w:val="24"/>
        </w:rPr>
        <w:outlineLvl w:val="9"/>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9"/>
      </w:pPr>
      <w:r/>
      <w:bookmarkStart w:id="219" w:name="_Toc9536"/>
      <w:r>
        <w:rPr>
          <w:rFonts w:hint="eastAsia" w:ascii="方正小标宋简体" w:hAnsi="方正小标宋简体" w:eastAsia="方正小标宋简体" w:cs="方正小标宋简体"/>
          <w:color w:val="000000"/>
          <w:sz w:val="32"/>
          <w:szCs w:val="32"/>
          <w:lang w:val="en-US" w:eastAsia="zh-CN"/>
        </w:rPr>
        <w:t xml:space="preserve">投标函</w:t>
      </w:r>
      <w:bookmarkEnd w:id="219"/>
      <w:r/>
      <w:r/>
    </w:p>
    <w:p>
      <w:pPr>
        <w:pStyle w:val="988"/>
        <w:spacing w:before="0" w:after="0" w:line="420" w:lineRule="exact"/>
        <w:rPr>
          <w:rFonts w:hint="eastAsia" w:ascii="宋体" w:hAnsi="宋体"/>
          <w:szCs w:val="21"/>
          <w:lang w:eastAsia="zh-CN"/>
        </w:rPr>
        <w:outlineLvl w:val="9"/>
      </w:pPr>
      <w:r>
        <w:rPr>
          <w:rFonts w:hint="eastAsia" w:ascii="宋体" w:hAnsi="宋体"/>
          <w:szCs w:val="21"/>
        </w:rPr>
        <w:t xml:space="preserve">致：</w:t>
      </w:r>
      <w:r>
        <w:rPr>
          <w:rFonts w:hint="eastAsia" w:ascii="宋体" w:hAnsi="宋体"/>
          <w:szCs w:val="21"/>
          <w:lang w:eastAsia="zh-CN"/>
        </w:rPr>
        <w:t xml:space="preserve">南京永埜工程咨询有限责任公司</w:t>
      </w:r>
      <w:r/>
    </w:p>
    <w:p>
      <w:pPr>
        <w:pStyle w:val="988"/>
        <w:ind w:firstLine="480"/>
        <w:spacing w:before="0" w:after="0" w:line="420" w:lineRule="exact"/>
        <w:rPr>
          <w:rFonts w:hint="eastAsia" w:ascii="宋体" w:hAnsi="宋体"/>
          <w:szCs w:val="21"/>
        </w:rPr>
        <w:outlineLvl w:val="9"/>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88"/>
        <w:spacing w:before="0" w:after="0" w:line="420" w:lineRule="exact"/>
        <w:rPr>
          <w:rFonts w:hint="eastAsia" w:ascii="宋体" w:hAnsi="宋体"/>
          <w:szCs w:val="21"/>
        </w:rPr>
        <w:outlineLvl w:val="9"/>
      </w:pPr>
      <w:r>
        <w:rPr>
          <w:rFonts w:hint="eastAsia" w:ascii="宋体" w:hAnsi="宋体"/>
          <w:szCs w:val="21"/>
        </w:rPr>
        <w:t xml:space="preserve">1.按招标文件规定的各项要求</w:t>
      </w:r>
      <w:r>
        <w:rPr>
          <w:rFonts w:hint="eastAsia" w:ascii="宋体" w:hAnsi="宋体"/>
          <w:szCs w:val="21"/>
          <w:lang w:eastAsia="zh-CN"/>
        </w:rPr>
        <w:t xml:space="preserve">，</w:t>
      </w:r>
      <w:r>
        <w:rPr>
          <w:rFonts w:hint="eastAsia" w:ascii="宋体" w:hAnsi="宋体"/>
          <w:szCs w:val="21"/>
        </w:rPr>
        <w:t xml:space="preserve">向买方提供所需</w:t>
      </w:r>
      <w:r>
        <w:rPr>
          <w:rFonts w:hint="eastAsia" w:ascii="宋体" w:hAnsi="宋体"/>
          <w:szCs w:val="21"/>
          <w:lang w:val="en-US" w:eastAsia="zh-CN"/>
        </w:rPr>
        <w:t xml:space="preserve">货物</w:t>
      </w:r>
      <w:r>
        <w:rPr>
          <w:rFonts w:hint="eastAsia" w:ascii="宋体" w:hAnsi="宋体"/>
          <w:szCs w:val="21"/>
        </w:rPr>
        <w:t xml:space="preserve">（包含与</w:t>
      </w:r>
      <w:r>
        <w:rPr>
          <w:rFonts w:hint="eastAsia" w:ascii="宋体" w:hAnsi="宋体"/>
          <w:szCs w:val="21"/>
          <w:lang w:val="en-US" w:eastAsia="zh-CN"/>
        </w:rPr>
        <w:t xml:space="preserve">货物</w:t>
      </w:r>
      <w:r>
        <w:rPr>
          <w:rFonts w:hint="eastAsia" w:ascii="宋体" w:hAnsi="宋体"/>
          <w:szCs w:val="21"/>
        </w:rPr>
        <w:t xml:space="preserve">相关的</w:t>
      </w:r>
      <w:r>
        <w:rPr>
          <w:rFonts w:hint="eastAsia" w:ascii="宋体" w:hAnsi="宋体"/>
          <w:szCs w:val="21"/>
          <w:lang w:val="en-US" w:eastAsia="zh-CN"/>
        </w:rPr>
        <w:t xml:space="preserve">服务</w:t>
      </w:r>
      <w:r>
        <w:rPr>
          <w:rFonts w:hint="eastAsia" w:ascii="宋体" w:hAnsi="宋体"/>
          <w:szCs w:val="21"/>
        </w:rPr>
        <w:t xml:space="preserve">）。</w:t>
      </w:r>
      <w:r/>
    </w:p>
    <w:p>
      <w:pPr>
        <w:pStyle w:val="988"/>
        <w:spacing w:before="0" w:after="0" w:line="420" w:lineRule="exact"/>
        <w:rPr>
          <w:rFonts w:hint="eastAsia" w:ascii="宋体" w:hAnsi="宋体"/>
          <w:szCs w:val="21"/>
        </w:rPr>
        <w:outlineLvl w:val="9"/>
      </w:pPr>
      <w:r>
        <w:rPr>
          <w:rFonts w:hint="eastAsia" w:ascii="宋体" w:hAnsi="宋体"/>
          <w:szCs w:val="21"/>
        </w:rPr>
        <w:t xml:space="preserve">2.我们完全理解贵方不一定将合同授予最低报价的投标人。</w:t>
      </w:r>
      <w:r/>
    </w:p>
    <w:p>
      <w:pPr>
        <w:pStyle w:val="988"/>
        <w:spacing w:before="0" w:after="0" w:line="420" w:lineRule="exact"/>
        <w:rPr>
          <w:rFonts w:hint="eastAsia" w:ascii="宋体" w:hAnsi="宋体"/>
          <w:szCs w:val="21"/>
        </w:rPr>
        <w:outlineLvl w:val="9"/>
      </w:pPr>
      <w:r>
        <w:rPr>
          <w:rFonts w:hint="eastAsia" w:ascii="宋体" w:hAnsi="宋体"/>
          <w:szCs w:val="21"/>
        </w:rPr>
        <w:t xml:space="preserve">3.我们已详细审核全部招标文件及其有效补充文件</w:t>
      </w:r>
      <w:r>
        <w:rPr>
          <w:rFonts w:hint="eastAsia" w:ascii="宋体" w:hAnsi="宋体"/>
          <w:szCs w:val="21"/>
          <w:lang w:eastAsia="zh-CN"/>
        </w:rPr>
        <w:t xml:space="preserve">，</w:t>
      </w:r>
      <w:r>
        <w:rPr>
          <w:rFonts w:hint="eastAsia" w:ascii="宋体" w:hAnsi="宋体"/>
          <w:szCs w:val="21"/>
        </w:rPr>
        <w:t xml:space="preserve">我们知道必须放弃提出含糊不清或误解问题的权利。</w:t>
      </w:r>
      <w:r/>
    </w:p>
    <w:p>
      <w:pPr>
        <w:pStyle w:val="988"/>
        <w:spacing w:before="0" w:after="0" w:line="420" w:lineRule="exact"/>
        <w:rPr>
          <w:rFonts w:hint="eastAsia" w:ascii="宋体" w:hAnsi="宋体"/>
          <w:szCs w:val="21"/>
        </w:rPr>
        <w:outlineLvl w:val="9"/>
      </w:pPr>
      <w:r>
        <w:rPr>
          <w:rFonts w:hint="eastAsia" w:ascii="宋体" w:hAnsi="宋体"/>
          <w:szCs w:val="21"/>
        </w:rPr>
        <w:t xml:space="preserve">4.我们同意从规定的开标日期起遵循本投标文件</w:t>
      </w:r>
      <w:r>
        <w:rPr>
          <w:rFonts w:hint="eastAsia" w:ascii="宋体" w:hAnsi="宋体"/>
          <w:szCs w:val="21"/>
          <w:lang w:eastAsia="zh-CN"/>
        </w:rPr>
        <w:t xml:space="preserve">，</w:t>
      </w:r>
      <w:r>
        <w:rPr>
          <w:rFonts w:hint="eastAsia" w:ascii="宋体" w:hAnsi="宋体"/>
          <w:szCs w:val="21"/>
        </w:rPr>
        <w:t xml:space="preserve">并在规定的投标有效期期满之前均具有约束力。</w:t>
      </w:r>
      <w:r/>
    </w:p>
    <w:p>
      <w:pPr>
        <w:pStyle w:val="988"/>
        <w:spacing w:before="0" w:after="0" w:line="420" w:lineRule="exact"/>
        <w:rPr>
          <w:rFonts w:hint="eastAsia" w:ascii="宋体" w:hAnsi="宋体"/>
          <w:szCs w:val="21"/>
        </w:rPr>
        <w:outlineLvl w:val="9"/>
      </w:pPr>
      <w:r>
        <w:rPr>
          <w:rFonts w:ascii="宋体" w:hAnsi="宋体"/>
          <w:szCs w:val="21"/>
        </w:rPr>
        <w:t xml:space="preserve">5</w:t>
      </w:r>
      <w:r>
        <w:rPr>
          <w:rFonts w:hint="eastAsia" w:ascii="宋体" w:hAnsi="宋体"/>
          <w:szCs w:val="21"/>
        </w:rPr>
        <w:t xml:space="preserve">.同意向贵方提供贵方可能另外要求的与投标有关的任何证据或资料</w:t>
      </w:r>
      <w:r>
        <w:rPr>
          <w:rFonts w:hint="eastAsia" w:ascii="宋体" w:hAnsi="宋体"/>
          <w:szCs w:val="21"/>
          <w:lang w:eastAsia="zh-CN"/>
        </w:rPr>
        <w:t xml:space="preserve">，</w:t>
      </w:r>
      <w:r>
        <w:rPr>
          <w:rFonts w:hint="eastAsia" w:ascii="宋体" w:hAnsi="宋体"/>
          <w:szCs w:val="21"/>
        </w:rPr>
        <w:t xml:space="preserve">并保证我方已提供和将要提供的文件是真实的、准确的。</w:t>
      </w:r>
      <w:r/>
    </w:p>
    <w:p>
      <w:pPr>
        <w:pStyle w:val="988"/>
        <w:spacing w:before="0" w:after="0" w:line="420" w:lineRule="exact"/>
        <w:rPr>
          <w:rFonts w:hint="eastAsia" w:ascii="宋体" w:hAnsi="宋体"/>
          <w:szCs w:val="21"/>
        </w:rPr>
        <w:outlineLvl w:val="9"/>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w:t>
      </w:r>
      <w:r>
        <w:rPr>
          <w:rFonts w:hint="eastAsia" w:ascii="宋体" w:hAnsi="宋体"/>
          <w:szCs w:val="21"/>
          <w:lang w:eastAsia="zh-CN"/>
        </w:rPr>
        <w:t xml:space="preserve">，</w:t>
      </w:r>
      <w:r>
        <w:rPr>
          <w:rFonts w:hint="eastAsia" w:ascii="宋体" w:hAnsi="宋体"/>
          <w:szCs w:val="21"/>
        </w:rPr>
        <w:t xml:space="preserve">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w:t>
      </w:r>
      <w:r>
        <w:rPr>
          <w:rFonts w:hint="eastAsia" w:ascii="宋体" w:hAnsi="宋体"/>
          <w:szCs w:val="21"/>
          <w:lang w:eastAsia="zh-CN"/>
        </w:rPr>
        <w:t xml:space="preserve">，</w:t>
      </w:r>
      <w:r>
        <w:rPr>
          <w:rFonts w:hint="eastAsia" w:ascii="宋体" w:hAnsi="宋体"/>
          <w:szCs w:val="21"/>
        </w:rPr>
        <w:t xml:space="preserve">交付买方验收、使用。</w:t>
      </w:r>
      <w:r/>
    </w:p>
    <w:p>
      <w:pPr>
        <w:ind w:firstLine="480"/>
        <w:jc w:val="left"/>
        <w:spacing w:line="420" w:lineRule="exact"/>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988"/>
        <w:spacing w:before="0" w:after="0" w:line="420" w:lineRule="exact"/>
        <w:rPr>
          <w:rFonts w:hint="eastAsia" w:ascii="宋体" w:hAnsi="宋体"/>
          <w:szCs w:val="21"/>
        </w:rPr>
        <w:outlineLvl w:val="9"/>
      </w:pPr>
      <w:r>
        <w:rPr>
          <w:rFonts w:hint="eastAsia" w:ascii="宋体" w:hAnsi="宋体"/>
          <w:szCs w:val="21"/>
          <w:lang w:val="en-US" w:eastAsia="zh-CN"/>
        </w:rPr>
        <w:t xml:space="preserve">8</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88"/>
        <w:ind w:left="0" w:firstLine="480"/>
        <w:spacing w:before="0" w:after="0" w:line="420" w:lineRule="exact"/>
        <w:rPr>
          <w:rFonts w:hint="eastAsia" w:ascii="宋体" w:hAnsi="宋体"/>
          <w:szCs w:val="21"/>
        </w:rPr>
        <w:outlineLvl w:val="9"/>
      </w:pPr>
      <w:r>
        <w:rPr>
          <w:rFonts w:hint="eastAsia" w:ascii="宋体" w:hAnsi="宋体"/>
          <w:szCs w:val="21"/>
        </w:rPr>
        <w:t xml:space="preserve">地  址：</w:t>
      </w:r>
      <w:r/>
    </w:p>
    <w:p>
      <w:pPr>
        <w:pStyle w:val="988"/>
        <w:ind w:left="0" w:firstLine="480"/>
        <w:spacing w:before="0" w:after="0" w:line="420" w:lineRule="exact"/>
        <w:rPr>
          <w:rFonts w:hint="eastAsia" w:ascii="宋体" w:hAnsi="宋体"/>
          <w:szCs w:val="21"/>
          <w:u w:val="none"/>
          <w:lang w:val="en-US" w:eastAsia="zh-CN"/>
        </w:rPr>
        <w:outlineLvl w:val="9"/>
      </w:pPr>
      <w:r>
        <w:rPr>
          <w:rFonts w:hint="eastAsia" w:ascii="宋体" w:hAnsi="宋体"/>
          <w:szCs w:val="21"/>
        </w:rPr>
        <w:t xml:space="preserve">邮  编：</w:t>
      </w:r>
      <w:r/>
    </w:p>
    <w:p>
      <w:pPr>
        <w:pStyle w:val="988"/>
        <w:ind w:left="0" w:firstLine="480"/>
        <w:spacing w:before="0" w:after="0" w:line="420" w:lineRule="exact"/>
        <w:rPr>
          <w:rFonts w:hint="eastAsia" w:ascii="宋体" w:hAnsi="宋体"/>
          <w:szCs w:val="21"/>
          <w:u w:val="single"/>
          <w:lang w:val="en-US" w:eastAsia="zh-CN"/>
        </w:rPr>
        <w:outlineLvl w:val="9"/>
      </w:pPr>
      <w:r>
        <w:rPr>
          <w:rFonts w:hint="eastAsia" w:ascii="宋体" w:hAnsi="宋体"/>
          <w:szCs w:val="21"/>
        </w:rPr>
        <w:t xml:space="preserve">电  话：</w:t>
      </w:r>
      <w:r/>
    </w:p>
    <w:p>
      <w:pPr>
        <w:pStyle w:val="988"/>
        <w:ind w:left="0" w:firstLine="480"/>
        <w:spacing w:before="0" w:after="0" w:line="420" w:lineRule="exact"/>
        <w:rPr>
          <w:rFonts w:hint="eastAsia" w:ascii="宋体" w:hAnsi="宋体"/>
          <w:szCs w:val="21"/>
          <w:u w:val="single"/>
          <w:lang w:val="en-US" w:eastAsia="zh-CN"/>
        </w:rPr>
        <w:outlineLvl w:val="9"/>
      </w:pPr>
      <w:r>
        <w:rPr>
          <w:rFonts w:hint="eastAsia" w:ascii="宋体" w:hAnsi="宋体"/>
          <w:szCs w:val="21"/>
        </w:rPr>
        <w:t xml:space="preserve">传  真：</w:t>
      </w:r>
      <w:r/>
    </w:p>
    <w:p>
      <w:pPr>
        <w:pStyle w:val="988"/>
        <w:ind w:left="0" w:firstLine="480"/>
        <w:spacing w:before="0" w:after="0" w:line="420" w:lineRule="exact"/>
        <w:rPr>
          <w:rFonts w:hint="eastAsia" w:ascii="宋体" w:hAnsi="宋体"/>
          <w:szCs w:val="21"/>
          <w:u w:val="single"/>
          <w:lang w:val="en-US" w:eastAsia="zh-CN"/>
        </w:rPr>
        <w:outlineLvl w:val="9"/>
      </w:pPr>
      <w:r>
        <w:rPr>
          <w:rFonts w:hint="eastAsia" w:ascii="宋体" w:hAnsi="宋体"/>
          <w:szCs w:val="21"/>
        </w:rPr>
        <w:t xml:space="preserve">开户行：</w:t>
      </w:r>
      <w:r/>
    </w:p>
    <w:p>
      <w:pPr>
        <w:pStyle w:val="988"/>
        <w:ind w:left="0" w:firstLine="480"/>
        <w:spacing w:before="0" w:after="0" w:line="420" w:lineRule="exact"/>
        <w:rPr>
          <w:rFonts w:hint="eastAsia" w:ascii="宋体" w:hAnsi="宋体"/>
          <w:szCs w:val="21"/>
          <w:u w:val="single"/>
          <w:lang w:val="en-US" w:eastAsia="zh-CN"/>
        </w:rPr>
        <w:outlineLvl w:val="9"/>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outlineLvl w:val="9"/>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88"/>
        <w:ind w:left="0" w:firstLine="480"/>
        <w:spacing w:before="0" w:after="0" w:line="420" w:lineRule="exact"/>
        <w:rPr>
          <w:rFonts w:hint="eastAsia" w:ascii="宋体" w:hAnsi="宋体"/>
          <w:szCs w:val="21"/>
        </w:rPr>
        <w:outlineLvl w:val="9"/>
      </w:pPr>
      <w:r>
        <w:rPr>
          <w:rFonts w:hint="eastAsia" w:ascii="宋体" w:hAnsi="宋体"/>
          <w:szCs w:val="21"/>
        </w:rPr>
        <w:t xml:space="preserve">日  期：</w:t>
      </w:r>
      <w:r/>
    </w:p>
    <w:p>
      <w:pPr>
        <w:ind w:firstLine="240"/>
        <w:jc w:val="center"/>
        <w:spacing w:line="560" w:lineRule="exact"/>
        <w:rPr>
          <w:rFonts w:hint="eastAsia" w:ascii="宋体" w:hAnsi="宋体"/>
          <w:bCs/>
          <w:sz w:val="24"/>
        </w:rPr>
        <w:outlineLvl w:val="9"/>
      </w:pPr>
      <w:r>
        <w:rPr>
          <w:rFonts w:hint="eastAsia" w:ascii="宋体" w:hAnsi="宋体"/>
          <w:bCs/>
          <w:sz w:val="24"/>
        </w:rPr>
      </w:r>
      <w:r/>
    </w:p>
    <w:p>
      <w:pPr>
        <w:ind w:firstLine="240"/>
        <w:jc w:val="center"/>
        <w:spacing w:line="560" w:lineRule="exact"/>
        <w:rPr>
          <w:rFonts w:hint="eastAsia" w:ascii="宋体" w:hAnsi="宋体"/>
          <w:bCs/>
          <w:sz w:val="24"/>
        </w:rPr>
        <w:outlineLvl w:val="9"/>
      </w:pPr>
      <w:r>
        <w:rPr>
          <w:rFonts w:hint="eastAsia" w:ascii="宋体" w:hAnsi="宋体"/>
          <w:bCs/>
          <w:sz w:val="24"/>
        </w:rPr>
      </w:r>
      <w:r/>
    </w:p>
    <w:p>
      <w:pPr>
        <w:ind w:firstLine="240"/>
        <w:jc w:val="center"/>
        <w:spacing w:line="560" w:lineRule="exact"/>
        <w:rPr>
          <w:rFonts w:hint="eastAsia" w:ascii="宋体" w:hAnsi="宋体"/>
          <w:bCs/>
          <w:sz w:val="24"/>
        </w:rPr>
        <w:outlineLvl w:val="9"/>
      </w:pPr>
      <w:r>
        <w:rPr>
          <w:rFonts w:hint="eastAsia" w:ascii="宋体" w:hAnsi="宋体"/>
          <w:bCs/>
          <w:sz w:val="24"/>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t xml:space="preserve">五、开标一览表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bookmarkStart w:id="220" w:name="_Toc24643"/>
      <w:r>
        <w:rPr>
          <w:rFonts w:hint="eastAsia" w:ascii="方正小标宋简体" w:hAnsi="方正小标宋简体" w:eastAsia="方正小标宋简体" w:cs="方正小标宋简体"/>
          <w:color w:val="000000"/>
          <w:sz w:val="32"/>
          <w:szCs w:val="32"/>
          <w:lang w:val="en-US" w:eastAsia="zh-CN"/>
        </w:rPr>
        <w:t xml:space="preserve">开标一览表</w:t>
      </w:r>
      <w:bookmarkEnd w:id="220"/>
      <w:r/>
      <w:r/>
    </w:p>
    <w:p>
      <w:pPr>
        <w:ind w:firstLine="0"/>
        <w:rPr>
          <w:rFonts w:hint="eastAsia" w:ascii="宋体" w:hAnsi="宋体"/>
          <w:sz w:val="24"/>
          <w:szCs w:val="24"/>
        </w:rPr>
        <w:outlineLvl w:val="9"/>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rPr>
          <w:sz w:val="24"/>
          <w:szCs w:val="24"/>
        </w:rPr>
        <w:outlineLvl w:val="9"/>
      </w:pPr>
      <w:r>
        <w:rPr>
          <w:rFonts w:hint="eastAsia" w:ascii="宋体" w:hAnsi="宋体"/>
          <w:sz w:val="24"/>
          <w:szCs w:val="24"/>
        </w:rPr>
        <w:t xml:space="preserve">项目名称：</w:t>
      </w:r>
      <w:r/>
    </w:p>
    <w:p>
      <w:pPr>
        <w:ind w:firstLine="0"/>
        <w:rPr>
          <w:rFonts w:ascii="宋体" w:hAnsi="宋体"/>
          <w:sz w:val="24"/>
          <w:szCs w:val="24"/>
        </w:rPr>
        <w:outlineLvl w:val="9"/>
      </w:pPr>
      <w:r>
        <w:rPr>
          <w:rFonts w:hint="eastAsia" w:ascii="宋体" w:hAnsi="宋体"/>
          <w:sz w:val="24"/>
          <w:szCs w:val="24"/>
          <w:lang w:val="en-US" w:eastAsia="zh-CN"/>
        </w:rPr>
        <w:t xml:space="preserve">项目</w:t>
      </w:r>
      <w:r>
        <w:rPr>
          <w:rFonts w:hint="eastAsia" w:ascii="宋体" w:hAnsi="宋体"/>
          <w:sz w:val="24"/>
          <w:szCs w:val="24"/>
        </w:rPr>
        <w:t xml:space="preserve">编号：                                   分包号：</w:t>
      </w:r>
      <w:r/>
    </w:p>
    <w:tbl>
      <w:tblPr>
        <w:tblStyle w:val="727"/>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ascii="宋体" w:hAnsi="宋体"/>
                <w:sz w:val="24"/>
                <w:szCs w:val="24"/>
              </w:rPr>
              <w:outlineLvl w:val="9"/>
            </w:pPr>
            <w:r>
              <w:rPr>
                <w:rFonts w:hint="eastAsia" w:ascii="宋体" w:hAnsi="宋体"/>
                <w:sz w:val="24"/>
                <w:szCs w:val="24"/>
              </w:rPr>
              <w:t xml:space="preserve">投标总报价</w:t>
            </w:r>
            <w:r/>
          </w:p>
        </w:tc>
      </w:tr>
      <w:tr>
        <w:trPr>
          <w:cantSplit/>
          <w:trHeight w:val="720"/>
        </w:trPr>
        <w:tc>
          <w:tcPr>
            <w:tcW w:w="9450" w:type="dxa"/>
            <w:vAlign w:val="center"/>
            <w:textDirection w:val="lrTb"/>
            <w:noWrap w:val="false"/>
          </w:tcPr>
          <w:p>
            <w:pPr>
              <w:pStyle w:val="988"/>
              <w:ind w:firstLine="0"/>
              <w:spacing w:before="0" w:after="0" w:line="500" w:lineRule="exact"/>
              <w:rPr>
                <w:rFonts w:hint="eastAsia" w:ascii="宋体" w:hAnsi="宋体"/>
                <w:szCs w:val="21"/>
              </w:rPr>
              <w:outlineLvl w:val="9"/>
            </w:pPr>
            <w:r>
              <w:rPr>
                <w:rFonts w:hint="eastAsia" w:ascii="宋体" w:hAnsi="宋体" w:cs="宋体"/>
              </w:rPr>
              <w:t xml:space="preserve">小写（元）：                             </w:t>
            </w:r>
            <w:r/>
          </w:p>
        </w:tc>
      </w:tr>
    </w:tbl>
    <w:p>
      <w:pPr>
        <w:rPr>
          <w:rFonts w:ascii="宋体" w:hAnsi="宋体"/>
          <w:sz w:val="24"/>
          <w:szCs w:val="24"/>
        </w:rPr>
        <w:outlineLvl w:val="9"/>
      </w:pPr>
      <w:r>
        <w:rPr>
          <w:rFonts w:ascii="宋体" w:hAnsi="宋体"/>
          <w:sz w:val="24"/>
          <w:szCs w:val="24"/>
        </w:rPr>
      </w:r>
      <w:r/>
    </w:p>
    <w:p>
      <w:pPr>
        <w:ind w:firstLine="480"/>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jc w:val="center"/>
        <w:spacing w:line="360" w:lineRule="auto"/>
        <w:rPr>
          <w:rFonts w:hint="eastAsia" w:ascii="黑体" w:eastAsia="黑体" w:cs="Times New Roman"/>
          <w:color w:val="000000"/>
          <w:sz w:val="32"/>
          <w:szCs w:val="32"/>
          <w:lang w:val="en-US" w:eastAsia="zh-CN"/>
        </w:rPr>
        <w:outlineLvl w:val="9"/>
      </w:pPr>
      <w:r>
        <w:rPr>
          <w:rFonts w:hint="eastAsia" w:ascii="黑体" w:eastAsia="黑体" w:cs="Times New Roman"/>
          <w:color w:val="000000"/>
          <w:sz w:val="32"/>
          <w:szCs w:val="32"/>
          <w:lang w:val="en-US" w:eastAsia="zh-CN"/>
        </w:rPr>
      </w:r>
      <w:r/>
    </w:p>
    <w:p>
      <w:pPr>
        <w:numPr>
          <w:ilvl w:val="0"/>
          <w:numId w:val="0"/>
        </w:num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br w:type="page" w:clear="all"/>
      </w:r>
      <w:r>
        <w:rPr>
          <w:rFonts w:hint="eastAsia" w:ascii="黑体" w:hAnsi="黑体" w:eastAsia="黑体" w:cs="Times New Roman"/>
          <w:i w:val="0"/>
          <w:sz w:val="32"/>
          <w:szCs w:val="32"/>
          <w:u w:val="none"/>
          <w:lang w:val="en-US" w:eastAsia="zh-CN"/>
        </w:rPr>
        <w:t xml:space="preserve">六、投标分项报价表</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bookmarkStart w:id="221" w:name="_Toc28329"/>
      <w:r>
        <w:rPr>
          <w:rFonts w:hint="eastAsia" w:ascii="方正小标宋简体" w:hAnsi="方正小标宋简体" w:eastAsia="方正小标宋简体" w:cs="方正小标宋简体"/>
          <w:color w:val="000000"/>
          <w:sz w:val="32"/>
          <w:szCs w:val="32"/>
          <w:lang w:val="en-US" w:eastAsia="zh-CN"/>
        </w:rPr>
        <w:t xml:space="preserve">投标分项报价表</w:t>
      </w:r>
      <w:bookmarkEnd w:id="221"/>
      <w:r/>
      <w:r/>
    </w:p>
    <w:tbl>
      <w:tblPr>
        <w:tblStyle w:val="727"/>
        <w:tblW w:w="96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276"/>
        <w:gridCol w:w="992"/>
        <w:gridCol w:w="1476"/>
        <w:gridCol w:w="1470"/>
        <w:gridCol w:w="830"/>
        <w:gridCol w:w="820"/>
        <w:gridCol w:w="800"/>
        <w:gridCol w:w="1170"/>
      </w:tblGrid>
      <w:tr>
        <w:trPr>
          <w:cantSplit/>
          <w:trHeight w:val="603"/>
        </w:trPr>
        <w:tc>
          <w:tcPr>
            <w:tcW w:w="837" w:type="dxa"/>
            <w:vAlign w:val="center"/>
            <w:vMerge w:val="restart"/>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序号</w:t>
            </w:r>
            <w:r/>
          </w:p>
        </w:tc>
        <w:tc>
          <w:tcPr>
            <w:tcW w:w="12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lang w:eastAsia="zh-CN"/>
              </w:rPr>
              <w:t xml:space="preserve">产品</w:t>
            </w:r>
            <w:r>
              <w:rPr>
                <w:rFonts w:hint="eastAsia" w:ascii="宋体" w:hAnsi="宋体"/>
                <w:sz w:val="24"/>
                <w:szCs w:val="24"/>
              </w:rPr>
              <w:t xml:space="preserve">名称</w:t>
            </w:r>
            <w:r/>
          </w:p>
        </w:tc>
        <w:tc>
          <w:tcPr>
            <w:tcW w:w="992" w:type="dxa"/>
            <w:vAlign w:val="center"/>
            <w:textDirection w:val="lrTb"/>
            <w:noWrap w:val="false"/>
          </w:tcPr>
          <w:p>
            <w:pPr>
              <w:jc w:val="center"/>
              <w:spacing w:line="0" w:lineRule="atLeast"/>
              <w:rPr>
                <w:rFonts w:hint="eastAsia" w:ascii="宋体" w:hAnsi="宋体"/>
                <w:sz w:val="24"/>
                <w:szCs w:val="24"/>
                <w:lang w:eastAsia="zh-CN"/>
              </w:rPr>
              <w:outlineLvl w:val="9"/>
            </w:pPr>
            <w:r>
              <w:rPr>
                <w:rFonts w:hint="eastAsia" w:ascii="宋体" w:hAnsi="宋体"/>
                <w:sz w:val="24"/>
                <w:szCs w:val="24"/>
              </w:rPr>
              <w:t xml:space="preserve">品牌</w:t>
            </w:r>
            <w:r/>
          </w:p>
        </w:tc>
        <w:tc>
          <w:tcPr>
            <w:tcW w:w="1476" w:type="dxa"/>
            <w:vAlign w:val="center"/>
            <w:textDirection w:val="lrTb"/>
            <w:noWrap w:val="false"/>
          </w:tcPr>
          <w:p>
            <w:pPr>
              <w:jc w:val="center"/>
              <w:spacing w:line="0" w:lineRule="atLeast"/>
              <w:rPr>
                <w:rFonts w:hint="eastAsia" w:ascii="宋体" w:hAnsi="宋体" w:eastAsia="宋体"/>
                <w:sz w:val="24"/>
                <w:szCs w:val="24"/>
                <w:lang w:val="en-US" w:eastAsia="zh-CN"/>
              </w:rPr>
              <w:outlineLvl w:val="9"/>
            </w:pPr>
            <w:r>
              <w:rPr>
                <w:rFonts w:hint="eastAsia" w:ascii="宋体" w:hAnsi="宋体"/>
                <w:sz w:val="24"/>
                <w:szCs w:val="24"/>
              </w:rPr>
              <w:t xml:space="preserve">规格</w:t>
            </w:r>
            <w:r>
              <w:rPr>
                <w:rFonts w:hint="eastAsia" w:ascii="宋体" w:hAnsi="宋体"/>
                <w:sz w:val="24"/>
                <w:szCs w:val="24"/>
                <w:lang w:eastAsia="zh-CN"/>
              </w:rPr>
              <w:t xml:space="preserve">或型号</w:t>
            </w:r>
            <w:r/>
          </w:p>
        </w:tc>
        <w:tc>
          <w:tcPr>
            <w:tcW w:w="1470" w:type="dxa"/>
            <w:vAlign w:val="center"/>
            <w:textDirection w:val="lrTb"/>
            <w:noWrap w:val="false"/>
          </w:tcPr>
          <w:p>
            <w:pPr>
              <w:jc w:val="center"/>
              <w:spacing w:line="0" w:lineRule="atLeast"/>
              <w:rPr>
                <w:rFonts w:hint="eastAsia" w:ascii="宋体" w:hAnsi="宋体" w:eastAsia="宋体"/>
                <w:sz w:val="24"/>
                <w:szCs w:val="24"/>
                <w:lang w:eastAsia="zh-CN"/>
              </w:rPr>
              <w:outlineLvl w:val="9"/>
            </w:pPr>
            <w:r>
              <w:rPr>
                <w:rFonts w:hint="eastAsia" w:ascii="宋体" w:hAnsi="宋体"/>
                <w:sz w:val="24"/>
                <w:szCs w:val="24"/>
              </w:rPr>
              <w:t xml:space="preserve">交付期</w:t>
            </w:r>
            <w:r>
              <w:rPr>
                <w:rFonts w:hint="eastAsia" w:ascii="宋体" w:hAnsi="宋体"/>
                <w:sz w:val="24"/>
                <w:szCs w:val="24"/>
                <w:lang w:eastAsia="zh-CN"/>
              </w:rPr>
              <w:t xml:space="preserve">（</w:t>
            </w:r>
            <w:r>
              <w:rPr>
                <w:rFonts w:hint="eastAsia" w:ascii="宋体" w:hAnsi="宋体"/>
                <w:sz w:val="24"/>
                <w:szCs w:val="24"/>
                <w:lang w:val="en-US" w:eastAsia="zh-CN"/>
              </w:rPr>
              <w:t xml:space="preserve">天</w:t>
            </w:r>
            <w:r>
              <w:rPr>
                <w:rFonts w:hint="eastAsia" w:ascii="宋体" w:hAnsi="宋体"/>
                <w:sz w:val="24"/>
                <w:szCs w:val="24"/>
                <w:lang w:eastAsia="zh-CN"/>
              </w:rPr>
              <w:t xml:space="preserve">）</w:t>
            </w:r>
            <w:r/>
          </w:p>
        </w:tc>
        <w:tc>
          <w:tcPr>
            <w:tcW w:w="83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数量</w:t>
            </w:r>
            <w:r/>
          </w:p>
        </w:tc>
        <w:tc>
          <w:tcPr>
            <w:tcW w:w="82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单位</w:t>
            </w:r>
            <w:r/>
          </w:p>
        </w:tc>
        <w:tc>
          <w:tcPr>
            <w:tcW w:w="800" w:type="dxa"/>
            <w:vAlign w:val="center"/>
            <w:textDirection w:val="lrTb"/>
            <w:noWrap w:val="false"/>
          </w:tcPr>
          <w:p>
            <w:pPr>
              <w:jc w:val="center"/>
              <w:spacing w:line="0" w:lineRule="atLeast"/>
              <w:rPr>
                <w:rFonts w:hint="eastAsia" w:ascii="宋体" w:hAnsi="宋体" w:eastAsia="宋体"/>
                <w:sz w:val="24"/>
                <w:szCs w:val="24"/>
                <w:lang w:eastAsia="zh-CN"/>
              </w:rPr>
              <w:outlineLvl w:val="9"/>
            </w:pPr>
            <w:r>
              <w:rPr>
                <w:rFonts w:hint="eastAsia" w:ascii="宋体" w:hAnsi="宋体"/>
                <w:sz w:val="24"/>
                <w:szCs w:val="24"/>
              </w:rPr>
              <w:t xml:space="preserve">单价</w:t>
            </w:r>
            <w:r/>
          </w:p>
        </w:tc>
        <w:tc>
          <w:tcPr>
            <w:tcW w:w="11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总价</w:t>
            </w:r>
            <w:r/>
          </w:p>
        </w:tc>
      </w:tr>
      <w:tr>
        <w:trPr>
          <w:cantSplit/>
          <w:trHeight w:val="654"/>
        </w:trPr>
        <w:tc>
          <w:tcPr>
            <w:tcW w:w="837"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1</w:t>
            </w:r>
            <w:r/>
          </w:p>
        </w:tc>
        <w:tc>
          <w:tcPr>
            <w:tcW w:w="12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r>
      <w:tr>
        <w:trPr>
          <w:cantSplit/>
          <w:trHeight w:val="654"/>
        </w:trPr>
        <w:tc>
          <w:tcPr>
            <w:tcW w:w="837"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2</w:t>
            </w:r>
            <w:r/>
          </w:p>
        </w:tc>
        <w:tc>
          <w:tcPr>
            <w:tcW w:w="12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r>
      <w:tr>
        <w:trPr>
          <w:cantSplit/>
          <w:trHeight w:val="654"/>
        </w:trPr>
        <w:tc>
          <w:tcPr>
            <w:tcW w:w="837"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t xml:space="preserve">3</w:t>
            </w:r>
            <w:r/>
          </w:p>
        </w:tc>
        <w:tc>
          <w:tcPr>
            <w:tcW w:w="12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992"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6"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4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3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2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80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c>
          <w:tcPr>
            <w:tcW w:w="1170" w:type="dxa"/>
            <w:vAlign w:val="center"/>
            <w:textDirection w:val="lrTb"/>
            <w:noWrap w:val="false"/>
          </w:tcPr>
          <w:p>
            <w:pPr>
              <w:jc w:val="center"/>
              <w:spacing w:line="0" w:lineRule="atLeast"/>
              <w:rPr>
                <w:rFonts w:hint="eastAsia" w:ascii="宋体" w:hAnsi="宋体"/>
                <w:sz w:val="24"/>
                <w:szCs w:val="24"/>
              </w:rPr>
              <w:outlineLvl w:val="9"/>
            </w:pPr>
            <w:r>
              <w:rPr>
                <w:rFonts w:hint="eastAsia" w:ascii="宋体" w:hAnsi="宋体"/>
                <w:sz w:val="24"/>
                <w:szCs w:val="24"/>
              </w:rPr>
            </w:r>
            <w:r/>
          </w:p>
        </w:tc>
      </w:tr>
      <w:tr>
        <w:trPr>
          <w:cantSplit/>
          <w:trHeight w:val="654"/>
        </w:trPr>
        <w:tc>
          <w:tcPr>
            <w:tcW w:w="837" w:type="dxa"/>
            <w:vAlign w:val="center"/>
            <w:textDirection w:val="lrTb"/>
            <w:noWrap w:val="false"/>
          </w:tcPr>
          <w:p>
            <w:pPr>
              <w:jc w:val="center"/>
              <w:spacing w:line="0" w:lineRule="atLeast"/>
              <w:rPr>
                <w:rFonts w:hint="eastAsia" w:ascii="宋体" w:hAnsi="宋体"/>
                <w:sz w:val="24"/>
                <w:szCs w:val="24"/>
              </w:rPr>
              <w:outlineLvl w:val="9"/>
            </w:pPr>
            <w:r>
              <w:rPr>
                <w:rFonts w:ascii="宋体" w:hAnsi="宋体"/>
                <w:sz w:val="24"/>
                <w:szCs w:val="24"/>
              </w:rPr>
              <w:t xml:space="preserve">…</w:t>
            </w:r>
            <w:r/>
          </w:p>
        </w:tc>
        <w:tc>
          <w:tcPr>
            <w:gridSpan w:val="8"/>
            <w:tcW w:w="8834" w:type="dxa"/>
            <w:vAlign w:val="center"/>
            <w:textDirection w:val="lrTb"/>
            <w:noWrap w:val="false"/>
          </w:tcPr>
          <w:p>
            <w:pPr>
              <w:jc w:val="both"/>
              <w:spacing w:line="0" w:lineRule="atLeast"/>
              <w:rPr>
                <w:rFonts w:hint="eastAsia" w:ascii="宋体" w:hAnsi="宋体"/>
                <w:sz w:val="24"/>
                <w:szCs w:val="24"/>
              </w:rPr>
              <w:outlineLvl w:val="9"/>
            </w:pPr>
            <w:r>
              <w:rPr>
                <w:rFonts w:hint="eastAsia" w:ascii="宋体" w:hAnsi="宋体"/>
                <w:sz w:val="24"/>
                <w:szCs w:val="24"/>
              </w:rPr>
              <w:t xml:space="preserve">投标总价（元）</w:t>
            </w:r>
            <w:r>
              <w:rPr>
                <w:rFonts w:hint="eastAsia" w:ascii="宋体" w:hAnsi="宋体"/>
                <w:sz w:val="24"/>
                <w:szCs w:val="24"/>
                <w:lang w:eastAsia="zh-CN"/>
              </w:rPr>
              <w:t xml:space="preserve">：</w:t>
            </w:r>
            <w:r/>
          </w:p>
        </w:tc>
      </w:tr>
    </w:tbl>
    <w:p>
      <w:pPr>
        <w:ind w:firstLine="480"/>
        <w:rPr>
          <w:rFonts w:hint="eastAsia" w:ascii="宋体" w:hAnsi="宋体"/>
          <w:sz w:val="24"/>
          <w:szCs w:val="24"/>
        </w:rPr>
        <w:outlineLvl w:val="9"/>
      </w:pPr>
      <w:r>
        <w:rPr>
          <w:rFonts w:hint="eastAsia" w:ascii="宋体" w:hAnsi="宋体"/>
          <w:sz w:val="24"/>
          <w:szCs w:val="24"/>
        </w:rPr>
      </w:r>
      <w:r/>
    </w:p>
    <w:p>
      <w:pPr>
        <w:ind w:firstLine="480"/>
        <w:rPr>
          <w:rFonts w:hint="eastAsia" w:ascii="宋体" w:hAnsi="宋体"/>
          <w:sz w:val="24"/>
          <w:szCs w:val="24"/>
        </w:rPr>
        <w:outlineLvl w:val="9"/>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480"/>
        <w:rPr>
          <w:rFonts w:hint="eastAsia" w:ascii="宋体" w:hAnsi="宋体"/>
          <w:sz w:val="24"/>
          <w:szCs w:val="24"/>
        </w:rPr>
        <w:outlineLvl w:val="9"/>
      </w:pPr>
      <w:r>
        <w:rPr>
          <w:rFonts w:hint="eastAsia" w:ascii="宋体" w:hAnsi="宋体"/>
          <w:sz w:val="24"/>
          <w:szCs w:val="24"/>
        </w:rPr>
      </w:r>
      <w:r/>
    </w:p>
    <w:p>
      <w:pPr>
        <w:pStyle w:val="96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lang w:val="en-US" w:eastAsia="zh-CN"/>
        </w:rPr>
        <w:t xml:space="preserve">备注： </w:t>
      </w:r>
      <w:r/>
    </w:p>
    <w:p>
      <w:pPr>
        <w:pStyle w:val="96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val="en-US" w:eastAsia="zh-CN"/>
        </w:rPr>
        <w:t xml:space="preserve">1.“投标总报价”应包括为完成整个项目所产生的所有费用，招标文件另有规定的除外。</w:t>
      </w:r>
      <w:r/>
    </w:p>
    <w:p>
      <w:pPr>
        <w:pStyle w:val="96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lang w:val="en-US" w:eastAsia="zh-CN"/>
        </w:rPr>
        <w:t xml:space="preserve">2.《投标分项报价表》中“投标总价”应当与《开标一览表》中“投标总报价”一致。</w:t>
      </w:r>
      <w:r/>
    </w:p>
    <w:p>
      <w:pPr>
        <w:pStyle w:val="96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color w:val="000000"/>
          <w:sz w:val="24"/>
          <w:szCs w:val="24"/>
          <w:lang w:val="en-US" w:eastAsia="zh-CN"/>
        </w:rPr>
        <w:t xml:space="preserve">3.供应商所投产品须与“第四章-项目清单”中的产品一一对应，如有缺项、漏项或者超出单价上限，视为无效投标。“项目清单”中分项仅为一项的，此表无需提供。</w:t>
      </w:r>
      <w:r/>
    </w:p>
    <w:p>
      <w:pPr>
        <w:pStyle w:val="963"/>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lang w:val="en-US" w:eastAsia="zh-CN"/>
        </w:rPr>
        <w:t xml:space="preserve">4.行数不够，可自行添加。</w:t>
      </w:r>
      <w:r/>
    </w:p>
    <w:p>
      <w:pPr>
        <w:spacing w:line="480" w:lineRule="exact"/>
        <w:rPr>
          <w:rFonts w:ascii="宋体" w:hAnsi="宋体"/>
          <w:sz w:val="24"/>
          <w:szCs w:val="24"/>
          <w:highlight w:val="none"/>
          <w:lang w:eastAsia="zh-CN"/>
        </w:rPr>
        <w:outlineLvl w:val="9"/>
      </w:pPr>
      <w:r>
        <w:rPr>
          <w:rFonts w:ascii="宋体" w:hAnsi="宋体"/>
          <w:sz w:val="24"/>
          <w:szCs w:val="24"/>
          <w:highlight w:val="none"/>
          <w:lang w:eastAsia="zh-CN"/>
        </w:rPr>
      </w:r>
      <w:r/>
    </w:p>
    <w:p>
      <w:pPr>
        <w:rPr>
          <w:rFonts w:ascii="宋体" w:hAnsi="宋体"/>
          <w:sz w:val="24"/>
          <w:szCs w:val="24"/>
          <w:highlight w:val="none"/>
          <w:lang w:eastAsia="zh-CN"/>
        </w:rPr>
        <w:outlineLvl w:val="9"/>
      </w:pPr>
      <w:r>
        <w:rPr>
          <w:rFonts w:ascii="宋体" w:hAnsi="宋体"/>
          <w:sz w:val="24"/>
          <w:szCs w:val="24"/>
          <w:highlight w:val="none"/>
          <w:lang w:eastAsia="zh-CN"/>
        </w:rPr>
      </w:r>
      <w:r/>
    </w:p>
    <w:p>
      <w:pPr>
        <w:rPr>
          <w:rFonts w:ascii="宋体" w:hAnsi="宋体"/>
          <w:sz w:val="24"/>
          <w:szCs w:val="24"/>
          <w:highlight w:val="none"/>
          <w:lang w:eastAsia="zh-CN"/>
        </w:rPr>
        <w:outlineLvl w:val="9"/>
      </w:pPr>
      <w:r>
        <w:rPr>
          <w:rFonts w:ascii="宋体" w:hAnsi="宋体"/>
          <w:sz w:val="24"/>
          <w:szCs w:val="24"/>
          <w:highlight w:val="none"/>
          <w:lang w:eastAsia="zh-CN"/>
        </w:rPr>
      </w:r>
      <w:r/>
    </w:p>
    <w:p>
      <w:pPr>
        <w:jc w:val="left"/>
        <w:spacing w:line="36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p>
    <w:p>
      <w:pPr>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七、技术要求响应及偏离表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9"/>
      </w:pPr>
      <w:r>
        <w:rPr>
          <w:rFonts w:hint="eastAsia" w:ascii="方正小标宋简体" w:hAnsi="方正小标宋简体" w:eastAsia="方正小标宋简体" w:cs="方正小标宋简体"/>
          <w:b w:val="0"/>
          <w:bCs w:val="0"/>
          <w:sz w:val="32"/>
          <w:szCs w:val="32"/>
          <w:lang w:val="en-US" w:eastAsia="zh-CN"/>
        </w:rPr>
        <w:t xml:space="preserve">技术要求响应及偏离表</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序号</w:t>
            </w:r>
            <w:r/>
          </w:p>
        </w:tc>
        <w:tc>
          <w:tcPr>
            <w:tcW w:w="2846"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投标响应情况</w:t>
            </w:r>
            <w:r/>
          </w:p>
        </w:tc>
        <w:tc>
          <w:tcPr>
            <w:tcW w:w="3364" w:type="dxa"/>
            <w:vAlign w:val="center"/>
            <w:textDirection w:val="lrTb"/>
            <w:noWrap w:val="false"/>
          </w:tcPr>
          <w:p>
            <w:pPr>
              <w:jc w:val="center"/>
              <w:spacing w:line="480" w:lineRule="exact"/>
              <w:rPr>
                <w:rFonts w:hint="eastAsia" w:ascii="宋体" w:hAnsi="宋体"/>
                <w:color w:val="000000"/>
                <w:sz w:val="24"/>
                <w:szCs w:val="24"/>
              </w:rPr>
              <w:outlineLvl w:val="9"/>
            </w:pPr>
            <w:r>
              <w:rPr>
                <w:rFonts w:hint="eastAsia" w:eastAsia="宋体" w:cs="宋体"/>
                <w:color w:val="000000"/>
                <w:sz w:val="24"/>
                <w:szCs w:val="24"/>
                <w:lang w:eastAsia="zh-CN"/>
              </w:rPr>
              <w:t xml:space="preserve">正偏离、无偏离或负偏离</w:t>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81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46"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64"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outlineLvl w:val="9"/>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outlineLvl w:val="9"/>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63"/>
        <w:ind w:firstLine="480"/>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ascii="宋体" w:hAnsi="宋体" w:eastAsia="宋体" w:cs="宋体"/>
          <w:color w:val="000000"/>
          <w:sz w:val="24"/>
          <w:szCs w:val="24"/>
        </w:rPr>
      </w:r>
      <w:r/>
    </w:p>
    <w:p>
      <w:pPr>
        <w:pStyle w:val="963"/>
        <w:ind w:firstLine="480"/>
        <w:jc w:val="both"/>
        <w:spacing w:before="0" w:beforeAutospacing="0" w:after="0" w:afterAutospacing="0" w:line="360" w:lineRule="auto"/>
        <w:rPr>
          <w:rFonts w:ascii="宋体" w:hAnsi="宋体" w:eastAsia="宋体" w:cs="宋体"/>
          <w:color w:val="000000"/>
          <w:lang w:val="en-US" w:eastAsia="zh-CN"/>
        </w:rPr>
        <w:outlineLvl w:val="9"/>
      </w:pPr>
      <w:r>
        <w:rPr>
          <w:rFonts w:ascii="宋体" w:hAnsi="宋体" w:eastAsia="宋体" w:cs="宋体"/>
          <w:color w:val="000000"/>
          <w:lang w:val="en-US" w:eastAsia="zh-CN"/>
        </w:rPr>
        <w:t xml:space="preserve">备注： </w:t>
      </w:r>
      <w:r/>
    </w:p>
    <w:p>
      <w:pPr>
        <w:pStyle w:val="963"/>
        <w:ind w:firstLine="480"/>
        <w:jc w:val="both"/>
        <w:spacing w:before="0" w:beforeAutospacing="0" w:after="0" w:afterAutospacing="0" w:line="360" w:lineRule="auto"/>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1.供应商须对招标文件技术要求中的实质性要求（斜体下划线内容或打“★”内容）及其他要求做出明确响应，否则视为无效投标。</w:t>
      </w:r>
      <w:r/>
    </w:p>
    <w:p>
      <w:pPr>
        <w:pStyle w:val="963"/>
        <w:ind w:firstLine="480"/>
        <w:jc w:val="both"/>
        <w:spacing w:before="0" w:beforeAutospacing="0" w:after="0" w:afterAutospacing="0" w:line="360" w:lineRule="auto"/>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2.技术要求中的实质性要求或打“▲”要求，中标供应商签订合同时应按招标文件要求和投标文件响应内容向采购人提供相应证明材料核验（如：白皮书、彩页、手册、网站截图、具有CMA标识的检测报告等）。中标供应商未按招标文件要求和投标文件响应内容提供相应证明材料或者提供的证明材料不符合招标文件要求的，视为提供虚假材料谋取中标，采购人将取消其中标资格。</w:t>
      </w:r>
      <w:r/>
    </w:p>
    <w:p>
      <w:pPr>
        <w:pStyle w:val="963"/>
        <w:ind w:firstLine="480"/>
        <w:jc w:val="both"/>
        <w:spacing w:before="0" w:beforeAutospacing="0" w:after="0" w:afterAutospacing="0" w:line="360" w:lineRule="auto"/>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3.行数不够，可自行添加。</w:t>
      </w:r>
      <w:r/>
    </w:p>
    <w:p>
      <w:pPr>
        <w:jc w:val="left"/>
        <w:spacing w:line="360" w:lineRule="auto"/>
        <w:rPr>
          <w:rFonts w:hint="eastAsia" w:ascii="黑体" w:hAnsi="黑体" w:eastAsia="黑体" w:cs="Times New Roman"/>
          <w:i w:val="0"/>
          <w:sz w:val="32"/>
          <w:szCs w:val="32"/>
          <w:u w:val="none"/>
          <w:lang w:val="en-US" w:eastAsia="zh-CN"/>
        </w:rPr>
        <w:outlineLvl w:val="9"/>
      </w:pPr>
      <w:r>
        <w:rPr>
          <w:rFonts w:hint="eastAsia" w:ascii="黑体" w:hAnsi="黑体" w:eastAsia="黑体" w:cs="Times New Roman"/>
          <w:i w:val="0"/>
          <w:sz w:val="32"/>
          <w:szCs w:val="32"/>
          <w:u w:val="none"/>
          <w:lang w:val="en-US" w:eastAsia="zh-CN"/>
        </w:rPr>
      </w:r>
      <w:r/>
    </w:p>
    <w:p>
      <w:pPr>
        <w:rPr>
          <w:rFonts w:hint="eastAsia"/>
          <w:lang w:val="en-US" w:eastAsia="zh-CN"/>
        </w:rPr>
        <w:outlineLvl w:val="9"/>
      </w:pPr>
      <w:r>
        <w:rPr>
          <w:rFonts w:hint="eastAsia"/>
          <w:lang w:val="en-US" w:eastAsia="zh-CN"/>
        </w:rPr>
      </w:r>
      <w:r/>
    </w:p>
    <w:p>
      <w:pPr>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sz w:val="32"/>
          <w:szCs w:val="32"/>
          <w:highlight w:val="none"/>
          <w:u w:val="none"/>
          <w:lang w:val="en-US" w:eastAsia="zh-CN"/>
        </w:rPr>
        <w:br w:type="page" w:clear="all"/>
      </w:r>
      <w:r/>
    </w:p>
    <w:p>
      <w:pPr>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sz w:val="32"/>
          <w:szCs w:val="32"/>
          <w:u w:val="none"/>
          <w:lang w:val="en-US" w:eastAsia="zh-CN"/>
        </w:rPr>
        <w:t xml:space="preserve">八、商务要求响应及偏离表</w:t>
      </w:r>
      <w:r/>
    </w:p>
    <w:p>
      <w:pPr>
        <w:jc w:val="center"/>
        <w:rPr>
          <w:rFonts w:hint="eastAsia" w:ascii="方正小标宋简体" w:hAnsi="方正小标宋简体" w:eastAsia="方正小标宋简体" w:cs="方正小标宋简体"/>
          <w:b w:val="0"/>
          <w:bCs w:val="0"/>
          <w:sz w:val="32"/>
          <w:szCs w:val="32"/>
          <w:lang w:val="en-US" w:eastAsia="zh-CN"/>
        </w:rPr>
        <w:outlineLvl w:val="9"/>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p>
    <w:tbl>
      <w:tblPr>
        <w:tblStyle w:val="72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序号</w:t>
            </w:r>
            <w:r/>
          </w:p>
        </w:tc>
        <w:tc>
          <w:tcPr>
            <w:tcW w:w="2878"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招标文件要求</w:t>
            </w:r>
            <w:r/>
          </w:p>
        </w:tc>
        <w:tc>
          <w:tcPr>
            <w:tcW w:w="2832" w:type="dxa"/>
            <w:vAlign w:val="center"/>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t xml:space="preserve">投标响应情况</w:t>
            </w:r>
            <w:r/>
          </w:p>
        </w:tc>
        <w:tc>
          <w:tcPr>
            <w:tcW w:w="3352" w:type="dxa"/>
            <w:vAlign w:val="center"/>
            <w:textDirection w:val="lrTb"/>
            <w:noWrap w:val="false"/>
          </w:tcPr>
          <w:p>
            <w:pPr>
              <w:jc w:val="center"/>
              <w:spacing w:line="480" w:lineRule="exact"/>
              <w:rPr>
                <w:rFonts w:hint="eastAsia" w:ascii="宋体" w:hAnsi="宋体"/>
                <w:color w:val="000000"/>
                <w:sz w:val="24"/>
                <w:szCs w:val="24"/>
              </w:rPr>
              <w:outlineLvl w:val="9"/>
            </w:pPr>
            <w:r>
              <w:rPr>
                <w:rFonts w:hint="eastAsia" w:eastAsia="宋体" w:cs="宋体"/>
                <w:color w:val="000000"/>
                <w:sz w:val="24"/>
                <w:szCs w:val="24"/>
                <w:lang w:eastAsia="zh-CN"/>
              </w:rPr>
              <w:t xml:space="preserve">正偏离、无偏离或负偏离</w:t>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r>
        <w:trPr>
          <w:cantSplit/>
          <w:trHeight w:val="640"/>
        </w:trPr>
        <w:tc>
          <w:tcPr>
            <w:tcW w:w="795"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78"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283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c>
          <w:tcPr>
            <w:tcW w:w="3352" w:type="dxa"/>
            <w:vAlign w:val="top"/>
            <w:textDirection w:val="lrTb"/>
            <w:noWrap w:val="false"/>
          </w:tcPr>
          <w:p>
            <w:pPr>
              <w:jc w:val="center"/>
              <w:rPr>
                <w:rFonts w:hint="eastAsia" w:ascii="宋体" w:hAnsi="宋体"/>
                <w:color w:val="000000"/>
                <w:sz w:val="24"/>
                <w:szCs w:val="24"/>
              </w:rPr>
              <w:outlineLvl w:val="9"/>
            </w:pPr>
            <w:r>
              <w:rPr>
                <w:rFonts w:hint="eastAsia" w:ascii="宋体" w:hAnsi="宋体"/>
                <w:color w:val="000000"/>
                <w:sz w:val="24"/>
                <w:szCs w:val="24"/>
              </w:rPr>
            </w:r>
            <w:r/>
          </w:p>
        </w:tc>
      </w:tr>
    </w:tbl>
    <w:p>
      <w:pPr>
        <w:ind w:right="180" w:firstLine="480"/>
        <w:jc w:val="both"/>
        <w:spacing w:line="560" w:lineRule="exact"/>
        <w:rPr>
          <w:rFonts w:hint="eastAsia" w:ascii="宋体" w:hAnsi="宋体"/>
          <w:sz w:val="24"/>
          <w:szCs w:val="24"/>
          <w:lang w:val="en-US" w:eastAsia="zh-CN"/>
        </w:rPr>
        <w:outlineLvl w:val="9"/>
      </w:pPr>
      <w:r>
        <w:rPr>
          <w:rFonts w:hint="eastAsia" w:ascii="宋体" w:hAnsi="宋体"/>
          <w:sz w:val="24"/>
          <w:szCs w:val="24"/>
          <w:lang w:val="en-US" w:eastAsia="zh-CN"/>
        </w:rPr>
      </w:r>
      <w:r/>
    </w:p>
    <w:p>
      <w:pPr>
        <w:ind w:right="180" w:firstLine="480"/>
        <w:jc w:val="both"/>
        <w:spacing w:line="560" w:lineRule="exact"/>
        <w:rPr>
          <w:rFonts w:hint="eastAsia" w:ascii="宋体" w:hAnsi="宋体"/>
          <w:sz w:val="24"/>
          <w:szCs w:val="24"/>
          <w:u w:val="none"/>
        </w:rPr>
        <w:outlineLvl w:val="9"/>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ind w:firstLine="480"/>
        <w:rPr>
          <w:rFonts w:hint="eastAsia" w:ascii="宋体" w:hAnsi="宋体"/>
          <w:color w:val="000000"/>
          <w:sz w:val="24"/>
          <w:szCs w:val="24"/>
          <w:lang w:val="en-US" w:eastAsia="zh-CN"/>
        </w:rPr>
        <w:outlineLvl w:val="9"/>
      </w:pPr>
      <w:r>
        <w:rPr>
          <w:rFonts w:hint="eastAsia" w:ascii="宋体" w:hAnsi="宋体"/>
          <w:color w:val="000000"/>
          <w:sz w:val="24"/>
          <w:szCs w:val="24"/>
          <w:lang w:val="en-US" w:eastAsia="zh-CN"/>
        </w:rPr>
      </w:r>
      <w:r/>
    </w:p>
    <w:p>
      <w:pPr>
        <w:pStyle w:val="963"/>
        <w:ind w:firstLine="480"/>
        <w:jc w:val="both"/>
        <w:spacing w:before="0" w:beforeAutospacing="0" w:after="0" w:afterAutospacing="0" w:line="360" w:lineRule="auto"/>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备注： </w:t>
      </w:r>
      <w:r/>
    </w:p>
    <w:p>
      <w:pPr>
        <w:pStyle w:val="963"/>
        <w:ind w:firstLine="480"/>
        <w:jc w:val="both"/>
        <w:spacing w:before="0" w:beforeAutospacing="0" w:after="0" w:afterAutospacing="0" w:line="360" w:lineRule="auto"/>
        <w:rPr>
          <w:rFonts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1.供应商须对招标文件商务要求中的实质性要求（斜体下划线内容或打“★”内容）做出明确响应，否则视为无效投标。</w:t>
      </w:r>
      <w:r/>
    </w:p>
    <w:p>
      <w:pPr>
        <w:pStyle w:val="963"/>
        <w:ind w:firstLine="480"/>
        <w:jc w:val="both"/>
        <w:spacing w:before="0" w:beforeAutospacing="0" w:after="0" w:afterAutospacing="0" w:line="360" w:lineRule="auto"/>
        <w:rPr>
          <w:rFonts w:hint="eastAsia" w:ascii="宋体" w:hAnsi="宋体" w:eastAsia="宋体" w:cs="宋体"/>
          <w:color w:val="000000"/>
          <w:lang w:val="en-US" w:eastAsia="zh-CN"/>
        </w:rPr>
        <w:outlineLvl w:val="9"/>
      </w:pPr>
      <w:r>
        <w:rPr>
          <w:rFonts w:hint="eastAsia" w:ascii="宋体" w:hAnsi="宋体" w:eastAsia="宋体" w:cs="宋体"/>
          <w:color w:val="000000"/>
          <w:lang w:val="en-US" w:eastAsia="zh-CN"/>
        </w:rPr>
        <w:t xml:space="preserve">2.行数不够，可自行添加。</w:t>
      </w:r>
      <w:r/>
    </w:p>
    <w:p>
      <w:pPr>
        <w:spacing w:line="480" w:lineRule="auto"/>
        <w:rPr>
          <w:rFonts w:hint="eastAsia" w:ascii="宋体" w:hAnsi="宋体"/>
          <w:color w:val="000000"/>
          <w:sz w:val="24"/>
          <w:szCs w:val="21"/>
        </w:rPr>
        <w:outlineLvl w:val="9"/>
      </w:pPr>
      <w:r>
        <w:rPr>
          <w:rFonts w:hint="eastAsia" w:ascii="宋体" w:hAnsi="宋体"/>
          <w:color w:val="000000"/>
          <w:sz w:val="24"/>
          <w:szCs w:val="21"/>
        </w:rPr>
      </w:r>
      <w:r/>
    </w:p>
    <w:p>
      <w:pPr>
        <w:spacing w:line="480" w:lineRule="auto"/>
        <w:rPr>
          <w:rFonts w:hint="eastAsia" w:ascii="仿宋_GB2312" w:hAnsi="Arial"/>
          <w:color w:val="000000"/>
          <w:sz w:val="30"/>
          <w:szCs w:val="21"/>
        </w:rPr>
        <w:outlineLvl w:val="9"/>
      </w:pPr>
      <w:r>
        <w:rPr>
          <w:rFonts w:hint="eastAsia" w:ascii="仿宋_GB2312" w:hAnsi="Arial"/>
          <w:color w:val="000000"/>
          <w:sz w:val="30"/>
          <w:szCs w:val="21"/>
        </w:rPr>
      </w:r>
      <w:r/>
    </w:p>
    <w:p>
      <w:pPr>
        <w:jc w:val="left"/>
        <w:spacing w:line="36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jc w:val="left"/>
        <w:spacing w:line="36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pStyle w:val="977"/>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rPr>
          <w:rFonts w:hint="eastAsia"/>
          <w:lang w:val="en-US" w:eastAsia="zh-CN"/>
        </w:rPr>
        <w:outlineLvl w:val="9"/>
      </w:pPr>
      <w:r>
        <w:rPr>
          <w:rFonts w:hint="eastAsia"/>
          <w:lang w:val="en-US" w:eastAsia="zh-CN"/>
        </w:rPr>
      </w:r>
      <w:r/>
    </w:p>
    <w:p>
      <w:pPr>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iCs w:val="0"/>
          <w:sz w:val="32"/>
          <w:szCs w:val="32"/>
          <w:highlight w:val="none"/>
          <w:u w:val="none"/>
          <w:lang w:val="en-US" w:eastAsia="zh-CN"/>
        </w:rPr>
        <w:br w:type="page" w:clear="all"/>
      </w:r>
      <w:r/>
    </w:p>
    <w:p>
      <w:pPr>
        <w:jc w:val="left"/>
        <w:spacing w:line="360" w:lineRule="auto"/>
        <w:rPr>
          <w:rFonts w:hint="eastAsia" w:ascii="黑体" w:hAnsi="黑体" w:eastAsia="黑体" w:cs="Times New Roman"/>
          <w:i w:val="0"/>
          <w:iCs w:val="0"/>
          <w:sz w:val="32"/>
          <w:szCs w:val="32"/>
          <w:highlight w:val="none"/>
          <w:u w:val="none"/>
          <w:lang w:val="en-US" w:eastAsia="zh-CN"/>
        </w:rPr>
        <w:outlineLvl w:val="9"/>
      </w:pPr>
      <w:r>
        <w:rPr>
          <w:rFonts w:hint="eastAsia" w:ascii="黑体" w:hAnsi="黑体" w:eastAsia="黑体" w:cs="Times New Roman"/>
          <w:i w:val="0"/>
          <w:iCs w:val="0"/>
          <w:sz w:val="32"/>
          <w:szCs w:val="32"/>
          <w:u w:val="none"/>
          <w:lang w:val="en-US" w:eastAsia="zh-CN"/>
        </w:rPr>
        <w:t xml:space="preserve">九、中小企业声明函</w:t>
      </w:r>
      <w:r/>
    </w:p>
    <w:p>
      <w:pPr>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lang w:val="en-US" w:eastAsia="zh-CN"/>
        </w:rPr>
        <w:outlineLvl w:val="9"/>
      </w:pPr>
      <w:r/>
      <w:bookmarkStart w:id="222" w:name="_Toc11672"/>
      <w:r>
        <w:rPr>
          <w:rFonts w:hint="eastAsia" w:ascii="方正小标宋简体" w:hAnsi="方正小标宋简体" w:eastAsia="方正小标宋简体" w:cs="方正小标宋简体"/>
          <w:color w:val="000000"/>
          <w:sz w:val="32"/>
          <w:szCs w:val="32"/>
          <w:lang w:val="en-US" w:eastAsia="zh-CN"/>
        </w:rPr>
        <w:t xml:space="preserve">中小企业声明函（货物）</w:t>
      </w:r>
      <w:bookmarkEnd w:id="222"/>
      <w:r/>
      <w:r/>
    </w:p>
    <w:p>
      <w:pPr>
        <w:ind w:firstLine="360"/>
        <w:keepLines w:val="0"/>
        <w:keepNext w:val="0"/>
        <w:pageBreakBefore w:val="0"/>
        <w:spacing w:line="336" w:lineRule="auto"/>
        <w:widowControl w:val="off"/>
        <w:rPr>
          <w:rFonts w:hint="eastAsia" w:ascii="宋体" w:hAnsi="宋体"/>
          <w:sz w:val="24"/>
          <w:szCs w:val="24"/>
        </w:rPr>
        <w:outlineLvl w:val="9"/>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，提供的货物</w:t>
      </w:r>
      <w:r>
        <w:rPr>
          <w:rFonts w:hint="eastAsia" w:ascii="宋体" w:hAnsi="宋体" w:eastAsia="宋体" w:cs="Times New Roman"/>
          <w:sz w:val="24"/>
          <w:szCs w:val="24"/>
        </w:rPr>
        <w:t xml:space="preserve">全部由符合政策</w:t>
      </w:r>
      <w:r>
        <w:rPr>
          <w:rFonts w:hint="eastAsia" w:ascii="宋体" w:hAnsi="宋体" w:eastAsia="宋体" w:cs="Times New Roman"/>
          <w:sz w:val="24"/>
          <w:szCs w:val="24"/>
          <w:lang w:eastAsia="zh-CN"/>
        </w:rPr>
        <w:t xml:space="preserve">要求的中小企业制造</w:t>
      </w:r>
      <w:r>
        <w:rPr>
          <w:rFonts w:hint="eastAsia" w:ascii="宋体" w:hAnsi="宋体" w:eastAsia="宋体" w:cs="Times New Roman"/>
          <w:sz w:val="24"/>
          <w:szCs w:val="24"/>
        </w:rPr>
        <w:t xml:space="preserve">。根据《工业和信息化部、国家统计局、</w:t>
      </w:r>
      <w:r>
        <w:rPr>
          <w:rFonts w:hint="eastAsia" w:ascii="宋体" w:hAnsi="宋体"/>
          <w:sz w:val="24"/>
          <w:szCs w:val="24"/>
        </w:rPr>
        <w:t xml:space="preserve">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相关企业（含联合体中的小微企业、签订分包意向协议的小微企业）的具体情况如下：</w:t>
      </w:r>
      <w:r/>
    </w:p>
    <w:p>
      <w:pPr>
        <w:ind w:firstLine="360"/>
        <w:keepLines w:val="0"/>
        <w:keepNext w:val="0"/>
        <w:pageBreakBefore w:val="0"/>
        <w:spacing w:line="336" w:lineRule="auto"/>
        <w:widowControl w:val="off"/>
        <w:rPr>
          <w:rFonts w:hint="eastAsia" w:ascii="宋体" w:hAnsi="宋体" w:eastAsia="宋体"/>
          <w:i/>
          <w:sz w:val="24"/>
          <w:szCs w:val="24"/>
          <w:u w:val="single"/>
          <w:lang w:eastAsia="zh-CN"/>
        </w:rPr>
        <w:outlineLvl w:val="9"/>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中明确的所属行业</w:t>
      </w:r>
      <w:r>
        <w:rPr>
          <w:rFonts w:hint="eastAsia" w:ascii="宋体" w:hAnsi="宋体"/>
          <w:sz w:val="24"/>
          <w:szCs w:val="24"/>
          <w:u w:val="none"/>
          <w:lang w:eastAsia="zh-CN"/>
        </w:rPr>
        <w:t xml:space="preserve">）</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eastAsia="宋体"/>
          <w:i/>
          <w:sz w:val="24"/>
          <w:szCs w:val="24"/>
          <w:u w:val="none"/>
          <w:lang w:eastAsia="zh-CN"/>
        </w:rPr>
        <w:outlineLvl w:val="9"/>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w:t>
      </w:r>
      <w:r>
        <w:rPr>
          <w:rFonts w:hint="eastAsia" w:ascii="宋体" w:hAnsi="宋体" w:eastAsia="宋体" w:cs="Times New Roman"/>
          <w:sz w:val="24"/>
          <w:szCs w:val="24"/>
          <w:u w:val="none"/>
          <w:lang w:val="en-US" w:eastAsia="zh-CN"/>
        </w:rPr>
        <w:t xml:space="preserve">招标文件</w:t>
      </w:r>
      <w:r>
        <w:rPr>
          <w:rFonts w:hint="eastAsia" w:ascii="宋体" w:hAnsi="宋体" w:eastAsia="宋体" w:cs="Times New Roman"/>
          <w:sz w:val="24"/>
          <w:szCs w:val="24"/>
          <w:u w:val="none"/>
          <w:lang w:eastAsia="zh-CN"/>
        </w:rPr>
        <w:t xml:space="preserve">中明确的所属</w:t>
      </w:r>
      <w:r>
        <w:rPr>
          <w:rFonts w:hint="eastAsia" w:ascii="宋体" w:hAnsi="宋体"/>
          <w:sz w:val="24"/>
          <w:szCs w:val="24"/>
          <w:u w:val="none"/>
          <w:lang w:eastAsia="zh-CN"/>
        </w:rPr>
        <w:t xml:space="preserve">行业）</w:t>
      </w:r>
      <w:r>
        <w:rPr>
          <w:rFonts w:hint="eastAsia" w:ascii="宋体" w:hAnsi="宋体"/>
          <w:sz w:val="24"/>
          <w:szCs w:val="24"/>
        </w:rPr>
        <w:t xml:space="preserve">；</w:t>
      </w:r>
      <w:r>
        <w:rPr>
          <w:rFonts w:hint="eastAsia" w:ascii="宋体" w:hAnsi="宋体"/>
          <w:sz w:val="24"/>
          <w:szCs w:val="24"/>
          <w:lang w:val="en-US" w:eastAsia="zh-CN"/>
        </w:rPr>
        <w:t xml:space="preserve">制造商</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36" w:lineRule="auto"/>
        <w:widowControl w:val="off"/>
        <w:rPr>
          <w:rFonts w:hint="eastAsia" w:ascii="宋体" w:hAnsi="宋体"/>
          <w:sz w:val="24"/>
          <w:szCs w:val="24"/>
        </w:rPr>
        <w:outlineLvl w:val="9"/>
      </w:pPr>
      <w:r>
        <w:rPr>
          <w:rFonts w:hint="eastAsia" w:ascii="宋体" w:hAnsi="宋体"/>
          <w:sz w:val="24"/>
          <w:szCs w:val="24"/>
        </w:rPr>
        <w:t xml:space="preserve">……</w:t>
      </w:r>
      <w:r/>
    </w:p>
    <w:p>
      <w:pPr>
        <w:ind w:firstLine="360"/>
        <w:keepLines w:val="0"/>
        <w:keepNext w:val="0"/>
        <w:pageBreakBefore w:val="0"/>
        <w:spacing w:line="336" w:lineRule="auto"/>
        <w:widowControl w:val="off"/>
        <w:rPr>
          <w:rFonts w:hint="eastAsia" w:ascii="宋体" w:hAnsi="宋体"/>
          <w:sz w:val="24"/>
          <w:szCs w:val="24"/>
        </w:rPr>
        <w:outlineLvl w:val="9"/>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p>
    <w:p>
      <w:pPr>
        <w:ind w:firstLine="360"/>
        <w:keepLines w:val="0"/>
        <w:keepNext w:val="0"/>
        <w:pageBreakBefore w:val="0"/>
        <w:spacing w:line="336" w:lineRule="auto"/>
        <w:widowControl w:val="off"/>
        <w:rPr>
          <w:rFonts w:hint="eastAsia" w:ascii="宋体" w:hAnsi="宋体"/>
          <w:sz w:val="24"/>
          <w:szCs w:val="24"/>
          <w:lang w:eastAsia="zh-CN"/>
        </w:rPr>
        <w:outlineLvl w:val="9"/>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p>
    <w:p>
      <w:pPr>
        <w:pStyle w:val="977"/>
        <w:keepLines w:val="0"/>
        <w:keepNext w:val="0"/>
        <w:pageBreakBefore w:val="0"/>
        <w:spacing w:line="336" w:lineRule="auto"/>
        <w:widowControl w:val="off"/>
        <w:rPr>
          <w:rFonts w:hint="eastAsia" w:ascii="宋体" w:hAnsi="宋体"/>
          <w:sz w:val="24"/>
          <w:szCs w:val="24"/>
          <w:lang w:eastAsia="zh-CN"/>
        </w:rPr>
        <w:outlineLvl w:val="9"/>
      </w:pPr>
      <w:r>
        <w:rPr>
          <w:rFonts w:hint="eastAsia" w:ascii="宋体" w:hAnsi="宋体"/>
          <w:sz w:val="24"/>
          <w:szCs w:val="24"/>
          <w:lang w:eastAsia="zh-CN"/>
        </w:rPr>
      </w:r>
      <w:r/>
    </w:p>
    <w:p>
      <w:pPr>
        <w:keepLines w:val="0"/>
        <w:keepNext w:val="0"/>
        <w:pageBreakBefore w:val="0"/>
        <w:spacing w:line="336" w:lineRule="auto"/>
        <w:widowControl w:val="off"/>
        <w:rPr>
          <w:rFonts w:hint="eastAsia"/>
          <w:lang w:eastAsia="zh-CN"/>
        </w:rPr>
        <w:outlineLvl w:val="9"/>
      </w:pPr>
      <w:r>
        <w:rPr>
          <w:rFonts w:hint="eastAsia"/>
          <w:lang w:eastAsia="zh-CN"/>
        </w:rPr>
      </w:r>
      <w:r/>
    </w:p>
    <w:p>
      <w:pPr>
        <w:ind w:right="180" w:firstLine="360"/>
        <w:jc w:val="center"/>
        <w:keepLines w:val="0"/>
        <w:keepNext w:val="0"/>
        <w:pageBreakBefore w:val="0"/>
        <w:spacing w:line="336" w:lineRule="auto"/>
        <w:widowControl w:val="off"/>
        <w:rPr>
          <w:rFonts w:hint="eastAsia" w:ascii="宋体" w:hAnsi="宋体"/>
          <w:sz w:val="24"/>
          <w:szCs w:val="24"/>
        </w:rPr>
        <w:outlineLvl w:val="9"/>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36" w:lineRule="auto"/>
        <w:widowControl w:val="off"/>
        <w:rPr>
          <w:rFonts w:hint="eastAsia" w:ascii="宋体" w:hAnsi="宋体"/>
          <w:sz w:val="24"/>
          <w:szCs w:val="24"/>
        </w:rPr>
        <w:outlineLvl w:val="9"/>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36" w:lineRule="auto"/>
        <w:widowControl w:val="off"/>
        <w:rPr>
          <w:rFonts w:hint="eastAsia" w:ascii="宋体" w:hAnsi="宋体" w:eastAsia="宋体" w:cs="Times New Roman"/>
          <w:sz w:val="24"/>
          <w:szCs w:val="24"/>
        </w:rPr>
        <w:outlineLvl w:val="9"/>
      </w:pPr>
      <w:r>
        <w:rPr>
          <w:rFonts w:hint="eastAsia" w:ascii="宋体" w:hAnsi="宋体" w:eastAsia="宋体" w:cs="Times New Roman"/>
          <w:sz w:val="24"/>
          <w:szCs w:val="24"/>
        </w:rPr>
      </w:r>
      <w:r/>
    </w:p>
    <w:p>
      <w:pPr>
        <w:ind w:firstLine="480"/>
        <w:keepLines w:val="0"/>
        <w:keepNext w:val="0"/>
        <w:pageBreakBefore w:val="0"/>
        <w:spacing w:line="336" w:lineRule="auto"/>
        <w:widowControl w:val="off"/>
        <w:rPr>
          <w:rFonts w:hint="eastAsia" w:ascii="宋体" w:hAnsi="宋体" w:eastAsia="宋体" w:cs="Times New Roman"/>
          <w:sz w:val="24"/>
          <w:szCs w:val="24"/>
          <w:lang w:eastAsia="zh-CN"/>
        </w:rPr>
        <w:outlineLvl w:val="9"/>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清单中列示的所有货物，投标人须在声明函中逐项列示并明确制造商的企业类型，如有缺失将按“不提供声明函”处理。此声明函将随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4.货物</w:t>
      </w:r>
      <w:r>
        <w:rPr>
          <w:rFonts w:hint="eastAsia" w:ascii="宋体" w:hAnsi="宋体" w:eastAsia="宋体" w:cs="Times New Roman"/>
          <w:sz w:val="24"/>
          <w:szCs w:val="24"/>
          <w:lang w:eastAsia="zh-CN"/>
        </w:rPr>
        <w:t xml:space="preserve">采购项目中，货物的制造商应当为中小企业，不对其中涉及的服务的承接商、工程的承建商作出要求。</w:t>
      </w:r>
      <w:r/>
    </w:p>
    <w:p>
      <w:pPr>
        <w:ind w:firstLine="0"/>
        <w:jc w:val="left"/>
        <w:spacing w:line="360" w:lineRule="auto"/>
        <w:rPr>
          <w:rFonts w:hint="eastAsia" w:ascii="黑体" w:hAnsi="黑体" w:eastAsia="黑体" w:cs="Times New Roman"/>
          <w:i w:val="0"/>
          <w:iCs w:val="0"/>
          <w:sz w:val="32"/>
          <w:szCs w:val="32"/>
          <w:u w:val="none"/>
          <w:lang w:val="en-US" w:eastAsia="zh-CN"/>
        </w:rPr>
        <w:outlineLvl w:val="9"/>
      </w:pPr>
      <w:r>
        <w:rPr>
          <w:rFonts w:hint="eastAsia" w:ascii="黑体" w:hAnsi="黑体" w:eastAsia="黑体" w:cs="Times New Roman"/>
          <w:i w:val="0"/>
          <w:iCs w:val="0"/>
          <w:sz w:val="32"/>
          <w:szCs w:val="32"/>
          <w:u w:val="none"/>
          <w:lang w:val="en-US" w:eastAsia="zh-CN"/>
        </w:rPr>
      </w:r>
      <w:r/>
    </w:p>
    <w:p>
      <w:pPr>
        <w:rPr>
          <w:rFonts w:hint="eastAsia" w:ascii="黑体" w:hAnsi="黑体" w:eastAsia="黑体"/>
          <w:b w:val="0"/>
          <w:bCs w:val="0"/>
          <w:sz w:val="32"/>
          <w:szCs w:val="32"/>
        </w:rPr>
        <w:outlineLvl w:val="9"/>
      </w:pPr>
      <w:r>
        <w:rPr>
          <w:rFonts w:hint="eastAsia" w:ascii="黑体" w:hAnsi="黑体" w:eastAsia="黑体" w:cs="Times New Roman"/>
          <w:i w:val="0"/>
          <w:iCs w:val="0"/>
          <w:sz w:val="32"/>
          <w:szCs w:val="32"/>
          <w:highlight w:val="none"/>
          <w:u w:val="none"/>
          <w:lang w:val="en-US" w:eastAsia="zh-CN"/>
        </w:rPr>
        <w:br w:type="page" w:clear="all"/>
      </w:r>
      <w:r/>
    </w:p>
    <w:p>
      <w:pPr>
        <w:ind w:firstLine="0"/>
        <w:jc w:val="left"/>
        <w:spacing w:line="360" w:lineRule="auto"/>
        <w:rPr>
          <w:rFonts w:hint="eastAsia" w:ascii="黑体" w:hAnsi="黑体" w:eastAsia="黑体" w:cs="Times New Roman"/>
          <w:bCs w:val="0"/>
          <w:i w:val="0"/>
          <w:sz w:val="32"/>
          <w:szCs w:val="32"/>
          <w:highlight w:val="none"/>
          <w:u w:val="none"/>
          <w:lang w:val="en-US" w:eastAsia="zh-CN"/>
        </w:rPr>
        <w:outlineLvl w:val="9"/>
      </w:pPr>
      <w:r>
        <w:rPr>
          <w:rFonts w:hint="eastAsia" w:ascii="黑体" w:hAnsi="黑体" w:eastAsia="黑体" w:cs="Times New Roman"/>
          <w:i w:val="0"/>
          <w:iCs w:val="0"/>
          <w:sz w:val="32"/>
          <w:szCs w:val="32"/>
          <w:u w:val="none"/>
          <w:lang w:val="en-US" w:eastAsia="zh-CN"/>
        </w:rPr>
        <w:t xml:space="preserve">十、残疾人福利性单位声明函</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bookmarkStart w:id="223" w:name="_Toc30998"/>
      <w:r>
        <w:rPr>
          <w:rFonts w:hint="eastAsia" w:ascii="方正小标宋简体" w:hAnsi="方正小标宋简体" w:eastAsia="方正小标宋简体" w:cs="方正小标宋简体"/>
          <w:color w:val="000000"/>
          <w:sz w:val="32"/>
          <w:szCs w:val="32"/>
          <w:lang w:val="en-US" w:eastAsia="zh-CN"/>
        </w:rPr>
        <w:t xml:space="preserve">残疾人福利性单位声明函</w:t>
      </w:r>
      <w:bookmarkEnd w:id="223"/>
      <w:r/>
      <w:r/>
    </w:p>
    <w:p>
      <w:pPr>
        <w:ind w:firstLine="480"/>
        <w:spacing w:line="360" w:lineRule="auto"/>
        <w:rPr>
          <w:rFonts w:hint="eastAsia" w:ascii="宋体" w:hAnsi="宋体"/>
          <w:sz w:val="24"/>
          <w:szCs w:val="21"/>
        </w:rPr>
        <w:outlineLvl w:val="9"/>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1"/>
        </w:rPr>
        <w:t xml:space="preserve">提供本单位制造的货物</w:t>
      </w:r>
      <w:r>
        <w:rPr>
          <w:rFonts w:hint="eastAsia" w:ascii="宋体" w:hAnsi="宋体"/>
          <w:sz w:val="24"/>
          <w:szCs w:val="21"/>
          <w:lang w:eastAsia="zh-CN"/>
        </w:rPr>
        <w:t xml:space="preserve">，</w:t>
      </w:r>
      <w:r>
        <w:rPr>
          <w:rFonts w:hint="eastAsia" w:ascii="宋体" w:hAnsi="宋体"/>
          <w:sz w:val="24"/>
          <w:szCs w:val="21"/>
        </w:rPr>
        <w:t xml:space="preserve">或者提供其他残疾人福利性单位制造的货物（不包括使用非残疾人福利性单位注册商标的货物）。</w:t>
      </w:r>
      <w:r/>
    </w:p>
    <w:p>
      <w:pPr>
        <w:ind w:firstLine="480"/>
        <w:spacing w:line="360" w:lineRule="auto"/>
        <w:rPr>
          <w:rFonts w:hint="eastAsia" w:ascii="宋体" w:hAnsi="宋体"/>
          <w:sz w:val="24"/>
        </w:rPr>
        <w:outlineLvl w:val="9"/>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p>
    <w:p>
      <w:pPr>
        <w:pStyle w:val="977"/>
        <w:rPr>
          <w:rFonts w:hint="eastAsia" w:ascii="宋体" w:hAnsi="宋体"/>
          <w:sz w:val="24"/>
          <w:szCs w:val="24"/>
          <w:lang w:eastAsia="zh-CN"/>
        </w:rPr>
        <w:outlineLvl w:val="9"/>
      </w:pPr>
      <w:r>
        <w:rPr>
          <w:rFonts w:hint="eastAsia" w:ascii="宋体" w:hAnsi="宋体"/>
          <w:sz w:val="24"/>
          <w:szCs w:val="24"/>
          <w:lang w:eastAsia="zh-CN"/>
        </w:rPr>
      </w:r>
      <w:r/>
    </w:p>
    <w:p>
      <w:pPr>
        <w:rPr>
          <w:rFonts w:hint="eastAsia"/>
          <w:lang w:eastAsia="zh-CN"/>
        </w:rPr>
        <w:outlineLvl w:val="9"/>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outlineLvl w:val="9"/>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outlineLvl w:val="9"/>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spacing w:line="588" w:lineRule="exact"/>
        <w:rPr>
          <w:rFonts w:hint="eastAsia" w:ascii="宋体" w:hAnsi="宋体"/>
          <w:sz w:val="24"/>
        </w:rPr>
        <w:outlineLvl w:val="9"/>
      </w:pPr>
      <w:r>
        <w:rPr>
          <w:rFonts w:hint="eastAsia" w:ascii="宋体" w:hAnsi="宋体"/>
          <w:sz w:val="24"/>
        </w:rPr>
      </w:r>
      <w:r/>
    </w:p>
    <w:p>
      <w:pPr>
        <w:ind w:firstLine="480"/>
        <w:spacing w:line="480" w:lineRule="exact"/>
        <w:rPr>
          <w:rFonts w:hint="eastAsia" w:ascii="宋体" w:hAnsi="宋体"/>
          <w:sz w:val="24"/>
        </w:rPr>
        <w:outlineLvl w:val="9"/>
      </w:pPr>
      <w:r>
        <w:rPr>
          <w:rFonts w:hint="eastAsia" w:ascii="宋体" w:hAnsi="宋体"/>
          <w:sz w:val="24"/>
        </w:rPr>
        <w:t xml:space="preserve">备注：</w:t>
      </w:r>
      <w:r/>
    </w:p>
    <w:p>
      <w:pPr>
        <w:ind w:firstLine="480"/>
        <w:spacing w:line="480" w:lineRule="exact"/>
        <w:rPr>
          <w:rFonts w:hint="eastAsia" w:ascii="宋体" w:hAnsi="宋体"/>
          <w:sz w:val="24"/>
        </w:rPr>
        <w:outlineLvl w:val="9"/>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w:t>
      </w:r>
      <w:r>
        <w:rPr>
          <w:rFonts w:hint="eastAsia" w:ascii="宋体" w:hAnsi="宋体"/>
          <w:sz w:val="24"/>
          <w:lang w:val="en-US" w:eastAsia="zh-CN"/>
        </w:rPr>
        <w:t xml:space="preserve">作</w:t>
      </w:r>
      <w:r>
        <w:rPr>
          <w:rFonts w:hint="eastAsia" w:ascii="宋体" w:hAnsi="宋体"/>
          <w:sz w:val="24"/>
        </w:rPr>
        <w:t xml:space="preserve">相应扣除。</w:t>
      </w:r>
      <w:r/>
    </w:p>
    <w:p>
      <w:pPr>
        <w:ind w:firstLine="480"/>
        <w:spacing w:line="480" w:lineRule="exact"/>
        <w:rPr>
          <w:rFonts w:ascii="宋体" w:hAnsi="宋体"/>
          <w:sz w:val="24"/>
        </w:rPr>
        <w:outlineLvl w:val="9"/>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此声明函将随中标结果同时公告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p>
    <w:p>
      <w:pPr>
        <w:ind w:firstLine="624"/>
        <w:spacing w:line="480" w:lineRule="exact"/>
        <w:rPr>
          <w:rFonts w:ascii="仿宋_GB2312" w:eastAsia="仿宋_GB2312"/>
          <w:spacing w:val="6"/>
          <w:sz w:val="30"/>
          <w:szCs w:val="30"/>
        </w:rPr>
        <w:outlineLvl w:val="9"/>
      </w:pPr>
      <w:r>
        <w:rPr>
          <w:rFonts w:ascii="仿宋_GB2312" w:eastAsia="仿宋_GB2312"/>
          <w:spacing w:val="6"/>
          <w:sz w:val="30"/>
          <w:szCs w:val="30"/>
        </w:rPr>
      </w:r>
      <w:r/>
    </w:p>
    <w:p>
      <w:pPr>
        <w:pStyle w:val="1014"/>
        <w:outlineLvl w:val="9"/>
      </w:pPr>
      <w:r/>
      <w:r/>
    </w:p>
    <w:p>
      <w:pPr>
        <w:ind w:firstLine="5760"/>
        <w:spacing w:line="560" w:lineRule="exact"/>
        <w:rPr>
          <w:rFonts w:hint="eastAsia" w:ascii="宋体" w:hAnsi="宋体"/>
          <w:sz w:val="24"/>
          <w:szCs w:val="24"/>
        </w:rPr>
        <w:outlineLvl w:val="9"/>
      </w:pPr>
      <w:r>
        <w:rPr>
          <w:rFonts w:hint="eastAsia" w:ascii="宋体" w:hAnsi="宋体"/>
          <w:sz w:val="24"/>
          <w:szCs w:val="24"/>
          <w:lang w:val="en-US" w:eastAsia="zh-CN"/>
        </w:rPr>
        <w:t xml:space="preserve">                                         </w:t>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jc w:val="center"/>
        <w:spacing w:line="560" w:lineRule="exact"/>
        <w:rPr>
          <w:rFonts w:hint="eastAsia" w:ascii="黑体" w:hAnsi="黑体" w:eastAsia="黑体"/>
          <w:b/>
          <w:sz w:val="32"/>
          <w:szCs w:val="32"/>
        </w:rPr>
        <w:outlineLvl w:val="9"/>
      </w:pPr>
      <w:r>
        <w:rPr>
          <w:rFonts w:hint="eastAsia" w:ascii="黑体" w:hAnsi="黑体" w:eastAsia="黑体"/>
          <w:b/>
          <w:sz w:val="32"/>
          <w:szCs w:val="32"/>
        </w:rPr>
      </w:r>
      <w:r/>
    </w:p>
    <w:p>
      <w:pPr>
        <w:rPr>
          <w:rFonts w:hint="eastAsia" w:ascii="黑体" w:hAnsi="黑体" w:eastAsia="黑体" w:cs="Times New Roman"/>
          <w:bCs w:val="0"/>
          <w:i w:val="0"/>
          <w:sz w:val="32"/>
          <w:szCs w:val="32"/>
          <w:u w:val="none"/>
          <w:lang w:val="en-US" w:eastAsia="zh-CN"/>
        </w:rPr>
        <w:outlineLvl w:val="9"/>
      </w:pPr>
      <w:r>
        <w:rPr>
          <w:rFonts w:hint="eastAsia" w:ascii="黑体" w:hAnsi="黑体" w:eastAsia="黑体" w:cs="Times New Roman"/>
          <w:i w:val="0"/>
          <w:iCs w:val="0"/>
          <w:sz w:val="32"/>
          <w:szCs w:val="32"/>
          <w:highlight w:val="none"/>
          <w:u w:val="none"/>
          <w:lang w:val="en-US" w:eastAsia="zh-CN"/>
        </w:rPr>
        <w:br w:type="page" w:clear="all"/>
      </w:r>
      <w:r/>
    </w:p>
    <w:p>
      <w:pPr>
        <w:numPr>
          <w:ilvl w:val="0"/>
          <w:numId w:val="0"/>
        </w:numPr>
        <w:jc w:val="left"/>
        <w:spacing w:line="360" w:lineRule="auto"/>
        <w:rPr>
          <w:rFonts w:hint="eastAsia" w:ascii="黑体" w:hAnsi="黑体" w:eastAsia="黑体" w:cs="Times New Roman"/>
          <w:i w:val="0"/>
          <w:iCs w:val="0"/>
          <w:sz w:val="32"/>
          <w:szCs w:val="32"/>
          <w:highlight w:val="none"/>
          <w:u w:val="none"/>
          <w:lang w:val="en-US" w:eastAsia="zh-CN"/>
        </w:rPr>
        <w:outlineLvl w:val="9"/>
      </w:pPr>
      <w:r>
        <w:rPr>
          <w:rFonts w:hint="eastAsia" w:ascii="黑体" w:hAnsi="黑体" w:eastAsia="黑体" w:cs="Times New Roman"/>
          <w:i w:val="0"/>
          <w:iCs w:val="0"/>
          <w:sz w:val="32"/>
          <w:szCs w:val="32"/>
          <w:u w:val="none"/>
          <w:lang w:val="en-US" w:eastAsia="zh-CN"/>
        </w:rPr>
        <w:t xml:space="preserve">十一、联合体协议</w:t>
      </w:r>
      <w:r/>
    </w:p>
    <w:p>
      <w:pPr>
        <w:jc w:val="center"/>
        <w:spacing w:line="360" w:lineRule="auto"/>
        <w:rPr>
          <w:rFonts w:hint="eastAsia" w:ascii="方正小标宋简体" w:hAnsi="方正小标宋简体" w:eastAsia="方正小标宋简体" w:cs="方正小标宋简体"/>
          <w:color w:val="000000"/>
          <w:sz w:val="32"/>
          <w:szCs w:val="32"/>
          <w:lang w:val="en-US" w:eastAsia="zh-CN"/>
        </w:rPr>
        <w:outlineLvl w:val="9"/>
      </w:pPr>
      <w:r/>
      <w:bookmarkStart w:id="224" w:name="_Toc27053"/>
      <w:r>
        <w:rPr>
          <w:rFonts w:hint="eastAsia" w:ascii="方正小标宋简体" w:hAnsi="方正小标宋简体" w:eastAsia="方正小标宋简体" w:cs="方正小标宋简体"/>
          <w:color w:val="000000"/>
          <w:sz w:val="32"/>
          <w:szCs w:val="32"/>
          <w:lang w:val="en-US" w:eastAsia="zh-CN"/>
        </w:rPr>
        <w:t xml:space="preserve">联合体协议</w:t>
      </w:r>
      <w:bookmarkEnd w:id="224"/>
      <w:r/>
      <w:r/>
    </w:p>
    <w:p>
      <w:pPr>
        <w:spacing w:line="360" w:lineRule="auto"/>
        <w:rPr>
          <w:rFonts w:ascii="宋体" w:hAnsi="宋体"/>
          <w:sz w:val="24"/>
        </w:rPr>
        <w:outlineLvl w:val="9"/>
      </w:pPr>
      <w:r>
        <w:rPr>
          <w:rFonts w:hint="eastAsia" w:ascii="宋体" w:hAnsi="宋体"/>
          <w:sz w:val="24"/>
        </w:rPr>
        <w:t xml:space="preserve">（联合体中各供应商全称）在此达成以下协议：</w:t>
      </w:r>
      <w:r/>
    </w:p>
    <w:p>
      <w:pPr>
        <w:ind w:firstLine="645"/>
        <w:spacing w:line="360" w:lineRule="auto"/>
        <w:rPr>
          <w:rFonts w:ascii="宋体" w:hAnsi="宋体"/>
          <w:sz w:val="24"/>
        </w:rPr>
        <w:outlineLvl w:val="9"/>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w:t>
      </w:r>
      <w:r>
        <w:rPr>
          <w:rFonts w:hint="eastAsia" w:ascii="宋体" w:hAnsi="宋体"/>
          <w:sz w:val="24"/>
          <w:u w:val="single"/>
          <w:lang w:eastAsia="zh-CN"/>
        </w:rPr>
        <w:t xml:space="preserve">，</w:t>
      </w:r>
      <w:r>
        <w:rPr>
          <w:rFonts w:hint="eastAsia" w:ascii="宋体" w:hAnsi="宋体"/>
          <w:sz w:val="24"/>
          <w:u w:val="single"/>
        </w:rPr>
        <w:t xml:space="preserve">（供应商2） </w:t>
      </w:r>
      <w:r>
        <w:rPr>
          <w:rFonts w:hint="eastAsia" w:ascii="宋体" w:hAnsi="宋体"/>
          <w:sz w:val="24"/>
          <w:u w:val="single"/>
          <w:lang w:eastAsia="zh-CN"/>
        </w:rPr>
        <w:t xml:space="preserve">，</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（分包号：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645"/>
        <w:spacing w:line="360" w:lineRule="auto"/>
        <w:rPr>
          <w:rFonts w:ascii="宋体" w:hAnsi="宋体"/>
          <w:sz w:val="24"/>
        </w:rPr>
        <w:outlineLvl w:val="9"/>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w:t>
      </w:r>
      <w:r>
        <w:rPr>
          <w:rFonts w:hint="eastAsia" w:ascii="宋体" w:hAnsi="宋体"/>
          <w:sz w:val="24"/>
          <w:lang w:eastAsia="zh-CN"/>
        </w:rPr>
        <w:t xml:space="preserve">，</w:t>
      </w:r>
      <w:r>
        <w:rPr>
          <w:rFonts w:hint="eastAsia" w:ascii="宋体" w:hAnsi="宋体"/>
          <w:sz w:val="24"/>
        </w:rPr>
        <w:t xml:space="preserve">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645"/>
        <w:spacing w:line="360" w:lineRule="auto"/>
        <w:rPr>
          <w:rFonts w:hint="eastAsia" w:ascii="宋体" w:hAnsi="宋体"/>
          <w:sz w:val="24"/>
        </w:rPr>
        <w:outlineLvl w:val="9"/>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lang w:eastAsia="zh-CN"/>
        </w:rPr>
        <w:t xml:space="preserve">，</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spacing w:line="560" w:lineRule="exact"/>
        <w:rPr>
          <w:rFonts w:hint="eastAsia" w:ascii="宋体" w:hAnsi="宋体"/>
          <w:sz w:val="24"/>
        </w:rPr>
        <w:outlineLvl w:val="9"/>
      </w:pPr>
      <w:r>
        <w:rPr>
          <w:rFonts w:hint="eastAsia" w:ascii="宋体" w:hAnsi="宋体"/>
          <w:sz w:val="24"/>
        </w:rPr>
      </w:r>
      <w:r/>
    </w:p>
    <w:p>
      <w:pPr>
        <w:ind w:firstLine="645"/>
        <w:spacing w:line="560" w:lineRule="exact"/>
        <w:rPr>
          <w:rFonts w:hint="eastAsia" w:ascii="宋体" w:hAnsi="宋体"/>
          <w:sz w:val="24"/>
        </w:rPr>
        <w:outlineLvl w:val="9"/>
      </w:pPr>
      <w:r>
        <w:rPr>
          <w:rFonts w:ascii="宋体" w:hAnsi="宋体"/>
          <w:sz w:val="24"/>
        </w:rPr>
        <w:t xml:space="preserve">                   </w:t>
      </w:r>
      <w:r>
        <w:rPr>
          <w:rFonts w:hint="eastAsia" w:ascii="宋体" w:hAnsi="宋体"/>
          <w:sz w:val="24"/>
        </w:rPr>
        <w:t xml:space="preserve">                       </w:t>
      </w:r>
      <w:r/>
    </w:p>
    <w:p>
      <w:pPr>
        <w:ind w:firstLine="645"/>
        <w:jc w:val="right"/>
        <w:spacing w:line="560" w:lineRule="exact"/>
        <w:rPr>
          <w:rFonts w:ascii="宋体" w:hAnsi="宋体"/>
          <w:sz w:val="24"/>
        </w:rPr>
        <w:outlineLvl w:val="9"/>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spacing w:line="560" w:lineRule="exact"/>
        <w:rPr>
          <w:rFonts w:hint="eastAsia" w:ascii="宋体" w:hAnsi="宋体"/>
          <w:sz w:val="24"/>
          <w:szCs w:val="24"/>
        </w:rPr>
        <w:outlineLvl w:val="9"/>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spacing w:line="480" w:lineRule="exact"/>
        <w:rPr>
          <w:rFonts w:hint="eastAsia" w:ascii="宋体" w:hAnsi="宋体" w:eastAsia="宋体" w:cs="Times New Roman"/>
          <w:sz w:val="24"/>
          <w:lang w:eastAsia="zh-CN"/>
        </w:rPr>
        <w:outlineLvl w:val="9"/>
      </w:pPr>
      <w:r>
        <w:rPr>
          <w:rFonts w:hint="eastAsia" w:ascii="宋体" w:hAnsi="宋体" w:eastAsia="宋体" w:cs="Times New Roman"/>
          <w:sz w:val="24"/>
          <w:lang w:eastAsia="zh-CN"/>
        </w:rPr>
      </w:r>
      <w:r/>
    </w:p>
    <w:p>
      <w:pPr>
        <w:ind w:firstLine="480"/>
        <w:spacing w:line="480" w:lineRule="exact"/>
        <w:rPr>
          <w:rFonts w:hint="eastAsia" w:ascii="宋体" w:hAnsi="宋体" w:eastAsia="宋体" w:cs="Times New Roman"/>
          <w:sz w:val="24"/>
        </w:rPr>
        <w:outlineLvl w:val="9"/>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spacing w:line="480" w:lineRule="exact"/>
        <w:rPr>
          <w:rFonts w:hint="eastAsia" w:ascii="宋体" w:hAnsi="宋体" w:eastAsia="宋体" w:cs="Times New Roman"/>
          <w:sz w:val="24"/>
          <w:lang w:eastAsia="zh-CN"/>
        </w:rPr>
        <w:outlineLvl w:val="9"/>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spacing w:line="480" w:lineRule="exact"/>
        <w:rPr>
          <w:rFonts w:hint="eastAsia" w:ascii="宋体" w:hAnsi="宋体"/>
          <w:sz w:val="24"/>
          <w:szCs w:val="24"/>
          <w:u w:val="none"/>
          <w:lang w:val="en-US" w:eastAsia="zh-CN"/>
        </w:rPr>
        <w:outlineLvl w:val="9"/>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spacing w:line="480" w:lineRule="exact"/>
        <w:rPr>
          <w:rFonts w:hint="eastAsia" w:ascii="宋体" w:hAnsi="宋体" w:eastAsia="宋体" w:cs="Times New Roman"/>
          <w:sz w:val="24"/>
        </w:rPr>
        <w:outlineLvl w:val="9"/>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969"/>
        <w:rPr>
          <w:rFonts w:hint="eastAsia" w:ascii="宋体" w:hAnsi="宋体" w:eastAsia="宋体" w:cs="Times New Roman"/>
          <w:sz w:val="24"/>
        </w:rPr>
        <w:outlineLvl w:val="9"/>
      </w:pPr>
      <w:r>
        <w:rPr>
          <w:rFonts w:hint="eastAsia" w:ascii="宋体" w:hAnsi="宋体" w:eastAsia="宋体" w:cs="Times New Roman"/>
          <w:sz w:val="24"/>
        </w:rPr>
      </w:r>
      <w:r/>
    </w:p>
    <w:p>
      <w:pPr>
        <w:rPr>
          <w:rFonts w:hint="eastAsia"/>
        </w:rPr>
        <w:outlineLvl w:val="9"/>
      </w:pPr>
      <w:r>
        <w:rPr>
          <w:rFonts w:hint="eastAsia"/>
        </w:rPr>
      </w:r>
      <w:r/>
    </w:p>
    <w:p>
      <w:pPr>
        <w:ind w:firstLine="645"/>
        <w:spacing w:line="560" w:lineRule="exact"/>
        <w:rPr>
          <w:rFonts w:ascii="宋体" w:hAnsi="宋体"/>
          <w:sz w:val="24"/>
        </w:rPr>
        <w:outlineLvl w:val="9"/>
      </w:pPr>
      <w:r>
        <w:rPr>
          <w:rFonts w:ascii="宋体" w:hAnsi="宋体"/>
          <w:sz w:val="24"/>
        </w:rPr>
      </w:r>
      <w:r/>
    </w:p>
    <w:p>
      <w:pPr>
        <w:ind w:firstLine="645"/>
        <w:spacing w:line="560" w:lineRule="exact"/>
        <w:rPr>
          <w:rFonts w:hint="eastAsia" w:ascii="宋体" w:hAnsi="宋体"/>
          <w:sz w:val="24"/>
        </w:rPr>
        <w:outlineLvl w:val="9"/>
      </w:pPr>
      <w:r>
        <w:rPr>
          <w:rFonts w:hint="eastAsia" w:ascii="宋体" w:hAnsi="宋体"/>
          <w:sz w:val="24"/>
        </w:rPr>
      </w:r>
      <w:r/>
    </w:p>
    <w:p>
      <w:pPr>
        <w:rPr>
          <w:rFonts w:hint="eastAsia" w:ascii="方正小标宋简体" w:hAnsi="方正小标宋简体" w:eastAsia="方正小标宋简体" w:cs="方正小标宋简体"/>
          <w:b w:val="0"/>
          <w:bCs w:val="0"/>
          <w:sz w:val="32"/>
          <w:szCs w:val="32"/>
        </w:rPr>
        <w:outlineLvl w:val="9"/>
      </w:pPr>
      <w:r>
        <w:rPr>
          <w:rFonts w:hint="eastAsia" w:ascii="方正小标宋简体" w:hAnsi="方正小标宋简体" w:eastAsia="方正小标宋简体" w:cs="方正小标宋简体"/>
          <w:b w:val="0"/>
          <w:bCs w:val="0"/>
          <w:sz w:val="32"/>
          <w:szCs w:val="32"/>
          <w:highlight w:val="none"/>
          <w:lang w:val="en-US" w:eastAsia="zh-CN"/>
        </w:rPr>
        <w:br w:type="page" w:clear="all"/>
      </w:r>
      <w:bookmarkEnd w:id="213"/>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9"/>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9"/>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outlineLvl w:val="9"/>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outlineLvl w:val="9"/>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9"/>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outlineLvl w:val="9"/>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outlineLvl w:val="9"/>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分</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9"/>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outlineLvl w:val="9"/>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outlineLvl w:val="9"/>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9"/>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outlineLvl w:val="9"/>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outlineLvl w:val="9"/>
      </w:pPr>
      <w:r>
        <w:rPr>
          <w:rFonts w:hint="eastAsia" w:ascii="宋体" w:hAnsi="宋体"/>
          <w:sz w:val="24"/>
          <w:szCs w:val="24"/>
        </w:rPr>
      </w:r>
      <w:r/>
    </w:p>
    <w:p>
      <w:pPr>
        <w:rPr>
          <w:rFonts w:ascii="宋体" w:hAnsi="宋体"/>
          <w:sz w:val="24"/>
          <w:szCs w:val="24"/>
        </w:rPr>
        <w:outlineLvl w:val="9"/>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outlineLvl w:val="9"/>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outlineLvl w:val="9"/>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outlineLvl w:val="9"/>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outlineLvl w:val="9"/>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2.</w:t>
      </w:r>
      <w:r>
        <w:rPr>
          <w:rFonts w:hint="eastAsia" w:ascii="宋体" w:hAnsi="宋体" w:eastAsia="宋体" w:cs="仿宋"/>
          <w:sz w:val="24"/>
          <w:szCs w:val="24"/>
          <w:highlight w:val="none"/>
          <w:lang w:val="en-US" w:eastAsia="zh-CN"/>
        </w:rPr>
        <w:t xml:space="preserve">由授权代表负责</w:t>
      </w:r>
      <w:r>
        <w:rPr>
          <w:rFonts w:hint="eastAsia" w:ascii="宋体" w:hAnsi="宋体" w:eastAsia="宋体" w:cs="仿宋"/>
          <w:sz w:val="24"/>
          <w:szCs w:val="24"/>
          <w:highlight w:val="none"/>
          <w:lang w:eastAsia="zh-CN"/>
        </w:rPr>
        <w:t xml:space="preserve">质疑</w:t>
      </w:r>
      <w:r>
        <w:rPr>
          <w:rFonts w:hint="eastAsia" w:ascii="宋体" w:hAnsi="宋体" w:eastAsia="宋体" w:cs="仿宋"/>
          <w:sz w:val="24"/>
          <w:szCs w:val="24"/>
          <w:highlight w:val="none"/>
          <w:lang w:val="en-US" w:eastAsia="zh-CN"/>
        </w:rPr>
        <w:t xml:space="preserve">事宜</w:t>
      </w:r>
      <w:r>
        <w:rPr>
          <w:rFonts w:hint="eastAsia" w:ascii="宋体" w:hAnsi="宋体" w:eastAsia="宋体" w:cs="仿宋"/>
          <w:sz w:val="24"/>
          <w:szCs w:val="24"/>
          <w:highlight w:val="none"/>
          <w:lang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lang w:val="en-US" w:eastAsia="zh-CN"/>
        </w:rPr>
        <w:t xml:space="preserve">附件中</w:t>
      </w:r>
      <w:r>
        <w:rPr>
          <w:rFonts w:hint="eastAsia" w:ascii="宋体" w:hAnsi="宋体" w:eastAsia="宋体" w:cs="仿宋"/>
          <w:b w:val="0"/>
          <w:bCs w:val="0"/>
          <w:sz w:val="24"/>
          <w:szCs w:val="24"/>
          <w:highlight w:val="none"/>
        </w:rPr>
        <w:t xml:space="preserve">应</w:t>
      </w:r>
      <w:r>
        <w:rPr>
          <w:rFonts w:hint="eastAsia" w:ascii="宋体" w:hAnsi="宋体" w:eastAsia="宋体" w:cs="仿宋"/>
          <w:b w:val="0"/>
          <w:bCs w:val="0"/>
          <w:sz w:val="24"/>
          <w:szCs w:val="24"/>
          <w:highlight w:val="none"/>
          <w:lang w:val="en-US" w:eastAsia="zh-CN"/>
        </w:rPr>
        <w:t xml:space="preserve">提交</w:t>
      </w:r>
      <w:r>
        <w:rPr>
          <w:rFonts w:hint="eastAsia" w:ascii="宋体" w:hAnsi="宋体" w:eastAsia="宋体" w:cs="仿宋"/>
          <w:sz w:val="24"/>
          <w:szCs w:val="24"/>
          <w:highlight w:val="none"/>
          <w:lang w:eastAsia="zh-CN"/>
        </w:rPr>
        <w:t xml:space="preserve">由质疑供应商法定代表人签署的《授权委托书》</w:t>
      </w:r>
      <w:r>
        <w:rPr>
          <w:rFonts w:hint="eastAsia" w:ascii="宋体" w:hAnsi="宋体" w:eastAsia="宋体" w:cs="仿宋"/>
          <w:b w:val="0"/>
          <w:bCs w:val="0"/>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对项目的某一分包进行质疑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rPr>
        <w:t xml:space="preserve">分包号。</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outlineLvl w:val="9"/>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p>
    <w:p>
      <w:pPr>
        <w:ind w:firstLine="480"/>
        <w:spacing w:line="480" w:lineRule="exact"/>
        <w:rPr>
          <w:rFonts w:hint="eastAsia" w:ascii="宋体" w:hAnsi="宋体" w:eastAsia="宋体" w:cs="仿宋"/>
          <w:b w:val="0"/>
          <w:bCs w:val="0"/>
          <w:sz w:val="24"/>
          <w:szCs w:val="24"/>
          <w:highlight w:val="none"/>
          <w:lang w:eastAsia="zh-CN"/>
        </w:rPr>
        <w:outlineLvl w:val="9"/>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spacing w:line="480" w:lineRule="exact"/>
        <w:rPr>
          <w:rFonts w:hint="eastAsia" w:ascii="宋体" w:hAnsi="宋体" w:eastAsia="宋体" w:cs="仿宋"/>
          <w:b w:val="0"/>
          <w:bCs w:val="0"/>
          <w:sz w:val="24"/>
          <w:szCs w:val="24"/>
          <w:highlight w:val="none"/>
          <w:lang w:eastAsia="zh-CN"/>
        </w:rPr>
        <w:outlineLvl w:val="9"/>
      </w:pPr>
      <w:r>
        <w:rPr>
          <w:rFonts w:hint="eastAsia" w:ascii="宋体" w:hAnsi="宋体" w:eastAsia="宋体" w:cs="仿宋"/>
          <w:b w:val="0"/>
          <w:bCs w:val="0"/>
          <w:sz w:val="24"/>
          <w:szCs w:val="24"/>
          <w:highlight w:val="none"/>
          <w:lang w:eastAsia="zh-CN"/>
        </w:rPr>
      </w:r>
      <w:r/>
    </w:p>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8"/>
      <w:rPr>
        <w:rStyle w:val="973"/>
      </w:rPr>
      <w:framePr w:wrap="around" w:vAnchor="text" w:hAnchor="margin" w:xAlign="center" w:y="1"/>
    </w:pPr>
    <w:r>
      <w:fldChar w:fldCharType="begin"/>
    </w:r>
    <w:r>
      <w:rPr>
        <w:rStyle w:val="973"/>
      </w:rPr>
      <w:instrText xml:space="preserve">PAGE  </w:instrText>
    </w:r>
    <w:r>
      <w:fldChar w:fldCharType="separate"/>
    </w:r>
    <w:r>
      <w:rPr>
        <w:rStyle w:val="973"/>
      </w:rPr>
      <w:t xml:space="preserve">1</w:t>
    </w:r>
    <w:r>
      <w:fldChar w:fldCharType="end"/>
    </w:r>
    <w:r/>
  </w:p>
  <w:p>
    <w:pPr>
      <w:pStyle w:val="94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jc w:val="center"/>
                          </w:pPr>
                          <w:r>
                            <w:fldChar w:fldCharType="begin"/>
                          </w:r>
                          <w:r>
                            <w:instrText xml:space="preserve">PAGE \* MERGEFORMAT</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jc w:val="center"/>
                    </w:pPr>
                    <w:r>
                      <w:fldChar w:fldCharType="begin"/>
                    </w:r>
                    <w:r>
                      <w:instrText xml:space="preserve">PAGE \* MERGEFORMAT</w:instrText>
                    </w:r>
                    <w:r>
                      <w:fldChar w:fldCharType="separate"/>
                    </w:r>
                    <w:r>
                      <w:t xml:space="preserve">1</w:t>
                    </w:r>
                    <w:r>
                      <w:fldChar w:fldCharType="end"/>
                    </w:r>
                    <w:r/>
                  </w:p>
                </w:txbxContent>
              </v:textbox>
            </v:shape>
          </w:pict>
        </mc:Fallback>
      </mc:AlternateContent>
    </w:r>
    <w:r/>
  </w:p>
  <w:p>
    <w:pPr>
      <w:pStyle w:val="7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3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3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8"/>
      <w:isLgl w:val="false"/>
      <w:suff w:val="nothing"/>
      <w:lvlText w:val=""/>
      <w:lvlJc w:val="left"/>
      <w:pPr>
        <w:ind w:left="0" w:firstLine="0"/>
      </w:pPr>
      <w:rPr>
        <w:rFonts w:hint="eastAsia"/>
      </w:rPr>
    </w:lvl>
    <w:lvl w:ilvl="6">
      <w:start w:val="1"/>
      <w:numFmt w:val="decimal"/>
      <w:pStyle w:val="909"/>
      <w:isLgl w:val="false"/>
      <w:suff w:val="nothing"/>
      <w:lvlText w:val=""/>
      <w:lvlJc w:val="left"/>
      <w:pPr>
        <w:ind w:left="0" w:firstLine="0"/>
      </w:pPr>
      <w:rPr>
        <w:rFonts w:hint="eastAsia"/>
      </w:rPr>
    </w:lvl>
    <w:lvl w:ilvl="7">
      <w:start w:val="1"/>
      <w:numFmt w:val="decimal"/>
      <w:pStyle w:val="910"/>
      <w:isLgl w:val="false"/>
      <w:suff w:val="nothing"/>
      <w:lvlText w:val=""/>
      <w:lvlJc w:val="left"/>
      <w:pPr>
        <w:ind w:left="0" w:firstLine="0"/>
      </w:pPr>
      <w:rPr>
        <w:rFonts w:hint="eastAsia"/>
      </w:rPr>
    </w:lvl>
    <w:lvl w:ilvl="8">
      <w:start w:val="1"/>
      <w:numFmt w:val="decimal"/>
      <w:pStyle w:val="911"/>
      <w:isLgl w:val="false"/>
      <w:suff w:val="nothing"/>
      <w:lvlText w:val=""/>
      <w:lvlJc w:val="left"/>
      <w:pPr>
        <w:ind w:left="0" w:firstLine="0"/>
      </w:pPr>
      <w:rPr>
        <w:rFonts w:hint="eastAsia"/>
      </w:rPr>
    </w:lvl>
  </w:abstractNum>
  <w:abstractNum w:abstractNumId="2">
    <w:multiLevelType w:val="hybridMultilevel"/>
    <w:lvl w:ilvl="0">
      <w:start w:val="1"/>
      <w:numFmt w:val="decimal"/>
      <w:pStyle w:val="75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next w:val="728"/>
    <w:link w:val="97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17">
    <w:name w:val="Heading 1"/>
    <w:basedOn w:val="716"/>
    <w:next w:val="716"/>
    <w:link w:val="755"/>
    <w:uiPriority w:val="9"/>
    <w:qFormat/>
    <w:pPr>
      <w:keepLines/>
      <w:keepNext/>
      <w:spacing w:before="480" w:after="200"/>
      <w:outlineLvl w:val="0"/>
    </w:pPr>
    <w:rPr>
      <w:rFonts w:ascii="Arial" w:hAnsi="Arial" w:eastAsia="Arial" w:cs="Arial"/>
      <w:sz w:val="40"/>
      <w:szCs w:val="40"/>
    </w:rPr>
  </w:style>
  <w:style w:type="paragraph" w:styleId="718">
    <w:name w:val="Heading 2"/>
    <w:basedOn w:val="716"/>
    <w:next w:val="716"/>
    <w:link w:val="756"/>
    <w:uiPriority w:val="9"/>
    <w:unhideWhenUsed/>
    <w:qFormat/>
    <w:pPr>
      <w:keepLines/>
      <w:keepNext/>
      <w:spacing w:before="360" w:after="200"/>
      <w:outlineLvl w:val="1"/>
    </w:pPr>
    <w:rPr>
      <w:rFonts w:ascii="Arial" w:hAnsi="Arial" w:eastAsia="Arial" w:cs="Arial"/>
      <w:sz w:val="34"/>
    </w:rPr>
  </w:style>
  <w:style w:type="paragraph" w:styleId="719">
    <w:name w:val="Heading 3"/>
    <w:basedOn w:val="716"/>
    <w:next w:val="716"/>
    <w:link w:val="757"/>
    <w:uiPriority w:val="9"/>
    <w:unhideWhenUsed/>
    <w:qFormat/>
    <w:pPr>
      <w:keepLines/>
      <w:keepNext/>
      <w:spacing w:before="320" w:after="200"/>
      <w:outlineLvl w:val="2"/>
    </w:pPr>
    <w:rPr>
      <w:rFonts w:ascii="Arial" w:hAnsi="Arial" w:eastAsia="Arial" w:cs="Arial"/>
      <w:sz w:val="30"/>
      <w:szCs w:val="30"/>
    </w:rPr>
  </w:style>
  <w:style w:type="paragraph" w:styleId="720">
    <w:name w:val="Heading 4"/>
    <w:basedOn w:val="716"/>
    <w:next w:val="716"/>
    <w:link w:val="758"/>
    <w:uiPriority w:val="9"/>
    <w:unhideWhenUsed/>
    <w:qFormat/>
    <w:pPr>
      <w:keepLines/>
      <w:keepNext/>
      <w:spacing w:before="320" w:after="200"/>
      <w:outlineLvl w:val="3"/>
    </w:pPr>
    <w:rPr>
      <w:rFonts w:ascii="Arial" w:hAnsi="Arial" w:eastAsia="Arial" w:cs="Arial"/>
      <w:b/>
      <w:bCs/>
      <w:sz w:val="26"/>
      <w:szCs w:val="26"/>
    </w:rPr>
  </w:style>
  <w:style w:type="paragraph" w:styleId="721">
    <w:name w:val="Heading 5"/>
    <w:basedOn w:val="716"/>
    <w:next w:val="716"/>
    <w:link w:val="759"/>
    <w:uiPriority w:val="9"/>
    <w:unhideWhenUsed/>
    <w:qFormat/>
    <w:pPr>
      <w:keepLines/>
      <w:keepNext/>
      <w:spacing w:before="320" w:after="200"/>
      <w:outlineLvl w:val="4"/>
    </w:pPr>
    <w:rPr>
      <w:rFonts w:ascii="Arial" w:hAnsi="Arial" w:eastAsia="Arial" w:cs="Arial"/>
      <w:b/>
      <w:bCs/>
      <w:sz w:val="24"/>
      <w:szCs w:val="24"/>
    </w:rPr>
  </w:style>
  <w:style w:type="paragraph" w:styleId="722">
    <w:name w:val="Heading 6"/>
    <w:basedOn w:val="716"/>
    <w:next w:val="716"/>
    <w:link w:val="760"/>
    <w:uiPriority w:val="9"/>
    <w:unhideWhenUsed/>
    <w:qFormat/>
    <w:pPr>
      <w:keepLines/>
      <w:keepNext/>
      <w:spacing w:before="320" w:after="200"/>
      <w:outlineLvl w:val="5"/>
    </w:pPr>
    <w:rPr>
      <w:rFonts w:ascii="Arial" w:hAnsi="Arial" w:eastAsia="Arial" w:cs="Arial"/>
      <w:b/>
      <w:bCs/>
      <w:sz w:val="22"/>
      <w:szCs w:val="22"/>
    </w:rPr>
  </w:style>
  <w:style w:type="paragraph" w:styleId="723">
    <w:name w:val="Heading 7"/>
    <w:basedOn w:val="716"/>
    <w:next w:val="716"/>
    <w:link w:val="761"/>
    <w:uiPriority w:val="9"/>
    <w:unhideWhenUsed/>
    <w:qFormat/>
    <w:pPr>
      <w:keepLines/>
      <w:keepNext/>
      <w:spacing w:before="320" w:after="200"/>
      <w:outlineLvl w:val="6"/>
    </w:pPr>
    <w:rPr>
      <w:rFonts w:ascii="Arial" w:hAnsi="Arial" w:eastAsia="Arial" w:cs="Arial"/>
      <w:b/>
      <w:bCs/>
      <w:i/>
      <w:iCs/>
      <w:sz w:val="22"/>
      <w:szCs w:val="22"/>
    </w:rPr>
  </w:style>
  <w:style w:type="paragraph" w:styleId="724">
    <w:name w:val="Heading 8"/>
    <w:basedOn w:val="716"/>
    <w:next w:val="716"/>
    <w:link w:val="762"/>
    <w:uiPriority w:val="9"/>
    <w:unhideWhenUsed/>
    <w:qFormat/>
    <w:pPr>
      <w:keepLines/>
      <w:keepNext/>
      <w:spacing w:before="320" w:after="200"/>
      <w:outlineLvl w:val="7"/>
    </w:pPr>
    <w:rPr>
      <w:rFonts w:ascii="Arial" w:hAnsi="Arial" w:eastAsia="Arial" w:cs="Arial"/>
      <w:i/>
      <w:iCs/>
      <w:sz w:val="22"/>
      <w:szCs w:val="22"/>
    </w:rPr>
  </w:style>
  <w:style w:type="paragraph" w:styleId="725">
    <w:name w:val="Heading 9"/>
    <w:basedOn w:val="716"/>
    <w:next w:val="716"/>
    <w:link w:val="763"/>
    <w:uiPriority w:val="9"/>
    <w:unhideWhenUsed/>
    <w:qFormat/>
    <w:pPr>
      <w:keepLines/>
      <w:keepNext/>
      <w:spacing w:before="320" w:after="200"/>
      <w:outlineLvl w:val="8"/>
    </w:pPr>
    <w:rPr>
      <w:rFonts w:ascii="Arial" w:hAnsi="Arial" w:eastAsia="Arial" w:cs="Arial"/>
      <w:i/>
      <w:iCs/>
      <w:sz w:val="21"/>
      <w:szCs w:val="21"/>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table of authorities"/>
    <w:basedOn w:val="716"/>
    <w:next w:val="716"/>
    <w:uiPriority w:val="0"/>
    <w:qFormat/>
    <w:pPr>
      <w:ind w:left="420"/>
    </w:pPr>
  </w:style>
  <w:style w:type="paragraph" w:styleId="729">
    <w:name w:val="toc 7"/>
    <w:basedOn w:val="716"/>
    <w:next w:val="716"/>
    <w:uiPriority w:val="39"/>
    <w:unhideWhenUsed/>
    <w:qFormat/>
    <w:pPr>
      <w:ind w:left="1701" w:right="0" w:firstLine="0"/>
      <w:spacing w:after="57"/>
    </w:pPr>
  </w:style>
  <w:style w:type="paragraph" w:styleId="730">
    <w:name w:val="Caption"/>
    <w:basedOn w:val="716"/>
    <w:next w:val="71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1">
    <w:name w:val="annotation text"/>
    <w:basedOn w:val="716"/>
    <w:uiPriority w:val="99"/>
    <w:semiHidden/>
    <w:unhideWhenUsed/>
    <w:qFormat/>
    <w:pPr>
      <w:jc w:val="left"/>
    </w:pPr>
  </w:style>
  <w:style w:type="paragraph" w:styleId="732">
    <w:name w:val="toc 5"/>
    <w:basedOn w:val="716"/>
    <w:next w:val="716"/>
    <w:uiPriority w:val="39"/>
    <w:unhideWhenUsed/>
    <w:qFormat/>
    <w:pPr>
      <w:ind w:left="1134" w:right="0" w:firstLine="0"/>
      <w:spacing w:after="57"/>
    </w:pPr>
  </w:style>
  <w:style w:type="paragraph" w:styleId="733">
    <w:name w:val="toc 3"/>
    <w:basedOn w:val="716"/>
    <w:next w:val="716"/>
    <w:uiPriority w:val="39"/>
    <w:unhideWhenUsed/>
    <w:qFormat/>
    <w:pPr>
      <w:ind w:left="567" w:right="0" w:firstLine="0"/>
      <w:spacing w:after="57"/>
    </w:pPr>
  </w:style>
  <w:style w:type="paragraph" w:styleId="734">
    <w:name w:val="toc 8"/>
    <w:basedOn w:val="716"/>
    <w:next w:val="716"/>
    <w:uiPriority w:val="39"/>
    <w:unhideWhenUsed/>
    <w:qFormat/>
    <w:pPr>
      <w:ind w:left="1984" w:right="0" w:firstLine="0"/>
      <w:spacing w:after="57"/>
    </w:pPr>
  </w:style>
  <w:style w:type="paragraph" w:styleId="735">
    <w:name w:val="endnote text"/>
    <w:basedOn w:val="716"/>
    <w:link w:val="901"/>
    <w:uiPriority w:val="99"/>
    <w:semiHidden/>
    <w:unhideWhenUsed/>
    <w:qFormat/>
    <w:pPr>
      <w:spacing w:after="0" w:line="240" w:lineRule="auto"/>
    </w:pPr>
    <w:rPr>
      <w:sz w:val="20"/>
    </w:rPr>
  </w:style>
  <w:style w:type="paragraph" w:styleId="736">
    <w:name w:val="Footer"/>
    <w:basedOn w:val="716"/>
    <w:link w:val="774"/>
    <w:uiPriority w:val="99"/>
    <w:unhideWhenUsed/>
    <w:qFormat/>
    <w:pPr>
      <w:spacing w:after="0" w:line="240" w:lineRule="auto"/>
      <w:tabs>
        <w:tab w:val="center" w:pos="7143" w:leader="none"/>
        <w:tab w:val="right" w:pos="14287" w:leader="none"/>
      </w:tabs>
    </w:pPr>
  </w:style>
  <w:style w:type="paragraph" w:styleId="737">
    <w:name w:val="Header"/>
    <w:basedOn w:val="716"/>
    <w:link w:val="772"/>
    <w:uiPriority w:val="99"/>
    <w:unhideWhenUsed/>
    <w:qFormat/>
    <w:pPr>
      <w:spacing w:after="0" w:line="240" w:lineRule="auto"/>
      <w:tabs>
        <w:tab w:val="center" w:pos="7143" w:leader="none"/>
        <w:tab w:val="right" w:pos="14287" w:leader="none"/>
      </w:tabs>
    </w:pPr>
  </w:style>
  <w:style w:type="paragraph" w:styleId="738">
    <w:name w:val="toc 1"/>
    <w:basedOn w:val="716"/>
    <w:next w:val="716"/>
    <w:uiPriority w:val="39"/>
    <w:unhideWhenUsed/>
    <w:qFormat/>
    <w:pPr>
      <w:ind w:left="0" w:right="0" w:firstLine="0"/>
      <w:spacing w:after="57"/>
    </w:pPr>
  </w:style>
  <w:style w:type="paragraph" w:styleId="739">
    <w:name w:val="toc 4"/>
    <w:basedOn w:val="716"/>
    <w:next w:val="716"/>
    <w:uiPriority w:val="39"/>
    <w:unhideWhenUsed/>
    <w:qFormat/>
    <w:pPr>
      <w:ind w:left="850" w:right="0" w:firstLine="0"/>
      <w:spacing w:after="57"/>
    </w:pPr>
  </w:style>
  <w:style w:type="paragraph" w:styleId="740">
    <w:name w:val="Subtitle"/>
    <w:basedOn w:val="716"/>
    <w:next w:val="716"/>
    <w:link w:val="767"/>
    <w:uiPriority w:val="11"/>
    <w:qFormat/>
    <w:pPr>
      <w:spacing w:before="200" w:after="200"/>
    </w:pPr>
    <w:rPr>
      <w:sz w:val="24"/>
      <w:szCs w:val="24"/>
    </w:rPr>
  </w:style>
  <w:style w:type="paragraph" w:styleId="741">
    <w:name w:val="footnote text"/>
    <w:basedOn w:val="716"/>
    <w:link w:val="900"/>
    <w:uiPriority w:val="99"/>
    <w:semiHidden/>
    <w:unhideWhenUsed/>
    <w:qFormat/>
    <w:pPr>
      <w:spacing w:after="40" w:line="240" w:lineRule="auto"/>
    </w:pPr>
    <w:rPr>
      <w:sz w:val="18"/>
    </w:rPr>
  </w:style>
  <w:style w:type="paragraph" w:styleId="742">
    <w:name w:val="toc 6"/>
    <w:basedOn w:val="716"/>
    <w:next w:val="716"/>
    <w:uiPriority w:val="39"/>
    <w:unhideWhenUsed/>
    <w:qFormat/>
    <w:pPr>
      <w:ind w:left="1417" w:right="0" w:firstLine="0"/>
      <w:spacing w:after="57"/>
    </w:pPr>
  </w:style>
  <w:style w:type="paragraph" w:styleId="743">
    <w:name w:val="table of figures"/>
    <w:basedOn w:val="716"/>
    <w:next w:val="716"/>
    <w:uiPriority w:val="99"/>
    <w:unhideWhenUsed/>
    <w:qFormat/>
    <w:pPr>
      <w:spacing w:after="0" w:afterAutospacing="0"/>
    </w:pPr>
  </w:style>
  <w:style w:type="paragraph" w:styleId="744">
    <w:name w:val="toc 2"/>
    <w:basedOn w:val="716"/>
    <w:next w:val="716"/>
    <w:uiPriority w:val="39"/>
    <w:unhideWhenUsed/>
    <w:qFormat/>
    <w:pPr>
      <w:ind w:left="283" w:right="0" w:firstLine="0"/>
      <w:spacing w:after="57"/>
    </w:pPr>
  </w:style>
  <w:style w:type="paragraph" w:styleId="745">
    <w:name w:val="toc 9"/>
    <w:basedOn w:val="716"/>
    <w:next w:val="716"/>
    <w:uiPriority w:val="39"/>
    <w:unhideWhenUsed/>
    <w:qFormat/>
    <w:pPr>
      <w:ind w:left="2268" w:right="0" w:firstLine="0"/>
      <w:spacing w:after="57"/>
    </w:pPr>
  </w:style>
  <w:style w:type="paragraph" w:styleId="746">
    <w:name w:val="Title"/>
    <w:basedOn w:val="716"/>
    <w:next w:val="716"/>
    <w:link w:val="766"/>
    <w:uiPriority w:val="10"/>
    <w:qFormat/>
    <w:pPr>
      <w:contextualSpacing/>
      <w:spacing w:before="300" w:after="200"/>
    </w:pPr>
    <w:rPr>
      <w:sz w:val="48"/>
      <w:szCs w:val="48"/>
    </w:rPr>
  </w:style>
  <w:style w:type="table" w:styleId="74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character" w:styleId="751" w:customStyle="1">
    <w:name w:val="标题 3 Char"/>
    <w:link w:val="752"/>
    <w:uiPriority w:val="0"/>
    <w:qFormat/>
    <w:rPr>
      <w:rFonts w:ascii="Times New Roman" w:hAnsi="Times New Roman" w:eastAsia="宋体" w:cs="Times New Roman"/>
      <w:b/>
      <w:bCs/>
      <w:sz w:val="32"/>
      <w:szCs w:val="32"/>
    </w:rPr>
  </w:style>
  <w:style w:type="paragraph" w:styleId="752" w:customStyle="1">
    <w:name w:val="标题 31"/>
    <w:basedOn w:val="716"/>
    <w:next w:val="716"/>
    <w:link w:val="751"/>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753" w:customStyle="1">
    <w:name w:val="样式1"/>
    <w:basedOn w:val="716"/>
    <w:uiPriority w:val="0"/>
    <w:qFormat/>
    <w:pPr>
      <w:numPr>
        <w:ilvl w:val="0"/>
        <w:numId w:val="1"/>
      </w:numPr>
    </w:pPr>
    <w:rPr>
      <w:rFonts w:ascii="宋体" w:hAnsi="宋体" w:eastAsia="宋体" w:cs="Times New Roman"/>
      <w:szCs w:val="21"/>
    </w:rPr>
  </w:style>
  <w:style w:type="paragraph" w:styleId="754" w:customStyle="1">
    <w:name w:val="索引 411"/>
    <w:basedOn w:val="716"/>
    <w:next w:val="716"/>
    <w:uiPriority w:val="99"/>
    <w:unhideWhenUsed/>
    <w:qFormat/>
    <w:pPr>
      <w:ind w:left="600"/>
    </w:pPr>
  </w:style>
  <w:style w:type="character" w:styleId="755" w:customStyle="1">
    <w:name w:val="Heading 1 Char"/>
    <w:link w:val="717"/>
    <w:uiPriority w:val="9"/>
    <w:qFormat/>
    <w:rPr>
      <w:rFonts w:ascii="Arial" w:hAnsi="Arial" w:eastAsia="Arial" w:cs="Arial"/>
      <w:sz w:val="40"/>
      <w:szCs w:val="40"/>
    </w:rPr>
  </w:style>
  <w:style w:type="character" w:styleId="756" w:customStyle="1">
    <w:name w:val="Heading 2 Char"/>
    <w:link w:val="718"/>
    <w:uiPriority w:val="9"/>
    <w:qFormat/>
    <w:rPr>
      <w:rFonts w:ascii="Arial" w:hAnsi="Arial" w:eastAsia="Arial" w:cs="Arial"/>
      <w:sz w:val="34"/>
    </w:rPr>
  </w:style>
  <w:style w:type="character" w:styleId="757" w:customStyle="1">
    <w:name w:val="Heading 3 Char"/>
    <w:link w:val="719"/>
    <w:uiPriority w:val="9"/>
    <w:qFormat/>
    <w:rPr>
      <w:rFonts w:ascii="Arial" w:hAnsi="Arial" w:eastAsia="Arial" w:cs="Arial"/>
      <w:sz w:val="30"/>
      <w:szCs w:val="30"/>
    </w:rPr>
  </w:style>
  <w:style w:type="character" w:styleId="758" w:customStyle="1">
    <w:name w:val="Heading 4 Char"/>
    <w:link w:val="720"/>
    <w:uiPriority w:val="9"/>
    <w:qFormat/>
    <w:rPr>
      <w:rFonts w:ascii="Arial" w:hAnsi="Arial" w:eastAsia="Arial" w:cs="Arial"/>
      <w:b/>
      <w:bCs/>
      <w:sz w:val="26"/>
      <w:szCs w:val="26"/>
    </w:rPr>
  </w:style>
  <w:style w:type="character" w:styleId="759" w:customStyle="1">
    <w:name w:val="Heading 5 Char"/>
    <w:link w:val="721"/>
    <w:uiPriority w:val="9"/>
    <w:qFormat/>
    <w:rPr>
      <w:rFonts w:ascii="Arial" w:hAnsi="Arial" w:eastAsia="Arial" w:cs="Arial"/>
      <w:b/>
      <w:bCs/>
      <w:sz w:val="24"/>
      <w:szCs w:val="24"/>
    </w:rPr>
  </w:style>
  <w:style w:type="character" w:styleId="760" w:customStyle="1">
    <w:name w:val="Heading 6 Char"/>
    <w:link w:val="722"/>
    <w:uiPriority w:val="9"/>
    <w:qFormat/>
    <w:rPr>
      <w:rFonts w:ascii="Arial" w:hAnsi="Arial" w:eastAsia="Arial" w:cs="Arial"/>
      <w:b/>
      <w:bCs/>
      <w:sz w:val="22"/>
      <w:szCs w:val="22"/>
    </w:rPr>
  </w:style>
  <w:style w:type="character" w:styleId="761" w:customStyle="1">
    <w:name w:val="Heading 7 Char"/>
    <w:link w:val="723"/>
    <w:uiPriority w:val="9"/>
    <w:qFormat/>
    <w:rPr>
      <w:rFonts w:ascii="Arial" w:hAnsi="Arial" w:eastAsia="Arial" w:cs="Arial"/>
      <w:b/>
      <w:bCs/>
      <w:i/>
      <w:iCs/>
      <w:sz w:val="22"/>
      <w:szCs w:val="22"/>
    </w:rPr>
  </w:style>
  <w:style w:type="character" w:styleId="762" w:customStyle="1">
    <w:name w:val="Heading 8 Char"/>
    <w:link w:val="724"/>
    <w:uiPriority w:val="9"/>
    <w:qFormat/>
    <w:rPr>
      <w:rFonts w:ascii="Arial" w:hAnsi="Arial" w:eastAsia="Arial" w:cs="Arial"/>
      <w:i/>
      <w:iCs/>
      <w:sz w:val="22"/>
      <w:szCs w:val="22"/>
    </w:rPr>
  </w:style>
  <w:style w:type="character" w:styleId="763" w:customStyle="1">
    <w:name w:val="Heading 9 Char"/>
    <w:link w:val="725"/>
    <w:uiPriority w:val="9"/>
    <w:qFormat/>
    <w:rPr>
      <w:rFonts w:ascii="Arial" w:hAnsi="Arial" w:eastAsia="Arial" w:cs="Arial"/>
      <w:i/>
      <w:iCs/>
      <w:sz w:val="21"/>
      <w:szCs w:val="21"/>
    </w:rPr>
  </w:style>
  <w:style w:type="paragraph" w:styleId="764">
    <w:name w:val="List Paragraph"/>
    <w:basedOn w:val="716"/>
    <w:uiPriority w:val="34"/>
    <w:qFormat/>
    <w:pPr>
      <w:contextualSpacing/>
      <w:ind w:left="720"/>
    </w:pPr>
  </w:style>
  <w:style w:type="paragraph" w:styleId="765">
    <w:name w:val="No Spacing"/>
    <w:uiPriority w:val="1"/>
    <w:qFormat/>
    <w:pPr>
      <w:spacing w:before="0" w:after="0" w:line="240" w:lineRule="auto"/>
    </w:pPr>
    <w:rPr>
      <w:rFonts w:hint="default" w:ascii="Times New Roman" w:hAnsi="Times New Roman" w:eastAsia="宋体" w:cs="Times New Roman"/>
    </w:rPr>
  </w:style>
  <w:style w:type="character" w:styleId="766" w:customStyle="1">
    <w:name w:val="Title Char"/>
    <w:link w:val="746"/>
    <w:uiPriority w:val="10"/>
    <w:qFormat/>
    <w:rPr>
      <w:sz w:val="48"/>
      <w:szCs w:val="48"/>
    </w:rPr>
  </w:style>
  <w:style w:type="character" w:styleId="767" w:customStyle="1">
    <w:name w:val="Subtitle Char"/>
    <w:link w:val="740"/>
    <w:uiPriority w:val="11"/>
    <w:qFormat/>
    <w:rPr>
      <w:sz w:val="24"/>
      <w:szCs w:val="24"/>
    </w:rPr>
  </w:style>
  <w:style w:type="paragraph" w:styleId="768">
    <w:name w:val="Quote"/>
    <w:basedOn w:val="716"/>
    <w:next w:val="716"/>
    <w:link w:val="769"/>
    <w:uiPriority w:val="29"/>
    <w:qFormat/>
    <w:pPr>
      <w:ind w:left="720" w:right="720"/>
    </w:pPr>
    <w:rPr>
      <w:i/>
    </w:rPr>
  </w:style>
  <w:style w:type="character" w:styleId="769" w:customStyle="1">
    <w:name w:val="Quote Char"/>
    <w:link w:val="768"/>
    <w:uiPriority w:val="29"/>
    <w:qFormat/>
    <w:rPr>
      <w:i/>
    </w:rPr>
  </w:style>
  <w:style w:type="paragraph" w:styleId="770">
    <w:name w:val="Intense Quote"/>
    <w:basedOn w:val="716"/>
    <w:next w:val="716"/>
    <w:link w:val="7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Intense Quote Char"/>
    <w:link w:val="770"/>
    <w:uiPriority w:val="30"/>
    <w:qFormat/>
    <w:rPr>
      <w:i/>
    </w:rPr>
  </w:style>
  <w:style w:type="character" w:styleId="772" w:customStyle="1">
    <w:name w:val="Header Char"/>
    <w:link w:val="737"/>
    <w:uiPriority w:val="99"/>
    <w:qFormat/>
  </w:style>
  <w:style w:type="character" w:styleId="773" w:customStyle="1">
    <w:name w:val="Footer Char"/>
    <w:link w:val="736"/>
    <w:uiPriority w:val="99"/>
    <w:qFormat/>
  </w:style>
  <w:style w:type="character" w:styleId="774" w:customStyle="1">
    <w:name w:val="Caption Char"/>
    <w:link w:val="736"/>
    <w:uiPriority w:val="99"/>
    <w:qFormat/>
  </w:style>
  <w:style w:type="table" w:styleId="7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0" w:customStyle="1">
    <w:name w:val="Footnote Text Char"/>
    <w:link w:val="741"/>
    <w:uiPriority w:val="99"/>
    <w:qFormat/>
    <w:rPr>
      <w:sz w:val="18"/>
    </w:rPr>
  </w:style>
  <w:style w:type="character" w:styleId="901" w:customStyle="1">
    <w:name w:val="Endnote Text Char"/>
    <w:link w:val="735"/>
    <w:uiPriority w:val="99"/>
    <w:qFormat/>
    <w:rPr>
      <w:sz w:val="20"/>
    </w:rPr>
  </w:style>
  <w:style w:type="paragraph" w:styleId="902" w:customStyle="1">
    <w:name w:val="TOC Heading"/>
    <w:uiPriority w:val="39"/>
    <w:unhideWhenUsed/>
    <w:qFormat/>
    <w:rPr>
      <w:rFonts w:hint="default" w:ascii="Times New Roman" w:hAnsi="Times New Roman" w:eastAsia="宋体" w:cs="Times New Roman"/>
    </w:rPr>
  </w:style>
  <w:style w:type="paragraph" w:styleId="903" w:customStyle="1">
    <w:name w:val="标题 11"/>
    <w:basedOn w:val="716"/>
    <w:next w:val="716"/>
    <w:link w:val="914"/>
    <w:uiPriority w:val="0"/>
    <w:qFormat/>
    <w:pPr>
      <w:jc w:val="center"/>
      <w:keepNext/>
      <w:outlineLvl w:val="0"/>
    </w:pPr>
    <w:rPr>
      <w:rFonts w:ascii="楷体_GB2312" w:hAnsi="Times New Roman" w:eastAsia="楷体_GB2312" w:cs="Times New Roman"/>
      <w:sz w:val="28"/>
      <w:szCs w:val="28"/>
    </w:rPr>
  </w:style>
  <w:style w:type="paragraph" w:styleId="904" w:customStyle="1">
    <w:name w:val="标题 21"/>
    <w:basedOn w:val="716"/>
    <w:next w:val="905"/>
    <w:link w:val="915"/>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5" w:customStyle="1">
    <w:name w:val="正文缩进1"/>
    <w:basedOn w:val="716"/>
    <w:link w:val="916"/>
    <w:uiPriority w:val="0"/>
    <w:qFormat/>
    <w:pPr>
      <w:ind w:firstLine="420"/>
    </w:pPr>
    <w:rPr>
      <w:szCs w:val="21"/>
    </w:rPr>
  </w:style>
  <w:style w:type="paragraph" w:styleId="906" w:customStyle="1">
    <w:name w:val="标题 41"/>
    <w:basedOn w:val="716"/>
    <w:next w:val="905"/>
    <w:link w:val="917"/>
    <w:uiPriority w:val="0"/>
    <w:qFormat/>
    <w:pPr>
      <w:keepLines/>
      <w:keepNext/>
      <w:spacing w:before="280" w:after="290" w:line="376" w:lineRule="auto"/>
      <w:outlineLvl w:val="3"/>
    </w:pPr>
    <w:rPr>
      <w:rFonts w:ascii="Arial" w:hAnsi="Arial" w:eastAsia="黑体" w:cs="Arial"/>
      <w:b/>
      <w:bCs/>
      <w:sz w:val="28"/>
      <w:szCs w:val="28"/>
    </w:rPr>
  </w:style>
  <w:style w:type="paragraph" w:styleId="907" w:customStyle="1">
    <w:name w:val="标题 51"/>
    <w:basedOn w:val="716"/>
    <w:next w:val="905"/>
    <w:link w:val="918"/>
    <w:uiPriority w:val="0"/>
    <w:qFormat/>
    <w:pPr>
      <w:keepNext/>
      <w:outlineLvl w:val="4"/>
    </w:pPr>
    <w:rPr>
      <w:rFonts w:ascii="宋体" w:hAnsi="Times New Roman" w:eastAsia="宋体" w:cs="Times New Roman"/>
      <w:color w:val="000000"/>
      <w:sz w:val="28"/>
      <w:szCs w:val="28"/>
    </w:rPr>
  </w:style>
  <w:style w:type="paragraph" w:styleId="908" w:customStyle="1">
    <w:name w:val="标题 61"/>
    <w:basedOn w:val="716"/>
    <w:next w:val="716"/>
    <w:link w:val="919"/>
    <w:uiPriority w:val="0"/>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09" w:customStyle="1">
    <w:name w:val="标题 71"/>
    <w:basedOn w:val="716"/>
    <w:next w:val="716"/>
    <w:link w:val="920"/>
    <w:uiPriority w:val="0"/>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10" w:customStyle="1">
    <w:name w:val="标题 81"/>
    <w:basedOn w:val="716"/>
    <w:next w:val="716"/>
    <w:link w:val="921"/>
    <w:uiPriority w:val="0"/>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11" w:customStyle="1">
    <w:name w:val="标题 91"/>
    <w:basedOn w:val="716"/>
    <w:next w:val="716"/>
    <w:link w:val="922"/>
    <w:uiPriority w:val="0"/>
    <w:qFormat/>
    <w:pPr>
      <w:numPr>
        <w:ilvl w:val="8"/>
        <w:numId w:val="2"/>
      </w:numPr>
      <w:keepLines/>
      <w:keepNext/>
      <w:spacing w:before="240" w:after="64" w:line="320" w:lineRule="auto"/>
      <w:outlineLvl w:val="8"/>
    </w:pPr>
    <w:rPr>
      <w:rFonts w:ascii="Arial" w:hAnsi="Arial" w:eastAsia="黑体" w:cs="Times New Roman"/>
      <w:szCs w:val="21"/>
    </w:rPr>
  </w:style>
  <w:style w:type="character" w:styleId="912" w:customStyle="1">
    <w:name w:val="默认段落字体1"/>
    <w:link w:val="716"/>
    <w:uiPriority w:val="1"/>
    <w:unhideWhenUsed/>
    <w:qFormat/>
  </w:style>
  <w:style w:type="table" w:styleId="913" w:customStyle="1">
    <w:name w:val="普通表格11"/>
    <w:uiPriority w:val="99"/>
    <w:unhideWhenUsed/>
    <w:qFormat/>
    <w:tblPr/>
  </w:style>
  <w:style w:type="character" w:styleId="914" w:customStyle="1">
    <w:name w:val="标题 1 Char"/>
    <w:link w:val="903"/>
    <w:uiPriority w:val="0"/>
    <w:qFormat/>
    <w:rPr>
      <w:rFonts w:ascii="楷体_GB2312" w:hAnsi="Times New Roman" w:eastAsia="楷体_GB2312" w:cs="Times New Roman"/>
      <w:sz w:val="28"/>
      <w:szCs w:val="28"/>
    </w:rPr>
  </w:style>
  <w:style w:type="character" w:styleId="915" w:customStyle="1">
    <w:name w:val="标题 2 Char"/>
    <w:link w:val="904"/>
    <w:uiPriority w:val="0"/>
    <w:qFormat/>
    <w:rPr>
      <w:rFonts w:ascii="Arial" w:hAnsi="Arial" w:eastAsia="幼圆" w:cs="Arial"/>
      <w:b/>
      <w:bCs/>
      <w:sz w:val="44"/>
      <w:szCs w:val="44"/>
    </w:rPr>
  </w:style>
  <w:style w:type="character" w:styleId="916" w:customStyle="1">
    <w:name w:val="正文缩进 Char"/>
    <w:link w:val="905"/>
    <w:uiPriority w:val="0"/>
    <w:qFormat/>
    <w:rPr>
      <w:szCs w:val="21"/>
    </w:rPr>
  </w:style>
  <w:style w:type="character" w:styleId="917" w:customStyle="1">
    <w:name w:val="标题 4 Char"/>
    <w:link w:val="906"/>
    <w:uiPriority w:val="0"/>
    <w:qFormat/>
    <w:rPr>
      <w:rFonts w:ascii="Arial" w:hAnsi="Arial" w:eastAsia="黑体" w:cs="Arial"/>
      <w:b/>
      <w:bCs/>
      <w:sz w:val="28"/>
      <w:szCs w:val="28"/>
    </w:rPr>
  </w:style>
  <w:style w:type="character" w:styleId="918" w:customStyle="1">
    <w:name w:val="标题 5 Char"/>
    <w:link w:val="907"/>
    <w:uiPriority w:val="0"/>
    <w:qFormat/>
    <w:rPr>
      <w:rFonts w:ascii="宋体" w:hAnsi="Times New Roman" w:eastAsia="宋体" w:cs="Times New Roman"/>
      <w:color w:val="000000"/>
      <w:sz w:val="28"/>
      <w:szCs w:val="28"/>
    </w:rPr>
  </w:style>
  <w:style w:type="character" w:styleId="919" w:customStyle="1">
    <w:name w:val="标题 6 Char"/>
    <w:link w:val="908"/>
    <w:uiPriority w:val="0"/>
    <w:qFormat/>
    <w:rPr>
      <w:rFonts w:ascii="Arial" w:hAnsi="Arial" w:eastAsia="黑体" w:cs="Times New Roman"/>
      <w:b/>
      <w:bCs/>
      <w:sz w:val="24"/>
      <w:szCs w:val="24"/>
    </w:rPr>
  </w:style>
  <w:style w:type="character" w:styleId="920" w:customStyle="1">
    <w:name w:val="标题 7 Char"/>
    <w:link w:val="909"/>
    <w:uiPriority w:val="0"/>
    <w:qFormat/>
    <w:rPr>
      <w:rFonts w:ascii="Times New Roman" w:hAnsi="Times New Roman" w:eastAsia="宋体" w:cs="Times New Roman"/>
      <w:b/>
      <w:bCs/>
      <w:sz w:val="24"/>
      <w:szCs w:val="24"/>
    </w:rPr>
  </w:style>
  <w:style w:type="character" w:styleId="921" w:customStyle="1">
    <w:name w:val="标题 8 Char"/>
    <w:link w:val="910"/>
    <w:uiPriority w:val="0"/>
    <w:qFormat/>
    <w:rPr>
      <w:rFonts w:ascii="Arial" w:hAnsi="Arial" w:eastAsia="黑体" w:cs="Times New Roman"/>
      <w:sz w:val="24"/>
      <w:szCs w:val="24"/>
    </w:rPr>
  </w:style>
  <w:style w:type="character" w:styleId="922" w:customStyle="1">
    <w:name w:val="标题 9 Char"/>
    <w:link w:val="911"/>
    <w:uiPriority w:val="0"/>
    <w:qFormat/>
    <w:rPr>
      <w:rFonts w:ascii="Arial" w:hAnsi="Arial" w:eastAsia="黑体" w:cs="Times New Roman"/>
      <w:szCs w:val="21"/>
    </w:rPr>
  </w:style>
  <w:style w:type="paragraph" w:styleId="923" w:customStyle="1">
    <w:name w:val="列表 31"/>
    <w:basedOn w:val="716"/>
    <w:uiPriority w:val="0"/>
    <w:qFormat/>
    <w:pPr>
      <w:ind w:left="100" w:hanging="200"/>
    </w:pPr>
    <w:rPr>
      <w:rFonts w:ascii="Times New Roman" w:hAnsi="Times New Roman" w:eastAsia="宋体" w:cs="Times New Roman"/>
      <w:szCs w:val="21"/>
    </w:rPr>
  </w:style>
  <w:style w:type="paragraph" w:styleId="924" w:customStyle="1">
    <w:name w:val="目录 71"/>
    <w:basedOn w:val="716"/>
    <w:next w:val="716"/>
    <w:uiPriority w:val="0"/>
    <w:semiHidden/>
    <w:qFormat/>
    <w:pPr>
      <w:ind w:left="1260"/>
      <w:jc w:val="left"/>
    </w:pPr>
    <w:rPr>
      <w:rFonts w:ascii="Times New Roman" w:hAnsi="Times New Roman" w:eastAsia="宋体" w:cs="Times New Roman"/>
      <w:szCs w:val="21"/>
    </w:rPr>
  </w:style>
  <w:style w:type="paragraph" w:styleId="925" w:customStyle="1">
    <w:name w:val="文档结构图1"/>
    <w:basedOn w:val="716"/>
    <w:link w:val="926"/>
    <w:uiPriority w:val="0"/>
    <w:semiHidden/>
    <w:qFormat/>
    <w:pPr>
      <w:shd w:val="clear" w:color="auto" w:fill="000080"/>
    </w:pPr>
    <w:rPr>
      <w:rFonts w:ascii="Times New Roman" w:hAnsi="Times New Roman" w:eastAsia="宋体" w:cs="Times New Roman"/>
      <w:szCs w:val="21"/>
    </w:rPr>
  </w:style>
  <w:style w:type="character" w:styleId="926" w:customStyle="1">
    <w:name w:val="文档结构图 Char"/>
    <w:link w:val="925"/>
    <w:uiPriority w:val="0"/>
    <w:semiHidden/>
    <w:qFormat/>
    <w:rPr>
      <w:rFonts w:ascii="Times New Roman" w:hAnsi="Times New Roman" w:eastAsia="宋体" w:cs="Times New Roman"/>
      <w:szCs w:val="21"/>
      <w:shd w:val="clear" w:color="auto" w:fill="000080"/>
    </w:rPr>
  </w:style>
  <w:style w:type="paragraph" w:styleId="927" w:customStyle="1">
    <w:name w:val="批注文字1"/>
    <w:basedOn w:val="716"/>
    <w:link w:val="928"/>
    <w:uiPriority w:val="0"/>
    <w:unhideWhenUsed/>
    <w:qFormat/>
    <w:pPr>
      <w:jc w:val="left"/>
    </w:pPr>
  </w:style>
  <w:style w:type="character" w:styleId="928" w:customStyle="1">
    <w:name w:val="批注文字 Char"/>
    <w:basedOn w:val="912"/>
    <w:link w:val="927"/>
    <w:uiPriority w:val="99"/>
    <w:semiHidden/>
    <w:qFormat/>
  </w:style>
  <w:style w:type="paragraph" w:styleId="929" w:customStyle="1">
    <w:name w:val="正文文本 31"/>
    <w:basedOn w:val="716"/>
    <w:link w:val="930"/>
    <w:uiPriority w:val="0"/>
    <w:qFormat/>
    <w:rPr>
      <w:rFonts w:ascii="仿宋_GB2312" w:hAnsi="Arial" w:eastAsia="仿宋_GB2312" w:cs="Times New Roman"/>
      <w:sz w:val="32"/>
      <w:szCs w:val="32"/>
    </w:rPr>
  </w:style>
  <w:style w:type="character" w:styleId="930" w:customStyle="1">
    <w:name w:val="正文文本 3 Char"/>
    <w:link w:val="929"/>
    <w:uiPriority w:val="0"/>
    <w:qFormat/>
    <w:rPr>
      <w:rFonts w:ascii="仿宋_GB2312" w:hAnsi="Arial" w:eastAsia="仿宋_GB2312" w:cs="Times New Roman"/>
      <w:sz w:val="32"/>
      <w:szCs w:val="32"/>
    </w:rPr>
  </w:style>
  <w:style w:type="paragraph" w:styleId="931" w:customStyle="1">
    <w:name w:val="正文文本11"/>
    <w:basedOn w:val="716"/>
    <w:link w:val="932"/>
    <w:uiPriority w:val="0"/>
    <w:qFormat/>
    <w:rPr>
      <w:rFonts w:ascii="楷体_GB2312" w:hAnsi="Arial" w:eastAsia="楷体_GB2312" w:cs="Times New Roman"/>
      <w:sz w:val="28"/>
      <w:szCs w:val="28"/>
    </w:rPr>
  </w:style>
  <w:style w:type="character" w:styleId="932" w:customStyle="1">
    <w:name w:val="正文文本 Char"/>
    <w:link w:val="931"/>
    <w:uiPriority w:val="0"/>
    <w:qFormat/>
    <w:rPr>
      <w:rFonts w:ascii="楷体_GB2312" w:hAnsi="Arial" w:eastAsia="楷体_GB2312" w:cs="Times New Roman"/>
      <w:sz w:val="28"/>
      <w:szCs w:val="28"/>
    </w:rPr>
  </w:style>
  <w:style w:type="paragraph" w:styleId="933" w:customStyle="1">
    <w:name w:val="正文文本缩进11"/>
    <w:basedOn w:val="716"/>
    <w:next w:val="934"/>
    <w:link w:val="935"/>
    <w:uiPriority w:val="0"/>
    <w:unhideWhenUsed/>
    <w:qFormat/>
    <w:pPr>
      <w:ind w:left="420"/>
      <w:spacing w:after="120"/>
    </w:pPr>
  </w:style>
  <w:style w:type="paragraph" w:styleId="934" w:customStyle="1">
    <w:name w:val="寄信人地址1"/>
    <w:basedOn w:val="716"/>
    <w:uiPriority w:val="0"/>
    <w:qFormat/>
    <w:rPr>
      <w:rFonts w:ascii="Arial" w:hAnsi="Arial" w:eastAsia="宋体" w:cs="宋体"/>
    </w:rPr>
  </w:style>
  <w:style w:type="character" w:styleId="935" w:customStyle="1">
    <w:name w:val="正文文本缩进 Char"/>
    <w:basedOn w:val="912"/>
    <w:link w:val="933"/>
    <w:uiPriority w:val="99"/>
    <w:semiHidden/>
    <w:qFormat/>
  </w:style>
  <w:style w:type="paragraph" w:styleId="936" w:customStyle="1">
    <w:name w:val="列表 21"/>
    <w:basedOn w:val="716"/>
    <w:uiPriority w:val="0"/>
    <w:qFormat/>
    <w:pPr>
      <w:ind w:left="100" w:hanging="200"/>
    </w:pPr>
    <w:rPr>
      <w:rFonts w:ascii="Times New Roman" w:hAnsi="Times New Roman" w:eastAsia="宋体" w:cs="Times New Roman"/>
      <w:szCs w:val="21"/>
    </w:rPr>
  </w:style>
  <w:style w:type="paragraph" w:styleId="937" w:customStyle="1">
    <w:name w:val="目录 51"/>
    <w:basedOn w:val="716"/>
    <w:next w:val="716"/>
    <w:uiPriority w:val="0"/>
    <w:semiHidden/>
    <w:qFormat/>
    <w:pPr>
      <w:ind w:left="840"/>
      <w:jc w:val="left"/>
    </w:pPr>
    <w:rPr>
      <w:rFonts w:ascii="Times New Roman" w:hAnsi="Times New Roman" w:eastAsia="宋体" w:cs="Times New Roman"/>
      <w:szCs w:val="21"/>
    </w:rPr>
  </w:style>
  <w:style w:type="paragraph" w:styleId="938" w:customStyle="1">
    <w:name w:val="目录 31"/>
    <w:basedOn w:val="716"/>
    <w:next w:val="716"/>
    <w:uiPriority w:val="0"/>
    <w:semiHidden/>
    <w:qFormat/>
    <w:pPr>
      <w:ind w:left="420"/>
      <w:jc w:val="left"/>
    </w:pPr>
    <w:rPr>
      <w:rFonts w:ascii="Times New Roman" w:hAnsi="Times New Roman" w:eastAsia="宋体" w:cs="Times New Roman"/>
      <w:i/>
      <w:iCs/>
      <w:szCs w:val="24"/>
    </w:rPr>
  </w:style>
  <w:style w:type="paragraph" w:styleId="939" w:customStyle="1">
    <w:name w:val="纯文本1"/>
    <w:basedOn w:val="716"/>
    <w:link w:val="940"/>
    <w:uiPriority w:val="0"/>
    <w:qFormat/>
    <w:rPr>
      <w:rFonts w:ascii="宋体" w:hAnsi="Courier New" w:eastAsia="宋体" w:cs="Courier New"/>
      <w:szCs w:val="21"/>
    </w:rPr>
  </w:style>
  <w:style w:type="character" w:styleId="940" w:customStyle="1">
    <w:name w:val="纯文本 Char"/>
    <w:link w:val="939"/>
    <w:uiPriority w:val="0"/>
    <w:qFormat/>
    <w:rPr>
      <w:rFonts w:ascii="宋体" w:hAnsi="Courier New" w:eastAsia="宋体" w:cs="Courier New"/>
      <w:szCs w:val="21"/>
    </w:rPr>
  </w:style>
  <w:style w:type="paragraph" w:styleId="941" w:customStyle="1">
    <w:name w:val="目录 81"/>
    <w:basedOn w:val="716"/>
    <w:next w:val="716"/>
    <w:uiPriority w:val="0"/>
    <w:semiHidden/>
    <w:qFormat/>
    <w:pPr>
      <w:ind w:left="1470"/>
      <w:jc w:val="left"/>
    </w:pPr>
    <w:rPr>
      <w:rFonts w:ascii="Times New Roman" w:hAnsi="Times New Roman" w:eastAsia="宋体" w:cs="Times New Roman"/>
      <w:szCs w:val="21"/>
    </w:rPr>
  </w:style>
  <w:style w:type="paragraph" w:styleId="942" w:customStyle="1">
    <w:name w:val="日期1"/>
    <w:basedOn w:val="716"/>
    <w:next w:val="716"/>
    <w:link w:val="943"/>
    <w:uiPriority w:val="0"/>
    <w:qFormat/>
    <w:rPr>
      <w:rFonts w:ascii="Times New Roman" w:hAnsi="Times New Roman" w:eastAsia="宋体" w:cs="Times New Roman"/>
      <w:sz w:val="24"/>
      <w:szCs w:val="24"/>
    </w:rPr>
  </w:style>
  <w:style w:type="character" w:styleId="943" w:customStyle="1">
    <w:name w:val="日期 Char"/>
    <w:link w:val="942"/>
    <w:uiPriority w:val="0"/>
    <w:qFormat/>
    <w:rPr>
      <w:rFonts w:ascii="Times New Roman" w:hAnsi="Times New Roman" w:eastAsia="宋体" w:cs="Times New Roman"/>
      <w:sz w:val="24"/>
      <w:szCs w:val="24"/>
    </w:rPr>
  </w:style>
  <w:style w:type="paragraph" w:styleId="944" w:customStyle="1">
    <w:name w:val="正文文本缩进 21"/>
    <w:basedOn w:val="716"/>
    <w:link w:val="945"/>
    <w:uiPriority w:val="0"/>
    <w:qFormat/>
    <w:pPr>
      <w:ind w:left="630" w:firstLine="645"/>
    </w:pPr>
    <w:rPr>
      <w:rFonts w:ascii="Arial" w:hAnsi="Arial" w:eastAsia="仿宋_GB2312" w:cs="Arial"/>
      <w:sz w:val="32"/>
      <w:szCs w:val="32"/>
    </w:rPr>
  </w:style>
  <w:style w:type="character" w:styleId="945" w:customStyle="1">
    <w:name w:val="正文文本缩进 2 Char"/>
    <w:link w:val="944"/>
    <w:uiPriority w:val="0"/>
    <w:qFormat/>
    <w:rPr>
      <w:rFonts w:ascii="Arial" w:hAnsi="Arial" w:eastAsia="仿宋_GB2312" w:cs="Arial"/>
      <w:sz w:val="32"/>
      <w:szCs w:val="32"/>
    </w:rPr>
  </w:style>
  <w:style w:type="paragraph" w:styleId="946" w:customStyle="1">
    <w:name w:val="批注框文本1"/>
    <w:basedOn w:val="716"/>
    <w:link w:val="947"/>
    <w:uiPriority w:val="0"/>
    <w:semiHidden/>
    <w:qFormat/>
    <w:rPr>
      <w:rFonts w:ascii="Times New Roman" w:hAnsi="Times New Roman" w:eastAsia="宋体" w:cs="Times New Roman"/>
      <w:sz w:val="18"/>
      <w:szCs w:val="18"/>
    </w:rPr>
  </w:style>
  <w:style w:type="character" w:styleId="947" w:customStyle="1">
    <w:name w:val="批注框文本 Char"/>
    <w:link w:val="946"/>
    <w:uiPriority w:val="0"/>
    <w:semiHidden/>
    <w:qFormat/>
    <w:rPr>
      <w:rFonts w:ascii="Times New Roman" w:hAnsi="Times New Roman" w:eastAsia="宋体" w:cs="Times New Roman"/>
      <w:sz w:val="18"/>
      <w:szCs w:val="18"/>
    </w:rPr>
  </w:style>
  <w:style w:type="paragraph" w:styleId="948" w:customStyle="1">
    <w:name w:val="页脚1"/>
    <w:basedOn w:val="716"/>
    <w:link w:val="949"/>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49" w:customStyle="1">
    <w:name w:val="页脚 Char"/>
    <w:link w:val="948"/>
    <w:uiPriority w:val="0"/>
    <w:qFormat/>
    <w:rPr>
      <w:rFonts w:ascii="Times New Roman" w:hAnsi="Times New Roman" w:eastAsia="宋体" w:cs="Times New Roman"/>
      <w:sz w:val="18"/>
      <w:szCs w:val="18"/>
    </w:rPr>
  </w:style>
  <w:style w:type="paragraph" w:styleId="950" w:customStyle="1">
    <w:name w:val="页眉1"/>
    <w:basedOn w:val="716"/>
    <w:link w:val="951"/>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1" w:customStyle="1">
    <w:name w:val="页眉 Char"/>
    <w:link w:val="950"/>
    <w:uiPriority w:val="0"/>
    <w:qFormat/>
    <w:rPr>
      <w:rFonts w:ascii="Times New Roman" w:hAnsi="Times New Roman" w:eastAsia="宋体" w:cs="Times New Roman"/>
      <w:sz w:val="18"/>
      <w:szCs w:val="18"/>
    </w:rPr>
  </w:style>
  <w:style w:type="paragraph" w:styleId="952" w:customStyle="1">
    <w:name w:val="目录 11"/>
    <w:basedOn w:val="716"/>
    <w:next w:val="716"/>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3" w:customStyle="1">
    <w:name w:val="目录 41"/>
    <w:basedOn w:val="716"/>
    <w:next w:val="716"/>
    <w:uiPriority w:val="0"/>
    <w:semiHidden/>
    <w:qFormat/>
    <w:pPr>
      <w:ind w:left="630"/>
      <w:jc w:val="left"/>
    </w:pPr>
    <w:rPr>
      <w:rFonts w:ascii="Times New Roman" w:hAnsi="Times New Roman" w:eastAsia="宋体" w:cs="Times New Roman"/>
      <w:szCs w:val="21"/>
    </w:rPr>
  </w:style>
  <w:style w:type="paragraph" w:styleId="954" w:customStyle="1">
    <w:name w:val="列表1"/>
    <w:basedOn w:val="716"/>
    <w:uiPriority w:val="0"/>
    <w:qFormat/>
    <w:pPr>
      <w:ind w:left="200" w:hanging="200"/>
    </w:pPr>
    <w:rPr>
      <w:rFonts w:ascii="Times New Roman" w:hAnsi="Times New Roman" w:eastAsia="宋体" w:cs="Times New Roman"/>
      <w:szCs w:val="21"/>
    </w:rPr>
  </w:style>
  <w:style w:type="paragraph" w:styleId="955" w:customStyle="1">
    <w:name w:val="目录 61"/>
    <w:basedOn w:val="716"/>
    <w:next w:val="716"/>
    <w:uiPriority w:val="0"/>
    <w:semiHidden/>
    <w:qFormat/>
    <w:pPr>
      <w:ind w:left="1050"/>
      <w:jc w:val="left"/>
    </w:pPr>
    <w:rPr>
      <w:rFonts w:ascii="Times New Roman" w:hAnsi="Times New Roman" w:eastAsia="宋体" w:cs="Times New Roman"/>
      <w:szCs w:val="21"/>
    </w:rPr>
  </w:style>
  <w:style w:type="paragraph" w:styleId="956" w:customStyle="1">
    <w:name w:val="正文文本缩进 31"/>
    <w:basedOn w:val="716"/>
    <w:link w:val="957"/>
    <w:uiPriority w:val="0"/>
    <w:qFormat/>
    <w:pPr>
      <w:ind w:left="645" w:firstLine="645"/>
    </w:pPr>
    <w:rPr>
      <w:rFonts w:ascii="Arial" w:hAnsi="Arial" w:eastAsia="仿宋_GB2312" w:cs="Arial"/>
      <w:color w:val="ffff00"/>
      <w:sz w:val="32"/>
      <w:szCs w:val="32"/>
    </w:rPr>
  </w:style>
  <w:style w:type="character" w:styleId="957" w:customStyle="1">
    <w:name w:val="正文文本缩进 3 Char"/>
    <w:link w:val="956"/>
    <w:uiPriority w:val="0"/>
    <w:qFormat/>
    <w:rPr>
      <w:rFonts w:ascii="Arial" w:hAnsi="Arial" w:eastAsia="仿宋_GB2312" w:cs="Arial"/>
      <w:color w:val="ffff00"/>
      <w:sz w:val="32"/>
      <w:szCs w:val="32"/>
    </w:rPr>
  </w:style>
  <w:style w:type="paragraph" w:styleId="958" w:customStyle="1">
    <w:name w:val="图表目录1"/>
    <w:basedOn w:val="716"/>
    <w:next w:val="716"/>
    <w:uiPriority w:val="0"/>
    <w:semiHidden/>
    <w:qFormat/>
    <w:pPr>
      <w:ind w:left="840" w:hanging="420"/>
    </w:pPr>
    <w:rPr>
      <w:rFonts w:ascii="Times New Roman" w:hAnsi="Times New Roman" w:eastAsia="宋体" w:cs="Times New Roman"/>
      <w:szCs w:val="21"/>
    </w:rPr>
  </w:style>
  <w:style w:type="paragraph" w:styleId="959" w:customStyle="1">
    <w:name w:val="目录 21"/>
    <w:basedOn w:val="716"/>
    <w:next w:val="716"/>
    <w:uiPriority w:val="0"/>
    <w:semiHidden/>
    <w:qFormat/>
    <w:pPr>
      <w:ind w:left="210"/>
      <w:jc w:val="left"/>
    </w:pPr>
    <w:rPr>
      <w:rFonts w:ascii="Times New Roman" w:hAnsi="Times New Roman" w:eastAsia="宋体" w:cs="Times New Roman"/>
      <w:smallCaps/>
      <w:szCs w:val="24"/>
    </w:rPr>
  </w:style>
  <w:style w:type="paragraph" w:styleId="960" w:customStyle="1">
    <w:name w:val="目录 91"/>
    <w:basedOn w:val="716"/>
    <w:next w:val="716"/>
    <w:uiPriority w:val="0"/>
    <w:semiHidden/>
    <w:qFormat/>
    <w:pPr>
      <w:ind w:left="1680"/>
      <w:jc w:val="left"/>
    </w:pPr>
    <w:rPr>
      <w:rFonts w:ascii="Times New Roman" w:hAnsi="Times New Roman" w:eastAsia="宋体" w:cs="Times New Roman"/>
      <w:szCs w:val="21"/>
    </w:rPr>
  </w:style>
  <w:style w:type="paragraph" w:styleId="961" w:customStyle="1">
    <w:name w:val="正文文本 21"/>
    <w:basedOn w:val="716"/>
    <w:link w:val="962"/>
    <w:uiPriority w:val="0"/>
    <w:qFormat/>
    <w:pPr>
      <w:jc w:val="center"/>
      <w:widowControl/>
    </w:pPr>
    <w:rPr>
      <w:rFonts w:ascii="楷体_GB2312" w:hAnsi="Times New Roman" w:eastAsia="楷体_GB2312" w:cs="Times New Roman"/>
      <w:sz w:val="28"/>
      <w:szCs w:val="28"/>
    </w:rPr>
  </w:style>
  <w:style w:type="character" w:styleId="962" w:customStyle="1">
    <w:name w:val="正文文本 2 Char"/>
    <w:link w:val="961"/>
    <w:uiPriority w:val="0"/>
    <w:qFormat/>
    <w:rPr>
      <w:rFonts w:ascii="楷体_GB2312" w:hAnsi="Times New Roman" w:eastAsia="楷体_GB2312" w:cs="Times New Roman"/>
      <w:sz w:val="28"/>
      <w:szCs w:val="28"/>
    </w:rPr>
  </w:style>
  <w:style w:type="paragraph" w:styleId="963" w:customStyle="1">
    <w:name w:val="普通(网站)1"/>
    <w:basedOn w:val="716"/>
    <w:uiPriority w:val="99"/>
    <w:qFormat/>
    <w:pPr>
      <w:jc w:val="left"/>
      <w:spacing w:before="100" w:beforeAutospacing="1" w:after="100" w:afterAutospacing="1"/>
      <w:widowControl/>
    </w:pPr>
    <w:rPr>
      <w:rFonts w:ascii="宋体" w:hAnsi="宋体" w:eastAsia="宋体" w:cs="宋体"/>
      <w:sz w:val="24"/>
      <w:szCs w:val="24"/>
    </w:rPr>
  </w:style>
  <w:style w:type="paragraph" w:styleId="964" w:customStyle="1">
    <w:name w:val="索引 11"/>
    <w:basedOn w:val="716"/>
    <w:next w:val="716"/>
    <w:uiPriority w:val="0"/>
    <w:semiHidden/>
    <w:qFormat/>
    <w:pPr>
      <w:spacing w:line="240" w:lineRule="atLeast"/>
    </w:pPr>
    <w:rPr>
      <w:rFonts w:ascii="Times New Roman" w:hAnsi="Times New Roman" w:eastAsia="宋体" w:cs="Times New Roman"/>
      <w:b/>
      <w:bCs/>
      <w:szCs w:val="21"/>
    </w:rPr>
  </w:style>
  <w:style w:type="paragraph" w:styleId="965" w:customStyle="1">
    <w:name w:val="批注主题1"/>
    <w:basedOn w:val="927"/>
    <w:next w:val="927"/>
    <w:link w:val="966"/>
    <w:uiPriority w:val="0"/>
    <w:semiHidden/>
    <w:qFormat/>
    <w:rPr>
      <w:rFonts w:ascii="Times New Roman" w:hAnsi="Times New Roman" w:eastAsia="宋体" w:cs="Times New Roman"/>
      <w:b/>
      <w:bCs/>
      <w:szCs w:val="21"/>
    </w:rPr>
  </w:style>
  <w:style w:type="character" w:styleId="966" w:customStyle="1">
    <w:name w:val="批注主题 Char"/>
    <w:link w:val="965"/>
    <w:uiPriority w:val="0"/>
    <w:semiHidden/>
    <w:qFormat/>
    <w:rPr>
      <w:rFonts w:ascii="Times New Roman" w:hAnsi="Times New Roman" w:eastAsia="宋体" w:cs="Times New Roman"/>
      <w:b/>
      <w:bCs/>
      <w:szCs w:val="21"/>
    </w:rPr>
  </w:style>
  <w:style w:type="paragraph" w:styleId="967" w:customStyle="1">
    <w:name w:val="正文首行缩进1"/>
    <w:basedOn w:val="716"/>
    <w:link w:val="968"/>
    <w:uiPriority w:val="0"/>
    <w:qFormat/>
    <w:pPr>
      <w:ind w:firstLine="200"/>
      <w:spacing w:line="360" w:lineRule="auto"/>
    </w:pPr>
    <w:rPr>
      <w:rFonts w:ascii="仿宋_GB2312" w:hAnsi="Times New Roman" w:eastAsia="仿宋_GB2312" w:cs="Times New Roman"/>
      <w:sz w:val="30"/>
      <w:szCs w:val="30"/>
    </w:rPr>
  </w:style>
  <w:style w:type="character" w:styleId="968" w:customStyle="1">
    <w:name w:val="正文首行缩进 Char"/>
    <w:link w:val="967"/>
    <w:uiPriority w:val="0"/>
    <w:qFormat/>
    <w:rPr>
      <w:rFonts w:ascii="仿宋_GB2312" w:hAnsi="Times New Roman" w:eastAsia="仿宋_GB2312" w:cs="Times New Roman"/>
      <w:sz w:val="30"/>
      <w:szCs w:val="30"/>
    </w:rPr>
  </w:style>
  <w:style w:type="paragraph" w:styleId="969" w:customStyle="1">
    <w:name w:val="正文首行缩进 21"/>
    <w:basedOn w:val="933"/>
    <w:next w:val="716"/>
    <w:link w:val="970"/>
    <w:uiPriority w:val="0"/>
    <w:qFormat/>
    <w:pPr>
      <w:ind w:left="0" w:firstLine="420"/>
      <w:spacing w:after="0" w:line="360" w:lineRule="auto"/>
    </w:pPr>
    <w:rPr>
      <w:rFonts w:ascii="宋体" w:hAnsi="宋体" w:eastAsia="宋体" w:cs="Times New Roman"/>
      <w:szCs w:val="20"/>
    </w:rPr>
  </w:style>
  <w:style w:type="character" w:styleId="970" w:customStyle="1">
    <w:name w:val="正文首行缩进 2 Char"/>
    <w:link w:val="969"/>
    <w:uiPriority w:val="0"/>
    <w:qFormat/>
    <w:rPr>
      <w:rFonts w:ascii="宋体" w:hAnsi="宋体" w:eastAsia="宋体" w:cs="Times New Roman"/>
      <w:szCs w:val="20"/>
    </w:rPr>
  </w:style>
  <w:style w:type="table" w:styleId="971" w:customStyle="1">
    <w:name w:val="网格型11"/>
    <w:basedOn w:val="913"/>
    <w:uiPriority w:val="0"/>
    <w:qFormat/>
    <w:pPr>
      <w:jc w:val="both"/>
      <w:widowControl w:val="off"/>
    </w:pPr>
    <w:rPr>
      <w:rFonts w:ascii="Times New Roman" w:hAnsi="Times New Roman" w:eastAsia="宋体" w:cs="Times New Roman"/>
      <w:sz w:val="20"/>
      <w:szCs w:val="20"/>
    </w:rPr>
    <w:tblPr/>
  </w:style>
  <w:style w:type="character" w:styleId="972" w:customStyle="1">
    <w:name w:val="要点1"/>
    <w:link w:val="716"/>
    <w:uiPriority w:val="0"/>
    <w:qFormat/>
    <w:rPr>
      <w:b/>
      <w:bCs/>
    </w:rPr>
  </w:style>
  <w:style w:type="character" w:styleId="973" w:customStyle="1">
    <w:name w:val="页码1"/>
    <w:link w:val="716"/>
    <w:uiPriority w:val="0"/>
    <w:qFormat/>
  </w:style>
  <w:style w:type="character" w:styleId="974" w:customStyle="1">
    <w:name w:val="已访问的超链接1"/>
    <w:link w:val="716"/>
    <w:uiPriority w:val="0"/>
    <w:qFormat/>
    <w:rPr>
      <w:color w:val="800080"/>
      <w:u w:val="single"/>
    </w:rPr>
  </w:style>
  <w:style w:type="character" w:styleId="975" w:customStyle="1">
    <w:name w:val="超链接1"/>
    <w:link w:val="716"/>
    <w:uiPriority w:val="0"/>
    <w:qFormat/>
    <w:rPr>
      <w:color w:val="0000ff"/>
      <w:u w:val="single"/>
    </w:rPr>
  </w:style>
  <w:style w:type="character" w:styleId="976" w:customStyle="1">
    <w:name w:val="批注引用1"/>
    <w:link w:val="716"/>
    <w:uiPriority w:val="0"/>
    <w:semiHidden/>
    <w:qFormat/>
    <w:rPr>
      <w:sz w:val="21"/>
      <w:szCs w:val="21"/>
    </w:rPr>
  </w:style>
  <w:style w:type="paragraph" w:styleId="977" w:customStyle="1">
    <w:name w:val="索引 41"/>
    <w:basedOn w:val="716"/>
    <w:next w:val="716"/>
    <w:uiPriority w:val="0"/>
    <w:semiHidden/>
    <w:qFormat/>
    <w:pPr>
      <w:ind w:left="1260"/>
    </w:pPr>
    <w:rPr>
      <w:rFonts w:ascii="Calibri" w:hAnsi="Calibri" w:eastAsia="Calibri" w:cs="宋体"/>
      <w:sz w:val="20"/>
      <w:lang w:val="zh-CN"/>
    </w:rPr>
  </w:style>
  <w:style w:type="character" w:styleId="978" w:customStyle="1">
    <w:name w:val="font5 Char"/>
    <w:link w:val="716"/>
    <w:uiPriority w:val="0"/>
    <w:qFormat/>
    <w:rPr>
      <w:rFonts w:ascii="宋体" w:hAnsi="宋体" w:eastAsia="宋体"/>
      <w:sz w:val="28"/>
      <w:szCs w:val="28"/>
      <w:lang w:val="en-US" w:eastAsia="zh-CN" w:bidi="ar-SA"/>
    </w:rPr>
  </w:style>
  <w:style w:type="character" w:styleId="979" w:customStyle="1">
    <w:name w:val="二级目录 Char"/>
    <w:link w:val="980"/>
    <w:uiPriority w:val="0"/>
    <w:qFormat/>
    <w:rPr>
      <w:b/>
      <w:sz w:val="30"/>
      <w:szCs w:val="28"/>
    </w:rPr>
  </w:style>
  <w:style w:type="paragraph" w:styleId="980" w:customStyle="1">
    <w:name w:val="二级目录"/>
    <w:next w:val="716"/>
    <w:link w:val="979"/>
    <w:uiPriority w:val="0"/>
    <w:qFormat/>
    <w:pPr>
      <w:numPr>
        <w:ilvl w:val="0"/>
        <w:numId w:val="3"/>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1" w:customStyle="1">
    <w:name w:val="列出段落 Char"/>
    <w:link w:val="982"/>
    <w:uiPriority w:val="0"/>
    <w:qFormat/>
    <w:rPr>
      <w:rFonts w:ascii="Calibri" w:hAnsi="Calibri"/>
      <w:sz w:val="24"/>
      <w:szCs w:val="24"/>
      <w:lang w:eastAsia="en-US" w:bidi="en-US"/>
    </w:rPr>
  </w:style>
  <w:style w:type="paragraph" w:styleId="982" w:customStyle="1">
    <w:name w:val="列出段落1"/>
    <w:basedOn w:val="716"/>
    <w:link w:val="981"/>
    <w:uiPriority w:val="0"/>
    <w:qFormat/>
    <w:pPr>
      <w:contextualSpacing/>
      <w:ind w:left="720"/>
      <w:jc w:val="left"/>
      <w:widowControl/>
    </w:pPr>
    <w:rPr>
      <w:rFonts w:ascii="Calibri" w:hAnsi="Calibri"/>
      <w:sz w:val="24"/>
      <w:szCs w:val="24"/>
      <w:lang w:eastAsia="en-US" w:bidi="en-US"/>
    </w:rPr>
  </w:style>
  <w:style w:type="paragraph" w:styleId="983" w:customStyle="1">
    <w:name w:val="Body Text(ch)"/>
    <w:basedOn w:val="716"/>
    <w:next w:val="931"/>
    <w:uiPriority w:val="0"/>
    <w:qFormat/>
    <w:pPr>
      <w:spacing w:after="120"/>
    </w:pPr>
    <w:rPr>
      <w:rFonts w:ascii="宋体" w:hAnsi="Arial" w:eastAsia="宋体" w:cs="Times New Roman"/>
      <w:bCs/>
      <w:iCs/>
      <w:szCs w:val="24"/>
    </w:rPr>
  </w:style>
  <w:style w:type="paragraph" w:styleId="984" w:customStyle="1">
    <w:name w:val="xl27"/>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5" w:customStyle="1">
    <w:name w:val="xl26"/>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6" w:customStyle="1">
    <w:name w:val="Char"/>
    <w:basedOn w:val="716"/>
    <w:uiPriority w:val="0"/>
    <w:qFormat/>
    <w:pPr>
      <w:ind w:firstLine="200"/>
      <w:tabs>
        <w:tab w:val="left" w:pos="360" w:leader="none"/>
      </w:tabs>
    </w:pPr>
    <w:rPr>
      <w:rFonts w:ascii="Times New Roman" w:hAnsi="Times New Roman" w:eastAsia="宋体" w:cs="Times New Roman"/>
      <w:sz w:val="28"/>
      <w:szCs w:val="30"/>
    </w:rPr>
  </w:style>
  <w:style w:type="paragraph" w:styleId="987" w:customStyle="1">
    <w:name w:val=" Char"/>
    <w:basedOn w:val="925"/>
    <w:uiPriority w:val="0"/>
    <w:qFormat/>
    <w:rPr>
      <w:rFonts w:ascii="Tahoma" w:hAnsi="Tahoma"/>
      <w:sz w:val="24"/>
      <w:szCs w:val="24"/>
    </w:rPr>
  </w:style>
  <w:style w:type="paragraph" w:styleId="988" w:customStyle="1">
    <w:name w:val="普通正文"/>
    <w:basedOn w:val="716"/>
    <w:uiPriority w:val="0"/>
    <w:qFormat/>
    <w:pPr>
      <w:ind w:firstLine="480"/>
      <w:jc w:val="left"/>
      <w:spacing w:before="120" w:after="120" w:line="360" w:lineRule="auto"/>
    </w:pPr>
    <w:rPr>
      <w:rFonts w:ascii="Arial" w:hAnsi="Arial" w:eastAsia="宋体" w:cs="Times New Roman"/>
      <w:sz w:val="24"/>
      <w:szCs w:val="24"/>
    </w:rPr>
  </w:style>
  <w:style w:type="paragraph" w:styleId="989" w:customStyle="1">
    <w:name w:val="table_lines"/>
    <w:basedOn w:val="716"/>
    <w:uiPriority w:val="0"/>
    <w:qFormat/>
    <w:pPr>
      <w:jc w:val="left"/>
      <w:widowControl/>
    </w:pPr>
    <w:rPr>
      <w:rFonts w:ascii="Times New Roman" w:hAnsi="Times New Roman" w:eastAsia="宋体" w:cs="Times New Roman"/>
      <w:sz w:val="20"/>
      <w:szCs w:val="20"/>
      <w:lang w:val="de-DE" w:eastAsia="de-DE"/>
    </w:rPr>
  </w:style>
  <w:style w:type="paragraph" w:styleId="990" w:customStyle="1">
    <w:name w:val="附录1"/>
    <w:uiPriority w:val="0"/>
    <w:qFormat/>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styleId="991" w:customStyle="1">
    <w:name w:val="font7"/>
    <w:basedOn w:val="716"/>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92" w:customStyle="1">
    <w:name w:val=" Char Char Char Char"/>
    <w:basedOn w:val="925"/>
    <w:uiPriority w:val="0"/>
    <w:qFormat/>
    <w:pPr>
      <w:spacing w:line="360" w:lineRule="auto"/>
    </w:pPr>
    <w:rPr>
      <w:rFonts w:ascii="Tahoma" w:hAnsi="Tahoma"/>
      <w:sz w:val="24"/>
      <w:szCs w:val="24"/>
    </w:rPr>
  </w:style>
  <w:style w:type="paragraph" w:styleId="993" w:customStyle="1">
    <w:name w:val="列出段落"/>
    <w:basedOn w:val="716"/>
    <w:uiPriority w:val="0"/>
    <w:qFormat/>
    <w:pPr>
      <w:contextualSpacing/>
      <w:ind w:left="720"/>
      <w:jc w:val="left"/>
      <w:widowControl/>
    </w:pPr>
    <w:rPr>
      <w:rFonts w:ascii="Calibri" w:hAnsi="Calibri" w:eastAsia="宋体" w:cs="Times New Roman"/>
      <w:sz w:val="24"/>
      <w:szCs w:val="24"/>
      <w:lang w:eastAsia="en-US" w:bidi="en-US"/>
    </w:rPr>
  </w:style>
  <w:style w:type="paragraph" w:styleId="994" w:customStyle="1">
    <w:name w:val="4"/>
    <w:basedOn w:val="716"/>
    <w:next w:val="956"/>
    <w:uiPriority w:val="0"/>
    <w:qFormat/>
    <w:pPr>
      <w:ind w:firstLine="420"/>
      <w:spacing w:line="360" w:lineRule="auto"/>
    </w:pPr>
    <w:rPr>
      <w:rFonts w:ascii="Times New Roman" w:hAnsi="Times New Roman" w:eastAsia="宋体" w:cs="Times New Roman"/>
      <w:color w:val="ff0000"/>
      <w:sz w:val="24"/>
      <w:szCs w:val="24"/>
    </w:rPr>
  </w:style>
  <w:style w:type="paragraph" w:styleId="995" w:customStyle="1">
    <w:name w:val="普通 (Web)"/>
    <w:basedOn w:val="716"/>
    <w:uiPriority w:val="0"/>
    <w:qFormat/>
    <w:pPr>
      <w:jc w:val="left"/>
      <w:spacing w:before="100" w:beforeAutospacing="1" w:after="100" w:afterAutospacing="1"/>
      <w:widowControl/>
    </w:pPr>
    <w:rPr>
      <w:rFonts w:ascii="宋体" w:hAnsi="宋体" w:eastAsia="宋体" w:cs="Times New Roman"/>
      <w:sz w:val="24"/>
      <w:szCs w:val="24"/>
    </w:rPr>
  </w:style>
  <w:style w:type="paragraph" w:styleId="996" w:customStyle="1">
    <w:name w:val=" Char Char Char Char Char Char Char Char Char Char"/>
    <w:basedOn w:val="716"/>
    <w:uiPriority w:val="0"/>
    <w:qFormat/>
    <w:pPr>
      <w:spacing w:line="360" w:lineRule="auto"/>
    </w:pPr>
    <w:rPr>
      <w:rFonts w:ascii="Times New Roman" w:hAnsi="Times New Roman" w:eastAsia="宋体" w:cs="Times New Roman"/>
      <w:sz w:val="24"/>
      <w:szCs w:val="20"/>
    </w:rPr>
  </w:style>
  <w:style w:type="paragraph" w:styleId="997" w:customStyle="1">
    <w:name w:val="font6"/>
    <w:basedOn w:val="716"/>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98" w:customStyle="1">
    <w:name w:val="xl25"/>
    <w:basedOn w:val="7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9" w:customStyle="1">
    <w:name w:val="图标"/>
    <w:basedOn w:val="716"/>
    <w:next w:val="716"/>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0" w:customStyle="1">
    <w:name w:val="标题3"/>
    <w:basedOn w:val="716"/>
    <w:next w:val="716"/>
    <w:uiPriority w:val="0"/>
    <w:qFormat/>
    <w:pPr>
      <w:ind w:firstLine="624"/>
      <w:spacing w:line="590" w:lineRule="atLeast"/>
    </w:pPr>
    <w:rPr>
      <w:rFonts w:ascii="方正黑体_GBK" w:hAnsi="Times New Roman" w:eastAsia="方正黑体_GBK" w:cs="Times New Roman"/>
      <w:sz w:val="32"/>
      <w:szCs w:val="32"/>
    </w:rPr>
  </w:style>
  <w:style w:type="paragraph" w:styleId="1001" w:customStyle="1">
    <w:name w:val="xl24"/>
    <w:basedOn w:val="7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2" w:customStyle="1">
    <w:name w:val="xl29"/>
    <w:basedOn w:val="716"/>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3" w:customStyle="1">
    <w:name w:val="Char Char Char Char Char Char Char Char"/>
    <w:basedOn w:val="716"/>
    <w:uiPriority w:val="0"/>
    <w:pPr>
      <w:jc w:val="left"/>
      <w:spacing w:after="160" w:line="240" w:lineRule="exact"/>
      <w:widowControl/>
    </w:pPr>
    <w:rPr>
      <w:rFonts w:ascii="Verdana" w:hAnsi="Verdana" w:eastAsia="宋体" w:cs="Times New Roman"/>
      <w:sz w:val="20"/>
      <w:szCs w:val="20"/>
      <w:lang w:eastAsia="en-US"/>
    </w:rPr>
  </w:style>
  <w:style w:type="paragraph" w:styleId="1004" w:customStyle="1">
    <w:name w:val="xl28"/>
    <w:basedOn w:val="7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5" w:customStyle="1">
    <w:name w:val=" Char Char Char Char Char Char Char Char"/>
    <w:basedOn w:val="716"/>
    <w:uiPriority w:val="0"/>
    <w:qFormat/>
    <w:pPr>
      <w:jc w:val="left"/>
      <w:spacing w:after="160" w:line="240" w:lineRule="exact"/>
      <w:widowControl/>
    </w:pPr>
    <w:rPr>
      <w:rFonts w:ascii="Verdana" w:hAnsi="Verdana" w:eastAsia="宋体" w:cs="Times New Roman"/>
      <w:sz w:val="20"/>
      <w:szCs w:val="20"/>
      <w:lang w:eastAsia="en-US"/>
    </w:rPr>
  </w:style>
  <w:style w:type="paragraph" w:styleId="1006" w:customStyle="1">
    <w:name w:val="xl30"/>
    <w:basedOn w:val="716"/>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07" w:customStyle="1">
    <w:name w:val="Char Char Char Char"/>
    <w:basedOn w:val="925"/>
    <w:uiPriority w:val="0"/>
    <w:qFormat/>
    <w:pPr>
      <w:spacing w:line="360" w:lineRule="auto"/>
    </w:pPr>
    <w:rPr>
      <w:rFonts w:ascii="Tahoma" w:hAnsi="Tahoma"/>
      <w:sz w:val="24"/>
      <w:szCs w:val="24"/>
    </w:rPr>
  </w:style>
  <w:style w:type="paragraph" w:styleId="1008" w:customStyle="1">
    <w:name w:val="table_1stline"/>
    <w:basedOn w:val="716"/>
    <w:uiPriority w:val="0"/>
    <w:qFormat/>
    <w:pPr>
      <w:jc w:val="left"/>
      <w:spacing w:before="120"/>
      <w:widowControl/>
    </w:pPr>
    <w:rPr>
      <w:rFonts w:ascii="Times New Roman" w:hAnsi="Times New Roman" w:eastAsia="宋体" w:cs="Times New Roman"/>
      <w:bCs/>
      <w:sz w:val="20"/>
      <w:szCs w:val="20"/>
      <w:lang w:val="de-DE" w:eastAsia="de-DE"/>
    </w:rPr>
  </w:style>
  <w:style w:type="paragraph" w:styleId="1009" w:customStyle="1">
    <w:name w:val="font5"/>
    <w:basedOn w:val="716"/>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10" w:customStyle="1">
    <w:name w:val="标题1"/>
    <w:basedOn w:val="716"/>
    <w:next w:val="716"/>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1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13" w:customStyle="1">
    <w:name w:val="Table Normal"/>
    <w:uiPriority w:val="0"/>
    <w:qFormat/>
    <w:tblPr/>
  </w:style>
  <w:style w:type="paragraph" w:styleId="1014" w:customStyle="1">
    <w:name w:val="正文文本12"/>
    <w:basedOn w:val="716"/>
    <w:uiPriority w:val="1"/>
    <w:qFormat/>
    <w:pPr>
      <w:ind w:left="120"/>
    </w:pPr>
    <w:rPr>
      <w:rFonts w:ascii="宋体" w:hAnsi="宋体" w:eastAsia="宋体" w:cs="宋体"/>
      <w:sz w:val="21"/>
      <w:szCs w:val="21"/>
      <w:lang w:val="zh-CN" w:eastAsia="zh-CN" w:bidi="zh-CN"/>
    </w:rPr>
  </w:style>
  <w:style w:type="paragraph" w:styleId="1015" w:customStyle="1">
    <w:name w:val="正文文本 211"/>
    <w:basedOn w:val="716"/>
    <w:uiPriority w:val="99"/>
    <w:qFormat/>
    <w:pPr>
      <w:jc w:val="center"/>
    </w:pPr>
    <w:rPr>
      <w:b/>
      <w:bCs/>
      <w:sz w:val="20"/>
      <w:szCs w:val="20"/>
    </w:rPr>
  </w:style>
  <w:style w:type="paragraph" w:styleId="1016" w:customStyle="1">
    <w:name w:val="正文文本1"/>
    <w:basedOn w:val="716"/>
    <w:next w:val="716"/>
    <w:uiPriority w:val="0"/>
    <w:semiHidden/>
    <w:qFormat/>
    <w:rPr>
      <w:rFonts w:ascii="Arial" w:hAnsi="Arial" w:eastAsia="Arial" w:cs="Arial"/>
      <w:sz w:val="21"/>
      <w:szCs w:val="21"/>
      <w:lang w:val="en-US" w:eastAsia="en-US" w:bidi="ar-SA"/>
    </w:rPr>
  </w:style>
  <w:style w:type="paragraph" w:styleId="1017" w:customStyle="1">
    <w:name w:val="Table Paragraph"/>
    <w:basedOn w:val="716"/>
    <w:uiPriority w:val="1"/>
    <w:qFormat/>
    <w:pPr>
      <w:jc w:val="left"/>
    </w:pPr>
    <w:rPr>
      <w:rFonts w:ascii="宋体" w:hAnsi="宋体" w:eastAsia="宋体" w:cs="宋体"/>
      <w:sz w:val="22"/>
      <w:szCs w:val="22"/>
      <w:lang w:val="zh-CN" w:bidi="zh-CN"/>
    </w:rPr>
  </w:style>
  <w:style w:type="table" w:styleId="1018" w:customStyle="1">
    <w:name w:val="网格型1"/>
    <w:basedOn w:val="1019"/>
    <w:uiPriority w:val="0"/>
    <w:qFormat/>
    <w:pPr>
      <w:jc w:val="both"/>
      <w:widowControl w:val="off"/>
    </w:pPr>
    <w:tblPr/>
  </w:style>
  <w:style w:type="table" w:styleId="1019" w:customStyle="1">
    <w:name w:val="普通表格1"/>
    <w:uiPriority w:val="99"/>
    <w:unhideWhenUsed/>
    <w:qFormat/>
    <w:tblPr/>
  </w:style>
  <w:style w:type="paragraph" w:styleId="1020" w:customStyle="1">
    <w:name w:val="正文文本缩进1"/>
    <w:basedOn w:val="716"/>
    <w:next w:val="1021"/>
    <w:uiPriority w:val="0"/>
    <w:unhideWhenUsed/>
    <w:qFormat/>
    <w:pPr>
      <w:ind w:left="420"/>
      <w:spacing w:after="120"/>
    </w:pPr>
  </w:style>
  <w:style w:type="paragraph" w:styleId="1021" w:customStyle="1">
    <w:name w:val="正文文本首行缩进 2"/>
    <w:basedOn w:val="1020"/>
    <w:uiPriority w:val="0"/>
    <w:qFormat/>
    <w:pPr>
      <w:ind w:left="0" w:firstLine="420"/>
      <w:spacing w:after="0" w:line="360" w:lineRule="auto"/>
    </w:pPr>
    <w:rPr>
      <w:rFonts w:ascii="宋体" w:hAnsi="宋体"/>
      <w:sz w:val="20"/>
      <w:szCs w:val="20"/>
      <w:lang w:val="en-US" w:eastAsia="en-US"/>
    </w:rPr>
  </w:style>
  <w:style w:type="numbering" w:styleId="134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林晓</cp:lastModifiedBy>
  <cp:revision>5</cp:revision>
  <dcterms:created xsi:type="dcterms:W3CDTF">2023-03-19T02:13:00Z</dcterms:created>
  <dcterms:modified xsi:type="dcterms:W3CDTF">2026-08-07T04:23:14Z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eyJoZGlkIjoiNWYwNjkyZTgyZDMyOTgzZjRiMWJmMzdkMzU3ZjViMmMiLCJ1c2VySWQiOiIxNDA5Mzk3Mjg4In0=</vt:lpwstr>
  </property>
  <property fmtid="{D5CDD505-2E9C-101B-9397-08002B2CF9AE}" pid="3" name="KSOProductBuildVer">
    <vt:lpwstr>2052-12.1.0.28043</vt:lpwstr>
  </property>
  <property fmtid="{D5CDD505-2E9C-101B-9397-08002B2CF9AE}" pid="4" name="ICV">
    <vt:lpwstr>D49354B83C0DA3D57B8A6C6A9D827040_43</vt:lpwstr>
  </property>
</Properties>
</file>