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keepLines w:val="0"/>
        <w:keepNext w:val="0"/>
        <w:pageBreakBefore w:val="0"/>
        <w:spacing w:line="800" w:lineRule="exact"/>
        <w:widowControl/>
        <w:rPr>
          <w:color w:val="000000"/>
          <w:sz w:val="72"/>
          <w:szCs w:val="72"/>
          <w:highlight w:val="none"/>
        </w:rPr>
      </w:pPr>
      <w:r>
        <w:rPr>
          <w:color w:val="000000"/>
          <w:sz w:val="72"/>
          <w:szCs w:val="72"/>
          <w:highlight w:val="none"/>
        </w:rPr>
      </w:r>
      <w:r/>
    </w:p>
    <w:p>
      <w:pPr>
        <w:pStyle w:val="800"/>
        <w:keepLines w:val="0"/>
        <w:keepNext w:val="0"/>
        <w:pageBreakBefore w:val="0"/>
        <w:spacing w:line="800" w:lineRule="exact"/>
        <w:widowControl/>
        <w:rPr>
          <w:color w:val="000000"/>
          <w:sz w:val="72"/>
          <w:szCs w:val="72"/>
          <w:highlight w:val="none"/>
        </w:rPr>
      </w:pPr>
      <w:r>
        <w:rPr>
          <w:color w:val="000000"/>
          <w:sz w:val="72"/>
          <w:szCs w:val="72"/>
          <w:highlight w:val="none"/>
        </w:rPr>
        <w:t xml:space="preserve">政府采购</w:t>
      </w:r>
      <w:bookmarkStart w:id="0" w:name="_GoBack"/>
      <w:r/>
      <w:bookmarkEnd w:id="0"/>
      <w:r>
        <w:rPr>
          <w:color w:val="000000"/>
          <w:sz w:val="72"/>
          <w:szCs w:val="72"/>
          <w:highlight w:val="none"/>
        </w:rPr>
        <w:t xml:space="preserve">竞争性</w:t>
      </w:r>
      <w:r>
        <w:rPr>
          <w:color w:val="000000"/>
          <w:sz w:val="72"/>
          <w:szCs w:val="72"/>
          <w:highlight w:val="none"/>
        </w:rPr>
        <w:br w:type="textWrapping" w:clear="all"/>
      </w:r>
      <w:r>
        <w:rPr>
          <w:color w:val="000000"/>
          <w:sz w:val="72"/>
          <w:szCs w:val="72"/>
          <w:highlight w:val="none"/>
        </w:rPr>
        <w:t xml:space="preserve">磋 商 文 件</w:t>
      </w:r>
      <w:r>
        <w:rPr>
          <w:color w:val="000000"/>
          <w:sz w:val="72"/>
          <w:szCs w:val="72"/>
          <w:highlight w:val="none"/>
        </w:rPr>
      </w:r>
      <w:r/>
    </w:p>
    <w:p>
      <w:pPr>
        <w:pStyle w:val="783"/>
        <w:spacing w:beforeAutospacing="0" w:afterAutospacing="0" w:line="300" w:lineRule="exact"/>
        <w:rPr>
          <w:rFonts w:hint="eastAsia"/>
          <w:color w:val="000000"/>
          <w:highlight w:val="none"/>
        </w:rPr>
      </w:pPr>
      <w:r>
        <w:rPr>
          <w:rFonts w:hint="eastAsia"/>
          <w:color w:val="000000"/>
          <w:highlight w:val="none"/>
        </w:rPr>
      </w:r>
      <w:r/>
    </w:p>
    <w:p>
      <w:pPr>
        <w:pStyle w:val="777"/>
        <w:ind w:left="420" w:firstLine="420"/>
        <w:jc w:val="both"/>
        <w:keepLines w:val="0"/>
        <w:keepNext w:val="0"/>
        <w:pageBreakBefore w:val="0"/>
        <w:spacing w:line="600" w:lineRule="exact"/>
        <w:rPr>
          <w:rFonts w:hint="eastAsia"/>
          <w:b/>
          <w:color w:val="000000"/>
          <w:sz w:val="32"/>
          <w:highlight w:val="none"/>
        </w:rPr>
      </w:pPr>
      <w:r>
        <w:rPr>
          <w:rFonts w:hint="eastAsia"/>
          <w:b/>
          <w:color w:val="000000"/>
          <w:sz w:val="32"/>
          <w:highlight w:val="none"/>
        </w:rPr>
      </w:r>
      <w:r/>
    </w:p>
    <w:p>
      <w:pPr>
        <w:pStyle w:val="777"/>
        <w:ind w:left="420" w:firstLine="420"/>
        <w:jc w:val="both"/>
        <w:keepLines w:val="0"/>
        <w:keepNext w:val="0"/>
        <w:pageBreakBefore w:val="0"/>
        <w:spacing w:line="600" w:lineRule="exact"/>
        <w:rPr>
          <w:b/>
          <w:color w:val="000000"/>
          <w:sz w:val="32"/>
          <w:highlight w:val="none"/>
        </w:rPr>
      </w:pPr>
      <w:r>
        <w:rPr>
          <w:rFonts w:hint="eastAsia"/>
          <w:b/>
          <w:color w:val="000000"/>
          <w:sz w:val="32"/>
          <w:highlight w:val="none"/>
        </w:rPr>
        <w:t xml:space="preserve">采购编号：</w:t>
      </w:r>
      <w:r>
        <w:rPr>
          <w:rFonts w:hint="eastAsia"/>
          <w:b/>
          <w:color w:val="000000"/>
          <w:sz w:val="32"/>
          <w:highlight w:val="none"/>
          <w:lang w:eastAsia="zh-CN"/>
        </w:rPr>
        <w:t xml:space="preserve">JSZC-320505-SZWK-C2026-0221</w:t>
      </w:r>
      <w:r>
        <w:rPr>
          <w:b/>
          <w:color w:val="000000"/>
          <w:sz w:val="32"/>
          <w:highlight w:val="none"/>
        </w:rPr>
        <w:t xml:space="preserve"> </w:t>
      </w:r>
      <w:r>
        <w:rPr>
          <w:b/>
          <w:color w:val="000000"/>
          <w:sz w:val="32"/>
          <w:highlight w:val="none"/>
        </w:rPr>
      </w:r>
      <w:r/>
    </w:p>
    <w:p>
      <w:pPr>
        <w:pStyle w:val="777"/>
        <w:ind w:left="420" w:firstLine="420"/>
        <w:jc w:val="both"/>
        <w:keepLines w:val="0"/>
        <w:keepNext w:val="0"/>
        <w:pageBreakBefore w:val="0"/>
        <w:spacing w:line="600" w:lineRule="exact"/>
        <w:rPr>
          <w:rFonts w:hint="eastAsia" w:eastAsia="宋体"/>
          <w:b/>
          <w:color w:val="000000"/>
          <w:sz w:val="32"/>
          <w:highlight w:val="none"/>
          <w:lang w:eastAsia="zh-CN"/>
        </w:rPr>
      </w:pPr>
      <w:r>
        <w:rPr>
          <w:rFonts w:hint="eastAsia"/>
          <w:b/>
          <w:color w:val="000000"/>
          <w:sz w:val="32"/>
          <w:highlight w:val="none"/>
        </w:rPr>
        <w:t xml:space="preserve">采</w:t>
      </w:r>
      <w:r>
        <w:rPr>
          <w:rFonts w:hint="eastAsia"/>
          <w:b/>
          <w:color w:val="000000"/>
          <w:sz w:val="32"/>
          <w:highlight w:val="none"/>
          <w:lang w:val="en-US" w:eastAsia="zh-CN"/>
        </w:rPr>
        <w:t xml:space="preserve"> </w:t>
      </w:r>
      <w:r>
        <w:rPr>
          <w:rFonts w:hint="eastAsia"/>
          <w:b/>
          <w:color w:val="000000"/>
          <w:sz w:val="32"/>
          <w:highlight w:val="none"/>
        </w:rPr>
        <w:t xml:space="preserve">购</w:t>
      </w:r>
      <w:r>
        <w:rPr>
          <w:rFonts w:hint="eastAsia"/>
          <w:b/>
          <w:color w:val="000000"/>
          <w:sz w:val="32"/>
          <w:highlight w:val="none"/>
          <w:lang w:val="en-US" w:eastAsia="zh-CN"/>
        </w:rPr>
        <w:t xml:space="preserve"> </w:t>
      </w:r>
      <w:r>
        <w:rPr>
          <w:rFonts w:hint="eastAsia"/>
          <w:b/>
          <w:color w:val="000000"/>
          <w:sz w:val="32"/>
          <w:highlight w:val="none"/>
        </w:rPr>
        <w:t xml:space="preserve">人：</w:t>
      </w:r>
      <w:r>
        <w:rPr>
          <w:rFonts w:hint="eastAsia"/>
          <w:b/>
          <w:color w:val="000000"/>
          <w:sz w:val="32"/>
          <w:highlight w:val="none"/>
          <w:lang w:eastAsia="zh-CN"/>
        </w:rPr>
        <w:t xml:space="preserve">苏州市虎丘区人民法院</w:t>
      </w:r>
      <w:r>
        <w:rPr>
          <w:rFonts w:hint="eastAsia" w:eastAsia="宋体"/>
          <w:b/>
          <w:color w:val="000000"/>
          <w:sz w:val="32"/>
          <w:highlight w:val="none"/>
          <w:lang w:eastAsia="zh-CN"/>
        </w:rPr>
      </w:r>
      <w:r/>
    </w:p>
    <w:p>
      <w:pPr>
        <w:pStyle w:val="777"/>
        <w:ind w:left="420" w:firstLine="420"/>
        <w:jc w:val="both"/>
        <w:keepLines w:val="0"/>
        <w:keepNext w:val="0"/>
        <w:pageBreakBefore w:val="0"/>
        <w:spacing w:line="600" w:lineRule="exact"/>
        <w:rPr>
          <w:rFonts w:hint="eastAsia" w:eastAsia="宋体"/>
          <w:b/>
          <w:color w:val="000000"/>
          <w:sz w:val="32"/>
          <w:highlight w:val="none"/>
          <w:lang w:eastAsia="zh-CN"/>
        </w:rPr>
      </w:pPr>
      <w:r>
        <w:rPr>
          <w:rFonts w:hint="eastAsia"/>
          <w:b/>
          <w:color w:val="000000"/>
          <w:sz w:val="32"/>
          <w:highlight w:val="none"/>
        </w:rPr>
        <w:t xml:space="preserve">项目名称：</w:t>
      </w:r>
      <w:r>
        <w:rPr>
          <w:rFonts w:hint="eastAsia"/>
          <w:b/>
          <w:color w:val="000000"/>
          <w:sz w:val="32"/>
          <w:highlight w:val="none"/>
          <w:lang w:eastAsia="zh-CN"/>
        </w:rPr>
        <w:t xml:space="preserve">无纸化、中间库及司法辅助服务</w:t>
      </w:r>
      <w:r>
        <w:rPr>
          <w:rFonts w:hint="eastAsia" w:eastAsia="宋体"/>
          <w:b/>
          <w:color w:val="000000"/>
          <w:sz w:val="32"/>
          <w:highlight w:val="none"/>
          <w:lang w:eastAsia="zh-CN"/>
        </w:rPr>
      </w:r>
      <w:r/>
    </w:p>
    <w:p>
      <w:pPr>
        <w:pStyle w:val="777"/>
        <w:ind w:left="420" w:firstLine="420"/>
        <w:jc w:val="both"/>
        <w:keepLines w:val="0"/>
        <w:keepNext w:val="0"/>
        <w:pageBreakBefore w:val="0"/>
        <w:spacing w:line="600" w:lineRule="exact"/>
        <w:rPr>
          <w:b/>
          <w:color w:val="000000"/>
          <w:sz w:val="32"/>
          <w:highlight w:val="none"/>
        </w:rPr>
      </w:pPr>
      <w:r>
        <w:rPr>
          <w:rFonts w:hint="eastAsia"/>
          <w:b/>
          <w:color w:val="000000"/>
          <w:sz w:val="32"/>
          <w:highlight w:val="none"/>
        </w:rPr>
        <w:t xml:space="preserve">采购项目类别：服务类</w:t>
      </w:r>
      <w:r>
        <w:rPr>
          <w:b/>
          <w:color w:val="000000"/>
          <w:sz w:val="32"/>
          <w:highlight w:val="none"/>
        </w:rPr>
      </w:r>
      <w:r/>
    </w:p>
    <w:p>
      <w:pPr>
        <w:pStyle w:val="783"/>
        <w:ind w:left="420" w:firstLine="420"/>
        <w:jc w:val="both"/>
        <w:keepLines w:val="0"/>
        <w:keepNext w:val="0"/>
        <w:pageBreakBefore w:val="0"/>
        <w:spacing w:line="600" w:lineRule="exact"/>
        <w:rPr>
          <w:rFonts w:ascii="Times New Roman" w:hAnsi="Times New Roman" w:eastAsia="仿宋_GB2312" w:cs="仿宋_GB2312"/>
          <w:color w:val="000000"/>
          <w:sz w:val="32"/>
          <w:szCs w:val="32"/>
          <w:highlight w:val="none"/>
        </w:rPr>
      </w:pPr>
      <w:r>
        <w:rPr>
          <w:rFonts w:ascii="Times New Roman" w:hAnsi="Times New Roman" w:eastAsia="仿宋_GB2312" w:cs="仿宋_GB2312"/>
          <w:b/>
          <w:color w:val="000000"/>
          <w:sz w:val="32"/>
          <w:szCs w:val="32"/>
          <w:highlight w:val="none"/>
        </w:rPr>
        <w:t xml:space="preserve">标的所属行业：租赁和商务服务业</w:t>
      </w:r>
      <w:r>
        <w:rPr>
          <w:rFonts w:ascii="Times New Roman" w:hAnsi="Times New Roman" w:eastAsia="仿宋_GB2312" w:cs="仿宋_GB2312"/>
          <w:color w:val="000000"/>
          <w:sz w:val="32"/>
          <w:szCs w:val="32"/>
          <w:highlight w:val="none"/>
        </w:rPr>
      </w:r>
      <w:r/>
    </w:p>
    <w:p>
      <w:pPr>
        <w:pStyle w:val="777"/>
        <w:ind w:firstLine="0"/>
        <w:jc w:val="both"/>
        <w:pageBreakBefore w:val="0"/>
        <w:rPr>
          <w:rFonts w:ascii="宋体"/>
          <w:color w:val="000000"/>
          <w:highlight w:val="none"/>
        </w:rPr>
      </w:pPr>
      <w:r>
        <w:rPr>
          <w:rFonts w:ascii="宋体"/>
          <w:color w:val="000000"/>
          <w:highlight w:val="none"/>
        </w:rPr>
      </w:r>
      <w:r/>
    </w:p>
    <w:p>
      <w:pPr>
        <w:pStyle w:val="777"/>
        <w:ind w:firstLine="0"/>
        <w:jc w:val="both"/>
        <w:pageBreakBefore w:val="0"/>
        <w:rPr>
          <w:rFonts w:ascii="宋体"/>
          <w:b/>
          <w:color w:val="000000"/>
          <w:highlight w:val="none"/>
        </w:rPr>
      </w:pPr>
      <w:r>
        <w:rPr>
          <w:rFonts w:hint="eastAsia" w:ascii="宋体" w:hAnsi="宋体" w:cs="宋体"/>
          <w:b/>
          <w:color w:val="000000"/>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1273810</wp:posOffset>
                </wp:positionH>
                <wp:positionV relativeFrom="paragraph">
                  <wp:posOffset>121920</wp:posOffset>
                </wp:positionV>
                <wp:extent cx="2725420" cy="127635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72542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00.3pt;mso-position-horizontal:absolute;mso-position-vertical-relative:text;margin-top:9.6pt;mso-position-vertical:absolute;width:214.6pt;height:100.5pt;mso-wrap-distance-left:0.0pt;mso-wrap-distance-top:0.0pt;mso-wrap-distance-right:0.0pt;mso-wrap-distance-bottom:0.0pt;" stroked="f">
                <v:path textboxrect="0,0,0,0"/>
                <w10:wrap type="square"/>
                <v:imagedata r:id="rId12" o:title=""/>
              </v:shape>
            </w:pict>
          </mc:Fallback>
        </mc:AlternateContent>
      </w:r>
      <w:r>
        <w:rPr>
          <w:rFonts w:ascii="宋体"/>
          <w:b/>
          <w:color w:val="000000"/>
          <w:highlight w:val="none"/>
        </w:rPr>
      </w:r>
      <w:r/>
    </w:p>
    <w:p>
      <w:pPr>
        <w:pStyle w:val="777"/>
        <w:ind w:firstLine="0"/>
        <w:jc w:val="both"/>
        <w:pageBreakBefore w:val="0"/>
        <w:spacing w:line="360" w:lineRule="auto"/>
        <w:rPr>
          <w:rFonts w:hint="eastAsia" w:ascii="宋体" w:hAnsi="宋体"/>
          <w:b/>
          <w:color w:val="000000"/>
          <w:sz w:val="32"/>
          <w:highlight w:val="none"/>
        </w:rPr>
      </w:pPr>
      <w:r>
        <w:rPr>
          <w:rFonts w:hint="eastAsia" w:ascii="宋体" w:hAnsi="宋体"/>
          <w:b/>
          <w:color w:val="000000"/>
          <w:sz w:val="32"/>
          <w:highlight w:val="none"/>
        </w:rPr>
      </w:r>
      <w:r/>
    </w:p>
    <w:p>
      <w:pPr>
        <w:pStyle w:val="777"/>
        <w:ind w:firstLine="0"/>
        <w:jc w:val="center"/>
        <w:pageBreakBefore w:val="0"/>
        <w:spacing w:line="360" w:lineRule="auto"/>
        <w:rPr>
          <w:rFonts w:hint="eastAsia" w:ascii="宋体" w:hAnsi="宋体"/>
          <w:b/>
          <w:color w:val="000000"/>
          <w:sz w:val="32"/>
          <w:highlight w:val="none"/>
        </w:rPr>
      </w:pPr>
      <w:r>
        <w:rPr>
          <w:rFonts w:hint="eastAsia" w:ascii="宋体" w:hAnsi="宋体"/>
          <w:b/>
          <w:color w:val="000000"/>
          <w:sz w:val="32"/>
          <w:highlight w:val="none"/>
        </w:rPr>
      </w:r>
      <w:r/>
    </w:p>
    <w:p>
      <w:pPr>
        <w:pStyle w:val="777"/>
        <w:ind w:firstLine="0"/>
        <w:jc w:val="center"/>
        <w:keepLines w:val="0"/>
        <w:keepNext w:val="0"/>
        <w:pageBreakBefore w:val="0"/>
        <w:spacing w:line="600" w:lineRule="exact"/>
        <w:widowControl w:val="off"/>
        <w:rPr>
          <w:rFonts w:ascii="宋体"/>
          <w:b/>
          <w:bCs/>
          <w:color w:val="000000"/>
          <w:sz w:val="32"/>
          <w:szCs w:val="32"/>
          <w:highlight w:val="none"/>
        </w:rPr>
      </w:pPr>
      <w:r>
        <w:rPr>
          <w:rFonts w:ascii="宋体"/>
          <w:b/>
          <w:bCs/>
          <w:color w:val="000000"/>
          <w:sz w:val="32"/>
          <w:szCs w:val="32"/>
          <w:highlight w:val="none"/>
        </w:rPr>
      </w:r>
      <w:r/>
    </w:p>
    <w:p>
      <w:pPr>
        <w:pStyle w:val="777"/>
        <w:ind w:firstLine="0"/>
        <w:jc w:val="center"/>
        <w:keepLines w:val="0"/>
        <w:keepNext w:val="0"/>
        <w:pageBreakBefore w:val="0"/>
        <w:spacing w:line="600" w:lineRule="exact"/>
        <w:widowControl w:val="off"/>
        <w:rPr>
          <w:rFonts w:hint="eastAsia" w:ascii="宋体" w:hAnsi="宋体"/>
          <w:b/>
          <w:bCs/>
          <w:color w:val="000000"/>
          <w:sz w:val="32"/>
          <w:szCs w:val="32"/>
          <w:highlight w:val="none"/>
        </w:rPr>
      </w:pPr>
      <w:r>
        <w:rPr>
          <w:rFonts w:hint="eastAsia" w:ascii="宋体" w:hAnsi="宋体"/>
          <w:b/>
          <w:color w:val="000000"/>
          <w:sz w:val="32"/>
          <w:highlight w:val="none"/>
        </w:rPr>
        <w:t xml:space="preserve">苏州市卫康招投标咨询服务有限公司</w:t>
      </w:r>
      <w:r>
        <w:rPr>
          <w:rFonts w:hint="eastAsia" w:ascii="宋体" w:hAnsi="宋体"/>
          <w:b/>
          <w:bCs/>
          <w:color w:val="000000"/>
          <w:sz w:val="32"/>
          <w:szCs w:val="32"/>
          <w:highlight w:val="none"/>
        </w:rPr>
      </w:r>
      <w:r/>
    </w:p>
    <w:p>
      <w:pPr>
        <w:pStyle w:val="777"/>
        <w:ind w:firstLine="0"/>
        <w:jc w:val="center"/>
        <w:keepLines w:val="0"/>
        <w:keepNext w:val="0"/>
        <w:pageBreakBefore w:val="0"/>
        <w:spacing w:line="600" w:lineRule="exact"/>
        <w:widowControl w:val="off"/>
        <w:rPr>
          <w:rFonts w:hint="eastAsia" w:ascii="Times New Roman" w:hAnsi="Times New Roman" w:eastAsia="仿宋_GB2312" w:cs="仿宋_GB2312"/>
          <w:b/>
          <w:color w:val="000000"/>
          <w:sz w:val="32"/>
          <w:szCs w:val="32"/>
          <w:highlight w:val="none"/>
        </w:rPr>
      </w:pPr>
      <w:r>
        <w:rPr>
          <w:rFonts w:hint="eastAsia" w:ascii="Times New Roman" w:hAnsi="Times New Roman" w:eastAsia="仿宋_GB2312" w:cs="仿宋_GB2312"/>
          <w:b/>
          <w:color w:val="000000"/>
          <w:sz w:val="32"/>
          <w:szCs w:val="32"/>
          <w:highlight w:val="none"/>
        </w:rPr>
        <w:t xml:space="preserve">二〇二六年</w:t>
      </w:r>
      <w:r>
        <w:rPr>
          <w:rFonts w:hint="eastAsia" w:ascii="Times New Roman" w:hAnsi="Times New Roman" w:eastAsia="仿宋_GB2312" w:cs="仿宋_GB2312"/>
          <w:b/>
          <w:color w:val="000000"/>
          <w:sz w:val="32"/>
          <w:szCs w:val="32"/>
          <w:highlight w:val="none"/>
          <w:lang w:val="en-US" w:eastAsia="zh-CN"/>
        </w:rPr>
        <w:t xml:space="preserve">七</w:t>
      </w:r>
      <w:r>
        <w:rPr>
          <w:rFonts w:hint="eastAsia" w:ascii="Times New Roman" w:hAnsi="Times New Roman" w:eastAsia="仿宋_GB2312" w:cs="仿宋_GB2312"/>
          <w:b/>
          <w:color w:val="000000"/>
          <w:sz w:val="32"/>
          <w:szCs w:val="32"/>
          <w:highlight w:val="none"/>
        </w:rPr>
        <w:t xml:space="preserve">月</w:t>
      </w:r>
      <w:r>
        <w:rPr>
          <w:rFonts w:hint="eastAsia" w:ascii="Times New Roman" w:hAnsi="Times New Roman" w:eastAsia="仿宋_GB2312" w:cs="仿宋_GB2312"/>
          <w:b/>
          <w:color w:val="000000"/>
          <w:sz w:val="32"/>
          <w:szCs w:val="32"/>
          <w:highlight w:val="none"/>
        </w:rPr>
      </w:r>
      <w:r/>
    </w:p>
    <w:p>
      <w:pPr>
        <w:pStyle w:val="969"/>
        <w:rPr>
          <w:color w:val="000000"/>
          <w:highlight w:val="none"/>
        </w:rPr>
        <w:outlineLvl w:val="9"/>
      </w:pPr>
      <w:r>
        <w:rPr>
          <w:color w:val="000000"/>
          <w:highlight w:val="none"/>
        </w:rPr>
        <w:br w:type="page" w:clear="all"/>
      </w:r>
      <w:r>
        <w:rPr>
          <w:color w:val="000000"/>
          <w:highlight w:val="none"/>
        </w:rPr>
        <w:t xml:space="preserve">目录</w:t>
      </w:r>
      <w:r>
        <w:rPr>
          <w:color w:val="000000"/>
          <w:highlight w:val="none"/>
        </w:rPr>
      </w:r>
      <w:r/>
    </w:p>
    <w:p>
      <w:pPr>
        <w:pStyle w:val="777"/>
        <w:ind w:firstLine="0"/>
        <w:jc w:val="both"/>
        <w:pageBreakBefore w:val="0"/>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777"/>
        <w:ind w:left="720" w:firstLine="0"/>
        <w:jc w:val="both"/>
        <w:pageBreakBefore w:val="0"/>
        <w:spacing w:line="360" w:lineRule="auto"/>
        <w:tabs>
          <w:tab w:val="left" w:pos="315" w:leader="none"/>
          <w:tab w:val="center" w:pos="4153" w:leader="none"/>
        </w:tabs>
        <w:rPr>
          <w:rFonts w:ascii="黑体" w:eastAsia="黑体"/>
          <w:color w:val="000000"/>
          <w:sz w:val="28"/>
          <w:szCs w:val="28"/>
          <w:highlight w:val="none"/>
        </w:rPr>
        <w:outlineLvl w:val="0"/>
      </w:pPr>
      <w:r>
        <w:rPr>
          <w:rFonts w:hint="eastAsia" w:ascii="黑体" w:eastAsia="黑体" w:cs="Times New Roman"/>
          <w:color w:val="000000"/>
          <w:sz w:val="28"/>
          <w:szCs w:val="28"/>
          <w:highlight w:val="none"/>
          <w:lang w:val="en-US" w:eastAsia="zh-CN" w:bidi="ar-SA"/>
        </w:rPr>
        <w:t xml:space="preserve">第一章 </w:t>
      </w:r>
      <w:r>
        <w:rPr>
          <w:rFonts w:hint="eastAsia" w:ascii="黑体" w:eastAsia="黑体"/>
          <w:color w:val="000000"/>
          <w:sz w:val="28"/>
          <w:szCs w:val="28"/>
          <w:highlight w:val="none"/>
        </w:rPr>
        <w:t xml:space="preserve">竞争性磋商公告</w:t>
      </w:r>
      <w:r>
        <w:rPr>
          <w:rFonts w:ascii="黑体" w:eastAsia="黑体"/>
          <w:color w:val="000000"/>
          <w:sz w:val="28"/>
          <w:szCs w:val="28"/>
          <w:highlight w:val="none"/>
        </w:rPr>
      </w:r>
      <w:r/>
    </w:p>
    <w:p>
      <w:pPr>
        <w:pStyle w:val="777"/>
        <w:ind w:left="720" w:firstLine="0"/>
        <w:jc w:val="both"/>
        <w:pageBreakBefore w:val="0"/>
        <w:spacing w:line="360" w:lineRule="auto"/>
        <w:tabs>
          <w:tab w:val="left" w:pos="315" w:leader="none"/>
          <w:tab w:val="center" w:pos="4153" w:leader="none"/>
        </w:tabs>
        <w:rPr>
          <w:rFonts w:ascii="黑体" w:eastAsia="黑体"/>
          <w:color w:val="000000"/>
          <w:sz w:val="28"/>
          <w:szCs w:val="28"/>
          <w:highlight w:val="none"/>
        </w:rPr>
        <w:outlineLvl w:val="0"/>
      </w:pPr>
      <w:r>
        <w:rPr>
          <w:rFonts w:hint="eastAsia" w:ascii="黑体" w:eastAsia="黑体" w:cs="Times New Roman"/>
          <w:color w:val="000000"/>
          <w:sz w:val="28"/>
          <w:szCs w:val="28"/>
          <w:highlight w:val="none"/>
          <w:lang w:val="en-US" w:eastAsia="zh-CN" w:bidi="ar-SA"/>
        </w:rPr>
        <w:t xml:space="preserve">第二章 </w:t>
      </w:r>
      <w:r>
        <w:rPr>
          <w:rFonts w:hint="eastAsia" w:ascii="黑体" w:eastAsia="黑体"/>
          <w:color w:val="000000"/>
          <w:sz w:val="28"/>
          <w:szCs w:val="28"/>
          <w:highlight w:val="none"/>
        </w:rPr>
        <w:t xml:space="preserve">供应商须知</w:t>
      </w:r>
      <w:r>
        <w:rPr>
          <w:rFonts w:ascii="黑体" w:eastAsia="黑体"/>
          <w:color w:val="000000"/>
          <w:sz w:val="28"/>
          <w:szCs w:val="28"/>
          <w:highlight w:val="none"/>
        </w:rPr>
      </w:r>
      <w:r/>
    </w:p>
    <w:p>
      <w:pPr>
        <w:pStyle w:val="777"/>
        <w:ind w:left="720" w:firstLine="0"/>
        <w:jc w:val="both"/>
        <w:pageBreakBefore w:val="0"/>
        <w:spacing w:line="360" w:lineRule="auto"/>
        <w:tabs>
          <w:tab w:val="left" w:pos="315" w:leader="none"/>
          <w:tab w:val="center" w:pos="4153" w:leader="none"/>
        </w:tabs>
        <w:rPr>
          <w:rFonts w:ascii="黑体" w:eastAsia="黑体"/>
          <w:color w:val="000000"/>
          <w:sz w:val="28"/>
          <w:szCs w:val="28"/>
          <w:highlight w:val="none"/>
        </w:rPr>
        <w:outlineLvl w:val="0"/>
      </w:pPr>
      <w:r>
        <w:rPr>
          <w:rFonts w:hint="eastAsia" w:ascii="黑体" w:eastAsia="黑体" w:cs="Times New Roman"/>
          <w:color w:val="000000"/>
          <w:sz w:val="28"/>
          <w:szCs w:val="28"/>
          <w:highlight w:val="none"/>
          <w:lang w:val="en-US" w:eastAsia="zh-CN" w:bidi="ar-SA"/>
        </w:rPr>
        <w:t xml:space="preserve">第三章 </w:t>
      </w:r>
      <w:r>
        <w:rPr>
          <w:rFonts w:hint="eastAsia" w:ascii="黑体" w:eastAsia="黑体"/>
          <w:color w:val="000000"/>
          <w:sz w:val="28"/>
          <w:szCs w:val="28"/>
          <w:highlight w:val="none"/>
        </w:rPr>
        <w:t xml:space="preserve">采购要求</w:t>
      </w:r>
      <w:r>
        <w:rPr>
          <w:rFonts w:ascii="黑体" w:eastAsia="黑体"/>
          <w:color w:val="000000"/>
          <w:sz w:val="28"/>
          <w:szCs w:val="28"/>
          <w:highlight w:val="none"/>
        </w:rPr>
      </w:r>
      <w:r/>
    </w:p>
    <w:p>
      <w:pPr>
        <w:pStyle w:val="777"/>
        <w:ind w:left="720" w:firstLine="0"/>
        <w:jc w:val="both"/>
        <w:pageBreakBefore w:val="0"/>
        <w:spacing w:line="360" w:lineRule="auto"/>
        <w:tabs>
          <w:tab w:val="left" w:pos="315" w:leader="none"/>
          <w:tab w:val="center" w:pos="4153" w:leader="none"/>
        </w:tabs>
        <w:rPr>
          <w:rFonts w:ascii="黑体" w:eastAsia="黑体"/>
          <w:color w:val="000000"/>
          <w:sz w:val="28"/>
          <w:szCs w:val="28"/>
          <w:highlight w:val="none"/>
        </w:rPr>
        <w:outlineLvl w:val="0"/>
      </w:pPr>
      <w:r>
        <w:rPr>
          <w:rFonts w:hint="eastAsia" w:ascii="黑体" w:eastAsia="黑体" w:cs="Times New Roman"/>
          <w:color w:val="000000"/>
          <w:sz w:val="28"/>
          <w:szCs w:val="28"/>
          <w:highlight w:val="none"/>
          <w:lang w:val="en-US" w:eastAsia="zh-CN" w:bidi="ar-SA"/>
        </w:rPr>
        <w:t xml:space="preserve">第四章 </w:t>
      </w:r>
      <w:r>
        <w:rPr>
          <w:rFonts w:hint="eastAsia" w:ascii="黑体" w:eastAsia="黑体"/>
          <w:color w:val="000000"/>
          <w:sz w:val="28"/>
          <w:szCs w:val="28"/>
          <w:highlight w:val="none"/>
        </w:rPr>
        <w:t xml:space="preserve">评审方法及标准</w:t>
      </w:r>
      <w:r>
        <w:rPr>
          <w:rFonts w:ascii="黑体" w:eastAsia="黑体"/>
          <w:color w:val="000000"/>
          <w:sz w:val="28"/>
          <w:szCs w:val="28"/>
          <w:highlight w:val="none"/>
        </w:rPr>
      </w:r>
      <w:r/>
    </w:p>
    <w:p>
      <w:pPr>
        <w:pStyle w:val="777"/>
        <w:ind w:left="720" w:firstLine="0"/>
        <w:jc w:val="both"/>
        <w:pageBreakBefore w:val="0"/>
        <w:spacing w:line="360" w:lineRule="auto"/>
        <w:tabs>
          <w:tab w:val="left" w:pos="315" w:leader="none"/>
          <w:tab w:val="center" w:pos="4153" w:leader="none"/>
        </w:tabs>
        <w:rPr>
          <w:rFonts w:ascii="黑体" w:eastAsia="黑体"/>
          <w:color w:val="000000"/>
          <w:sz w:val="28"/>
          <w:szCs w:val="28"/>
          <w:highlight w:val="none"/>
        </w:rPr>
        <w:outlineLvl w:val="0"/>
      </w:pPr>
      <w:r>
        <w:rPr>
          <w:rFonts w:hint="eastAsia" w:ascii="黑体" w:eastAsia="黑体" w:cs="Times New Roman"/>
          <w:color w:val="000000"/>
          <w:sz w:val="28"/>
          <w:szCs w:val="28"/>
          <w:highlight w:val="none"/>
          <w:lang w:val="en-US" w:eastAsia="zh-CN" w:bidi="ar-SA"/>
        </w:rPr>
        <w:t xml:space="preserve">第五章 </w:t>
      </w:r>
      <w:r>
        <w:rPr>
          <w:rFonts w:hint="eastAsia" w:ascii="黑体" w:eastAsia="黑体"/>
          <w:color w:val="000000"/>
          <w:sz w:val="28"/>
          <w:szCs w:val="28"/>
          <w:highlight w:val="none"/>
        </w:rPr>
        <w:t xml:space="preserve">合同主要条款</w:t>
      </w:r>
      <w:r>
        <w:rPr>
          <w:rFonts w:ascii="黑体" w:eastAsia="黑体"/>
          <w:color w:val="000000"/>
          <w:sz w:val="28"/>
          <w:szCs w:val="28"/>
          <w:highlight w:val="none"/>
        </w:rPr>
      </w:r>
      <w:r/>
    </w:p>
    <w:p>
      <w:pPr>
        <w:pStyle w:val="777"/>
        <w:ind w:left="720" w:firstLine="0"/>
        <w:jc w:val="both"/>
        <w:pageBreakBefore w:val="0"/>
        <w:spacing w:line="360" w:lineRule="auto"/>
        <w:tabs>
          <w:tab w:val="left" w:pos="315" w:leader="none"/>
          <w:tab w:val="center" w:pos="4153" w:leader="none"/>
        </w:tabs>
        <w:rPr>
          <w:rFonts w:ascii="黑体" w:eastAsia="黑体"/>
          <w:color w:val="000000"/>
          <w:sz w:val="28"/>
          <w:szCs w:val="28"/>
          <w:highlight w:val="none"/>
        </w:rPr>
        <w:outlineLvl w:val="0"/>
      </w:pPr>
      <w:r>
        <w:rPr>
          <w:rFonts w:hint="eastAsia" w:ascii="黑体" w:eastAsia="黑体" w:cs="Times New Roman"/>
          <w:color w:val="000000"/>
          <w:sz w:val="28"/>
          <w:szCs w:val="28"/>
          <w:highlight w:val="none"/>
          <w:lang w:val="en-US" w:eastAsia="zh-CN" w:bidi="ar-SA"/>
        </w:rPr>
        <w:t xml:space="preserve">第六章 </w:t>
      </w:r>
      <w:r>
        <w:rPr>
          <w:rFonts w:hint="eastAsia" w:ascii="黑体" w:eastAsia="黑体"/>
          <w:color w:val="000000"/>
          <w:sz w:val="28"/>
          <w:szCs w:val="28"/>
          <w:highlight w:val="none"/>
        </w:rPr>
        <w:t xml:space="preserve">附件格式</w:t>
      </w:r>
      <w:r>
        <w:rPr>
          <w:rFonts w:ascii="黑体" w:eastAsia="黑体"/>
          <w:color w:val="000000"/>
          <w:sz w:val="28"/>
          <w:szCs w:val="28"/>
          <w:highlight w:val="none"/>
        </w:rPr>
      </w:r>
      <w:r/>
    </w:p>
    <w:p>
      <w:pPr>
        <w:pStyle w:val="777"/>
        <w:ind w:firstLine="0"/>
        <w:jc w:val="both"/>
        <w:pageBreakBefore w:val="0"/>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777"/>
        <w:ind w:firstLine="0"/>
        <w:jc w:val="both"/>
        <w:pageBreakBefore w:val="0"/>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77"/>
        <w:ind w:firstLine="0"/>
        <w:jc w:val="both"/>
        <w:pageBreakBefore w:val="0"/>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77"/>
        <w:ind w:firstLine="0"/>
        <w:jc w:val="both"/>
        <w:pageBreakBefore w:val="0"/>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77"/>
        <w:ind w:firstLine="0"/>
        <w:jc w:val="both"/>
        <w:pageBreakBefore w:val="0"/>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77"/>
        <w:ind w:firstLine="0"/>
        <w:jc w:val="both"/>
        <w:pageBreakBefore w:val="0"/>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77"/>
        <w:ind w:firstLine="0"/>
        <w:jc w:val="both"/>
        <w:pageBreakBefore w:val="0"/>
        <w:rPr>
          <w:rFonts w:hint="eastAsia" w:ascii="黑体" w:eastAsia="黑体"/>
          <w:b/>
          <w:color w:val="000000"/>
          <w:sz w:val="32"/>
          <w:szCs w:val="32"/>
          <w:highlight w:val="none"/>
        </w:rPr>
        <w:sectPr>
          <w:headerReference w:type="default" r:id="rId8"/>
          <w:footnotePr/>
          <w:endnotePr/>
          <w:type w:val="nextPage"/>
          <w:pgSz w:w="11906" w:h="16838" w:orient="portrait"/>
          <w:pgMar w:top="2098" w:right="1474" w:bottom="1984" w:left="1587" w:header="851" w:footer="1417" w:gutter="0"/>
          <w:cols w:num="1" w:sep="0" w:space="1701" w:equalWidth="1"/>
          <w:docGrid w:linePitch="360"/>
        </w:sectPr>
        <w:outlineLvl w:val="0"/>
      </w:pPr>
      <w:r>
        <w:rPr>
          <w:rFonts w:hint="eastAsia" w:ascii="黑体" w:eastAsia="黑体"/>
          <w:b/>
          <w:color w:val="000000"/>
          <w:sz w:val="32"/>
          <w:szCs w:val="32"/>
          <w:highlight w:val="none"/>
        </w:rPr>
      </w:r>
      <w:r/>
    </w:p>
    <w:p>
      <w:pPr>
        <w:pStyle w:val="969"/>
        <w:rPr>
          <w:b w:val="0"/>
          <w:color w:val="000000"/>
          <w:highlight w:val="none"/>
        </w:rPr>
      </w:pPr>
      <w:r>
        <w:rPr>
          <w:rFonts w:hint="eastAsia"/>
          <w:color w:val="000000"/>
          <w:highlight w:val="none"/>
          <w:lang w:eastAsia="zh-CN"/>
        </w:rPr>
        <w:t xml:space="preserve">第一章</w:t>
      </w:r>
      <w:r>
        <w:rPr>
          <w:rFonts w:hint="eastAsia" w:ascii="仿宋" w:hAnsi="仿宋" w:eastAsia="仿宋" w:cs="仿宋"/>
          <w:bCs/>
          <w:color w:val="000000"/>
          <w:spacing w:val="-6"/>
          <w:sz w:val="32"/>
          <w:szCs w:val="32"/>
          <w:highlight w:val="none"/>
          <w:lang w:eastAsia="zh-CN" w:bidi="ar-SA"/>
        </w:rPr>
        <w:t xml:space="preserve"> </w:t>
      </w:r>
      <w:r>
        <w:rPr>
          <w:color w:val="000000"/>
          <w:highlight w:val="none"/>
        </w:rPr>
        <w:t xml:space="preserve">竞争性磋商</w:t>
      </w:r>
      <w:r>
        <w:rPr>
          <w:color w:val="000000"/>
          <w:highlight w:val="none"/>
        </w:rPr>
        <w:t xml:space="preserve">公告</w:t>
      </w:r>
      <w:r>
        <w:rPr>
          <w:b w:val="0"/>
          <w:color w:val="000000"/>
          <w:highlight w:val="none"/>
        </w:rPr>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c>
          <w:tcPr>
            <w:tcW w:w="9060" w:type="dxa"/>
            <w:vAlign w:val="top"/>
            <w:textDirection w:val="lrTb"/>
            <w:noWrap w:val="false"/>
          </w:tcPr>
          <w:p>
            <w:pPr>
              <w:pStyle w:val="783"/>
              <w:ind w:firstLine="630"/>
              <w:jc w:val="both"/>
              <w:spacing w:after="0" w:line="560" w:lineRule="exact"/>
              <w:widowControl/>
              <w:rPr>
                <w:rFonts w:ascii="Times New Roman" w:hAnsi="Times New Roman" w:eastAsia="仿宋_GB2312" w:cs="仿宋_GB2312"/>
                <w:spacing w:val="-6"/>
                <w:sz w:val="32"/>
                <w:szCs w:val="32"/>
                <w:lang w:val="en-US" w:eastAsia="en-US" w:bidi="ar-SA"/>
              </w:rPr>
            </w:pPr>
            <w:r>
              <w:rPr>
                <w:rFonts w:ascii="Times New Roman" w:hAnsi="Times New Roman" w:eastAsia="仿宋_GB2312" w:cs="仿宋_GB2312"/>
                <w:color w:val="000000"/>
                <w:spacing w:val="-6"/>
                <w:sz w:val="32"/>
                <w:szCs w:val="32"/>
                <w:highlight w:val="none"/>
                <w:lang w:val="en-US" w:eastAsia="en-US" w:bidi="ar-SA"/>
              </w:rPr>
              <w:t xml:space="preserve">项目概况</w:t>
            </w:r>
            <w:r>
              <w:rPr>
                <w:rFonts w:ascii="Times New Roman" w:hAnsi="Times New Roman" w:eastAsia="仿宋_GB2312" w:cs="仿宋_GB2312"/>
                <w:spacing w:val="-6"/>
                <w:sz w:val="32"/>
                <w:szCs w:val="32"/>
                <w:lang w:val="en-US" w:eastAsia="en-US" w:bidi="ar-SA"/>
              </w:rPr>
            </w:r>
            <w:r/>
          </w:p>
          <w:p>
            <w:pPr>
              <w:pStyle w:val="954"/>
              <w:ind w:left="0" w:firstLine="0"/>
              <w:keepLines/>
              <w:keepNext/>
              <w:spacing w:beforeAutospacing="0" w:after="0" w:afterAutospacing="0" w:line="560" w:lineRule="exact"/>
              <w:rPr>
                <w:rFonts w:ascii="黑体" w:hAnsi="黑体" w:eastAsia="黑体" w:cs="黑体"/>
                <w:sz w:val="32"/>
                <w:szCs w:val="32"/>
                <w:highlight w:val="none"/>
                <w:lang w:val="en-US" w:eastAsia="en-US" w:bidi="ar-SA"/>
              </w:rPr>
              <w:outlineLvl w:val="0"/>
            </w:pPr>
            <w:r>
              <w:rPr>
                <w:rFonts w:ascii="Times New Roman" w:hAnsi="Times New Roman" w:eastAsia="仿宋_GB2312" w:cs="仿宋_GB2312"/>
                <w:color w:val="000000"/>
                <w:sz w:val="32"/>
                <w:szCs w:val="32"/>
                <w:highlight w:val="none"/>
                <w:lang w:val="en-US" w:eastAsia="zh-CN" w:bidi="ar-SA"/>
              </w:rPr>
              <w:t xml:space="preserve">无纸化、中间库及司法辅助服务采购项目的潜在供应商应在苏采云政府采购一体化平台获取采购文件</w:t>
            </w:r>
            <w:r>
              <w:rPr>
                <w:rFonts w:ascii="Times New Roman" w:hAnsi="Times New Roman" w:eastAsia="仿宋_GB2312" w:cs="仿宋_GB2312"/>
                <w:color w:val="000000"/>
                <w:sz w:val="32"/>
                <w:szCs w:val="32"/>
                <w:highlight w:val="none"/>
                <w:lang w:val="en-US" w:eastAsia="en-US" w:bidi="ar-SA"/>
              </w:rPr>
              <w:t xml:space="preserve">，并于2026-08-11    9:30（北京时间）前提交响应文件。</w:t>
            </w:r>
            <w:r>
              <w:rPr>
                <w:rFonts w:ascii="黑体" w:hAnsi="黑体" w:eastAsia="黑体" w:cs="黑体"/>
                <w:sz w:val="32"/>
                <w:szCs w:val="32"/>
                <w:highlight w:val="none"/>
                <w:lang w:val="en-US" w:eastAsia="en-US" w:bidi="ar-SA"/>
              </w:rPr>
            </w:r>
            <w:r/>
          </w:p>
        </w:tc>
      </w:tr>
    </w:tbl>
    <w:p>
      <w:pPr>
        <w:pStyle w:val="954"/>
        <w:ind w:left="0" w:firstLine="640"/>
        <w:rPr>
          <w:highlight w:val="none"/>
        </w:rPr>
      </w:pPr>
      <w:r>
        <w:rPr>
          <w:rFonts w:hint="eastAsia"/>
          <w:color w:val="000000"/>
          <w:highlight w:val="none"/>
          <w:lang w:eastAsia="zh-CN"/>
        </w:rPr>
        <w:t xml:space="preserve">一、</w:t>
      </w:r>
      <w:r>
        <w:rPr>
          <w:color w:val="000000"/>
          <w:highlight w:val="none"/>
        </w:rPr>
        <w:t xml:space="preserve">项目基本情况</w:t>
      </w:r>
      <w:r>
        <w:rPr>
          <w:highlight w:val="none"/>
        </w:rPr>
      </w:r>
      <w:r/>
    </w:p>
    <w:p>
      <w:pPr>
        <w:pStyle w:val="783"/>
        <w:ind w:left="0" w:firstLine="616"/>
        <w:widowControl/>
        <w:rPr>
          <w:rStyle w:val="971"/>
          <w:rFonts w:hint="eastAsia" w:ascii="楷体_GB2312" w:hAnsi="楷体_GB2312" w:eastAsia="楷体_GB2312" w:cs="楷体_GB2312"/>
          <w:b w:val="0"/>
          <w:color w:val="000000"/>
          <w:sz w:val="32"/>
          <w:szCs w:val="32"/>
          <w:highlight w:val="none"/>
        </w:rPr>
      </w:pPr>
      <w:r>
        <w:rPr>
          <w:rStyle w:val="957"/>
          <w:rFonts w:hint="eastAsia" w:eastAsia="楷体_GB2312"/>
          <w:color w:val="000000"/>
          <w:highlight w:val="none"/>
          <w:lang w:eastAsia="zh-CN"/>
        </w:rPr>
        <w:t xml:space="preserve">（一）</w:t>
      </w:r>
      <w:r>
        <w:rPr>
          <w:rStyle w:val="957"/>
          <w:color w:val="000000"/>
          <w:highlight w:val="none"/>
        </w:rPr>
        <w:t xml:space="preserve">项目编号</w:t>
      </w:r>
      <w:r>
        <w:rPr>
          <w:rStyle w:val="971"/>
          <w:rFonts w:ascii="Times New Roman" w:hAnsi="Times New Roman" w:eastAsia="仿宋_GB2312" w:cs="仿宋_GB2312"/>
          <w:color w:val="000000"/>
          <w:sz w:val="32"/>
          <w:szCs w:val="32"/>
          <w:highlight w:val="none"/>
        </w:rPr>
        <w:t xml:space="preserve">：</w:t>
      </w:r>
      <w:r>
        <w:rPr>
          <w:rStyle w:val="971"/>
          <w:rFonts w:hint="eastAsia" w:ascii="楷体_GB2312" w:hAnsi="楷体_GB2312" w:eastAsia="楷体_GB2312" w:cs="楷体_GB2312"/>
          <w:b w:val="0"/>
          <w:color w:val="000000"/>
          <w:sz w:val="32"/>
          <w:szCs w:val="32"/>
          <w:highlight w:val="none"/>
        </w:rPr>
      </w:r>
      <w:r/>
    </w:p>
    <w:p>
      <w:pPr>
        <w:pStyle w:val="783"/>
        <w:widowControl/>
        <w:rPr>
          <w:rFonts w:hint="eastAsia" w:ascii="Times New Roman" w:hAnsi="Times New Roman" w:eastAsia="仿宋_GB2312" w:cs="仿宋_GB2312"/>
          <w:b w:val="0"/>
          <w:color w:val="000000"/>
          <w:sz w:val="32"/>
          <w:szCs w:val="32"/>
          <w:highlight w:val="none"/>
          <w:lang w:eastAsia="zh-CN"/>
        </w:rPr>
      </w:pPr>
      <w:r>
        <w:rPr>
          <w:rFonts w:hint="eastAsia" w:cs="仿宋_GB2312"/>
          <w:color w:val="000000"/>
          <w:sz w:val="32"/>
          <w:szCs w:val="32"/>
          <w:highlight w:val="none"/>
          <w:lang w:eastAsia="zh-CN"/>
        </w:rPr>
        <w:t xml:space="preserve">JSZC-320505-SZWK-C2026-0221</w:t>
      </w:r>
      <w:r>
        <w:rPr>
          <w:rFonts w:hint="eastAsia" w:ascii="Times New Roman" w:hAnsi="Times New Roman" w:eastAsia="仿宋_GB2312" w:cs="仿宋_GB2312"/>
          <w:b w:val="0"/>
          <w:color w:val="000000"/>
          <w:sz w:val="32"/>
          <w:szCs w:val="32"/>
          <w:highlight w:val="none"/>
          <w:lang w:eastAsia="zh-CN"/>
        </w:rPr>
      </w:r>
      <w:r/>
    </w:p>
    <w:p>
      <w:pPr>
        <w:pStyle w:val="783"/>
        <w:ind w:left="0" w:firstLine="616"/>
        <w:widowControl/>
        <w:rPr>
          <w:rFonts w:hint="eastAsia" w:ascii="楷体_GB2312" w:hAnsi="楷体_GB2312" w:eastAsia="仿宋_GB2312" w:cs="楷体_GB2312"/>
          <w:b w:val="0"/>
          <w:color w:val="000000"/>
          <w:sz w:val="32"/>
          <w:szCs w:val="32"/>
          <w:highlight w:val="none"/>
          <w:lang w:eastAsia="zh-CN"/>
        </w:rPr>
      </w:pPr>
      <w:r>
        <w:rPr>
          <w:rStyle w:val="957"/>
          <w:rFonts w:hint="eastAsia" w:eastAsia="楷体_GB2312"/>
          <w:color w:val="000000"/>
          <w:highlight w:val="none"/>
          <w:lang w:eastAsia="zh-CN"/>
        </w:rPr>
        <w:t xml:space="preserve">（二）</w:t>
      </w:r>
      <w:r>
        <w:rPr>
          <w:rStyle w:val="957"/>
          <w:color w:val="000000"/>
          <w:highlight w:val="none"/>
        </w:rPr>
        <w:t xml:space="preserve">项目名称</w:t>
      </w:r>
      <w:r>
        <w:rPr>
          <w:rStyle w:val="971"/>
          <w:rFonts w:ascii="Times New Roman" w:hAnsi="Times New Roman" w:eastAsia="仿宋_GB2312" w:cs="仿宋_GB2312"/>
          <w:color w:val="000000"/>
          <w:sz w:val="32"/>
          <w:szCs w:val="32"/>
          <w:highlight w:val="none"/>
        </w:rPr>
        <w:t xml:space="preserve">：</w:t>
      </w:r>
      <w:r>
        <w:rPr>
          <w:rFonts w:hint="eastAsia" w:cs="仿宋_GB2312"/>
          <w:color w:val="000000"/>
          <w:sz w:val="32"/>
          <w:szCs w:val="32"/>
          <w:highlight w:val="none"/>
          <w:lang w:eastAsia="zh-CN"/>
        </w:rPr>
        <w:t xml:space="preserve">无纸化、中间库及司法辅助服务</w:t>
      </w:r>
      <w:r>
        <w:rPr>
          <w:rFonts w:hint="eastAsia" w:ascii="楷体_GB2312" w:hAnsi="楷体_GB2312" w:eastAsia="仿宋_GB2312" w:cs="楷体_GB2312"/>
          <w:b w:val="0"/>
          <w:color w:val="000000"/>
          <w:sz w:val="32"/>
          <w:szCs w:val="32"/>
          <w:highlight w:val="none"/>
          <w:lang w:eastAsia="zh-CN"/>
        </w:rPr>
      </w:r>
      <w:r/>
    </w:p>
    <w:p>
      <w:pPr>
        <w:pStyle w:val="783"/>
        <w:ind w:left="0" w:firstLine="616"/>
        <w:widowControl/>
        <w:rPr>
          <w:rFonts w:hint="eastAsia" w:ascii="楷体_GB2312" w:hAnsi="楷体_GB2312" w:eastAsia="楷体_GB2312" w:cs="楷体_GB2312"/>
          <w:b w:val="0"/>
          <w:color w:val="000000"/>
          <w:sz w:val="32"/>
          <w:szCs w:val="32"/>
          <w:highlight w:val="none"/>
        </w:rPr>
      </w:pPr>
      <w:r>
        <w:rPr>
          <w:rStyle w:val="957"/>
          <w:rFonts w:hint="eastAsia" w:eastAsia="楷体_GB2312"/>
          <w:color w:val="000000"/>
          <w:highlight w:val="none"/>
          <w:lang w:eastAsia="zh-CN"/>
        </w:rPr>
        <w:t xml:space="preserve">（三）</w:t>
      </w:r>
      <w:r>
        <w:rPr>
          <w:rStyle w:val="957"/>
          <w:color w:val="000000"/>
          <w:highlight w:val="none"/>
        </w:rPr>
        <w:t xml:space="preserve">采购方式</w:t>
      </w:r>
      <w:r>
        <w:rPr>
          <w:rStyle w:val="971"/>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t xml:space="preserve">竞争性磋商</w:t>
      </w:r>
      <w:r>
        <w:rPr>
          <w:rFonts w:hint="eastAsia" w:ascii="楷体_GB2312" w:hAnsi="楷体_GB2312" w:eastAsia="楷体_GB2312" w:cs="楷体_GB2312"/>
          <w:b w:val="0"/>
          <w:color w:val="000000"/>
          <w:sz w:val="32"/>
          <w:szCs w:val="32"/>
          <w:highlight w:val="none"/>
        </w:rPr>
      </w:r>
      <w:r/>
    </w:p>
    <w:p>
      <w:pPr>
        <w:pStyle w:val="783"/>
        <w:ind w:left="0" w:firstLine="616"/>
        <w:widowControl/>
        <w:rPr>
          <w:rFonts w:hint="eastAsia" w:ascii="Times New Roman" w:hAnsi="Times New Roman" w:eastAsia="仿宋_GB2312" w:cs="仿宋_GB2312"/>
          <w:color w:val="000000"/>
          <w:sz w:val="32"/>
          <w:szCs w:val="32"/>
          <w:highlight w:val="none"/>
          <w:lang w:eastAsia="zh-CN"/>
        </w:rPr>
      </w:pPr>
      <w:r>
        <w:rPr>
          <w:rStyle w:val="957"/>
          <w:rFonts w:hint="eastAsia" w:eastAsia="楷体_GB2312"/>
          <w:color w:val="000000"/>
          <w:highlight w:val="none"/>
          <w:lang w:eastAsia="zh-CN"/>
        </w:rPr>
        <w:t xml:space="preserve">（四）</w:t>
      </w:r>
      <w:r>
        <w:rPr>
          <w:rStyle w:val="957"/>
          <w:color w:val="000000"/>
          <w:highlight w:val="none"/>
        </w:rPr>
        <w:t xml:space="preserve">预算金额</w:t>
      </w:r>
      <w:r>
        <w:rPr>
          <w:rStyle w:val="971"/>
          <w:rFonts w:ascii="Times New Roman" w:hAnsi="Times New Roman" w:eastAsia="仿宋_GB2312" w:cs="仿宋_GB2312"/>
          <w:color w:val="000000"/>
          <w:sz w:val="32"/>
          <w:szCs w:val="32"/>
          <w:highlight w:val="none"/>
        </w:rPr>
        <w:t xml:space="preserve">：</w:t>
      </w:r>
      <w:r>
        <w:rPr>
          <w:rFonts w:hint="eastAsia" w:cs="仿宋_GB2312"/>
          <w:color w:val="000000"/>
          <w:sz w:val="32"/>
          <w:szCs w:val="32"/>
          <w:highlight w:val="none"/>
          <w:lang w:eastAsia="zh-CN"/>
        </w:rPr>
        <w:t xml:space="preserve">人民币250.000000万元</w:t>
      </w:r>
      <w:r>
        <w:rPr>
          <w:rFonts w:hint="eastAsia" w:ascii="Times New Roman" w:hAnsi="Times New Roman" w:eastAsia="仿宋_GB2312" w:cs="仿宋_GB2312"/>
          <w:color w:val="000000"/>
          <w:sz w:val="32"/>
          <w:szCs w:val="32"/>
          <w:highlight w:val="none"/>
          <w:lang w:eastAsia="zh-CN"/>
        </w:rPr>
      </w:r>
      <w:r/>
    </w:p>
    <w:p>
      <w:pPr>
        <w:pStyle w:val="783"/>
        <w:ind w:left="838" w:firstLine="419"/>
        <w:widowControl/>
        <w:rPr>
          <w:rFonts w:hint="eastAsia" w:ascii="Times New Roman" w:hAnsi="Times New Roman" w:eastAsia="仿宋_GB2312" w:cs="仿宋_GB2312"/>
          <w:color w:val="000000"/>
          <w:sz w:val="32"/>
          <w:szCs w:val="32"/>
          <w:highlight w:val="none"/>
          <w:lang w:eastAsia="zh-CN"/>
        </w:rPr>
      </w:pPr>
      <w:r>
        <w:rPr>
          <w:rStyle w:val="957"/>
          <w:color w:val="000000"/>
          <w:highlight w:val="none"/>
        </w:rPr>
        <w:t xml:space="preserve">最高限价</w:t>
      </w:r>
      <w:r>
        <w:rPr>
          <w:rStyle w:val="957"/>
          <w:rFonts w:hint="eastAsia" w:eastAsia="楷体_GB2312"/>
          <w:color w:val="000000"/>
          <w:highlight w:val="none"/>
          <w:lang w:eastAsia="zh-CN"/>
        </w:rPr>
        <w:t xml:space="preserve">：</w:t>
      </w:r>
      <w:r>
        <w:rPr>
          <w:rFonts w:hint="eastAsia" w:cs="仿宋_GB2312"/>
          <w:color w:val="000000"/>
          <w:sz w:val="32"/>
          <w:szCs w:val="32"/>
          <w:highlight w:val="none"/>
          <w:lang w:eastAsia="zh-CN"/>
        </w:rPr>
        <w:t xml:space="preserve">人民币249.500000万元</w:t>
      </w:r>
      <w:r>
        <w:rPr>
          <w:rFonts w:hint="eastAsia" w:ascii="Times New Roman" w:hAnsi="Times New Roman" w:eastAsia="仿宋_GB2312" w:cs="仿宋_GB2312"/>
          <w:color w:val="000000"/>
          <w:sz w:val="32"/>
          <w:szCs w:val="32"/>
          <w:highlight w:val="none"/>
          <w:lang w:eastAsia="zh-CN"/>
        </w:rPr>
      </w:r>
      <w:r/>
    </w:p>
    <w:p>
      <w:pPr>
        <w:pStyle w:val="783"/>
        <w:ind w:left="0" w:firstLine="616"/>
        <w:widowControl/>
        <w:rPr>
          <w:rFonts w:hint="eastAsia" w:ascii="楷体_GB2312" w:hAnsi="楷体_GB2312" w:eastAsia="楷体_GB2312" w:cs="楷体_GB2312"/>
          <w:b w:val="0"/>
          <w:color w:val="000000"/>
          <w:sz w:val="32"/>
          <w:szCs w:val="32"/>
          <w:highlight w:val="none"/>
        </w:rPr>
      </w:pPr>
      <w:r>
        <w:rPr>
          <w:rStyle w:val="957"/>
          <w:rFonts w:hint="eastAsia" w:eastAsia="楷体_GB2312"/>
          <w:color w:val="000000"/>
          <w:highlight w:val="none"/>
          <w:lang w:eastAsia="zh-CN"/>
        </w:rPr>
        <w:t xml:space="preserve">（五）</w:t>
      </w:r>
      <w:r>
        <w:rPr>
          <w:rStyle w:val="957"/>
          <w:color w:val="000000"/>
          <w:highlight w:val="none"/>
        </w:rPr>
        <w:t xml:space="preserve">采购需求</w:t>
      </w:r>
      <w:r>
        <w:rPr>
          <w:rStyle w:val="971"/>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t xml:space="preserve">对苏州市虎丘区人民法院无纸化办案提供电子卷宗随案同步生成、纸质卷宗交接、中间库管理等全流程辅助服务，在立案、审理、执行等环节提供司法辅助服务，要求每年常驻人员至少31人，需要遵守本院规章制度并接受考核。</w:t>
      </w:r>
      <w:r>
        <w:rPr>
          <w:rFonts w:hint="eastAsia" w:ascii="楷体_GB2312" w:hAnsi="楷体_GB2312" w:eastAsia="楷体_GB2312" w:cs="楷体_GB2312"/>
          <w:b w:val="0"/>
          <w:color w:val="000000"/>
          <w:sz w:val="32"/>
          <w:szCs w:val="32"/>
          <w:highlight w:val="none"/>
        </w:rPr>
      </w:r>
      <w:r/>
    </w:p>
    <w:p>
      <w:pPr>
        <w:pStyle w:val="783"/>
        <w:ind w:left="0" w:firstLine="616"/>
        <w:widowControl/>
        <w:rPr>
          <w:rFonts w:hint="eastAsia" w:ascii="楷体_GB2312" w:hAnsi="楷体_GB2312" w:eastAsia="楷体_GB2312" w:cs="楷体_GB2312"/>
          <w:b w:val="0"/>
          <w:color w:val="000000"/>
          <w:sz w:val="32"/>
          <w:szCs w:val="32"/>
          <w:highlight w:val="none"/>
        </w:rPr>
      </w:pPr>
      <w:r>
        <w:rPr>
          <w:rStyle w:val="957"/>
          <w:rFonts w:hint="eastAsia" w:eastAsia="楷体_GB2312"/>
          <w:color w:val="000000"/>
          <w:highlight w:val="none"/>
          <w:lang w:eastAsia="zh-CN"/>
        </w:rPr>
        <w:t xml:space="preserve">（六）</w:t>
      </w:r>
      <w:r>
        <w:rPr>
          <w:rStyle w:val="957"/>
          <w:color w:val="000000"/>
          <w:highlight w:val="none"/>
        </w:rPr>
        <w:t xml:space="preserve">合同履行期限</w:t>
      </w:r>
      <w:r>
        <w:rPr>
          <w:rStyle w:val="971"/>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t xml:space="preserve">一年（以合同签订的服务起止日期为准）。</w:t>
      </w:r>
      <w:r>
        <w:rPr>
          <w:rFonts w:hint="eastAsia" w:ascii="楷体_GB2312" w:hAnsi="楷体_GB2312" w:eastAsia="楷体_GB2312" w:cs="楷体_GB2312"/>
          <w:b w:val="0"/>
          <w:color w:val="000000"/>
          <w:sz w:val="32"/>
          <w:szCs w:val="32"/>
          <w:highlight w:val="none"/>
        </w:rPr>
      </w:r>
      <w:r/>
    </w:p>
    <w:p>
      <w:pPr>
        <w:pStyle w:val="783"/>
        <w:ind w:left="0" w:firstLine="616"/>
        <w:widowControl/>
        <w:rPr>
          <w:rFonts w:hint="eastAsia" w:ascii="楷体_GB2312" w:hAnsi="楷体_GB2312" w:eastAsia="楷体_GB2312" w:cs="楷体_GB2312"/>
          <w:b w:val="0"/>
          <w:color w:val="000000"/>
          <w:sz w:val="32"/>
          <w:szCs w:val="32"/>
          <w:highlight w:val="none"/>
        </w:rPr>
      </w:pPr>
      <w:r>
        <w:rPr>
          <w:rStyle w:val="957"/>
          <w:rFonts w:hint="eastAsia" w:eastAsia="楷体_GB2312"/>
          <w:color w:val="000000"/>
          <w:highlight w:val="none"/>
          <w:lang w:eastAsia="zh-CN"/>
        </w:rPr>
        <w:t xml:space="preserve">（七）</w:t>
      </w:r>
      <w:r>
        <w:rPr>
          <w:rStyle w:val="957"/>
          <w:color w:val="000000"/>
          <w:highlight w:val="none"/>
        </w:rPr>
        <w:t xml:space="preserve">本项目不接受联合体</w:t>
      </w:r>
      <w:r>
        <w:rPr>
          <w:rFonts w:ascii="Times New Roman" w:hAnsi="Times New Roman" w:eastAsia="仿宋_GB2312" w:cs="仿宋_GB2312"/>
          <w:color w:val="000000"/>
          <w:sz w:val="32"/>
          <w:szCs w:val="32"/>
          <w:highlight w:val="none"/>
        </w:rPr>
        <w:t xml:space="preserve">。</w:t>
      </w:r>
      <w:bookmarkStart w:id="1" w:name="_Toc28359013"/>
      <w:r/>
      <w:bookmarkStart w:id="2" w:name="_Toc35393630"/>
      <w:r/>
      <w:bookmarkStart w:id="3" w:name="_Toc35393799"/>
      <w:r/>
      <w:bookmarkStart w:id="4" w:name="_Toc28359090"/>
      <w:r>
        <w:rPr>
          <w:rFonts w:hint="eastAsia" w:ascii="楷体_GB2312" w:hAnsi="楷体_GB2312" w:eastAsia="楷体_GB2312" w:cs="楷体_GB2312"/>
          <w:b w:val="0"/>
          <w:color w:val="000000"/>
          <w:sz w:val="32"/>
          <w:szCs w:val="32"/>
          <w:highlight w:val="none"/>
        </w:rPr>
      </w:r>
      <w:r/>
    </w:p>
    <w:p>
      <w:pPr>
        <w:pStyle w:val="954"/>
        <w:ind w:left="0" w:firstLine="640"/>
        <w:rPr>
          <w:b w:val="0"/>
          <w:color w:val="000000"/>
          <w:highlight w:val="none"/>
        </w:rPr>
      </w:pPr>
      <w:r>
        <w:rPr>
          <w:rFonts w:hint="eastAsia"/>
          <w:color w:val="000000"/>
          <w:highlight w:val="none"/>
          <w:lang w:eastAsia="zh-CN"/>
        </w:rPr>
        <w:t xml:space="preserve">二、</w:t>
      </w:r>
      <w:r>
        <w:rPr>
          <w:color w:val="000000"/>
          <w:highlight w:val="none"/>
        </w:rPr>
        <w:t xml:space="preserve">申请人的资格要求：</w:t>
      </w:r>
      <w:bookmarkEnd w:id="1"/>
      <w:r/>
      <w:bookmarkEnd w:id="2"/>
      <w:r/>
      <w:bookmarkEnd w:id="3"/>
      <w:r/>
      <w:bookmarkEnd w:id="4"/>
      <w:r>
        <w:rPr>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满足《中华人民共和国政府采购法》第二十二条规定；</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具有独立承担民事责任的能力；</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cs="仿宋_GB2312"/>
          <w:color w:val="000000"/>
          <w:sz w:val="32"/>
          <w:szCs w:val="32"/>
          <w:highlight w:val="none"/>
          <w:lang w:eastAsia="zh-CN"/>
        </w:rPr>
        <w:sectPr>
          <w:headerReference w:type="default" r:id="rId9"/>
          <w:footerReference w:type="default" r:id="rId10"/>
          <w:footerReference w:type="even" r:id="rId11"/>
          <w:footnotePr/>
          <w:endnotePr/>
          <w:type w:val="nextPage"/>
          <w:pgSz w:w="11906" w:h="16838" w:orient="portrait"/>
          <w:pgMar w:top="2098" w:right="1474" w:bottom="1984" w:left="1587" w:header="1417" w:footer="1417" w:gutter="0"/>
          <w:pgNumType w:start="1"/>
          <w:cols w:num="1" w:sep="0" w:space="1701" w:equalWidth="1"/>
          <w:docGrid w:linePitch="360"/>
        </w:sectPr>
      </w:pPr>
      <w:r>
        <w:rPr>
          <w:rFonts w:hint="eastAsia" w:cs="仿宋_GB2312"/>
          <w:color w:val="000000"/>
          <w:sz w:val="32"/>
          <w:szCs w:val="32"/>
          <w:highlight w:val="none"/>
          <w:lang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具有良好的商业信誉和健全的财务会计制度；</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具有履行合同所必需的设备和专业技术能力；</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有依法缴纳税收和社会保障资金的良好记录；</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参加政府采购活动近三年内，在经营活动中没有重大违法记录；</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法律、行政法规规定的其他条件。</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bookmarkStart w:id="5" w:name="_Toc28359014"/>
      <w:r/>
      <w:bookmarkStart w:id="6" w:name="_Toc28359091"/>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落实政府采购政策需满足的资格要求：</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本项目为专门面向中小企业采购项目，所属行业为租赁和商务服务业（残疾人福利性单位、监狱企业视同小型、微型企业）。</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本项目的特定资格要求：无。</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bookmarkStart w:id="7" w:name="_Toc35393631"/>
      <w:r/>
      <w:bookmarkStart w:id="8" w:name="_Toc35393800"/>
      <w:r>
        <w:rPr>
          <w:rFonts w:ascii="Times New Roman" w:hAnsi="Times New Roman" w:eastAsia="仿宋_GB2312" w:cs="仿宋_GB2312"/>
          <w:color w:val="000000"/>
          <w:sz w:val="32"/>
          <w:szCs w:val="32"/>
          <w:highlight w:val="none"/>
        </w:rPr>
        <w:t xml:space="preserve">注： </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供应商未被“信用中国”网站（www.creditchina.gov.cn）列入失信被执行人、重大税收违法案件当事人名单、政府采购严重失信行为记录名单；</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bookmarkEnd w:id="5"/>
      <w:r/>
      <w:bookmarkEnd w:id="6"/>
      <w:r/>
      <w:bookmarkEnd w:id="7"/>
      <w:r/>
      <w:bookmarkEnd w:id="8"/>
      <w:r>
        <w:rPr>
          <w:rFonts w:ascii="Times New Roman" w:hAnsi="Times New Roman" w:eastAsia="仿宋_GB2312" w:cs="仿宋_GB2312"/>
          <w:b w:val="0"/>
          <w:color w:val="000000"/>
          <w:sz w:val="32"/>
          <w:szCs w:val="32"/>
          <w:highlight w:val="none"/>
        </w:rPr>
      </w:r>
      <w:r/>
    </w:p>
    <w:p>
      <w:pPr>
        <w:pStyle w:val="954"/>
        <w:ind w:left="0" w:firstLine="640"/>
        <w:rPr>
          <w:b w:val="0"/>
          <w:color w:val="000000"/>
          <w:highlight w:val="none"/>
        </w:rPr>
      </w:pPr>
      <w:r/>
      <w:bookmarkStart w:id="9" w:name="_Toc35393804"/>
      <w:r/>
      <w:bookmarkStart w:id="10" w:name="_Toc35393635"/>
      <w:r/>
      <w:bookmarkStart w:id="11" w:name="_Toc28359095"/>
      <w:r/>
      <w:bookmarkStart w:id="12" w:name="_Toc28359018"/>
      <w:r/>
      <w:bookmarkStart w:id="13" w:name="_Toc35393805"/>
      <w:r/>
      <w:bookmarkStart w:id="14" w:name="_Toc35393636"/>
      <w:r>
        <w:rPr>
          <w:rFonts w:hint="eastAsia"/>
          <w:color w:val="000000"/>
          <w:highlight w:val="none"/>
          <w:lang w:eastAsia="zh-CN"/>
        </w:rPr>
        <w:t xml:space="preserve">三、</w:t>
      </w:r>
      <w:r>
        <w:rPr>
          <w:color w:val="000000"/>
          <w:highlight w:val="none"/>
        </w:rPr>
        <w:t xml:space="preserve">获取采购文件</w:t>
      </w:r>
      <w:r>
        <w:rPr>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时间</w:t>
      </w:r>
      <w:r>
        <w:rPr>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t xml:space="preserve">自磋商文件公告发布之日起5个</w:t>
      </w:r>
      <w:r>
        <w:rPr>
          <w:rFonts w:ascii="Times New Roman" w:hAnsi="Times New Roman" w:eastAsia="仿宋_GB2312" w:cs="仿宋_GB2312"/>
          <w:color w:val="000000"/>
          <w:sz w:val="32"/>
          <w:szCs w:val="32"/>
          <w:highlight w:val="none"/>
        </w:rPr>
        <w:t xml:space="preserve">工作</w:t>
      </w:r>
      <w:r>
        <w:rPr>
          <w:rFonts w:ascii="Times New Roman" w:hAnsi="Times New Roman" w:eastAsia="仿宋_GB2312" w:cs="仿宋_GB2312"/>
          <w:color w:val="000000"/>
          <w:sz w:val="32"/>
          <w:szCs w:val="32"/>
          <w:highlight w:val="none"/>
        </w:rPr>
        <w:t xml:space="preserve">日</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地点：苏采云</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14:ligatures w14:val="none"/>
        </w:rPr>
      </w:pPr>
      <w:r>
        <w:rPr>
          <w:rFonts w:ascii="Times New Roman" w:hAnsi="Times New Roman" w:eastAsia="仿宋_GB2312" w:cs="仿宋_GB2312"/>
          <w:color w:val="000000"/>
          <w:sz w:val="32"/>
          <w:szCs w:val="32"/>
          <w:highlight w:val="none"/>
        </w:rPr>
        <w:t xml:space="preserve">方式</w:t>
      </w:r>
      <w:r>
        <w:rPr>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t xml:space="preserve">线上获取</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售价：0.00元</w:t>
      </w:r>
      <w:r>
        <w:rPr>
          <w:rFonts w:ascii="Times New Roman" w:hAnsi="Times New Roman" w:eastAsia="仿宋_GB2312" w:cs="仿宋_GB2312"/>
          <w:color w:val="000000"/>
          <w:sz w:val="32"/>
          <w:szCs w:val="32"/>
          <w:highlight w:val="none"/>
        </w:rPr>
      </w:r>
      <w:r/>
    </w:p>
    <w:p>
      <w:pPr>
        <w:pStyle w:val="954"/>
        <w:ind w:left="0" w:firstLine="640"/>
        <w:rPr>
          <w:b w:val="0"/>
          <w:color w:val="000000"/>
          <w:highlight w:val="none"/>
        </w:rPr>
      </w:pPr>
      <w:r>
        <w:rPr>
          <w:rFonts w:hint="eastAsia"/>
          <w:color w:val="000000"/>
          <w:highlight w:val="none"/>
          <w:lang w:eastAsia="zh-CN"/>
        </w:rPr>
        <w:t xml:space="preserve">四、</w:t>
      </w:r>
      <w:r>
        <w:rPr>
          <w:color w:val="000000"/>
          <w:highlight w:val="none"/>
        </w:rPr>
        <w:t xml:space="preserve">响应文件提交</w:t>
      </w:r>
      <w:r>
        <w:rPr>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截止时间：2026-08-11   9:30（北京时间）</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地点：苏采云</w:t>
      </w:r>
      <w:r>
        <w:rPr>
          <w:rFonts w:ascii="Times New Roman" w:hAnsi="Times New Roman" w:eastAsia="仿宋_GB2312" w:cs="仿宋_GB2312"/>
          <w:color w:val="000000"/>
          <w:sz w:val="32"/>
          <w:szCs w:val="32"/>
          <w:highlight w:val="none"/>
        </w:rPr>
      </w:r>
      <w:r/>
    </w:p>
    <w:p>
      <w:pPr>
        <w:pStyle w:val="954"/>
        <w:ind w:left="0" w:firstLine="640"/>
        <w:rPr>
          <w:b w:val="0"/>
          <w:color w:val="000000"/>
          <w:highlight w:val="none"/>
        </w:rPr>
      </w:pPr>
      <w:r>
        <w:rPr>
          <w:rFonts w:hint="eastAsia"/>
          <w:color w:val="000000"/>
          <w:highlight w:val="none"/>
          <w:lang w:eastAsia="zh-CN"/>
        </w:rPr>
        <w:t xml:space="preserve">五、</w:t>
      </w:r>
      <w:r>
        <w:rPr>
          <w:color w:val="000000"/>
          <w:highlight w:val="none"/>
        </w:rPr>
        <w:t xml:space="preserve">开启</w:t>
      </w:r>
      <w:r>
        <w:rPr>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时间：2026-08-11   9:30（北京时间）</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地点：苏州市市辖区政府采购不见面虚拟开标室（本项目属于网上投标，响应单位无需到现场）</w:t>
      </w:r>
      <w:r>
        <w:rPr>
          <w:rFonts w:ascii="Times New Roman" w:hAnsi="Times New Roman" w:eastAsia="仿宋_GB2312" w:cs="仿宋_GB2312"/>
          <w:color w:val="000000"/>
          <w:sz w:val="32"/>
          <w:szCs w:val="32"/>
          <w:highlight w:val="none"/>
        </w:rPr>
      </w:r>
      <w:r/>
    </w:p>
    <w:p>
      <w:pPr>
        <w:pStyle w:val="954"/>
        <w:ind w:left="0" w:firstLine="640"/>
        <w:rPr>
          <w:b w:val="0"/>
          <w:color w:val="000000"/>
          <w:highlight w:val="none"/>
        </w:rPr>
      </w:pPr>
      <w:r>
        <w:rPr>
          <w:rFonts w:hint="eastAsia"/>
          <w:color w:val="000000"/>
          <w:highlight w:val="none"/>
          <w:lang w:eastAsia="zh-CN"/>
        </w:rPr>
        <w:t xml:space="preserve">六、</w:t>
      </w:r>
      <w:r>
        <w:rPr>
          <w:color w:val="000000"/>
          <w:highlight w:val="none"/>
        </w:rPr>
        <w:t xml:space="preserve">公告期限</w:t>
      </w:r>
      <w:r>
        <w:rPr>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自本公告发布之日起3个工作日。</w:t>
      </w:r>
      <w:bookmarkEnd w:id="9"/>
      <w:r/>
      <w:bookmarkEnd w:id="10"/>
      <w:r>
        <w:rPr>
          <w:rFonts w:ascii="Times New Roman" w:hAnsi="Times New Roman" w:eastAsia="仿宋_GB2312" w:cs="仿宋_GB2312"/>
          <w:color w:val="000000"/>
          <w:sz w:val="32"/>
          <w:szCs w:val="32"/>
          <w:highlight w:val="none"/>
        </w:rPr>
      </w:r>
      <w:r/>
    </w:p>
    <w:p>
      <w:pPr>
        <w:pStyle w:val="954"/>
        <w:ind w:left="0" w:firstLine="640"/>
        <w:rPr>
          <w:b w:val="0"/>
          <w:color w:val="000000"/>
          <w:highlight w:val="none"/>
        </w:rPr>
      </w:pPr>
      <w:r>
        <w:rPr>
          <w:rFonts w:hint="eastAsia"/>
          <w:color w:val="000000"/>
          <w:highlight w:val="none"/>
          <w:lang w:eastAsia="zh-CN"/>
        </w:rPr>
        <w:t xml:space="preserve">七、</w:t>
      </w:r>
      <w:r>
        <w:rPr>
          <w:color w:val="000000"/>
          <w:highlight w:val="none"/>
        </w:rPr>
        <w:t xml:space="preserve">其他补充事宜</w:t>
      </w:r>
      <w:r>
        <w:rPr>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本项目需要使用CA数字证书制作、上传电子投标文件完成电子投标，请供应商在参加投标活动前办理好CA数字证书申领及电子签章等操作。</w:t>
      </w:r>
      <w:r>
        <w:rPr>
          <w:rFonts w:ascii="Times New Roman" w:hAnsi="Times New Roman" w:eastAsia="仿宋_GB2312" w:cs="仿宋_GB2312"/>
          <w:b w:val="0"/>
          <w:color w:val="000000"/>
          <w:sz w:val="32"/>
          <w:szCs w:val="32"/>
          <w:highlight w:val="none"/>
        </w:rPr>
      </w:r>
      <w:r/>
    </w:p>
    <w:p>
      <w:pPr>
        <w:pStyle w:val="783"/>
        <w:ind w:firstLine="636"/>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有关供应商注册、获取采购文件、下载电子招标文件、制作上传电子投标文件、不见面开标及其他注意事项登录苏州政府采</w:t>
      </w:r>
      <w:r>
        <w:rPr>
          <w:rFonts w:ascii="Times New Roman" w:hAnsi="Times New Roman" w:eastAsia="仿宋_GB2312" w:cs="仿宋_GB2312"/>
          <w:color w:val="000000"/>
          <w:spacing w:val="7"/>
          <w:sz w:val="32"/>
          <w:szCs w:val="32"/>
          <w:highlight w:val="none"/>
        </w:rPr>
        <w:t xml:space="preserve">购网，在“下载中心”栏目下</w:t>
      </w:r>
      <w:r>
        <w:rPr>
          <w:rFonts w:ascii="Times New Roman" w:hAnsi="Times New Roman" w:eastAsia="仿宋_GB2312" w:cs="仿宋_GB2312"/>
          <w:color w:val="000000"/>
          <w:spacing w:val="8"/>
          <w:sz w:val="32"/>
          <w:szCs w:val="32"/>
          <w:highlight w:val="none"/>
        </w:rPr>
        <w:t xml:space="preserve">载</w:t>
      </w:r>
      <w:r>
        <w:rPr>
          <w:rFonts w:ascii="Times New Roman" w:hAnsi="Times New Roman" w:eastAsia="仿宋_GB2312" w:cs="仿宋_GB2312"/>
          <w:color w:val="000000"/>
          <w:spacing w:val="7"/>
          <w:sz w:val="32"/>
          <w:szCs w:val="32"/>
          <w:highlight w:val="none"/>
        </w:rPr>
        <w:t xml:space="preserve">“苏采云系统供应商操作手册</w:t>
      </w:r>
      <w:r>
        <w:rPr>
          <w:rFonts w:ascii="Times New Roman" w:hAnsi="Times New Roman" w:eastAsia="仿宋_GB2312" w:cs="仿宋_GB2312"/>
          <w:color w:val="000000"/>
          <w:spacing w:val="-6"/>
          <w:sz w:val="32"/>
          <w:szCs w:val="32"/>
          <w:highlight w:val="none"/>
        </w:rPr>
        <w:t xml:space="preserve">”</w:t>
      </w:r>
      <w:r>
        <w:rPr>
          <w:rFonts w:ascii="Times New Roman" w:hAnsi="Times New Roman" w:eastAsia="仿宋_GB2312" w:cs="仿宋_GB2312"/>
          <w:color w:val="000000"/>
          <w:sz w:val="32"/>
          <w:szCs w:val="32"/>
          <w:highlight w:val="none"/>
        </w:rPr>
        <w:t xml:space="preserve">查阅。</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供应商在获取采购文件、下载、制作采购文件过程中如有软件操作方面疑问，请拨打（1）注册咨询：13914088964；（2）CA技术咨询电话：400－608－6099；（3）签章使用问题：025－83633811、025－83633812、15380932027、15371015030；（4）系统使用指导与咨询：联系电话：13914088964；智能客服：登录苏采云系统后，联系系统右下方智能客服图标进行咨询。</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采购文件获取（网上获取）</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楷体_GB2312" w:hAnsi="楷体_GB2312" w:eastAsia="楷体_GB2312" w:cs="楷体_GB2312"/>
          <w:b w:val="0"/>
          <w:color w:val="000000"/>
          <w:sz w:val="32"/>
          <w:szCs w:val="32"/>
          <w:highlight w:val="none"/>
        </w:rPr>
      </w:pPr>
      <w:r>
        <w:rPr>
          <w:rStyle w:val="957"/>
          <w:rFonts w:hint="eastAsia" w:eastAsia="楷体_GB2312"/>
          <w:color w:val="000000"/>
          <w:highlight w:val="none"/>
          <w:lang w:eastAsia="zh-CN"/>
        </w:rPr>
        <w:t xml:space="preserve">（一）</w:t>
      </w:r>
      <w:r>
        <w:rPr>
          <w:rStyle w:val="957"/>
          <w:color w:val="000000"/>
          <w:highlight w:val="none"/>
        </w:rPr>
        <w:t xml:space="preserve">申领CA证书</w:t>
      </w:r>
      <w:r>
        <w:rPr>
          <w:rFonts w:ascii="Times New Roman" w:hAnsi="Times New Roman" w:eastAsia="仿宋_GB2312" w:cs="仿宋_GB2312"/>
          <w:color w:val="000000"/>
          <w:sz w:val="32"/>
          <w:szCs w:val="32"/>
          <w:highlight w:val="none"/>
        </w:rPr>
        <w:t xml:space="preserve">：</w:t>
      </w:r>
      <w:r>
        <w:rPr>
          <w:rFonts w:hint="eastAsia" w:ascii="楷体_GB2312" w:hAnsi="楷体_GB2312" w:eastAsia="楷体_GB2312" w:cs="楷体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Times New Roman" w:hAnsi="Times New Roman" w:eastAsia="仿宋_GB2312" w:cs="仿宋_GB2312"/>
          <w:color w:val="000000"/>
          <w:sz w:val="32"/>
          <w:szCs w:val="32"/>
          <w:highlight w:val="none"/>
        </w:rPr>
      </w:r>
      <w:r/>
    </w:p>
    <w:p>
      <w:pPr>
        <w:pStyle w:val="783"/>
        <w:ind w:left="0" w:firstLine="616"/>
        <w:widowControl/>
        <w:rPr>
          <w:rFonts w:hint="eastAsia" w:ascii="楷体_GB2312" w:hAnsi="楷体_GB2312" w:eastAsia="楷体_GB2312" w:cs="楷体_GB2312"/>
          <w:b w:val="0"/>
          <w:color w:val="000000"/>
          <w:sz w:val="32"/>
          <w:szCs w:val="32"/>
          <w:highlight w:val="none"/>
        </w:rPr>
      </w:pPr>
      <w:r>
        <w:rPr>
          <w:rStyle w:val="957"/>
          <w:rFonts w:hint="eastAsia" w:eastAsia="楷体_GB2312"/>
          <w:color w:val="000000"/>
          <w:highlight w:val="none"/>
          <w:lang w:eastAsia="zh-CN"/>
        </w:rPr>
        <w:t xml:space="preserve">（二）</w:t>
      </w:r>
      <w:r>
        <w:rPr>
          <w:rStyle w:val="957"/>
          <w:color w:val="000000"/>
          <w:highlight w:val="none"/>
        </w:rPr>
        <w:t xml:space="preserve">登录</w:t>
      </w:r>
      <w:r>
        <w:rPr>
          <w:rFonts w:ascii="Times New Roman" w:hAnsi="Times New Roman" w:eastAsia="仿宋_GB2312" w:cs="仿宋_GB2312"/>
          <w:color w:val="000000"/>
          <w:sz w:val="32"/>
          <w:szCs w:val="32"/>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楷体_GB2312" w:hAnsi="楷体_GB2312" w:eastAsia="楷体_GB2312" w:cs="楷体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制作、提交电子响应文件：</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4.1</w:t>
      </w:r>
      <w:r>
        <w:rPr>
          <w:rFonts w:ascii="Times New Roman" w:hAnsi="Times New Roman" w:eastAsia="仿宋_GB2312" w:cs="仿宋_GB2312"/>
          <w:color w:val="000000"/>
          <w:sz w:val="32"/>
          <w:szCs w:val="32"/>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4.2</w:t>
      </w:r>
      <w:r>
        <w:rPr>
          <w:rFonts w:ascii="Times New Roman" w:hAnsi="Times New Roman" w:eastAsia="仿宋_GB2312" w:cs="仿宋_GB2312"/>
          <w:color w:val="000000"/>
          <w:sz w:val="32"/>
          <w:szCs w:val="32"/>
          <w:highlight w:val="none"/>
        </w:rPr>
        <w:t xml:space="preserve">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4.3</w:t>
      </w:r>
      <w:r>
        <w:rPr>
          <w:rFonts w:ascii="Times New Roman" w:hAnsi="Times New Roman" w:eastAsia="仿宋_GB2312" w:cs="仿宋_GB2312"/>
          <w:color w:val="000000"/>
          <w:sz w:val="32"/>
          <w:szCs w:val="32"/>
          <w:highlight w:val="none"/>
        </w:rPr>
        <w:t xml:space="preserve">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hint="eastAsia" w:ascii="仿宋" w:hAnsi="仿宋" w:eastAsia="仿宋" w:cs="仿宋"/>
          <w:color w:val="000000"/>
          <w:spacing w:val="-6"/>
          <w:sz w:val="32"/>
          <w:szCs w:val="32"/>
          <w:highlight w:val="none"/>
          <w:lang w:eastAsia="zh-CN"/>
        </w:rPr>
        <w:t xml:space="preserve"> </w:t>
      </w:r>
      <w:r>
        <w:rPr>
          <w:rFonts w:ascii="Times New Roman" w:hAnsi="Times New Roman" w:eastAsia="仿宋_GB2312" w:cs="仿宋_GB2312"/>
          <w:color w:val="000000"/>
          <w:sz w:val="32"/>
          <w:szCs w:val="32"/>
          <w:highlight w:val="none"/>
        </w:rPr>
        <w:t xml:space="preserve">开标</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5.1本项目采用不见面开标，响应单位开标时无需到开标现场进行解密，采取网上开标大厅解密电子投标文件，响应单位远程解密要求如下：</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响应单位使用CA数字证书进行远程解密，解密的CA数字证书与生成加密电子投标文件时的CA数字证书需为同一个CA数字证书，否则无法解密，造成的后果由响应单位自行负责。</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响应单位登录苏采云系统，点击开标大厅，选择开标项目，完成不见面开标流程。</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投标截止时间后根据系统提示解密电子投标文件。解密时间为30分钟，未在规定时间内完成解密，其投标文件将被拒绝，不参与后续投标流程。</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在开标、评标过程中响应单位代表须在网上不见面开标系统中保持在线状态，以应对可能发生的澄清、说明等回复，由</w:t>
      </w:r>
      <w:r>
        <w:rPr>
          <w:rFonts w:ascii="Times New Roman" w:hAnsi="Times New Roman" w:eastAsia="仿宋_GB2312" w:cs="仿宋_GB2312"/>
          <w:color w:val="000000"/>
          <w:spacing w:val="6"/>
          <w:sz w:val="32"/>
          <w:szCs w:val="32"/>
          <w:highlight w:val="none"/>
        </w:rPr>
        <w:t xml:space="preserve">于响应单位代表不在线所造成的一切后果由响应单位自</w:t>
      </w:r>
      <w:r>
        <w:rPr>
          <w:rFonts w:ascii="Times New Roman" w:hAnsi="Times New Roman" w:eastAsia="仿宋_GB2312" w:cs="仿宋_GB2312"/>
          <w:color w:val="000000"/>
          <w:spacing w:val="-6"/>
          <w:sz w:val="32"/>
          <w:szCs w:val="32"/>
          <w:highlight w:val="none"/>
        </w:rPr>
        <w:t xml:space="preserve">行</w:t>
      </w:r>
      <w:r>
        <w:rPr>
          <w:rFonts w:hint="eastAsia" w:cs="仿宋_GB2312"/>
          <w:color w:val="000000"/>
          <w:spacing w:val="0"/>
          <w:sz w:val="32"/>
          <w:szCs w:val="32"/>
          <w:highlight w:val="none"/>
          <w:lang w:val="en-US" w:eastAsia="zh-CN"/>
        </w:rPr>
        <w:t xml:space="preserve">承</w:t>
      </w:r>
      <w:r>
        <w:rPr>
          <w:rFonts w:ascii="Times New Roman" w:hAnsi="Times New Roman" w:eastAsia="仿宋_GB2312" w:cs="仿宋_GB2312"/>
          <w:color w:val="000000"/>
          <w:sz w:val="32"/>
          <w:szCs w:val="32"/>
          <w:highlight w:val="none"/>
        </w:rPr>
        <w:t xml:space="preserve">担。</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w:t>
      </w:r>
      <w:r>
        <w:rPr>
          <w:rFonts w:ascii="Times New Roman" w:hAnsi="Times New Roman" w:eastAsia="仿宋_GB2312" w:cs="仿宋_GB2312"/>
          <w:color w:val="000000"/>
          <w:sz w:val="32"/>
          <w:szCs w:val="32"/>
          <w:highlight w:val="none"/>
        </w:rPr>
        <w:t xml:space="preserve">投标保证金：本项目无需缴纳投标保证金。</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8.</w:t>
      </w:r>
      <w:r>
        <w:rPr>
          <w:rFonts w:ascii="Times New Roman" w:hAnsi="Times New Roman" w:eastAsia="仿宋_GB2312" w:cs="仿宋_GB2312"/>
          <w:color w:val="000000"/>
          <w:sz w:val="32"/>
          <w:szCs w:val="32"/>
          <w:highlight w:val="none"/>
        </w:rPr>
        <w:t xml:space="preserve">政府采购履约资金扶持政策：中标供应商可凭政府采购合同办理融资贷款，详情请见江苏政府采购网“政采贷”专栏。</w:t>
      </w:r>
      <w:r>
        <w:rPr>
          <w:rFonts w:ascii="Times New Roman" w:hAnsi="Times New Roman" w:eastAsia="仿宋_GB2312" w:cs="仿宋_GB2312"/>
          <w:b w:val="0"/>
          <w:color w:val="000000"/>
          <w:sz w:val="32"/>
          <w:szCs w:val="32"/>
          <w:highlight w:val="none"/>
        </w:rPr>
      </w:r>
      <w:r/>
    </w:p>
    <w:p>
      <w:pPr>
        <w:pStyle w:val="954"/>
        <w:ind w:left="0" w:firstLine="640"/>
        <w:rPr>
          <w:b w:val="0"/>
          <w:color w:val="000000"/>
          <w:highlight w:val="none"/>
        </w:rPr>
      </w:pPr>
      <w:r>
        <w:rPr>
          <w:rFonts w:hint="eastAsia"/>
          <w:color w:val="000000"/>
          <w:highlight w:val="none"/>
          <w:lang w:eastAsia="zh-CN"/>
        </w:rPr>
        <w:t xml:space="preserve">八、</w:t>
      </w:r>
      <w:r>
        <w:rPr>
          <w:color w:val="000000"/>
          <w:highlight w:val="none"/>
        </w:rPr>
        <w:t xml:space="preserve">凡对本次采购提出询问，请按以下方式联系</w:t>
      </w:r>
      <w:bookmarkEnd w:id="11"/>
      <w:r/>
      <w:bookmarkEnd w:id="12"/>
      <w:r/>
      <w:bookmarkEnd w:id="13"/>
      <w:r/>
      <w:bookmarkEnd w:id="14"/>
      <w:r>
        <w:rPr>
          <w:b w:val="0"/>
          <w:color w:val="000000"/>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（一）</w:t>
      </w:r>
      <w:r>
        <w:rPr>
          <w:color w:val="000000"/>
          <w:highlight w:val="none"/>
        </w:rPr>
        <w:t xml:space="preserve">采购人信息</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采购人：苏州市虎丘区人民法院</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    址：苏州市高新区科秀路8号 </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联 系 人：李 阳</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电    话：0512－68758170</w:t>
      </w:r>
      <w:r>
        <w:rPr>
          <w:rFonts w:ascii="Times New Roman" w:hAnsi="Times New Roman" w:eastAsia="仿宋_GB2312" w:cs="仿宋_GB2312"/>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（二）</w:t>
      </w:r>
      <w:r>
        <w:rPr>
          <w:color w:val="000000"/>
          <w:highlight w:val="none"/>
        </w:rPr>
        <w:t xml:space="preserve">采购代理机构信息</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名 称：苏州市卫康招投标咨询服务有限公司</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　址：苏州市干将西路1296号深业姑苏中心17层</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联系方式：0512－69165625</w:t>
      </w:r>
      <w:r>
        <w:rPr>
          <w:rFonts w:ascii="Times New Roman" w:hAnsi="Times New Roman" w:eastAsia="仿宋_GB2312" w:cs="仿宋_GB2312"/>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（三）</w:t>
      </w:r>
      <w:r>
        <w:rPr>
          <w:color w:val="000000"/>
          <w:highlight w:val="none"/>
        </w:rPr>
        <w:t xml:space="preserve">项目联系方式：</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项目联系人：华 琤、左 鑫</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电　话：0512－69165617</w:t>
      </w:r>
      <w:r>
        <w:rPr>
          <w:rFonts w:ascii="Times New Roman" w:hAnsi="Times New Roman" w:eastAsia="仿宋_GB2312" w:cs="仿宋_GB2312"/>
          <w:color w:val="000000"/>
          <w:sz w:val="32"/>
          <w:szCs w:val="32"/>
          <w:highlight w:val="none"/>
        </w:rPr>
      </w:r>
      <w:r/>
    </w:p>
    <w:p>
      <w:pPr>
        <w:pStyle w:val="777"/>
        <w:rPr>
          <w:b w:val="0"/>
          <w:bCs w:val="0"/>
          <w:color w:val="000000"/>
          <w:highlight w:val="none"/>
        </w:rPr>
      </w:pPr>
      <w:r>
        <w:rPr>
          <w:color w:val="000000"/>
          <w:highlight w:val="none"/>
        </w:rPr>
        <w:br w:type="page" w:clear="all"/>
      </w:r>
      <w:r>
        <w:rPr>
          <w:b w:val="0"/>
          <w:bCs w:val="0"/>
          <w:color w:val="000000"/>
          <w:highlight w:val="none"/>
        </w:rPr>
      </w:r>
      <w:r/>
    </w:p>
    <w:p>
      <w:pPr>
        <w:pStyle w:val="969"/>
        <w:rPr>
          <w:color w:val="000000"/>
          <w:highlight w:val="none"/>
        </w:rPr>
      </w:pPr>
      <w:r>
        <w:rPr>
          <w:rFonts w:hint="eastAsia"/>
          <w:color w:val="000000"/>
          <w:highlight w:val="none"/>
          <w:lang w:eastAsia="zh-CN"/>
        </w:rPr>
        <w:t xml:space="preserve">第二章</w:t>
      </w:r>
      <w:r>
        <w:rPr>
          <w:rFonts w:hint="eastAsia" w:ascii="仿宋" w:hAnsi="仿宋" w:eastAsia="仿宋" w:cs="仿宋"/>
          <w:bCs/>
          <w:color w:val="000000"/>
          <w:spacing w:val="-6"/>
          <w:sz w:val="32"/>
          <w:szCs w:val="32"/>
          <w:highlight w:val="none"/>
          <w:lang w:eastAsia="zh-CN" w:bidi="ar-SA"/>
        </w:rPr>
        <w:t xml:space="preserve"> </w:t>
      </w:r>
      <w:r>
        <w:rPr>
          <w:color w:val="000000"/>
          <w:highlight w:val="none"/>
        </w:rPr>
        <w:t xml:space="preserve">供应商须知</w:t>
      </w:r>
      <w:r>
        <w:rPr>
          <w:color w:val="000000"/>
          <w:highlight w:val="none"/>
        </w:rPr>
      </w:r>
      <w:r/>
    </w:p>
    <w:p>
      <w:pPr>
        <w:pStyle w:val="954"/>
        <w:ind w:left="0" w:firstLine="640"/>
        <w:rPr>
          <w:rFonts w:hint="eastAsia"/>
          <w:color w:val="000000"/>
          <w:highlight w:val="none"/>
          <w:lang w:eastAsia="zh-CN"/>
        </w:rPr>
      </w:pPr>
      <w:r>
        <w:rPr>
          <w:rFonts w:hint="eastAsia"/>
          <w:color w:val="000000"/>
          <w:highlight w:val="none"/>
          <w:lang w:val="en-US" w:eastAsia="zh-CN"/>
        </w:rPr>
        <w:t xml:space="preserve">一、</w:t>
      </w:r>
      <w:r>
        <w:rPr>
          <w:rFonts w:hint="eastAsia"/>
          <w:color w:val="000000"/>
          <w:highlight w:val="none"/>
          <w:lang w:eastAsia="zh-CN"/>
        </w:rPr>
        <w:t xml:space="preserve">合格磋商供应商的资格条件</w:t>
      </w:r>
      <w:r>
        <w:rPr>
          <w:rFonts w:hint="eastAsia"/>
          <w:color w:val="000000"/>
          <w:highlight w:val="none"/>
          <w:lang w:eastAsia="zh-CN"/>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详见采购公告。</w:t>
      </w:r>
      <w:r>
        <w:rPr>
          <w:rFonts w:ascii="Times New Roman" w:hAnsi="Times New Roman" w:eastAsia="仿宋_GB2312" w:cs="仿宋_GB2312"/>
          <w:color w:val="000000"/>
          <w:sz w:val="32"/>
          <w:szCs w:val="32"/>
          <w:highlight w:val="none"/>
        </w:rPr>
      </w:r>
      <w:r/>
    </w:p>
    <w:p>
      <w:pPr>
        <w:pStyle w:val="954"/>
        <w:ind w:left="0" w:firstLine="640"/>
        <w:tabs>
          <w:tab w:val="left" w:pos="7515" w:leader="none"/>
        </w:tabs>
        <w:rPr>
          <w:rFonts w:hint="eastAsia"/>
          <w:color w:val="000000"/>
          <w:highlight w:val="none"/>
          <w:lang w:val="en-US" w:eastAsia="zh-CN"/>
        </w:rPr>
      </w:pPr>
      <w:r>
        <w:rPr>
          <w:rFonts w:hint="eastAsia"/>
          <w:color w:val="000000"/>
          <w:highlight w:val="none"/>
          <w:lang w:val="en-US" w:eastAsia="zh-CN"/>
        </w:rPr>
        <w:t xml:space="preserve">二、落实政府采购政策需满足的资格要求</w:t>
      </w:r>
      <w:r>
        <w:tab/>
      </w:r>
      <w:r>
        <w:rPr>
          <w:rFonts w:hint="eastAsia"/>
          <w:color w:val="000000"/>
          <w:highlight w:val="none"/>
          <w:lang w:val="en-US" w:eastAsia="zh-CN"/>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详见采购公告。</w:t>
      </w:r>
      <w:r>
        <w:rPr>
          <w:rFonts w:ascii="Times New Roman" w:hAnsi="Times New Roman" w:eastAsia="仿宋_GB2312" w:cs="仿宋_GB2312"/>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三、联合体响应：不接受。</w:t>
      </w:r>
      <w:r>
        <w:rPr>
          <w:rFonts w:hint="eastAsia"/>
          <w:color w:val="000000"/>
          <w:highlight w:val="none"/>
          <w:lang w:val="en-US" w:eastAsia="zh-CN"/>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四、转包、分包与磋商费用</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本项目不允许转包或分包。</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无论磋商过程中的做法和结果如何，磋商供应商自行承担所有与参加磋商有关的全部费用。</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五、磋商采购文件</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（一）</w:t>
      </w:r>
      <w:r>
        <w:rPr>
          <w:rFonts w:ascii="Times New Roman" w:hAnsi="Times New Roman" w:eastAsia="仿宋_GB2312" w:cs="仿宋_GB2312"/>
          <w:color w:val="000000"/>
          <w:sz w:val="32"/>
          <w:szCs w:val="32"/>
          <w:highlight w:val="none"/>
        </w:rPr>
        <w:t xml:space="preserve">磋商采购文件的内容如下：</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竞争性磋商公告</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供应商须知</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采购需求</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评审方法及标准</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合同主要条款</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附件格式</w:t>
      </w:r>
      <w:r>
        <w:rPr>
          <w:rFonts w:ascii="Times New Roman" w:hAnsi="Times New Roman" w:eastAsia="仿宋_GB2312" w:cs="仿宋_GB2312"/>
          <w:color w:val="000000"/>
          <w:sz w:val="32"/>
          <w:szCs w:val="32"/>
          <w:highlight w:val="none"/>
        </w:rPr>
      </w:r>
      <w:r/>
    </w:p>
    <w:p>
      <w:pPr>
        <w:pStyle w:val="783"/>
        <w:ind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（二）</w:t>
      </w:r>
      <w:r>
        <w:rPr>
          <w:rFonts w:ascii="Times New Roman" w:hAnsi="Times New Roman" w:eastAsia="仿宋_GB2312" w:cs="仿宋_GB2312"/>
          <w:color w:val="000000"/>
          <w:sz w:val="32"/>
          <w:szCs w:val="32"/>
          <w:highlight w:val="none"/>
        </w:rPr>
        <w:t xml:space="preserve">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六、磋商文件的澄清和修改</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磋商文件的澄清、修改等内容与竞争性磋商文件在同一内容的表述上不一致时，以发出日期最接近磋商时间的公告为准。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磋商文件的澄清、修改等内容均将在财政部门指定的政府采购信息发布媒体上发布，作为磋商文件的组成部分，对供应商起约束作用。</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七、响应文件计量单位和使用文字</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响应文件中所使用的计量单位，除竞争性磋商文件中有特殊要求外，均应使用中华人民共和国法定计量单位。</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八、磋商响应文件的组成：（部分格式见附件）</w:t>
      </w:r>
      <w:r>
        <w:rPr>
          <w:rFonts w:hint="eastAsia"/>
          <w:color w:val="000000"/>
          <w:highlight w:val="none"/>
          <w:lang w:val="en-US" w:eastAsia="zh-CN"/>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（一）</w:t>
      </w:r>
      <w:r>
        <w:rPr>
          <w:color w:val="000000"/>
          <w:highlight w:val="none"/>
        </w:rPr>
        <w:t xml:space="preserve">封面</w:t>
      </w:r>
      <w:r>
        <w:rPr>
          <w:rFonts w:hint="eastAsia" w:ascii="楷体_GB2312" w:hAnsi="楷体_GB2312" w:eastAsia="楷体_GB2312" w:cs="楷体_GB2312"/>
          <w:b w:val="0"/>
          <w:color w:val="000000"/>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（二）</w:t>
      </w:r>
      <w:r>
        <w:rPr>
          <w:color w:val="000000"/>
          <w:highlight w:val="none"/>
        </w:rPr>
        <w:t xml:space="preserve">开标一览表</w:t>
      </w:r>
      <w:r>
        <w:rPr>
          <w:rFonts w:hint="eastAsia" w:ascii="楷体_GB2312" w:hAnsi="楷体_GB2312" w:eastAsia="楷体_GB2312" w:cs="楷体_GB2312"/>
          <w:b w:val="0"/>
          <w:color w:val="000000"/>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（三）</w:t>
      </w:r>
      <w:r>
        <w:rPr>
          <w:color w:val="000000"/>
          <w:highlight w:val="none"/>
        </w:rPr>
        <w:t xml:space="preserve">资格证明材料（不提供或者提供不符合要求的视为不符合资格条件要求，为无效响应）：</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企业营业执照副本复印件；授权委托书（如有），法人及代理人身份证复印件（如有授权）；</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响应单位经审计过的最新一期年度完整财务报告扫描件或响应单位基本开户银行出具的资信证明原件扫描件；</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符合履行合同所必备的设备和专业技术能力的证明材料；如人员信息、投入设备情况；</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最近一期企业依法缴纳税收的凭据和依法缴纳社会保险的凭据复印件；</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参加政府采购活动前3年内在经营活动中没有重大违法记录的书面声明；</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残疾人福利性单位声明函（如有），未提供视为非残疾人福利性单位，不视同小微企业，不享受残疾人福利性单位政策；【如提供此函，上传的声明函必须加盖公章，否则视为未提供】</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w:t>
      </w:r>
      <w:r>
        <w:rPr>
          <w:rFonts w:ascii="Times New Roman" w:hAnsi="Times New Roman" w:eastAsia="仿宋_GB2312" w:cs="仿宋_GB2312"/>
          <w:color w:val="000000"/>
          <w:sz w:val="32"/>
          <w:szCs w:val="32"/>
          <w:highlight w:val="none"/>
        </w:rPr>
        <w:t xml:space="preserve">监狱企业的相关证明材料（如有），由省级以上监狱管理局、戒毒管理局（含新疆生产建设兵团）出具，未提供视为非监狱企业，不视同小微企业，不享受监狱企业政策；【如提供此函，上传的证明文件必须加盖公章，否则视为未提供】</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（四）</w:t>
      </w:r>
      <w:r>
        <w:rPr>
          <w:color w:val="000000"/>
          <w:highlight w:val="none"/>
        </w:rPr>
        <w:t xml:space="preserve">符合性响应证明材料</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磋商报价明细分析表；</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商务条款偏离表；</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服务响应对照表；</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（五）</w:t>
      </w:r>
      <w:r>
        <w:rPr>
          <w:color w:val="000000"/>
          <w:highlight w:val="none"/>
        </w:rPr>
        <w:t xml:space="preserve">综合评审评分材料：</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与本次磋商采购相关的其他资料及评标标准中要求提供的材料；包括但不限于项目实施方案及保障措施、服务方案、相关制度、证书、业绩、承诺函及其他材料、证明等。</w:t>
      </w:r>
      <w:r>
        <w:rPr>
          <w:rFonts w:ascii="Times New Roman" w:hAnsi="Times New Roman" w:eastAsia="仿宋_GB2312" w:cs="仿宋_GB2312"/>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（六）</w:t>
      </w:r>
      <w:r>
        <w:rPr>
          <w:color w:val="000000"/>
          <w:highlight w:val="none"/>
        </w:rPr>
        <w:t xml:space="preserve">企业报价折扣证明</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项目专门面向中小企业采购。磋商响应单位须提供《中小企业声明函》或提供《残疾人福利性单位声明函》或提供由省级以上监狱管理局、戒毒管理局（含新疆生产建设兵团）出具的属于监狱企业的证明文件。【必须提供，上传的声明函必须加盖公章，否则视为未提供】</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注：</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磋商响应文件由上述（一）至（六）规定的内容共同组成。磋商响应单位提交上述规定的资料，并按照“磋商响应文件的组成”将相关材料上传至相应模块。否则，投标文件将可能因资格性条件不符或未实质性响应采购文件而被拒绝。</w:t>
      </w:r>
      <w:r>
        <w:rPr>
          <w:rFonts w:ascii="Times New Roman" w:hAnsi="Times New Roman" w:eastAsia="仿宋_GB2312" w:cs="仿宋_GB2312"/>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九、网上响应文件的制作</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系统中下载招标文件后，点击“客户端下载地址”（具体详见《苏采云系统供应商操作手册》，网址链接：https：／／czju.suzhou.gov.cn／zfcg／html／content／20231220161910031.shtml），下载投标文件客户端，查看客户端使用说明。</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将下载的采购文件导入投标文件客户端，按照使用说明完成投标文件的编制和加盖电子签章。</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导出制作完成的投标文件，上传至苏采云系统。</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注：具体投标文件编制教程查看苏采云系统中的客户端使用说明和供应商《操作手册》。</w:t>
      </w:r>
      <w:r>
        <w:rPr>
          <w:rFonts w:ascii="Times New Roman" w:hAnsi="Times New Roman" w:eastAsia="仿宋_GB2312" w:cs="仿宋_GB2312"/>
          <w:color w:val="000000"/>
          <w:sz w:val="32"/>
          <w:szCs w:val="32"/>
          <w:highlight w:val="none"/>
        </w:rPr>
      </w:r>
      <w:r/>
    </w:p>
    <w:p>
      <w:pPr>
        <w:pStyle w:val="954"/>
        <w:ind w:left="0" w:firstLine="640"/>
        <w:rPr>
          <w:rFonts w:hint="eastAsia" w:ascii="仿宋_GB2312" w:hAnsi="仿宋_GB2312" w:eastAsia="仿宋_GB2312" w:cs="仿宋_GB2312"/>
          <w:b w:val="0"/>
          <w:color w:val="000000"/>
          <w:szCs w:val="32"/>
          <w:highlight w:val="none"/>
        </w:rPr>
      </w:pPr>
      <w:r>
        <w:rPr>
          <w:rFonts w:hint="eastAsia"/>
          <w:color w:val="000000"/>
          <w:highlight w:val="none"/>
          <w:lang w:val="en-US" w:eastAsia="zh-CN"/>
        </w:rPr>
        <w:t xml:space="preserve">十、</w:t>
      </w:r>
      <w:r>
        <w:rPr>
          <w:color w:val="000000"/>
          <w:highlight w:val="none"/>
        </w:rPr>
        <w:t xml:space="preserve">报价（编制）要求的说明</w:t>
      </w:r>
      <w:r>
        <w:rPr>
          <w:rFonts w:hint="eastAsia" w:ascii="仿宋_GB2312" w:hAnsi="仿宋_GB2312" w:eastAsia="仿宋_GB2312" w:cs="仿宋_GB2312"/>
          <w:b w:val="0"/>
          <w:color w:val="000000"/>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磋商报价应包括完成该标的物全部内容的一切费用。</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响应人应按《磋商报价分析表》中的全部项目计算单价和总价。《磋商报价分析表》中的每一单项均应计算并填写单价和总价，并由法定代表人或代理人签署。</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响应人应对磋商文件内所要采购的全部内容进行报价，只投其中部分内容者，其响应文件将被拒绝。</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一项响应内容只允许一个报价，采购代理机构不接受任何有选择性的响应报价。</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响应文件报价中的单价和总价全部采用人民币表示，除非合同的特殊条款另有规定。</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十一、磋商有效期</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磋商响应文件的有效期为30日历天，在此期间内，响应文件应保持有效。有效期短于这个规定期限的，将被拒绝。</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特殊情况下，磋商采购单位可与磋商供应商协商延缓磋商响应的有效期，这种要求和答复均以书面形式进行。</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磋商响应方可拒绝接受延期要求而放弃磋商，同意延长有效期的磋商响应方不能修改磋商响应文件。</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十二、磋商响应截止时间</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响应文件必须在磋商截止时间之前提交。截止时间以后提交的响应文件，采购人或采购代理机构将拒绝接收。</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采购人或者采购代理机构推迟磋商截止时间时，将以更正公告的形式，通知所有响应人。</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十三、磋商响应文件修改和撤回</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响应文件的修改应在投标截止时间前进行。</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在投标截止时间之前，响应单位可以撤回投标。</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十四、磋商评审程序</w:t>
      </w:r>
      <w:r>
        <w:rPr>
          <w:rFonts w:hint="eastAsia"/>
          <w:color w:val="000000"/>
          <w:highlight w:val="none"/>
          <w:lang w:val="en-US" w:eastAsia="zh-CN"/>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（一）</w:t>
      </w:r>
      <w:r>
        <w:rPr>
          <w:color w:val="000000"/>
          <w:highlight w:val="none"/>
        </w:rPr>
        <w:t xml:space="preserve">磋商仪式</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代理机构工作人员将在招标公告中规定的时间和地点组织磋商开标。响应单位应当按照《操作手册》规定，参加磋商开标活动和在苏采云系统规定的时间内对投标文件进行解密。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开标仪式由苏采云系统自动对项目进行开标，并宣布各响应单位名称。</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供应商在开标过程中涉及的开标解密、评审环节等待、等待</w:t>
      </w:r>
      <w:r>
        <w:rPr>
          <w:rFonts w:ascii="Times New Roman" w:hAnsi="Times New Roman" w:eastAsia="仿宋_GB2312" w:cs="仿宋_GB2312"/>
          <w:color w:val="000000"/>
          <w:spacing w:val="0"/>
          <w:sz w:val="32"/>
          <w:szCs w:val="32"/>
          <w:highlight w:val="none"/>
        </w:rPr>
        <w:t xml:space="preserve">后续多次报价、答疑澄清等操作，应按照《操作手册》规定</w:t>
      </w:r>
      <w:r>
        <w:rPr>
          <w:rFonts w:ascii="Times New Roman" w:hAnsi="Times New Roman" w:eastAsia="仿宋_GB2312" w:cs="仿宋_GB2312"/>
          <w:color w:val="000000"/>
          <w:sz w:val="32"/>
          <w:szCs w:val="32"/>
          <w:highlight w:val="none"/>
        </w:rPr>
        <w:t xml:space="preserve">执行。</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（二）</w:t>
      </w:r>
      <w:r>
        <w:rPr>
          <w:color w:val="000000"/>
          <w:highlight w:val="none"/>
        </w:rPr>
        <w:t xml:space="preserve">磋商小组</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磋商仪式结束后，采购代理机构将立即组织磋商小组（以下简称评委会）进行磋商。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（三）</w:t>
      </w:r>
      <w:r>
        <w:rPr>
          <w:color w:val="000000"/>
          <w:highlight w:val="none"/>
        </w:rPr>
        <w:t xml:space="preserve">磋商小组负责具体的磋商事务，并独立履行以下职责：</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确认或者制定磋商文件； </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审查所有供应商的资格条件和符合性响应条款；</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审查供应商的响应文件并作出评价；</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要求供应商解释或者澄清其响应文件；</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发起最终报价；</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编写评审报告；</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w:t>
      </w:r>
      <w:r>
        <w:rPr>
          <w:rFonts w:ascii="Times New Roman" w:hAnsi="Times New Roman" w:eastAsia="仿宋_GB2312" w:cs="仿宋_GB2312"/>
          <w:color w:val="000000"/>
          <w:sz w:val="32"/>
          <w:szCs w:val="32"/>
          <w:highlight w:val="none"/>
        </w:rPr>
        <w:t xml:space="preserve">告知采购人、采购代理机构在评审过程中发现的供应商的违法违规行为。</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（四）</w:t>
      </w:r>
      <w:r>
        <w:rPr>
          <w:color w:val="000000"/>
          <w:highlight w:val="none"/>
        </w:rPr>
        <w:t xml:space="preserve">磋商小组成员应当履行下列义务：</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遵纪守法，客观、公正、廉洁地履行职责；</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按照磋商文件规定的评审办法独立进行评审，对个人的评审意见承担法律责任；</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参与评审报告的起草；</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配合采购人、采购代理机构答复供应商提出的质疑；</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配合财政部门的投诉处理和监督检查工作。</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（五）</w:t>
      </w:r>
      <w:r>
        <w:rPr>
          <w:color w:val="000000"/>
          <w:highlight w:val="none"/>
        </w:rPr>
        <w:t xml:space="preserve">磋商工作纪律及保密</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磋商开始后，直到宣布授予成交供应商合同为止，凡属于审查、澄清、评价和比较响应文件的所有资料，有关授予合同的信息都不应向供应商或与评审无关的其他人泄露。</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评审专家应当遵守评审工作纪律，不得泄露评审情况和评审中获悉的商业秘密。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在评审期间，磋商采购单位将通过指定联络人与供应商进行联系。</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响应文件审查</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4.1</w:t>
      </w:r>
      <w:r>
        <w:rPr>
          <w:rFonts w:ascii="Times New Roman" w:hAnsi="Times New Roman" w:eastAsia="仿宋_GB2312" w:cs="仿宋_GB2312"/>
          <w:color w:val="000000"/>
          <w:sz w:val="32"/>
          <w:szCs w:val="32"/>
          <w:highlight w:val="none"/>
        </w:rPr>
        <w:t xml:space="preserve">磋商小组对所有响应文件进行资格条件和符合性进行审查，以确定其是否满足磋商文件的要求。</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4.2</w:t>
      </w:r>
      <w:r>
        <w:rPr>
          <w:rFonts w:ascii="Times New Roman" w:hAnsi="Times New Roman" w:eastAsia="仿宋_GB2312" w:cs="仿宋_GB2312"/>
          <w:color w:val="000000"/>
          <w:sz w:val="32"/>
          <w:szCs w:val="32"/>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供应商澄清</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需要供应商进行澄清、说明和补正的，磋商小组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接到磋商小组澄清、说明和补正要求的供应商如未按规定作出澄清、说明和补正，其风险由供应商自行承担。</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b/>
          <w:color w:val="000000"/>
          <w:sz w:val="32"/>
          <w:szCs w:val="32"/>
          <w:highlight w:val="none"/>
          <w:u w:val="single"/>
        </w:rPr>
        <w:t xml:space="preserve">供应商在开、评标全过程中应保持通信畅通，及时登录苏采云系统查阅、答复相关信息，并安排专人在线与代理机构及磋商评审小组联系</w:t>
      </w:r>
      <w:r>
        <w:rPr>
          <w:rFonts w:ascii="Times New Roman" w:hAnsi="Times New Roman" w:eastAsia="仿宋_GB2312" w:cs="仿宋_GB2312"/>
          <w:b/>
          <w:color w:val="000000"/>
          <w:sz w:val="32"/>
          <w:szCs w:val="32"/>
          <w:highlight w:val="none"/>
        </w:rPr>
        <w:t xml:space="preserve">。</w:t>
      </w:r>
      <w:r>
        <w:rPr>
          <w:rFonts w:ascii="Times New Roman" w:hAnsi="Times New Roman" w:eastAsia="仿宋_GB2312" w:cs="仿宋_GB2312"/>
          <w:b/>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磋商程序、最后报价</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磋商小组所有成员应当集中与单一供应商分别进行磋商，并给予所有参加磋商的供应商平等的磋商机会。</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6.1</w:t>
      </w:r>
      <w:r>
        <w:rPr>
          <w:rFonts w:ascii="Times New Roman" w:hAnsi="Times New Roman" w:eastAsia="仿宋_GB2312" w:cs="仿宋_GB2312"/>
          <w:color w:val="000000"/>
          <w:sz w:val="32"/>
          <w:szCs w:val="32"/>
          <w:highlight w:val="none"/>
        </w:rPr>
        <w:t xml:space="preserve">磋商程序（开标结束进入评审程序后）</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6.2</w:t>
      </w:r>
      <w:r>
        <w:rPr>
          <w:rFonts w:ascii="Times New Roman" w:hAnsi="Times New Roman" w:eastAsia="仿宋_GB2312" w:cs="仿宋_GB2312"/>
          <w:color w:val="000000"/>
          <w:sz w:val="32"/>
          <w:szCs w:val="32"/>
          <w:highlight w:val="none"/>
        </w:rPr>
        <w:t xml:space="preserve">磋商内容</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CA电子公章。</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6.3</w:t>
      </w:r>
      <w:r>
        <w:rPr>
          <w:rFonts w:ascii="Times New Roman" w:hAnsi="Times New Roman" w:eastAsia="仿宋_GB2312" w:cs="仿宋_GB2312"/>
          <w:color w:val="000000"/>
          <w:sz w:val="32"/>
          <w:szCs w:val="32"/>
          <w:highlight w:val="none"/>
        </w:rPr>
        <w:t xml:space="preserve">最后报价</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磋商文件能够详细列明采购标的的技术、服务要求的，磋商结束后，磋商小组将在系统中发起最终报价流程，要求所有实质性响应的供应商在规定时间内提交最后报价。最后报价是供应商响应文件的有效组成部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最后报价截止时间之前，各供应商的最后报价将被隐藏无法显示，在到达最后报价截止时间后，代理机构工作人员可以查看各供应商最后报价。</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最后报价截止时间前，供应商可以修改报价，截止时间后以最新的报价为准；</w:t>
      </w:r>
      <w:r>
        <w:rPr>
          <w:rFonts w:ascii="Times New Roman" w:hAnsi="Times New Roman" w:eastAsia="仿宋_GB2312" w:cs="仿宋_GB2312"/>
          <w:b/>
          <w:color w:val="000000"/>
          <w:sz w:val="32"/>
          <w:szCs w:val="32"/>
          <w:highlight w:val="none"/>
        </w:rPr>
        <w:t xml:space="preserve">如超过截止时间未提交或报价超过预算，系统将作无效投标处理。</w:t>
      </w:r>
      <w:r>
        <w:rPr>
          <w:rFonts w:ascii="Times New Roman" w:hAnsi="Times New Roman" w:eastAsia="仿宋_GB2312" w:cs="仿宋_GB2312"/>
          <w:color w:val="000000"/>
          <w:sz w:val="32"/>
          <w:szCs w:val="32"/>
          <w:highlight w:val="none"/>
        </w:rPr>
        <w:t xml:space="preserve">如提交二次报价的供应商不满三家，则本次竞争性磋商失败。</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已提交响应文件的供应商，在提交最后报价之前，可以根据磋商情况退出磋商。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（5）</w:t>
      </w:r>
      <w:r>
        <w:rPr>
          <w:rFonts w:ascii="Times New Roman" w:hAnsi="Times New Roman" w:eastAsia="仿宋_GB2312" w:cs="仿宋_GB2312"/>
          <w:b/>
          <w:color w:val="000000"/>
          <w:sz w:val="32"/>
          <w:szCs w:val="32"/>
          <w:highlight w:val="none"/>
        </w:rPr>
        <w:t xml:space="preserve">关于二次报价的具体操作流程，各供应商请详细阅读《操作手册》。</w:t>
      </w:r>
      <w:r>
        <w:rPr>
          <w:rFonts w:ascii="Times New Roman" w:hAnsi="Times New Roman" w:eastAsia="仿宋_GB2312" w:cs="仿宋_GB2312"/>
          <w:b/>
          <w:color w:val="000000"/>
          <w:sz w:val="32"/>
          <w:szCs w:val="32"/>
          <w:highlight w:val="none"/>
        </w:rPr>
      </w:r>
      <w:r/>
    </w:p>
    <w:p>
      <w:pPr>
        <w:pStyle w:val="783"/>
        <w:ind w:left="0" w:firstLine="616"/>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6.4</w:t>
      </w:r>
      <w:r>
        <w:rPr>
          <w:rFonts w:ascii="Times New Roman" w:hAnsi="Times New Roman" w:eastAsia="仿宋_GB2312" w:cs="仿宋_GB2312"/>
          <w:b/>
          <w:color w:val="000000"/>
          <w:sz w:val="32"/>
          <w:szCs w:val="32"/>
          <w:highlight w:val="none"/>
        </w:rPr>
        <w:t xml:space="preserve">异常低价审查</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（一）</w:t>
      </w:r>
      <w:r>
        <w:rPr>
          <w:rFonts w:ascii="Times New Roman" w:hAnsi="Times New Roman" w:eastAsia="仿宋_GB2312" w:cs="仿宋_GB2312"/>
          <w:b/>
          <w:color w:val="000000"/>
          <w:sz w:val="32"/>
          <w:szCs w:val="32"/>
          <w:highlight w:val="none"/>
        </w:rPr>
        <w:t xml:space="preserve">出现下列情形之一的，评审委员会应当启动异常低价投标审查程序：</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1.</w:t>
      </w:r>
      <w:r>
        <w:rPr>
          <w:rFonts w:ascii="Times New Roman" w:hAnsi="Times New Roman" w:eastAsia="仿宋_GB2312" w:cs="仿宋_GB2312"/>
          <w:b/>
          <w:color w:val="000000"/>
          <w:sz w:val="32"/>
          <w:szCs w:val="32"/>
          <w:highlight w:val="none"/>
        </w:rPr>
        <w:t xml:space="preserve">投标（响应）报价低于全部通过符合性审查供应商投标（响应）报价平均值50％的，即投标（响应）报价＜全部通过符合性审查供应商投标（响应）报价平均值×50％；</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2.</w:t>
      </w:r>
      <w:r>
        <w:rPr>
          <w:rFonts w:ascii="Times New Roman" w:hAnsi="Times New Roman" w:eastAsia="仿宋_GB2312" w:cs="仿宋_GB2312"/>
          <w:b/>
          <w:color w:val="000000"/>
          <w:sz w:val="32"/>
          <w:szCs w:val="32"/>
          <w:highlight w:val="none"/>
        </w:rPr>
        <w:t xml:space="preserve">投标（响应）报价低于通过符合性审查的次低报价供应商投标（响应）报价50％的，即投标（响应）报价＜通过符合性审查的次低报价供应商投标（响应）报价×50％；</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3.</w:t>
      </w:r>
      <w:r>
        <w:rPr>
          <w:rFonts w:ascii="Times New Roman" w:hAnsi="Times New Roman" w:eastAsia="仿宋_GB2312" w:cs="仿宋_GB2312"/>
          <w:b/>
          <w:color w:val="000000"/>
          <w:sz w:val="32"/>
          <w:szCs w:val="32"/>
          <w:highlight w:val="none"/>
        </w:rPr>
        <w:t xml:space="preserve">投标（响应）报价低于采购项目最高限价45％的，即投标（响应）报价＜采购项目最高限价×45％；</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4.</w:t>
      </w:r>
      <w:r>
        <w:rPr>
          <w:rFonts w:ascii="Times New Roman" w:hAnsi="Times New Roman" w:eastAsia="仿宋_GB2312" w:cs="仿宋_GB2312"/>
          <w:b/>
          <w:color w:val="000000"/>
          <w:sz w:val="32"/>
          <w:szCs w:val="32"/>
          <w:highlight w:val="none"/>
        </w:rPr>
        <w:t xml:space="preserve">评审委员会基于专业判断，认为供应商报价过低，有可能影响产品质量或者不能诚信履约的其他情形。</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（二）</w:t>
      </w:r>
      <w:r>
        <w:rPr>
          <w:rFonts w:ascii="Times New Roman" w:hAnsi="Times New Roman" w:eastAsia="仿宋_GB2312" w:cs="仿宋_GB2312"/>
          <w:b/>
          <w:color w:val="000000"/>
          <w:sz w:val="32"/>
          <w:szCs w:val="32"/>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Times New Roman" w:hAnsi="Times New Roman" w:eastAsia="仿宋_GB2312" w:cs="仿宋_GB2312"/>
          <w:b/>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b/>
          <w:color w:val="000000"/>
          <w:sz w:val="32"/>
          <w:szCs w:val="3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w:t>
      </w:r>
      <w:r>
        <w:rPr>
          <w:rFonts w:ascii="Times New Roman" w:hAnsi="Times New Roman" w:eastAsia="仿宋_GB2312" w:cs="仿宋_GB2312"/>
          <w:color w:val="000000"/>
          <w:sz w:val="32"/>
          <w:szCs w:val="32"/>
          <w:highlight w:val="none"/>
        </w:rPr>
        <w:t xml:space="preserve">响应无效和终止磋商活动条款</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7.1</w:t>
      </w:r>
      <w:r>
        <w:rPr>
          <w:rFonts w:ascii="Times New Roman" w:hAnsi="Times New Roman" w:eastAsia="仿宋_GB2312" w:cs="仿宋_GB2312"/>
          <w:color w:val="000000"/>
          <w:sz w:val="32"/>
          <w:szCs w:val="32"/>
          <w:highlight w:val="none"/>
        </w:rPr>
        <w:t xml:space="preserve">响应人存在下列情况之一的，响应无效：</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未按照竞争性磋商文件规定要求签署、盖章的；</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供应商不具备竞争性磋商文件中规定资格条件的；</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报价超过磋商文件中规定的预算金额或者最高限价的；</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响应文件含有采购人不能接受的附加条件；</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因磋商响应单位自身原因导致网上磋商响应文件无法递交的其他情况；</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不符合法律法规和竞争性磋商文件中规定的其他实质性要求的；</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w:t>
      </w:r>
      <w:r>
        <w:rPr>
          <w:rFonts w:ascii="Times New Roman" w:hAnsi="Times New Roman" w:eastAsia="仿宋_GB2312" w:cs="仿宋_GB2312"/>
          <w:color w:val="000000"/>
          <w:sz w:val="32"/>
          <w:szCs w:val="32"/>
          <w:highlight w:val="none"/>
        </w:rPr>
        <w:t xml:space="preserve">法律法规及本竞争性磋商文件规定的其他无效的情形。</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7.2</w:t>
      </w:r>
      <w:r>
        <w:rPr>
          <w:rFonts w:ascii="Times New Roman" w:hAnsi="Times New Roman" w:eastAsia="仿宋_GB2312" w:cs="仿宋_GB2312"/>
          <w:color w:val="000000"/>
          <w:sz w:val="32"/>
          <w:szCs w:val="32"/>
          <w:highlight w:val="none"/>
        </w:rPr>
        <w:t xml:space="preserve">响应人应当遵循公平竞争的原则，不得恶意串通，不得妨碍其他响应人的竞争行为，不得损害采购人或者其他响应人的合法权益。</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磋商过程中发现响应人有上述情形的，磋商小组应当认定其响应无效，并书面报告本级财政部门。</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7.3</w:t>
      </w:r>
      <w:r>
        <w:rPr>
          <w:rFonts w:ascii="Times New Roman" w:hAnsi="Times New Roman" w:eastAsia="仿宋_GB2312" w:cs="仿宋_GB2312"/>
          <w:color w:val="000000"/>
          <w:sz w:val="32"/>
          <w:szCs w:val="32"/>
          <w:highlight w:val="none"/>
        </w:rPr>
        <w:t xml:space="preserve">有下列情形之一的，视为响应人恶意串通，其响应无效：</w:t>
      </w:r>
      <w:r>
        <w:rPr>
          <w:rFonts w:ascii="Times New Roman" w:hAnsi="Times New Roman" w:eastAsia="仿宋_GB2312" w:cs="仿宋_GB2312"/>
          <w:b w:val="0"/>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（1）</w:t>
      </w:r>
      <w:r>
        <w:rPr>
          <w:rFonts w:ascii="Times New Roman" w:hAnsi="Times New Roman" w:eastAsia="仿宋_GB2312" w:cs="仿宋_GB2312"/>
          <w:b/>
          <w:color w:val="000000"/>
          <w:sz w:val="32"/>
          <w:szCs w:val="32"/>
          <w:highlight w:val="none"/>
        </w:rPr>
        <w:t xml:space="preserve">不同响应人的响应文件由同一单位或者个人编制；</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（2）</w:t>
      </w:r>
      <w:r>
        <w:rPr>
          <w:rFonts w:ascii="Times New Roman" w:hAnsi="Times New Roman" w:eastAsia="仿宋_GB2312" w:cs="仿宋_GB2312"/>
          <w:b/>
          <w:color w:val="000000"/>
          <w:sz w:val="32"/>
          <w:szCs w:val="32"/>
          <w:highlight w:val="none"/>
        </w:rPr>
        <w:t xml:space="preserve">不同响应人委托同一单位或者个人办理磋商事宜；</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（3）</w:t>
      </w:r>
      <w:r>
        <w:rPr>
          <w:rFonts w:ascii="Times New Roman" w:hAnsi="Times New Roman" w:eastAsia="仿宋_GB2312" w:cs="仿宋_GB2312"/>
          <w:b/>
          <w:color w:val="000000"/>
          <w:sz w:val="32"/>
          <w:szCs w:val="32"/>
          <w:highlight w:val="none"/>
        </w:rPr>
        <w:t xml:space="preserve">不同响应人的响应文件载明的项目管理成员或者联系人员为同一人；</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pacing w:val="4"/>
          <w:sz w:val="32"/>
          <w:szCs w:val="32"/>
          <w:highlight w:val="none"/>
          <w:lang w:eastAsia="zh-CN"/>
        </w:rPr>
        <w:t xml:space="preserve">（4）</w:t>
      </w:r>
      <w:r>
        <w:rPr>
          <w:rFonts w:ascii="Times New Roman" w:hAnsi="Times New Roman" w:eastAsia="仿宋_GB2312" w:cs="仿宋_GB2312"/>
          <w:b/>
          <w:color w:val="000000"/>
          <w:spacing w:val="4"/>
          <w:sz w:val="32"/>
          <w:szCs w:val="32"/>
          <w:highlight w:val="none"/>
        </w:rPr>
        <w:t xml:space="preserve">不同响应人的响应文件异常一致或者报价呈规律</w:t>
      </w:r>
      <w:r>
        <w:rPr>
          <w:rFonts w:ascii="Times New Roman" w:hAnsi="Times New Roman" w:eastAsia="仿宋_GB2312" w:cs="仿宋_GB2312"/>
          <w:b/>
          <w:color w:val="000000"/>
          <w:spacing w:val="-6"/>
          <w:sz w:val="32"/>
          <w:szCs w:val="32"/>
          <w:highlight w:val="none"/>
        </w:rPr>
        <w:t xml:space="preserve">性</w:t>
      </w:r>
      <w:r>
        <w:rPr>
          <w:rFonts w:ascii="Times New Roman" w:hAnsi="Times New Roman" w:eastAsia="仿宋_GB2312" w:cs="仿宋_GB2312"/>
          <w:b/>
          <w:color w:val="000000"/>
          <w:sz w:val="32"/>
          <w:szCs w:val="32"/>
          <w:highlight w:val="none"/>
        </w:rPr>
        <w:t xml:space="preserve">差异；</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（5）</w:t>
      </w:r>
      <w:r>
        <w:rPr>
          <w:rFonts w:ascii="Times New Roman" w:hAnsi="Times New Roman" w:eastAsia="仿宋_GB2312" w:cs="仿宋_GB2312"/>
          <w:b/>
          <w:color w:val="000000"/>
          <w:sz w:val="32"/>
          <w:szCs w:val="32"/>
          <w:highlight w:val="none"/>
        </w:rPr>
        <w:t xml:space="preserve">不同响应人的响应文件相互混装；</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（6）</w:t>
      </w:r>
      <w:r>
        <w:rPr>
          <w:rFonts w:ascii="Times New Roman" w:hAnsi="Times New Roman" w:eastAsia="仿宋_GB2312" w:cs="仿宋_GB2312"/>
          <w:b/>
          <w:color w:val="000000"/>
          <w:sz w:val="32"/>
          <w:szCs w:val="32"/>
          <w:highlight w:val="none"/>
        </w:rPr>
        <w:t xml:space="preserve">不同投标（响应）文件制作机器码一致。</w:t>
      </w:r>
      <w:r>
        <w:rPr>
          <w:rFonts w:ascii="Times New Roman" w:hAnsi="Times New Roman" w:eastAsia="仿宋_GB2312" w:cs="仿宋_GB2312"/>
          <w:b/>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7.4</w:t>
      </w:r>
      <w:r>
        <w:rPr>
          <w:rFonts w:ascii="Times New Roman" w:hAnsi="Times New Roman" w:eastAsia="仿宋_GB2312" w:cs="仿宋_GB2312"/>
          <w:color w:val="000000"/>
          <w:sz w:val="32"/>
          <w:szCs w:val="32"/>
          <w:highlight w:val="none"/>
        </w:rPr>
        <w:t xml:space="preserve">终止竞争性磋商采购活动的条款</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出现下列情形之一的，采购代理机构将终止竞争性磋商采购活动，发布项目终止公告并说明原因，重新开展采购活动：</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因情况变化，不再符合规定的竞争性磋商采购方式适用情形的；</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出现影响采购公正的违法、违规行为的；</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在采购过程中符合要求的供应商或者报价未超过采购预算的供应商不足3家的。</w:t>
      </w:r>
      <w:r>
        <w:rPr>
          <w:rFonts w:ascii="Times New Roman" w:hAnsi="Times New Roman" w:eastAsia="仿宋_GB2312" w:cs="仿宋_GB2312"/>
          <w:b w:val="0"/>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十五、确定成交、询问及质疑</w:t>
      </w:r>
      <w:r>
        <w:rPr>
          <w:rFonts w:hint="eastAsia"/>
          <w:color w:val="000000"/>
          <w:highlight w:val="none"/>
          <w:lang w:val="en-US" w:eastAsia="zh-CN"/>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（一）</w:t>
      </w:r>
      <w:r>
        <w:rPr>
          <w:color w:val="000000"/>
          <w:highlight w:val="none"/>
        </w:rPr>
        <w:t xml:space="preserve">确定成交供应商</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采购人授权磋商小组直接确定成交供应商。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采购代理机构在苏采云系统中告知开标结果，并向中标供应商发放《中标通知书》。</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（二）</w:t>
      </w:r>
      <w:r>
        <w:rPr>
          <w:color w:val="000000"/>
          <w:highlight w:val="none"/>
        </w:rPr>
        <w:t xml:space="preserve">询问及质疑</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询问及质疑依据《中华人民共和国政府采购法》、《中华人民共和国政府采购法实施条例》、《政府采购质疑和投诉办法》及相关法律法规处理。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供应商认为本采购文件条款使自己的权益受到损害的，应在知道或者应知权益受到损害之日起七个工作日内，以书面形式向招标代理机构提出质疑。招标代理机构应当在收到响应单位书面质疑后七个工作日内作出答复。</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根据财政部94号令第十一条规定，提出质疑的供应商应当是参与所质疑项目采购活动的供应商。因此凡是对采购文件提出质疑的供应商，请将符合资格条件的证明材料及投标供应商确认函与质疑函一起递交。</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未依照采购公告要求实行网上获取采购文件的供应商，视为未参加该项政府采购活动，不具备对该项目提出质疑的法定权利。但因供应商资格条件或获取采购文件时间设定不符合有关法律法规规定等原因使供应商权益受损的除外。</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在采购活动中本身权益未受到损害的供应商所提出的质疑不予受理。</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供应商如对本项目提出质疑须在法定质疑期内一次性提出针对同一采购程序环节的质疑。</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质疑联系方式</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名称：苏州市卫康招投标咨询服务有限公司</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地址：苏州市干将西路1296号1幢17层</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联 系 人：季女士</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联系方式：0512－69165625</w:t>
      </w:r>
      <w:r>
        <w:rPr>
          <w:rFonts w:ascii="Times New Roman" w:hAnsi="Times New Roman" w:eastAsia="仿宋_GB2312" w:cs="仿宋_GB2312"/>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十六、合同的签订</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成交供应商应按成交通知书中规定的时间和地点，与采购人签订合同。</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签订合同及合同条款应以磋商文件和成交供应商的磋商响应文件及其澄清承诺文件为依据。</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3.</w:t>
      </w:r>
      <w:r>
        <w:rPr>
          <w:rFonts w:ascii="Times New Roman" w:hAnsi="Times New Roman" w:eastAsia="仿宋_GB2312" w:cs="仿宋_GB2312"/>
          <w:b/>
          <w:color w:val="000000"/>
          <w:sz w:val="32"/>
          <w:szCs w:val="32"/>
          <w:highlight w:val="none"/>
        </w:rPr>
        <w:t xml:space="preserve">《政府采购促进中小企业发展管理办法》规定享受扶持政策获得政府采购合同的，小微企业不得将合同分包给大中型企业，中型企业不得将合同分包给大型企业。</w:t>
      </w:r>
      <w:r>
        <w:rPr>
          <w:rFonts w:ascii="Times New Roman" w:hAnsi="Times New Roman" w:eastAsia="仿宋_GB2312" w:cs="仿宋_GB2312"/>
          <w:b/>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十七、磋商保证金：无。</w:t>
      </w:r>
      <w:r>
        <w:rPr>
          <w:rFonts w:hint="eastAsia"/>
          <w:color w:val="000000"/>
          <w:highlight w:val="none"/>
          <w:lang w:val="en-US" w:eastAsia="zh-CN"/>
        </w:rPr>
      </w:r>
      <w:r/>
    </w:p>
    <w:p>
      <w:pPr>
        <w:pStyle w:val="783"/>
        <w:ind w:left="0" w:firstLine="640"/>
        <w:widowControl/>
        <w:rPr>
          <w:rFonts w:hint="eastAsia" w:ascii="仿宋_GB2312" w:hAnsi="仿宋_GB2312" w:eastAsia="仿宋_GB2312" w:cs="仿宋_GB2312"/>
          <w:b w:val="0"/>
          <w:color w:val="000000"/>
          <w:sz w:val="32"/>
          <w:szCs w:val="32"/>
          <w:highlight w:val="none"/>
        </w:rPr>
      </w:pPr>
      <w:r>
        <w:rPr>
          <w:rFonts w:hint="eastAsia" w:ascii="黑体" w:hAnsi="黑体" w:eastAsia="黑体" w:cs="黑体"/>
          <w:color w:val="000000"/>
          <w:spacing w:val="0"/>
          <w:sz w:val="32"/>
          <w:szCs w:val="32"/>
          <w:highlight w:val="none"/>
          <w:lang w:val="en-US" w:eastAsia="zh-CN"/>
        </w:rPr>
        <w:t xml:space="preserve">十八、代理服务费：</w:t>
      </w:r>
      <w:r>
        <w:rPr>
          <w:rFonts w:ascii="Times New Roman" w:hAnsi="Times New Roman" w:eastAsia="仿宋_GB2312" w:cs="仿宋_GB2312"/>
          <w:color w:val="000000"/>
          <w:sz w:val="32"/>
          <w:szCs w:val="32"/>
          <w:highlight w:val="none"/>
        </w:rPr>
        <w:t xml:space="preserve">依据本项目《政府采购项目委托代理协议》，本项目申报预算时已经包含成交服务费，因此服务费由成交人支付，成交人在领取成交通知书时向招标代理机构缴纳，本项目成交服务费为：人民币叁万壹仟伍佰元整（￥：31500.00）。其收取标准为：以预算金额为基准，100万元以内1.5％、100万元～500万元以1.1％，差额定率累进法计算并支付成交服务费。</w:t>
      </w:r>
      <w:r>
        <w:rPr>
          <w:rFonts w:hint="eastAsia" w:ascii="仿宋_GB2312" w:hAnsi="仿宋_GB2312"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服务费交纳账户：苏州市卫康招投标咨询服务有限公司高新区分公司</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账号：1102020209200668549</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开户银行：中国工商银行股份有限公司苏州道前支行</w:t>
      </w:r>
      <w:r>
        <w:rPr>
          <w:rFonts w:ascii="Times New Roman" w:hAnsi="Times New Roman" w:eastAsia="仿宋_GB2312" w:cs="仿宋_GB2312"/>
          <w:color w:val="000000"/>
          <w:sz w:val="32"/>
          <w:szCs w:val="32"/>
          <w:highlight w:val="none"/>
        </w:rPr>
      </w:r>
      <w:r/>
    </w:p>
    <w:p>
      <w:pPr>
        <w:pStyle w:val="954"/>
        <w:ind w:left="0" w:firstLine="640"/>
        <w:rPr>
          <w:rFonts w:hint="eastAsia"/>
          <w:color w:val="000000"/>
          <w:highlight w:val="none"/>
          <w:lang w:val="en-US" w:eastAsia="zh-CN"/>
        </w:rPr>
      </w:pPr>
      <w:r>
        <w:rPr>
          <w:rFonts w:hint="eastAsia"/>
          <w:color w:val="000000"/>
          <w:highlight w:val="none"/>
          <w:lang w:val="en-US" w:eastAsia="zh-CN"/>
        </w:rPr>
        <w:t xml:space="preserve">十九、磋商说明：</w:t>
      </w:r>
      <w:r>
        <w:rPr>
          <w:rFonts w:hint="eastAsia"/>
          <w:color w:val="000000"/>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不符合供应商资格要求的响应文件将被拒绝；</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参加磋商的供应商必须法定代表人或授权代理人；</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响应文件签署不符合要求的，响应文件将被拒绝；</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最终报价超过采购预算的，不能成交；</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不实质性响应磋商文件的不能成交；</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实质性响应磋商文件不满三家或进入二次报价的不满三家或二次报价在采购预算内不满三家的，磋商采购失败。</w:t>
      </w:r>
      <w:r>
        <w:rPr>
          <w:rFonts w:ascii="Times New Roman" w:hAnsi="Times New Roman" w:eastAsia="仿宋_GB2312" w:cs="仿宋_GB2312"/>
          <w:b w:val="0"/>
          <w:color w:val="000000"/>
          <w:sz w:val="32"/>
          <w:szCs w:val="32"/>
          <w:highlight w:val="none"/>
        </w:rPr>
      </w:r>
      <w:r/>
    </w:p>
    <w:p>
      <w:pPr>
        <w:pStyle w:val="783"/>
        <w:ind w:left="0" w:firstLine="640"/>
        <w:widowControl/>
        <w:rPr>
          <w:rFonts w:hint="eastAsia" w:ascii="仿宋_GB2312" w:hAnsi="仿宋_GB2312" w:eastAsia="仿宋_GB2312" w:cs="仿宋_GB2312"/>
          <w:b w:val="0"/>
          <w:color w:val="000000"/>
          <w:sz w:val="32"/>
          <w:szCs w:val="32"/>
          <w:highlight w:val="none"/>
        </w:rPr>
      </w:pPr>
      <w:r>
        <w:rPr>
          <w:rFonts w:hint="eastAsia" w:ascii="黑体" w:hAnsi="黑体" w:eastAsia="黑体" w:cs="黑体"/>
          <w:color w:val="000000"/>
          <w:spacing w:val="0"/>
          <w:sz w:val="32"/>
          <w:szCs w:val="32"/>
          <w:highlight w:val="none"/>
          <w:lang w:val="en-US" w:eastAsia="zh-CN"/>
        </w:rPr>
        <w:t xml:space="preserve">二十、未尽事宜：</w:t>
      </w:r>
      <w:r>
        <w:rPr>
          <w:rFonts w:ascii="Times New Roman" w:hAnsi="Times New Roman" w:eastAsia="仿宋_GB2312" w:cs="仿宋_GB2312"/>
          <w:color w:val="000000"/>
          <w:sz w:val="32"/>
          <w:szCs w:val="32"/>
          <w:highlight w:val="none"/>
        </w:rPr>
        <w:t xml:space="preserve">按《中华人民共和国政府采购法》及其他有关法律法规的规定执行。</w:t>
      </w:r>
      <w:r>
        <w:rPr>
          <w:rFonts w:hint="eastAsia" w:ascii="仿宋_GB2312" w:hAnsi="仿宋_GB2312" w:eastAsia="仿宋_GB2312" w:cs="仿宋_GB2312"/>
          <w:b w:val="0"/>
          <w:color w:val="000000"/>
          <w:sz w:val="32"/>
          <w:szCs w:val="32"/>
          <w:highlight w:val="none"/>
        </w:rPr>
      </w:r>
      <w:r/>
    </w:p>
    <w:p>
      <w:pPr>
        <w:pStyle w:val="777"/>
        <w:ind w:firstLine="0"/>
        <w:jc w:val="both"/>
        <w:pageBreakBefore w:val="0"/>
        <w:spacing w:line="400" w:lineRule="exact"/>
        <w:rPr>
          <w:rFonts w:eastAsia="黑体"/>
          <w:b/>
          <w:color w:val="000000"/>
          <w:sz w:val="32"/>
          <w:szCs w:val="32"/>
          <w:highlight w:val="none"/>
        </w:rPr>
        <w:outlineLvl w:val="9"/>
      </w:pPr>
      <w:r>
        <w:rPr>
          <w:rFonts w:eastAsia="黑体"/>
          <w:b/>
          <w:color w:val="000000"/>
          <w:sz w:val="32"/>
          <w:szCs w:val="32"/>
          <w:highlight w:val="none"/>
        </w:rPr>
      </w:r>
      <w:r/>
    </w:p>
    <w:p>
      <w:pPr>
        <w:pStyle w:val="777"/>
        <w:ind w:firstLine="0"/>
        <w:jc w:val="both"/>
        <w:pageBreakBefore w:val="0"/>
        <w:spacing w:line="400" w:lineRule="exact"/>
        <w:rPr>
          <w:rFonts w:eastAsia="黑体"/>
          <w:b/>
          <w:color w:val="000000"/>
          <w:sz w:val="32"/>
          <w:szCs w:val="32"/>
          <w:highlight w:val="none"/>
        </w:rPr>
        <w:outlineLvl w:val="9"/>
      </w:pPr>
      <w:r>
        <w:rPr>
          <w:rFonts w:eastAsia="黑体"/>
          <w:b/>
          <w:color w:val="000000"/>
          <w:sz w:val="32"/>
          <w:szCs w:val="32"/>
          <w:highlight w:val="none"/>
        </w:rPr>
      </w:r>
      <w:r/>
    </w:p>
    <w:p>
      <w:pPr>
        <w:pStyle w:val="777"/>
        <w:ind w:firstLine="0"/>
        <w:jc w:val="both"/>
        <w:pageBreakBefore w:val="0"/>
        <w:rPr>
          <w:rFonts w:eastAsia="黑体"/>
          <w:b/>
          <w:color w:val="000000"/>
          <w:sz w:val="32"/>
          <w:szCs w:val="32"/>
          <w:highlight w:val="none"/>
        </w:rPr>
      </w:pPr>
      <w:r>
        <w:rPr>
          <w:rFonts w:hint="eastAsia" w:eastAsia="黑体"/>
          <w:b/>
          <w:color w:val="000000"/>
          <w:sz w:val="32"/>
          <w:szCs w:val="32"/>
          <w:highlight w:val="none"/>
        </w:rPr>
        <w:br w:type="page" w:clear="all"/>
      </w:r>
      <w:r>
        <w:rPr>
          <w:rFonts w:eastAsia="黑体"/>
          <w:b/>
          <w:color w:val="000000"/>
          <w:sz w:val="32"/>
          <w:szCs w:val="32"/>
          <w:highlight w:val="none"/>
        </w:rPr>
      </w:r>
      <w:r/>
    </w:p>
    <w:p>
      <w:pPr>
        <w:pStyle w:val="969"/>
        <w:widowControl/>
        <w:rPr>
          <w:b w:val="0"/>
          <w:color w:val="000000"/>
          <w:highlight w:val="none"/>
        </w:rPr>
      </w:pPr>
      <w:r>
        <w:rPr>
          <w:rFonts w:hint="eastAsia"/>
          <w:color w:val="000000"/>
          <w:highlight w:val="none"/>
          <w:lang w:eastAsia="zh-CN"/>
        </w:rPr>
        <w:t xml:space="preserve">第三章</w:t>
      </w:r>
      <w:r>
        <w:rPr>
          <w:rFonts w:hint="eastAsia" w:ascii="仿宋" w:hAnsi="仿宋" w:eastAsia="仿宋" w:cs="仿宋"/>
          <w:bCs/>
          <w:color w:val="000000"/>
          <w:spacing w:val="-6"/>
          <w:sz w:val="32"/>
          <w:szCs w:val="32"/>
          <w:highlight w:val="none"/>
          <w:lang w:eastAsia="zh-CN" w:bidi="ar-SA"/>
        </w:rPr>
        <w:t xml:space="preserve"> </w:t>
      </w:r>
      <w:r>
        <w:rPr>
          <w:color w:val="000000"/>
          <w:highlight w:val="none"/>
        </w:rPr>
        <w:t xml:space="preserve">采购要求</w:t>
      </w:r>
      <w:r>
        <w:rPr>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受苏州市虎丘区人民法院之委托，苏州市卫康招投标咨询服务有限公司对其需采购的</w:t>
      </w:r>
      <w:r>
        <w:rPr>
          <w:rFonts w:hint="eastAsia" w:cs="仿宋_GB2312"/>
          <w:color w:val="000000"/>
          <w:sz w:val="32"/>
          <w:szCs w:val="32"/>
          <w:highlight w:val="none"/>
          <w:lang w:eastAsia="zh-CN"/>
        </w:rPr>
        <w:t xml:space="preserve">无纸化、中间库及司法辅助服务</w:t>
      </w:r>
      <w:r>
        <w:rPr>
          <w:rFonts w:ascii="Times New Roman" w:hAnsi="Times New Roman" w:eastAsia="仿宋_GB2312" w:cs="仿宋_GB2312"/>
          <w:color w:val="000000"/>
          <w:sz w:val="32"/>
          <w:szCs w:val="32"/>
          <w:highlight w:val="none"/>
        </w:rPr>
        <w:t xml:space="preserve">在国内组织竞争性磋商采购。欢迎符合资格条件的供应商前来参加磋商。</w:t>
      </w:r>
      <w:r>
        <w:rPr>
          <w:rFonts w:ascii="Times New Roman" w:hAnsi="Times New Roman" w:eastAsia="仿宋_GB2312" w:cs="仿宋_GB2312"/>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lang w:eastAsia="zh-CN"/>
        </w:rPr>
      </w:pPr>
      <w:r>
        <w:rPr>
          <w:rFonts w:hint="eastAsia" w:ascii="黑体" w:hAnsi="黑体" w:eastAsia="黑体" w:cs="黑体"/>
          <w:color w:val="000000"/>
          <w:spacing w:val="0"/>
          <w:sz w:val="32"/>
          <w:szCs w:val="32"/>
          <w:highlight w:val="none"/>
          <w:lang w:val="en-US" w:eastAsia="zh-CN"/>
        </w:rPr>
        <w:t xml:space="preserve">一、磋商编号：</w:t>
      </w:r>
      <w:r>
        <w:rPr>
          <w:rFonts w:hint="eastAsia" w:cs="仿宋_GB2312"/>
          <w:color w:val="000000"/>
          <w:sz w:val="32"/>
          <w:szCs w:val="32"/>
          <w:highlight w:val="none"/>
          <w:lang w:eastAsia="zh-CN"/>
        </w:rPr>
        <w:t xml:space="preserve">JSZC-320505-SZWK-C2026-0221</w:t>
      </w:r>
      <w:r>
        <w:rPr>
          <w:rFonts w:hint="eastAsia" w:ascii="仿宋_GB2312" w:hAnsi="仿宋_GB2312" w:eastAsia="仿宋_GB2312" w:cs="仿宋_GB2312"/>
          <w:b w:val="0"/>
          <w:color w:val="000000"/>
          <w:sz w:val="32"/>
          <w:szCs w:val="32"/>
          <w:highlight w:val="none"/>
          <w:lang w:eastAsia="zh-CN"/>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ascii="黑体" w:hAnsi="黑体" w:eastAsia="黑体" w:cs="黑体"/>
          <w:color w:val="000000"/>
          <w:spacing w:val="0"/>
          <w:sz w:val="32"/>
          <w:szCs w:val="32"/>
          <w:highlight w:val="none"/>
          <w:lang w:val="en-US" w:eastAsia="zh-CN"/>
        </w:rPr>
        <w:t xml:space="preserve">二、采购方式：</w:t>
      </w:r>
      <w:r>
        <w:rPr>
          <w:rFonts w:ascii="Times New Roman" w:hAnsi="Times New Roman" w:eastAsia="仿宋_GB2312" w:cs="仿宋_GB2312"/>
          <w:color w:val="000000"/>
          <w:sz w:val="32"/>
          <w:szCs w:val="32"/>
          <w:highlight w:val="none"/>
        </w:rPr>
        <w:t xml:space="preserve">竞争性磋商采购</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ascii="仿宋_GB2312" w:hAnsi="仿宋_GB2312" w:eastAsia="黑体" w:cs="仿宋_GB2312"/>
          <w:b w:val="0"/>
          <w:color w:val="000000"/>
          <w:sz w:val="32"/>
          <w:szCs w:val="32"/>
          <w:highlight w:val="none"/>
          <w:lang w:eastAsia="zh-CN"/>
        </w:rPr>
      </w:pPr>
      <w:r>
        <w:rPr>
          <w:rFonts w:hint="eastAsia" w:ascii="黑体" w:hAnsi="黑体" w:eastAsia="黑体" w:cs="黑体"/>
          <w:color w:val="000000"/>
          <w:spacing w:val="0"/>
          <w:sz w:val="32"/>
          <w:szCs w:val="32"/>
          <w:highlight w:val="none"/>
          <w:lang w:val="en-US" w:eastAsia="zh-CN"/>
        </w:rPr>
        <w:t xml:space="preserve">三、项目名称：</w:t>
      </w:r>
      <w:r>
        <w:rPr>
          <w:rFonts w:hint="eastAsia" w:cs="仿宋_GB2312"/>
          <w:color w:val="000000"/>
          <w:sz w:val="32"/>
          <w:szCs w:val="32"/>
          <w:highlight w:val="none"/>
          <w:lang w:eastAsia="zh-CN"/>
        </w:rPr>
        <w:t xml:space="preserve">无纸化、中间库及司法辅助服务</w:t>
      </w:r>
      <w:r>
        <w:rPr>
          <w:rFonts w:hint="eastAsia" w:ascii="仿宋_GB2312" w:hAnsi="仿宋_GB2312" w:eastAsia="黑体" w:cs="仿宋_GB2312"/>
          <w:b w:val="0"/>
          <w:color w:val="000000"/>
          <w:sz w:val="32"/>
          <w:szCs w:val="32"/>
          <w:highlight w:val="none"/>
          <w:lang w:eastAsia="zh-CN"/>
        </w:rPr>
      </w:r>
      <w:r/>
    </w:p>
    <w:p>
      <w:pPr>
        <w:pStyle w:val="783"/>
        <w:ind w:left="0" w:firstLine="616"/>
        <w:widowControl/>
        <w:rPr>
          <w:rFonts w:hint="eastAsia" w:ascii="Times New Roman" w:hAnsi="Times New Roman" w:eastAsia="仿宋_GB2312" w:cs="仿宋_GB2312"/>
          <w:color w:val="000000"/>
          <w:sz w:val="32"/>
          <w:szCs w:val="32"/>
          <w:highlight w:val="none"/>
          <w:lang w:eastAsia="zh-CN"/>
        </w:rPr>
      </w:pPr>
      <w:r>
        <w:rPr>
          <w:rFonts w:hint="eastAsia" w:ascii="黑体" w:hAnsi="黑体" w:eastAsia="黑体" w:cs="黑体"/>
          <w:color w:val="000000"/>
          <w:spacing w:val="0"/>
          <w:sz w:val="32"/>
          <w:szCs w:val="32"/>
          <w:highlight w:val="none"/>
          <w:lang w:val="en-US" w:eastAsia="zh-CN"/>
        </w:rPr>
        <w:t xml:space="preserve">四、采购预算</w:t>
      </w:r>
      <w:r>
        <w:rPr>
          <w:rStyle w:val="971"/>
          <w:rFonts w:ascii="Times New Roman" w:hAnsi="Times New Roman" w:eastAsia="仿宋_GB2312" w:cs="仿宋_GB2312"/>
          <w:color w:val="000000"/>
          <w:sz w:val="32"/>
          <w:szCs w:val="32"/>
          <w:highlight w:val="none"/>
        </w:rPr>
        <w:t xml:space="preserve">：</w:t>
      </w:r>
      <w:r>
        <w:rPr>
          <w:rFonts w:hint="eastAsia" w:cs="仿宋_GB2312"/>
          <w:color w:val="000000"/>
          <w:sz w:val="32"/>
          <w:szCs w:val="32"/>
          <w:highlight w:val="none"/>
          <w:lang w:eastAsia="zh-CN"/>
        </w:rPr>
        <w:t xml:space="preserve">人民币250.000000万元</w:t>
      </w:r>
      <w:r>
        <w:rPr>
          <w:rFonts w:hint="eastAsia" w:ascii="Times New Roman" w:hAnsi="Times New Roman" w:eastAsia="仿宋_GB2312" w:cs="仿宋_GB2312"/>
          <w:color w:val="000000"/>
          <w:sz w:val="32"/>
          <w:szCs w:val="32"/>
          <w:highlight w:val="none"/>
          <w:lang w:eastAsia="zh-CN"/>
        </w:rPr>
      </w:r>
      <w:r/>
    </w:p>
    <w:p>
      <w:pPr>
        <w:pStyle w:val="783"/>
        <w:ind w:left="0" w:firstLine="1033"/>
        <w:widowControl/>
        <w:rPr>
          <w:rFonts w:hint="eastAsia" w:ascii="Times New Roman" w:hAnsi="Times New Roman" w:eastAsia="仿宋_GB2312" w:cs="仿宋_GB2312"/>
          <w:color w:val="000000"/>
          <w:sz w:val="32"/>
          <w:szCs w:val="32"/>
          <w:highlight w:val="none"/>
          <w:lang w:eastAsia="zh-CN"/>
        </w:rPr>
      </w:pPr>
      <w:r>
        <w:rPr>
          <w:rFonts w:hint="eastAsia" w:ascii="黑体" w:hAnsi="黑体" w:eastAsia="黑体" w:cs="黑体"/>
          <w:color w:val="000000"/>
          <w:spacing w:val="0"/>
          <w:sz w:val="32"/>
          <w:szCs w:val="32"/>
          <w:highlight w:val="none"/>
          <w:lang w:val="en-US" w:eastAsia="zh-CN"/>
        </w:rPr>
        <w:t xml:space="preserve">最高限价</w:t>
      </w:r>
      <w:r>
        <w:rPr>
          <w:rStyle w:val="957"/>
          <w:rFonts w:hint="eastAsia" w:eastAsia="楷体_GB2312"/>
          <w:color w:val="000000"/>
          <w:highlight w:val="none"/>
          <w:lang w:eastAsia="zh-CN"/>
        </w:rPr>
        <w:t xml:space="preserve">：</w:t>
      </w:r>
      <w:r>
        <w:rPr>
          <w:rFonts w:hint="eastAsia" w:cs="仿宋_GB2312"/>
          <w:color w:val="000000"/>
          <w:sz w:val="32"/>
          <w:szCs w:val="32"/>
          <w:highlight w:val="none"/>
          <w:lang w:eastAsia="zh-CN"/>
        </w:rPr>
        <w:t xml:space="preserve">人民币249.500000万元</w:t>
      </w:r>
      <w:r>
        <w:rPr>
          <w:rFonts w:hint="eastAsia" w:ascii="Times New Roman" w:hAnsi="Times New Roman" w:eastAsia="仿宋_GB2312" w:cs="仿宋_GB2312"/>
          <w:color w:val="000000"/>
          <w:sz w:val="32"/>
          <w:szCs w:val="32"/>
          <w:highlight w:val="none"/>
          <w:lang w:eastAsia="zh-CN"/>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ascii="黑体" w:hAnsi="黑体" w:eastAsia="黑体" w:cs="黑体"/>
          <w:color w:val="000000"/>
          <w:spacing w:val="0"/>
          <w:sz w:val="32"/>
          <w:szCs w:val="32"/>
          <w:highlight w:val="none"/>
          <w:lang w:val="en-US" w:eastAsia="zh-CN"/>
        </w:rPr>
        <w:t xml:space="preserve">五、采购要求：</w:t>
      </w:r>
      <w:r>
        <w:rPr>
          <w:rFonts w:hint="eastAsia" w:ascii="仿宋_GB2312" w:hAnsi="仿宋_GB2312"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（一）</w:t>
      </w:r>
      <w:r>
        <w:rPr>
          <w:color w:val="000000"/>
          <w:highlight w:val="none"/>
        </w:rPr>
        <w:t xml:space="preserve">采购目标：</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为贯彻落实最高人民法院统一部署和“一张网”建设工作要求，推动审判体系和审判能力现代化，苏州市虎丘区人民法院全面推进无纸化办案体系建设，以电子卷宗为载体，构建全流程无纸化在线服务模式，不断提升审判执行质效和当事人参加诉讼的便捷度。</w:t>
      </w:r>
      <w:r>
        <w:rPr>
          <w:rFonts w:ascii="Times New Roman" w:hAnsi="Times New Roman" w:eastAsia="仿宋_GB2312" w:cs="仿宋_GB2312"/>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（二）</w:t>
      </w:r>
      <w:r>
        <w:rPr>
          <w:color w:val="000000"/>
          <w:highlight w:val="none"/>
        </w:rPr>
        <w:t xml:space="preserve">采购需求：</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为无纸化办案提供电子卷宗随案同步生成、纸质卷宗交接、中间库管理等全流程司法辅助服务。每年常驻人员至少31人，其中1名为项目经理。相关人员须遵守苏州市虎丘区人民法院的规章制度并接受考核，由苏州市虎丘区人民法院根据工作需要灵活调</w:t>
      </w:r>
      <w:r>
        <w:rPr>
          <w:rFonts w:ascii="Times New Roman" w:hAnsi="Times New Roman" w:eastAsia="仿宋_GB2312" w:cs="仿宋_GB2312"/>
          <w:color w:val="000000"/>
          <w:spacing w:val="0"/>
          <w:sz w:val="32"/>
          <w:szCs w:val="32"/>
          <w:highlight w:val="none"/>
        </w:rPr>
        <w:t xml:space="preserve">配至法院各部门，在立案、审理、执行等环节提供司法辅</w:t>
      </w:r>
      <w:r>
        <w:rPr>
          <w:rFonts w:ascii="Times New Roman" w:hAnsi="Times New Roman" w:eastAsia="仿宋_GB2312" w:cs="仿宋_GB2312"/>
          <w:color w:val="000000"/>
          <w:spacing w:val="-6"/>
          <w:sz w:val="32"/>
          <w:szCs w:val="32"/>
          <w:highlight w:val="none"/>
        </w:rPr>
        <w:t xml:space="preserve">助</w:t>
      </w:r>
      <w:r>
        <w:rPr>
          <w:rFonts w:ascii="Times New Roman" w:hAnsi="Times New Roman" w:eastAsia="仿宋_GB2312" w:cs="仿宋_GB2312"/>
          <w:color w:val="000000"/>
          <w:sz w:val="32"/>
          <w:szCs w:val="32"/>
          <w:highlight w:val="none"/>
        </w:rPr>
        <w:t xml:space="preserve">服务：</w:t>
      </w:r>
      <w:r>
        <w:rPr>
          <w:rFonts w:ascii="Times New Roman" w:hAnsi="Times New Roman" w:eastAsia="仿宋_GB2312" w:cs="仿宋_GB2312"/>
          <w:color w:val="000000"/>
          <w:sz w:val="32"/>
          <w:szCs w:val="32"/>
          <w:highlight w:val="none"/>
        </w:rPr>
      </w:r>
      <w:r/>
    </w:p>
    <w:p>
      <w:pPr>
        <w:pStyle w:val="958"/>
        <w:ind w:left="0" w:firstLine="640"/>
        <w:widowControl/>
        <w:rPr>
          <w:b w:val="0"/>
          <w:color w:val="000000"/>
          <w:highlight w:val="none"/>
        </w:rPr>
      </w:pPr>
      <w:r>
        <w:rPr>
          <w:rFonts w:hint="eastAsia"/>
          <w:color w:val="000000"/>
          <w:highlight w:val="none"/>
          <w:lang w:eastAsia="zh-CN"/>
        </w:rPr>
        <w:t xml:space="preserve">1.</w:t>
      </w:r>
      <w:r>
        <w:rPr>
          <w:color w:val="000000"/>
          <w:highlight w:val="none"/>
        </w:rPr>
        <w:t xml:space="preserve">无纸化中间库管理服务：</w:t>
      </w:r>
      <w:r>
        <w:rPr>
          <w:b w:val="0"/>
          <w:color w:val="000000"/>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随案生成扫描</w:t>
      </w:r>
      <w:r>
        <w:rPr>
          <w:rFonts w:hint="eastAsia" w:ascii="仿宋_GB2312" w:hAnsi="仿宋_GB2312" w:eastAsia="仿宋_GB2312" w:cs="仿宋_GB2312"/>
          <w:b w:val="0"/>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法官收到当事人递交的补充材料后，当天移交外包人员完成无纸化扫描挂接工作。庭审环节产生的所有纸质卷宗材料庭审结束后24小时内移交驻场扫描团队，团队人员对纸质材料即时扫描、修图、核对，纸质材料装盒绑定电子标签并放入中间库专用卷宗盒，并记录存址信息，驻场人员确保纸质材料24小时内完成扫描挂接。上述流程产生的纸质卷宗材料均由无纸化扫描后，归入中间库。</w:t>
      </w:r>
      <w:r>
        <w:rPr>
          <w:rFonts w:ascii="Times New Roman" w:hAnsi="Times New Roman" w:eastAsia="仿宋_GB2312" w:cs="仿宋_GB2312"/>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中间库管理</w:t>
      </w:r>
      <w:r>
        <w:rPr>
          <w:rFonts w:hint="eastAsia" w:ascii="仿宋_GB2312" w:hAnsi="仿宋_GB2312" w:eastAsia="仿宋_GB2312" w:cs="仿宋_GB2312"/>
          <w:b w:val="0"/>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通过中间库的管理，对纸质卷宗的扫描、出入流程、交接以及出库进行基于中间库信息系统的管理，达到高效、便捷、可监管等目的。无纸化过程中每个批次的材料，扫描完成后，当日完成交接手续，入中间库。中间库管理人员按照一案一档的模式。案件审判期间，若需调阅出库，需相关领导签字审批。调阅出库的材料应在结案前归还中间库。结案后纸质材料移出中间库，按照要求进行交接。根据法院无纸化办案流程可能的流程提升，对中间库软件进行相应升级管理，以适应办案流程的调整。并对中间库系统数据不定期整理、维护。响应单位须在响应文件中提供中</w:t>
      </w:r>
      <w:r>
        <w:rPr>
          <w:rFonts w:ascii="Times New Roman" w:hAnsi="Times New Roman" w:eastAsia="仿宋_GB2312" w:cs="仿宋_GB2312"/>
          <w:color w:val="000000"/>
          <w:spacing w:val="0"/>
          <w:sz w:val="32"/>
          <w:szCs w:val="32"/>
          <w:highlight w:val="none"/>
        </w:rPr>
        <w:t xml:space="preserve">间库软件数据维护方案、调整软件功能和中间库管理流程</w:t>
      </w:r>
      <w:r>
        <w:rPr>
          <w:rFonts w:ascii="Times New Roman" w:hAnsi="Times New Roman" w:eastAsia="仿宋_GB2312" w:cs="仿宋_GB2312"/>
          <w:color w:val="000000"/>
          <w:spacing w:val="-6"/>
          <w:sz w:val="32"/>
          <w:szCs w:val="32"/>
          <w:highlight w:val="none"/>
        </w:rPr>
        <w:t xml:space="preserve">等</w:t>
      </w:r>
      <w:r>
        <w:rPr>
          <w:rFonts w:ascii="Times New Roman" w:hAnsi="Times New Roman" w:eastAsia="仿宋_GB2312" w:cs="仿宋_GB2312"/>
          <w:color w:val="000000"/>
          <w:sz w:val="32"/>
          <w:szCs w:val="32"/>
          <w:highlight w:val="none"/>
        </w:rPr>
        <w:t xml:space="preserve">内容。</w:t>
      </w:r>
      <w:r>
        <w:rPr>
          <w:rFonts w:ascii="Times New Roman" w:hAnsi="Times New Roman" w:eastAsia="仿宋_GB2312" w:cs="仿宋_GB2312"/>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相关配置要求</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①</w:t>
      </w:r>
      <w:r>
        <w:rPr>
          <w:rFonts w:ascii="Times New Roman" w:hAnsi="Times New Roman" w:eastAsia="仿宋_GB2312" w:cs="仿宋_GB2312"/>
          <w:color w:val="000000"/>
          <w:sz w:val="32"/>
          <w:szCs w:val="32"/>
          <w:highlight w:val="none"/>
        </w:rPr>
        <w:t xml:space="preserve">成交人需配置数字化所需的扫描仪及中间库卷宗登记交接的相关硬件。同时，需配置无纸化流程中即时扫描、影像质检、数据移交挂接、卷宗流转、电子档案整理、电子档案备份等无纸化流程中所需的相关软件。</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②</w:t>
      </w:r>
      <w:r>
        <w:rPr>
          <w:rFonts w:ascii="Times New Roman" w:hAnsi="Times New Roman" w:eastAsia="仿宋_GB2312" w:cs="仿宋_GB2312"/>
          <w:color w:val="000000"/>
          <w:sz w:val="32"/>
          <w:szCs w:val="32"/>
          <w:highlight w:val="none"/>
        </w:rPr>
        <w:t xml:space="preserve">为保证后期电子卷宗快速顺利使用及电子归档，成交人就全流程加工的数字化影像需按照《纸质档案数字化规范》（DA／T31－2017）进行服务。</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③</w:t>
      </w:r>
      <w:r>
        <w:rPr>
          <w:rFonts w:ascii="Times New Roman" w:hAnsi="Times New Roman" w:eastAsia="仿宋_GB2312" w:cs="仿宋_GB2312"/>
          <w:color w:val="000000"/>
          <w:sz w:val="32"/>
          <w:szCs w:val="32"/>
          <w:highlight w:val="none"/>
        </w:rPr>
        <w:t xml:space="preserve">成交人使用的配套软件，必须具有足够的先进性，确保数据能够及时、质量达标、流程归档、纸质安全。如发生数据延迟、丢失或其它问题，影响到法院对于系统的数据统计及应用的，采购人有权向成交人追责。</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④</w:t>
      </w:r>
      <w:r>
        <w:rPr>
          <w:rFonts w:ascii="Times New Roman" w:hAnsi="Times New Roman" w:eastAsia="仿宋_GB2312" w:cs="仿宋_GB2312"/>
          <w:color w:val="000000"/>
          <w:sz w:val="32"/>
          <w:szCs w:val="32"/>
          <w:highlight w:val="none"/>
        </w:rPr>
        <w:t xml:space="preserve">成交人需对数据上传的时效性进行严格把控，若无法完成采购人要求，采购人有权追责。</w:t>
      </w:r>
      <w:r>
        <w:rPr>
          <w:rFonts w:hint="eastAsia" w:ascii="仿宋_GB2312" w:hAnsi="仿宋_GB2312" w:eastAsia="仿宋_GB2312" w:cs="仿宋_GB2312"/>
          <w:b w:val="0"/>
          <w:color w:val="000000"/>
          <w:sz w:val="32"/>
          <w:szCs w:val="32"/>
          <w:highlight w:val="none"/>
        </w:rPr>
      </w:r>
      <w:r/>
    </w:p>
    <w:p>
      <w:pPr>
        <w:pStyle w:val="958"/>
        <w:ind w:left="0" w:firstLine="640"/>
        <w:rPr>
          <w:rFonts w:hint="eastAsia" w:ascii="仿宋_GB2312" w:hAnsi="仿宋_GB2312" w:eastAsia="仿宋_GB2312" w:cs="仿宋_GB2312"/>
          <w:b w:val="0"/>
          <w:color w:val="000000"/>
          <w:highlight w:val="none"/>
        </w:rPr>
      </w:pPr>
      <w:r>
        <w:rPr>
          <w:rFonts w:hint="eastAsia"/>
          <w:color w:val="000000"/>
          <w:highlight w:val="none"/>
          <w:lang w:eastAsia="zh-CN"/>
        </w:rPr>
        <w:t xml:space="preserve">2.</w:t>
      </w:r>
      <w:r>
        <w:rPr>
          <w:color w:val="000000"/>
          <w:highlight w:val="none"/>
        </w:rPr>
        <w:t xml:space="preserve">司法辅助服务</w:t>
      </w:r>
      <w:r>
        <w:rPr>
          <w:rFonts w:hint="eastAsia" w:ascii="仿宋_GB2312" w:hAnsi="仿宋_GB2312" w:eastAsia="仿宋_GB2312" w:cs="仿宋_GB2312"/>
          <w:b w:val="0"/>
          <w:color w:val="000000"/>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司法辅助服务包括立案事务辅助、审判业务辅助、执行事务辅助等。</w:t>
      </w:r>
      <w:r>
        <w:rPr>
          <w:rFonts w:ascii="Times New Roman" w:hAnsi="Times New Roman" w:eastAsia="仿宋_GB2312" w:cs="仿宋_GB2312"/>
          <w:color w:val="000000"/>
          <w:sz w:val="32"/>
          <w:szCs w:val="32"/>
          <w:highlight w:val="none"/>
        </w:rPr>
      </w:r>
      <w:r/>
    </w:p>
    <w:p>
      <w:pPr>
        <w:pStyle w:val="960"/>
        <w:ind w:left="0" w:firstLine="640"/>
        <w:rPr>
          <w:rFonts w:hint="eastAsia" w:ascii="仿宋_GB2312" w:hAnsi="仿宋_GB2312" w:eastAsia="仿宋_GB2312" w:cs="仿宋_GB2312"/>
          <w:b w:val="0"/>
          <w:color w:val="000000"/>
          <w:highlight w:val="none"/>
        </w:rPr>
      </w:pPr>
      <w:r>
        <w:rPr>
          <w:rFonts w:hint="eastAsia"/>
          <w:color w:val="000000"/>
          <w:highlight w:val="none"/>
          <w:lang w:eastAsia="zh-CN"/>
        </w:rPr>
        <w:t xml:space="preserve">（1）</w:t>
      </w:r>
      <w:r>
        <w:rPr>
          <w:color w:val="000000"/>
          <w:highlight w:val="none"/>
        </w:rPr>
        <w:t xml:space="preserve">立案事务辅助 </w:t>
      </w:r>
      <w:r>
        <w:rPr>
          <w:rFonts w:hint="eastAsia" w:ascii="仿宋_GB2312" w:hAnsi="仿宋_GB2312" w:eastAsia="仿宋_GB2312" w:cs="仿宋_GB2312"/>
          <w:b w:val="0"/>
          <w:color w:val="000000"/>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立案事务辅助主要负责对当事人在诉讼服务中心立案的案件信息进行快速录入及核对工作，立案完毕后形成的相关文书印发给当事人，包括《案件受理通知书》、《诉讼费缴费通知书》、“E法桥”平台使用说明等立案辅助事务。</w:t>
      </w:r>
      <w:r>
        <w:rPr>
          <w:rFonts w:ascii="Times New Roman" w:hAnsi="Times New Roman" w:eastAsia="仿宋_GB2312" w:cs="仿宋_GB2312"/>
          <w:color w:val="000000"/>
          <w:sz w:val="32"/>
          <w:szCs w:val="32"/>
          <w:highlight w:val="none"/>
        </w:rPr>
      </w:r>
      <w:r/>
    </w:p>
    <w:p>
      <w:pPr>
        <w:pStyle w:val="960"/>
        <w:ind w:left="0" w:firstLine="640"/>
        <w:rPr>
          <w:rFonts w:hint="eastAsia" w:ascii="仿宋_GB2312" w:hAnsi="仿宋_GB2312" w:eastAsia="仿宋_GB2312" w:cs="仿宋_GB2312"/>
          <w:b w:val="0"/>
          <w:color w:val="000000"/>
          <w:highlight w:val="none"/>
        </w:rPr>
      </w:pPr>
      <w:r>
        <w:rPr>
          <w:rFonts w:hint="eastAsia"/>
          <w:color w:val="000000"/>
          <w:highlight w:val="none"/>
          <w:lang w:eastAsia="zh-CN"/>
        </w:rPr>
        <w:t xml:space="preserve">（2）</w:t>
      </w:r>
      <w:r>
        <w:rPr>
          <w:color w:val="000000"/>
          <w:highlight w:val="none"/>
        </w:rPr>
        <w:t xml:space="preserve">审判业务辅助</w:t>
      </w:r>
      <w:r>
        <w:rPr>
          <w:rFonts w:hint="eastAsia" w:ascii="仿宋_GB2312" w:hAnsi="仿宋_GB2312" w:eastAsia="仿宋_GB2312" w:cs="仿宋_GB2312"/>
          <w:b w:val="0"/>
          <w:color w:val="000000"/>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主要负责辅助案件审理，诉讼材料收转，过程性诉讼材料、当事人来信或要求转递的材料集中扫描，预约法官，辅助财产保全受理、流转，辅助排期开庭，辅助文书送达，纸质卷宗装订以及其他审判活动过程中审判辅助事务。</w:t>
      </w:r>
      <w:r>
        <w:rPr>
          <w:rFonts w:ascii="Times New Roman" w:hAnsi="Times New Roman" w:eastAsia="仿宋_GB2312" w:cs="仿宋_GB2312"/>
          <w:color w:val="000000"/>
          <w:sz w:val="32"/>
          <w:szCs w:val="32"/>
          <w:highlight w:val="none"/>
        </w:rPr>
      </w:r>
      <w:r/>
    </w:p>
    <w:p>
      <w:pPr>
        <w:pStyle w:val="960"/>
        <w:ind w:left="0" w:firstLine="640"/>
        <w:rPr>
          <w:rFonts w:hint="eastAsia" w:ascii="仿宋_GB2312" w:hAnsi="仿宋_GB2312" w:eastAsia="仿宋_GB2312" w:cs="仿宋_GB2312"/>
          <w:b w:val="0"/>
          <w:color w:val="000000"/>
          <w:highlight w:val="none"/>
        </w:rPr>
      </w:pPr>
      <w:r>
        <w:rPr>
          <w:rFonts w:hint="eastAsia"/>
          <w:color w:val="000000"/>
          <w:highlight w:val="none"/>
          <w:lang w:eastAsia="zh-CN"/>
        </w:rPr>
        <w:t xml:space="preserve">（3）</w:t>
      </w:r>
      <w:r>
        <w:rPr>
          <w:color w:val="000000"/>
          <w:highlight w:val="none"/>
        </w:rPr>
        <w:t xml:space="preserve">执行事务辅助</w:t>
      </w:r>
      <w:r>
        <w:rPr>
          <w:rFonts w:hint="eastAsia" w:ascii="仿宋_GB2312" w:hAnsi="仿宋_GB2312" w:eastAsia="仿宋_GB2312" w:cs="仿宋_GB2312"/>
          <w:b w:val="0"/>
          <w:color w:val="000000"/>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主要负责执行案件查封、解封、回复的辅助工作，同时对当事人身份信息事是否完整、执行请求是否与生效文书一致、确保执行录入信息无误。对当事人需要提交给执行法官书面材料进行统一处理后转交执行法官等。</w:t>
      </w:r>
      <w:r>
        <w:rPr>
          <w:rFonts w:ascii="Times New Roman" w:hAnsi="Times New Roman" w:eastAsia="仿宋_GB2312" w:cs="仿宋_GB2312"/>
          <w:color w:val="000000"/>
          <w:sz w:val="32"/>
          <w:szCs w:val="32"/>
          <w:highlight w:val="none"/>
        </w:rPr>
      </w:r>
      <w:r/>
    </w:p>
    <w:p>
      <w:pPr>
        <w:pStyle w:val="956"/>
        <w:ind w:left="0" w:firstLine="640"/>
        <w:rPr>
          <w:rFonts w:hint="eastAsia" w:ascii="楷体_GB2312" w:hAnsi="楷体_GB2312" w:eastAsia="楷体_GB2312" w:cs="楷体_GB2312"/>
          <w:b w:val="0"/>
          <w:color w:val="000000"/>
          <w:highlight w:val="none"/>
        </w:rPr>
      </w:pPr>
      <w:r>
        <w:rPr>
          <w:rFonts w:hint="eastAsia"/>
          <w:color w:val="000000"/>
          <w:highlight w:val="none"/>
          <w:lang w:eastAsia="zh-CN"/>
        </w:rPr>
        <w:t xml:space="preserve">（三）</w:t>
      </w:r>
      <w:r>
        <w:rPr>
          <w:color w:val="000000"/>
          <w:highlight w:val="none"/>
        </w:rPr>
        <w:t xml:space="preserve">人员要求：</w:t>
      </w:r>
      <w:r>
        <w:rPr>
          <w:rFonts w:hint="eastAsia" w:ascii="楷体_GB2312" w:hAnsi="楷体_GB2312" w:eastAsia="楷体_GB2312" w:cs="楷体_GB2312"/>
          <w:b w:val="0"/>
          <w:color w:val="000000"/>
          <w:highlight w:val="none"/>
        </w:rPr>
      </w:r>
      <w:r/>
    </w:p>
    <w:p>
      <w:pPr>
        <w:pStyle w:val="783"/>
        <w:ind w:firstLine="616"/>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项目服务人员应不少于31人，其中1名为项目经理。为保障法院审判工作的即时性，成交人需在合同签订后七个工作日内进场开展项目服务工作（包含全部服务人员及设备的进场部署工作），若成交人合同签订后七个工作日内相关服务人员及软硬件还未部署完毕，或在进场之日起七个工作日内，成交人相关工作未能通过质检的，由成交人承担因此给采购人造成的全部损失。</w:t>
      </w:r>
      <w:r>
        <w:rPr>
          <w:rFonts w:ascii="Times New Roman" w:hAnsi="Times New Roman" w:eastAsia="仿宋_GB2312" w:cs="仿宋_GB2312"/>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成交人在签订合同时需成立项目组，指定专人负责该项目，项目负责人必须为成交人具有相关项目经验的管理人员，并列出具体的项目操作标准及流程、项目实施计划、人员及保证措施。成交人需要提供针对本项目的实施方案，内容包括但不限于实施计划、进度安排、对项目进行难点分析及提出合理化建议等内容。</w:t>
      </w:r>
      <w:r>
        <w:rPr>
          <w:rFonts w:ascii="Times New Roman" w:hAnsi="Times New Roman" w:eastAsia="仿宋_GB2312" w:cs="仿宋_GB2312"/>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为保障项目的顺利实施，要求本项目实施人员在项目进场前提供身份证复印件、学历证明、无犯罪记录证明等，否则不予进场。相关实施人员需满足下列要求：</w:t>
      </w:r>
      <w:r>
        <w:rPr>
          <w:rFonts w:ascii="Times New Roman" w:hAnsi="Times New Roman" w:eastAsia="仿宋_GB2312" w:cs="仿宋_GB2312"/>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坚持四项基本原则，有良好的政治素质，遵纪守法，作风正派，品行端正，无违法犯罪记录，热爱法院工作；</w:t>
      </w:r>
      <w:r>
        <w:rPr>
          <w:rFonts w:ascii="Times New Roman" w:hAnsi="Times New Roman"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大专及以上学历；</w:t>
      </w:r>
      <w:r>
        <w:rPr>
          <w:rFonts w:ascii="Times New Roman" w:hAnsi="Times New Roman"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具有正常履行职责的身体条件和工作能力，工作责任感强，能吃苦耐劳，工作细致，能承受较强工作压力，有良好的沟通能力和团队合作精神；</w:t>
      </w:r>
      <w:r>
        <w:rPr>
          <w:rFonts w:ascii="Times New Roman" w:hAnsi="Times New Roman"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身体健康，能胜任岗位的工作，年龄在45周岁及以下；</w:t>
      </w:r>
      <w:r>
        <w:rPr>
          <w:rFonts w:ascii="Times New Roman" w:hAnsi="Times New Roman"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能熟练操作计算机、无纸化扫描软件、中间库软件；会</w:t>
      </w:r>
      <w:r>
        <w:rPr>
          <w:rFonts w:ascii="Times New Roman" w:hAnsi="Times New Roman" w:eastAsia="仿宋_GB2312" w:cs="仿宋_GB2312"/>
          <w:b w:val="0"/>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使用常用办公软件（如：Word、Excel），快速进行文字输入工作；</w:t>
      </w:r>
      <w:r>
        <w:rPr>
          <w:rFonts w:ascii="Times New Roman" w:hAnsi="Times New Roman" w:eastAsia="仿宋_GB2312" w:cs="仿宋_GB2312"/>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遵守虎丘区人民法院日常管理制度及工作规范。</w:t>
      </w:r>
      <w:r>
        <w:rPr>
          <w:rFonts w:ascii="Times New Roman" w:hAnsi="Times New Roman" w:eastAsia="仿宋_GB2312" w:cs="仿宋_GB2312"/>
          <w:b w:val="0"/>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下列人员不得担任本工作实施人员：</w:t>
      </w:r>
      <w:r>
        <w:rPr>
          <w:rFonts w:ascii="Times New Roman" w:hAnsi="Times New Roman" w:eastAsia="仿宋_GB2312" w:cs="仿宋_GB2312"/>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因犯罪受过刑事处罚的；</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曾被开除公职或辞退的；</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涉嫌违法违纪正在接受审查的。</w:t>
      </w:r>
      <w:r>
        <w:rPr>
          <w:rFonts w:hint="eastAsia" w:ascii="仿宋_GB2312" w:hAnsi="仿宋_GB2312" w:eastAsia="仿宋_GB2312" w:cs="仿宋_GB2312"/>
          <w:b w:val="0"/>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本项目对成交人的人员管理、招募、培训等要求高，要求成交人有完善的人事管理制度，包含人员招聘、培训、考核、辞退、保密管理等全流程方案，以及项目各项管理制度等相关内容。</w:t>
      </w:r>
      <w:r>
        <w:rPr>
          <w:rFonts w:ascii="Times New Roman" w:hAnsi="Times New Roman" w:eastAsia="仿宋_GB2312" w:cs="仿宋_GB2312"/>
          <w:color w:val="000000"/>
          <w:sz w:val="32"/>
          <w:szCs w:val="32"/>
          <w:highlight w:val="none"/>
        </w:rPr>
      </w:r>
      <w:r/>
    </w:p>
    <w:p>
      <w:pPr>
        <w:pStyle w:val="956"/>
        <w:ind w:left="0" w:firstLine="640"/>
        <w:rPr>
          <w:rFonts w:hint="eastAsia" w:ascii="楷体_GB2312" w:hAnsi="楷体_GB2312" w:eastAsia="楷体_GB2312" w:cs="楷体_GB2312"/>
          <w:b w:val="0"/>
          <w:color w:val="000000"/>
          <w:highlight w:val="none"/>
        </w:rPr>
      </w:pPr>
      <w:r>
        <w:rPr>
          <w:rFonts w:hint="eastAsia"/>
          <w:color w:val="000000"/>
          <w:highlight w:val="none"/>
          <w:lang w:eastAsia="zh-CN"/>
        </w:rPr>
        <w:t xml:space="preserve">（四）</w:t>
      </w:r>
      <w:r>
        <w:rPr>
          <w:color w:val="000000"/>
          <w:highlight w:val="none"/>
        </w:rPr>
        <w:t xml:space="preserve">服务管理要求</w:t>
      </w:r>
      <w:r>
        <w:rPr>
          <w:rFonts w:hint="eastAsia" w:ascii="楷体_GB2312" w:hAnsi="楷体_GB2312" w:eastAsia="楷体_GB2312" w:cs="楷体_GB2312"/>
          <w:b w:val="0"/>
          <w:color w:val="000000"/>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工作人员要服从苏州市虎丘区人民法院的安排和分配，在指定的工作场所（包括但不限于院本部、苏州互联网法庭、狮山人民法庭及综治中心等）完成事务类工作，遵守和维护工作秩序。</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响应单位在投标时</w:t>
      </w:r>
      <w:r>
        <w:rPr>
          <w:rFonts w:ascii="Times New Roman" w:hAnsi="Times New Roman" w:eastAsia="仿宋_GB2312" w:cs="仿宋_GB2312"/>
          <w:color w:val="000000"/>
          <w:sz w:val="32"/>
          <w:szCs w:val="32"/>
          <w:highlight w:val="none"/>
        </w:rPr>
        <w:t xml:space="preserve">应提供相应的保密制度及措施。人员在工作中应遵守法院系统保密规定，服务方与法院签署保密协议，加强工作人员的安全保密教育，约束工作人员保证不以任何方式对外泄露保密信息。所有工作必须在法院指定的办公区域内进行，确保场所正常秩序和安全。不得遗失、损坏卷宗材料及档案，不得损坏、丢失、涂改、抽换、伪造记录，不得进行擅自修改、复制案件资料带离工作场所等泄露审判工作秘密行为，如有违法者，将追究法律责任。参照最高人民法院、江苏省高级人民法院及苏州市中级人民法院关于卷宗和档案的保密相关要求，并遵守苏州市虎丘区人民法院相关标准。</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成交人在项目开始一个月内，成交人若未能达到采购人要求，采购人有权单方解除合约，采购人有权不支付服务费用，并且响应单位需向采购人赔偿合同总金额的30％违约金。</w:t>
      </w:r>
      <w:r>
        <w:rPr>
          <w:rFonts w:hint="eastAsia" w:ascii="仿宋_GB2312" w:hAnsi="仿宋_GB2312"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工作人员在实施服务过程中，法院有权监督检查。如发现问题，有权向服务方提出整改意见，服务方应在收到整改意见后三个工作日内将整改情况及配套管理制度等正式回函法院。</w:t>
      </w:r>
      <w:r>
        <w:rPr>
          <w:rFonts w:ascii="Times New Roman" w:hAnsi="Times New Roman"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响应单位须有完善的应急响应制度，能应对突发状况的处理制定预案、包括但不仅限于驻场现场突发情况应急预案、数据信息安全应急预案、防火应急预案及疫情防控措施等。</w:t>
      </w:r>
      <w:r>
        <w:rPr>
          <w:rFonts w:ascii="Times New Roman" w:hAnsi="Times New Roman" w:eastAsia="仿宋_GB2312" w:cs="仿宋_GB2312"/>
          <w:b w:val="0"/>
          <w:color w:val="000000"/>
          <w:sz w:val="32"/>
          <w:szCs w:val="32"/>
          <w:highlight w:val="none"/>
        </w:rPr>
      </w:r>
      <w:r/>
    </w:p>
    <w:p>
      <w:pPr>
        <w:pStyle w:val="956"/>
        <w:ind w:left="0" w:firstLine="640"/>
        <w:rPr>
          <w:rFonts w:hint="eastAsia" w:ascii="楷体_GB2312" w:hAnsi="楷体_GB2312" w:eastAsia="楷体_GB2312" w:cs="楷体_GB2312"/>
          <w:b w:val="0"/>
          <w:color w:val="000000"/>
          <w:highlight w:val="none"/>
        </w:rPr>
      </w:pPr>
      <w:r>
        <w:rPr>
          <w:rFonts w:hint="eastAsia"/>
          <w:color w:val="000000"/>
          <w:highlight w:val="none"/>
          <w:lang w:eastAsia="zh-CN"/>
        </w:rPr>
        <w:t xml:space="preserve">（五）</w:t>
      </w:r>
      <w:r>
        <w:rPr>
          <w:color w:val="000000"/>
          <w:highlight w:val="none"/>
        </w:rPr>
        <w:t xml:space="preserve">职责范围</w:t>
      </w:r>
      <w:r>
        <w:rPr>
          <w:rFonts w:hint="eastAsia" w:ascii="楷体_GB2312" w:hAnsi="楷体_GB2312" w:eastAsia="楷体_GB2312" w:cs="楷体_GB2312"/>
          <w:b w:val="0"/>
          <w:color w:val="000000"/>
          <w:highlight w:val="none"/>
        </w:rPr>
      </w:r>
      <w:r/>
    </w:p>
    <w:p>
      <w:pPr>
        <w:pStyle w:val="958"/>
        <w:ind w:left="0" w:firstLine="640"/>
        <w:rPr>
          <w:rFonts w:hint="eastAsia" w:eastAsia="仿宋_GB2312"/>
          <w:b w:val="0"/>
          <w:color w:val="000000"/>
          <w:highlight w:val="none"/>
          <w:lang w:eastAsia="zh-CN"/>
        </w:rPr>
      </w:pPr>
      <w:r>
        <w:rPr>
          <w:rFonts w:hint="eastAsia"/>
          <w:color w:val="000000"/>
          <w:highlight w:val="none"/>
          <w:lang w:eastAsia="zh-CN"/>
        </w:rPr>
        <w:t xml:space="preserve">1.</w:t>
      </w:r>
      <w:r>
        <w:rPr>
          <w:color w:val="000000"/>
          <w:highlight w:val="none"/>
        </w:rPr>
        <w:t xml:space="preserve">苏州市虎丘区人民法院职责范围</w:t>
      </w:r>
      <w:r>
        <w:rPr>
          <w:rFonts w:hint="eastAsia" w:eastAsia="仿宋_GB2312"/>
          <w:b w:val="0"/>
          <w:color w:val="000000"/>
          <w:highlight w:val="none"/>
          <w:lang w:eastAsia="zh-CN"/>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按照合同约定按期支付合同款项。</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按本合同约定及时组织验收。</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协助成交人进行项目的相关协调工作及约定期限内提供相关资料以利于开展项目。</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对成交人工作进行监督管理。</w:t>
      </w:r>
      <w:r>
        <w:rPr>
          <w:rFonts w:hint="eastAsia" w:ascii="仿宋_GB2312" w:hAnsi="仿宋_GB2312" w:eastAsia="仿宋_GB2312" w:cs="仿宋_GB2312"/>
          <w:b w:val="0"/>
          <w:color w:val="000000"/>
          <w:sz w:val="32"/>
          <w:szCs w:val="32"/>
          <w:highlight w:val="none"/>
        </w:rPr>
      </w:r>
      <w:r/>
    </w:p>
    <w:p>
      <w:pPr>
        <w:pStyle w:val="958"/>
        <w:ind w:left="0" w:firstLine="640"/>
        <w:rPr>
          <w:rFonts w:hint="eastAsia" w:eastAsia="仿宋_GB2312"/>
          <w:b w:val="0"/>
          <w:color w:val="000000"/>
          <w:highlight w:val="none"/>
          <w:lang w:eastAsia="zh-CN"/>
        </w:rPr>
      </w:pPr>
      <w:r>
        <w:rPr>
          <w:rFonts w:hint="eastAsia"/>
          <w:color w:val="000000"/>
          <w:highlight w:val="none"/>
          <w:lang w:eastAsia="zh-CN"/>
        </w:rPr>
        <w:t xml:space="preserve">2.</w:t>
      </w:r>
      <w:r>
        <w:rPr>
          <w:color w:val="000000"/>
          <w:highlight w:val="none"/>
        </w:rPr>
        <w:t xml:space="preserve">成交人职责范围</w:t>
      </w:r>
      <w:r>
        <w:rPr>
          <w:rFonts w:hint="eastAsia" w:eastAsia="仿宋_GB2312"/>
          <w:b w:val="0"/>
          <w:color w:val="000000"/>
          <w:highlight w:val="none"/>
          <w:lang w:eastAsia="zh-CN"/>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成交人按照合同约定保质保量向苏州市虎丘区人民法院提供合格的服务。工作中所需的相应设施、设备和软件及过程材料管理登记设备等，由成交人自行提供。</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成交人需保证提供服务的团队人员的数量和素质满足履行本合同的要求。招聘拟录用工作人员需要报备给虎丘区人民法院。服务期内成交人有权利和义务对工作人员的数量和工作量标准按照虎丘区人民法院业务处理的要求进行合理地调整，以达到服务的优化，但应尽可能保持工作人员相对稳定。</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成交人负责对苏州市虎丘区人民法院所提供的所有办公设备进行日常维护和保养。成交人应当正确使用法院所提供的所有办公设备，如因成交人使用不当导致设备毁损的，成交人应当承担相应的赔偿责任。</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成交人应协助法院对其派驻工作人员进行相应的培训和考核工作。</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成交人应接受法院的监督管理，对法院提出的处理意见应在3个工作日内将整改情况及配套管理制度等以正式函件方式回复人民法院，并定期汇报制度落实及推行情况。</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成交人必须遵守《中华人民共和国劳动法》的规定，为采购单位提供的服务人员如遇到工资纠纷问题由成交人自行解决。每天及双休日因工作而产生的加班费用，高温津贴，均由成交人向服务人员支付，含在投标总报价中。成交人负责完善工作人员的各项人力资源管理措施，设置专职人员负责工作人员的劳动关系管理，负责工作人员的招聘入职手续、工资计发、人事档案管理、劳动纠纷处理、绩效考核、离职手续、工作人员体检、各项社会保险及商业保险的投保、出险处理等日常管理事项，并将相关情况及时以书面形式向虎丘区人民法院反映、报告。</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（7）</w:t>
      </w:r>
      <w:r>
        <w:rPr>
          <w:rFonts w:ascii="Times New Roman" w:hAnsi="Times New Roman" w:eastAsia="仿宋_GB2312" w:cs="仿宋_GB2312"/>
          <w:color w:val="000000"/>
          <w:sz w:val="32"/>
          <w:szCs w:val="32"/>
          <w:highlight w:val="none"/>
        </w:rPr>
        <w:t xml:space="preserve">成交人须按照法律法规规定，及时为本项目配备的所有服务工作人员缴纳社会保险及人身意外险，若服务工作人员在本项目履行合同期间（服务期限内）出现的工伤及其他意外事故，均由成交人自行负责，采购人不承担任何责任。</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（8）</w:t>
      </w:r>
      <w:r>
        <w:rPr>
          <w:rFonts w:ascii="Times New Roman" w:hAnsi="Times New Roman" w:eastAsia="仿宋_GB2312" w:cs="仿宋_GB2312"/>
          <w:color w:val="000000"/>
          <w:sz w:val="32"/>
          <w:szCs w:val="32"/>
          <w:highlight w:val="none"/>
        </w:rPr>
        <w:t xml:space="preserve">成交人应协助、配合法院对辅助事务工作人员开展安全排查工作。</w:t>
      </w:r>
      <w:r>
        <w:rPr>
          <w:rFonts w:hint="eastAsia" w:ascii="仿宋_GB2312" w:hAnsi="仿宋_GB2312" w:eastAsia="仿宋_GB2312" w:cs="仿宋_GB2312"/>
          <w:b w:val="0"/>
          <w:color w:val="000000"/>
          <w:sz w:val="32"/>
          <w:szCs w:val="32"/>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（9）</w:t>
      </w:r>
      <w:r>
        <w:rPr>
          <w:rFonts w:ascii="Times New Roman" w:hAnsi="Times New Roman" w:eastAsia="仿宋_GB2312" w:cs="仿宋_GB2312"/>
          <w:color w:val="000000"/>
          <w:sz w:val="32"/>
          <w:szCs w:val="32"/>
          <w:highlight w:val="none"/>
        </w:rPr>
        <w:t xml:space="preserve">本次招标不接受联合体投标，不接受转包、分包。</w:t>
      </w:r>
      <w:r>
        <w:rPr>
          <w:rFonts w:hint="eastAsia" w:ascii="仿宋_GB2312" w:hAnsi="仿宋_GB2312" w:eastAsia="仿宋_GB2312" w:cs="仿宋_GB2312"/>
          <w:b w:val="0"/>
          <w:color w:val="000000"/>
          <w:sz w:val="32"/>
          <w:szCs w:val="32"/>
          <w:highlight w:val="none"/>
        </w:rPr>
      </w:r>
      <w:r/>
    </w:p>
    <w:p>
      <w:pPr>
        <w:pStyle w:val="956"/>
        <w:ind w:left="0" w:firstLine="640"/>
        <w:rPr>
          <w:rFonts w:hint="eastAsia" w:ascii="楷体_GB2312" w:hAnsi="楷体_GB2312" w:eastAsia="楷体_GB2312" w:cs="楷体_GB2312"/>
          <w:b w:val="0"/>
          <w:color w:val="000000"/>
          <w:highlight w:val="none"/>
        </w:rPr>
      </w:pPr>
      <w:r>
        <w:rPr>
          <w:rFonts w:hint="eastAsia"/>
          <w:color w:val="000000"/>
          <w:highlight w:val="none"/>
          <w:lang w:eastAsia="zh-CN"/>
        </w:rPr>
        <w:t xml:space="preserve">（六）</w:t>
      </w:r>
      <w:r>
        <w:rPr>
          <w:color w:val="000000"/>
          <w:highlight w:val="none"/>
        </w:rPr>
        <w:t xml:space="preserve">验收基本要求</w:t>
      </w:r>
      <w:r>
        <w:rPr>
          <w:rFonts w:hint="eastAsia" w:ascii="楷体_GB2312" w:hAnsi="楷体_GB2312" w:eastAsia="楷体_GB2312" w:cs="楷体_GB2312"/>
          <w:b w:val="0"/>
          <w:color w:val="000000"/>
          <w:highlight w:val="none"/>
        </w:rPr>
      </w:r>
      <w:r/>
    </w:p>
    <w:p>
      <w:pPr>
        <w:pStyle w:val="958"/>
        <w:ind w:left="0" w:firstLine="640"/>
        <w:rPr>
          <w:rFonts w:hint="eastAsia" w:ascii="仿宋_GB2312" w:hAnsi="仿宋_GB2312" w:eastAsia="仿宋_GB2312" w:cs="仿宋_GB2312"/>
          <w:b w:val="0"/>
          <w:color w:val="000000"/>
          <w:highlight w:val="none"/>
        </w:rPr>
      </w:pPr>
      <w:r>
        <w:rPr>
          <w:rFonts w:hint="eastAsia"/>
          <w:color w:val="000000"/>
          <w:highlight w:val="none"/>
          <w:lang w:eastAsia="zh-CN"/>
        </w:rPr>
        <w:t xml:space="preserve">1.</w:t>
      </w:r>
      <w:r>
        <w:rPr>
          <w:color w:val="000000"/>
          <w:highlight w:val="none"/>
        </w:rPr>
        <w:t xml:space="preserve">数据抽检验收标准</w:t>
      </w:r>
      <w:r>
        <w:rPr>
          <w:rFonts w:hint="eastAsia" w:ascii="仿宋_GB2312" w:hAnsi="仿宋_GB2312" w:eastAsia="仿宋_GB2312" w:cs="仿宋_GB2312"/>
          <w:b w:val="0"/>
          <w:color w:val="000000"/>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以抽检的方式检查已完成的相关业务产生的数据，包括目录数据库、图像文件及数据挂接及司法辅助业务等的总体质量。</w:t>
      </w:r>
      <w:r>
        <w:rPr>
          <w:rFonts w:ascii="Times New Roman" w:hAnsi="Times New Roman" w:eastAsia="仿宋_GB2312" w:cs="仿宋_GB2312"/>
          <w:color w:val="000000"/>
          <w:sz w:val="32"/>
          <w:szCs w:val="32"/>
          <w:highlight w:val="none"/>
        </w:rPr>
      </w:r>
      <w:r/>
    </w:p>
    <w:p>
      <w:pPr>
        <w:pStyle w:val="958"/>
        <w:ind w:left="0" w:firstLine="640"/>
        <w:rPr>
          <w:b w:val="0"/>
          <w:color w:val="000000"/>
          <w:highlight w:val="none"/>
        </w:rPr>
      </w:pPr>
      <w:r>
        <w:rPr>
          <w:rFonts w:hint="eastAsia"/>
          <w:color w:val="000000"/>
          <w:highlight w:val="none"/>
          <w:lang w:eastAsia="zh-CN"/>
        </w:rPr>
        <w:t xml:space="preserve">2.</w:t>
      </w:r>
      <w:r>
        <w:rPr>
          <w:color w:val="000000"/>
          <w:highlight w:val="none"/>
        </w:rPr>
        <w:t xml:space="preserve">人员管理验收标准</w:t>
      </w:r>
      <w:r>
        <w:rPr>
          <w:b w:val="0"/>
          <w:color w:val="000000"/>
          <w:highlight w:val="none"/>
        </w:rPr>
      </w:r>
      <w:r/>
    </w:p>
    <w:p>
      <w:pPr>
        <w:pStyle w:val="783"/>
        <w:ind w:left="0" w:firstLine="616"/>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2.1</w:t>
      </w:r>
      <w:r>
        <w:rPr>
          <w:rFonts w:ascii="Times New Roman" w:hAnsi="Times New Roman" w:eastAsia="仿宋_GB2312" w:cs="仿宋_GB2312"/>
          <w:color w:val="000000"/>
          <w:sz w:val="32"/>
          <w:szCs w:val="32"/>
          <w:highlight w:val="none"/>
        </w:rPr>
        <w:t xml:space="preserve">配备固定驻场工作人员，人员稳定在岗。</w:t>
      </w:r>
      <w:r>
        <w:rPr>
          <w:rFonts w:hint="eastAsia" w:ascii="仿宋_GB2312" w:hAnsi="仿宋_GB2312"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2.2</w:t>
      </w:r>
      <w:r>
        <w:rPr>
          <w:rFonts w:ascii="Times New Roman" w:hAnsi="Times New Roman" w:eastAsia="仿宋_GB2312" w:cs="仿宋_GB2312"/>
          <w:color w:val="000000"/>
          <w:sz w:val="32"/>
          <w:szCs w:val="32"/>
          <w:highlight w:val="none"/>
        </w:rPr>
        <w:t xml:space="preserve">遵守法院各项管理规定，恪守保密工作要求。</w:t>
      </w:r>
      <w:r>
        <w:rPr>
          <w:rFonts w:ascii="Times New Roman" w:hAnsi="Times New Roman"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2.3</w:t>
      </w:r>
      <w:r>
        <w:rPr>
          <w:rFonts w:ascii="Times New Roman" w:hAnsi="Times New Roman" w:eastAsia="仿宋_GB2312" w:cs="仿宋_GB2312"/>
          <w:color w:val="000000"/>
          <w:sz w:val="32"/>
          <w:szCs w:val="32"/>
          <w:highlight w:val="none"/>
        </w:rPr>
        <w:t xml:space="preserve">履职到位，服从工作安排，具备对应业务能力。</w:t>
      </w:r>
      <w:r>
        <w:rPr>
          <w:rFonts w:ascii="Times New Roman" w:hAnsi="Times New Roman" w:eastAsia="仿宋_GB2312" w:cs="仿宋_GB2312"/>
          <w:b w:val="0"/>
          <w:color w:val="000000"/>
          <w:sz w:val="32"/>
          <w:szCs w:val="32"/>
          <w:highlight w:val="none"/>
        </w:rPr>
      </w:r>
      <w:r/>
    </w:p>
    <w:p>
      <w:pPr>
        <w:pStyle w:val="783"/>
        <w:ind w:left="0" w:firstLine="616"/>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2.4</w:t>
      </w:r>
      <w:r>
        <w:rPr>
          <w:rFonts w:ascii="Times New Roman" w:hAnsi="Times New Roman" w:eastAsia="仿宋_GB2312" w:cs="仿宋_GB2312"/>
          <w:color w:val="000000"/>
          <w:sz w:val="32"/>
          <w:szCs w:val="32"/>
          <w:highlight w:val="none"/>
        </w:rPr>
        <w:t xml:space="preserve">参与季度人员考评，考评合格正常履职。</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（七）</w:t>
      </w:r>
      <w:r>
        <w:rPr>
          <w:color w:val="000000"/>
          <w:highlight w:val="none"/>
        </w:rPr>
        <w:t xml:space="preserve">报价要求： </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1.</w:t>
      </w:r>
      <w:r>
        <w:rPr>
          <w:rStyle w:val="959"/>
          <w:color w:val="000000"/>
          <w:highlight w:val="none"/>
        </w:rPr>
        <w:t xml:space="preserve">人民币报价，响应单位应对所投项目的全部内容进行报价，只投其中部分内容者，其投标文件将被拒绝</w:t>
      </w:r>
      <w:r>
        <w:rPr>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2.</w:t>
      </w:r>
      <w:r>
        <w:rPr>
          <w:rStyle w:val="959"/>
          <w:color w:val="000000"/>
          <w:highlight w:val="none"/>
        </w:rPr>
        <w:t xml:space="preserve">报价要求</w:t>
      </w:r>
      <w:r>
        <w:rPr>
          <w:rFonts w:ascii="Times New Roman" w:hAnsi="Times New Roman" w:eastAsia="仿宋_GB2312" w:cs="仿宋_GB2312"/>
          <w:color w:val="000000"/>
          <w:sz w:val="32"/>
          <w:szCs w:val="32"/>
          <w:highlight w:val="none"/>
        </w:rPr>
        <w:t xml:space="preserve">：人民币报价，磋商响应单位应对所投项目的全部内容进行报价，只投其中部分内容者，其投标文件将被拒绝。</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3.</w:t>
      </w:r>
      <w:r>
        <w:rPr>
          <w:rStyle w:val="959"/>
          <w:color w:val="000000"/>
          <w:highlight w:val="none"/>
        </w:rPr>
        <w:t xml:space="preserve">报价应包含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Times New Roman" w:hAnsi="Times New Roman" w:eastAsia="仿宋_GB2312" w:cs="仿宋_GB2312"/>
          <w:color w:val="000000"/>
          <w:sz w:val="32"/>
          <w:szCs w:val="32"/>
          <w:highlight w:val="none"/>
        </w:rPr>
        <w:t xml:space="preserve">。遇到法律法规规定的最低工资调整，其中人工费用相应浮动，由供应商自行承担。</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黑体" w:hAnsi="黑体" w:eastAsia="黑体" w:cs="黑体"/>
          <w:color w:val="000000"/>
          <w:spacing w:val="0"/>
          <w:sz w:val="32"/>
          <w:szCs w:val="32"/>
          <w:highlight w:val="none"/>
          <w:lang w:val="en-US" w:eastAsia="zh-CN"/>
        </w:rPr>
      </w:pPr>
      <w:r>
        <w:rPr>
          <w:rFonts w:hint="eastAsia" w:ascii="黑体" w:hAnsi="黑体" w:eastAsia="黑体" w:cs="黑体"/>
          <w:color w:val="000000"/>
          <w:spacing w:val="0"/>
          <w:sz w:val="32"/>
          <w:szCs w:val="32"/>
          <w:highlight w:val="none"/>
          <w:lang w:val="en-US" w:eastAsia="zh-CN"/>
        </w:rPr>
        <w:t xml:space="preserve">六、综合说明</w:t>
      </w:r>
      <w:r>
        <w:rPr>
          <w:rFonts w:hint="eastAsia" w:ascii="黑体" w:hAnsi="黑体" w:eastAsia="黑体" w:cs="黑体"/>
          <w:color w:val="000000"/>
          <w:spacing w:val="0"/>
          <w:sz w:val="32"/>
          <w:szCs w:val="32"/>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本次采购不接受联合投标。</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响应单位必须承诺满足磋商文件中提出的全部内容，如果其中某些内容不响应时，应在响应文件中（偏离表）逐条列出，未列出的视同响应。</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响应单位应对所投项目的全部内容进行报价，只投其中部分内容者，其招标文件将被拒绝。</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项目服务过程中，成交人应以优良的服务态度，便利、快捷的方式在接到采购人通知后及时响应到达指定现场并负责解决相关问题，保证全程伴随服务。</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其他优惠条件，请予以书面说明。</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成交人不得以任何形式将服务进行转包，如有此等情况发生，采购单位有权提前终止合同，成交人将承担相应的责任。</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w:t>
      </w:r>
      <w:r>
        <w:rPr>
          <w:rFonts w:ascii="Times New Roman" w:hAnsi="Times New Roman" w:eastAsia="仿宋_GB2312" w:cs="仿宋_GB2312"/>
          <w:color w:val="000000"/>
          <w:sz w:val="32"/>
          <w:szCs w:val="32"/>
          <w:highlight w:val="none"/>
        </w:rPr>
        <w:t xml:space="preserve">付款方式：详见合同主要条款。</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8.</w:t>
      </w:r>
      <w:r>
        <w:rPr>
          <w:rFonts w:ascii="Times New Roman" w:hAnsi="Times New Roman" w:eastAsia="仿宋_GB2312" w:cs="仿宋_GB2312"/>
          <w:color w:val="000000"/>
          <w:sz w:val="32"/>
          <w:szCs w:val="32"/>
          <w:highlight w:val="none"/>
        </w:rPr>
        <w:t xml:space="preserve">凡涉及采购文件的补充说明和修改，均以苏州市政府采购网及政府采购指定相关媒体发布的公告为准。</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黑体" w:hAnsi="黑体" w:eastAsia="黑体" w:cs="黑体"/>
          <w:color w:val="000000"/>
          <w:spacing w:val="0"/>
          <w:sz w:val="32"/>
          <w:szCs w:val="32"/>
          <w:highlight w:val="none"/>
          <w:lang w:val="en-US" w:eastAsia="zh-CN"/>
        </w:rPr>
      </w:pPr>
      <w:r>
        <w:rPr>
          <w:rFonts w:hint="eastAsia" w:ascii="黑体" w:hAnsi="黑体" w:eastAsia="黑体" w:cs="黑体"/>
          <w:color w:val="000000"/>
          <w:spacing w:val="0"/>
          <w:sz w:val="32"/>
          <w:szCs w:val="32"/>
          <w:highlight w:val="none"/>
          <w:lang w:val="en-US" w:eastAsia="zh-CN"/>
        </w:rPr>
        <w:t xml:space="preserve">七、政府采购政策</w:t>
      </w:r>
      <w:r>
        <w:rPr>
          <w:rFonts w:hint="eastAsia" w:ascii="黑体" w:hAnsi="黑体" w:eastAsia="黑体" w:cs="黑体"/>
          <w:color w:val="000000"/>
          <w:spacing w:val="0"/>
          <w:sz w:val="32"/>
          <w:szCs w:val="32"/>
          <w:highlight w:val="none"/>
          <w:lang w:val="en-US"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（一）</w:t>
      </w:r>
      <w:r>
        <w:rPr>
          <w:rFonts w:ascii="Times New Roman" w:hAnsi="Times New Roman" w:eastAsia="仿宋_GB2312" w:cs="仿宋_GB2312"/>
          <w:color w:val="000000"/>
          <w:sz w:val="32"/>
          <w:szCs w:val="32"/>
          <w:highlight w:val="none"/>
        </w:rPr>
        <w:t xml:space="preserve">节能产品和环境标志产品：本项目不适用。</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（二）</w:t>
      </w:r>
      <w:r>
        <w:rPr>
          <w:rFonts w:ascii="Times New Roman" w:hAnsi="Times New Roman" w:eastAsia="仿宋_GB2312" w:cs="仿宋_GB2312"/>
          <w:color w:val="000000"/>
          <w:sz w:val="32"/>
          <w:szCs w:val="32"/>
          <w:highlight w:val="none"/>
        </w:rPr>
        <w:t xml:space="preserve">小微企业的政府采购政策：</w:t>
      </w:r>
      <w:bookmarkStart w:id="15" w:name="_Toc154338097"/>
      <w:r/>
      <w:bookmarkStart w:id="16" w:name="_Toc81631037"/>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b/>
          <w:color w:val="000000"/>
          <w:sz w:val="32"/>
          <w:szCs w:val="32"/>
          <w:highlight w:val="none"/>
        </w:rPr>
        <w:t xml:space="preserve">根据财政部、工业和信息化部关于印发《政府采购促进中小企业发展管理办法》的通知规定：</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u w:val="single"/>
        </w:rPr>
      </w:pPr>
      <w:r>
        <w:rPr>
          <w:rFonts w:hint="eastAsia" w:cs="仿宋_GB2312"/>
          <w:b/>
          <w:color w:val="000000"/>
          <w:sz w:val="32"/>
          <w:szCs w:val="32"/>
          <w:highlight w:val="none"/>
          <w:u w:val="single"/>
          <w:lang w:eastAsia="zh-CN"/>
        </w:rPr>
        <w:t xml:space="preserve">1.</w:t>
      </w:r>
      <w:r>
        <w:rPr>
          <w:rFonts w:ascii="Times New Roman" w:hAnsi="Times New Roman" w:eastAsia="仿宋_GB2312" w:cs="仿宋_GB2312"/>
          <w:b/>
          <w:color w:val="000000"/>
          <w:sz w:val="32"/>
          <w:szCs w:val="32"/>
          <w:highlight w:val="none"/>
          <w:u w:val="single"/>
        </w:rPr>
        <w:t xml:space="preserve">本项目属于专门面向中小企业的采购。 所属行业：租赁和商务服务业。</w:t>
      </w:r>
      <w:r>
        <w:rPr>
          <w:rFonts w:ascii="Times New Roman" w:hAnsi="Times New Roman" w:eastAsia="仿宋_GB2312" w:cs="仿宋_GB2312"/>
          <w:b/>
          <w:color w:val="000000"/>
          <w:sz w:val="32"/>
          <w:szCs w:val="32"/>
          <w:highlight w:val="none"/>
          <w:u w:val="singl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2.</w:t>
      </w:r>
      <w:r>
        <w:rPr>
          <w:rFonts w:ascii="Times New Roman" w:hAnsi="Times New Roman" w:eastAsia="仿宋_GB2312" w:cs="仿宋_GB2312"/>
          <w:b/>
          <w:color w:val="000000"/>
          <w:sz w:val="32"/>
          <w:szCs w:val="32"/>
          <w:highlight w:val="none"/>
        </w:rPr>
        <w:t xml:space="preserve">依据《政府采购促进中小企业发展管理办法》规定享受扶持政策获得政府采购合同的，小微企业不得将合同分包给大中型企业，中型企业不得将合同分包给大型企业。 </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3.</w:t>
      </w:r>
      <w:r>
        <w:rPr>
          <w:rFonts w:ascii="Times New Roman" w:hAnsi="Times New Roman" w:eastAsia="仿宋_GB2312" w:cs="仿宋_GB2312"/>
          <w:b/>
          <w:color w:val="000000"/>
          <w:sz w:val="32"/>
          <w:szCs w:val="32"/>
          <w:highlight w:val="none"/>
        </w:rPr>
        <w:t xml:space="preserve">中小企业参加政府采购活动，应当出具《政府采购促进中小企业发展管理办法》附件规定《中小企业声明函》，否则不得享受相关中小企业扶持政策。 </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4.</w:t>
      </w:r>
      <w:r>
        <w:rPr>
          <w:rFonts w:ascii="Times New Roman" w:hAnsi="Times New Roman" w:eastAsia="仿宋_GB2312" w:cs="仿宋_GB2312"/>
          <w:b/>
          <w:color w:val="000000"/>
          <w:sz w:val="32"/>
          <w:szCs w:val="32"/>
          <w:highlight w:val="none"/>
        </w:rPr>
        <w:t xml:space="preserve">在本服务采购项目中，服务由中小企业承接的，才可享受中小企业扶持政策。</w:t>
      </w:r>
      <w:r>
        <w:rPr>
          <w:rFonts w:ascii="Times New Roman" w:hAnsi="Times New Roman" w:eastAsia="仿宋_GB2312" w:cs="仿宋_GB2312"/>
          <w:b/>
          <w:color w:val="000000"/>
          <w:sz w:val="32"/>
          <w:szCs w:val="32"/>
          <w:highlight w:val="none"/>
        </w:rPr>
      </w:r>
      <w:r/>
    </w:p>
    <w:p>
      <w:pPr>
        <w:pStyle w:val="783"/>
        <w:ind w:left="0" w:firstLine="619"/>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5.</w:t>
      </w:r>
      <w:r>
        <w:rPr>
          <w:rFonts w:ascii="Times New Roman" w:hAnsi="Times New Roman" w:eastAsia="仿宋_GB2312" w:cs="仿宋_GB2312"/>
          <w:b/>
          <w:color w:val="000000"/>
          <w:sz w:val="32"/>
          <w:szCs w:val="32"/>
          <w:highlight w:val="none"/>
        </w:rPr>
        <w:t xml:space="preserve">若供应商提供的《中小企业声明函》为虚假声明则视同提供虚假材料，按政府采购相关规定处理并报请政府监管部门给予行政处罚。</w:t>
      </w:r>
      <w:r>
        <w:rPr>
          <w:rFonts w:ascii="Times New Roman" w:hAnsi="Times New Roman" w:eastAsia="仿宋_GB2312" w:cs="仿宋_GB2312"/>
          <w:b/>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（三）</w:t>
      </w:r>
      <w:r>
        <w:rPr>
          <w:rFonts w:ascii="Times New Roman" w:hAnsi="Times New Roman" w:eastAsia="仿宋_GB2312" w:cs="仿宋_GB2312"/>
          <w:color w:val="000000"/>
          <w:sz w:val="32"/>
          <w:szCs w:val="32"/>
          <w:highlight w:val="none"/>
        </w:rPr>
        <w:t xml:space="preserve">关于符合本国产品标准：本项目不适用。</w:t>
      </w:r>
      <w:r>
        <w:rPr>
          <w:rFonts w:ascii="Times New Roman" w:hAnsi="Times New Roman" w:eastAsia="仿宋_GB2312" w:cs="仿宋_GB2312"/>
          <w:b w:val="0"/>
          <w:color w:val="000000"/>
          <w:sz w:val="32"/>
          <w:szCs w:val="32"/>
          <w:highlight w:val="none"/>
        </w:rPr>
      </w:r>
      <w:r/>
    </w:p>
    <w:p>
      <w:pPr>
        <w:pStyle w:val="777"/>
        <w:ind w:right="-161" w:firstLine="0"/>
        <w:jc w:val="both"/>
        <w:pageBreakBefore w:val="0"/>
        <w:spacing w:line="400" w:lineRule="exact"/>
        <w:rPr>
          <w:rFonts w:hint="eastAsia" w:ascii="Times New Roman" w:hAnsi="Times New Roman"/>
          <w:color w:val="000000"/>
          <w:szCs w:val="21"/>
          <w:highlight w:val="none"/>
          <w:lang w:val="zh-CN"/>
        </w:rPr>
      </w:pPr>
      <w:r>
        <w:rPr>
          <w:rFonts w:hint="eastAsia" w:ascii="Times New Roman" w:hAnsi="Times New Roman"/>
          <w:color w:val="000000"/>
          <w:szCs w:val="21"/>
          <w:highlight w:val="none"/>
          <w:lang w:val="zh-CN"/>
        </w:rPr>
      </w:r>
      <w:r/>
    </w:p>
    <w:p>
      <w:pPr>
        <w:pStyle w:val="777"/>
        <w:ind w:right="-161" w:firstLine="0"/>
        <w:jc w:val="both"/>
        <w:pageBreakBefore w:val="0"/>
        <w:spacing w:line="400" w:lineRule="exact"/>
        <w:rPr>
          <w:rFonts w:hint="eastAsia" w:ascii="宋体" w:hAnsi="宋体" w:eastAsia="方正仿宋_GB2312" w:cs="宋体"/>
          <w:b/>
          <w:bCs/>
          <w:color w:val="000000"/>
          <w:szCs w:val="21"/>
          <w:highlight w:val="none"/>
          <w:lang w:val="en-US" w:eastAsia="zh-CN"/>
        </w:rPr>
      </w:pPr>
      <w:r/>
      <w:bookmarkEnd w:id="15"/>
      <w:r/>
      <w:bookmarkEnd w:id="16"/>
      <w:r>
        <w:rPr>
          <w:rFonts w:hint="eastAsia" w:ascii="宋体" w:hAnsi="宋体" w:eastAsia="方正仿宋_GB2312" w:cs="宋体"/>
          <w:b/>
          <w:bCs/>
          <w:color w:val="000000"/>
          <w:szCs w:val="21"/>
          <w:highlight w:val="none"/>
          <w:lang w:val="en-US" w:eastAsia="zh-CN"/>
        </w:rPr>
      </w:r>
      <w:r/>
    </w:p>
    <w:p>
      <w:pPr>
        <w:pStyle w:val="969"/>
        <w:rPr>
          <w:b w:val="0"/>
          <w:color w:val="000000"/>
          <w:highlight w:val="none"/>
        </w:rPr>
      </w:pPr>
      <w:r>
        <w:rPr>
          <w:color w:val="000000"/>
          <w:highlight w:val="none"/>
        </w:rPr>
        <w:br w:type="page" w:clear="all"/>
      </w:r>
      <w:r>
        <w:rPr>
          <w:rFonts w:hint="eastAsia"/>
          <w:color w:val="000000"/>
          <w:highlight w:val="none"/>
          <w:lang w:eastAsia="zh-CN"/>
        </w:rPr>
        <w:t xml:space="preserve">第四</w:t>
      </w:r>
      <w:r>
        <w:rPr>
          <w:rFonts w:hint="eastAsia" w:ascii="黑体" w:hAnsi="黑体" w:eastAsia="黑体" w:cs="黑体"/>
          <w:bCs/>
          <w:color w:val="000000"/>
          <w:spacing w:val="-6"/>
          <w:sz w:val="32"/>
          <w:szCs w:val="32"/>
          <w:highlight w:val="none"/>
          <w:lang w:eastAsia="zh-CN" w:bidi="ar-SA"/>
        </w:rPr>
        <w:t xml:space="preserve">章</w:t>
      </w:r>
      <w:r>
        <w:rPr>
          <w:rFonts w:hint="eastAsia"/>
          <w:color w:val="000000"/>
          <w:highlight w:val="none"/>
          <w:lang w:eastAsia="zh-CN"/>
        </w:rPr>
        <w:t xml:space="preserve"> </w:t>
      </w:r>
      <w:r>
        <w:rPr>
          <w:color w:val="000000"/>
          <w:highlight w:val="none"/>
        </w:rPr>
        <w:t xml:space="preserve">评审方法及评分标准</w:t>
      </w:r>
      <w:r>
        <w:rPr>
          <w:b w:val="0"/>
          <w:color w:val="000000"/>
          <w:highlight w:val="none"/>
        </w:rPr>
      </w:r>
      <w:r/>
    </w:p>
    <w:p>
      <w:pPr>
        <w:pStyle w:val="954"/>
        <w:ind w:left="0" w:firstLine="640"/>
        <w:widowControl/>
        <w:rPr>
          <w:b w:val="0"/>
          <w:color w:val="000000"/>
          <w:highlight w:val="none"/>
        </w:rPr>
      </w:pPr>
      <w:r>
        <w:rPr>
          <w:rFonts w:hint="eastAsia"/>
          <w:color w:val="000000"/>
          <w:highlight w:val="none"/>
          <w:lang w:eastAsia="zh-CN"/>
        </w:rPr>
        <w:t xml:space="preserve">一、</w:t>
      </w:r>
      <w:r>
        <w:rPr>
          <w:color w:val="000000"/>
          <w:highlight w:val="none"/>
        </w:rPr>
        <w:t xml:space="preserve">评审方法</w:t>
      </w:r>
      <w:r>
        <w:rPr>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本次磋商采用综合评分法，即在满足竞争性磋商文件实质性要求前提下，按评审因素的量化指标评审得分最高的供应商为成交供应商。采购人书面授权磋商小组直接确定成交供应商。评审因素及各比重如下：价格分值占总分值的比重为20％（权重），技术与质量及其它占80％（权重）。（保留小数点后2位）</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综合评分的主要因素为：价格、技术水平、履约能力、售后服务等，对采购文件的响应程度，以及相应的商务标和技术标比重或者分值等。</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评标时，评审小组各评委分别对每个有效响应单位的磋商响应文件（报价除外）进行评价、打分，对评委的评分（除价格分外）进行统计汇总，按算术平均方法计算出每个响应单位的得分；报价得分直接计算取得，二者相加为响应单位的总得分，综合得分最高者为中标人。（保留小数点后2位）</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响应单位为中标人。</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如响应单位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针对中小型企业、残疾人福利企业和监狱企业的评审：</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ascii="Times New Roman" w:hAnsi="Times New Roman" w:eastAsia="仿宋_GB2312" w:cs="仿宋_GB2312"/>
          <w:b/>
          <w:color w:val="000000"/>
          <w:sz w:val="32"/>
          <w:szCs w:val="32"/>
          <w:highlight w:val="none"/>
        </w:rPr>
        <w:t xml:space="preserve">本项目为专门面向中小企业采购的项目，不再执行价格评审优惠的扶持政策。</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响应单位必须提供《中小企业声明函》或《残疾人福利性单位声明函》或由省级以上监狱管理局、戒毒管理局（含新疆生产建设兵团）出具的属于监狱企业的证明文件。</w:t>
      </w:r>
      <w:r>
        <w:rPr>
          <w:rFonts w:ascii="Times New Roman" w:hAnsi="Times New Roman" w:eastAsia="仿宋_GB2312" w:cs="仿宋_GB2312"/>
          <w:b/>
          <w:color w:val="000000"/>
          <w:sz w:val="32"/>
          <w:szCs w:val="32"/>
          <w:highlight w:val="none"/>
        </w:rPr>
        <w:t xml:space="preserve">服务类项目中响应单位若使用退休人员，将不享受中小企业扶持政策。</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注：</w:t>
      </w:r>
      <w:r>
        <w:rPr>
          <w:rFonts w:ascii="Times New Roman" w:hAnsi="Times New Roman" w:eastAsia="仿宋_GB2312" w:cs="仿宋_GB2312"/>
          <w:b/>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①</w:t>
      </w:r>
      <w:r>
        <w:rPr>
          <w:rFonts w:ascii="Times New Roman" w:hAnsi="Times New Roman" w:eastAsia="仿宋_GB2312" w:cs="仿宋_GB2312"/>
          <w:color w:val="000000"/>
          <w:sz w:val="32"/>
          <w:szCs w:val="32"/>
          <w:highlight w:val="none"/>
        </w:rPr>
        <w:t xml:space="preserve">填报“中小企业声明函”需严格按“工信部联企业〔2011〕300号通知中的《中小企业划型标准规定》进行。</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②</w:t>
      </w:r>
      <w:r>
        <w:rPr>
          <w:rFonts w:ascii="Times New Roman" w:hAnsi="Times New Roman" w:eastAsia="仿宋_GB2312" w:cs="仿宋_GB2312"/>
          <w:color w:val="000000"/>
          <w:sz w:val="32"/>
          <w:szCs w:val="32"/>
          <w:highlight w:val="none"/>
        </w:rPr>
        <w:t xml:space="preserve">若响应单位提供的声明函或认定证明为虚假材料，按“政府采购法”相关规定处理并报请政府监管部门给予行政处罚。</w:t>
      </w:r>
      <w:r>
        <w:rPr>
          <w:rFonts w:ascii="Times New Roman" w:hAnsi="Times New Roman" w:eastAsia="仿宋_GB2312" w:cs="仿宋_GB2312"/>
          <w:b w:val="0"/>
          <w:color w:val="000000"/>
          <w:sz w:val="32"/>
          <w:szCs w:val="32"/>
          <w:highlight w:val="none"/>
        </w:rPr>
      </w:r>
      <w:r/>
    </w:p>
    <w:p>
      <w:pPr>
        <w:pStyle w:val="954"/>
        <w:ind w:left="0" w:firstLine="640"/>
        <w:widowControl/>
        <w:rPr>
          <w:b w:val="0"/>
          <w:color w:val="000000"/>
          <w:highlight w:val="none"/>
        </w:rPr>
      </w:pPr>
      <w:r>
        <w:rPr>
          <w:rFonts w:hint="eastAsia"/>
          <w:color w:val="000000"/>
          <w:highlight w:val="none"/>
          <w:lang w:eastAsia="zh-CN"/>
        </w:rPr>
        <w:t xml:space="preserve">二、</w:t>
      </w:r>
      <w:r>
        <w:rPr>
          <w:color w:val="000000"/>
          <w:highlight w:val="none"/>
        </w:rPr>
        <w:t xml:space="preserve">评分标准</w:t>
      </w:r>
      <w:r>
        <w:rPr>
          <w:b w:val="0"/>
          <w:color w:val="000000"/>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（一）</w:t>
      </w:r>
      <w:r>
        <w:rPr>
          <w:color w:val="000000"/>
          <w:highlight w:val="none"/>
        </w:rPr>
        <w:t xml:space="preserve">价格（20分）</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以通过资格审查，实质性响应采购文件要求且报价最低的投标报价为评标基准价（须未超过采购预算或最高限价（如有）），其价格分为满分20分。其他磋商响应供应商的价格分统一按照下列公式计算：</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投标报价得分＝（评标基准价／投标报价）X价格权值X100（价格权值为20％）</w:t>
      </w:r>
      <w:r>
        <w:rPr>
          <w:rFonts w:ascii="Times New Roman" w:hAnsi="Times New Roman" w:eastAsia="仿宋_GB2312" w:cs="仿宋_GB2312"/>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（二）</w:t>
      </w:r>
      <w:r>
        <w:rPr>
          <w:color w:val="000000"/>
          <w:highlight w:val="none"/>
        </w:rPr>
        <w:t xml:space="preserve">服务方案（60分）</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响应单位根据对项目的理解，提供整体项目服务方案中包含：</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1.</w:t>
      </w:r>
      <w:r>
        <w:rPr>
          <w:rStyle w:val="959"/>
          <w:color w:val="000000"/>
          <w:highlight w:val="none"/>
        </w:rPr>
        <w:t xml:space="preserve">项目理解及重难点分析（3分）</w:t>
      </w:r>
      <w:r>
        <w:rPr>
          <w:rFonts w:ascii="Times New Roman" w:hAnsi="Times New Roman" w:eastAsia="仿宋_GB2312" w:cs="仿宋_GB2312"/>
          <w:color w:val="000000"/>
          <w:sz w:val="32"/>
          <w:szCs w:val="32"/>
          <w:highlight w:val="none"/>
        </w:rPr>
        <w:t xml:space="preserve">：响应单位需要对项目的背景、现状、目标、内容、规模等要素有清晰的认识，详细阐述项目的重难点，并提出相应的解决措施，项目理解需求分析与采购文件中的要求契合并对关键节点提出创新性的观点和解决思路，能够提升项目的整体效果或效率。难点分析全面、措施得当、需求理解契合度高、关键节点效率高的得3分；难点分析不全、措施一般、需求理解契合度一般、关键节点效率一般的得2分；缺难点分析、措施不全、需求理解或关键节点未考虑的得1分。未提供方案或提供的方案不符合不得分，最高3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2.</w:t>
      </w:r>
      <w:r>
        <w:rPr>
          <w:rStyle w:val="959"/>
          <w:color w:val="000000"/>
          <w:highlight w:val="none"/>
        </w:rPr>
        <w:t xml:space="preserve">设备工具及办公用品配备（4分）</w:t>
      </w:r>
      <w:r>
        <w:rPr>
          <w:rStyle w:val="972"/>
          <w:rFonts w:ascii="Times New Roman" w:hAnsi="Times New Roman" w:eastAsia="仿宋_GB2312" w:cs="仿宋_GB2312"/>
          <w:color w:val="000000"/>
          <w:sz w:val="32"/>
          <w:szCs w:val="32"/>
          <w:highlight w:val="none"/>
        </w:rPr>
        <w:t xml:space="preserve">：响应单位针对本项目配置相应数量的无纸化、中间库及司法辅助服务所需的相关设备及办公用品，主要包括扫描加工设备、相应数量的诉讼材料交接登记、抓拍留痕及管理、盘点设备及其他办公用品等，每提供一类得1分，最高4分</w:t>
      </w:r>
      <w:r>
        <w:rPr>
          <w:rFonts w:ascii="Times New Roman" w:hAnsi="Times New Roman" w:eastAsia="仿宋_GB2312" w:cs="仿宋_GB2312"/>
          <w:color w:val="000000"/>
          <w:sz w:val="32"/>
          <w:szCs w:val="32"/>
          <w:highlight w:val="none"/>
        </w:rPr>
        <w:t xml:space="preserve">。</w:t>
      </w:r>
      <w:r>
        <w:rPr>
          <w:rStyle w:val="972"/>
          <w:rFonts w:ascii="Times New Roman" w:hAnsi="Times New Roman" w:eastAsia="仿宋_GB2312" w:cs="仿宋_GB2312"/>
          <w:color w:val="000000"/>
          <w:sz w:val="32"/>
          <w:szCs w:val="32"/>
          <w:highlight w:val="none"/>
        </w:rPr>
        <w:t xml:space="preserve">（提供设备清单、主要设备功能介绍以及响应单位购置的发票或合同或其他相关证明材料。未提供不得分）</w:t>
      </w:r>
      <w:r>
        <w:rPr>
          <w:rFonts w:ascii="Times New Roman" w:hAnsi="Times New Roman" w:eastAsia="仿宋_GB2312" w:cs="仿宋_GB2312"/>
          <w:b w:val="0"/>
          <w:color w:val="000000"/>
          <w:sz w:val="32"/>
          <w:szCs w:val="32"/>
          <w:highlight w:val="none"/>
        </w:rPr>
      </w:r>
      <w:r/>
    </w:p>
    <w:p>
      <w:pPr>
        <w:pStyle w:val="783"/>
        <w:ind w:left="0" w:firstLine="616"/>
        <w:widowControl/>
        <w:rPr>
          <w:rStyle w:val="972"/>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3.</w:t>
      </w:r>
      <w:r>
        <w:rPr>
          <w:rStyle w:val="959"/>
          <w:color w:val="000000"/>
          <w:highlight w:val="none"/>
        </w:rPr>
        <w:t xml:space="preserve">具体实施方案（18分）</w:t>
      </w:r>
      <w:r>
        <w:rPr>
          <w:rStyle w:val="972"/>
          <w:rFonts w:ascii="Times New Roman" w:hAnsi="Times New Roman" w:eastAsia="仿宋_GB2312" w:cs="仿宋_GB2312"/>
          <w:color w:val="000000"/>
          <w:sz w:val="32"/>
          <w:szCs w:val="32"/>
          <w:highlight w:val="none"/>
        </w:rPr>
        <w:t xml:space="preserve">：</w:t>
      </w:r>
      <w:r>
        <w:rPr>
          <w:rStyle w:val="972"/>
          <w:rFonts w:ascii="Times New Roman" w:hAnsi="Times New Roman" w:eastAsia="仿宋_GB2312" w:cs="仿宋_GB2312"/>
          <w:b w:val="0"/>
          <w:color w:val="000000"/>
          <w:sz w:val="32"/>
          <w:szCs w:val="32"/>
          <w:highlight w:val="none"/>
        </w:rPr>
      </w:r>
      <w:r/>
    </w:p>
    <w:p>
      <w:pPr>
        <w:pStyle w:val="783"/>
        <w:widowControl/>
        <w:rPr>
          <w:rStyle w:val="972"/>
          <w:rFonts w:ascii="Times New Roman" w:hAnsi="Times New Roman" w:eastAsia="仿宋_GB2312" w:cs="仿宋_GB2312"/>
          <w:color w:val="000000"/>
          <w:sz w:val="32"/>
          <w:szCs w:val="32"/>
          <w:highlight w:val="none"/>
        </w:rPr>
      </w:pPr>
      <w:r>
        <w:rPr>
          <w:rStyle w:val="972"/>
          <w:rFonts w:ascii="Times New Roman" w:hAnsi="Times New Roman" w:eastAsia="仿宋_GB2312" w:cs="仿宋_GB2312"/>
          <w:color w:val="000000"/>
          <w:spacing w:val="-2"/>
          <w:sz w:val="32"/>
          <w:szCs w:val="32"/>
          <w:highlight w:val="none"/>
        </w:rPr>
        <w:t xml:space="preserve">响应单位提供的针对本项目的具体实施方案，主要包括以</w:t>
      </w:r>
      <w:r>
        <w:rPr>
          <w:rStyle w:val="972"/>
          <w:rFonts w:ascii="Times New Roman" w:hAnsi="Times New Roman" w:eastAsia="仿宋_GB2312" w:cs="仿宋_GB2312"/>
          <w:color w:val="000000"/>
          <w:spacing w:val="-6"/>
          <w:sz w:val="32"/>
          <w:szCs w:val="32"/>
          <w:highlight w:val="none"/>
        </w:rPr>
        <w:t xml:space="preserve">下</w:t>
      </w:r>
      <w:r>
        <w:rPr>
          <w:rStyle w:val="972"/>
          <w:rFonts w:ascii="Times New Roman" w:hAnsi="Times New Roman" w:eastAsia="仿宋_GB2312" w:cs="仿宋_GB2312"/>
          <w:color w:val="000000"/>
          <w:sz w:val="32"/>
          <w:szCs w:val="32"/>
          <w:highlight w:val="none"/>
        </w:rPr>
        <w:t xml:space="preserve">两项：</w:t>
      </w:r>
      <w:r>
        <w:rPr>
          <w:rStyle w:val="972"/>
          <w:rFonts w:ascii="Times New Roman" w:hAnsi="Times New Roman" w:eastAsia="仿宋_GB2312" w:cs="仿宋_GB2312"/>
          <w:color w:val="000000"/>
          <w:sz w:val="32"/>
          <w:szCs w:val="32"/>
          <w:highlight w:val="none"/>
        </w:rPr>
      </w:r>
      <w:r/>
    </w:p>
    <w:p>
      <w:pPr>
        <w:pStyle w:val="783"/>
        <w:ind w:left="0" w:firstLine="616"/>
        <w:widowControl/>
        <w:rPr>
          <w:rStyle w:val="972"/>
          <w:rFonts w:hint="eastAsia" w:ascii="仿宋_GB2312" w:hAnsi="仿宋_GB2312" w:eastAsia="仿宋_GB2312" w:cs="仿宋_GB2312"/>
          <w:b w:val="0"/>
          <w:color w:val="000000"/>
          <w:sz w:val="32"/>
          <w:szCs w:val="32"/>
          <w:highlight w:val="none"/>
        </w:rPr>
      </w:pPr>
      <w:r>
        <w:rPr>
          <w:rStyle w:val="972"/>
          <w:rFonts w:hint="eastAsia" w:cs="仿宋_GB2312"/>
          <w:color w:val="000000"/>
          <w:sz w:val="32"/>
          <w:szCs w:val="32"/>
          <w:highlight w:val="none"/>
          <w:lang w:eastAsia="zh-CN"/>
        </w:rPr>
        <w:t xml:space="preserve">（1）</w:t>
      </w:r>
      <w:r>
        <w:rPr>
          <w:rStyle w:val="972"/>
          <w:rFonts w:ascii="Times New Roman" w:hAnsi="Times New Roman" w:eastAsia="仿宋_GB2312" w:cs="仿宋_GB2312"/>
          <w:color w:val="000000"/>
          <w:sz w:val="32"/>
          <w:szCs w:val="32"/>
          <w:highlight w:val="none"/>
        </w:rPr>
        <w:t xml:space="preserve">无纸化、中间库服务方案（9分），包括但不限于：①材料收转服务方案（主要包括业务流程设计、材料登记与质检服务、服务时效性等）②材料扫描服务方案（主要包括关键技术及工艺介绍、可达到的扫描技术标准、业务流程设计、服务时效性等）③中间库管理服务方案（主要包括业务流程设计、卷宗材料的保护、盘点及交接措施、中间库软件运维、服务时效性等）。</w:t>
      </w:r>
      <w:r>
        <w:rPr>
          <w:rStyle w:val="972"/>
          <w:rFonts w:hint="eastAsia" w:ascii="仿宋_GB2312" w:hAnsi="仿宋_GB2312" w:eastAsia="仿宋_GB2312" w:cs="仿宋_GB2312"/>
          <w:b w:val="0"/>
          <w:color w:val="000000"/>
          <w:sz w:val="32"/>
          <w:szCs w:val="32"/>
          <w:highlight w:val="none"/>
        </w:rPr>
      </w:r>
      <w:r/>
    </w:p>
    <w:p>
      <w:pPr>
        <w:pStyle w:val="783"/>
        <w:widowControl/>
        <w:rPr>
          <w:rStyle w:val="972"/>
          <w:rFonts w:ascii="Times New Roman" w:hAnsi="Times New Roman" w:eastAsia="仿宋_GB2312" w:cs="仿宋_GB2312"/>
          <w:color w:val="000000"/>
          <w:sz w:val="32"/>
          <w:szCs w:val="32"/>
          <w:highlight w:val="none"/>
        </w:rPr>
      </w:pPr>
      <w:r>
        <w:rPr>
          <w:rStyle w:val="972"/>
          <w:rFonts w:ascii="Times New Roman" w:hAnsi="Times New Roman" w:eastAsia="仿宋_GB2312" w:cs="仿宋_GB2312"/>
          <w:color w:val="000000"/>
          <w:sz w:val="32"/>
          <w:szCs w:val="32"/>
          <w:highlight w:val="none"/>
        </w:rPr>
        <w:t xml:space="preserve">上述3项内容每项最高得3分，单项进行了阐述描述且贴合本项目实际情况，内容包括实施细节及措施，方案全面完善、合理，最优的得3分；单项进行了阐述描述且贴合本项目实际情况良好，内容包括实施细节及措施方案良好的得2分；单项进行了阐述描述且贴合本项目实际情况一般，内容包括实施细节及措施方案一般的得1分；最高9分。未提供不得分。</w:t>
      </w:r>
      <w:r>
        <w:rPr>
          <w:rStyle w:val="972"/>
          <w:rFonts w:ascii="Times New Roman" w:hAnsi="Times New Roman" w:eastAsia="仿宋_GB2312" w:cs="仿宋_GB2312"/>
          <w:color w:val="000000"/>
          <w:sz w:val="32"/>
          <w:szCs w:val="32"/>
          <w:highlight w:val="none"/>
        </w:rPr>
      </w:r>
      <w:r/>
    </w:p>
    <w:p>
      <w:pPr>
        <w:pStyle w:val="783"/>
        <w:ind w:left="0" w:firstLine="616"/>
        <w:widowControl/>
        <w:rPr>
          <w:rStyle w:val="972"/>
          <w:rFonts w:hint="eastAsia" w:ascii="仿宋_GB2312" w:hAnsi="仿宋_GB2312" w:eastAsia="仿宋_GB2312" w:cs="仿宋_GB2312"/>
          <w:b w:val="0"/>
          <w:color w:val="000000"/>
          <w:sz w:val="32"/>
          <w:szCs w:val="32"/>
          <w:highlight w:val="none"/>
        </w:rPr>
      </w:pPr>
      <w:r>
        <w:rPr>
          <w:rStyle w:val="972"/>
          <w:rFonts w:hint="eastAsia" w:cs="仿宋_GB2312"/>
          <w:color w:val="000000"/>
          <w:sz w:val="32"/>
          <w:szCs w:val="32"/>
          <w:highlight w:val="none"/>
          <w:lang w:eastAsia="zh-CN"/>
        </w:rPr>
        <w:t xml:space="preserve">（2）</w:t>
      </w:r>
      <w:r>
        <w:rPr>
          <w:rStyle w:val="972"/>
          <w:rFonts w:ascii="Times New Roman" w:hAnsi="Times New Roman" w:eastAsia="仿宋_GB2312" w:cs="仿宋_GB2312"/>
          <w:color w:val="000000"/>
          <w:sz w:val="32"/>
          <w:szCs w:val="32"/>
          <w:highlight w:val="none"/>
        </w:rPr>
        <w:t xml:space="preserve">司法辅助服务方案（9分），包括但不限于：①立案辅助事务服务方案（根据采购需求服务内容中的相关要求，实现立案信息录入</w:t>
      </w:r>
      <w:r>
        <w:rPr>
          <w:rStyle w:val="972"/>
          <w:rFonts w:hint="eastAsia" w:cs="仿宋_GB2312"/>
          <w:color w:val="000000"/>
          <w:sz w:val="32"/>
          <w:szCs w:val="32"/>
          <w:highlight w:val="none"/>
          <w:lang w:val="en-US" w:eastAsia="zh-CN"/>
        </w:rPr>
        <w:t xml:space="preserve">及核对</w:t>
      </w:r>
      <w:r>
        <w:rPr>
          <w:rStyle w:val="972"/>
          <w:rFonts w:ascii="Times New Roman" w:hAnsi="Times New Roman" w:eastAsia="仿宋_GB2312" w:cs="仿宋_GB2312"/>
          <w:color w:val="000000"/>
          <w:sz w:val="32"/>
          <w:szCs w:val="32"/>
          <w:highlight w:val="none"/>
        </w:rPr>
        <w:t xml:space="preserve">、文书送达等立案环节辅助事务的专业化、信息化，针对性的提出具体服务方案）；②审判辅助事务服务方案（根据采购需求服务内容中的相关要求，实现辅助开庭排期、材料收转、辅助保全、预约法官、文书送达及卷宗归档等审判环节辅助事务的专业化、信息化，针对性的提出具体服务方案）；③执行辅助事务服务方案（根据采购需求服务内容中的相关要求，实现辅助查封、解封、回复</w:t>
      </w:r>
      <w:r>
        <w:rPr>
          <w:rStyle w:val="972"/>
          <w:rFonts w:hint="eastAsia" w:cs="仿宋_GB2312"/>
          <w:color w:val="000000"/>
          <w:sz w:val="32"/>
          <w:szCs w:val="32"/>
          <w:highlight w:val="none"/>
          <w:lang w:eastAsia="zh-CN"/>
        </w:rPr>
        <w:t xml:space="preserve">，</w:t>
      </w:r>
      <w:r>
        <w:rPr>
          <w:rStyle w:val="972"/>
          <w:rFonts w:ascii="Times New Roman" w:hAnsi="Times New Roman" w:eastAsia="仿宋_GB2312" w:cs="仿宋_GB2312"/>
          <w:color w:val="000000"/>
          <w:sz w:val="32"/>
          <w:szCs w:val="32"/>
          <w:highlight w:val="none"/>
        </w:rPr>
        <w:t xml:space="preserve">录入及核对信息、收转材料、卷宗归档等执行环节辅助事务专业化、信息化，针对性的提出具体的服务方案）。</w:t>
      </w:r>
      <w:r>
        <w:rPr>
          <w:rStyle w:val="972"/>
          <w:rFonts w:hint="eastAsia" w:ascii="仿宋_GB2312" w:hAnsi="仿宋_GB2312"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Style w:val="972"/>
          <w:rFonts w:ascii="Times New Roman" w:hAnsi="Times New Roman" w:eastAsia="仿宋_GB2312" w:cs="仿宋_GB2312"/>
          <w:color w:val="000000"/>
          <w:sz w:val="32"/>
          <w:szCs w:val="32"/>
          <w:highlight w:val="none"/>
        </w:rPr>
        <w:t xml:space="preserve">上述3项内容每项3分，单项进行了阐述描述且贴合本项目实际情况，内容包括实施细节及措施，方案全面完善、合理，最优的得3分；单项进行了阐述描述且贴合本项目实际情况良好，内容包括实施细节及措施方案良好的得2分；单项进行了阐述描述且贴合本项目实际情况一般，内容包括实施细节及措施方案一般的得1分；最高9分。未提供不得分</w:t>
      </w:r>
      <w:r>
        <w:rPr>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r>
      <w:r/>
    </w:p>
    <w:p>
      <w:pPr>
        <w:pStyle w:val="783"/>
        <w:ind w:left="0" w:firstLine="616"/>
        <w:widowControl/>
        <w:rPr>
          <w:rStyle w:val="972"/>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4.</w:t>
      </w:r>
      <w:r>
        <w:rPr>
          <w:rStyle w:val="959"/>
          <w:color w:val="000000"/>
          <w:highlight w:val="none"/>
        </w:rPr>
        <w:t xml:space="preserve">实施计划及进度安排（3分）</w:t>
      </w:r>
      <w:r>
        <w:rPr>
          <w:rStyle w:val="972"/>
          <w:rFonts w:ascii="Times New Roman" w:hAnsi="Times New Roman" w:eastAsia="仿宋_GB2312" w:cs="仿宋_GB2312"/>
          <w:color w:val="000000"/>
          <w:sz w:val="32"/>
          <w:szCs w:val="32"/>
          <w:highlight w:val="none"/>
        </w:rPr>
        <w:t xml:space="preserve">：响应单位提供的针对本项目的实施计划及进度安排，包括：①实施计划；②进度安排。</w:t>
      </w:r>
      <w:r>
        <w:rPr>
          <w:rStyle w:val="972"/>
          <w:rFonts w:ascii="Times New Roman" w:hAnsi="Times New Roman" w:eastAsia="仿宋_GB2312" w:cs="仿宋_GB2312"/>
          <w:b w:val="0"/>
          <w:color w:val="000000"/>
          <w:sz w:val="32"/>
          <w:szCs w:val="32"/>
          <w:highlight w:val="none"/>
        </w:rPr>
      </w:r>
      <w:r/>
    </w:p>
    <w:p>
      <w:pPr>
        <w:pStyle w:val="783"/>
        <w:widowControl/>
        <w:rPr>
          <w:rStyle w:val="972"/>
          <w:rFonts w:ascii="Times New Roman" w:hAnsi="Times New Roman" w:eastAsia="仿宋_GB2312" w:cs="仿宋_GB2312"/>
          <w:color w:val="000000"/>
          <w:sz w:val="32"/>
          <w:szCs w:val="32"/>
          <w:highlight w:val="none"/>
        </w:rPr>
      </w:pPr>
      <w:r>
        <w:rPr>
          <w:rStyle w:val="972"/>
          <w:rFonts w:ascii="Times New Roman" w:hAnsi="Times New Roman" w:eastAsia="仿宋_GB2312" w:cs="仿宋_GB2312"/>
          <w:color w:val="000000"/>
          <w:sz w:val="32"/>
          <w:szCs w:val="32"/>
          <w:highlight w:val="none"/>
        </w:rPr>
        <w:t xml:space="preserve">上述2项内容均进行了阐述且贴合项目实际情况全面、合理、完善，最优的得3分；上述2项内容均进行了阐述且贴合项目实际情况良好的得2分；上述2项内容均进行了阐述且贴合项目实际情况一般的得1分；最高3分。未提供不得分。</w:t>
      </w:r>
      <w:r>
        <w:rPr>
          <w:rStyle w:val="972"/>
          <w:rFonts w:ascii="Times New Roman" w:hAnsi="Times New Roman" w:eastAsia="仿宋_GB2312" w:cs="仿宋_GB2312"/>
          <w:color w:val="000000"/>
          <w:sz w:val="32"/>
          <w:szCs w:val="32"/>
          <w:highlight w:val="none"/>
        </w:rPr>
      </w:r>
      <w:r/>
    </w:p>
    <w:p>
      <w:pPr>
        <w:pStyle w:val="783"/>
        <w:ind w:left="0" w:firstLine="616"/>
        <w:widowControl/>
        <w:rPr>
          <w:rStyle w:val="972"/>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5.</w:t>
      </w:r>
      <w:r>
        <w:rPr>
          <w:rStyle w:val="959"/>
          <w:color w:val="000000"/>
          <w:highlight w:val="none"/>
        </w:rPr>
        <w:t xml:space="preserve">软件技术支持（3分）</w:t>
      </w:r>
      <w:r>
        <w:rPr>
          <w:rStyle w:val="972"/>
          <w:rFonts w:ascii="Times New Roman" w:hAnsi="Times New Roman" w:eastAsia="仿宋_GB2312" w:cs="仿宋_GB2312"/>
          <w:color w:val="000000"/>
          <w:sz w:val="32"/>
          <w:szCs w:val="32"/>
          <w:highlight w:val="none"/>
        </w:rPr>
        <w:t xml:space="preserve">：响应单位提供的针对本项目的软件技术支持，①包括本项目流程中的软件类别；②软件的功能介绍及相关截图。</w:t>
      </w:r>
      <w:r>
        <w:rPr>
          <w:rStyle w:val="972"/>
          <w:rFonts w:ascii="Times New Roman" w:hAnsi="Times New Roman" w:eastAsia="仿宋_GB2312" w:cs="仿宋_GB2312"/>
          <w:b w:val="0"/>
          <w:color w:val="000000"/>
          <w:sz w:val="32"/>
          <w:szCs w:val="32"/>
          <w:highlight w:val="none"/>
        </w:rPr>
      </w:r>
      <w:r/>
    </w:p>
    <w:p>
      <w:pPr>
        <w:pStyle w:val="783"/>
        <w:widowControl/>
        <w:rPr>
          <w:rStyle w:val="972"/>
          <w:rFonts w:ascii="Times New Roman" w:hAnsi="Times New Roman" w:eastAsia="仿宋_GB2312" w:cs="仿宋_GB2312"/>
          <w:color w:val="000000"/>
          <w:sz w:val="32"/>
          <w:szCs w:val="32"/>
          <w:highlight w:val="none"/>
        </w:rPr>
      </w:pPr>
      <w:r>
        <w:rPr>
          <w:rStyle w:val="972"/>
          <w:rFonts w:ascii="Times New Roman" w:hAnsi="Times New Roman" w:eastAsia="仿宋_GB2312" w:cs="仿宋_GB2312"/>
          <w:color w:val="000000"/>
          <w:sz w:val="32"/>
          <w:szCs w:val="32"/>
          <w:highlight w:val="none"/>
        </w:rPr>
        <w:t xml:space="preserve">上述2项内容均进行了阐述且贴合项目实际情况，内容包括实施细节及措施，方案全面、合理，最优的得3分；上述2项内容均进行了阐述且贴合项目实际情况，内容包括实施细节及措施，方案良好的得2分；上述2项内容均进行了阐述但贴合项目实际情况较差，内容虽包括实施细节及措施，但方案一般的得1分；最高3分。未提供不得分。</w:t>
      </w:r>
      <w:r>
        <w:rPr>
          <w:rStyle w:val="972"/>
          <w:rFonts w:ascii="Times New Roman" w:hAnsi="Times New Roman" w:eastAsia="仿宋_GB2312" w:cs="仿宋_GB2312"/>
          <w:color w:val="000000"/>
          <w:sz w:val="32"/>
          <w:szCs w:val="32"/>
          <w:highlight w:val="none"/>
        </w:rPr>
      </w:r>
      <w:r/>
    </w:p>
    <w:p>
      <w:pPr>
        <w:pStyle w:val="783"/>
        <w:ind w:left="0" w:firstLine="616"/>
        <w:widowControl/>
        <w:rPr>
          <w:rStyle w:val="972"/>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6.</w:t>
      </w:r>
      <w:r>
        <w:rPr>
          <w:rStyle w:val="959"/>
          <w:color w:val="000000"/>
          <w:highlight w:val="none"/>
        </w:rPr>
        <w:t xml:space="preserve">保密管理及其他内控制度（5分）</w:t>
      </w:r>
      <w:r>
        <w:rPr>
          <w:rStyle w:val="972"/>
          <w:rFonts w:ascii="Times New Roman" w:hAnsi="Times New Roman" w:eastAsia="仿宋_GB2312" w:cs="仿宋_GB2312"/>
          <w:color w:val="000000"/>
          <w:sz w:val="32"/>
          <w:szCs w:val="32"/>
          <w:highlight w:val="none"/>
        </w:rPr>
        <w:t xml:space="preserve">：响应单位提供的针对本项目的人员和设备保密管理及数据备份安全措施，包括：①人员保密管理；②设备保密管理；③数据备份安全措施；④应急预案及相关保障措施；⑤其他内部管理控制制度。</w:t>
      </w:r>
      <w:r>
        <w:rPr>
          <w:rStyle w:val="972"/>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b w:val="0"/>
          <w:color w:val="000000"/>
          <w:sz w:val="32"/>
          <w:szCs w:val="32"/>
          <w:highlight w:val="none"/>
        </w:rPr>
      </w:pPr>
      <w:r>
        <w:rPr>
          <w:rStyle w:val="972"/>
          <w:rFonts w:ascii="Times New Roman" w:hAnsi="Times New Roman" w:eastAsia="仿宋_GB2312" w:cs="仿宋_GB2312"/>
          <w:color w:val="000000"/>
          <w:sz w:val="32"/>
          <w:szCs w:val="32"/>
          <w:highlight w:val="none"/>
        </w:rPr>
        <w:t xml:space="preserve">上述5项内容均进行了阐述且贴合项目实际情况最优的得5分；上述5项内容均进行了阐述且贴合项目实际情况良好的得3分；上述5项内容均进行了阐述且贴合项目实际情况一般的得2分；上述5项内容均进行了阐述但贴合项目实际情况较差的得1分；最高5分</w:t>
      </w:r>
      <w:r>
        <w:rPr>
          <w:rFonts w:ascii="Times New Roman" w:hAnsi="Times New Roman" w:eastAsia="仿宋_GB2312" w:cs="仿宋_GB2312"/>
          <w:color w:val="000000"/>
          <w:sz w:val="32"/>
          <w:szCs w:val="32"/>
          <w:highlight w:val="none"/>
        </w:rPr>
        <w:t xml:space="preserve">。</w:t>
      </w:r>
      <w:r>
        <w:rPr>
          <w:rStyle w:val="972"/>
          <w:rFonts w:ascii="Times New Roman" w:hAnsi="Times New Roman" w:eastAsia="仿宋_GB2312" w:cs="仿宋_GB2312"/>
          <w:color w:val="000000"/>
          <w:sz w:val="32"/>
          <w:szCs w:val="32"/>
          <w:highlight w:val="none"/>
        </w:rPr>
        <w:t xml:space="preserve">未提供不得分。</w:t>
      </w:r>
      <w:r>
        <w:rPr>
          <w:rFonts w:ascii="Times New Roman" w:hAnsi="Times New Roman" w:eastAsia="仿宋_GB2312" w:cs="仿宋_GB2312"/>
          <w:b w:val="0"/>
          <w:color w:val="000000"/>
          <w:sz w:val="32"/>
          <w:szCs w:val="32"/>
          <w:highlight w:val="none"/>
        </w:rPr>
      </w:r>
      <w:r/>
    </w:p>
    <w:p>
      <w:pPr>
        <w:pStyle w:val="783"/>
        <w:ind w:left="0" w:firstLine="616"/>
        <w:widowControl/>
        <w:rPr>
          <w:rStyle w:val="972"/>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7.</w:t>
      </w:r>
      <w:r>
        <w:rPr>
          <w:rStyle w:val="959"/>
          <w:color w:val="000000"/>
          <w:highlight w:val="none"/>
        </w:rPr>
        <w:t xml:space="preserve">人员配置及管理措施（12分），包括但不限于</w:t>
      </w:r>
      <w:r>
        <w:rPr>
          <w:rStyle w:val="972"/>
          <w:rFonts w:ascii="Times New Roman" w:hAnsi="Times New Roman" w:eastAsia="仿宋_GB2312" w:cs="仿宋_GB2312"/>
          <w:color w:val="000000"/>
          <w:sz w:val="32"/>
          <w:szCs w:val="32"/>
          <w:highlight w:val="none"/>
        </w:rPr>
        <w:t xml:space="preserve">：①提供员工守则与行为规范。②考勤和绩效管理制度。③人员招聘与录用制度（包含招聘、培训、考核、辞退、日常管理等）。④岗位职责、人员配置方案与管理运作制度。</w:t>
      </w:r>
      <w:r>
        <w:rPr>
          <w:rStyle w:val="972"/>
          <w:rFonts w:ascii="Times New Roman" w:hAnsi="Times New Roman" w:eastAsia="仿宋_GB2312" w:cs="仿宋_GB2312"/>
          <w:b w:val="0"/>
          <w:color w:val="000000"/>
          <w:sz w:val="32"/>
          <w:szCs w:val="32"/>
          <w:highlight w:val="none"/>
        </w:rPr>
      </w:r>
      <w:r/>
    </w:p>
    <w:p>
      <w:pPr>
        <w:pStyle w:val="783"/>
        <w:widowControl/>
        <w:rPr>
          <w:rStyle w:val="972"/>
          <w:rFonts w:ascii="Times New Roman" w:hAnsi="Times New Roman" w:eastAsia="仿宋_GB2312" w:cs="仿宋_GB2312"/>
          <w:color w:val="000000"/>
          <w:sz w:val="32"/>
          <w:szCs w:val="32"/>
          <w:highlight w:val="none"/>
        </w:rPr>
      </w:pPr>
      <w:r>
        <w:rPr>
          <w:rStyle w:val="972"/>
          <w:rFonts w:ascii="Times New Roman" w:hAnsi="Times New Roman" w:eastAsia="仿宋_GB2312" w:cs="仿宋_GB2312"/>
          <w:color w:val="000000"/>
          <w:sz w:val="32"/>
          <w:szCs w:val="32"/>
          <w:highlight w:val="none"/>
        </w:rPr>
        <w:t xml:space="preserve">上述4项方案及管理制度详实，操作性高的得12分；管理制度详实，操作性较高的得8分；管理制度简单或者操作性一般的得4分；不具可操作性或者不提供的不得分。</w:t>
      </w:r>
      <w:r>
        <w:rPr>
          <w:rStyle w:val="972"/>
          <w:rFonts w:ascii="Times New Roman" w:hAnsi="Times New Roman" w:eastAsia="仿宋_GB2312" w:cs="仿宋_GB2312"/>
          <w:color w:val="000000"/>
          <w:sz w:val="32"/>
          <w:szCs w:val="32"/>
          <w:highlight w:val="none"/>
        </w:rPr>
      </w:r>
      <w:r/>
    </w:p>
    <w:p>
      <w:pPr>
        <w:pStyle w:val="783"/>
        <w:ind w:left="0" w:firstLine="616"/>
        <w:widowControl/>
        <w:rPr>
          <w:rStyle w:val="972"/>
          <w:rFonts w:ascii="Times New Roman" w:hAnsi="Times New Roman" w:eastAsia="仿宋_GB2312" w:cs="仿宋_GB2312"/>
          <w:b w:val="0"/>
          <w:color w:val="000000"/>
          <w:sz w:val="32"/>
          <w:szCs w:val="32"/>
          <w:highlight w:val="none"/>
        </w:rPr>
      </w:pPr>
      <w:r>
        <w:rPr>
          <w:rStyle w:val="959"/>
          <w:rFonts w:hint="eastAsia"/>
          <w:color w:val="000000"/>
          <w:highlight w:val="none"/>
          <w:lang w:eastAsia="zh-CN"/>
        </w:rPr>
        <w:t xml:space="preserve">8.</w:t>
      </w:r>
      <w:r>
        <w:rPr>
          <w:rStyle w:val="959"/>
          <w:color w:val="000000"/>
          <w:highlight w:val="none"/>
        </w:rPr>
        <w:t xml:space="preserve">质量管理措施、服务标准和服务质量（4分），包括但不限于</w:t>
      </w:r>
      <w:r>
        <w:rPr>
          <w:rStyle w:val="972"/>
          <w:rFonts w:ascii="Times New Roman" w:hAnsi="Times New Roman" w:eastAsia="仿宋_GB2312" w:cs="仿宋_GB2312"/>
          <w:color w:val="000000"/>
          <w:sz w:val="32"/>
          <w:szCs w:val="32"/>
          <w:highlight w:val="none"/>
        </w:rPr>
        <w:t xml:space="preserve">：①质量管理措施②服务标准和服务质量，包括但不限于国家规定的相关标准、流程服务各岗位绩效考核体系、绩效管理办法、全流程服务数据监管、数据统计与上报方案。</w:t>
      </w:r>
      <w:r>
        <w:rPr>
          <w:rStyle w:val="972"/>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Style w:val="972"/>
          <w:rFonts w:ascii="Times New Roman" w:hAnsi="Times New Roman" w:eastAsia="仿宋_GB2312" w:cs="仿宋_GB2312"/>
          <w:color w:val="000000"/>
          <w:sz w:val="32"/>
          <w:szCs w:val="32"/>
          <w:highlight w:val="none"/>
        </w:rPr>
        <w:t xml:space="preserve">上述每项应逐条叙述，方案完整、内容详细、计划清晰明确、并且能结合用户需求提供全面方案的得2分；方案基本完善、内容基本完整、计划基本可行的得1分；方案不尽周祥、内容有所缺失、计划不够明确的得0.5分；本项最高得4分</w:t>
      </w:r>
      <w:r>
        <w:rPr>
          <w:rFonts w:ascii="Times New Roman" w:hAnsi="Times New Roman" w:eastAsia="仿宋_GB2312" w:cs="仿宋_GB2312"/>
          <w:color w:val="000000"/>
          <w:sz w:val="32"/>
          <w:szCs w:val="32"/>
          <w:highlight w:val="none"/>
        </w:rPr>
        <w:t xml:space="preserve">。</w:t>
      </w:r>
      <w:r>
        <w:rPr>
          <w:rStyle w:val="972"/>
          <w:rFonts w:ascii="Times New Roman" w:hAnsi="Times New Roman" w:eastAsia="仿宋_GB2312" w:cs="仿宋_GB2312"/>
          <w:color w:val="000000"/>
          <w:sz w:val="32"/>
          <w:szCs w:val="32"/>
          <w:highlight w:val="none"/>
        </w:rPr>
        <w:t xml:space="preserve">未提供的不得分。</w:t>
      </w:r>
      <w:r>
        <w:rPr>
          <w:rFonts w:ascii="Times New Roman" w:hAnsi="Times New Roman" w:eastAsia="仿宋_GB2312" w:cs="仿宋_GB2312"/>
          <w:color w:val="000000"/>
          <w:sz w:val="32"/>
          <w:szCs w:val="32"/>
          <w:highlight w:val="none"/>
        </w:rPr>
      </w:r>
      <w:r/>
    </w:p>
    <w:p>
      <w:pPr>
        <w:pStyle w:val="958"/>
        <w:ind w:left="0" w:firstLine="616"/>
        <w:rPr>
          <w:rStyle w:val="972"/>
          <w:rFonts w:ascii="Times New Roman" w:hAnsi="Times New Roman" w:eastAsia="仿宋_GB2312" w:cs="仿宋_GB2312"/>
          <w:b w:val="0"/>
          <w:color w:val="000000"/>
          <w:szCs w:val="32"/>
          <w:highlight w:val="none"/>
        </w:rPr>
      </w:pPr>
      <w:r>
        <w:rPr>
          <w:rFonts w:hint="eastAsia"/>
          <w:color w:val="000000"/>
          <w:highlight w:val="none"/>
          <w:lang w:eastAsia="zh-CN"/>
        </w:rPr>
        <w:t xml:space="preserve">9.</w:t>
      </w:r>
      <w:r>
        <w:rPr>
          <w:color w:val="000000"/>
          <w:highlight w:val="none"/>
        </w:rPr>
        <w:t xml:space="preserve">服务期间配合方法及进退场交接方案、售后服务保障方案（8分）</w:t>
      </w:r>
      <w:r>
        <w:rPr>
          <w:rStyle w:val="972"/>
          <w:rFonts w:ascii="Times New Roman" w:hAnsi="Times New Roman" w:eastAsia="仿宋_GB2312" w:cs="仿宋_GB2312"/>
          <w:b w:val="0"/>
          <w:color w:val="000000"/>
          <w:szCs w:val="32"/>
          <w:highlight w:val="none"/>
        </w:rPr>
      </w:r>
      <w:r/>
    </w:p>
    <w:p>
      <w:pPr>
        <w:pStyle w:val="783"/>
        <w:ind w:firstLine="616"/>
        <w:widowControl/>
        <w:rPr>
          <w:rStyle w:val="972"/>
          <w:rFonts w:ascii="Times New Roman" w:hAnsi="Times New Roman" w:eastAsia="仿宋_GB2312" w:cs="仿宋_GB2312"/>
          <w:color w:val="000000"/>
          <w:sz w:val="32"/>
          <w:szCs w:val="32"/>
          <w:highlight w:val="none"/>
        </w:rPr>
      </w:pPr>
      <w:r>
        <w:rPr>
          <w:rStyle w:val="972"/>
          <w:rFonts w:hint="eastAsia" w:cs="仿宋_GB2312"/>
          <w:color w:val="000000"/>
          <w:sz w:val="32"/>
          <w:szCs w:val="32"/>
          <w:highlight w:val="none"/>
          <w:lang w:eastAsia="zh-CN"/>
        </w:rPr>
        <w:t xml:space="preserve">①</w:t>
      </w:r>
      <w:r>
        <w:rPr>
          <w:rStyle w:val="972"/>
          <w:rFonts w:ascii="Times New Roman" w:hAnsi="Times New Roman" w:eastAsia="仿宋_GB2312" w:cs="仿宋_GB2312"/>
          <w:color w:val="000000"/>
          <w:sz w:val="32"/>
          <w:szCs w:val="32"/>
          <w:highlight w:val="none"/>
        </w:rPr>
        <w:t xml:space="preserve">服务期间配合方法及进退场交接方案，针对本项目提出响应单位服务期间与采购单位的相关业务配合方法及进退场交接措施方案。方案详细、科学合理、可行性强的得4分；方案较详细、较科学合理、可行性较强的得3分；方案详细度一般、科学合理性一般、可行性一般的得2分；方案详细度较差、科学合理性较差、可行性较差的得1分；未提供不得分。</w:t>
      </w:r>
      <w:r>
        <w:rPr>
          <w:rStyle w:val="972"/>
          <w:rFonts w:ascii="Times New Roman" w:hAnsi="Times New Roman" w:eastAsia="仿宋_GB2312" w:cs="仿宋_GB2312"/>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Style w:val="972"/>
          <w:rFonts w:hint="eastAsia" w:cs="仿宋_GB2312"/>
          <w:color w:val="000000"/>
          <w:sz w:val="32"/>
          <w:szCs w:val="32"/>
          <w:highlight w:val="none"/>
          <w:lang w:eastAsia="zh-CN"/>
        </w:rPr>
        <w:t xml:space="preserve">②</w:t>
      </w:r>
      <w:r>
        <w:rPr>
          <w:rStyle w:val="972"/>
          <w:rFonts w:ascii="Times New Roman" w:hAnsi="Times New Roman" w:eastAsia="仿宋_GB2312" w:cs="仿宋_GB2312"/>
          <w:color w:val="000000"/>
          <w:sz w:val="32"/>
          <w:szCs w:val="32"/>
          <w:highlight w:val="none"/>
        </w:rPr>
        <w:t xml:space="preserve">售后服务保障方案，包括但不限于售后服务标准、服务方式、服务响应时间、修复速度、服务承诺等，保障服务方案完整具体、保障措施完善合理、针对性强的得 4分；保障服务方案较具体、保障措施较完善，有一定针对性的得2分；保障服务方案有所欠缺，可执行性差的得 1分；未提供方案或提供的方案无可行性不得分。</w:t>
      </w:r>
      <w:r>
        <w:rPr>
          <w:rFonts w:hint="eastAsia" w:ascii="仿宋_GB2312" w:hAnsi="仿宋_GB2312"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（三）</w:t>
      </w:r>
      <w:r>
        <w:rPr>
          <w:color w:val="000000"/>
          <w:highlight w:val="none"/>
        </w:rPr>
        <w:t xml:space="preserve">响应单位履约能力（15分）</w:t>
      </w:r>
      <w:r>
        <w:rPr>
          <w:rFonts w:hint="eastAsia" w:ascii="楷体_GB2312" w:hAnsi="楷体_GB2312" w:eastAsia="楷体_GB2312" w:cs="楷体_GB2312"/>
          <w:b w:val="0"/>
          <w:color w:val="000000"/>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响应单位具备有效期内的ISO27001信息安全管理体系认证证书（认证范围包含无纸化或电子卷宗类）、ISO20000信息技术服务管理体系认证证书（认证范围包含无纸化或电子卷宗类）、ISO14001环境管理体系认证证书（认证范围包含无纸化或电子卷宗类）、ISO45001职业健康管理体系认证证书（认证范围包含无纸化或电子卷宗类），每提供一个得0.5分，最高得2分</w:t>
      </w:r>
      <w:r>
        <w:rPr>
          <w:rFonts w:ascii="Times New Roman" w:hAnsi="Times New Roman" w:eastAsia="仿宋_GB2312" w:cs="仿宋_GB2312"/>
          <w:b w:val="0"/>
          <w:color w:val="000000"/>
          <w:sz w:val="32"/>
          <w:szCs w:val="32"/>
          <w:highlight w:val="none"/>
        </w:rPr>
        <w:t xml:space="preserve">。</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（提供以有效期内的证书复印件或国家认监委官网查询截图并加盖单位公章，未提供相关证明不得分）</w:t>
      </w:r>
      <w:r>
        <w:rPr>
          <w:rFonts w:ascii="Times New Roman" w:hAnsi="Times New Roman" w:eastAsia="仿宋_GB2312" w:cs="仿宋_GB2312"/>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拟投入本项目的项目经理（仅限一人）能力比较（4分）：</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①</w:t>
      </w:r>
      <w:r>
        <w:rPr>
          <w:rFonts w:ascii="Times New Roman" w:hAnsi="Times New Roman" w:eastAsia="仿宋_GB2312" w:cs="仿宋_GB2312"/>
          <w:color w:val="000000"/>
          <w:sz w:val="32"/>
          <w:szCs w:val="32"/>
          <w:highlight w:val="none"/>
        </w:rPr>
        <w:t xml:space="preserve">具有信息系统项目管理方面证书，得1分；</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②</w:t>
      </w:r>
      <w:r>
        <w:rPr>
          <w:rFonts w:ascii="Times New Roman" w:hAnsi="Times New Roman" w:eastAsia="仿宋_GB2312" w:cs="仿宋_GB2312"/>
          <w:color w:val="000000"/>
          <w:sz w:val="32"/>
          <w:szCs w:val="32"/>
          <w:highlight w:val="none"/>
        </w:rPr>
        <w:t xml:space="preserve">具有国家信息安全方面证书，得1分；</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③</w:t>
      </w:r>
      <w:r>
        <w:rPr>
          <w:rFonts w:ascii="Times New Roman" w:hAnsi="Times New Roman" w:eastAsia="仿宋_GB2312" w:cs="仿宋_GB2312"/>
          <w:color w:val="000000"/>
          <w:sz w:val="32"/>
          <w:szCs w:val="32"/>
          <w:highlight w:val="none"/>
        </w:rPr>
        <w:t xml:space="preserve">具有档案专业方面证书，得1分； </w:t>
      </w:r>
      <w:r>
        <w:rPr>
          <w:rFonts w:hint="eastAsia" w:ascii="仿宋_GB2312" w:hAnsi="仿宋_GB2312" w:eastAsia="仿宋_GB2312" w:cs="仿宋_GB2312"/>
          <w:b w:val="0"/>
          <w:color w:val="000000"/>
          <w:sz w:val="32"/>
          <w:szCs w:val="32"/>
          <w:highlight w:val="none"/>
        </w:rPr>
      </w:r>
      <w:r/>
    </w:p>
    <w:p>
      <w:pPr>
        <w:pStyle w:val="783"/>
        <w:ind w:left="0" w:firstLine="616"/>
        <w:jc w:val="left"/>
        <w:widowControl/>
        <w:rPr>
          <w:rFonts w:hint="eastAsia" w:cs="仿宋_GB2312"/>
          <w:color w:val="000000"/>
          <w:sz w:val="32"/>
          <w:szCs w:val="32"/>
          <w:highlight w:val="none"/>
          <w:lang w:val="en-US" w:eastAsia="zh-CN"/>
        </w:rPr>
      </w:pPr>
      <w:r>
        <w:rPr>
          <w:rFonts w:hint="eastAsia" w:cs="仿宋_GB2312"/>
          <w:color w:val="000000"/>
          <w:sz w:val="32"/>
          <w:szCs w:val="32"/>
          <w:highlight w:val="none"/>
          <w:lang w:eastAsia="zh-CN"/>
        </w:rPr>
        <w:t xml:space="preserve">④</w:t>
      </w:r>
      <w:r>
        <w:rPr>
          <w:rFonts w:ascii="Times New Roman" w:hAnsi="Times New Roman" w:eastAsia="仿宋_GB2312" w:cs="仿宋_GB2312"/>
          <w:color w:val="000000"/>
          <w:sz w:val="32"/>
          <w:szCs w:val="32"/>
          <w:highlight w:val="none"/>
        </w:rPr>
        <w:t xml:space="preserve">具有类似项目管理经验，得1分；不具备管理经验，但具有类似项目参与经验，得0.5分。                                          </w:t>
      </w:r>
      <w:r>
        <w:rPr>
          <w:rFonts w:hint="eastAsia" w:cs="仿宋_GB2312"/>
          <w:color w:val="000000"/>
          <w:sz w:val="32"/>
          <w:szCs w:val="32"/>
          <w:highlight w:val="none"/>
          <w:lang w:val="en-US" w:eastAsia="zh-CN"/>
        </w:rPr>
        <w:t xml:space="preserve"> </w:t>
      </w:r>
      <w:r>
        <w:rPr>
          <w:rFonts w:hint="eastAsia" w:cs="仿宋_GB2312"/>
          <w:color w:val="000000"/>
          <w:sz w:val="32"/>
          <w:szCs w:val="32"/>
          <w:highlight w:val="none"/>
          <w:lang w:val="en-US" w:eastAsia="zh-CN"/>
        </w:rPr>
      </w:r>
      <w:r/>
    </w:p>
    <w:p>
      <w:pPr>
        <w:pStyle w:val="783"/>
        <w:ind w:left="0" w:firstLine="616"/>
        <w:jc w:val="left"/>
        <w:widowControl/>
        <w:rPr>
          <w:rFonts w:hint="eastAsia" w:ascii="仿宋_GB2312" w:hAnsi="仿宋_GB2312" w:eastAsia="仿宋_GB2312" w:cs="仿宋_GB2312"/>
          <w:b w:val="0"/>
          <w:color w:val="000000"/>
          <w:sz w:val="32"/>
          <w:szCs w:val="32"/>
          <w:highlight w:val="none"/>
        </w:rPr>
      </w:pPr>
      <w:r>
        <w:rPr>
          <w:rFonts w:ascii="Times New Roman" w:hAnsi="Times New Roman" w:eastAsia="仿宋_GB2312" w:cs="仿宋_GB2312"/>
          <w:color w:val="000000"/>
          <w:sz w:val="32"/>
          <w:szCs w:val="32"/>
          <w:highlight w:val="none"/>
        </w:rPr>
        <w:t xml:space="preserve">（提供不全或未提供不得分。项目经理需提供相关证件证明材料复印件，并提供响应单位为其缴纳的2026年任意一个月社保缴纳证明，不提供者不得分）</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拟投入本项目的现场技术支持人员（仅限一人）能力比较（2分）</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现场技术支持人员具有全国计算机等级考试证书、信息安全、数据库管理相关证书或具有类似项目经验的，有一个得0.5分，最高得2分。</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（提供相关证件证明材料复印件，并提供响应单位为其缴纳的2026年任意一个月社保缴纳证明，</w:t>
      </w:r>
      <w:r>
        <w:rPr>
          <w:rFonts w:ascii="Times New Roman" w:hAnsi="Times New Roman" w:eastAsia="仿宋_GB2312" w:cs="仿宋_GB2312"/>
          <w:color w:val="000000"/>
          <w:spacing w:val="-6"/>
          <w:sz w:val="32"/>
          <w:szCs w:val="32"/>
          <w:highlight w:val="none"/>
        </w:rPr>
        <w:t xml:space="preserve">不提供或提供不全者不得分</w:t>
      </w:r>
      <w:r>
        <w:rPr>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r>
      <w:r/>
    </w:p>
    <w:p>
      <w:pPr>
        <w:pStyle w:val="783"/>
        <w:ind w:left="0" w:firstLine="616"/>
        <w:widowControl/>
        <w:rPr>
          <w:rFonts w:hint="eastAsia" w:ascii="Times New Roman" w:hAnsi="Times New Roman" w:eastAsia="仿宋_GB2312" w:cs="仿宋_GB2312"/>
          <w:color w:val="000000"/>
          <w:sz w:val="32"/>
          <w:szCs w:val="32"/>
          <w:highlight w:val="none"/>
          <w:lang w:eastAsia="zh-CN"/>
        </w:rPr>
      </w:pPr>
      <w:r>
        <w:rPr>
          <w:rFonts w:hint="eastAsia" w:cs="仿宋_GB2312"/>
          <w:color w:val="000000"/>
          <w:sz w:val="32"/>
          <w:szCs w:val="32"/>
          <w:highlight w:val="none"/>
          <w:lang w:val="en-US" w:eastAsia="zh-CN"/>
        </w:rPr>
        <w:t xml:space="preserve">4</w:t>
      </w:r>
      <w:r>
        <w:rPr>
          <w:rFonts w:hint="eastAsia" w:cs="仿宋_GB2312"/>
          <w:color w:val="000000"/>
          <w:sz w:val="32"/>
          <w:szCs w:val="32"/>
          <w:highlight w:val="none"/>
          <w:lang w:eastAsia="zh-CN"/>
        </w:rPr>
        <w:t xml:space="preserve">.</w:t>
      </w:r>
      <w:r>
        <w:rPr>
          <w:rFonts w:hint="eastAsia" w:ascii="Times New Roman" w:hAnsi="Times New Roman" w:eastAsia="仿宋_GB2312" w:cs="仿宋_GB2312"/>
          <w:color w:val="000000"/>
          <w:sz w:val="32"/>
          <w:szCs w:val="32"/>
          <w:highlight w:val="none"/>
          <w:lang w:eastAsia="zh-CN"/>
        </w:rPr>
        <w:t xml:space="preserve">拟投入本项目的项目服务人员能力比较（5分）：</w:t>
      </w:r>
      <w:r>
        <w:rPr>
          <w:rFonts w:hint="eastAsia" w:ascii="Times New Roman" w:hAnsi="Times New Roman" w:eastAsia="仿宋_GB2312" w:cs="仿宋_GB2312"/>
          <w:color w:val="000000"/>
          <w:sz w:val="32"/>
          <w:szCs w:val="32"/>
          <w:highlight w:val="none"/>
          <w:lang w:eastAsia="zh-CN"/>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①</w:t>
      </w:r>
      <w:r>
        <w:rPr>
          <w:rFonts w:ascii="Times New Roman" w:hAnsi="Times New Roman" w:eastAsia="仿宋_GB2312" w:cs="仿宋_GB2312"/>
          <w:color w:val="000000"/>
          <w:sz w:val="32"/>
          <w:szCs w:val="32"/>
          <w:highlight w:val="none"/>
        </w:rPr>
        <w:t xml:space="preserve">同时具有国家保密机关颁发的保密教育培训证书，有一个得0.25分，最高2分。（提供相关证件证明材料复印件，并提供响应单位为其缴纳的2026年任意一个月社保缴纳证明，不提供或提供不全者不得分）</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②</w:t>
      </w:r>
      <w:r>
        <w:rPr>
          <w:rFonts w:ascii="Times New Roman" w:hAnsi="Times New Roman" w:eastAsia="仿宋_GB2312" w:cs="仿宋_GB2312"/>
          <w:color w:val="000000"/>
          <w:sz w:val="32"/>
          <w:szCs w:val="32"/>
          <w:highlight w:val="none"/>
        </w:rPr>
        <w:t xml:space="preserve">具有类似项目参与经验，每提供一名得0.25分，最高得3分。（提供相关证件证明材料复印件，并提供响应单位为其缴纳的2026年任意一个月社保缴纳证明，不提供或提供</w:t>
      </w:r>
      <w:r>
        <w:rPr>
          <w:rFonts w:ascii="Times New Roman" w:hAnsi="Times New Roman" w:eastAsia="仿宋_GB2312" w:cs="仿宋_GB2312"/>
          <w:color w:val="000000"/>
          <w:spacing w:val="-6"/>
          <w:sz w:val="32"/>
          <w:szCs w:val="32"/>
          <w:highlight w:val="none"/>
        </w:rPr>
        <w:t xml:space="preserve">不全者不</w:t>
      </w:r>
      <w:r>
        <w:rPr>
          <w:rFonts w:ascii="Times New Roman" w:hAnsi="Times New Roman" w:eastAsia="仿宋_GB2312" w:cs="仿宋_GB2312"/>
          <w:color w:val="000000"/>
          <w:sz w:val="32"/>
          <w:szCs w:val="32"/>
          <w:highlight w:val="none"/>
        </w:rPr>
        <w:t xml:space="preserve">得分）</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ascii="Times New Roman" w:hAnsi="Times New Roman" w:eastAsia="仿宋_GB2312" w:cs="仿宋_GB2312"/>
          <w:color w:val="000000"/>
          <w:sz w:val="32"/>
          <w:szCs w:val="32"/>
          <w:highlight w:val="none"/>
        </w:rPr>
        <w:t xml:space="preserve">（注：如成交单位在以上拟投入人员项目中得分，则得分项对应的相关要求须贯穿履约全过程，若履约中更换相关人员的，须重新向采购单位提供上述要求的证明材料，否则采购单位有权拒绝更换直至相关人员符合相关要求）</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响应单位提供档案信息化类软件著作权登记证书，包括但不限于文档数据备份及保全、卷宗流转管理、即时扫描系统、诉讼材料影像质检软件等与项目业务密切关联的软件著作权登记证书（2分），每提供一种证书得0.5分，最高得2分。</w:t>
      </w:r>
      <w:r>
        <w:rPr>
          <w:rFonts w:ascii="Times New Roman" w:hAnsi="Times New Roman" w:eastAsia="仿宋_GB2312" w:cs="仿宋_GB2312"/>
          <w:b w:val="0"/>
          <w:color w:val="000000"/>
          <w:sz w:val="32"/>
          <w:szCs w:val="32"/>
          <w:highlight w:val="none"/>
        </w:rPr>
      </w:r>
      <w:r/>
    </w:p>
    <w:p>
      <w:pPr>
        <w:pStyle w:val="956"/>
        <w:ind w:left="0" w:firstLine="640"/>
        <w:widowControl/>
        <w:rPr>
          <w:rFonts w:hint="eastAsia" w:ascii="楷体_GB2312" w:hAnsi="楷体_GB2312" w:eastAsia="楷体_GB2312" w:cs="楷体_GB2312"/>
          <w:b w:val="0"/>
          <w:color w:val="000000"/>
          <w:highlight w:val="none"/>
        </w:rPr>
      </w:pPr>
      <w:r>
        <w:rPr>
          <w:rFonts w:hint="eastAsia"/>
          <w:color w:val="000000"/>
          <w:highlight w:val="none"/>
          <w:lang w:eastAsia="zh-CN"/>
        </w:rPr>
        <w:t xml:space="preserve">（四）</w:t>
      </w:r>
      <w:r>
        <w:rPr>
          <w:color w:val="000000"/>
          <w:highlight w:val="none"/>
        </w:rPr>
        <w:t xml:space="preserve">类似业绩（5分）</w:t>
      </w:r>
      <w:r>
        <w:rPr>
          <w:rFonts w:hint="eastAsia" w:ascii="楷体_GB2312" w:hAnsi="楷体_GB2312" w:eastAsia="楷体_GB2312" w:cs="楷体_GB2312"/>
          <w:b w:val="0"/>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2023年6月1日起至今（以合同签订之日起）响应单位具有类似项目业绩的，每提供一个得1分；最高得5分。</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（注：响应文件中需提供合同复印件并加盖单位公章，未提供相关证明材料的不得分）</w:t>
      </w:r>
      <w:r>
        <w:rPr>
          <w:rFonts w:ascii="Times New Roman" w:hAnsi="Times New Roman" w:eastAsia="仿宋_GB2312" w:cs="仿宋_GB2312"/>
          <w:color w:val="000000"/>
          <w:sz w:val="32"/>
          <w:szCs w:val="32"/>
          <w:highlight w:val="none"/>
        </w:rPr>
      </w:r>
      <w:r/>
    </w:p>
    <w:p>
      <w:pPr>
        <w:pStyle w:val="777"/>
        <w:ind w:firstLine="0"/>
        <w:jc w:val="both"/>
        <w:keepLines w:val="0"/>
        <w:keepNext w:val="0"/>
        <w:pageBreakBefore w:val="0"/>
        <w:spacing w:line="360" w:lineRule="auto"/>
        <w:widowControl w:val="off"/>
        <w:rPr>
          <w:rFonts w:ascii="宋体" w:hAnsi="宋体" w:cs="宋体"/>
          <w:b/>
          <w:bCs/>
          <w:color w:val="000000"/>
          <w:sz w:val="21"/>
          <w:szCs w:val="21"/>
          <w:highlight w:val="none"/>
          <w:lang w:val="en-US" w:eastAsia="zh-CN"/>
        </w:rPr>
        <w:outlineLvl w:val="9"/>
      </w:pPr>
      <w:r>
        <w:rPr>
          <w:rFonts w:ascii="宋体" w:hAnsi="宋体" w:cs="宋体"/>
          <w:b/>
          <w:bCs/>
          <w:color w:val="000000"/>
          <w:sz w:val="21"/>
          <w:szCs w:val="21"/>
          <w:highlight w:val="none"/>
          <w:lang w:val="en-US" w:eastAsia="zh-CN"/>
        </w:rPr>
      </w:r>
      <w:r/>
    </w:p>
    <w:p>
      <w:pPr>
        <w:pStyle w:val="777"/>
        <w:ind w:firstLine="0"/>
        <w:jc w:val="both"/>
        <w:pageBreakBefore w:val="0"/>
        <w:rPr>
          <w:color w:val="000000"/>
          <w:highlight w:val="none"/>
        </w:rPr>
      </w:pPr>
      <w:r>
        <w:rPr>
          <w:color w:val="000000"/>
          <w:highlight w:val="none"/>
        </w:rPr>
      </w:r>
      <w:r/>
    </w:p>
    <w:p>
      <w:pPr>
        <w:pStyle w:val="777"/>
        <w:ind w:firstLine="0"/>
        <w:jc w:val="both"/>
        <w:pageBreakBefore w:val="0"/>
        <w:rPr>
          <w:rFonts w:hint="eastAsia" w:eastAsia="黑体"/>
          <w:b/>
          <w:color w:val="000000"/>
          <w:sz w:val="32"/>
          <w:szCs w:val="32"/>
          <w:highlight w:val="none"/>
          <w:lang w:eastAsia="zh-CN"/>
        </w:rPr>
      </w:pPr>
      <w:r>
        <w:rPr>
          <w:rFonts w:hint="eastAsia" w:eastAsia="黑体"/>
          <w:b/>
          <w:color w:val="000000"/>
          <w:sz w:val="32"/>
          <w:szCs w:val="32"/>
          <w:highlight w:val="none"/>
          <w:lang w:eastAsia="zh-CN"/>
        </w:rPr>
        <w:br w:type="page" w:clear="all"/>
      </w:r>
      <w:r>
        <w:rPr>
          <w:rFonts w:hint="eastAsia" w:eastAsia="黑体"/>
          <w:b/>
          <w:color w:val="000000"/>
          <w:sz w:val="32"/>
          <w:szCs w:val="32"/>
          <w:highlight w:val="none"/>
          <w:lang w:eastAsia="zh-CN"/>
        </w:rPr>
      </w:r>
      <w:r/>
    </w:p>
    <w:p>
      <w:pPr>
        <w:pStyle w:val="969"/>
        <w:rPr>
          <w:b w:val="0"/>
          <w:color w:val="000000"/>
          <w:highlight w:val="none"/>
        </w:rPr>
      </w:pPr>
      <w:r>
        <w:rPr>
          <w:rFonts w:hint="eastAsia"/>
          <w:color w:val="000000"/>
          <w:highlight w:val="none"/>
          <w:lang w:eastAsia="zh-CN"/>
        </w:rPr>
        <w:t xml:space="preserve">第五章</w:t>
      </w:r>
      <w:r>
        <w:rPr>
          <w:rFonts w:hint="eastAsia" w:ascii="仿宋" w:hAnsi="仿宋" w:eastAsia="仿宋" w:cs="仿宋"/>
          <w:bCs/>
          <w:color w:val="000000"/>
          <w:spacing w:val="-6"/>
          <w:sz w:val="32"/>
          <w:szCs w:val="32"/>
          <w:highlight w:val="none"/>
          <w:lang w:eastAsia="zh-CN" w:bidi="ar-SA"/>
        </w:rPr>
        <w:t xml:space="preserve"> </w:t>
      </w:r>
      <w:r>
        <w:rPr>
          <w:color w:val="000000"/>
          <w:highlight w:val="none"/>
        </w:rPr>
        <w:t xml:space="preserve">合同主要条款</w:t>
      </w:r>
      <w:r>
        <w:rPr>
          <w:b w:val="0"/>
          <w:color w:val="000000"/>
          <w:highlight w:val="none"/>
        </w:rPr>
      </w:r>
      <w:r/>
    </w:p>
    <w:p>
      <w:pPr>
        <w:pStyle w:val="783"/>
        <w:widowControl/>
        <w:rPr>
          <w:rFonts w:ascii="Times New Roman" w:hAnsi="Times New Roman" w:eastAsia="仿宋_GB2312" w:cs="仿宋_GB2312"/>
          <w:color w:val="000000"/>
          <w:sz w:val="32"/>
          <w:szCs w:val="32"/>
          <w:highlight w:val="none"/>
        </w:rPr>
      </w:pPr>
      <w:r>
        <w:rPr>
          <w:rStyle w:val="973"/>
          <w:rFonts w:ascii="Times New Roman" w:hAnsi="Times New Roman" w:eastAsia="仿宋_GB2312" w:cs="仿宋_GB2312"/>
          <w:color w:val="000000"/>
          <w:sz w:val="32"/>
          <w:szCs w:val="32"/>
          <w:highlight w:val="none"/>
        </w:rPr>
        <w:t xml:space="preserve">甲方（采购人）：（以下简称甲方）</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负责人：</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地址：</w:t>
      </w:r>
      <w:r>
        <w:rPr>
          <w:rFonts w:ascii="Times New Roman" w:hAnsi="Times New Roman" w:eastAsia="仿宋_GB2312" w:cs="仿宋_GB2312"/>
          <w:color w:val="000000"/>
          <w:sz w:val="32"/>
          <w:szCs w:val="32"/>
          <w:highlight w:val="none"/>
        </w:rPr>
      </w:r>
      <w:r/>
    </w:p>
    <w:p>
      <w:pPr>
        <w:pStyle w:val="777"/>
        <w:ind w:firstLine="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乙方（成交人）：（以下简称乙方）</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单位负责人（或委托代理人）：</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地址：</w:t>
      </w:r>
      <w:r>
        <w:rPr>
          <w:rFonts w:ascii="Times New Roman" w:hAnsi="Times New Roman" w:eastAsia="仿宋_GB2312" w:cs="仿宋_GB2312"/>
          <w:color w:val="000000"/>
          <w:sz w:val="32"/>
          <w:szCs w:val="32"/>
          <w:highlight w:val="none"/>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Times New Roman" w:hAnsi="Times New Roman" w:eastAsia="仿宋_GB2312" w:cs="仿宋_GB2312"/>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一、</w:t>
      </w:r>
      <w:r>
        <w:rPr>
          <w:color w:val="000000"/>
          <w:highlight w:val="none"/>
        </w:rPr>
        <w:t xml:space="preserve">定义</w:t>
      </w:r>
      <w:r>
        <w:rPr>
          <w:rFonts w:hint="eastAsia" w:ascii="黑体" w:hAnsi="黑体" w:eastAsia="黑体" w:cs="黑体"/>
          <w:b w:val="0"/>
          <w:color w:val="000000"/>
          <w:szCs w:val="32"/>
          <w:highlight w:val="none"/>
        </w:rPr>
      </w:r>
      <w:r/>
    </w:p>
    <w:p>
      <w:pPr>
        <w:pStyle w:val="783"/>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b/>
          <w:color w:val="000000"/>
          <w:sz w:val="32"/>
          <w:szCs w:val="32"/>
          <w:highlight w:val="none"/>
        </w:rPr>
        <w:t xml:space="preserve">以下术语有特定的含义：</w:t>
      </w:r>
      <w:r>
        <w:rPr>
          <w:rFonts w:ascii="Times New Roman" w:hAnsi="Times New Roman" w:eastAsia="仿宋_GB2312" w:cs="仿宋_GB2312"/>
          <w:b/>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服务是指根据合同规定乙方应承担</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等工作和合同中规定乙方应承担的其它义务。</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合同价款是指根据成交人的响应文件和合同规定，乙方在正确地履行合同义务后甲方应支付给乙方的价款。</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甲方是指合同中明确规定的实际购买和接受服务的单位。</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乙方是指合同中规定的提供服务的单位。</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Times New Roman" w:hAnsi="Times New Roman" w:eastAsia="仿宋_GB2312" w:cs="仿宋_GB2312"/>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二、</w:t>
      </w:r>
      <w:r>
        <w:rPr>
          <w:color w:val="000000"/>
          <w:highlight w:val="none"/>
        </w:rPr>
        <w:t xml:space="preserve">合同项目及期限</w:t>
      </w:r>
      <w:r>
        <w:rPr>
          <w:rFonts w:hint="eastAsia" w:ascii="黑体" w:hAnsi="黑体" w:eastAsia="黑体" w:cs="黑体"/>
          <w:b w:val="0"/>
          <w:color w:val="000000"/>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（一）</w:t>
      </w:r>
      <w:r>
        <w:rPr>
          <w:rFonts w:ascii="Times New Roman" w:hAnsi="Times New Roman" w:eastAsia="仿宋_GB2312" w:cs="仿宋_GB2312"/>
          <w:color w:val="000000"/>
          <w:sz w:val="32"/>
          <w:szCs w:val="32"/>
          <w:highlight w:val="none"/>
        </w:rPr>
        <w:t xml:space="preserve">乙方负责</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的服务工作。</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（二）</w:t>
      </w:r>
      <w:r>
        <w:rPr>
          <w:rFonts w:ascii="Times New Roman" w:hAnsi="Times New Roman" w:eastAsia="仿宋_GB2312" w:cs="仿宋_GB2312"/>
          <w:color w:val="000000"/>
          <w:sz w:val="32"/>
          <w:szCs w:val="32"/>
          <w:highlight w:val="none"/>
        </w:rPr>
        <w:t xml:space="preserve">服务期限：</w:t>
      </w:r>
      <w:r>
        <w:rPr>
          <w:rFonts w:ascii="Times New Roman" w:hAnsi="Times New Roman" w:eastAsia="仿宋_GB2312" w:cs="仿宋_GB2312"/>
          <w:b/>
          <w:color w:val="000000"/>
          <w:sz w:val="32"/>
          <w:szCs w:val="32"/>
          <w:highlight w:val="none"/>
        </w:rPr>
        <w:t xml:space="preserve">1年，</w:t>
      </w:r>
      <w:r>
        <w:rPr>
          <w:rFonts w:ascii="Times New Roman" w:hAnsi="Times New Roman" w:eastAsia="仿宋_GB2312" w:cs="仿宋_GB2312"/>
          <w:color w:val="000000"/>
          <w:sz w:val="32"/>
          <w:szCs w:val="32"/>
          <w:highlight w:val="none"/>
        </w:rPr>
        <w:t xml:space="preserve">20   年   月   日至20   年   月   日。</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（三）</w:t>
      </w:r>
      <w:r>
        <w:rPr>
          <w:rFonts w:ascii="Times New Roman" w:hAnsi="Times New Roman" w:eastAsia="仿宋_GB2312" w:cs="仿宋_GB2312"/>
          <w:color w:val="000000"/>
          <w:sz w:val="32"/>
          <w:szCs w:val="32"/>
          <w:highlight w:val="none"/>
        </w:rPr>
        <w:t xml:space="preserve">服务地点：根据甲方指定地点。</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Style w:val="959"/>
          <w:rFonts w:hint="eastAsia" w:cs="仿宋_GB2312"/>
          <w:color w:val="000000"/>
          <w:sz w:val="32"/>
          <w:szCs w:val="32"/>
          <w:highlight w:val="none"/>
          <w:lang w:eastAsia="zh-CN"/>
        </w:rPr>
        <w:t xml:space="preserve">（四）</w:t>
      </w:r>
      <w:r>
        <w:rPr>
          <w:rStyle w:val="959"/>
          <w:rFonts w:ascii="Times New Roman" w:hAnsi="Times New Roman" w:eastAsia="仿宋_GB2312" w:cs="仿宋_GB2312"/>
          <w:color w:val="000000"/>
          <w:sz w:val="32"/>
          <w:szCs w:val="32"/>
          <w:highlight w:val="none"/>
        </w:rPr>
        <w:t xml:space="preserve">合同总价款</w:t>
      </w:r>
      <w:r>
        <w:rPr>
          <w:rFonts w:ascii="Times New Roman" w:hAnsi="Times New Roman" w:eastAsia="仿宋_GB2312" w:cs="仿宋_GB2312"/>
          <w:b/>
          <w:color w:val="000000"/>
          <w:sz w:val="32"/>
          <w:szCs w:val="32"/>
          <w:highlight w:val="none"/>
        </w:rPr>
        <w:t xml:space="preserve">：</w:t>
      </w:r>
      <w:r>
        <w:rPr>
          <w:rFonts w:ascii="Times New Roman" w:hAnsi="Times New Roman" w:eastAsia="仿宋_GB2312" w:cs="仿宋_GB2312"/>
          <w:color w:val="000000"/>
          <w:sz w:val="32"/>
          <w:szCs w:val="32"/>
          <w:highlight w:val="none"/>
        </w:rPr>
        <w:t xml:space="preserve">大写人民币</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元整，小写￥</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（五）</w:t>
      </w:r>
      <w:r>
        <w:rPr>
          <w:rFonts w:ascii="Times New Roman" w:hAnsi="Times New Roman" w:eastAsia="仿宋_GB2312" w:cs="仿宋_GB2312"/>
          <w:color w:val="000000"/>
          <w:sz w:val="32"/>
          <w:szCs w:val="32"/>
          <w:highlight w:val="none"/>
        </w:rPr>
        <w:t xml:space="preserve">付款方式</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付款步骤：</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Style w:val="805"/>
          <w:rFonts w:hint="eastAsia" w:cs="仿宋_GB2312"/>
          <w:color w:val="000000"/>
          <w:sz w:val="32"/>
          <w:szCs w:val="32"/>
          <w:highlight w:val="none"/>
          <w:lang w:eastAsia="zh-CN"/>
        </w:rPr>
        <w:t xml:space="preserve">（1）</w:t>
      </w:r>
      <w:r>
        <w:rPr>
          <w:rStyle w:val="805"/>
          <w:rFonts w:ascii="Times New Roman" w:hAnsi="Times New Roman" w:eastAsia="仿宋_GB2312" w:cs="仿宋_GB2312"/>
          <w:color w:val="000000"/>
          <w:sz w:val="32"/>
          <w:szCs w:val="32"/>
          <w:highlight w:val="none"/>
        </w:rPr>
        <w:t xml:space="preserve">合同签订后，甲方支付50％合同金额作为预付款，合同签订当年年底再支付40%合同金额，合同结束时支付剩余10％。</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在签订合同时，乙方明确表示无需预付款或者主动要求降低预付款比例的，甲方可不适用上述关于预付款的规定。</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color w:val="000000"/>
          <w:sz w:val="32"/>
          <w:szCs w:val="32"/>
          <w:highlight w:val="none"/>
        </w:rPr>
      </w:pPr>
      <w:r>
        <w:rPr>
          <w:rFonts w:hint="eastAsia" w:cs="仿宋_GB2312"/>
          <w:b/>
          <w:color w:val="000000"/>
          <w:sz w:val="32"/>
          <w:szCs w:val="32"/>
          <w:highlight w:val="none"/>
          <w:lang w:eastAsia="zh-CN"/>
        </w:rPr>
        <w:t xml:space="preserve">（3）</w:t>
      </w:r>
      <w:r>
        <w:rPr>
          <w:rFonts w:ascii="Times New Roman" w:hAnsi="Times New Roman" w:eastAsia="仿宋_GB2312" w:cs="仿宋_GB2312"/>
          <w:b/>
          <w:color w:val="000000"/>
          <w:sz w:val="32"/>
          <w:szCs w:val="32"/>
          <w:highlight w:val="none"/>
        </w:rPr>
        <w:t xml:space="preserve">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Times New Roman" w:hAnsi="Times New Roman" w:eastAsia="仿宋_GB2312" w:cs="仿宋_GB2312"/>
          <w:b/>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账户信息</w:t>
      </w:r>
      <w:r>
        <w:rPr>
          <w:rFonts w:ascii="Times New Roman" w:hAnsi="Times New Roman" w:eastAsia="仿宋_GB2312" w:cs="仿宋_GB2312"/>
          <w:b w:val="0"/>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乙方开户名称：</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开户银行：</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银行账号：</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数字人民币账号：</w:t>
      </w:r>
      <w:r>
        <w:rPr>
          <w:rFonts w:ascii="Times New Roman" w:hAnsi="Times New Roman" w:eastAsia="仿宋_GB2312" w:cs="仿宋_GB2312"/>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三、</w:t>
      </w:r>
      <w:r>
        <w:rPr>
          <w:color w:val="000000"/>
          <w:highlight w:val="none"/>
        </w:rPr>
        <w:t xml:space="preserve">甲、乙双方的责任</w:t>
      </w:r>
      <w:r>
        <w:rPr>
          <w:rFonts w:hint="eastAsia" w:ascii="黑体" w:hAnsi="黑体" w:eastAsia="黑体" w:cs="黑体"/>
          <w:b w:val="0"/>
          <w:color w:val="000000"/>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（一）</w:t>
      </w:r>
      <w:r>
        <w:rPr>
          <w:rFonts w:ascii="Times New Roman" w:hAnsi="Times New Roman" w:eastAsia="仿宋_GB2312" w:cs="仿宋_GB2312"/>
          <w:color w:val="000000"/>
          <w:sz w:val="32"/>
          <w:szCs w:val="32"/>
          <w:highlight w:val="none"/>
        </w:rPr>
        <w:t xml:space="preserve">甲方责任：</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依本合同约定按期支付合同款项；</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依本合同约定及时组织验收；</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协助乙方进行项目的相关协调工作及约定期限内提供相关资料以利于开展项目。</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（二）</w:t>
      </w:r>
      <w:r>
        <w:rPr>
          <w:rFonts w:ascii="Times New Roman" w:hAnsi="Times New Roman" w:eastAsia="仿宋_GB2312" w:cs="仿宋_GB2312"/>
          <w:color w:val="000000"/>
          <w:sz w:val="32"/>
          <w:szCs w:val="32"/>
          <w:highlight w:val="none"/>
        </w:rPr>
        <w:t xml:space="preserve">乙方责任：</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乙方派驻的工作人员必须遵循甲方的工作时间和考勤要求，不得迟到、早退、无故缺勤。</w:t>
      </w:r>
      <w:r>
        <w:rPr>
          <w:rFonts w:ascii="Times New Roman" w:hAnsi="Times New Roman" w:eastAsia="仿宋_GB2312" w:cs="仿宋_GB2312"/>
          <w:b w:val="0"/>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四、</w:t>
      </w:r>
      <w:r>
        <w:rPr>
          <w:color w:val="000000"/>
          <w:highlight w:val="none"/>
        </w:rPr>
        <w:t xml:space="preserve">验收要求</w:t>
      </w:r>
      <w:r>
        <w:rPr>
          <w:rFonts w:hint="eastAsia" w:ascii="黑体" w:hAnsi="黑体" w:eastAsia="黑体" w:cs="黑体"/>
          <w:b w:val="0"/>
          <w:color w:val="000000"/>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（一）</w:t>
      </w:r>
      <w:r>
        <w:rPr>
          <w:rFonts w:ascii="Times New Roman" w:hAnsi="Times New Roman" w:eastAsia="仿宋_GB2312" w:cs="仿宋_GB2312"/>
          <w:color w:val="000000"/>
          <w:sz w:val="32"/>
          <w:szCs w:val="32"/>
          <w:highlight w:val="none"/>
        </w:rPr>
        <w:t xml:space="preserve">基本规则</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项目采用月度统计、季度考核、整体竣工验收模式。</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由甲方统一组织开展各阶段验收工作。</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结合资料核查、现场检查、人员考评综合验收。</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（二）</w:t>
      </w:r>
      <w:r>
        <w:rPr>
          <w:rFonts w:ascii="Times New Roman" w:hAnsi="Times New Roman" w:eastAsia="仿宋_GB2312" w:cs="仿宋_GB2312"/>
          <w:color w:val="000000"/>
          <w:sz w:val="32"/>
          <w:szCs w:val="32"/>
          <w:highlight w:val="none"/>
        </w:rPr>
        <w:t xml:space="preserve">验收标准</w:t>
      </w:r>
      <w:r>
        <w:rPr>
          <w:rFonts w:hint="eastAsia" w:ascii="仿宋_GB2312" w:hAnsi="仿宋_GB2312" w:eastAsia="仿宋_GB2312" w:cs="仿宋_GB2312"/>
          <w:b w:val="0"/>
          <w:color w:val="000000"/>
          <w:sz w:val="32"/>
          <w:szCs w:val="32"/>
          <w:highlight w:val="none"/>
        </w:rPr>
      </w:r>
      <w:r/>
    </w:p>
    <w:p>
      <w:pPr>
        <w:pStyle w:val="783"/>
        <w:ind w:left="0" w:firstLine="616"/>
        <w:widowControl/>
        <w:rPr>
          <w:rFonts w:hint="eastAsia" w:cs="仿宋_GB2312"/>
          <w:color w:val="000000"/>
          <w:sz w:val="32"/>
          <w:szCs w:val="32"/>
          <w:highlight w:val="none"/>
          <w:lang w:eastAsia="zh-CN"/>
        </w:rPr>
      </w:pPr>
      <w:r>
        <w:rPr>
          <w:rFonts w:hint="eastAsia" w:cs="仿宋_GB2312"/>
          <w:color w:val="000000"/>
          <w:sz w:val="32"/>
          <w:szCs w:val="32"/>
          <w:highlight w:val="none"/>
          <w:lang w:eastAsia="zh-CN"/>
        </w:rPr>
        <w:t xml:space="preserve">1.按甲方要求完成卷宗扫描、各类审判辅助、中间库管理、卷宗出入库相关工作。</w:t>
      </w:r>
      <w:r>
        <w:rPr>
          <w:rFonts w:hint="eastAsia" w:cs="仿宋_GB2312"/>
          <w:color w:val="000000"/>
          <w:sz w:val="32"/>
          <w:szCs w:val="32"/>
          <w:highlight w:val="none"/>
          <w:lang w:eastAsia="zh-CN"/>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按期上报月度工作数据，整体工作量满足项目服务需求。</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.日常工作开展有序，保障院内业务正常运行</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全周期季度验收均合格，无各类安全及违规事故。</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（三）</w:t>
      </w:r>
      <w:r>
        <w:rPr>
          <w:rFonts w:ascii="Times New Roman" w:hAnsi="Times New Roman" w:eastAsia="仿宋_GB2312" w:cs="仿宋_GB2312"/>
          <w:color w:val="000000"/>
          <w:sz w:val="32"/>
          <w:szCs w:val="32"/>
          <w:highlight w:val="none"/>
        </w:rPr>
        <w:t xml:space="preserve">人员管理验收标准</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配备固定驻场工作人员，人员稳定在岗。</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遵守单位各项管理规定，恪守保密工作要求。</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履职到位，服从工作安排，具备对应业务能力。</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参与季度人员考评，考评合格正常履职。</w:t>
      </w:r>
      <w:r>
        <w:rPr>
          <w:rFonts w:ascii="Times New Roman" w:hAnsi="Times New Roman" w:eastAsia="仿宋_GB2312" w:cs="仿宋_GB2312"/>
          <w:b w:val="0"/>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五、</w:t>
      </w:r>
      <w:r>
        <w:rPr>
          <w:color w:val="000000"/>
          <w:highlight w:val="none"/>
        </w:rPr>
        <w:t xml:space="preserve">违约责任</w:t>
      </w:r>
      <w:r>
        <w:rPr>
          <w:rFonts w:hint="eastAsia" w:ascii="黑体" w:hAnsi="黑体" w:eastAsia="黑体" w:cs="黑体"/>
          <w:b w:val="0"/>
          <w:color w:val="000000"/>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（一）</w:t>
      </w:r>
      <w:r>
        <w:rPr>
          <w:rFonts w:ascii="Times New Roman" w:hAnsi="Times New Roman" w:eastAsia="仿宋_GB2312" w:cs="仿宋_GB2312"/>
          <w:color w:val="000000"/>
          <w:sz w:val="32"/>
          <w:szCs w:val="32"/>
          <w:highlight w:val="none"/>
        </w:rPr>
        <w:t xml:space="preserve">甲方违约责任：</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在合同生效后，甲方无故要求解除合同的，应向乙方偿付合同总价款5％的违约金，违约金不足以补偿损失的，乙方有权要求甲方补足。</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甲方逾期付款的应按照逾期付款金额的每天万分之四支付逾期付款违约金，总额不超总价款的5％。</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（二）</w:t>
      </w:r>
      <w:r>
        <w:rPr>
          <w:rFonts w:ascii="Times New Roman" w:hAnsi="Times New Roman" w:eastAsia="仿宋_GB2312" w:cs="仿宋_GB2312"/>
          <w:color w:val="000000"/>
          <w:sz w:val="32"/>
          <w:szCs w:val="32"/>
          <w:highlight w:val="none"/>
        </w:rPr>
        <w:t xml:space="preserve">乙方的违约责任：</w:t>
      </w:r>
      <w:r>
        <w:rPr>
          <w:rFonts w:hint="eastAsia" w:ascii="仿宋_GB2312" w:hAnsi="仿宋_GB2312"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在合同生效后，乙方无故要求解除合同的，应向甲方偿付合同总价款5％的违约金，违约金不足以补偿损失的，甲方有权要求乙方补足。</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乙方未按合同规定的质量要求提供服务，不能完成合同时，甲方有权解除合同，乙方向甲方偿付合同总价款5％的违约金，违约金不足以补偿损失的甲方有权要求乙方补足。</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乙方必须自己完成合同内容，不得自行分包，否则，甲方有权按乙方不能完成合同处理。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乙方应执行国家有关规定（如苏州最低工资标准和其他规定），负责乙方员工的生病、事故、伤残、死亡和劳务纠纷，甲方不承担任何相关责任。</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ascii="Times New Roman" w:hAnsi="Times New Roman" w:eastAsia="仿宋_GB2312" w:cs="仿宋_GB2312"/>
          <w:color w:val="000000"/>
          <w:sz w:val="32"/>
          <w:szCs w:val="32"/>
          <w:highlight w:val="none"/>
        </w:rPr>
        <w:t xml:space="preserve">5.乙方负有对自己员工的安全责任，甲方不承担任何相关责任。</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因乙方的工作人员离职、合同终止等原因导致相关工作岗位人员缺位的，乙方应在7日内补足，否则甲方有权追究乙方的违约责任。</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7.</w:t>
      </w:r>
      <w:r>
        <w:rPr>
          <w:rFonts w:ascii="Times New Roman" w:hAnsi="Times New Roman" w:eastAsia="仿宋_GB2312" w:cs="仿宋_GB2312"/>
          <w:color w:val="000000"/>
          <w:sz w:val="32"/>
          <w:szCs w:val="32"/>
          <w:highlight w:val="none"/>
        </w:rPr>
        <w:t xml:space="preserve">其他违约责任的相关约定应根据采购文件中第四章采购需求相关内容执行。</w:t>
      </w:r>
      <w:r>
        <w:rPr>
          <w:rFonts w:ascii="Times New Roman" w:hAnsi="Times New Roman" w:eastAsia="仿宋_GB2312" w:cs="仿宋_GB2312"/>
          <w:b w:val="0"/>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六、</w:t>
      </w:r>
      <w:r>
        <w:rPr>
          <w:color w:val="000000"/>
          <w:highlight w:val="none"/>
        </w:rPr>
        <w:t xml:space="preserve">不可抗力</w:t>
      </w:r>
      <w:r>
        <w:rPr>
          <w:rFonts w:hint="eastAsia" w:ascii="黑体" w:hAnsi="黑体" w:eastAsia="黑体" w:cs="黑体"/>
          <w:b w:val="0"/>
          <w:color w:val="000000"/>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如果甲乙双方因不可抗力而导致合同实施延误或不能履行合同义务，不应该承担误期赔偿或不能履行合同义务的责任。因乙方或甲方先延误或不能履行合同而后遇不可抗力的情形除外。 </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本条所述的“不可抗力”系指那些双方无法控制，不可预见的事件，但不包括双方的违约或疏忽。这些事件包括但不限于：战争、严重火灾、洪水、台风、地震以及其它双方商定的事件。 </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Times New Roman" w:hAnsi="Times New Roman" w:eastAsia="仿宋_GB2312" w:cs="仿宋_GB2312"/>
          <w:b w:val="0"/>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七、</w:t>
      </w:r>
      <w:r>
        <w:rPr>
          <w:color w:val="000000"/>
          <w:highlight w:val="none"/>
        </w:rPr>
        <w:t xml:space="preserve">争端的解决 </w:t>
      </w:r>
      <w:r>
        <w:rPr>
          <w:rFonts w:hint="eastAsia" w:ascii="黑体" w:hAnsi="黑体" w:eastAsia="黑体" w:cs="黑体"/>
          <w:b w:val="0"/>
          <w:color w:val="000000"/>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甲方和乙方应通过友好协商，解决在执行本合同过程中所发生的或与本合同有关的一切争端。如从协商开始十天内仍不能解决，可向有关合同管理部门提请调解。 </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如果调解不成，双方中的任何一方可向人民法院提起诉讼。诉讼由合同签订地人民法院管辖。 </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诉讼费由败诉方负担。</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因合同部分履行引发诉讼的，在诉讼期间，除正在进行诉讼的部分外，本合同的其它部分应继续执行。</w:t>
      </w:r>
      <w:r>
        <w:rPr>
          <w:rFonts w:ascii="Times New Roman" w:hAnsi="Times New Roman" w:eastAsia="仿宋_GB2312" w:cs="仿宋_GB2312"/>
          <w:b w:val="0"/>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八、</w:t>
      </w:r>
      <w:r>
        <w:rPr>
          <w:color w:val="000000"/>
          <w:highlight w:val="none"/>
        </w:rPr>
        <w:t xml:space="preserve">违约终止合同</w:t>
      </w:r>
      <w:r>
        <w:rPr>
          <w:rFonts w:hint="eastAsia" w:ascii="黑体" w:hAnsi="黑体" w:eastAsia="黑体" w:cs="黑体"/>
          <w:b w:val="0"/>
          <w:color w:val="000000"/>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（一）</w:t>
      </w:r>
      <w:r>
        <w:rPr>
          <w:rFonts w:ascii="Times New Roman" w:hAnsi="Times New Roman" w:eastAsia="仿宋_GB2312" w:cs="仿宋_GB2312"/>
          <w:color w:val="000000"/>
          <w:sz w:val="32"/>
          <w:szCs w:val="32"/>
          <w:highlight w:val="none"/>
        </w:rPr>
        <w:t xml:space="preserve">在甲方因乙方违约而按合同约定采取的任何补救措施不受影响的情况下，甲方可在下列情况下向乙方发出书面通知，提出终止部分或全部合同。</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如果乙方未能在合同规定的限期或甲方同意延长的限期内提供部分或全部服务。</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如果乙方未能履行合同规定的其它任何义务。</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（二）</w:t>
      </w:r>
      <w:r>
        <w:rPr>
          <w:rFonts w:ascii="Times New Roman" w:hAnsi="Times New Roman" w:eastAsia="仿宋_GB2312" w:cs="仿宋_GB2312"/>
          <w:color w:val="000000"/>
          <w:sz w:val="32"/>
          <w:szCs w:val="32"/>
          <w:highlight w:val="none"/>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Times New Roman" w:hAnsi="Times New Roman" w:eastAsia="仿宋_GB2312" w:cs="仿宋_GB2312"/>
          <w:b w:val="0"/>
          <w:color w:val="000000"/>
          <w:sz w:val="32"/>
          <w:szCs w:val="32"/>
          <w:highlight w:val="none"/>
        </w:rPr>
      </w:r>
      <w:r/>
    </w:p>
    <w:p>
      <w:pPr>
        <w:pStyle w:val="783"/>
        <w:ind w:left="0" w:firstLine="616"/>
        <w:widowControl/>
        <w:rPr>
          <w:rFonts w:hint="eastAsia" w:ascii="仿宋_GB2312" w:hAnsi="仿宋_GB2312" w:eastAsia="仿宋_GB2312" w:cs="仿宋_GB2312"/>
          <w:b w:val="0"/>
          <w:color w:val="000000"/>
          <w:sz w:val="32"/>
          <w:szCs w:val="32"/>
          <w:highlight w:val="none"/>
        </w:rPr>
      </w:pPr>
      <w:r>
        <w:rPr>
          <w:rFonts w:hint="eastAsia" w:cs="仿宋_GB2312"/>
          <w:color w:val="000000"/>
          <w:sz w:val="32"/>
          <w:szCs w:val="32"/>
          <w:highlight w:val="none"/>
          <w:lang w:eastAsia="zh-CN"/>
        </w:rPr>
        <w:t xml:space="preserve">（三）</w:t>
      </w:r>
      <w:r>
        <w:rPr>
          <w:rFonts w:ascii="Times New Roman" w:hAnsi="Times New Roman" w:eastAsia="仿宋_GB2312" w:cs="仿宋_GB2312"/>
          <w:color w:val="000000"/>
          <w:sz w:val="32"/>
          <w:szCs w:val="32"/>
          <w:highlight w:val="none"/>
        </w:rPr>
        <w:t xml:space="preserve">如果甲方违约，应承担相应的违约责任。 </w:t>
      </w:r>
      <w:r>
        <w:rPr>
          <w:rFonts w:hint="eastAsia" w:ascii="仿宋_GB2312" w:hAnsi="仿宋_GB2312" w:eastAsia="仿宋_GB2312" w:cs="仿宋_GB2312"/>
          <w:b w:val="0"/>
          <w:color w:val="000000"/>
          <w:sz w:val="32"/>
          <w:szCs w:val="32"/>
          <w:highlight w:val="none"/>
        </w:rPr>
      </w:r>
      <w:r/>
    </w:p>
    <w:p>
      <w:pPr>
        <w:pStyle w:val="783"/>
        <w:ind w:left="0" w:firstLine="640"/>
        <w:widowControl/>
        <w:rPr>
          <w:rFonts w:hint="eastAsia" w:ascii="黑体" w:hAnsi="黑体" w:eastAsia="黑体" w:cs="黑体"/>
          <w:b w:val="0"/>
          <w:color w:val="000000"/>
          <w:sz w:val="32"/>
          <w:szCs w:val="32"/>
          <w:highlight w:val="none"/>
        </w:rPr>
      </w:pPr>
      <w:r>
        <w:rPr>
          <w:rStyle w:val="955"/>
          <w:rFonts w:hint="eastAsia" w:eastAsia="黑体"/>
          <w:color w:val="000000"/>
          <w:highlight w:val="none"/>
          <w:lang w:eastAsia="zh-CN"/>
        </w:rPr>
        <w:t xml:space="preserve">九、</w:t>
      </w:r>
      <w:r>
        <w:rPr>
          <w:rStyle w:val="955"/>
          <w:color w:val="000000"/>
          <w:highlight w:val="none"/>
        </w:rPr>
        <w:t xml:space="preserve">破产终止合同</w:t>
      </w:r>
      <w:r>
        <w:rPr>
          <w:rFonts w:ascii="Times New Roman" w:hAnsi="Times New Roman" w:eastAsia="仿宋_GB2312" w:cs="仿宋_GB2312"/>
          <w:b/>
          <w:color w:val="000000"/>
          <w:sz w:val="32"/>
          <w:szCs w:val="32"/>
          <w:highlight w:val="none"/>
        </w:rPr>
        <w:t xml:space="preserve">：</w:t>
      </w:r>
      <w:r>
        <w:rPr>
          <w:rFonts w:ascii="Times New Roman" w:hAnsi="Times New Roman" w:eastAsia="仿宋_GB2312" w:cs="仿宋_GB2312"/>
          <w:color w:val="000000"/>
          <w:sz w:val="32"/>
          <w:szCs w:val="32"/>
          <w:highlight w:val="none"/>
        </w:rPr>
        <w:t xml:space="preserve">如果乙方破产或丧失清偿能力，甲方可在任何时候以书面形式通知乙方终止合同而不给乙方补偿。该终止合同将不损害或影响甲方已经采取或将要采取任何补救措施的权利。 </w:t>
      </w:r>
      <w:r>
        <w:rPr>
          <w:rFonts w:hint="eastAsia" w:ascii="黑体" w:hAnsi="黑体" w:eastAsia="黑体" w:cs="黑体"/>
          <w:b w:val="0"/>
          <w:color w:val="000000"/>
          <w:sz w:val="32"/>
          <w:szCs w:val="32"/>
          <w:highlight w:val="none"/>
        </w:rPr>
      </w:r>
      <w:r/>
    </w:p>
    <w:p>
      <w:pPr>
        <w:pStyle w:val="783"/>
        <w:ind w:left="0" w:firstLine="640"/>
        <w:widowControl/>
        <w:rPr>
          <w:rFonts w:hint="eastAsia" w:ascii="黑体" w:hAnsi="黑体" w:eastAsia="黑体" w:cs="黑体"/>
          <w:b w:val="0"/>
          <w:color w:val="000000"/>
          <w:sz w:val="32"/>
          <w:szCs w:val="32"/>
          <w:highlight w:val="none"/>
        </w:rPr>
      </w:pPr>
      <w:r>
        <w:rPr>
          <w:rStyle w:val="955"/>
          <w:rFonts w:hint="eastAsia" w:eastAsia="黑体"/>
          <w:color w:val="000000"/>
          <w:highlight w:val="none"/>
          <w:lang w:eastAsia="zh-CN"/>
        </w:rPr>
        <w:t xml:space="preserve">十、</w:t>
      </w:r>
      <w:r>
        <w:rPr>
          <w:rStyle w:val="955"/>
          <w:color w:val="000000"/>
          <w:highlight w:val="none"/>
        </w:rPr>
        <w:t xml:space="preserve">政府采购法对政府采购合同变更终止的规定</w:t>
      </w:r>
      <w:r>
        <w:rPr>
          <w:rFonts w:ascii="Times New Roman" w:hAnsi="Times New Roman" w:eastAsia="仿宋_GB2312" w:cs="仿宋_GB2312"/>
          <w:b/>
          <w:color w:val="000000"/>
          <w:sz w:val="32"/>
          <w:szCs w:val="32"/>
          <w:highlight w:val="none"/>
        </w:rPr>
        <w:t xml:space="preserve">：</w:t>
      </w:r>
      <w:r>
        <w:rPr>
          <w:rFonts w:ascii="Times New Roman" w:hAnsi="Times New Roman" w:eastAsia="仿宋_GB2312" w:cs="仿宋_GB2312"/>
          <w:color w:val="000000"/>
          <w:sz w:val="32"/>
          <w:szCs w:val="32"/>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黑体" w:hAnsi="黑体" w:eastAsia="黑体" w:cs="黑体"/>
          <w:b w:val="0"/>
          <w:color w:val="000000"/>
          <w:sz w:val="32"/>
          <w:szCs w:val="32"/>
          <w:highlight w:val="none"/>
        </w:rPr>
      </w:r>
      <w:r/>
    </w:p>
    <w:p>
      <w:pPr>
        <w:pStyle w:val="783"/>
        <w:ind w:left="0" w:firstLine="640"/>
        <w:widowControl/>
        <w:rPr>
          <w:rFonts w:hint="eastAsia" w:ascii="黑体" w:hAnsi="黑体" w:eastAsia="黑体" w:cs="黑体"/>
          <w:b w:val="0"/>
          <w:color w:val="000000"/>
          <w:sz w:val="32"/>
          <w:szCs w:val="32"/>
          <w:highlight w:val="none"/>
        </w:rPr>
      </w:pPr>
      <w:r>
        <w:rPr>
          <w:rStyle w:val="955"/>
          <w:rFonts w:hint="eastAsia" w:eastAsia="黑体"/>
          <w:color w:val="000000"/>
          <w:highlight w:val="none"/>
          <w:lang w:eastAsia="zh-CN"/>
        </w:rPr>
        <w:t xml:space="preserve">十一、</w:t>
      </w:r>
      <w:r>
        <w:rPr>
          <w:rStyle w:val="955"/>
          <w:color w:val="000000"/>
          <w:highlight w:val="none"/>
        </w:rPr>
        <w:t xml:space="preserve">合同转让和分包</w:t>
      </w:r>
      <w:r>
        <w:rPr>
          <w:rFonts w:ascii="Times New Roman" w:hAnsi="Times New Roman" w:eastAsia="仿宋_GB2312" w:cs="仿宋_GB2312"/>
          <w:b/>
          <w:color w:val="000000"/>
          <w:sz w:val="32"/>
          <w:szCs w:val="32"/>
          <w:highlight w:val="none"/>
        </w:rPr>
        <w:t xml:space="preserve">：</w:t>
      </w:r>
      <w:r>
        <w:rPr>
          <w:rFonts w:ascii="Times New Roman" w:hAnsi="Times New Roman" w:eastAsia="仿宋_GB2312" w:cs="仿宋_GB2312"/>
          <w:color w:val="000000"/>
          <w:sz w:val="32"/>
          <w:szCs w:val="32"/>
          <w:highlight w:val="none"/>
        </w:rPr>
        <w:t xml:space="preserve">本项目不得转让和分包。</w:t>
      </w:r>
      <w:r>
        <w:rPr>
          <w:rFonts w:hint="eastAsia" w:ascii="黑体" w:hAnsi="黑体" w:eastAsia="黑体" w:cs="黑体"/>
          <w:b w:val="0"/>
          <w:color w:val="000000"/>
          <w:sz w:val="32"/>
          <w:szCs w:val="32"/>
          <w:highlight w:val="none"/>
        </w:rPr>
      </w:r>
      <w:r/>
    </w:p>
    <w:p>
      <w:pPr>
        <w:pStyle w:val="783"/>
        <w:ind w:left="0" w:firstLine="640"/>
        <w:widowControl/>
        <w:rPr>
          <w:rFonts w:hint="eastAsia" w:ascii="黑体" w:hAnsi="黑体" w:eastAsia="黑体" w:cs="黑体"/>
          <w:b w:val="0"/>
          <w:color w:val="000000"/>
          <w:sz w:val="32"/>
          <w:szCs w:val="32"/>
          <w:highlight w:val="none"/>
        </w:rPr>
      </w:pPr>
      <w:r>
        <w:rPr>
          <w:rStyle w:val="955"/>
          <w:rFonts w:hint="eastAsia" w:eastAsia="黑体"/>
          <w:color w:val="000000"/>
          <w:highlight w:val="none"/>
          <w:lang w:eastAsia="zh-CN"/>
        </w:rPr>
        <w:t xml:space="preserve">十二、</w:t>
      </w:r>
      <w:r>
        <w:rPr>
          <w:rStyle w:val="955"/>
          <w:color w:val="000000"/>
          <w:highlight w:val="none"/>
        </w:rPr>
        <w:t xml:space="preserve">需要补充的合同条款</w:t>
      </w:r>
      <w:r>
        <w:rPr>
          <w:rFonts w:ascii="Times New Roman" w:hAnsi="Times New Roman" w:eastAsia="仿宋_GB2312" w:cs="仿宋_GB2312"/>
          <w:b/>
          <w:color w:val="000000"/>
          <w:sz w:val="32"/>
          <w:szCs w:val="32"/>
          <w:highlight w:val="none"/>
        </w:rPr>
        <w:t xml:space="preserve">：</w:t>
      </w:r>
      <w:r>
        <w:rPr>
          <w:rFonts w:ascii="Times New Roman" w:hAnsi="Times New Roman" w:eastAsia="仿宋_GB2312" w:cs="仿宋_GB2312"/>
          <w:color w:val="000000"/>
          <w:sz w:val="32"/>
          <w:szCs w:val="32"/>
          <w:highlight w:val="none"/>
        </w:rPr>
        <w:t xml:space="preserve">（根据评审过程中或者商务谈判时商定的条款和条件在订立合同时标明）。</w:t>
      </w:r>
      <w:r>
        <w:rPr>
          <w:rFonts w:hint="eastAsia" w:ascii="黑体" w:hAnsi="黑体" w:eastAsia="黑体" w:cs="黑体"/>
          <w:b w:val="0"/>
          <w:color w:val="000000"/>
          <w:sz w:val="32"/>
          <w:szCs w:val="32"/>
          <w:highlight w:val="none"/>
        </w:rPr>
      </w:r>
      <w:r/>
    </w:p>
    <w:p>
      <w:pPr>
        <w:pStyle w:val="954"/>
        <w:ind w:left="0" w:firstLine="640"/>
        <w:rPr>
          <w:rFonts w:hint="eastAsia" w:ascii="黑体" w:hAnsi="黑体" w:eastAsia="黑体" w:cs="黑体"/>
          <w:b w:val="0"/>
          <w:color w:val="000000"/>
          <w:szCs w:val="32"/>
          <w:highlight w:val="none"/>
        </w:rPr>
      </w:pPr>
      <w:r>
        <w:rPr>
          <w:rFonts w:hint="eastAsia"/>
          <w:color w:val="000000"/>
          <w:highlight w:val="none"/>
          <w:lang w:eastAsia="zh-CN"/>
        </w:rPr>
        <w:t xml:space="preserve">十三、</w:t>
      </w:r>
      <w:r>
        <w:rPr>
          <w:color w:val="000000"/>
          <w:highlight w:val="none"/>
        </w:rPr>
        <w:t xml:space="preserve">合同生效</w:t>
      </w:r>
      <w:r>
        <w:rPr>
          <w:rFonts w:hint="eastAsia" w:ascii="黑体" w:hAnsi="黑体" w:eastAsia="黑体" w:cs="黑体"/>
          <w:b w:val="0"/>
          <w:color w:val="000000"/>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1.</w:t>
      </w:r>
      <w:r>
        <w:rPr>
          <w:rFonts w:ascii="Times New Roman" w:hAnsi="Times New Roman" w:eastAsia="仿宋_GB2312" w:cs="仿宋_GB2312"/>
          <w:color w:val="000000"/>
          <w:sz w:val="32"/>
          <w:szCs w:val="32"/>
          <w:highlight w:val="none"/>
        </w:rPr>
        <w:t xml:space="preserve">双方签约人为各自法定代表人或被授权代表。</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2.</w:t>
      </w:r>
      <w:r>
        <w:rPr>
          <w:rFonts w:ascii="Times New Roman" w:hAnsi="Times New Roman" w:eastAsia="仿宋_GB2312" w:cs="仿宋_GB2312"/>
          <w:color w:val="000000"/>
          <w:sz w:val="32"/>
          <w:szCs w:val="32"/>
          <w:highlight w:val="none"/>
        </w:rPr>
        <w:t xml:space="preserve">本合同系指本文件及其附件中的所有部分，采购文件、成交人的响应文件、成交通知书、成交人在采购过程中的澄清和承诺等为本合同不可缺少的组成部分。</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3.</w:t>
      </w:r>
      <w:r>
        <w:rPr>
          <w:rFonts w:ascii="Times New Roman" w:hAnsi="Times New Roman" w:eastAsia="仿宋_GB2312" w:cs="仿宋_GB2312"/>
          <w:color w:val="000000"/>
          <w:sz w:val="32"/>
          <w:szCs w:val="32"/>
          <w:highlight w:val="none"/>
        </w:rPr>
        <w:t xml:space="preserve">本合同自甲乙双方签字盖章之日起生效。</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4.</w:t>
      </w:r>
      <w:r>
        <w:rPr>
          <w:rFonts w:ascii="Times New Roman" w:hAnsi="Times New Roman" w:eastAsia="仿宋_GB2312" w:cs="仿宋_GB2312"/>
          <w:color w:val="000000"/>
          <w:sz w:val="32"/>
          <w:szCs w:val="32"/>
          <w:highlight w:val="none"/>
        </w:rPr>
        <w:t xml:space="preserve">本合同壹式</w:t>
      </w:r>
      <w:r>
        <w:rPr>
          <w:rFonts w:ascii="Times New Roman" w:hAnsi="Times New Roman" w:eastAsia="仿宋_GB2312" w:cs="仿宋_GB2312"/>
          <w:b/>
          <w:color w:val="000000"/>
          <w:sz w:val="32"/>
          <w:szCs w:val="32"/>
          <w:highlight w:val="none"/>
        </w:rPr>
        <w:t xml:space="preserve">肆</w:t>
      </w:r>
      <w:r>
        <w:rPr>
          <w:rFonts w:ascii="Times New Roman" w:hAnsi="Times New Roman" w:eastAsia="仿宋_GB2312" w:cs="仿宋_GB2312"/>
          <w:color w:val="000000"/>
          <w:sz w:val="32"/>
          <w:szCs w:val="32"/>
          <w:highlight w:val="none"/>
        </w:rPr>
        <w:t xml:space="preserve">份，甲乙双方各执</w:t>
      </w:r>
      <w:r>
        <w:rPr>
          <w:rFonts w:ascii="Times New Roman" w:hAnsi="Times New Roman" w:eastAsia="仿宋_GB2312" w:cs="仿宋_GB2312"/>
          <w:b/>
          <w:color w:val="000000"/>
          <w:sz w:val="32"/>
          <w:szCs w:val="32"/>
          <w:highlight w:val="none"/>
        </w:rPr>
        <w:t xml:space="preserve">贰</w:t>
      </w:r>
      <w:r>
        <w:rPr>
          <w:rFonts w:ascii="Times New Roman" w:hAnsi="Times New Roman" w:eastAsia="仿宋_GB2312" w:cs="仿宋_GB2312"/>
          <w:color w:val="000000"/>
          <w:sz w:val="32"/>
          <w:szCs w:val="32"/>
          <w:highlight w:val="none"/>
        </w:rPr>
        <w:t xml:space="preserve">份，各份具有同等法律效力。</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5.</w:t>
      </w:r>
      <w:r>
        <w:rPr>
          <w:rFonts w:ascii="Times New Roman" w:hAnsi="Times New Roman" w:eastAsia="仿宋_GB2312" w:cs="仿宋_GB2312"/>
          <w:color w:val="000000"/>
          <w:sz w:val="32"/>
          <w:szCs w:val="32"/>
          <w:highlight w:val="none"/>
        </w:rPr>
        <w:t xml:space="preserve">本合同应按照中华人民共和国的现行法律进行解释。</w:t>
      </w:r>
      <w:r>
        <w:rPr>
          <w:rFonts w:ascii="Times New Roman" w:hAnsi="Times New Roman" w:eastAsia="仿宋_GB2312" w:cs="仿宋_GB2312"/>
          <w:b w:val="0"/>
          <w:color w:val="000000"/>
          <w:sz w:val="32"/>
          <w:szCs w:val="32"/>
          <w:highlight w:val="none"/>
        </w:rPr>
      </w:r>
      <w:r/>
    </w:p>
    <w:p>
      <w:pPr>
        <w:pStyle w:val="783"/>
        <w:ind w:left="0" w:firstLine="616"/>
        <w:widowControl/>
        <w:rPr>
          <w:rFonts w:ascii="Times New Roman" w:hAnsi="Times New Roman" w:eastAsia="仿宋_GB2312" w:cs="仿宋_GB2312"/>
          <w:b w:val="0"/>
          <w:color w:val="000000"/>
          <w:sz w:val="32"/>
          <w:szCs w:val="32"/>
          <w:highlight w:val="none"/>
        </w:rPr>
      </w:pPr>
      <w:r>
        <w:rPr>
          <w:rFonts w:hint="eastAsia" w:cs="仿宋_GB2312"/>
          <w:color w:val="000000"/>
          <w:sz w:val="32"/>
          <w:szCs w:val="32"/>
          <w:highlight w:val="none"/>
          <w:lang w:eastAsia="zh-CN"/>
        </w:rPr>
        <w:t xml:space="preserve">6.</w:t>
      </w:r>
      <w:r>
        <w:rPr>
          <w:rFonts w:ascii="Times New Roman" w:hAnsi="Times New Roman" w:eastAsia="仿宋_GB2312" w:cs="仿宋_GB2312"/>
          <w:color w:val="000000"/>
          <w:sz w:val="32"/>
          <w:szCs w:val="32"/>
          <w:highlight w:val="none"/>
        </w:rPr>
        <w:t xml:space="preserve">合同修改：除甲乙双方签署书面修改、补充协议，并成为本合同不可分割的一部分之外，本合同条件不得有任何变化或修改。 </w:t>
      </w:r>
      <w:r>
        <w:rPr>
          <w:rFonts w:ascii="Times New Roman" w:hAnsi="Times New Roman" w:eastAsia="仿宋_GB2312" w:cs="仿宋_GB2312"/>
          <w:b w:val="0"/>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甲方（公章）：                   </w:t>
      </w:r>
      <w:r>
        <w:rPr>
          <w:rFonts w:ascii="Times New Roman" w:hAnsi="Times New Roman" w:eastAsia="仿宋_GB2312" w:cs="仿宋_GB2312"/>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法定代表人或授权代表（签字或盖章）：  </w:t>
      </w:r>
      <w:r>
        <w:rPr>
          <w:rFonts w:ascii="Times New Roman" w:hAnsi="Times New Roman" w:eastAsia="仿宋_GB2312" w:cs="仿宋_GB2312"/>
          <w:color w:val="000000"/>
          <w:sz w:val="32"/>
          <w:szCs w:val="32"/>
          <w:highlight w:val="none"/>
        </w:rPr>
      </w:r>
      <w:r/>
    </w:p>
    <w:p>
      <w:pPr>
        <w:pStyle w:val="777"/>
        <w:ind w:left="0" w:firstLine="0"/>
        <w:jc w:val="both"/>
        <w:keepLines w:val="0"/>
        <w:keepNext w:val="0"/>
        <w:pageBreakBefore w:val="0"/>
        <w:spacing w:line="360" w:lineRule="auto"/>
        <w:widowControl w:val="off"/>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t xml:space="preserve"> </w:t>
      </w:r>
      <w:r>
        <w:rPr>
          <w:rFonts w:hint="eastAsia" w:ascii="Times New Roman" w:hAnsi="Times New Roman" w:eastAsia="仿宋_GB2312" w:cs="仿宋_GB2312"/>
          <w:color w:val="000000"/>
          <w:sz w:val="32"/>
          <w:szCs w:val="32"/>
          <w:highlight w:val="none"/>
        </w:rPr>
      </w:r>
      <w:r/>
    </w:p>
    <w:p>
      <w:pPr>
        <w:pStyle w:val="777"/>
        <w:ind w:left="0" w:firstLine="0"/>
        <w:jc w:val="both"/>
        <w:keepLines w:val="0"/>
        <w:keepNext w:val="0"/>
        <w:pageBreakBefore w:val="0"/>
        <w:spacing w:line="360" w:lineRule="auto"/>
        <w:widowControl w:val="off"/>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乙方（公章）：</w:t>
      </w:r>
      <w:r>
        <w:rPr>
          <w:rFonts w:ascii="Times New Roman" w:hAnsi="Times New Roman" w:eastAsia="仿宋_GB2312" w:cs="仿宋_GB2312"/>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法定代表人或授权代表（签字或盖章）：</w:t>
      </w:r>
      <w:r>
        <w:rPr>
          <w:rFonts w:ascii="Times New Roman" w:hAnsi="Times New Roman" w:eastAsia="仿宋_GB2312" w:cs="仿宋_GB2312"/>
          <w:color w:val="000000"/>
          <w:sz w:val="32"/>
          <w:szCs w:val="32"/>
          <w:highlight w:val="none"/>
        </w:rPr>
      </w:r>
      <w:r/>
    </w:p>
    <w:p>
      <w:pPr>
        <w:pStyle w:val="777"/>
        <w:ind w:left="0" w:firstLine="0"/>
        <w:jc w:val="both"/>
        <w:keepLines w:val="0"/>
        <w:keepNext w:val="0"/>
        <w:pageBreakBefore w:val="0"/>
        <w:spacing w:line="360" w:lineRule="auto"/>
        <w:widowControl w:val="off"/>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r>
      <w:r/>
    </w:p>
    <w:p>
      <w:pPr>
        <w:pStyle w:val="777"/>
        <w:ind w:left="0" w:firstLine="0"/>
        <w:jc w:val="both"/>
        <w:keepLines w:val="0"/>
        <w:keepNext w:val="0"/>
        <w:pageBreakBefore w:val="0"/>
        <w:spacing w:line="360" w:lineRule="auto"/>
        <w:widowControl w:val="off"/>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r>
      <w:r/>
    </w:p>
    <w:p>
      <w:pPr>
        <w:pStyle w:val="777"/>
        <w:ind w:left="0" w:firstLine="0"/>
        <w:jc w:val="both"/>
        <w:keepLines w:val="0"/>
        <w:keepNext w:val="0"/>
        <w:pageBreakBefore w:val="0"/>
        <w:spacing w:line="360" w:lineRule="auto"/>
        <w:widowControl w:val="off"/>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r>
      <w:r/>
    </w:p>
    <w:p>
      <w:pPr>
        <w:pStyle w:val="777"/>
        <w:ind w:left="0" w:firstLine="0"/>
        <w:jc w:val="both"/>
        <w:keepLines w:val="0"/>
        <w:keepNext w:val="0"/>
        <w:pageBreakBefore w:val="0"/>
        <w:spacing w:line="360" w:lineRule="auto"/>
        <w:widowControl w:val="off"/>
        <w:rPr>
          <w:rFonts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t xml:space="preserve">签约日期：                    </w:t>
      </w:r>
      <w:r>
        <w:rPr>
          <w:rFonts w:ascii="Times New Roman" w:hAnsi="Times New Roman" w:eastAsia="仿宋_GB2312" w:cs="仿宋_GB2312"/>
          <w:color w:val="000000"/>
          <w:sz w:val="32"/>
          <w:szCs w:val="32"/>
          <w:highlight w:val="none"/>
        </w:rPr>
        <w:t xml:space="preserve">合同签订地：</w:t>
      </w:r>
      <w:r>
        <w:rPr>
          <w:rFonts w:ascii="Times New Roman" w:hAnsi="Times New Roman" w:eastAsia="仿宋_GB2312" w:cs="仿宋_GB2312"/>
          <w:color w:val="000000"/>
          <w:sz w:val="32"/>
          <w:szCs w:val="32"/>
          <w:highlight w:val="none"/>
        </w:rPr>
      </w:r>
      <w:r/>
    </w:p>
    <w:p>
      <w:pPr>
        <w:pStyle w:val="777"/>
        <w:ind w:firstLine="0"/>
        <w:jc w:val="both"/>
        <w:pageBreakBefore w:val="0"/>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969"/>
        <w:rPr>
          <w:b w:val="0"/>
          <w:color w:val="000000"/>
          <w:highlight w:val="none"/>
        </w:rPr>
      </w:pPr>
      <w:r>
        <w:rPr>
          <w:rFonts w:hint="eastAsia"/>
          <w:color w:val="000000"/>
          <w:highlight w:val="none"/>
          <w:lang w:eastAsia="zh-CN"/>
        </w:rPr>
        <w:t xml:space="preserve">第六章</w:t>
      </w:r>
      <w:r>
        <w:rPr>
          <w:rFonts w:hint="eastAsia" w:ascii="仿宋" w:hAnsi="仿宋" w:eastAsia="仿宋" w:cs="仿宋"/>
          <w:bCs/>
          <w:color w:val="000000"/>
          <w:spacing w:val="-6"/>
          <w:sz w:val="32"/>
          <w:szCs w:val="32"/>
          <w:highlight w:val="none"/>
          <w:lang w:eastAsia="zh-CN" w:bidi="ar-SA"/>
        </w:rPr>
        <w:t xml:space="preserve"> </w:t>
      </w:r>
      <w:r>
        <w:rPr>
          <w:color w:val="000000"/>
          <w:highlight w:val="none"/>
        </w:rPr>
        <w:t xml:space="preserve">附件格式</w:t>
      </w:r>
      <w:r>
        <w:rPr>
          <w:b w:val="0"/>
          <w:color w:val="000000"/>
          <w:highlight w:val="none"/>
        </w:rPr>
      </w:r>
      <w:r/>
    </w:p>
    <w:p>
      <w:pPr>
        <w:pStyle w:val="974"/>
        <w:widowControl/>
        <w:rPr>
          <w:color w:val="000000"/>
          <w:highlight w:val="none"/>
        </w:rPr>
      </w:pPr>
      <w:r>
        <w:rPr>
          <w:color w:val="000000"/>
          <w:highlight w:val="none"/>
        </w:rPr>
        <w:t xml:space="preserve">格式1</w:t>
      </w:r>
      <w:r>
        <w:rPr>
          <w:color w:val="000000"/>
          <w:highlight w:val="none"/>
        </w:rPr>
      </w:r>
      <w:r/>
    </w:p>
    <w:p>
      <w:pPr>
        <w:pStyle w:val="783"/>
        <w:rPr>
          <w:color w:val="000000"/>
          <w:highlight w:val="none"/>
        </w:rPr>
      </w:pPr>
      <w:r>
        <w:rPr>
          <w:color w:val="000000"/>
          <w:highlight w:val="none"/>
        </w:rPr>
      </w:r>
      <w:r/>
    </w:p>
    <w:p>
      <w:pPr>
        <w:pStyle w:val="800"/>
        <w:widowControl/>
        <w:rPr>
          <w:color w:val="000000"/>
          <w:highlight w:val="none"/>
        </w:rPr>
      </w:pPr>
      <w:r>
        <w:rPr>
          <w:color w:val="000000"/>
          <w:highlight w:val="none"/>
        </w:rPr>
        <w:t xml:space="preserve">投 标 函</w:t>
      </w:r>
      <w:r>
        <w:rPr>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我们收到贵公司</w:t>
      </w:r>
      <w:r>
        <w:rPr>
          <w:rFonts w:ascii="Times New Roman" w:hAnsi="Times New Roman" w:eastAsia="仿宋_GB2312" w:cs="仿宋_GB2312"/>
          <w:color w:val="000000"/>
          <w:sz w:val="32"/>
          <w:szCs w:val="32"/>
          <w:highlight w:val="none"/>
          <w:u w:val="single"/>
        </w:rPr>
        <w:t xml:space="preserve">（采购项目编号）</w:t>
      </w:r>
      <w:r>
        <w:rPr>
          <w:rFonts w:ascii="Times New Roman" w:hAnsi="Times New Roman" w:eastAsia="仿宋_GB2312" w:cs="仿宋_GB2312"/>
          <w:color w:val="000000"/>
          <w:sz w:val="32"/>
          <w:szCs w:val="32"/>
          <w:highlight w:val="none"/>
        </w:rPr>
        <w:t xml:space="preserve">号采购文件，经仔细阅读和研究，我们决定参加投标。并向贵公司承诺：</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2、如果我们的投标被接受，我们将严格履行磋商文件中规定的每一项要求，严格履行合同的责任和义务，保证按期、按质履行合同，完成合同内容所规定的全部工作。</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3、我公司本项目投标文件的有效期限自提交投标文件截止之日起30天。如果我们在开标后规定的投标有效期内撤回投标，我们愿意承担一切责任。</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5、我们已审阅全部磋商文件，包括磋商文件的澄清和更正文件（如有）及有关附件，我们已完全理解磋商文件并对磋商文件不存在任何异议。</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6、我们愿意遵守招标公告及磋商文件中所列的收费标准。</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7、我们承诺该项投标在开标后的全过程中保持有效，不作任何更改和变动。</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所有有关标书的函电，请按下列地址联系：</w:t>
      </w:r>
      <w:r>
        <w:rPr>
          <w:rFonts w:ascii="Times New Roman" w:hAnsi="Times New Roman" w:eastAsia="仿宋_GB2312" w:cs="仿宋_GB2312"/>
          <w:color w:val="000000"/>
          <w:sz w:val="32"/>
          <w:szCs w:val="32"/>
          <w:highlight w:val="none"/>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单    位： </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   </w:t>
      </w:r>
      <w:r>
        <w:rPr>
          <w:rFonts w:ascii="Times New Roman" w:hAnsi="Times New Roman" w:eastAsia="仿宋_GB2312" w:cs="仿宋_GB2312"/>
          <w:color w:val="000000"/>
          <w:sz w:val="32"/>
          <w:szCs w:val="32"/>
          <w:highlight w:val="none"/>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联 系 人：</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                </w:t>
      </w:r>
      <w:r>
        <w:rPr>
          <w:rFonts w:ascii="Times New Roman" w:hAnsi="Times New Roman" w:eastAsia="仿宋_GB2312" w:cs="仿宋_GB2312"/>
          <w:color w:val="000000"/>
          <w:sz w:val="32"/>
          <w:szCs w:val="32"/>
          <w:highlight w:val="none"/>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地　　址：</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                     </w:t>
      </w:r>
      <w:r>
        <w:rPr>
          <w:rFonts w:ascii="Times New Roman" w:hAnsi="Times New Roman" w:eastAsia="仿宋_GB2312" w:cs="仿宋_GB2312"/>
          <w:color w:val="000000"/>
          <w:sz w:val="32"/>
          <w:szCs w:val="32"/>
          <w:highlight w:val="none"/>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开户银行及银行账号：</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        </w:t>
      </w:r>
      <w:r>
        <w:rPr>
          <w:rFonts w:ascii="Times New Roman" w:hAnsi="Times New Roman" w:eastAsia="仿宋_GB2312" w:cs="仿宋_GB2312"/>
          <w:color w:val="000000"/>
          <w:sz w:val="32"/>
          <w:szCs w:val="32"/>
          <w:highlight w:val="none"/>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数字人民币账号： </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      </w:t>
      </w:r>
      <w:r>
        <w:rPr>
          <w:rFonts w:ascii="Times New Roman" w:hAnsi="Times New Roman" w:eastAsia="仿宋_GB2312" w:cs="仿宋_GB2312"/>
          <w:color w:val="000000"/>
          <w:sz w:val="32"/>
          <w:szCs w:val="32"/>
          <w:highlight w:val="none"/>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联系电话： </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                    </w:t>
      </w:r>
      <w:r>
        <w:rPr>
          <w:rFonts w:ascii="Times New Roman" w:hAnsi="Times New Roman" w:eastAsia="仿宋_GB2312" w:cs="仿宋_GB2312"/>
          <w:color w:val="000000"/>
          <w:sz w:val="32"/>
          <w:szCs w:val="32"/>
          <w:highlight w:val="none"/>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传　　真： </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                    </w:t>
      </w:r>
      <w:r>
        <w:rPr>
          <w:rFonts w:ascii="Times New Roman" w:hAnsi="Times New Roman" w:eastAsia="仿宋_GB2312" w:cs="仿宋_GB2312"/>
          <w:color w:val="000000"/>
          <w:sz w:val="32"/>
          <w:szCs w:val="32"/>
          <w:highlight w:val="none"/>
        </w:rPr>
      </w:r>
      <w:r/>
    </w:p>
    <w:p>
      <w:pPr>
        <w:pStyle w:val="777"/>
        <w:ind w:firstLine="0"/>
        <w:jc w:val="both"/>
        <w:pageBreakBefore w:val="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77"/>
        <w:ind w:firstLine="0"/>
        <w:jc w:val="both"/>
        <w:pageBreakBefore w:val="0"/>
        <w:spacing w:line="420" w:lineRule="exact"/>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lang w:eastAsia="zh-CN"/>
        </w:rPr>
        <w:t xml:space="preserve">响应单位</w:t>
      </w:r>
      <w:r>
        <w:rPr>
          <w:rFonts w:hint="eastAsia" w:ascii="Times New Roman" w:hAnsi="Times New Roman" w:eastAsia="仿宋_GB2312" w:cs="仿宋_GB2312"/>
          <w:color w:val="000000"/>
          <w:sz w:val="32"/>
          <w:szCs w:val="32"/>
          <w:highlight w:val="none"/>
        </w:rPr>
        <w:t xml:space="preserve">（供应商）： </w:t>
      </w:r>
      <w:r>
        <w:rPr>
          <w:rFonts w:hint="eastAsia" w:ascii="Times New Roman" w:hAnsi="Times New Roman" w:eastAsia="仿宋_GB2312" w:cs="仿宋_GB2312"/>
          <w:color w:val="000000"/>
          <w:sz w:val="32"/>
          <w:szCs w:val="32"/>
          <w:highlight w:val="none"/>
          <w:u w:val="single"/>
        </w:rPr>
        <w:t xml:space="preserve">                 </w:t>
      </w:r>
      <w:r>
        <w:rPr>
          <w:rFonts w:hint="eastAsia" w:ascii="Times New Roman" w:hAnsi="Times New Roman" w:eastAsia="仿宋_GB2312" w:cs="仿宋_GB2312"/>
          <w:color w:val="000000"/>
          <w:sz w:val="32"/>
          <w:szCs w:val="32"/>
          <w:highlight w:val="none"/>
        </w:rPr>
        <w:t xml:space="preserve">             </w:t>
      </w:r>
      <w:r>
        <w:rPr>
          <w:rFonts w:hint="eastAsia" w:ascii="Times New Roman" w:hAnsi="Times New Roman" w:eastAsia="仿宋_GB2312" w:cs="仿宋_GB2312"/>
          <w:color w:val="000000"/>
          <w:sz w:val="32"/>
          <w:szCs w:val="32"/>
          <w:highlight w:val="none"/>
        </w:rPr>
      </w:r>
      <w:r/>
    </w:p>
    <w:p>
      <w:pPr>
        <w:pStyle w:val="777"/>
        <w:ind w:firstLine="0"/>
        <w:jc w:val="both"/>
        <w:pageBreakBefore w:val="0"/>
        <w:spacing w:line="420" w:lineRule="exact"/>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t xml:space="preserve">法定代表人或授权代理人：</w:t>
      </w:r>
      <w:r>
        <w:rPr>
          <w:rFonts w:hint="eastAsia" w:ascii="Times New Roman" w:hAnsi="Times New Roman" w:eastAsia="仿宋_GB2312" w:cs="仿宋_GB2312"/>
          <w:color w:val="000000"/>
          <w:sz w:val="32"/>
          <w:szCs w:val="32"/>
          <w:highlight w:val="none"/>
          <w:u w:val="single"/>
        </w:rPr>
        <w:t xml:space="preserve">                 </w:t>
      </w:r>
      <w:r>
        <w:rPr>
          <w:rFonts w:hint="eastAsia" w:ascii="Times New Roman" w:hAnsi="Times New Roman" w:eastAsia="仿宋_GB2312" w:cs="仿宋_GB2312"/>
          <w:color w:val="000000"/>
          <w:sz w:val="32"/>
          <w:szCs w:val="32"/>
          <w:highlight w:val="none"/>
        </w:rPr>
        <w:t xml:space="preserve">（签字）</w:t>
      </w:r>
      <w:r>
        <w:rPr>
          <w:rFonts w:hint="eastAsia" w:ascii="Times New Roman" w:hAnsi="Times New Roman" w:eastAsia="仿宋_GB2312" w:cs="仿宋_GB2312"/>
          <w:color w:val="000000"/>
          <w:sz w:val="32"/>
          <w:szCs w:val="32"/>
          <w:highlight w:val="none"/>
        </w:rPr>
      </w:r>
      <w:r/>
    </w:p>
    <w:p>
      <w:pPr>
        <w:pStyle w:val="783"/>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日　　期： </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                  </w:t>
      </w:r>
      <w:r>
        <w:rPr>
          <w:rFonts w:ascii="Times New Roman" w:hAnsi="Times New Roman" w:eastAsia="仿宋_GB2312" w:cs="仿宋_GB2312"/>
          <w:color w:val="000000"/>
          <w:sz w:val="32"/>
          <w:szCs w:val="32"/>
          <w:highlight w:val="none"/>
        </w:rPr>
      </w:r>
      <w:r/>
    </w:p>
    <w:p>
      <w:pPr>
        <w:pStyle w:val="975"/>
        <w:ind w:firstLine="0"/>
        <w:jc w:val="both"/>
        <w:pageBreakBefore w:val="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75"/>
        <w:ind w:firstLine="0"/>
        <w:jc w:val="both"/>
        <w:pageBreakBefore w:val="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74"/>
        <w:widowControl/>
        <w:rPr>
          <w:color w:val="000000"/>
          <w:highlight w:val="none"/>
        </w:rPr>
      </w:pPr>
      <w:r>
        <w:rPr>
          <w:color w:val="000000"/>
          <w:highlight w:val="none"/>
        </w:rPr>
        <w:br w:type="page" w:clear="all"/>
      </w:r>
      <w:r>
        <w:rPr>
          <w:color w:val="000000"/>
          <w:highlight w:val="none"/>
        </w:rPr>
        <w:t xml:space="preserve">格式2</w:t>
      </w:r>
      <w:r>
        <w:rPr>
          <w:color w:val="000000"/>
          <w:highlight w:val="none"/>
        </w:rPr>
      </w:r>
      <w:r/>
    </w:p>
    <w:p>
      <w:pPr>
        <w:pStyle w:val="783"/>
        <w:rPr>
          <w:color w:val="000000"/>
          <w:highlight w:val="none"/>
        </w:rPr>
      </w:pPr>
      <w:r>
        <w:rPr>
          <w:color w:val="000000"/>
          <w:highlight w:val="none"/>
        </w:rPr>
      </w:r>
      <w:r/>
    </w:p>
    <w:p>
      <w:pPr>
        <w:pStyle w:val="800"/>
        <w:widowControl/>
        <w:rPr>
          <w:color w:val="000000"/>
          <w:highlight w:val="none"/>
        </w:rPr>
      </w:pPr>
      <w:r>
        <w:rPr>
          <w:color w:val="000000"/>
          <w:highlight w:val="none"/>
        </w:rPr>
        <w:t xml:space="preserve">法定代表人授权委托书</w:t>
      </w:r>
      <w:r>
        <w:rPr>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本授权委托书声明：我</w:t>
      </w:r>
      <w:r>
        <w:rPr>
          <w:rFonts w:ascii="Times New Roman" w:hAnsi="Times New Roman" w:eastAsia="仿宋_GB2312" w:cs="仿宋_GB2312"/>
          <w:color w:val="000000"/>
          <w:sz w:val="32"/>
          <w:szCs w:val="32"/>
          <w:highlight w:val="none"/>
          <w:u w:val="single"/>
        </w:rPr>
        <w:t xml:space="preserve">（姓名）</w:t>
      </w:r>
      <w:r>
        <w:rPr>
          <w:rFonts w:ascii="Times New Roman" w:hAnsi="Times New Roman" w:eastAsia="仿宋_GB2312" w:cs="仿宋_GB2312"/>
          <w:color w:val="000000"/>
          <w:sz w:val="32"/>
          <w:szCs w:val="32"/>
          <w:highlight w:val="none"/>
        </w:rPr>
        <w:t xml:space="preserve">系</w:t>
      </w:r>
      <w:r>
        <w:rPr>
          <w:rFonts w:ascii="Times New Roman" w:hAnsi="Times New Roman" w:eastAsia="仿宋_GB2312" w:cs="仿宋_GB2312"/>
          <w:color w:val="000000"/>
          <w:sz w:val="32"/>
          <w:szCs w:val="32"/>
          <w:highlight w:val="none"/>
          <w:u w:val="single"/>
        </w:rPr>
        <w:t xml:space="preserve">（响应单位名称）</w:t>
      </w:r>
      <w:r>
        <w:rPr>
          <w:rFonts w:ascii="Times New Roman" w:hAnsi="Times New Roman" w:eastAsia="仿宋_GB2312" w:cs="仿宋_GB2312"/>
          <w:color w:val="000000"/>
          <w:sz w:val="32"/>
          <w:szCs w:val="32"/>
          <w:highlight w:val="none"/>
        </w:rPr>
        <w:t xml:space="preserve">的法定代表人，现授权委托 </w:t>
      </w:r>
      <w:r>
        <w:rPr>
          <w:rFonts w:ascii="Times New Roman" w:hAnsi="Times New Roman" w:eastAsia="仿宋_GB2312" w:cs="仿宋_GB2312"/>
          <w:color w:val="000000"/>
          <w:sz w:val="32"/>
          <w:szCs w:val="32"/>
          <w:highlight w:val="none"/>
          <w:u w:val="single"/>
        </w:rPr>
        <w:t xml:space="preserve">（姓名＋手机号码）</w:t>
      </w:r>
      <w:r>
        <w:rPr>
          <w:rFonts w:ascii="Times New Roman" w:hAnsi="Times New Roman" w:eastAsia="仿宋_GB2312" w:cs="仿宋_GB2312"/>
          <w:color w:val="000000"/>
          <w:sz w:val="32"/>
          <w:szCs w:val="32"/>
          <w:highlight w:val="none"/>
        </w:rPr>
        <w:t xml:space="preserve">为我公司代理人，以本公司的名义参加</w:t>
      </w:r>
      <w:r>
        <w:rPr>
          <w:rFonts w:ascii="Times New Roman" w:hAnsi="Times New Roman" w:eastAsia="仿宋_GB2312" w:cs="仿宋_GB2312"/>
          <w:color w:val="000000"/>
          <w:sz w:val="32"/>
          <w:szCs w:val="32"/>
          <w:highlight w:val="none"/>
          <w:u w:val="single"/>
        </w:rPr>
        <w:t xml:space="preserve">（采购人名称）</w:t>
      </w:r>
      <w:r>
        <w:rPr>
          <w:rFonts w:ascii="Times New Roman" w:hAnsi="Times New Roman" w:eastAsia="仿宋_GB2312" w:cs="仿宋_GB2312"/>
          <w:color w:val="000000"/>
          <w:sz w:val="32"/>
          <w:szCs w:val="32"/>
          <w:highlight w:val="none"/>
        </w:rPr>
        <w:t xml:space="preserve">组织实施的编号为</w:t>
      </w:r>
      <w:r>
        <w:rPr>
          <w:rFonts w:ascii="Times New Roman" w:hAnsi="Times New Roman" w:eastAsia="仿宋_GB2312" w:cs="仿宋_GB2312"/>
          <w:color w:val="000000"/>
          <w:sz w:val="32"/>
          <w:szCs w:val="32"/>
          <w:highlight w:val="none"/>
          <w:u w:val="single"/>
        </w:rPr>
        <w:t xml:space="preserve">                  （采购编号）</w:t>
      </w:r>
      <w:r>
        <w:rPr>
          <w:rFonts w:ascii="Times New Roman" w:hAnsi="Times New Roman" w:eastAsia="仿宋_GB2312" w:cs="仿宋_GB2312"/>
          <w:color w:val="000000"/>
          <w:sz w:val="32"/>
          <w:szCs w:val="32"/>
          <w:highlight w:val="none"/>
        </w:rPr>
        <w:t xml:space="preserve">的招标（采购）活动。代理人在投标、开标、评标、合同订立和履行过程中所签署的一切文件和处理与这有关的一切事务，我均予以承认。</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代理人在授权委托书有效期内签署的所有文件不因授权委托的撤销而失效，除非有撤销授权委托的书面通知，本授权委托书自投标开始至合同履行完毕止。</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代理人无转委托权。特此委托。</w:t>
      </w:r>
      <w:r>
        <w:rPr>
          <w:rFonts w:ascii="Times New Roman" w:hAnsi="Times New Roman" w:eastAsia="仿宋_GB2312" w:cs="仿宋_GB2312"/>
          <w:color w:val="000000"/>
          <w:sz w:val="32"/>
          <w:szCs w:val="32"/>
          <w:highlight w:val="none"/>
        </w:rPr>
      </w:r>
      <w:r/>
    </w:p>
    <w:p>
      <w:pPr>
        <w:pStyle w:val="976"/>
        <w:ind w:firstLine="0"/>
        <w:jc w:val="both"/>
        <w:pageBreakBefore w:val="0"/>
        <w:spacing w:line="400" w:lineRule="exact"/>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r>
      <w:r/>
    </w:p>
    <w:p>
      <w:pPr>
        <w:pStyle w:val="976"/>
        <w:ind w:firstLine="0"/>
        <w:jc w:val="both"/>
        <w:pageBreakBefore w:val="0"/>
        <w:spacing w:line="400" w:lineRule="exact"/>
        <w:rPr>
          <w:rFonts w:ascii="Times New Roman" w:hAnsi="Times New Roman" w:eastAsia="仿宋_GB2312" w:cs="仿宋_GB2312"/>
          <w:color w:val="000000"/>
          <w:sz w:val="32"/>
          <w:szCs w:val="32"/>
          <w:highlight w:val="none"/>
          <w:u w:val="single"/>
        </w:rPr>
      </w:pPr>
      <w:r>
        <w:rPr>
          <w:rFonts w:hint="eastAsia" w:ascii="Times New Roman" w:hAnsi="Times New Roman" w:eastAsia="仿宋_GB2312" w:cs="仿宋_GB2312"/>
          <w:color w:val="000000"/>
          <w:sz w:val="32"/>
          <w:szCs w:val="32"/>
          <w:highlight w:val="none"/>
        </w:rPr>
        <w:t xml:space="preserve">投 标 人：</w:t>
      </w:r>
      <w:r>
        <w:rPr>
          <w:rFonts w:hint="eastAsia" w:ascii="Times New Roman" w:hAnsi="Times New Roman" w:eastAsia="仿宋_GB2312" w:cs="仿宋_GB2312"/>
          <w:color w:val="000000"/>
          <w:sz w:val="32"/>
          <w:szCs w:val="32"/>
          <w:highlight w:val="none"/>
          <w:lang w:eastAsia="zh-CN"/>
        </w:rPr>
        <w:t xml:space="preserve">（</w:t>
      </w:r>
      <w:r>
        <w:rPr>
          <w:rFonts w:hint="eastAsia" w:ascii="Times New Roman" w:hAnsi="Times New Roman" w:eastAsia="仿宋_GB2312" w:cs="仿宋_GB2312"/>
          <w:color w:val="000000"/>
          <w:sz w:val="32"/>
          <w:szCs w:val="32"/>
          <w:highlight w:val="none"/>
          <w:lang w:val="en-US" w:eastAsia="zh-CN"/>
        </w:rPr>
        <w:t xml:space="preserve">盖章</w:t>
      </w:r>
      <w:r>
        <w:rPr>
          <w:rFonts w:hint="eastAsia" w:ascii="Times New Roman" w:hAnsi="Times New Roman" w:eastAsia="仿宋_GB2312" w:cs="仿宋_GB2312"/>
          <w:color w:val="000000"/>
          <w:sz w:val="32"/>
          <w:szCs w:val="32"/>
          <w:highlight w:val="none"/>
          <w:lang w:eastAsia="zh-CN"/>
        </w:rPr>
        <w:t xml:space="preserve">）</w:t>
      </w:r>
      <w:r>
        <w:rPr>
          <w:rFonts w:hint="eastAsia"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u w:val="single"/>
        </w:rPr>
      </w:r>
      <w:r/>
    </w:p>
    <w:p>
      <w:pPr>
        <w:pStyle w:val="976"/>
        <w:ind w:firstLine="0"/>
        <w:jc w:val="both"/>
        <w:pageBreakBefore w:val="0"/>
        <w:spacing w:line="400" w:lineRule="exact"/>
        <w:rPr>
          <w:rFonts w:hint="eastAsia" w:ascii="Times New Roman" w:hAnsi="Times New Roman" w:eastAsia="仿宋_GB2312" w:cs="仿宋_GB2312"/>
          <w:color w:val="000000"/>
          <w:sz w:val="32"/>
          <w:szCs w:val="32"/>
          <w:highlight w:val="none"/>
          <w:u w:val="single"/>
        </w:rPr>
      </w:pPr>
      <w:r>
        <w:rPr>
          <w:rFonts w:hint="eastAsia" w:ascii="Times New Roman" w:hAnsi="Times New Roman" w:eastAsia="仿宋_GB2312" w:cs="仿宋_GB2312"/>
          <w:color w:val="000000"/>
          <w:sz w:val="32"/>
          <w:szCs w:val="32"/>
          <w:highlight w:val="none"/>
        </w:rPr>
        <w:t xml:space="preserve">法定代表人：</w:t>
      </w:r>
      <w:r>
        <w:rPr>
          <w:rFonts w:hint="eastAsia" w:ascii="Times New Roman" w:hAnsi="Times New Roman" w:eastAsia="仿宋_GB2312" w:cs="仿宋_GB2312"/>
          <w:color w:val="000000"/>
          <w:sz w:val="32"/>
          <w:szCs w:val="32"/>
          <w:highlight w:val="none"/>
          <w:lang w:eastAsia="zh-CN"/>
        </w:rPr>
        <w:t xml:space="preserve">（</w:t>
      </w:r>
      <w:r>
        <w:rPr>
          <w:rFonts w:hint="eastAsia" w:ascii="Times New Roman" w:hAnsi="Times New Roman" w:eastAsia="仿宋_GB2312" w:cs="仿宋_GB2312"/>
          <w:color w:val="000000"/>
          <w:sz w:val="32"/>
          <w:szCs w:val="32"/>
          <w:highlight w:val="none"/>
          <w:lang w:val="en-US" w:eastAsia="zh-CN"/>
        </w:rPr>
        <w:t xml:space="preserve">签字或签章</w:t>
      </w:r>
      <w:r>
        <w:rPr>
          <w:rFonts w:hint="eastAsia" w:ascii="Times New Roman" w:hAnsi="Times New Roman" w:eastAsia="仿宋_GB2312" w:cs="仿宋_GB2312"/>
          <w:color w:val="000000"/>
          <w:sz w:val="32"/>
          <w:szCs w:val="32"/>
          <w:highlight w:val="none"/>
          <w:lang w:eastAsia="zh-CN"/>
        </w:rPr>
        <w:t xml:space="preserve">）</w:t>
      </w:r>
      <w:r>
        <w:rPr>
          <w:rFonts w:hint="eastAsia" w:ascii="Times New Roman" w:hAnsi="Times New Roman" w:eastAsia="仿宋_GB2312" w:cs="仿宋_GB2312"/>
          <w:color w:val="000000"/>
          <w:sz w:val="32"/>
          <w:szCs w:val="32"/>
          <w:highlight w:val="none"/>
          <w:u w:val="single"/>
        </w:rPr>
        <w:t xml:space="preserve">             </w:t>
      </w:r>
      <w:r>
        <w:rPr>
          <w:rFonts w:hint="eastAsia" w:ascii="Times New Roman" w:hAnsi="Times New Roman" w:eastAsia="仿宋_GB2312" w:cs="仿宋_GB2312"/>
          <w:color w:val="000000"/>
          <w:sz w:val="32"/>
          <w:szCs w:val="32"/>
          <w:highlight w:val="none"/>
          <w:u w:val="single"/>
        </w:rPr>
      </w:r>
      <w:r/>
    </w:p>
    <w:p>
      <w:pPr>
        <w:pStyle w:val="783"/>
        <w:ind w:firstLine="0"/>
        <w:jc w:val="both"/>
        <w:pageBreakBefore w:val="0"/>
        <w:rPr>
          <w:rFonts w:ascii="Times New Roman" w:hAnsi="Times New Roman" w:eastAsia="仿宋_GB2312" w:cs="仿宋_GB2312"/>
          <w:color w:val="000000"/>
          <w:sz w:val="32"/>
          <w:szCs w:val="32"/>
          <w:highlight w:val="none"/>
          <w:u w:val="single"/>
        </w:rPr>
      </w:pPr>
      <w:r>
        <w:rPr>
          <w:rFonts w:ascii="Times New Roman" w:hAnsi="Times New Roman" w:eastAsia="仿宋_GB2312" w:cs="仿宋_GB2312"/>
          <w:color w:val="000000"/>
          <w:sz w:val="32"/>
          <w:szCs w:val="32"/>
          <w:highlight w:val="none"/>
        </w:rPr>
        <w:t xml:space="preserve">代理人：（签字或签章）</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u w:val="single"/>
        </w:rPr>
      </w:r>
      <w:r/>
    </w:p>
    <w:p>
      <w:pPr>
        <w:pStyle w:val="783"/>
        <w:ind w:firstLine="0"/>
        <w:jc w:val="both"/>
        <w:pageBreakBefore w:val="0"/>
        <w:rPr>
          <w:rFonts w:ascii="Times New Roman" w:hAnsi="Times New Roman" w:eastAsia="仿宋_GB2312" w:cs="仿宋_GB2312"/>
          <w:color w:val="000000"/>
          <w:sz w:val="32"/>
          <w:szCs w:val="32"/>
          <w:highlight w:val="none"/>
          <w:u w:val="single"/>
        </w:rPr>
      </w:pPr>
      <w:r>
        <w:rPr>
          <w:rFonts w:ascii="Times New Roman" w:hAnsi="Times New Roman" w:eastAsia="仿宋_GB2312" w:cs="仿宋_GB2312"/>
          <w:color w:val="000000"/>
          <w:sz w:val="32"/>
          <w:szCs w:val="32"/>
          <w:highlight w:val="none"/>
        </w:rPr>
        <w:t xml:space="preserve">日 期： </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u w:val="single"/>
        </w:rPr>
      </w:r>
      <w:r/>
    </w:p>
    <w:p>
      <w:pPr>
        <w:pStyle w:val="976"/>
        <w:ind w:firstLine="0"/>
        <w:jc w:val="both"/>
        <w:pageBreakBefore w:val="0"/>
        <w:spacing w:line="480" w:lineRule="auto"/>
        <w:rPr>
          <w:color w:val="000000"/>
          <w:sz w:val="21"/>
          <w:szCs w:val="21"/>
          <w:highlight w:val="none"/>
        </w:rPr>
      </w:pPr>
      <w:r>
        <w:rPr>
          <w:color w:val="000000"/>
          <w:sz w:val="21"/>
          <w:szCs w:val="21"/>
          <w:highlight w:val="none"/>
        </w:rPr>
      </w:r>
      <w:r/>
    </w:p>
    <w:p>
      <w:pPr>
        <w:pStyle w:val="974"/>
        <w:widowControl/>
        <w:rPr>
          <w:color w:val="000000"/>
          <w:highlight w:val="none"/>
        </w:rPr>
      </w:pPr>
      <w:r>
        <w:rPr>
          <w:rFonts w:hint="eastAsia" w:ascii="宋体" w:hAnsi="宋体" w:cs="宋体"/>
          <w:b/>
          <w:bCs/>
          <w:color w:val="000000"/>
          <w:szCs w:val="21"/>
          <w:highlight w:val="none"/>
        </w:rPr>
        <w:br w:type="page" w:clear="all"/>
      </w:r>
      <w:r>
        <w:rPr>
          <w:color w:val="000000"/>
          <w:highlight w:val="none"/>
        </w:rPr>
        <w:t xml:space="preserve">格式3</w:t>
      </w:r>
      <w:r>
        <w:rPr>
          <w:color w:val="000000"/>
          <w:highlight w:val="none"/>
        </w:rPr>
      </w:r>
      <w:r/>
    </w:p>
    <w:p>
      <w:pPr>
        <w:pStyle w:val="783"/>
        <w:rPr>
          <w:color w:val="000000"/>
          <w:highlight w:val="none"/>
        </w:rPr>
      </w:pPr>
      <w:r>
        <w:rPr>
          <w:color w:val="000000"/>
          <w:highlight w:val="none"/>
        </w:rPr>
      </w:r>
      <w:r/>
    </w:p>
    <w:p>
      <w:pPr>
        <w:pStyle w:val="800"/>
        <w:widowControl/>
        <w:rPr>
          <w:color w:val="000000"/>
          <w:highlight w:val="none"/>
        </w:rPr>
      </w:pPr>
      <w:r>
        <w:rPr>
          <w:color w:val="000000"/>
          <w:highlight w:val="none"/>
        </w:rPr>
        <w:t xml:space="preserve">开标一览表</w:t>
      </w:r>
      <w:r>
        <w:rPr>
          <w:color w:val="000000"/>
          <w:highlight w:val="none"/>
        </w:rPr>
      </w:r>
      <w:r/>
    </w:p>
    <w:p>
      <w:pPr>
        <w:pStyle w:val="977"/>
        <w:ind w:firstLine="0"/>
        <w:jc w:val="both"/>
        <w:pageBreakBefore w:val="0"/>
        <w:rPr>
          <w:rFonts w:cs="宋体"/>
          <w:color w:val="000000"/>
          <w:sz w:val="32"/>
          <w:szCs w:val="32"/>
          <w:highlight w:val="none"/>
        </w:rPr>
      </w:pPr>
      <w:r>
        <w:rPr>
          <w:rFonts w:hint="eastAsia" w:cs="宋体"/>
          <w:color w:val="000000"/>
          <w:sz w:val="32"/>
          <w:szCs w:val="32"/>
          <w:highlight w:val="none"/>
          <w:lang w:eastAsia="zh-CN"/>
        </w:rPr>
        <w:t xml:space="preserve">响应单位</w:t>
      </w:r>
      <w:r>
        <w:rPr>
          <w:rFonts w:hint="eastAsia" w:cs="宋体"/>
          <w:color w:val="000000"/>
          <w:sz w:val="32"/>
          <w:szCs w:val="32"/>
          <w:highlight w:val="none"/>
        </w:rPr>
        <w:t xml:space="preserve">全称（加盖公章）：供应商名称 </w:t>
      </w:r>
      <w:r>
        <w:rPr>
          <w:rFonts w:cs="宋体"/>
          <w:color w:val="000000"/>
          <w:sz w:val="32"/>
          <w:szCs w:val="32"/>
          <w:highlight w:val="none"/>
        </w:rPr>
      </w:r>
      <w:r/>
    </w:p>
    <w:p>
      <w:pPr>
        <w:pStyle w:val="977"/>
        <w:ind w:firstLine="0"/>
        <w:jc w:val="both"/>
        <w:pageBreakBefore w:val="0"/>
        <w:rPr>
          <w:rFonts w:cs="宋体"/>
          <w:color w:val="000000"/>
          <w:sz w:val="32"/>
          <w:szCs w:val="32"/>
          <w:highlight w:val="none"/>
        </w:rPr>
      </w:pPr>
      <w:r>
        <w:rPr>
          <w:rFonts w:hint="eastAsia" w:cs="宋体"/>
          <w:color w:val="000000"/>
          <w:sz w:val="32"/>
          <w:szCs w:val="32"/>
          <w:highlight w:val="none"/>
        </w:rPr>
        <w:t xml:space="preserve">项目编号：项目编号 </w:t>
      </w:r>
      <w:r>
        <w:rPr>
          <w:rFonts w:cs="宋体"/>
          <w:color w:val="000000"/>
          <w:sz w:val="32"/>
          <w:szCs w:val="32"/>
          <w:highlight w:val="none"/>
        </w:rPr>
      </w:r>
      <w:r/>
    </w:p>
    <w:p>
      <w:pPr>
        <w:pStyle w:val="777"/>
        <w:ind w:firstLine="0"/>
        <w:jc w:val="both"/>
        <w:pageBreakBefore w:val="0"/>
        <w:spacing w:before="100" w:beforeAutospacing="1" w:after="100" w:afterAutospacing="1" w:line="360" w:lineRule="auto"/>
        <w:rPr>
          <w:rFonts w:hint="eastAsia" w:ascii="宋体" w:hAnsi="宋体" w:cs="宋体"/>
          <w:color w:val="000000"/>
          <w:sz w:val="32"/>
          <w:szCs w:val="32"/>
          <w:highlight w:val="none"/>
          <w:u w:val="single"/>
        </w:rPr>
      </w:pPr>
      <w:r>
        <w:rPr>
          <w:rFonts w:hint="eastAsia" w:cs="宋体"/>
          <w:color w:val="000000"/>
          <w:sz w:val="32"/>
          <w:szCs w:val="32"/>
          <w:highlight w:val="none"/>
        </w:rPr>
        <w:t xml:space="preserve">分包号：分包号</w:t>
      </w:r>
      <w:r>
        <w:rPr>
          <w:rFonts w:hint="eastAsia" w:ascii="宋体" w:hAnsi="宋体" w:cs="宋体"/>
          <w:color w:val="000000"/>
          <w:sz w:val="32"/>
          <w:szCs w:val="32"/>
          <w:highlight w:val="none"/>
          <w:u w:val="single"/>
        </w:rPr>
      </w:r>
      <w:r/>
    </w:p>
    <w:tbl>
      <w:tblPr>
        <w:tblW w:w="4999"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04"/>
        <w:gridCol w:w="6569"/>
      </w:tblGrid>
      <w:tr>
        <w:trPr>
          <w:trHeight w:val="850" w:hRule="exact"/>
        </w:trPr>
        <w:tc>
          <w:tcPr>
            <w:tcW w:w="1298" w:type="dxa"/>
            <w:vAlign w:val="center"/>
            <w:textDirection w:val="lrTb"/>
            <w:noWrap w:val="false"/>
          </w:tcPr>
          <w:p>
            <w:pPr>
              <w:pStyle w:val="777"/>
              <w:ind w:firstLine="0"/>
              <w:jc w:val="both"/>
              <w:pageBreakBefore w:val="0"/>
              <w:spacing w:before="20" w:after="20" w:line="580" w:lineRule="exact"/>
              <w:widowControl w:val="off"/>
              <w:rPr>
                <w:rFonts w:ascii="宋体" w:hAnsi="宋体" w:eastAsia="仿宋" w:cs="宋体"/>
                <w:color w:val="000000"/>
                <w:sz w:val="32"/>
                <w:szCs w:val="32"/>
                <w:highlight w:val="none"/>
                <w:lang w:val="en-US" w:eastAsia="zh-CN" w:bidi="ar-SA"/>
              </w:rPr>
            </w:pPr>
            <w:r>
              <w:rPr>
                <w:rFonts w:hint="eastAsia" w:ascii="宋体" w:hAnsi="宋体" w:eastAsia="仿宋" w:cs="宋体"/>
                <w:color w:val="000000"/>
                <w:sz w:val="32"/>
                <w:szCs w:val="32"/>
                <w:highlight w:val="none"/>
                <w:lang w:val="en-US" w:eastAsia="zh-CN" w:bidi="ar"/>
              </w:rPr>
              <w:t xml:space="preserve">项目名称</w:t>
            </w:r>
            <w:r>
              <w:rPr>
                <w:rFonts w:ascii="宋体" w:hAnsi="宋体" w:eastAsia="仿宋" w:cs="宋体"/>
                <w:color w:val="000000"/>
                <w:sz w:val="32"/>
                <w:szCs w:val="32"/>
                <w:highlight w:val="none"/>
                <w:lang w:val="en-US" w:eastAsia="zh-CN" w:bidi="ar-SA"/>
              </w:rPr>
            </w:r>
            <w:r/>
          </w:p>
        </w:tc>
        <w:tc>
          <w:tcPr>
            <w:tcW w:w="3701" w:type="dxa"/>
            <w:vAlign w:val="center"/>
            <w:textDirection w:val="lrTb"/>
            <w:noWrap w:val="false"/>
          </w:tcPr>
          <w:p>
            <w:pPr>
              <w:pStyle w:val="777"/>
              <w:ind w:firstLine="0"/>
              <w:jc w:val="both"/>
              <w:pageBreakBefore w:val="0"/>
              <w:spacing w:before="20" w:after="20" w:line="580" w:lineRule="exact"/>
              <w:widowControl w:val="off"/>
              <w:rPr>
                <w:rFonts w:ascii="宋体" w:hAnsi="宋体" w:eastAsia="仿宋" w:cs="宋体"/>
                <w:color w:val="000000"/>
                <w:sz w:val="32"/>
                <w:szCs w:val="32"/>
                <w:highlight w:val="none"/>
                <w:lang w:val="en-US" w:eastAsia="zh-CN" w:bidi="ar-SA"/>
              </w:rPr>
            </w:pPr>
            <w:r>
              <w:rPr>
                <w:rFonts w:hint="eastAsia" w:ascii="宋体" w:hAnsi="宋体" w:eastAsia="仿宋" w:cs="宋体"/>
                <w:color w:val="000000"/>
                <w:sz w:val="32"/>
                <w:szCs w:val="32"/>
                <w:highlight w:val="none"/>
                <w:lang w:val="en-US" w:eastAsia="zh-CN" w:bidi="ar"/>
              </w:rPr>
              <w:t xml:space="preserve">投标总报价</w:t>
            </w:r>
            <w:r>
              <w:rPr>
                <w:rFonts w:ascii="宋体" w:hAnsi="宋体" w:eastAsia="仿宋" w:cs="宋体"/>
                <w:color w:val="000000"/>
                <w:sz w:val="32"/>
                <w:szCs w:val="32"/>
                <w:highlight w:val="none"/>
                <w:lang w:val="en-US" w:eastAsia="zh-CN" w:bidi="ar-SA"/>
              </w:rPr>
            </w:r>
            <w:r/>
          </w:p>
        </w:tc>
      </w:tr>
      <w:tr>
        <w:trPr>
          <w:trHeight w:val="850" w:hRule="exact"/>
        </w:trPr>
        <w:tc>
          <w:tcPr>
            <w:tcW w:w="1298" w:type="dxa"/>
            <w:vAlign w:val="center"/>
            <w:textDirection w:val="lrTb"/>
            <w:noWrap w:val="false"/>
          </w:tcPr>
          <w:p>
            <w:pPr>
              <w:pStyle w:val="777"/>
              <w:ind w:firstLine="0"/>
              <w:jc w:val="both"/>
              <w:pageBreakBefore w:val="0"/>
              <w:spacing w:before="20" w:after="20" w:line="580" w:lineRule="exact"/>
              <w:widowControl w:val="off"/>
              <w:rPr>
                <w:rFonts w:ascii="宋体" w:hAnsi="宋体" w:eastAsia="仿宋" w:cs="宋体"/>
                <w:color w:val="000000"/>
                <w:sz w:val="32"/>
                <w:szCs w:val="32"/>
                <w:highlight w:val="none"/>
                <w:lang w:val="en-US" w:eastAsia="zh-CN" w:bidi="ar-SA"/>
              </w:rPr>
            </w:pPr>
            <w:r>
              <w:rPr>
                <w:rFonts w:hint="eastAsia" w:ascii="宋体" w:hAnsi="宋体" w:eastAsia="仿宋" w:cs="宋体"/>
                <w:color w:val="000000"/>
                <w:sz w:val="32"/>
                <w:szCs w:val="32"/>
                <w:highlight w:val="none"/>
                <w:lang w:val="en-US" w:eastAsia="zh-CN" w:bidi="ar"/>
              </w:rPr>
              <w:t xml:space="preserve">项目名称 </w:t>
            </w:r>
            <w:r>
              <w:rPr>
                <w:rFonts w:ascii="宋体" w:hAnsi="宋体" w:eastAsia="仿宋" w:cs="宋体"/>
                <w:color w:val="000000"/>
                <w:sz w:val="32"/>
                <w:szCs w:val="32"/>
                <w:highlight w:val="none"/>
                <w:lang w:val="en-US" w:eastAsia="zh-CN" w:bidi="ar-SA"/>
              </w:rPr>
            </w:r>
            <w:r/>
          </w:p>
        </w:tc>
        <w:tc>
          <w:tcPr>
            <w:tcW w:w="3701" w:type="dxa"/>
            <w:vAlign w:val="center"/>
            <w:textDirection w:val="lrTb"/>
            <w:noWrap w:val="false"/>
          </w:tcPr>
          <w:p>
            <w:pPr>
              <w:pStyle w:val="777"/>
              <w:ind w:firstLine="0"/>
              <w:jc w:val="both"/>
              <w:pageBreakBefore w:val="0"/>
              <w:spacing w:before="20" w:after="20" w:line="580" w:lineRule="exact"/>
              <w:widowControl w:val="off"/>
              <w:rPr>
                <w:rFonts w:ascii="宋体" w:hAnsi="宋体" w:eastAsia="仿宋" w:cs="宋体"/>
                <w:color w:val="000000"/>
                <w:sz w:val="32"/>
                <w:szCs w:val="32"/>
                <w:highlight w:val="none"/>
                <w:lang w:val="en-US" w:eastAsia="zh-CN" w:bidi="ar-SA"/>
              </w:rPr>
            </w:pPr>
            <w:r>
              <w:rPr>
                <w:rFonts w:hint="eastAsia" w:ascii="宋体" w:hAnsi="宋体" w:eastAsia="仿宋" w:cs="宋体"/>
                <w:color w:val="000000"/>
                <w:sz w:val="32"/>
                <w:szCs w:val="32"/>
                <w:highlight w:val="none"/>
                <w:lang w:val="en-US" w:eastAsia="zh-CN" w:bidi="ar"/>
              </w:rPr>
              <w:t xml:space="preserve">小写：            （元人民币）</w:t>
            </w:r>
            <w:r>
              <w:rPr>
                <w:rFonts w:ascii="宋体" w:hAnsi="宋体" w:eastAsia="仿宋" w:cs="宋体"/>
                <w:color w:val="000000"/>
                <w:sz w:val="32"/>
                <w:szCs w:val="32"/>
                <w:highlight w:val="none"/>
                <w:lang w:val="en-US" w:eastAsia="zh-CN" w:bidi="ar-SA"/>
              </w:rPr>
            </w:r>
            <w:r/>
          </w:p>
        </w:tc>
      </w:tr>
      <w:tr>
        <w:trPr>
          <w:trHeight w:val="850" w:hRule="exact"/>
        </w:trPr>
        <w:tc>
          <w:tcPr>
            <w:tcW w:w="1298" w:type="dxa"/>
            <w:vAlign w:val="center"/>
            <w:textDirection w:val="lrTb"/>
            <w:noWrap w:val="false"/>
          </w:tcPr>
          <w:p>
            <w:pPr>
              <w:pStyle w:val="777"/>
              <w:ind w:firstLine="0"/>
              <w:jc w:val="both"/>
              <w:pageBreakBefore w:val="0"/>
              <w:spacing w:before="20" w:after="20" w:line="580" w:lineRule="exact"/>
              <w:widowControl w:val="off"/>
              <w:rPr>
                <w:rFonts w:ascii="宋体" w:hAnsi="宋体" w:eastAsia="仿宋" w:cs="宋体"/>
                <w:color w:val="000000"/>
                <w:sz w:val="32"/>
                <w:szCs w:val="32"/>
                <w:highlight w:val="none"/>
                <w:lang w:val="en-US" w:eastAsia="zh-CN" w:bidi="ar-SA"/>
              </w:rPr>
            </w:pPr>
            <w:r>
              <w:rPr>
                <w:rFonts w:hint="eastAsia" w:ascii="宋体" w:hAnsi="宋体" w:eastAsia="仿宋" w:cs="宋体"/>
                <w:color w:val="000000"/>
                <w:sz w:val="32"/>
                <w:szCs w:val="32"/>
                <w:highlight w:val="none"/>
                <w:lang w:val="en-US" w:eastAsia="zh-CN" w:bidi="ar"/>
              </w:rPr>
              <w:t xml:space="preserve">投标报价大写金额</w:t>
            </w:r>
            <w:r>
              <w:rPr>
                <w:rFonts w:ascii="宋体" w:hAnsi="宋体" w:eastAsia="仿宋" w:cs="宋体"/>
                <w:color w:val="000000"/>
                <w:sz w:val="32"/>
                <w:szCs w:val="32"/>
                <w:highlight w:val="none"/>
                <w:lang w:val="en-US" w:eastAsia="zh-CN" w:bidi="ar-SA"/>
              </w:rPr>
            </w:r>
            <w:r/>
          </w:p>
        </w:tc>
        <w:tc>
          <w:tcPr>
            <w:tcW w:w="3701" w:type="dxa"/>
            <w:vAlign w:val="center"/>
            <w:textDirection w:val="lrTb"/>
            <w:noWrap w:val="false"/>
          </w:tcPr>
          <w:p>
            <w:pPr>
              <w:pStyle w:val="777"/>
              <w:ind w:firstLine="0"/>
              <w:jc w:val="both"/>
              <w:pageBreakBefore w:val="0"/>
              <w:spacing w:before="20" w:after="20" w:line="580" w:lineRule="exact"/>
              <w:widowControl w:val="off"/>
              <w:rPr>
                <w:rFonts w:ascii="宋体" w:hAnsi="宋体" w:eastAsia="仿宋" w:cs="宋体"/>
                <w:color w:val="000000"/>
                <w:sz w:val="32"/>
                <w:szCs w:val="32"/>
                <w:highlight w:val="none"/>
                <w:lang w:val="en-US" w:eastAsia="zh-CN" w:bidi="ar-SA"/>
              </w:rPr>
            </w:pPr>
            <w:r>
              <w:rPr>
                <w:rFonts w:hint="eastAsia" w:ascii="宋体" w:hAnsi="宋体" w:eastAsia="仿宋" w:cs="宋体"/>
                <w:color w:val="000000"/>
                <w:sz w:val="32"/>
                <w:szCs w:val="32"/>
                <w:highlight w:val="none"/>
                <w:lang w:val="en-US" w:eastAsia="zh-CN" w:bidi="ar"/>
              </w:rPr>
              <w:t xml:space="preserve">金额大写 </w:t>
            </w:r>
            <w:r>
              <w:rPr>
                <w:rFonts w:ascii="宋体" w:hAnsi="宋体" w:eastAsia="仿宋" w:cs="宋体"/>
                <w:color w:val="000000"/>
                <w:sz w:val="32"/>
                <w:szCs w:val="32"/>
                <w:highlight w:val="none"/>
                <w:lang w:val="en-US" w:eastAsia="zh-CN" w:bidi="ar-SA"/>
              </w:rPr>
            </w:r>
            <w:r/>
          </w:p>
        </w:tc>
      </w:tr>
    </w:tbl>
    <w:p>
      <w:pPr>
        <w:pStyle w:val="975"/>
        <w:ind w:firstLine="0"/>
        <w:jc w:val="both"/>
        <w:pageBreakBefore w:val="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75"/>
        <w:ind w:firstLine="0"/>
        <w:jc w:val="both"/>
        <w:pageBreakBefore w:val="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响应单位（盖章）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法定代表人或授权代理人：（签字或签章）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日期：</w:t>
      </w:r>
      <w:r>
        <w:rPr>
          <w:rFonts w:ascii="Times New Roman" w:hAnsi="Times New Roman" w:eastAsia="仿宋_GB2312" w:cs="仿宋_GB2312"/>
          <w:b/>
          <w:color w:val="000000"/>
          <w:sz w:val="32"/>
          <w:szCs w:val="32"/>
          <w:highlight w:val="none"/>
        </w:rPr>
      </w:r>
      <w:r/>
    </w:p>
    <w:p>
      <w:pPr>
        <w:pStyle w:val="975"/>
        <w:ind w:firstLine="0"/>
        <w:jc w:val="both"/>
        <w:pageBreakBefore w:val="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74"/>
        <w:widowControl/>
        <w:rPr>
          <w:color w:val="000000"/>
          <w:highlight w:val="none"/>
        </w:rPr>
      </w:pPr>
      <w:r>
        <w:rPr>
          <w:color w:val="000000"/>
          <w:highlight w:val="none"/>
        </w:rPr>
        <w:br w:type="page" w:clear="all"/>
      </w:r>
      <w:r>
        <w:rPr>
          <w:color w:val="000000"/>
          <w:highlight w:val="none"/>
        </w:rPr>
        <w:t xml:space="preserve">格式4</w:t>
      </w:r>
      <w:r>
        <w:rPr>
          <w:color w:val="000000"/>
          <w:highlight w:val="none"/>
        </w:rPr>
      </w:r>
      <w:r/>
    </w:p>
    <w:p>
      <w:pPr>
        <w:pStyle w:val="800"/>
        <w:widowControl/>
        <w:rPr>
          <w:color w:val="000000"/>
          <w:highlight w:val="none"/>
        </w:rPr>
      </w:pPr>
      <w:r>
        <w:rPr>
          <w:color w:val="000000"/>
          <w:highlight w:val="none"/>
        </w:rPr>
        <w:t xml:space="preserve">磋商报价分析表</w:t>
      </w:r>
      <w:r>
        <w:rPr>
          <w:color w:val="000000"/>
          <w:highlight w:val="none"/>
        </w:rPr>
      </w:r>
      <w:r/>
    </w:p>
    <w:p>
      <w:pPr>
        <w:pStyle w:val="777"/>
        <w:ind w:left="0" w:firstLine="0"/>
        <w:jc w:val="both"/>
        <w:pageBreakBefore w:val="0"/>
        <w:widowControl w:val="off"/>
        <w:rPr>
          <w:rFonts w:hint="eastAsia" w:ascii="宋体" w:hAnsi="宋体"/>
          <w:b/>
          <w:color w:val="000000"/>
          <w:sz w:val="32"/>
          <w:szCs w:val="32"/>
          <w:highlight w:val="none"/>
        </w:rPr>
      </w:pPr>
      <w:r>
        <w:rPr>
          <w:rFonts w:hint="eastAsia" w:ascii="宋体" w:hAnsi="宋体" w:cs="宋体"/>
          <w:bCs/>
          <w:color w:val="000000"/>
          <w:sz w:val="32"/>
          <w:szCs w:val="32"/>
          <w:highlight w:val="none"/>
        </w:rPr>
        <w:t xml:space="preserve">采购编号：</w:t>
      </w:r>
      <w:r>
        <w:rPr>
          <w:rFonts w:hint="eastAsia" w:ascii="宋体" w:hAnsi="宋体"/>
          <w:b/>
          <w:color w:val="000000"/>
          <w:sz w:val="32"/>
          <w:szCs w:val="32"/>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216"/>
        <w:gridCol w:w="1984"/>
        <w:gridCol w:w="1559"/>
        <w:gridCol w:w="1559"/>
        <w:gridCol w:w="1041"/>
      </w:tblGrid>
      <w:tr>
        <w:trPr>
          <w:cantSplit/>
          <w:trHeight w:val="503"/>
        </w:trPr>
        <w:tc>
          <w:tcPr>
            <w:tcW w:w="696"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t xml:space="preserve">序号</w:t>
            </w:r>
            <w:r>
              <w:rPr>
                <w:rFonts w:ascii="宋体" w:hAnsi="宋体" w:eastAsia="仿宋" w:cs="Times New Roman"/>
                <w:color w:val="000000"/>
                <w:sz w:val="32"/>
                <w:szCs w:val="32"/>
                <w:highlight w:val="none"/>
                <w:lang w:val="en-US" w:eastAsia="zh-CN" w:bidi="ar-SA"/>
              </w:rPr>
            </w:r>
            <w:r/>
          </w:p>
        </w:tc>
        <w:tc>
          <w:tcPr>
            <w:tcW w:w="2216"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hint="eastAsia" w:ascii="宋体" w:hAnsi="宋体" w:eastAsia="仿宋" w:cs="Times New Roman"/>
                <w:color w:val="000000"/>
                <w:sz w:val="32"/>
                <w:szCs w:val="32"/>
                <w:highlight w:val="none"/>
                <w:lang w:val="en-US" w:eastAsia="zh-CN" w:bidi="ar-SA"/>
              </w:rPr>
              <w:t xml:space="preserve">费用项目</w:t>
            </w:r>
            <w:r>
              <w:rPr>
                <w:rFonts w:ascii="宋体" w:hAnsi="宋体" w:eastAsia="仿宋" w:cs="Times New Roman"/>
                <w:color w:val="000000"/>
                <w:sz w:val="32"/>
                <w:szCs w:val="32"/>
                <w:highlight w:val="none"/>
                <w:lang w:val="en-US" w:eastAsia="zh-CN" w:bidi="ar-SA"/>
              </w:rPr>
            </w:r>
            <w:r/>
          </w:p>
        </w:tc>
        <w:tc>
          <w:tcPr>
            <w:tcW w:w="1984"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hint="eastAsia" w:ascii="宋体" w:hAnsi="宋体" w:eastAsia="仿宋" w:cs="Times New Roman"/>
                <w:color w:val="000000"/>
                <w:sz w:val="32"/>
                <w:szCs w:val="32"/>
                <w:highlight w:val="none"/>
                <w:lang w:val="en-US" w:eastAsia="zh-CN" w:bidi="ar-SA"/>
              </w:rPr>
              <w:t xml:space="preserve">单位／数量</w:t>
            </w: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t xml:space="preserve">单价</w:t>
            </w: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hint="eastAsia" w:ascii="宋体" w:hAnsi="宋体" w:eastAsia="仿宋" w:cs="Times New Roman"/>
                <w:color w:val="000000"/>
                <w:sz w:val="32"/>
                <w:szCs w:val="32"/>
                <w:highlight w:val="none"/>
                <w:lang w:val="en-US" w:eastAsia="zh-CN" w:bidi="ar-SA"/>
              </w:rPr>
              <w:t xml:space="preserve">总价</w:t>
            </w:r>
            <w:r>
              <w:rPr>
                <w:rFonts w:ascii="宋体" w:hAnsi="宋体" w:eastAsia="仿宋" w:cs="Times New Roman"/>
                <w:color w:val="000000"/>
                <w:sz w:val="32"/>
                <w:szCs w:val="32"/>
                <w:highlight w:val="none"/>
                <w:lang w:val="en-US" w:eastAsia="zh-CN" w:bidi="ar-SA"/>
              </w:rPr>
            </w:r>
            <w:r/>
          </w:p>
        </w:tc>
        <w:tc>
          <w:tcPr>
            <w:tcW w:w="1041"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hint="eastAsia" w:ascii="宋体" w:hAnsi="宋体" w:eastAsia="仿宋" w:cs="Times New Roman"/>
                <w:color w:val="000000"/>
                <w:sz w:val="32"/>
                <w:szCs w:val="32"/>
                <w:highlight w:val="none"/>
                <w:lang w:val="en-US" w:eastAsia="zh-CN" w:bidi="ar-SA"/>
              </w:rPr>
              <w:t xml:space="preserve">备注</w:t>
            </w:r>
            <w:r>
              <w:rPr>
                <w:rFonts w:ascii="宋体" w:hAnsi="宋体" w:eastAsia="仿宋" w:cs="Times New Roman"/>
                <w:color w:val="000000"/>
                <w:sz w:val="32"/>
                <w:szCs w:val="32"/>
                <w:highlight w:val="none"/>
                <w:lang w:val="en-US" w:eastAsia="zh-CN" w:bidi="ar-SA"/>
              </w:rPr>
            </w:r>
            <w:r/>
          </w:p>
        </w:tc>
      </w:tr>
      <w:tr>
        <w:trPr>
          <w:cantSplit/>
          <w:trHeight w:val="427"/>
        </w:trPr>
        <w:tc>
          <w:tcPr>
            <w:tcW w:w="696"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t xml:space="preserve">1</w:t>
            </w:r>
            <w:r>
              <w:rPr>
                <w:rFonts w:ascii="宋体" w:hAnsi="宋体" w:eastAsia="仿宋" w:cs="Times New Roman"/>
                <w:color w:val="000000"/>
                <w:sz w:val="32"/>
                <w:szCs w:val="32"/>
                <w:highlight w:val="none"/>
                <w:lang w:val="en-US" w:eastAsia="zh-CN" w:bidi="ar-SA"/>
              </w:rPr>
            </w:r>
            <w:r/>
          </w:p>
        </w:tc>
        <w:tc>
          <w:tcPr>
            <w:tcW w:w="2216"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984" w:type="dxa"/>
            <w:vAlign w:val="top"/>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041"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r>
      <w:tr>
        <w:trPr>
          <w:cantSplit/>
          <w:trHeight w:val="393"/>
        </w:trPr>
        <w:tc>
          <w:tcPr>
            <w:tcW w:w="696"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t xml:space="preserve">2</w:t>
            </w:r>
            <w:r>
              <w:rPr>
                <w:rFonts w:ascii="宋体" w:hAnsi="宋体" w:eastAsia="仿宋" w:cs="Times New Roman"/>
                <w:color w:val="000000"/>
                <w:sz w:val="32"/>
                <w:szCs w:val="32"/>
                <w:highlight w:val="none"/>
                <w:lang w:val="en-US" w:eastAsia="zh-CN" w:bidi="ar-SA"/>
              </w:rPr>
            </w:r>
            <w:r/>
          </w:p>
        </w:tc>
        <w:tc>
          <w:tcPr>
            <w:tcW w:w="2216"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984" w:type="dxa"/>
            <w:vAlign w:val="top"/>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041"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r>
      <w:tr>
        <w:trPr>
          <w:cantSplit/>
          <w:trHeight w:val="443"/>
        </w:trPr>
        <w:tc>
          <w:tcPr>
            <w:tcW w:w="696" w:type="dxa"/>
            <w:vAlign w:val="center"/>
            <w:textDirection w:val="lrTb"/>
            <w:noWrap w:val="false"/>
          </w:tcPr>
          <w:p>
            <w:pPr>
              <w:pStyle w:val="777"/>
              <w:ind w:left="0" w:firstLine="0"/>
              <w:jc w:val="center"/>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t xml:space="preserve">3</w:t>
            </w:r>
            <w:r>
              <w:rPr>
                <w:rFonts w:ascii="宋体" w:hAnsi="宋体" w:eastAsia="仿宋" w:cs="Times New Roman"/>
                <w:color w:val="000000"/>
                <w:sz w:val="32"/>
                <w:szCs w:val="32"/>
                <w:highlight w:val="none"/>
                <w:lang w:val="en-US" w:eastAsia="zh-CN" w:bidi="ar-SA"/>
              </w:rPr>
            </w:r>
            <w:r/>
          </w:p>
        </w:tc>
        <w:tc>
          <w:tcPr>
            <w:tcW w:w="2216"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984" w:type="dxa"/>
            <w:vAlign w:val="top"/>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041"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r>
      <w:tr>
        <w:trPr>
          <w:cantSplit/>
          <w:trHeight w:val="443"/>
        </w:trPr>
        <w:tc>
          <w:tcPr>
            <w:tcW w:w="696"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hint="eastAsia" w:ascii="宋体" w:hAnsi="宋体" w:eastAsia="仿宋" w:cs="Times New Roman"/>
                <w:color w:val="000000"/>
                <w:sz w:val="32"/>
                <w:szCs w:val="32"/>
                <w:highlight w:val="none"/>
                <w:lang w:val="en-US" w:eastAsia="zh-CN" w:bidi="ar-SA"/>
              </w:rPr>
              <w:t xml:space="preserve">...</w:t>
            </w:r>
            <w:r>
              <w:rPr>
                <w:rFonts w:ascii="宋体" w:hAnsi="宋体" w:eastAsia="仿宋" w:cs="Times New Roman"/>
                <w:color w:val="000000"/>
                <w:sz w:val="32"/>
                <w:szCs w:val="32"/>
                <w:highlight w:val="none"/>
                <w:lang w:val="en-US" w:eastAsia="zh-CN" w:bidi="ar-SA"/>
              </w:rPr>
            </w:r>
            <w:r/>
          </w:p>
        </w:tc>
        <w:tc>
          <w:tcPr>
            <w:tcW w:w="2216"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984" w:type="dxa"/>
            <w:vAlign w:val="top"/>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559"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c>
          <w:tcPr>
            <w:tcW w:w="1041"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r>
      <w:tr>
        <w:trPr>
          <w:cantSplit/>
          <w:trHeight w:val="518"/>
        </w:trPr>
        <w:tc>
          <w:tcPr>
            <w:gridSpan w:val="2"/>
            <w:tcW w:w="2912"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hint="eastAsia" w:ascii="宋体" w:hAnsi="宋体" w:eastAsia="仿宋" w:cs="Times New Roman"/>
                <w:color w:val="000000"/>
                <w:sz w:val="32"/>
                <w:szCs w:val="32"/>
                <w:highlight w:val="none"/>
                <w:lang w:val="en-US" w:eastAsia="zh-CN" w:bidi="ar-SA"/>
              </w:rPr>
              <w:t xml:space="preserve">合计总报价</w:t>
            </w:r>
            <w:r>
              <w:rPr>
                <w:rFonts w:ascii="宋体" w:hAnsi="宋体" w:eastAsia="仿宋" w:cs="Times New Roman"/>
                <w:color w:val="000000"/>
                <w:sz w:val="32"/>
                <w:szCs w:val="32"/>
                <w:highlight w:val="none"/>
                <w:lang w:val="en-US" w:eastAsia="zh-CN" w:bidi="ar-SA"/>
              </w:rPr>
            </w:r>
            <w:r/>
          </w:p>
        </w:tc>
        <w:tc>
          <w:tcPr>
            <w:gridSpan w:val="4"/>
            <w:tcW w:w="6144" w:type="dxa"/>
            <w:vAlign w:val="top"/>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hint="eastAsia" w:ascii="宋体" w:hAnsi="宋体" w:eastAsia="仿宋" w:cs="Times New Roman"/>
                <w:color w:val="000000"/>
                <w:sz w:val="32"/>
                <w:szCs w:val="32"/>
                <w:highlight w:val="none"/>
                <w:lang w:val="en-US" w:eastAsia="zh-CN" w:bidi="ar-SA"/>
              </w:rPr>
              <w:t xml:space="preserve">人民币（小写） </w:t>
            </w:r>
            <w:r>
              <w:rPr>
                <w:rFonts w:ascii="宋体" w:hAnsi="宋体" w:eastAsia="仿宋" w:cs="Times New Roman"/>
                <w:color w:val="000000"/>
                <w:sz w:val="32"/>
                <w:szCs w:val="32"/>
                <w:highlight w:val="none"/>
                <w:lang w:val="en-US" w:eastAsia="zh-CN" w:bidi="ar-SA"/>
              </w:rPr>
              <w:t xml:space="preserve">      </w:t>
            </w:r>
            <w:r>
              <w:rPr>
                <w:rFonts w:hint="eastAsia" w:ascii="宋体" w:hAnsi="宋体" w:eastAsia="仿宋" w:cs="Times New Roman"/>
                <w:color w:val="000000"/>
                <w:sz w:val="32"/>
                <w:szCs w:val="32"/>
                <w:highlight w:val="none"/>
                <w:lang w:val="en-US" w:eastAsia="zh-CN" w:bidi="ar-SA"/>
              </w:rPr>
              <w:t xml:space="preserve">元</w:t>
            </w:r>
            <w:r>
              <w:rPr>
                <w:rFonts w:ascii="宋体" w:hAnsi="宋体" w:eastAsia="仿宋" w:cs="Times New Roman"/>
                <w:color w:val="000000"/>
                <w:sz w:val="32"/>
                <w:szCs w:val="32"/>
                <w:highlight w:val="none"/>
                <w:lang w:val="en-US" w:eastAsia="zh-CN" w:bidi="ar-SA"/>
              </w:rPr>
            </w:r>
            <w:r/>
          </w:p>
        </w:tc>
      </w:tr>
      <w:tr>
        <w:trPr>
          <w:cantSplit/>
          <w:trHeight w:val="518"/>
        </w:trPr>
        <w:tc>
          <w:tcPr>
            <w:gridSpan w:val="2"/>
            <w:tcW w:w="2912"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hint="eastAsia" w:ascii="宋体" w:hAnsi="宋体" w:eastAsia="仿宋" w:cs="Times New Roman"/>
                <w:color w:val="000000"/>
                <w:sz w:val="32"/>
                <w:szCs w:val="32"/>
                <w:highlight w:val="none"/>
                <w:lang w:val="en-US" w:eastAsia="zh-CN" w:bidi="ar-SA"/>
              </w:rPr>
              <w:t xml:space="preserve">服务期限</w:t>
            </w:r>
            <w:r>
              <w:rPr>
                <w:rFonts w:ascii="宋体" w:hAnsi="宋体" w:eastAsia="仿宋" w:cs="Times New Roman"/>
                <w:color w:val="000000"/>
                <w:sz w:val="32"/>
                <w:szCs w:val="32"/>
                <w:highlight w:val="none"/>
                <w:lang w:val="en-US" w:eastAsia="zh-CN" w:bidi="ar-SA"/>
              </w:rPr>
            </w:r>
            <w:r/>
          </w:p>
        </w:tc>
        <w:tc>
          <w:tcPr>
            <w:gridSpan w:val="4"/>
            <w:tcW w:w="6144" w:type="dxa"/>
            <w:vAlign w:val="center"/>
            <w:textDirection w:val="lrTb"/>
            <w:noWrap w:val="false"/>
          </w:tcPr>
          <w:p>
            <w:pPr>
              <w:pStyle w:val="777"/>
              <w:ind w:left="0" w:firstLine="0"/>
              <w:jc w:val="both"/>
              <w:pageBreakBefore w:val="0"/>
              <w:spacing w:before="20" w:after="20" w:line="400" w:lineRule="exact"/>
              <w:widowControl w:val="off"/>
              <w:rPr>
                <w:rFonts w:ascii="宋体" w:hAnsi="宋体" w:eastAsia="仿宋" w:cs="Times New Roman"/>
                <w:color w:val="000000"/>
                <w:sz w:val="32"/>
                <w:szCs w:val="32"/>
                <w:highlight w:val="none"/>
                <w:lang w:val="en-US" w:eastAsia="zh-CN" w:bidi="ar-SA"/>
              </w:rPr>
            </w:pPr>
            <w:r>
              <w:rPr>
                <w:rFonts w:ascii="宋体" w:hAnsi="宋体" w:eastAsia="仿宋" w:cs="Times New Roman"/>
                <w:color w:val="000000"/>
                <w:sz w:val="32"/>
                <w:szCs w:val="32"/>
                <w:highlight w:val="none"/>
                <w:lang w:val="en-US" w:eastAsia="zh-CN" w:bidi="ar-SA"/>
              </w:rPr>
            </w:r>
            <w:r/>
          </w:p>
        </w:tc>
      </w:tr>
    </w:tbl>
    <w:p>
      <w:pPr>
        <w:pStyle w:val="783"/>
        <w:widowControl/>
        <w:rPr>
          <w:rFonts w:ascii="Times New Roman" w:hAnsi="Times New Roman" w:eastAsia="仿宋_GB2312" w:cs="仿宋_GB2312"/>
          <w:color w:val="000000"/>
          <w:sz w:val="24"/>
          <w:szCs w:val="24"/>
          <w:highlight w:val="none"/>
        </w:rPr>
      </w:pPr>
      <w:r>
        <w:rPr>
          <w:rFonts w:ascii="Times New Roman" w:hAnsi="Times New Roman" w:eastAsia="仿宋_GB2312" w:cs="仿宋_GB2312"/>
          <w:color w:val="000000"/>
          <w:sz w:val="24"/>
          <w:szCs w:val="24"/>
          <w:highlight w:val="none"/>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Times New Roman" w:hAnsi="Times New Roman" w:eastAsia="仿宋_GB2312" w:cs="仿宋_GB2312"/>
          <w:color w:val="000000"/>
          <w:sz w:val="24"/>
          <w:szCs w:val="24"/>
          <w:highlight w:val="none"/>
        </w:rPr>
      </w:r>
      <w:r/>
    </w:p>
    <w:p>
      <w:pPr>
        <w:pStyle w:val="783"/>
        <w:widowControl/>
        <w:rPr>
          <w:rFonts w:ascii="Times New Roman" w:hAnsi="Times New Roman" w:eastAsia="仿宋_GB2312" w:cs="仿宋_GB2312"/>
          <w:color w:val="000000"/>
          <w:sz w:val="24"/>
          <w:szCs w:val="24"/>
          <w:highlight w:val="none"/>
        </w:rPr>
      </w:pPr>
      <w:r>
        <w:rPr>
          <w:rFonts w:ascii="Times New Roman" w:hAnsi="Times New Roman" w:eastAsia="仿宋_GB2312" w:cs="仿宋_GB2312"/>
          <w:color w:val="000000"/>
          <w:sz w:val="24"/>
          <w:szCs w:val="24"/>
          <w:highlight w:val="none"/>
        </w:rPr>
        <w:t xml:space="preserve">2.磋商报价分析表包含响应单位各项成本核算和投入的成本明</w:t>
      </w:r>
      <w:r>
        <w:rPr>
          <w:rFonts w:ascii="Times New Roman" w:hAnsi="Times New Roman" w:eastAsia="仿宋_GB2312" w:cs="仿宋_GB2312"/>
          <w:color w:val="000000"/>
          <w:spacing w:val="-6"/>
          <w:sz w:val="24"/>
          <w:szCs w:val="24"/>
          <w:highlight w:val="none"/>
        </w:rPr>
        <w:t xml:space="preserve">细，合计金额应与开标一览表金额一致；否则，以开标一览表</w:t>
      </w:r>
      <w:r>
        <w:rPr>
          <w:rFonts w:ascii="Times New Roman" w:hAnsi="Times New Roman" w:eastAsia="仿宋_GB2312" w:cs="仿宋_GB2312"/>
          <w:color w:val="000000"/>
          <w:sz w:val="24"/>
          <w:szCs w:val="24"/>
          <w:highlight w:val="none"/>
        </w:rPr>
        <w:t xml:space="preserve">为准。</w:t>
      </w:r>
      <w:r>
        <w:rPr>
          <w:rFonts w:ascii="Times New Roman" w:hAnsi="Times New Roman" w:eastAsia="仿宋_GB2312" w:cs="仿宋_GB2312"/>
          <w:color w:val="000000"/>
          <w:sz w:val="24"/>
          <w:szCs w:val="24"/>
          <w:highlight w:val="none"/>
        </w:rPr>
      </w:r>
      <w:r/>
    </w:p>
    <w:p>
      <w:pPr>
        <w:pStyle w:val="783"/>
        <w:widowControl/>
        <w:rPr>
          <w:rFonts w:ascii="Times New Roman" w:hAnsi="Times New Roman" w:eastAsia="仿宋_GB2312" w:cs="仿宋_GB2312"/>
          <w:color w:val="000000"/>
          <w:sz w:val="24"/>
          <w:szCs w:val="24"/>
          <w:highlight w:val="none"/>
        </w:rPr>
      </w:pPr>
      <w:r>
        <w:rPr>
          <w:rFonts w:ascii="Times New Roman" w:hAnsi="Times New Roman" w:eastAsia="仿宋_GB2312" w:cs="仿宋_GB2312"/>
          <w:color w:val="000000"/>
          <w:sz w:val="24"/>
          <w:szCs w:val="24"/>
          <w:highlight w:val="none"/>
        </w:rPr>
        <w:t xml:space="preserve">3.若事项较多，供应商可根据实际情况另纸说明。</w:t>
      </w:r>
      <w:r>
        <w:rPr>
          <w:rFonts w:ascii="Times New Roman" w:hAnsi="Times New Roman" w:eastAsia="仿宋_GB2312" w:cs="仿宋_GB2312"/>
          <w:color w:val="000000"/>
          <w:sz w:val="24"/>
          <w:szCs w:val="24"/>
          <w:highlight w:val="none"/>
        </w:rPr>
      </w:r>
      <w:r/>
    </w:p>
    <w:p>
      <w:pPr>
        <w:pStyle w:val="783"/>
        <w:ind w:firstLine="0"/>
        <w:jc w:val="both"/>
        <w:pageBreakBefore w:val="0"/>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响应单位（盖章）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法定代表人或授权代理人：（签字或签章）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日期：</w:t>
      </w:r>
      <w:r>
        <w:rPr>
          <w:rFonts w:ascii="Times New Roman" w:hAnsi="Times New Roman" w:eastAsia="仿宋_GB2312" w:cs="仿宋_GB2312"/>
          <w:color w:val="000000"/>
          <w:sz w:val="32"/>
          <w:szCs w:val="32"/>
          <w:highlight w:val="none"/>
        </w:rPr>
      </w:r>
      <w:r/>
    </w:p>
    <w:p>
      <w:pPr>
        <w:pStyle w:val="974"/>
        <w:widowControl/>
        <w:rPr>
          <w:color w:val="000000"/>
          <w:highlight w:val="none"/>
        </w:rPr>
      </w:pPr>
      <w:r>
        <w:rPr>
          <w:color w:val="000000"/>
          <w:highlight w:val="none"/>
        </w:rPr>
        <w:br w:type="page" w:clear="all"/>
      </w:r>
      <w:r>
        <w:rPr>
          <w:color w:val="000000"/>
          <w:highlight w:val="none"/>
        </w:rPr>
        <w:t xml:space="preserve">格式5</w:t>
      </w:r>
      <w:bookmarkStart w:id="17" w:name="_Toc4007"/>
      <w:r/>
      <w:bookmarkEnd w:id="17"/>
      <w:r/>
      <w:bookmarkStart w:id="18" w:name="_Toc4772"/>
      <w:r/>
      <w:bookmarkEnd w:id="18"/>
      <w:r>
        <w:rPr>
          <w:color w:val="000000"/>
          <w:highlight w:val="none"/>
        </w:rPr>
      </w:r>
      <w:r/>
    </w:p>
    <w:p>
      <w:pPr>
        <w:pStyle w:val="783"/>
        <w:rPr>
          <w:color w:val="000000"/>
          <w:highlight w:val="none"/>
        </w:rPr>
      </w:pPr>
      <w:r>
        <w:rPr>
          <w:color w:val="000000"/>
          <w:highlight w:val="none"/>
        </w:rPr>
      </w:r>
      <w:r/>
    </w:p>
    <w:p>
      <w:pPr>
        <w:pStyle w:val="800"/>
        <w:widowControl/>
        <w:rPr>
          <w:color w:val="000000"/>
          <w:highlight w:val="none"/>
        </w:rPr>
      </w:pPr>
      <w:r>
        <w:rPr>
          <w:color w:val="000000"/>
          <w:highlight w:val="none"/>
        </w:rPr>
        <w:t xml:space="preserve">投入本项目人员配备一览表</w:t>
      </w:r>
      <w:r>
        <w:rPr>
          <w:color w:val="000000"/>
          <w:highlight w:val="none"/>
        </w:rPr>
      </w:r>
      <w:r/>
    </w:p>
    <w:p>
      <w:pPr>
        <w:pStyle w:val="777"/>
        <w:ind w:firstLine="0"/>
        <w:jc w:val="both"/>
        <w:pageBreakBefore w:val="0"/>
        <w:rPr>
          <w:rFonts w:hint="eastAsia" w:ascii="宋体" w:hAnsi="宋体" w:cs="宋体"/>
          <w:color w:val="000000"/>
          <w:szCs w:val="21"/>
          <w:highlight w:val="none"/>
        </w:rPr>
      </w:pPr>
      <w:r>
        <w:rPr>
          <w:rFonts w:hint="eastAsia" w:ascii="宋体" w:hAnsi="宋体" w:cs="宋体"/>
          <w:color w:val="000000"/>
          <w:szCs w:val="21"/>
          <w:highlight w:val="none"/>
        </w:rPr>
      </w:r>
      <w:r/>
    </w:p>
    <w:p>
      <w:pPr>
        <w:pStyle w:val="777"/>
        <w:ind w:firstLine="0"/>
        <w:jc w:val="both"/>
        <w:pageBreakBefore w:val="0"/>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采购编号：               </w:t>
      </w:r>
      <w:r>
        <w:rPr>
          <w:rFonts w:hint="eastAsia" w:ascii="宋体" w:hAnsi="宋体" w:cs="宋体"/>
          <w:bCs/>
          <w:color w:val="000000"/>
          <w:szCs w:val="21"/>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655"/>
        <w:gridCol w:w="1428"/>
        <w:gridCol w:w="1037"/>
        <w:gridCol w:w="1037"/>
        <w:gridCol w:w="1167"/>
        <w:gridCol w:w="908"/>
        <w:gridCol w:w="909"/>
      </w:tblGrid>
      <w:tr>
        <w:trPr>
          <w:trHeight w:val="760"/>
        </w:trPr>
        <w:tc>
          <w:tcPr>
            <w:tcW w:w="505" w:type="dxa"/>
            <w:vAlign w:val="center"/>
            <w:textDirection w:val="lrTb"/>
            <w:noWrap w:val="false"/>
          </w:tcPr>
          <w:p>
            <w:pPr>
              <w:pStyle w:val="777"/>
              <w:ind w:left="0"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序号</w:t>
            </w:r>
            <w:r>
              <w:rPr>
                <w:rFonts w:hint="eastAsia" w:ascii="仿宋" w:hAnsi="仿宋" w:eastAsia="仿宋" w:cs="仿宋"/>
                <w:color w:val="000000"/>
                <w:sz w:val="32"/>
                <w:szCs w:val="32"/>
                <w:highlight w:val="none"/>
                <w:lang w:val="en-US" w:eastAsia="zh-CN" w:bidi="ar-SA"/>
              </w:rPr>
            </w:r>
            <w:r/>
          </w:p>
        </w:tc>
        <w:tc>
          <w:tcPr>
            <w:tcW w:w="913" w:type="dxa"/>
            <w:vAlign w:val="center"/>
            <w:textDirection w:val="lrTb"/>
            <w:noWrap w:val="false"/>
          </w:tcPr>
          <w:p>
            <w:pPr>
              <w:pStyle w:val="777"/>
              <w:ind w:left="0"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岗位</w:t>
            </w:r>
            <w:r>
              <w:rPr>
                <w:rFonts w:hint="eastAsia" w:ascii="仿宋" w:hAnsi="仿宋" w:eastAsia="仿宋" w:cs="仿宋"/>
                <w:color w:val="000000"/>
                <w:sz w:val="32"/>
                <w:szCs w:val="32"/>
                <w:highlight w:val="none"/>
                <w:lang w:val="en-US" w:eastAsia="zh-CN" w:bidi="ar-SA"/>
              </w:rPr>
            </w:r>
            <w:r/>
          </w:p>
        </w:tc>
        <w:tc>
          <w:tcPr>
            <w:tcW w:w="788" w:type="dxa"/>
            <w:vAlign w:val="center"/>
            <w:textDirection w:val="lrTb"/>
            <w:noWrap w:val="false"/>
          </w:tcPr>
          <w:p>
            <w:pPr>
              <w:pStyle w:val="777"/>
              <w:ind w:left="0"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姓名</w:t>
            </w: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性别</w:t>
            </w: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年龄</w:t>
            </w:r>
            <w:r>
              <w:rPr>
                <w:rFonts w:hint="eastAsia" w:ascii="仿宋" w:hAnsi="仿宋" w:eastAsia="仿宋" w:cs="仿宋"/>
                <w:color w:val="000000"/>
                <w:sz w:val="32"/>
                <w:szCs w:val="32"/>
                <w:highlight w:val="none"/>
                <w:lang w:val="en-US" w:eastAsia="zh-CN" w:bidi="ar-SA"/>
              </w:rPr>
            </w:r>
            <w:r/>
          </w:p>
        </w:tc>
        <w:tc>
          <w:tcPr>
            <w:tcW w:w="644" w:type="dxa"/>
            <w:vAlign w:val="center"/>
            <w:textDirection w:val="lrTb"/>
            <w:noWrap w:val="false"/>
          </w:tcPr>
          <w:p>
            <w:pPr>
              <w:pStyle w:val="777"/>
              <w:ind w:left="0"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学历</w:t>
            </w:r>
            <w:r>
              <w:rPr>
                <w:rFonts w:hint="eastAsia" w:ascii="仿宋" w:hAnsi="仿宋" w:eastAsia="仿宋" w:cs="仿宋"/>
                <w:color w:val="000000"/>
                <w:sz w:val="32"/>
                <w:szCs w:val="32"/>
                <w:highlight w:val="none"/>
                <w:lang w:val="en-US" w:eastAsia="zh-CN" w:bidi="ar-SA"/>
              </w:rPr>
            </w:r>
            <w:r/>
          </w:p>
        </w:tc>
        <w:tc>
          <w:tcPr>
            <w:tcW w:w="501" w:type="dxa"/>
            <w:vAlign w:val="center"/>
            <w:textDirection w:val="lrTb"/>
            <w:noWrap w:val="false"/>
          </w:tcPr>
          <w:p>
            <w:pPr>
              <w:pStyle w:val="777"/>
              <w:ind w:left="0"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职称</w:t>
            </w:r>
            <w:r>
              <w:rPr>
                <w:rFonts w:hint="eastAsia" w:ascii="仿宋" w:hAnsi="仿宋" w:eastAsia="仿宋" w:cs="仿宋"/>
                <w:color w:val="000000"/>
                <w:sz w:val="32"/>
                <w:szCs w:val="32"/>
                <w:highlight w:val="none"/>
                <w:lang w:val="en-US" w:eastAsia="zh-CN" w:bidi="ar-SA"/>
              </w:rPr>
            </w:r>
            <w:r/>
          </w:p>
        </w:tc>
        <w:tc>
          <w:tcPr>
            <w:tcW w:w="501" w:type="dxa"/>
            <w:vAlign w:val="center"/>
            <w:textDirection w:val="lrTb"/>
            <w:noWrap w:val="false"/>
          </w:tcPr>
          <w:p>
            <w:pPr>
              <w:pStyle w:val="777"/>
              <w:ind w:left="0"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备注</w:t>
            </w:r>
            <w:r>
              <w:rPr>
                <w:rFonts w:hint="eastAsia" w:ascii="仿宋" w:hAnsi="仿宋" w:eastAsia="仿宋" w:cs="仿宋"/>
                <w:color w:val="000000"/>
                <w:sz w:val="32"/>
                <w:szCs w:val="32"/>
                <w:highlight w:val="none"/>
                <w:lang w:val="en-US" w:eastAsia="zh-CN" w:bidi="ar-SA"/>
              </w:rPr>
            </w:r>
            <w:r/>
          </w:p>
        </w:tc>
      </w:tr>
      <w:tr>
        <w:trPr>
          <w:cantSplit/>
          <w:trHeight w:val="495"/>
        </w:trPr>
        <w:tc>
          <w:tcPr>
            <w:tcW w:w="505" w:type="dxa"/>
            <w:vAlign w:val="center"/>
            <w:textDirection w:val="lrTb"/>
            <w:noWrap w:val="false"/>
          </w:tcPr>
          <w:p>
            <w:pPr>
              <w:pStyle w:val="777"/>
              <w:ind w:left="0" w:firstLine="0"/>
              <w:jc w:val="center"/>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1</w:t>
            </w:r>
            <w:r>
              <w:rPr>
                <w:rFonts w:hint="eastAsia" w:ascii="仿宋" w:hAnsi="仿宋" w:eastAsia="仿宋" w:cs="仿宋"/>
                <w:color w:val="000000"/>
                <w:sz w:val="32"/>
                <w:szCs w:val="32"/>
                <w:highlight w:val="none"/>
                <w:lang w:val="en-US" w:eastAsia="zh-CN" w:bidi="ar-SA"/>
              </w:rPr>
            </w:r>
            <w:r/>
          </w:p>
        </w:tc>
        <w:tc>
          <w:tcPr>
            <w:tcW w:w="913"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788"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644"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top"/>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cantSplit/>
          <w:trHeight w:val="495"/>
        </w:trPr>
        <w:tc>
          <w:tcPr>
            <w:tcW w:w="505" w:type="dxa"/>
            <w:vAlign w:val="center"/>
            <w:textDirection w:val="lrTb"/>
            <w:noWrap w:val="false"/>
          </w:tcPr>
          <w:p>
            <w:pPr>
              <w:pStyle w:val="777"/>
              <w:ind w:left="0" w:firstLine="0"/>
              <w:jc w:val="center"/>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2</w:t>
            </w:r>
            <w:r>
              <w:rPr>
                <w:rFonts w:hint="eastAsia" w:ascii="仿宋" w:hAnsi="仿宋" w:eastAsia="仿宋" w:cs="仿宋"/>
                <w:color w:val="000000"/>
                <w:sz w:val="32"/>
                <w:szCs w:val="32"/>
                <w:highlight w:val="none"/>
                <w:lang w:val="en-US" w:eastAsia="zh-CN" w:bidi="ar-SA"/>
              </w:rPr>
            </w:r>
            <w:r/>
          </w:p>
        </w:tc>
        <w:tc>
          <w:tcPr>
            <w:tcW w:w="913"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788"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644"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top"/>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cantSplit/>
          <w:trHeight w:val="495"/>
        </w:trPr>
        <w:tc>
          <w:tcPr>
            <w:tcW w:w="505" w:type="dxa"/>
            <w:vAlign w:val="center"/>
            <w:textDirection w:val="lrTb"/>
            <w:noWrap w:val="false"/>
          </w:tcPr>
          <w:p>
            <w:pPr>
              <w:pStyle w:val="777"/>
              <w:ind w:left="0" w:firstLine="0"/>
              <w:jc w:val="center"/>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3</w:t>
            </w:r>
            <w:r>
              <w:rPr>
                <w:rFonts w:hint="eastAsia" w:ascii="仿宋" w:hAnsi="仿宋" w:eastAsia="仿宋" w:cs="仿宋"/>
                <w:color w:val="000000"/>
                <w:sz w:val="32"/>
                <w:szCs w:val="32"/>
                <w:highlight w:val="none"/>
                <w:lang w:val="en-US" w:eastAsia="zh-CN" w:bidi="ar-SA"/>
              </w:rPr>
            </w:r>
            <w:r/>
          </w:p>
        </w:tc>
        <w:tc>
          <w:tcPr>
            <w:tcW w:w="913"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788"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644"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top"/>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cantSplit/>
          <w:trHeight w:val="495"/>
        </w:trPr>
        <w:tc>
          <w:tcPr>
            <w:tcW w:w="505" w:type="dxa"/>
            <w:vAlign w:val="center"/>
            <w:textDirection w:val="lrTb"/>
            <w:noWrap w:val="false"/>
          </w:tcPr>
          <w:p>
            <w:pPr>
              <w:pStyle w:val="777"/>
              <w:ind w:left="0" w:firstLine="0"/>
              <w:jc w:val="center"/>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4</w:t>
            </w:r>
            <w:r>
              <w:rPr>
                <w:rFonts w:hint="eastAsia" w:ascii="仿宋" w:hAnsi="仿宋" w:eastAsia="仿宋" w:cs="仿宋"/>
                <w:color w:val="000000"/>
                <w:sz w:val="32"/>
                <w:szCs w:val="32"/>
                <w:highlight w:val="none"/>
                <w:lang w:val="en-US" w:eastAsia="zh-CN" w:bidi="ar-SA"/>
              </w:rPr>
            </w:r>
            <w:r/>
          </w:p>
        </w:tc>
        <w:tc>
          <w:tcPr>
            <w:tcW w:w="913"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788"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644"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top"/>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cantSplit/>
          <w:trHeight w:val="495"/>
        </w:trPr>
        <w:tc>
          <w:tcPr>
            <w:tcW w:w="505" w:type="dxa"/>
            <w:vAlign w:val="center"/>
            <w:textDirection w:val="lrTb"/>
            <w:noWrap w:val="false"/>
          </w:tcPr>
          <w:p>
            <w:pPr>
              <w:pStyle w:val="777"/>
              <w:ind w:left="0" w:firstLine="0"/>
              <w:jc w:val="center"/>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5</w:t>
            </w:r>
            <w:r>
              <w:rPr>
                <w:rFonts w:hint="eastAsia" w:ascii="仿宋" w:hAnsi="仿宋" w:eastAsia="仿宋" w:cs="仿宋"/>
                <w:color w:val="000000"/>
                <w:sz w:val="32"/>
                <w:szCs w:val="32"/>
                <w:highlight w:val="none"/>
                <w:lang w:val="en-US" w:eastAsia="zh-CN" w:bidi="ar-SA"/>
              </w:rPr>
            </w:r>
            <w:r/>
          </w:p>
        </w:tc>
        <w:tc>
          <w:tcPr>
            <w:tcW w:w="913"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788"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644"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top"/>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cantSplit/>
          <w:trHeight w:val="495"/>
        </w:trPr>
        <w:tc>
          <w:tcPr>
            <w:tcW w:w="505"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w:t>
            </w:r>
            <w:r>
              <w:rPr>
                <w:rFonts w:hint="eastAsia" w:ascii="仿宋" w:hAnsi="仿宋" w:eastAsia="仿宋" w:cs="仿宋"/>
                <w:color w:val="000000"/>
                <w:sz w:val="32"/>
                <w:szCs w:val="32"/>
                <w:highlight w:val="none"/>
                <w:lang w:val="en-US" w:eastAsia="zh-CN" w:bidi="ar-SA"/>
              </w:rPr>
            </w:r>
            <w:r/>
          </w:p>
        </w:tc>
        <w:tc>
          <w:tcPr>
            <w:tcW w:w="913"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788"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72"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644"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center"/>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501" w:type="dxa"/>
            <w:vAlign w:val="top"/>
            <w:textDirection w:val="lrTb"/>
            <w:noWrap w:val="false"/>
          </w:tcPr>
          <w:p>
            <w:pPr>
              <w:pStyle w:val="777"/>
              <w:ind w:left="0" w:firstLine="0"/>
              <w:jc w:val="both"/>
              <w:pageBreakBefore w:val="0"/>
              <w:spacing w:before="20" w:after="20" w:line="36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bl>
    <w:p>
      <w:pPr>
        <w:pStyle w:val="777"/>
        <w:ind w:firstLine="0"/>
        <w:jc w:val="both"/>
        <w:pageBreakBefore w:val="0"/>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0"/>
        <w:jc w:val="both"/>
        <w:pageBreakBefore w:val="0"/>
        <w:rPr>
          <w:rFonts w:hint="eastAsia"/>
          <w:color w:val="000000"/>
          <w:highlight w:val="none"/>
        </w:rPr>
      </w:pPr>
      <w:r>
        <w:rPr>
          <w:rFonts w:hint="eastAsia"/>
          <w:color w:val="000000"/>
          <w:highlight w:val="none"/>
        </w:rPr>
      </w:r>
      <w:r/>
    </w:p>
    <w:p>
      <w:pPr>
        <w:pStyle w:val="783"/>
        <w:ind w:firstLine="0"/>
        <w:jc w:val="both"/>
        <w:pageBreakBefore w:val="0"/>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响应单位（盖章）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法定代表人或授权代理人：（签字或签章）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日期：</w:t>
      </w:r>
      <w:r>
        <w:rPr>
          <w:rFonts w:ascii="Times New Roman" w:hAnsi="Times New Roman" w:eastAsia="仿宋_GB2312" w:cs="仿宋_GB2312"/>
          <w:b/>
          <w:color w:val="000000"/>
          <w:sz w:val="32"/>
          <w:szCs w:val="32"/>
          <w:highlight w:val="none"/>
        </w:rPr>
      </w:r>
      <w:r/>
    </w:p>
    <w:p>
      <w:pPr>
        <w:pStyle w:val="783"/>
        <w:ind w:firstLine="0"/>
        <w:jc w:val="both"/>
        <w:pageBreakBefore w:val="0"/>
        <w:rPr>
          <w:rFonts w:hint="eastAsia" w:ascii="Times New Roman" w:hAnsi="Times New Roman" w:eastAsia="仿宋_GB2312" w:cs="仿宋_GB2312"/>
          <w:color w:val="000000"/>
          <w:spacing w:val="0"/>
          <w:sz w:val="32"/>
          <w:szCs w:val="32"/>
          <w:highlight w:val="none"/>
          <w:lang w:val="zh-CN" w:eastAsia="zh-CN" w:bidi="ar-SA"/>
        </w:rPr>
      </w:pPr>
      <w:r>
        <w:rPr>
          <w:rFonts w:hint="eastAsia" w:ascii="Times New Roman" w:hAnsi="Times New Roman" w:eastAsia="仿宋_GB2312" w:cs="仿宋_GB2312"/>
          <w:color w:val="000000"/>
          <w:spacing w:val="0"/>
          <w:sz w:val="32"/>
          <w:szCs w:val="32"/>
          <w:highlight w:val="none"/>
          <w:lang w:val="zh-CN" w:eastAsia="zh-CN" w:bidi="ar-SA"/>
        </w:rPr>
      </w:r>
      <w:r/>
    </w:p>
    <w:p>
      <w:pPr>
        <w:pStyle w:val="974"/>
        <w:widowControl/>
        <w:rPr>
          <w:color w:val="000000"/>
          <w:highlight w:val="none"/>
        </w:rPr>
      </w:pPr>
      <w:r>
        <w:rPr>
          <w:color w:val="000000"/>
          <w:highlight w:val="none"/>
        </w:rPr>
        <w:br w:type="page" w:clear="all"/>
      </w:r>
      <w:r>
        <w:rPr>
          <w:color w:val="000000"/>
          <w:highlight w:val="none"/>
        </w:rPr>
        <w:t xml:space="preserve">格式6</w:t>
      </w:r>
      <w:r>
        <w:rPr>
          <w:color w:val="000000"/>
          <w:highlight w:val="none"/>
        </w:rPr>
      </w:r>
      <w:r/>
    </w:p>
    <w:p>
      <w:pPr>
        <w:pStyle w:val="783"/>
        <w:rPr>
          <w:color w:val="000000"/>
          <w:highlight w:val="none"/>
        </w:rPr>
      </w:pPr>
      <w:r>
        <w:rPr>
          <w:color w:val="000000"/>
          <w:highlight w:val="none"/>
        </w:rPr>
      </w:r>
      <w:r/>
    </w:p>
    <w:p>
      <w:pPr>
        <w:pStyle w:val="800"/>
        <w:widowControl/>
        <w:rPr>
          <w:color w:val="000000"/>
          <w:highlight w:val="none"/>
        </w:rPr>
      </w:pPr>
      <w:r>
        <w:rPr>
          <w:color w:val="000000"/>
          <w:highlight w:val="none"/>
        </w:rPr>
        <w:t xml:space="preserve">服务要求对照表</w:t>
      </w:r>
      <w:r>
        <w:rPr>
          <w:color w:val="000000"/>
          <w:highlight w:val="none"/>
        </w:rPr>
      </w:r>
      <w:r/>
    </w:p>
    <w:p>
      <w:pPr>
        <w:pStyle w:val="777"/>
        <w:ind w:firstLine="0"/>
        <w:jc w:val="both"/>
        <w:pageBreakBefore w:val="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83"/>
        <w:ind w:firstLine="0"/>
        <w:jc w:val="both"/>
        <w:pageBreakBefore w:val="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采购编号：</w:t>
      </w:r>
      <w:r>
        <w:rPr>
          <w:rFonts w:ascii="Times New Roman" w:hAnsi="Times New Roman" w:eastAsia="仿宋_GB2312" w:cs="仿宋_GB2312"/>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trHeight w:val="774" w:hRule="exact"/>
        </w:trPr>
        <w:tc>
          <w:tcPr>
            <w:tcW w:w="782"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序号</w:t>
            </w:r>
            <w:r>
              <w:rPr>
                <w:rFonts w:hint="eastAsia" w:ascii="仿宋" w:hAnsi="仿宋" w:eastAsia="仿宋" w:cs="仿宋"/>
                <w:color w:val="000000"/>
                <w:sz w:val="32"/>
                <w:szCs w:val="32"/>
                <w:highlight w:val="none"/>
                <w:lang w:val="en-US" w:eastAsia="zh-CN" w:bidi="ar-SA"/>
              </w:rPr>
            </w:r>
            <w:r/>
          </w:p>
        </w:tc>
        <w:tc>
          <w:tcPr>
            <w:tcW w:w="2621"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采购服务要求</w:t>
            </w:r>
            <w:r>
              <w:rPr>
                <w:rFonts w:hint="eastAsia" w:ascii="仿宋" w:hAnsi="仿宋" w:eastAsia="仿宋" w:cs="仿宋"/>
                <w:color w:val="000000"/>
                <w:sz w:val="32"/>
                <w:szCs w:val="32"/>
                <w:highlight w:val="none"/>
                <w:lang w:val="en-US" w:eastAsia="zh-CN" w:bidi="ar-SA"/>
              </w:rPr>
            </w:r>
            <w:r/>
          </w:p>
        </w:tc>
        <w:tc>
          <w:tcPr>
            <w:tcW w:w="2643"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响应服务要求指标</w:t>
            </w:r>
            <w:r>
              <w:rPr>
                <w:rFonts w:hint="eastAsia" w:ascii="仿宋" w:hAnsi="仿宋" w:eastAsia="仿宋" w:cs="仿宋"/>
                <w:color w:val="000000"/>
                <w:sz w:val="32"/>
                <w:szCs w:val="32"/>
                <w:highlight w:val="none"/>
                <w:lang w:val="en-US" w:eastAsia="zh-CN" w:bidi="ar-SA"/>
              </w:rPr>
            </w:r>
            <w:r/>
          </w:p>
        </w:tc>
        <w:tc>
          <w:tcPr>
            <w:tcW w:w="2160"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选择项（选符合、正偏离或负偏离）</w:t>
            </w: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2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4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160"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2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4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160"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2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4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160"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2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4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160"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2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64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160"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2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4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160"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pStyle w:val="777"/>
        <w:ind w:firstLine="0"/>
        <w:jc w:val="both"/>
        <w:pageBreakBefore w:val="0"/>
        <w:rPr>
          <w:rFonts w:hint="eastAsia" w:ascii="宋体" w:hAnsi="宋体" w:cs="宋体"/>
          <w:b/>
          <w:color w:val="000000"/>
          <w:sz w:val="24"/>
          <w:highlight w:val="none"/>
        </w:rPr>
      </w:pPr>
      <w:r>
        <w:rPr>
          <w:rFonts w:hint="eastAsia" w:ascii="宋体" w:hAnsi="宋体" w:cs="宋体"/>
          <w:b/>
          <w:color w:val="000000"/>
          <w:sz w:val="24"/>
          <w:highlight w:val="none"/>
        </w:rPr>
      </w:r>
      <w:r/>
    </w:p>
    <w:p>
      <w:pPr>
        <w:pStyle w:val="777"/>
        <w:ind w:firstLine="0"/>
        <w:jc w:val="both"/>
        <w:pageBreakBefore w:val="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83"/>
        <w:ind w:firstLine="0"/>
        <w:jc w:val="both"/>
        <w:pageBreakBefore w:val="0"/>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响应单位（盖章）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法定代表人或授权代理人：（签字或签章）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日期：</w:t>
      </w:r>
      <w:r>
        <w:rPr>
          <w:rFonts w:ascii="Times New Roman" w:hAnsi="Times New Roman" w:eastAsia="仿宋_GB2312" w:cs="仿宋_GB2312"/>
          <w:b/>
          <w:color w:val="000000"/>
          <w:sz w:val="32"/>
          <w:szCs w:val="32"/>
          <w:highlight w:val="none"/>
        </w:rPr>
      </w:r>
      <w:r/>
    </w:p>
    <w:p>
      <w:pPr>
        <w:pStyle w:val="783"/>
        <w:ind w:firstLine="0"/>
        <w:jc w:val="both"/>
        <w:pageBreakBefore w:val="0"/>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b/>
          <w:color w:val="000000"/>
          <w:sz w:val="32"/>
          <w:szCs w:val="32"/>
          <w:highlight w:val="none"/>
        </w:rPr>
      </w:r>
      <w:r/>
    </w:p>
    <w:p>
      <w:pPr>
        <w:pStyle w:val="777"/>
        <w:ind w:firstLine="0"/>
        <w:jc w:val="both"/>
        <w:pageBreakBefore w:val="0"/>
        <w:spacing w:line="360" w:lineRule="auto"/>
        <w:rPr>
          <w:rFonts w:hint="eastAsia" w:ascii="Times New Roman" w:hAnsi="Times New Roman" w:eastAsia="仿宋_GB2312" w:cs="仿宋_GB2312"/>
          <w:b/>
          <w:bCs/>
          <w:color w:val="000000"/>
          <w:sz w:val="32"/>
          <w:szCs w:val="32"/>
          <w:highlight w:val="none"/>
        </w:rPr>
      </w:pPr>
      <w:r>
        <w:rPr>
          <w:rFonts w:hint="eastAsia" w:ascii="Times New Roman" w:hAnsi="Times New Roman" w:eastAsia="仿宋_GB2312" w:cs="仿宋_GB2312"/>
          <w:b/>
          <w:bCs/>
          <w:color w:val="000000"/>
          <w:sz w:val="32"/>
          <w:szCs w:val="32"/>
          <w:highlight w:val="none"/>
        </w:rPr>
      </w:r>
      <w:r/>
    </w:p>
    <w:p>
      <w:pPr>
        <w:pStyle w:val="974"/>
        <w:widowControl/>
        <w:rPr>
          <w:color w:val="000000"/>
          <w:highlight w:val="none"/>
        </w:rPr>
      </w:pPr>
      <w:r>
        <w:rPr>
          <w:color w:val="000000"/>
          <w:highlight w:val="none"/>
        </w:rPr>
        <w:br w:type="page" w:clear="all"/>
      </w:r>
      <w:r>
        <w:rPr>
          <w:color w:val="000000"/>
          <w:highlight w:val="none"/>
        </w:rPr>
        <w:t xml:space="preserve">格式7</w:t>
      </w:r>
      <w:r>
        <w:rPr>
          <w:color w:val="000000"/>
          <w:highlight w:val="none"/>
        </w:rPr>
      </w:r>
      <w:r/>
    </w:p>
    <w:p>
      <w:pPr>
        <w:pStyle w:val="783"/>
        <w:rPr>
          <w:color w:val="000000"/>
          <w:highlight w:val="none"/>
        </w:rPr>
      </w:pPr>
      <w:r>
        <w:rPr>
          <w:color w:val="000000"/>
          <w:highlight w:val="none"/>
        </w:rPr>
      </w:r>
      <w:r/>
    </w:p>
    <w:p>
      <w:pPr>
        <w:pStyle w:val="800"/>
        <w:widowControl/>
        <w:rPr>
          <w:color w:val="000000"/>
          <w:highlight w:val="none"/>
        </w:rPr>
      </w:pPr>
      <w:r>
        <w:rPr>
          <w:color w:val="000000"/>
          <w:highlight w:val="none"/>
        </w:rPr>
        <w:t xml:space="preserve">商务条款偏离表</w:t>
      </w:r>
      <w:r>
        <w:rPr>
          <w:color w:val="000000"/>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采购编号：          </w:t>
      </w:r>
      <w:r>
        <w:rPr>
          <w:rFonts w:ascii="Times New Roman" w:hAnsi="Times New Roman" w:eastAsia="仿宋_GB2312" w:cs="仿宋_GB2312"/>
          <w:color w:val="000000"/>
          <w:sz w:val="32"/>
          <w:szCs w:val="32"/>
          <w:highlight w:val="none"/>
        </w:rPr>
      </w:r>
      <w:r/>
    </w:p>
    <w:tbl>
      <w:tblPr>
        <w:tblW w:w="84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序号</w:t>
            </w:r>
            <w:r>
              <w:rPr>
                <w:rFonts w:hint="eastAsia" w:ascii="仿宋" w:hAnsi="仿宋" w:eastAsia="仿宋" w:cs="仿宋"/>
                <w:color w:val="000000"/>
                <w:sz w:val="32"/>
                <w:szCs w:val="32"/>
                <w:highlight w:val="none"/>
                <w:lang w:val="en-US" w:eastAsia="zh-CN" w:bidi="ar-SA"/>
              </w:rPr>
            </w:r>
            <w:r/>
          </w:p>
        </w:tc>
        <w:tc>
          <w:tcPr>
            <w:tcW w:w="1956"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名称</w:t>
            </w:r>
            <w:r>
              <w:rPr>
                <w:rFonts w:hint="eastAsia" w:ascii="仿宋" w:hAnsi="仿宋" w:eastAsia="仿宋" w:cs="仿宋"/>
                <w:color w:val="000000"/>
                <w:sz w:val="32"/>
                <w:szCs w:val="32"/>
                <w:highlight w:val="none"/>
                <w:lang w:val="en-US" w:eastAsia="zh-CN" w:bidi="ar-SA"/>
              </w:rPr>
            </w:r>
            <w:r/>
          </w:p>
        </w:tc>
        <w:tc>
          <w:tcPr>
            <w:tcW w:w="1742"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采购要求</w:t>
            </w:r>
            <w:r>
              <w:rPr>
                <w:rFonts w:hint="eastAsia" w:ascii="仿宋" w:hAnsi="仿宋" w:eastAsia="仿宋" w:cs="仿宋"/>
                <w:color w:val="000000"/>
                <w:sz w:val="32"/>
                <w:szCs w:val="32"/>
                <w:highlight w:val="none"/>
                <w:lang w:val="en-US" w:eastAsia="zh-CN" w:bidi="ar-SA"/>
              </w:rPr>
            </w:r>
            <w:r/>
          </w:p>
        </w:tc>
        <w:tc>
          <w:tcPr>
            <w:tcW w:w="1981"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响应内容</w:t>
            </w:r>
            <w:r>
              <w:rPr>
                <w:rFonts w:hint="eastAsia" w:ascii="仿宋" w:hAnsi="仿宋" w:eastAsia="仿宋" w:cs="仿宋"/>
                <w:color w:val="000000"/>
                <w:sz w:val="32"/>
                <w:szCs w:val="32"/>
                <w:highlight w:val="none"/>
                <w:lang w:val="en-US" w:eastAsia="zh-CN" w:bidi="ar-SA"/>
              </w:rPr>
            </w:r>
            <w:r/>
          </w:p>
        </w:tc>
        <w:tc>
          <w:tcPr>
            <w:tcW w:w="1973"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选择项（选符合、正偏离或负偏离）</w:t>
            </w: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56"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合同期限</w:t>
            </w:r>
            <w:r>
              <w:rPr>
                <w:rFonts w:hint="eastAsia" w:ascii="仿宋" w:hAnsi="仿宋" w:eastAsia="仿宋" w:cs="仿宋"/>
                <w:color w:val="000000"/>
                <w:sz w:val="32"/>
                <w:szCs w:val="32"/>
                <w:highlight w:val="none"/>
                <w:lang w:val="en-US" w:eastAsia="zh-CN" w:bidi="ar-SA"/>
              </w:rPr>
            </w:r>
            <w:r/>
          </w:p>
        </w:tc>
        <w:tc>
          <w:tcPr>
            <w:tcW w:w="174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8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7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56"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付款方式</w:t>
            </w:r>
            <w:r>
              <w:rPr>
                <w:rFonts w:hint="eastAsia" w:ascii="仿宋" w:hAnsi="仿宋" w:eastAsia="仿宋" w:cs="仿宋"/>
                <w:color w:val="000000"/>
                <w:sz w:val="32"/>
                <w:szCs w:val="32"/>
                <w:highlight w:val="none"/>
                <w:lang w:val="en-US" w:eastAsia="zh-CN" w:bidi="ar-SA"/>
              </w:rPr>
            </w:r>
            <w:r/>
          </w:p>
        </w:tc>
        <w:tc>
          <w:tcPr>
            <w:tcW w:w="174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8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7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56"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完成时间</w:t>
            </w:r>
            <w:r>
              <w:rPr>
                <w:rFonts w:hint="eastAsia" w:ascii="仿宋" w:hAnsi="仿宋" w:eastAsia="仿宋" w:cs="仿宋"/>
                <w:color w:val="000000"/>
                <w:sz w:val="32"/>
                <w:szCs w:val="32"/>
                <w:highlight w:val="none"/>
                <w:lang w:val="en-US" w:eastAsia="zh-CN" w:bidi="ar-SA"/>
              </w:rPr>
            </w:r>
            <w:r/>
          </w:p>
        </w:tc>
        <w:tc>
          <w:tcPr>
            <w:tcW w:w="174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8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7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56"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w:t>
            </w:r>
            <w:r>
              <w:rPr>
                <w:rFonts w:hint="eastAsia" w:ascii="仿宋" w:hAnsi="仿宋" w:eastAsia="仿宋" w:cs="仿宋"/>
                <w:color w:val="000000"/>
                <w:sz w:val="32"/>
                <w:szCs w:val="32"/>
                <w:highlight w:val="none"/>
                <w:lang w:val="en-US" w:eastAsia="zh-CN" w:bidi="ar-SA"/>
              </w:rPr>
            </w:r>
            <w:r/>
          </w:p>
        </w:tc>
        <w:tc>
          <w:tcPr>
            <w:tcW w:w="174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8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7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56" w:type="dxa"/>
            <w:vAlign w:val="center"/>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w:t>
            </w:r>
            <w:r>
              <w:rPr>
                <w:rFonts w:hint="eastAsia" w:ascii="仿宋" w:hAnsi="仿宋" w:eastAsia="仿宋" w:cs="仿宋"/>
                <w:color w:val="000000"/>
                <w:sz w:val="32"/>
                <w:szCs w:val="32"/>
                <w:highlight w:val="none"/>
                <w:lang w:val="en-US" w:eastAsia="zh-CN" w:bidi="ar-SA"/>
              </w:rPr>
            </w:r>
            <w:r/>
          </w:p>
        </w:tc>
        <w:tc>
          <w:tcPr>
            <w:tcW w:w="174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8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7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567" w:hRule="exact"/>
        </w:trPr>
        <w:tc>
          <w:tcPr>
            <w:tcW w:w="78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956"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742"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981"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973" w:type="dxa"/>
            <w:vAlign w:val="top"/>
            <w:textDirection w:val="lrTb"/>
            <w:noWrap w:val="false"/>
          </w:tcPr>
          <w:p>
            <w:pPr>
              <w:pStyle w:val="777"/>
              <w:ind w:firstLine="0"/>
              <w:jc w:val="both"/>
              <w:pageBreakBefore w:val="0"/>
              <w:spacing w:before="20" w:after="20" w:line="5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pStyle w:val="777"/>
        <w:ind w:firstLine="0"/>
        <w:jc w:val="both"/>
        <w:pageBreakBefore w:val="0"/>
        <w:rPr>
          <w:rFonts w:hint="eastAsia" w:ascii="宋体" w:hAnsi="宋体" w:cs="宋体"/>
          <w:color w:val="000000"/>
          <w:szCs w:val="21"/>
          <w:highlight w:val="none"/>
        </w:rPr>
      </w:pPr>
      <w:r>
        <w:rPr>
          <w:rFonts w:hint="eastAsia" w:ascii="宋体" w:hAnsi="宋体" w:cs="宋体"/>
          <w:color w:val="000000"/>
          <w:szCs w:val="21"/>
          <w:highlight w:val="none"/>
        </w:rPr>
      </w:r>
      <w:r/>
    </w:p>
    <w:p>
      <w:pPr>
        <w:pStyle w:val="783"/>
        <w:ind w:firstLine="0"/>
        <w:jc w:val="both"/>
        <w:pageBreakBefore w:val="0"/>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响应单位（盖章）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法定代表人或授权代理人：（签字或签章）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日期：</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r>
      <w:r/>
    </w:p>
    <w:p>
      <w:pPr>
        <w:pStyle w:val="783"/>
        <w:ind w:firstLine="0"/>
        <w:jc w:val="both"/>
        <w:pageBreakBefore w:val="0"/>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r>
      <w:r/>
    </w:p>
    <w:p>
      <w:pPr>
        <w:pStyle w:val="974"/>
        <w:widowControl/>
        <w:rPr>
          <w:color w:val="000000"/>
          <w:highlight w:val="none"/>
        </w:rPr>
      </w:pPr>
      <w:r>
        <w:rPr>
          <w:color w:val="000000"/>
          <w:highlight w:val="none"/>
        </w:rPr>
        <w:br w:type="page" w:clear="all"/>
      </w:r>
      <w:r>
        <w:rPr>
          <w:color w:val="000000"/>
          <w:highlight w:val="none"/>
        </w:rPr>
        <w:t xml:space="preserve">格式8</w:t>
      </w:r>
      <w:r>
        <w:rPr>
          <w:color w:val="000000"/>
          <w:highlight w:val="none"/>
        </w:rPr>
      </w:r>
      <w:r/>
    </w:p>
    <w:p>
      <w:pPr>
        <w:pStyle w:val="954"/>
        <w:widowControl/>
        <w:rPr>
          <w:color w:val="000000"/>
          <w:highlight w:val="none"/>
        </w:rPr>
      </w:pPr>
      <w:r>
        <w:rPr>
          <w:color w:val="000000"/>
          <w:highlight w:val="none"/>
        </w:rPr>
        <w:t xml:space="preserve">（1）关于资格文件的声明函</w:t>
      </w:r>
      <w:r>
        <w:rPr>
          <w:color w:val="000000"/>
          <w:highlight w:val="none"/>
        </w:rPr>
      </w:r>
      <w:r/>
    </w:p>
    <w:p>
      <w:pPr>
        <w:pStyle w:val="978"/>
        <w:ind w:firstLine="0"/>
        <w:jc w:val="both"/>
        <w:pageBreakBefore w:val="0"/>
        <w:rPr>
          <w:b/>
          <w:color w:val="000000"/>
          <w:szCs w:val="21"/>
          <w:highlight w:val="none"/>
        </w:rPr>
      </w:pPr>
      <w:r>
        <w:rPr>
          <w:b/>
          <w:color w:val="000000"/>
          <w:szCs w:val="21"/>
          <w:highlight w:val="none"/>
        </w:rPr>
      </w:r>
      <w:r/>
    </w:p>
    <w:p>
      <w:pPr>
        <w:pStyle w:val="800"/>
        <w:widowControl/>
        <w:rPr>
          <w:color w:val="000000"/>
          <w:highlight w:val="none"/>
        </w:rPr>
      </w:pPr>
      <w:r>
        <w:rPr>
          <w:color w:val="000000"/>
          <w:highlight w:val="none"/>
        </w:rPr>
        <w:t xml:space="preserve">关于资格文件的声明函</w:t>
      </w:r>
      <w:r>
        <w:rPr>
          <w:color w:val="000000"/>
          <w:highlight w:val="none"/>
        </w:rPr>
      </w:r>
      <w:r/>
    </w:p>
    <w:p>
      <w:pPr>
        <w:pStyle w:val="978"/>
        <w:ind w:firstLine="0"/>
        <w:jc w:val="both"/>
        <w:pageBreakBefore w:val="0"/>
        <w:rPr>
          <w:color w:val="000000"/>
          <w:highlight w:val="none"/>
        </w:rPr>
      </w:pPr>
      <w:r>
        <w:rPr>
          <w:color w:val="000000"/>
          <w:highlight w:val="none"/>
        </w:rPr>
      </w:r>
      <w:r/>
    </w:p>
    <w:p>
      <w:pPr>
        <w:pStyle w:val="978"/>
        <w:ind w:firstLine="0"/>
        <w:jc w:val="both"/>
        <w:pageBreakBefore w:val="0"/>
        <w:rPr>
          <w:color w:val="000000"/>
          <w:highlight w:val="none"/>
        </w:rPr>
      </w:pPr>
      <w:r>
        <w:rPr>
          <w:color w:val="000000"/>
          <w:highlight w:val="none"/>
        </w:rPr>
      </w:r>
      <w:r/>
    </w:p>
    <w:p>
      <w:pPr>
        <w:pStyle w:val="979"/>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b/>
          <w:color w:val="000000"/>
          <w:sz w:val="32"/>
          <w:szCs w:val="32"/>
          <w:highlight w:val="none"/>
          <w:u w:val="single"/>
        </w:rPr>
        <w:t xml:space="preserve">苏州市卫康招投标咨询服务有限公司</w:t>
      </w:r>
      <w:r>
        <w:rPr>
          <w:rFonts w:ascii="Times New Roman" w:hAnsi="Times New Roman" w:eastAsia="仿宋_GB2312" w:cs="仿宋_GB2312"/>
          <w:b/>
          <w:color w:val="000000"/>
          <w:sz w:val="32"/>
          <w:szCs w:val="32"/>
          <w:highlight w:val="none"/>
        </w:rPr>
        <w:t xml:space="preserve">：</w:t>
      </w:r>
      <w:r>
        <w:rPr>
          <w:rFonts w:ascii="Times New Roman" w:hAnsi="Times New Roman" w:eastAsia="仿宋_GB2312" w:cs="仿宋_GB2312"/>
          <w:b/>
          <w:color w:val="000000"/>
          <w:sz w:val="32"/>
          <w:szCs w:val="32"/>
          <w:highlight w:val="none"/>
        </w:rPr>
      </w:r>
      <w:r/>
    </w:p>
    <w:p>
      <w:pPr>
        <w:pStyle w:val="978"/>
        <w:ind w:firstLine="0"/>
        <w:jc w:val="both"/>
        <w:pageBreakBefore w:val="0"/>
        <w:spacing w:line="400" w:lineRule="exact"/>
        <w:rPr>
          <w:color w:val="000000"/>
          <w:szCs w:val="21"/>
          <w:highlight w:val="none"/>
        </w:rPr>
      </w:pPr>
      <w:r>
        <w:rPr>
          <w:color w:val="000000"/>
          <w:szCs w:val="21"/>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本公司愿就由贵公司组织实施的编号为</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Times New Roman" w:hAnsi="Times New Roman" w:eastAsia="仿宋_GB2312" w:cs="仿宋_GB2312"/>
          <w:color w:val="000000"/>
          <w:sz w:val="32"/>
          <w:szCs w:val="32"/>
          <w:highlight w:val="none"/>
        </w:rPr>
      </w:r>
      <w:r/>
    </w:p>
    <w:p>
      <w:pPr>
        <w:pStyle w:val="777"/>
        <w:ind w:firstLine="0"/>
        <w:jc w:val="both"/>
        <w:pageBreakBefore w:val="0"/>
        <w:spacing w:line="480" w:lineRule="auto"/>
        <w:rPr>
          <w:color w:val="000000"/>
          <w:szCs w:val="21"/>
          <w:highlight w:val="none"/>
        </w:rPr>
      </w:pPr>
      <w:r>
        <w:rPr>
          <w:color w:val="000000"/>
          <w:szCs w:val="21"/>
          <w:highlight w:val="none"/>
        </w:rPr>
      </w:r>
      <w:r/>
    </w:p>
    <w:p>
      <w:pPr>
        <w:pStyle w:val="783"/>
        <w:ind w:firstLine="0"/>
        <w:jc w:val="both"/>
        <w:pageBreakBefore w:val="0"/>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响应单位（盖章）</w:t>
      </w:r>
      <w:r>
        <w:rPr>
          <w:rFonts w:ascii="Times New Roman" w:hAnsi="Times New Roman" w:eastAsia="仿宋_GB2312" w:cs="仿宋_GB2312"/>
          <w:b/>
          <w:color w:val="000000"/>
          <w:sz w:val="32"/>
          <w:szCs w:val="32"/>
          <w:highlight w:val="none"/>
        </w:rPr>
      </w:r>
      <w:r/>
    </w:p>
    <w:p>
      <w:pPr>
        <w:pStyle w:val="783"/>
        <w:ind w:firstLine="0"/>
        <w:jc w:val="both"/>
        <w:pageBreakBefore w:val="0"/>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法定代表人或授权代理人：（签字或签章）</w:t>
      </w:r>
      <w:r>
        <w:rPr>
          <w:rFonts w:ascii="Times New Roman" w:hAnsi="Times New Roman" w:eastAsia="仿宋_GB2312" w:cs="仿宋_GB2312"/>
          <w:b/>
          <w:color w:val="000000"/>
          <w:sz w:val="32"/>
          <w:szCs w:val="32"/>
          <w:highlight w:val="none"/>
        </w:rPr>
      </w:r>
      <w:r/>
    </w:p>
    <w:p>
      <w:pPr>
        <w:pStyle w:val="783"/>
        <w:ind w:firstLine="0"/>
        <w:jc w:val="both"/>
        <w:pageBreakBefore w:val="0"/>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日期：</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r>
      <w:r/>
    </w:p>
    <w:p>
      <w:pPr>
        <w:pStyle w:val="978"/>
        <w:ind w:firstLine="0"/>
        <w:jc w:val="both"/>
        <w:pageBreakBefore w:val="0"/>
        <w:spacing w:line="400" w:lineRule="exact"/>
        <w:rPr>
          <w:color w:val="000000"/>
          <w:szCs w:val="21"/>
          <w:highlight w:val="none"/>
        </w:rPr>
      </w:pPr>
      <w:r>
        <w:rPr>
          <w:color w:val="000000"/>
          <w:szCs w:val="21"/>
          <w:highlight w:val="none"/>
        </w:rPr>
      </w:r>
      <w:r/>
    </w:p>
    <w:p>
      <w:pPr>
        <w:pStyle w:val="978"/>
        <w:ind w:firstLine="0"/>
        <w:jc w:val="both"/>
        <w:pageBreakBefore w:val="0"/>
        <w:rPr>
          <w:color w:val="000000"/>
          <w:highlight w:val="none"/>
        </w:rPr>
      </w:pPr>
      <w:r>
        <w:rPr>
          <w:color w:val="000000"/>
          <w:highlight w:val="none"/>
        </w:rPr>
      </w:r>
      <w:r/>
    </w:p>
    <w:p>
      <w:pPr>
        <w:pStyle w:val="954"/>
        <w:rPr>
          <w:color w:val="000000"/>
          <w:highlight w:val="none"/>
        </w:rPr>
      </w:pPr>
      <w:r>
        <w:rPr>
          <w:color w:val="000000"/>
          <w:highlight w:val="none"/>
        </w:rPr>
        <w:br w:type="page" w:clear="all"/>
      </w:r>
      <w:r>
        <w:rPr>
          <w:color w:val="000000"/>
          <w:highlight w:val="none"/>
        </w:rPr>
        <w:t xml:space="preserve">（2）响应单位情况表</w:t>
      </w:r>
      <w:r>
        <w:rPr>
          <w:color w:val="000000"/>
          <w:highlight w:val="none"/>
        </w:rPr>
      </w:r>
      <w:r/>
    </w:p>
    <w:p>
      <w:pPr>
        <w:pStyle w:val="800"/>
        <w:widowControl/>
        <w:rPr>
          <w:color w:val="000000"/>
          <w:highlight w:val="none"/>
        </w:rPr>
      </w:pPr>
      <w:r>
        <w:rPr>
          <w:color w:val="000000"/>
          <w:highlight w:val="none"/>
        </w:rPr>
        <w:t xml:space="preserve">响应单位情况表</w:t>
      </w:r>
      <w:r>
        <w:rPr>
          <w:color w:val="000000"/>
          <w:highlight w:val="none"/>
        </w:rPr>
      </w:r>
      <w:r/>
    </w:p>
    <w:p>
      <w:pPr>
        <w:pStyle w:val="783"/>
        <w:ind w:firstLine="0"/>
        <w:jc w:val="both"/>
        <w:pageBreakBefore w:val="0"/>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响应单位名称（公章）：</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9"/>
        <w:gridCol w:w="2126"/>
        <w:gridCol w:w="1950"/>
        <w:gridCol w:w="601"/>
        <w:gridCol w:w="2491"/>
      </w:tblGrid>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法定代表人</w:t>
            </w:r>
            <w:r>
              <w:rPr>
                <w:rFonts w:hint="eastAsia" w:ascii="仿宋" w:hAnsi="仿宋" w:eastAsia="仿宋" w:cs="仿宋"/>
                <w:color w:val="000000"/>
                <w:sz w:val="32"/>
                <w:szCs w:val="32"/>
                <w:highlight w:val="none"/>
                <w:lang w:val="en-US" w:eastAsia="zh-CN" w:bidi="ar-SA"/>
              </w:rPr>
            </w:r>
            <w:r/>
          </w:p>
        </w:tc>
        <w:tc>
          <w:tcPr>
            <w:tcW w:w="2126"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gridSpan w:val="2"/>
            <w:tcW w:w="255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成立日期</w:t>
            </w:r>
            <w:r>
              <w:rPr>
                <w:rFonts w:hint="eastAsia" w:ascii="仿宋" w:hAnsi="仿宋" w:eastAsia="仿宋" w:cs="仿宋"/>
                <w:color w:val="000000"/>
                <w:sz w:val="32"/>
                <w:szCs w:val="32"/>
                <w:highlight w:val="none"/>
                <w:lang w:val="en-US" w:eastAsia="zh-CN" w:bidi="ar-SA"/>
              </w:rPr>
            </w:r>
            <w:r/>
          </w:p>
        </w:tc>
        <w:tc>
          <w:tcPr>
            <w:tcW w:w="249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企业地址</w:t>
            </w:r>
            <w:r>
              <w:rPr>
                <w:rFonts w:hint="eastAsia" w:ascii="仿宋" w:hAnsi="仿宋" w:eastAsia="仿宋" w:cs="仿宋"/>
                <w:color w:val="000000"/>
                <w:sz w:val="32"/>
                <w:szCs w:val="32"/>
                <w:highlight w:val="none"/>
                <w:lang w:val="en-US" w:eastAsia="zh-CN" w:bidi="ar-SA"/>
              </w:rPr>
            </w:r>
            <w:r/>
          </w:p>
        </w:tc>
        <w:tc>
          <w:tcPr>
            <w:tcW w:w="2126"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gridSpan w:val="2"/>
            <w:tcW w:w="255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注册资本</w:t>
            </w:r>
            <w:r>
              <w:rPr>
                <w:rFonts w:hint="eastAsia" w:ascii="仿宋" w:hAnsi="仿宋" w:eastAsia="仿宋" w:cs="仿宋"/>
                <w:color w:val="000000"/>
                <w:sz w:val="32"/>
                <w:szCs w:val="32"/>
                <w:highlight w:val="none"/>
                <w:lang w:val="en-US" w:eastAsia="zh-CN" w:bidi="ar-SA"/>
              </w:rPr>
            </w:r>
            <w:r/>
          </w:p>
        </w:tc>
        <w:tc>
          <w:tcPr>
            <w:tcW w:w="2491" w:type="dxa"/>
            <w:vAlign w:val="center"/>
            <w:textDirection w:val="lrTb"/>
            <w:noWrap w:val="false"/>
          </w:tcPr>
          <w:p>
            <w:pPr>
              <w:pStyle w:val="777"/>
              <w:ind w:firstLine="96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万元</w:t>
            </w: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经营范围</w:t>
            </w:r>
            <w:r>
              <w:rPr>
                <w:rFonts w:hint="eastAsia" w:ascii="仿宋" w:hAnsi="仿宋" w:eastAsia="仿宋" w:cs="仿宋"/>
                <w:color w:val="000000"/>
                <w:sz w:val="32"/>
                <w:szCs w:val="32"/>
                <w:highlight w:val="none"/>
                <w:lang w:val="en-US" w:eastAsia="zh-CN" w:bidi="ar-SA"/>
              </w:rPr>
            </w:r>
            <w:r/>
          </w:p>
        </w:tc>
        <w:tc>
          <w:tcPr>
            <w:gridSpan w:val="4"/>
            <w:tcW w:w="716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职工人数</w:t>
            </w:r>
            <w:r>
              <w:rPr>
                <w:rFonts w:hint="eastAsia" w:ascii="仿宋" w:hAnsi="仿宋" w:eastAsia="仿宋" w:cs="仿宋"/>
                <w:color w:val="000000"/>
                <w:sz w:val="32"/>
                <w:szCs w:val="32"/>
                <w:highlight w:val="none"/>
                <w:lang w:val="en-US" w:eastAsia="zh-CN" w:bidi="ar-SA"/>
              </w:rPr>
            </w:r>
            <w:r/>
          </w:p>
        </w:tc>
        <w:tc>
          <w:tcPr>
            <w:tcW w:w="2126"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1950"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其中：有中高级以上职称的人数</w:t>
            </w:r>
            <w:r>
              <w:rPr>
                <w:rFonts w:hint="eastAsia" w:ascii="仿宋" w:hAnsi="仿宋" w:eastAsia="仿宋" w:cs="仿宋"/>
                <w:color w:val="000000"/>
                <w:sz w:val="32"/>
                <w:szCs w:val="32"/>
                <w:highlight w:val="none"/>
                <w:lang w:val="en-US" w:eastAsia="zh-CN" w:bidi="ar-SA"/>
              </w:rPr>
            </w:r>
            <w:r/>
          </w:p>
        </w:tc>
        <w:tc>
          <w:tcPr>
            <w:gridSpan w:val="2"/>
            <w:tcW w:w="3093"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资产总计</w:t>
            </w:r>
            <w:r>
              <w:rPr>
                <w:rFonts w:hint="eastAsia" w:ascii="仿宋" w:hAnsi="仿宋" w:eastAsia="仿宋" w:cs="仿宋"/>
                <w:color w:val="000000"/>
                <w:sz w:val="32"/>
                <w:szCs w:val="32"/>
                <w:highlight w:val="none"/>
                <w:lang w:val="en-US" w:eastAsia="zh-CN" w:bidi="ar-SA"/>
              </w:rPr>
            </w:r>
            <w:r/>
          </w:p>
        </w:tc>
        <w:tc>
          <w:tcPr>
            <w:tcW w:w="2126"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      万元</w:t>
            </w:r>
            <w:r>
              <w:rPr>
                <w:rFonts w:hint="eastAsia" w:ascii="仿宋" w:hAnsi="仿宋" w:eastAsia="仿宋" w:cs="仿宋"/>
                <w:color w:val="000000"/>
                <w:sz w:val="32"/>
                <w:szCs w:val="32"/>
                <w:highlight w:val="none"/>
                <w:lang w:val="en-US" w:eastAsia="zh-CN" w:bidi="ar-SA"/>
              </w:rPr>
            </w:r>
            <w:r/>
          </w:p>
        </w:tc>
        <w:tc>
          <w:tcPr>
            <w:gridSpan w:val="2"/>
            <w:tcW w:w="255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净资产</w:t>
            </w:r>
            <w:r>
              <w:rPr>
                <w:rFonts w:hint="eastAsia" w:ascii="仿宋" w:hAnsi="仿宋" w:eastAsia="仿宋" w:cs="仿宋"/>
                <w:color w:val="000000"/>
                <w:sz w:val="32"/>
                <w:szCs w:val="32"/>
                <w:highlight w:val="none"/>
                <w:lang w:val="en-US" w:eastAsia="zh-CN" w:bidi="ar-SA"/>
              </w:rPr>
            </w:r>
            <w:r/>
          </w:p>
        </w:tc>
        <w:tc>
          <w:tcPr>
            <w:tcW w:w="2491" w:type="dxa"/>
            <w:vAlign w:val="center"/>
            <w:textDirection w:val="lrTb"/>
            <w:noWrap w:val="false"/>
          </w:tcPr>
          <w:p>
            <w:pPr>
              <w:pStyle w:val="777"/>
              <w:ind w:firstLine="128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万元</w:t>
            </w: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股东权益</w:t>
            </w:r>
            <w:r>
              <w:rPr>
                <w:rFonts w:hint="eastAsia" w:ascii="仿宋" w:hAnsi="仿宋" w:eastAsia="仿宋" w:cs="仿宋"/>
                <w:color w:val="000000"/>
                <w:sz w:val="32"/>
                <w:szCs w:val="32"/>
                <w:highlight w:val="none"/>
                <w:lang w:val="en-US" w:eastAsia="zh-CN" w:bidi="ar-SA"/>
              </w:rPr>
            </w:r>
            <w:r/>
          </w:p>
        </w:tc>
        <w:tc>
          <w:tcPr>
            <w:tcW w:w="2126"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     万元</w:t>
            </w:r>
            <w:r>
              <w:rPr>
                <w:rFonts w:hint="eastAsia" w:ascii="仿宋" w:hAnsi="仿宋" w:eastAsia="仿宋" w:cs="仿宋"/>
                <w:color w:val="000000"/>
                <w:sz w:val="32"/>
                <w:szCs w:val="32"/>
                <w:highlight w:val="none"/>
                <w:lang w:val="en-US" w:eastAsia="zh-CN" w:bidi="ar-SA"/>
              </w:rPr>
            </w:r>
            <w:r/>
          </w:p>
        </w:tc>
        <w:tc>
          <w:tcPr>
            <w:gridSpan w:val="2"/>
            <w:tcW w:w="255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销售收入</w:t>
            </w:r>
            <w:r>
              <w:rPr>
                <w:rFonts w:hint="eastAsia" w:ascii="仿宋" w:hAnsi="仿宋" w:eastAsia="仿宋" w:cs="仿宋"/>
                <w:color w:val="000000"/>
                <w:sz w:val="32"/>
                <w:szCs w:val="32"/>
                <w:highlight w:val="none"/>
                <w:lang w:val="en-US" w:eastAsia="zh-CN" w:bidi="ar-SA"/>
              </w:rPr>
            </w:r>
            <w:r/>
          </w:p>
        </w:tc>
        <w:tc>
          <w:tcPr>
            <w:tcW w:w="249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2025年</w:t>
            </w:r>
            <w:r>
              <w:rPr>
                <w:rFonts w:hint="eastAsia" w:ascii="仿宋" w:hAnsi="仿宋" w:eastAsia="仿宋" w:cs="仿宋"/>
                <w:color w:val="000000"/>
                <w:sz w:val="32"/>
                <w:szCs w:val="32"/>
                <w:highlight w:val="none"/>
                <w:lang w:val="zh-CN" w:eastAsia="zh-CN" w:bidi="ar-SA"/>
              </w:rPr>
              <w:t xml:space="preserve">    万元</w:t>
            </w: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实现利润</w:t>
            </w:r>
            <w:r>
              <w:rPr>
                <w:rFonts w:hint="eastAsia" w:ascii="仿宋" w:hAnsi="仿宋" w:eastAsia="仿宋" w:cs="仿宋"/>
                <w:color w:val="000000"/>
                <w:sz w:val="32"/>
                <w:szCs w:val="32"/>
                <w:highlight w:val="none"/>
                <w:lang w:val="en-US" w:eastAsia="zh-CN" w:bidi="ar-SA"/>
              </w:rPr>
            </w:r>
            <w:r/>
          </w:p>
        </w:tc>
        <w:tc>
          <w:tcPr>
            <w:tcW w:w="2126"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2025年   </w:t>
            </w:r>
            <w:r>
              <w:rPr>
                <w:rFonts w:hint="eastAsia" w:ascii="仿宋" w:hAnsi="仿宋" w:eastAsia="仿宋" w:cs="仿宋"/>
                <w:color w:val="000000"/>
                <w:sz w:val="32"/>
                <w:szCs w:val="32"/>
                <w:highlight w:val="none"/>
                <w:lang w:val="zh-CN" w:eastAsia="zh-CN" w:bidi="ar-SA"/>
              </w:rPr>
              <w:t xml:space="preserve">万元</w:t>
            </w:r>
            <w:r>
              <w:rPr>
                <w:rFonts w:hint="eastAsia" w:ascii="仿宋" w:hAnsi="仿宋" w:eastAsia="仿宋" w:cs="仿宋"/>
                <w:color w:val="000000"/>
                <w:sz w:val="32"/>
                <w:szCs w:val="32"/>
                <w:highlight w:val="none"/>
                <w:lang w:val="en-US" w:eastAsia="zh-CN" w:bidi="ar-SA"/>
              </w:rPr>
            </w:r>
            <w:r/>
          </w:p>
        </w:tc>
        <w:tc>
          <w:tcPr>
            <w:gridSpan w:val="2"/>
            <w:tcW w:w="255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c>
          <w:tcPr>
            <w:tcW w:w="249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营业面积（含厂房面积）</w:t>
            </w:r>
            <w:r>
              <w:rPr>
                <w:rFonts w:hint="eastAsia" w:ascii="仿宋" w:hAnsi="仿宋" w:eastAsia="仿宋" w:cs="仿宋"/>
                <w:color w:val="000000"/>
                <w:sz w:val="32"/>
                <w:szCs w:val="32"/>
                <w:highlight w:val="none"/>
                <w:lang w:val="en-US" w:eastAsia="zh-CN" w:bidi="ar-SA"/>
              </w:rPr>
            </w:r>
            <w:r/>
          </w:p>
        </w:tc>
        <w:tc>
          <w:tcPr>
            <w:tcW w:w="2126"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        平方米</w:t>
            </w:r>
            <w:r>
              <w:rPr>
                <w:rFonts w:hint="eastAsia" w:ascii="仿宋" w:hAnsi="仿宋" w:eastAsia="仿宋" w:cs="仿宋"/>
                <w:color w:val="000000"/>
                <w:sz w:val="32"/>
                <w:szCs w:val="32"/>
                <w:highlight w:val="none"/>
                <w:lang w:val="en-US" w:eastAsia="zh-CN" w:bidi="ar-SA"/>
              </w:rPr>
            </w:r>
            <w:r/>
          </w:p>
        </w:tc>
        <w:tc>
          <w:tcPr>
            <w:gridSpan w:val="2"/>
            <w:tcW w:w="255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其中：</w:t>
            </w:r>
            <w:r>
              <w:rPr>
                <w:rFonts w:hint="eastAsia" w:ascii="仿宋" w:hAnsi="仿宋" w:eastAsia="仿宋" w:cs="仿宋"/>
                <w:color w:val="000000"/>
                <w:sz w:val="32"/>
                <w:szCs w:val="32"/>
                <w:highlight w:val="none"/>
                <w:lang w:val="en-US" w:eastAsia="zh-CN" w:bidi="ar-SA"/>
              </w:rPr>
            </w:r>
            <w:r/>
          </w:p>
        </w:tc>
        <w:tc>
          <w:tcPr>
            <w:tcW w:w="2491"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自有面积         平方米</w:t>
            </w:r>
            <w:r>
              <w:rPr>
                <w:rFonts w:hint="eastAsia" w:ascii="仿宋" w:hAnsi="仿宋" w:eastAsia="仿宋" w:cs="仿宋"/>
                <w:color w:val="000000"/>
                <w:sz w:val="32"/>
                <w:szCs w:val="32"/>
                <w:highlight w:val="none"/>
                <w:lang w:val="en-US" w:eastAsia="zh-CN" w:bidi="ar-SA"/>
              </w:rPr>
            </w:r>
            <w:r/>
          </w:p>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承租面积         平方米</w:t>
            </w: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单位简历及内设机构情况</w:t>
            </w:r>
            <w:r>
              <w:rPr>
                <w:rFonts w:hint="eastAsia" w:ascii="仿宋" w:hAnsi="仿宋" w:eastAsia="仿宋" w:cs="仿宋"/>
                <w:color w:val="000000"/>
                <w:sz w:val="32"/>
                <w:szCs w:val="32"/>
                <w:highlight w:val="none"/>
                <w:lang w:val="en-US" w:eastAsia="zh-CN" w:bidi="ar-SA"/>
              </w:rPr>
            </w:r>
            <w:r/>
          </w:p>
        </w:tc>
        <w:tc>
          <w:tcPr>
            <w:gridSpan w:val="4"/>
            <w:tcW w:w="716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单位优势及特长</w:t>
            </w:r>
            <w:r>
              <w:rPr>
                <w:rFonts w:hint="eastAsia" w:ascii="仿宋" w:hAnsi="仿宋" w:eastAsia="仿宋" w:cs="仿宋"/>
                <w:color w:val="000000"/>
                <w:sz w:val="32"/>
                <w:szCs w:val="32"/>
                <w:highlight w:val="none"/>
                <w:lang w:val="en-US" w:eastAsia="zh-CN" w:bidi="ar-SA"/>
              </w:rPr>
            </w:r>
            <w:r/>
          </w:p>
        </w:tc>
        <w:tc>
          <w:tcPr>
            <w:gridSpan w:val="4"/>
            <w:tcW w:w="716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r>
        <w:trPr>
          <w:trHeight w:val="737"/>
        </w:trPr>
        <w:tc>
          <w:tcPr>
            <w:tcW w:w="188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zh-CN" w:eastAsia="zh-CN" w:bidi="ar-SA"/>
              </w:rPr>
              <w:t xml:space="preserve">其他需要说明的情况</w:t>
            </w:r>
            <w:r>
              <w:rPr>
                <w:rFonts w:hint="eastAsia" w:ascii="仿宋" w:hAnsi="仿宋" w:eastAsia="仿宋" w:cs="仿宋"/>
                <w:color w:val="000000"/>
                <w:sz w:val="32"/>
                <w:szCs w:val="32"/>
                <w:highlight w:val="none"/>
                <w:lang w:val="en-US" w:eastAsia="zh-CN" w:bidi="ar-SA"/>
              </w:rPr>
            </w:r>
            <w:r/>
          </w:p>
        </w:tc>
        <w:tc>
          <w:tcPr>
            <w:gridSpan w:val="4"/>
            <w:tcW w:w="7169" w:type="dxa"/>
            <w:vAlign w:val="center"/>
            <w:textDirection w:val="lrTb"/>
            <w:noWrap w:val="false"/>
          </w:tcPr>
          <w:p>
            <w:pPr>
              <w:pStyle w:val="777"/>
              <w:ind w:firstLine="0"/>
              <w:jc w:val="both"/>
              <w:pageBreakBefore w:val="0"/>
              <w:spacing w:before="20" w:after="20" w:line="240" w:lineRule="auto"/>
              <w:widowControl w:val="off"/>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r>
            <w:r/>
          </w:p>
        </w:tc>
      </w:tr>
    </w:tbl>
    <w:p>
      <w:pPr>
        <w:pStyle w:val="974"/>
        <w:widowControl/>
        <w:rPr>
          <w:color w:val="000000"/>
          <w:highlight w:val="none"/>
        </w:rPr>
      </w:pPr>
      <w:r>
        <w:rPr>
          <w:color w:val="000000"/>
          <w:highlight w:val="none"/>
        </w:rPr>
        <w:br w:type="page" w:clear="all"/>
      </w:r>
      <w:r>
        <w:rPr>
          <w:color w:val="000000"/>
          <w:highlight w:val="none"/>
        </w:rPr>
        <w:t xml:space="preserve">格式9</w:t>
      </w:r>
      <w:r>
        <w:rPr>
          <w:color w:val="000000"/>
          <w:highlight w:val="none"/>
        </w:rPr>
      </w:r>
      <w:r/>
    </w:p>
    <w:p>
      <w:pPr>
        <w:pStyle w:val="783"/>
        <w:rPr>
          <w:color w:val="000000"/>
          <w:highlight w:val="none"/>
        </w:rPr>
      </w:pPr>
      <w:r>
        <w:rPr>
          <w:color w:val="000000"/>
          <w:highlight w:val="none"/>
        </w:rPr>
      </w:r>
      <w:r/>
    </w:p>
    <w:p>
      <w:pPr>
        <w:pStyle w:val="800"/>
        <w:widowControl/>
        <w:rPr>
          <w:color w:val="000000"/>
          <w:highlight w:val="none"/>
        </w:rPr>
      </w:pPr>
      <w:r>
        <w:rPr>
          <w:color w:val="000000"/>
          <w:highlight w:val="none"/>
        </w:rPr>
        <w:t xml:space="preserve">相关业绩一览表</w:t>
      </w:r>
      <w:r>
        <w:rPr>
          <w:color w:val="000000"/>
          <w:highlight w:val="none"/>
        </w:rPr>
      </w:r>
      <w:r/>
    </w:p>
    <w:p>
      <w:pPr>
        <w:pStyle w:val="777"/>
        <w:ind w:firstLine="0"/>
        <w:jc w:val="both"/>
        <w:pageBreakBefore w:val="0"/>
        <w:spacing w:before="100" w:beforeAutospacing="1" w:after="100" w:afterAutospacing="1"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采购编号：</w:t>
      </w:r>
      <w:r>
        <w:rPr>
          <w:rFonts w:hint="eastAsia" w:ascii="宋体" w:hAnsi="宋体" w:cs="宋体"/>
          <w:color w:val="000000"/>
          <w:szCs w:val="21"/>
          <w:highlight w:val="none"/>
          <w:u w:val="single"/>
        </w:rPr>
      </w:r>
      <w:r/>
    </w:p>
    <w:tbl>
      <w:tblPr>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2011"/>
        <w:gridCol w:w="824"/>
      </w:tblGrid>
      <w:tr>
        <w:trPr>
          <w:cantSplit/>
          <w:trHeight w:val="612"/>
        </w:trPr>
        <w:tc>
          <w:tcPr>
            <w:tcW w:w="898"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序号</w:t>
            </w: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项目名称</w:t>
            </w: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采购人</w:t>
            </w:r>
            <w:r>
              <w:rPr>
                <w:rFonts w:hint="eastAsia" w:ascii="仿宋" w:hAnsi="仿宋" w:eastAsia="仿宋" w:cs="仿宋"/>
                <w:bCs/>
                <w:color w:val="000000"/>
                <w:sz w:val="32"/>
                <w:szCs w:val="32"/>
                <w:highlight w:val="none"/>
                <w:lang w:val="en-US" w:eastAsia="zh-CN" w:bidi="ar-SA"/>
              </w:rPr>
            </w:r>
            <w:r/>
          </w:p>
        </w:tc>
        <w:tc>
          <w:tcPr>
            <w:tcW w:w="1729"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签订时间</w:t>
            </w:r>
            <w:r>
              <w:rPr>
                <w:rFonts w:hint="eastAsia" w:ascii="仿宋" w:hAnsi="仿宋" w:eastAsia="仿宋" w:cs="仿宋"/>
                <w:bCs/>
                <w:color w:val="000000"/>
                <w:sz w:val="32"/>
                <w:szCs w:val="32"/>
                <w:highlight w:val="none"/>
                <w:lang w:val="en-US" w:eastAsia="zh-CN" w:bidi="ar-SA"/>
              </w:rPr>
            </w:r>
            <w:r/>
          </w:p>
        </w:tc>
        <w:tc>
          <w:tcPr>
            <w:tcW w:w="2011"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合同金额（万元）</w:t>
            </w:r>
            <w:r>
              <w:rPr>
                <w:rFonts w:hint="eastAsia" w:ascii="仿宋" w:hAnsi="仿宋" w:eastAsia="仿宋" w:cs="仿宋"/>
                <w:bCs/>
                <w:color w:val="000000"/>
                <w:sz w:val="32"/>
                <w:szCs w:val="32"/>
                <w:highlight w:val="none"/>
                <w:lang w:val="en-US" w:eastAsia="zh-CN" w:bidi="ar-SA"/>
              </w:rPr>
            </w:r>
            <w:r/>
          </w:p>
        </w:tc>
        <w:tc>
          <w:tcPr>
            <w:tcW w:w="824"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备注</w:t>
            </w:r>
            <w:r>
              <w:rPr>
                <w:rFonts w:hint="eastAsia" w:ascii="仿宋" w:hAnsi="仿宋" w:eastAsia="仿宋" w:cs="仿宋"/>
                <w:bCs/>
                <w:color w:val="000000"/>
                <w:sz w:val="32"/>
                <w:szCs w:val="32"/>
                <w:highlight w:val="none"/>
                <w:lang w:val="en-US" w:eastAsia="zh-CN" w:bidi="ar-SA"/>
              </w:rPr>
            </w:r>
            <w:r/>
          </w:p>
        </w:tc>
      </w:tr>
      <w:tr>
        <w:trPr>
          <w:cantSplit/>
          <w:trHeight w:val="510" w:hRule="exact"/>
        </w:trPr>
        <w:tc>
          <w:tcPr>
            <w:tcW w:w="898" w:type="dxa"/>
            <w:vAlign w:val="center"/>
            <w:textDirection w:val="lrTb"/>
            <w:noWrap w:val="false"/>
          </w:tcPr>
          <w:p>
            <w:pPr>
              <w:pStyle w:val="781"/>
              <w:ind w:firstLine="0"/>
              <w:jc w:val="center"/>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1</w:t>
            </w: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729"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2011"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824"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r>
      <w:tr>
        <w:trPr>
          <w:cantSplit/>
          <w:trHeight w:val="510" w:hRule="exact"/>
        </w:trPr>
        <w:tc>
          <w:tcPr>
            <w:tcW w:w="898" w:type="dxa"/>
            <w:vAlign w:val="center"/>
            <w:textDirection w:val="lrTb"/>
            <w:noWrap w:val="false"/>
          </w:tcPr>
          <w:p>
            <w:pPr>
              <w:pStyle w:val="781"/>
              <w:ind w:firstLine="0"/>
              <w:jc w:val="center"/>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2</w:t>
            </w: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729"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2011"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824"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r>
      <w:tr>
        <w:trPr>
          <w:cantSplit/>
          <w:trHeight w:val="510" w:hRule="exact"/>
        </w:trPr>
        <w:tc>
          <w:tcPr>
            <w:tcW w:w="898" w:type="dxa"/>
            <w:vAlign w:val="center"/>
            <w:textDirection w:val="lrTb"/>
            <w:noWrap w:val="false"/>
          </w:tcPr>
          <w:p>
            <w:pPr>
              <w:pStyle w:val="781"/>
              <w:ind w:firstLine="0"/>
              <w:jc w:val="center"/>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3</w:t>
            </w: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729"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2011"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824"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r>
      <w:tr>
        <w:trPr>
          <w:cantSplit/>
          <w:trHeight w:val="510" w:hRule="exact"/>
        </w:trPr>
        <w:tc>
          <w:tcPr>
            <w:tcW w:w="898" w:type="dxa"/>
            <w:vAlign w:val="center"/>
            <w:textDirection w:val="lrTb"/>
            <w:noWrap w:val="false"/>
          </w:tcPr>
          <w:p>
            <w:pPr>
              <w:pStyle w:val="781"/>
              <w:ind w:firstLine="0"/>
              <w:jc w:val="center"/>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4</w:t>
            </w: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729"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2011"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824"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r>
      <w:tr>
        <w:trPr>
          <w:cantSplit/>
          <w:trHeight w:val="510" w:hRule="exact"/>
        </w:trPr>
        <w:tc>
          <w:tcPr>
            <w:tcW w:w="898" w:type="dxa"/>
            <w:vAlign w:val="center"/>
            <w:textDirection w:val="lrTb"/>
            <w:noWrap w:val="false"/>
          </w:tcPr>
          <w:p>
            <w:pPr>
              <w:pStyle w:val="781"/>
              <w:ind w:firstLine="0"/>
              <w:jc w:val="center"/>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5</w:t>
            </w: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729"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2011"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824"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r>
      <w:tr>
        <w:trPr>
          <w:cantSplit/>
          <w:trHeight w:val="510" w:hRule="exact"/>
        </w:trPr>
        <w:tc>
          <w:tcPr>
            <w:tcW w:w="898" w:type="dxa"/>
            <w:vAlign w:val="center"/>
            <w:textDirection w:val="lrTb"/>
            <w:noWrap w:val="false"/>
          </w:tcPr>
          <w:p>
            <w:pPr>
              <w:pStyle w:val="781"/>
              <w:ind w:firstLine="0"/>
              <w:jc w:val="center"/>
              <w:pageBreakBefore w:val="0"/>
              <w:spacing w:before="20" w:after="20" w:line="580" w:lineRule="exact"/>
              <w:widowControl w:val="off"/>
              <w:rPr>
                <w:rFonts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w:t>
            </w:r>
            <w:r>
              <w:rPr>
                <w:rFonts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453"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1729"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2011"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c>
          <w:tcPr>
            <w:tcW w:w="824" w:type="dxa"/>
            <w:vAlign w:val="center"/>
            <w:textDirection w:val="lrTb"/>
            <w:noWrap w:val="false"/>
          </w:tcPr>
          <w:p>
            <w:pPr>
              <w:pStyle w:val="781"/>
              <w:ind w:firstLine="0"/>
              <w:jc w:val="both"/>
              <w:pageBreakBefore w:val="0"/>
              <w:spacing w:before="20" w:after="20" w:line="580" w:lineRule="exact"/>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r>
            <w:r/>
          </w:p>
        </w:tc>
      </w:tr>
    </w:tbl>
    <w:p>
      <w:pPr>
        <w:pStyle w:val="777"/>
        <w:ind w:firstLine="0"/>
        <w:jc w:val="both"/>
        <w:pageBreakBefore w:val="0"/>
        <w:spacing w:line="360" w:lineRule="auto"/>
        <w:rPr>
          <w:color w:val="000000"/>
          <w:szCs w:val="21"/>
          <w:highlight w:val="none"/>
          <w:lang w:val="zh-CN"/>
        </w:rPr>
      </w:pPr>
      <w:r>
        <w:rPr>
          <w:color w:val="000000"/>
          <w:szCs w:val="21"/>
          <w:highlight w:val="none"/>
          <w:lang w:val="zh-CN"/>
        </w:rPr>
      </w:r>
      <w:r/>
    </w:p>
    <w:p>
      <w:pPr>
        <w:pStyle w:val="777"/>
        <w:ind w:firstLine="0"/>
        <w:jc w:val="both"/>
        <w:pageBreakBefore w:val="0"/>
        <w:spacing w:line="360" w:lineRule="auto"/>
        <w:rPr>
          <w:color w:val="000000"/>
          <w:szCs w:val="21"/>
          <w:highlight w:val="none"/>
          <w:lang w:val="zh-CN"/>
        </w:rPr>
      </w:pPr>
      <w:r>
        <w:rPr>
          <w:color w:val="000000"/>
          <w:szCs w:val="21"/>
          <w:highlight w:val="none"/>
          <w:lang w:val="zh-CN"/>
        </w:rPr>
      </w:r>
      <w:r/>
    </w:p>
    <w:p>
      <w:pPr>
        <w:pStyle w:val="783"/>
        <w:ind w:firstLine="0"/>
        <w:jc w:val="both"/>
        <w:pageBreakBefore w:val="0"/>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响应单位（盖章）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法定代表人或授权代理人：（签字或签章）</w:t>
      </w:r>
      <w:r>
        <w:rPr>
          <w:rFonts w:ascii="Times New Roman" w:hAnsi="Times New Roman" w:eastAsia="仿宋_GB2312" w:cs="仿宋_GB2312"/>
          <w:b/>
          <w:color w:val="000000"/>
          <w:sz w:val="32"/>
          <w:szCs w:val="32"/>
          <w:highlight w:val="none"/>
        </w:rPr>
      </w:r>
      <w:r/>
    </w:p>
    <w:p>
      <w:pPr>
        <w:pStyle w:val="783"/>
        <w:ind w:firstLine="0"/>
        <w:jc w:val="both"/>
        <w:pageBreakBefore w:val="0"/>
        <w:rPr>
          <w:rFonts w:ascii="Times New Roman" w:hAnsi="Times New Roman" w:eastAsia="仿宋_GB2312" w:cs="仿宋_GB2312"/>
          <w:b/>
          <w:color w:val="000000"/>
          <w:sz w:val="32"/>
          <w:szCs w:val="32"/>
          <w:highlight w:val="none"/>
        </w:rPr>
      </w:pPr>
      <w:r>
        <w:rPr>
          <w:rFonts w:ascii="Times New Roman" w:hAnsi="Times New Roman" w:eastAsia="仿宋_GB2312" w:cs="仿宋_GB2312"/>
          <w:color w:val="000000"/>
          <w:sz w:val="32"/>
          <w:szCs w:val="32"/>
          <w:highlight w:val="none"/>
        </w:rPr>
        <w:t xml:space="preserve">日期：</w:t>
      </w:r>
      <w:r>
        <w:rPr>
          <w:rFonts w:ascii="Times New Roman" w:hAnsi="Times New Roman" w:eastAsia="仿宋_GB2312" w:cs="仿宋_GB2312"/>
          <w:b/>
          <w:color w:val="000000"/>
          <w:sz w:val="32"/>
          <w:szCs w:val="32"/>
          <w:highlight w:val="none"/>
        </w:rPr>
      </w:r>
      <w:r/>
    </w:p>
    <w:p>
      <w:pPr>
        <w:pStyle w:val="974"/>
        <w:widowControl/>
        <w:rPr>
          <w:color w:val="000000"/>
          <w:highlight w:val="none"/>
        </w:rPr>
      </w:pPr>
      <w:r>
        <w:rPr>
          <w:rFonts w:hint="eastAsia" w:ascii="宋体" w:hAnsi="宋体" w:cs="宋体"/>
          <w:b/>
          <w:bCs/>
          <w:color w:val="000000"/>
          <w:szCs w:val="21"/>
          <w:highlight w:val="none"/>
          <w:lang w:val="en-US" w:eastAsia="zh-CN"/>
        </w:rPr>
        <w:br w:type="page" w:clear="all"/>
      </w:r>
      <w:r>
        <w:rPr>
          <w:color w:val="000000"/>
          <w:highlight w:val="none"/>
        </w:rPr>
        <w:t xml:space="preserve">格式10</w:t>
      </w:r>
      <w:r>
        <w:rPr>
          <w:color w:val="000000"/>
          <w:highlight w:val="none"/>
        </w:rPr>
      </w:r>
      <w:r/>
    </w:p>
    <w:p>
      <w:pPr>
        <w:pStyle w:val="800"/>
        <w:widowControl/>
        <w:rPr>
          <w:color w:val="000000"/>
          <w:highlight w:val="none"/>
        </w:rPr>
      </w:pPr>
      <w:r>
        <w:rPr>
          <w:color w:val="000000"/>
          <w:highlight w:val="none"/>
        </w:rPr>
        <w:t xml:space="preserve">中小企业声明函（服务类）</w:t>
      </w:r>
      <w:r>
        <w:rPr>
          <w:color w:val="000000"/>
          <w:highlight w:val="none"/>
        </w:rPr>
      </w:r>
      <w:r/>
    </w:p>
    <w:p>
      <w:pPr>
        <w:pStyle w:val="777"/>
        <w:ind w:firstLine="0"/>
        <w:jc w:val="both"/>
        <w:pageBreakBefore w:val="0"/>
        <w:spacing w:line="400" w:lineRule="exact"/>
        <w:widowControl/>
        <w:rPr>
          <w:rFonts w:hint="eastAsia" w:ascii="宋体" w:hAnsi="宋体"/>
          <w:b/>
          <w:color w:val="000000"/>
          <w:szCs w:val="21"/>
          <w:highlight w:val="none"/>
        </w:rPr>
      </w:pPr>
      <w:r>
        <w:rPr>
          <w:rFonts w:hint="eastAsia" w:ascii="宋体" w:hAnsi="宋体"/>
          <w:b/>
          <w:color w:val="000000"/>
          <w:szCs w:val="21"/>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本公司（联合体）郑重声明，根据《政府采购促进中小企业发展管理办法》（财库﹝2020﹞46 号）的规定，本公司（联合体）参加</w:t>
      </w:r>
      <w:r>
        <w:rPr>
          <w:rFonts w:ascii="Times New Roman" w:hAnsi="Times New Roman" w:eastAsia="仿宋_GB2312" w:cs="仿宋_GB2312"/>
          <w:color w:val="000000"/>
          <w:sz w:val="32"/>
          <w:szCs w:val="32"/>
          <w:highlight w:val="none"/>
          <w:u w:val="single"/>
        </w:rPr>
        <w:t xml:space="preserve">（单位名称）</w:t>
      </w:r>
      <w:r>
        <w:rPr>
          <w:rFonts w:ascii="Times New Roman" w:hAnsi="Times New Roman" w:eastAsia="仿宋_GB2312" w:cs="仿宋_GB2312"/>
          <w:color w:val="000000"/>
          <w:sz w:val="32"/>
          <w:szCs w:val="32"/>
          <w:highlight w:val="none"/>
        </w:rPr>
        <w:t xml:space="preserve">的</w:t>
      </w:r>
      <w:r>
        <w:rPr>
          <w:rFonts w:ascii="Times New Roman" w:hAnsi="Times New Roman" w:eastAsia="仿宋_GB2312" w:cs="仿宋_GB2312"/>
          <w:color w:val="000000"/>
          <w:sz w:val="32"/>
          <w:szCs w:val="32"/>
          <w:highlight w:val="none"/>
          <w:u w:val="single"/>
        </w:rPr>
        <w:t xml:space="preserve">（项目名称）</w:t>
      </w:r>
      <w:r>
        <w:rPr>
          <w:rFonts w:ascii="Times New Roman" w:hAnsi="Times New Roman" w:eastAsia="仿宋_GB2312" w:cs="仿宋_GB2312"/>
          <w:color w:val="000000"/>
          <w:sz w:val="32"/>
          <w:szCs w:val="32"/>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1.</w:t>
      </w:r>
      <w:r>
        <w:rPr>
          <w:rFonts w:ascii="Times New Roman" w:hAnsi="Times New Roman" w:eastAsia="仿宋_GB2312" w:cs="仿宋_GB2312"/>
          <w:color w:val="000000"/>
          <w:sz w:val="32"/>
          <w:szCs w:val="32"/>
          <w:highlight w:val="none"/>
          <w:u w:val="single"/>
        </w:rPr>
        <w:t xml:space="preserve">（标的名称）   </w:t>
      </w:r>
      <w:r>
        <w:rPr>
          <w:rFonts w:ascii="Times New Roman" w:hAnsi="Times New Roman" w:eastAsia="仿宋_GB2312" w:cs="仿宋_GB2312"/>
          <w:color w:val="000000"/>
          <w:sz w:val="32"/>
          <w:szCs w:val="32"/>
          <w:highlight w:val="none"/>
        </w:rPr>
        <w:t xml:space="preserve">，属于</w:t>
      </w:r>
      <w:r>
        <w:rPr>
          <w:rFonts w:ascii="Times New Roman" w:hAnsi="Times New Roman" w:eastAsia="仿宋_GB2312" w:cs="仿宋_GB2312"/>
          <w:b/>
          <w:color w:val="000000"/>
          <w:sz w:val="32"/>
          <w:szCs w:val="32"/>
          <w:highlight w:val="none"/>
          <w:u w:val="single"/>
        </w:rPr>
        <w:t xml:space="preserve">租赁和商务服务业</w:t>
      </w:r>
      <w:r>
        <w:rPr>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承建（承接）企业为</w:t>
      </w:r>
      <w:r>
        <w:rPr>
          <w:rFonts w:ascii="Times New Roman" w:hAnsi="Times New Roman" w:eastAsia="仿宋_GB2312" w:cs="仿宋_GB2312"/>
          <w:color w:val="000000"/>
          <w:sz w:val="32"/>
          <w:szCs w:val="32"/>
          <w:highlight w:val="none"/>
          <w:u w:val="single"/>
        </w:rPr>
        <w:t xml:space="preserve"> （企业名称）</w:t>
      </w:r>
      <w:r>
        <w:rPr>
          <w:rFonts w:ascii="Times New Roman" w:hAnsi="Times New Roman" w:eastAsia="仿宋_GB2312" w:cs="仿宋_GB2312"/>
          <w:color w:val="000000"/>
          <w:sz w:val="32"/>
          <w:szCs w:val="32"/>
          <w:highlight w:val="none"/>
        </w:rPr>
        <w:t xml:space="preserve">，从业人员</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u w:val="single"/>
        </w:rPr>
        <w:tab/>
      </w:r>
      <w:r>
        <w:rPr>
          <w:rFonts w:ascii="Times New Roman" w:hAnsi="Times New Roman" w:eastAsia="仿宋_GB2312" w:cs="仿宋_GB2312"/>
          <w:color w:val="000000"/>
          <w:sz w:val="32"/>
          <w:szCs w:val="32"/>
          <w:highlight w:val="none"/>
        </w:rPr>
        <w:t xml:space="preserve">人，营业收入为</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u w:val="single"/>
        </w:rPr>
        <w:tab/>
      </w:r>
      <w:r>
        <w:rPr>
          <w:rFonts w:ascii="Times New Roman" w:hAnsi="Times New Roman" w:eastAsia="仿宋_GB2312" w:cs="仿宋_GB2312"/>
          <w:color w:val="000000"/>
          <w:sz w:val="32"/>
          <w:szCs w:val="32"/>
          <w:highlight w:val="none"/>
        </w:rPr>
        <w:t xml:space="preserve">万元，资产总额为</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u w:val="single"/>
        </w:rPr>
        <w:tab/>
      </w:r>
      <w:r>
        <w:rPr>
          <w:rFonts w:ascii="Times New Roman" w:hAnsi="Times New Roman" w:eastAsia="仿宋_GB2312" w:cs="仿宋_GB2312"/>
          <w:color w:val="000000"/>
          <w:sz w:val="32"/>
          <w:szCs w:val="32"/>
          <w:highlight w:val="none"/>
        </w:rPr>
        <w:t xml:space="preserve">万元，属于</w:t>
      </w:r>
      <w:r>
        <w:rPr>
          <w:rFonts w:ascii="Times New Roman" w:hAnsi="Times New Roman" w:eastAsia="仿宋_GB2312" w:cs="仿宋_GB2312"/>
          <w:color w:val="000000"/>
          <w:sz w:val="32"/>
          <w:szCs w:val="32"/>
          <w:highlight w:val="none"/>
          <w:u w:val="single"/>
        </w:rPr>
        <w:t xml:space="preserve">       </w:t>
      </w:r>
      <w:r>
        <w:rPr>
          <w:rFonts w:ascii="Times New Roman" w:hAnsi="Times New Roman" w:eastAsia="仿宋_GB2312" w:cs="仿宋_GB2312"/>
          <w:color w:val="000000"/>
          <w:sz w:val="32"/>
          <w:szCs w:val="32"/>
          <w:highlight w:val="none"/>
          <w:u w:val="none"/>
        </w:rPr>
        <w:t xml:space="preserve">（填写：中型企业或小型企业或微型企业）</w:t>
      </w:r>
      <w:r>
        <w:rPr>
          <w:rFonts w:ascii="Times New Roman" w:hAnsi="Times New Roman" w:eastAsia="仿宋_GB2312" w:cs="仿宋_GB2312"/>
          <w:color w:val="000000"/>
          <w:sz w:val="32"/>
          <w:szCs w:val="32"/>
          <w:highlight w:val="none"/>
        </w:rPr>
        <w:t xml:space="preserve">；</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以上企业，不属于大企业的分支机构，不存在控股股东为大企业的情形，也不存在与大企业的负责人为同一人的情形。</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本企业对上述声明内容的真实性负责。如有虚假，将依法承担相应责任。</w:t>
      </w:r>
      <w:r>
        <w:rPr>
          <w:rFonts w:ascii="Times New Roman" w:hAnsi="Times New Roman" w:eastAsia="仿宋_GB2312" w:cs="仿宋_GB2312"/>
          <w:color w:val="000000"/>
          <w:sz w:val="32"/>
          <w:szCs w:val="32"/>
          <w:highlight w:val="none"/>
        </w:rPr>
      </w:r>
      <w:r/>
    </w:p>
    <w:p>
      <w:pPr>
        <w:pStyle w:val="777"/>
        <w:ind w:right="480" w:firstLine="0"/>
        <w:jc w:val="both"/>
        <w:pageBreakBefore w:val="0"/>
        <w:spacing w:before="25" w:after="25" w:line="360" w:lineRule="auto"/>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z w:val="32"/>
          <w:szCs w:val="32"/>
          <w:highlight w:val="none"/>
        </w:rPr>
      </w:r>
      <w:r/>
    </w:p>
    <w:p>
      <w:pPr>
        <w:pStyle w:val="777"/>
        <w:ind w:right="482" w:firstLine="0"/>
        <w:jc w:val="both"/>
        <w:keepLines w:val="0"/>
        <w:keepNext w:val="0"/>
        <w:pageBreakBefore w:val="0"/>
        <w:spacing w:before="25" w:after="25" w:line="360" w:lineRule="auto"/>
        <w:widowControl w:val="off"/>
        <w:rPr>
          <w:rFonts w:hint="eastAsia" w:ascii="Times New Roman" w:hAnsi="Times New Roman" w:eastAsia="仿宋_GB2312" w:cs="仿宋_GB2312"/>
          <w:color w:val="000000"/>
          <w:sz w:val="32"/>
          <w:szCs w:val="32"/>
          <w:highlight w:val="none"/>
        </w:rPr>
      </w:pPr>
      <w:r>
        <w:rPr>
          <w:rFonts w:hint="eastAsia" w:ascii="Times New Roman" w:hAnsi="Times New Roman" w:eastAsia="仿宋_GB2312" w:cs="仿宋_GB2312"/>
          <w:color w:val="000000"/>
          <w:spacing w:val="342"/>
          <w:sz w:val="32"/>
          <w:szCs w:val="32"/>
          <w:highlight w:val="none"/>
        </w:rPr>
        <w:t xml:space="preserve">企业名称（盖章</w:t>
      </w:r>
      <w:r>
        <w:rPr>
          <w:rFonts w:hint="eastAsia" w:ascii="Times New Roman" w:hAnsi="Times New Roman" w:eastAsia="仿宋_GB2312" w:cs="仿宋_GB2312"/>
          <w:color w:val="000000"/>
          <w:spacing w:val="343"/>
          <w:sz w:val="32"/>
          <w:szCs w:val="32"/>
          <w:highlight w:val="none"/>
        </w:rPr>
        <w:t xml:space="preserve">）</w:t>
      </w:r>
      <w:r>
        <w:rPr>
          <w:rFonts w:hint="eastAsia" w:ascii="Times New Roman" w:hAnsi="Times New Roman" w:eastAsia="仿宋_GB2312" w:cs="仿宋_GB2312"/>
          <w:color w:val="000000"/>
          <w:sz w:val="32"/>
          <w:szCs w:val="32"/>
          <w:highlight w:val="none"/>
        </w:rPr>
        <w:t xml:space="preserve">：                                 </w:t>
      </w:r>
      <w:r>
        <w:rPr>
          <w:rFonts w:hint="eastAsia" w:ascii="Times New Roman" w:hAnsi="Times New Roman" w:eastAsia="仿宋_GB2312" w:cs="仿宋_GB2312"/>
          <w:color w:val="000000"/>
          <w:spacing w:val="-2720"/>
          <w:sz w:val="32"/>
          <w:szCs w:val="32"/>
          <w:highlight w:val="none"/>
        </w:rPr>
        <w:t xml:space="preserve"> </w:t>
      </w:r>
      <w:r>
        <w:rPr>
          <w:rFonts w:hint="eastAsia" w:ascii="Times New Roman" w:hAnsi="Times New Roman" w:eastAsia="仿宋_GB2312" w:cs="仿宋_GB2312"/>
          <w:color w:val="000000"/>
          <w:sz w:val="32"/>
          <w:szCs w:val="32"/>
          <w:highlight w:val="none"/>
        </w:rPr>
        <w:t xml:space="preserve">日期：</w:t>
      </w:r>
      <w:r>
        <w:rPr>
          <w:rFonts w:hint="eastAsia"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备注： </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1、 从业人员、营业收入、资产总额填报上一年度数据，无上一年度数据的新成立企业可不填报； </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2、 若供应商提供的“中小企业声明函”内容不实的，属于提供虚假材料谋取中标、成交，依照《中华人民共和国政府采购法》等国家有关规定追究相应责任； </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b/>
          <w:color w:val="000000"/>
          <w:sz w:val="32"/>
          <w:szCs w:val="32"/>
          <w:highlight w:val="none"/>
        </w:rPr>
      </w:pPr>
      <w:r>
        <w:rPr>
          <w:rFonts w:ascii="Times New Roman" w:hAnsi="Times New Roman" w:eastAsia="仿宋_GB2312" w:cs="仿宋_GB2312"/>
          <w:b/>
          <w:color w:val="000000"/>
          <w:sz w:val="32"/>
          <w:szCs w:val="32"/>
          <w:highlight w:val="none"/>
        </w:rPr>
        <w:t xml:space="preserve">4、需上传加盖公章的原件彩色（扫描）件或电子盖章至电子投标（响应）文件中，否则视为无效投标。  </w:t>
      </w:r>
      <w:r>
        <w:rPr>
          <w:rFonts w:ascii="Times New Roman" w:hAnsi="Times New Roman" w:eastAsia="仿宋_GB2312" w:cs="仿宋_GB2312"/>
          <w:b/>
          <w:color w:val="000000"/>
          <w:sz w:val="32"/>
          <w:szCs w:val="32"/>
          <w:highlight w:val="none"/>
        </w:rPr>
      </w:r>
      <w:r/>
    </w:p>
    <w:p>
      <w:pPr>
        <w:pStyle w:val="783"/>
        <w:rPr>
          <w:color w:val="000000"/>
          <w:highlight w:val="none"/>
        </w:rPr>
      </w:pPr>
      <w:r>
        <w:rPr>
          <w:color w:val="000000"/>
          <w:highlight w:val="none"/>
        </w:rPr>
      </w:r>
      <w:r/>
    </w:p>
    <w:p>
      <w:pPr>
        <w:pStyle w:val="783"/>
        <w:ind w:left="1232" w:hanging="616"/>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附：中小企业划型标准规定</w:t>
      </w:r>
      <w:r>
        <w:rPr>
          <w:rFonts w:ascii="Times New Roman" w:hAnsi="Times New Roman" w:eastAsia="仿宋_GB2312" w:cs="仿宋_GB2312"/>
          <w:color w:val="000000"/>
          <w:sz w:val="32"/>
          <w:szCs w:val="32"/>
          <w:highlight w:val="none"/>
        </w:rPr>
      </w:r>
      <w:r/>
    </w:p>
    <w:p>
      <w:pPr>
        <w:pStyle w:val="783"/>
        <w:ind w:left="1232" w:firstLine="0"/>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（十五）租赁和商务服务业。从业人员300人以下的为中小微型企业。其中，从业人员100人及以上的为中型企业；从业人员10人及以上的为小型企业；从业人员10人以下的为微型企业。</w:t>
      </w:r>
      <w:r>
        <w:rPr>
          <w:rFonts w:ascii="Times New Roman" w:hAnsi="Times New Roman" w:eastAsia="仿宋_GB2312" w:cs="仿宋_GB2312"/>
          <w:color w:val="000000"/>
          <w:sz w:val="32"/>
          <w:szCs w:val="32"/>
          <w:highlight w:val="none"/>
        </w:rPr>
      </w:r>
      <w:r/>
    </w:p>
    <w:p>
      <w:pPr>
        <w:pStyle w:val="974"/>
        <w:widowControl/>
        <w:rPr>
          <w:color w:val="000000"/>
          <w:highlight w:val="none"/>
        </w:rPr>
      </w:pPr>
      <w:r>
        <w:rPr>
          <w:rFonts w:hint="eastAsia" w:ascii="宋体" w:hAnsi="宋体" w:cs="宋体"/>
          <w:b/>
          <w:bCs/>
          <w:color w:val="000000"/>
          <w:szCs w:val="21"/>
          <w:highlight w:val="none"/>
          <w:lang w:val="en-US" w:eastAsia="zh-CN"/>
        </w:rPr>
        <w:br w:type="page" w:clear="all"/>
      </w:r>
      <w:r>
        <w:rPr>
          <w:color w:val="000000"/>
          <w:highlight w:val="none"/>
        </w:rPr>
        <w:t xml:space="preserve">格式11</w:t>
      </w:r>
      <w:r>
        <w:rPr>
          <w:color w:val="000000"/>
          <w:highlight w:val="none"/>
        </w:rPr>
      </w:r>
      <w:r/>
    </w:p>
    <w:p>
      <w:pPr>
        <w:pStyle w:val="783"/>
        <w:rPr>
          <w:color w:val="000000"/>
          <w:highlight w:val="none"/>
        </w:rPr>
      </w:pPr>
      <w:r>
        <w:rPr>
          <w:color w:val="000000"/>
          <w:highlight w:val="none"/>
        </w:rPr>
      </w:r>
      <w:r/>
    </w:p>
    <w:p>
      <w:pPr>
        <w:pStyle w:val="800"/>
        <w:widowControl/>
        <w:rPr>
          <w:color w:val="000000"/>
          <w:highlight w:val="none"/>
        </w:rPr>
      </w:pPr>
      <w:r>
        <w:rPr>
          <w:color w:val="000000"/>
          <w:highlight w:val="none"/>
        </w:rPr>
        <w:t xml:space="preserve">残疾人福利性单位声明函</w:t>
      </w:r>
      <w:r>
        <w:rPr>
          <w:color w:val="000000"/>
          <w:highlight w:val="none"/>
        </w:rPr>
      </w:r>
      <w:r/>
    </w:p>
    <w:p>
      <w:pPr>
        <w:pStyle w:val="777"/>
        <w:ind w:firstLine="0"/>
        <w:jc w:val="both"/>
        <w:pageBreakBefore w:val="0"/>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Times New Roman" w:hAnsi="Times New Roman" w:eastAsia="仿宋_GB2312" w:cs="仿宋_GB2312"/>
          <w:color w:val="000000"/>
          <w:sz w:val="32"/>
          <w:szCs w:val="32"/>
          <w:highlight w:val="none"/>
        </w:rPr>
      </w:r>
      <w:r/>
    </w:p>
    <w:p>
      <w:pPr>
        <w:pStyle w:val="783"/>
        <w:widowControl/>
        <w:rPr>
          <w:rFonts w:ascii="Times New Roman" w:hAnsi="Times New Roman" w:eastAsia="仿宋_GB2312" w:cs="仿宋_GB2312"/>
          <w:color w:val="000000"/>
          <w:sz w:val="32"/>
          <w:szCs w:val="32"/>
          <w:highlight w:val="none"/>
        </w:rPr>
      </w:pPr>
      <w:r>
        <w:rPr>
          <w:rFonts w:ascii="Times New Roman" w:hAnsi="Times New Roman" w:eastAsia="仿宋_GB2312" w:cs="仿宋_GB2312"/>
          <w:color w:val="000000"/>
          <w:sz w:val="32"/>
          <w:szCs w:val="32"/>
          <w:highlight w:val="none"/>
        </w:rPr>
        <w:t xml:space="preserve">本单位对上述声明的真实性负责。如有虚假，将依法承担相应责任。</w:t>
      </w:r>
      <w:r>
        <w:rPr>
          <w:rFonts w:ascii="Times New Roman" w:hAnsi="Times New Roman" w:eastAsia="仿宋_GB2312" w:cs="仿宋_GB2312"/>
          <w:color w:val="000000"/>
          <w:sz w:val="32"/>
          <w:szCs w:val="32"/>
          <w:highlight w:val="none"/>
        </w:rPr>
      </w:r>
      <w:r/>
    </w:p>
    <w:p>
      <w:pPr>
        <w:pStyle w:val="777"/>
        <w:ind w:firstLine="0"/>
        <w:jc w:val="both"/>
        <w:pageBreakBefore w:val="0"/>
        <w:spacing w:line="360" w:lineRule="auto"/>
        <w:rPr>
          <w:color w:val="000000"/>
          <w:szCs w:val="21"/>
          <w:highlight w:val="none"/>
          <w:lang w:val="zh-CN"/>
        </w:rPr>
      </w:pPr>
      <w:r>
        <w:rPr>
          <w:color w:val="000000"/>
          <w:szCs w:val="21"/>
          <w:highlight w:val="none"/>
          <w:lang w:val="zh-CN"/>
        </w:rPr>
      </w:r>
      <w:r/>
    </w:p>
    <w:p>
      <w:pPr>
        <w:pStyle w:val="777"/>
        <w:ind w:firstLine="0"/>
        <w:jc w:val="both"/>
        <w:pageBreakBefore w:val="0"/>
        <w:spacing w:line="360" w:lineRule="auto"/>
        <w:rPr>
          <w:color w:val="000000"/>
          <w:szCs w:val="21"/>
          <w:highlight w:val="none"/>
          <w:lang w:val="zh-CN"/>
        </w:rPr>
      </w:pPr>
      <w:r>
        <w:rPr>
          <w:color w:val="000000"/>
          <w:szCs w:val="21"/>
          <w:highlight w:val="none"/>
          <w:lang w:val="zh-CN"/>
        </w:rPr>
      </w:r>
      <w:r/>
    </w:p>
    <w:p>
      <w:pPr>
        <w:pStyle w:val="980"/>
        <w:ind w:firstLine="0"/>
        <w:jc w:val="both"/>
        <w:pageBreakBefore w:val="0"/>
        <w:rPr>
          <w:color w:val="000000"/>
          <w:sz w:val="21"/>
          <w:szCs w:val="21"/>
          <w:highlight w:val="none"/>
          <w:lang w:val="zh-CN"/>
        </w:rPr>
      </w:pPr>
      <w:r>
        <w:rPr>
          <w:color w:val="000000"/>
          <w:sz w:val="21"/>
          <w:szCs w:val="21"/>
          <w:highlight w:val="none"/>
          <w:lang w:val="zh-CN"/>
        </w:rPr>
      </w:r>
      <w:r/>
    </w:p>
    <w:p>
      <w:pPr>
        <w:pStyle w:val="980"/>
        <w:ind w:firstLine="0"/>
        <w:jc w:val="both"/>
        <w:pageBreakBefore w:val="0"/>
        <w:rPr>
          <w:color w:val="000000"/>
          <w:sz w:val="21"/>
          <w:szCs w:val="21"/>
          <w:highlight w:val="none"/>
          <w:lang w:val="zh-CN"/>
        </w:rPr>
      </w:pPr>
      <w:r>
        <w:rPr>
          <w:color w:val="000000"/>
          <w:sz w:val="21"/>
          <w:szCs w:val="21"/>
          <w:highlight w:val="none"/>
          <w:lang w:val="zh-CN"/>
        </w:rPr>
      </w:r>
      <w:r/>
    </w:p>
    <w:p>
      <w:pPr>
        <w:pStyle w:val="980"/>
        <w:ind w:firstLine="0"/>
        <w:jc w:val="both"/>
        <w:pageBreakBefore w:val="0"/>
        <w:rPr>
          <w:color w:val="000000"/>
          <w:sz w:val="21"/>
          <w:szCs w:val="21"/>
          <w:highlight w:val="none"/>
          <w:lang w:val="zh-CN"/>
        </w:rPr>
      </w:pPr>
      <w:r>
        <w:rPr>
          <w:color w:val="000000"/>
          <w:sz w:val="21"/>
          <w:szCs w:val="21"/>
          <w:highlight w:val="none"/>
          <w:lang w:val="zh-CN"/>
        </w:rPr>
      </w:r>
      <w:r/>
    </w:p>
    <w:p>
      <w:pPr>
        <w:pStyle w:val="777"/>
        <w:ind w:firstLine="0"/>
        <w:jc w:val="both"/>
        <w:pageBreakBefore w:val="0"/>
        <w:spacing w:line="360" w:lineRule="auto"/>
        <w:rPr>
          <w:rFonts w:ascii="Times New Roman" w:hAnsi="Times New Roman" w:eastAsia="仿宋_GB2312" w:cs="仿宋_GB2312"/>
          <w:color w:val="000000"/>
          <w:sz w:val="32"/>
          <w:szCs w:val="32"/>
          <w:highlight w:val="none"/>
          <w:lang w:val="zh-CN"/>
        </w:rPr>
      </w:pPr>
      <w:r>
        <w:rPr>
          <w:rFonts w:hint="eastAsia" w:ascii="Times New Roman" w:hAnsi="Times New Roman" w:eastAsia="仿宋_GB2312" w:cs="仿宋_GB2312"/>
          <w:color w:val="000000"/>
          <w:sz w:val="32"/>
          <w:szCs w:val="32"/>
          <w:highlight w:val="none"/>
          <w:lang w:val="zh-CN"/>
        </w:rPr>
        <w:t xml:space="preserve">单位名称（盖章）：</w:t>
      </w:r>
      <w:r>
        <w:rPr>
          <w:rFonts w:ascii="Times New Roman" w:hAnsi="Times New Roman" w:eastAsia="仿宋_GB2312" w:cs="仿宋_GB2312"/>
          <w:color w:val="000000"/>
          <w:sz w:val="32"/>
          <w:szCs w:val="32"/>
          <w:highlight w:val="none"/>
          <w:lang w:val="zh-CN"/>
        </w:rPr>
      </w:r>
      <w:r/>
    </w:p>
    <w:p>
      <w:pPr>
        <w:pStyle w:val="777"/>
        <w:ind w:firstLine="0"/>
        <w:jc w:val="both"/>
        <w:pageBreakBefore w:val="0"/>
        <w:spacing w:line="360" w:lineRule="auto"/>
        <w:rPr>
          <w:rFonts w:hint="eastAsia" w:ascii="Times New Roman" w:hAnsi="Times New Roman" w:eastAsia="仿宋_GB2312" w:cs="仿宋_GB2312"/>
          <w:color w:val="000000"/>
          <w:sz w:val="32"/>
          <w:szCs w:val="32"/>
          <w:highlight w:val="none"/>
          <w:lang w:val="zh-CN"/>
        </w:rPr>
      </w:pPr>
      <w:r>
        <w:rPr>
          <w:rFonts w:hint="eastAsia" w:ascii="Times New Roman" w:hAnsi="Times New Roman" w:eastAsia="仿宋_GB2312" w:cs="仿宋_GB2312"/>
          <w:color w:val="000000"/>
          <w:sz w:val="32"/>
          <w:szCs w:val="32"/>
          <w:highlight w:val="none"/>
          <w:lang w:val="zh-CN"/>
        </w:rPr>
        <w:t xml:space="preserve"> 日  期：</w:t>
      </w:r>
      <w:r>
        <w:rPr>
          <w:rFonts w:hint="eastAsia" w:ascii="Times New Roman" w:hAnsi="Times New Roman" w:eastAsia="仿宋_GB2312" w:cs="仿宋_GB2312"/>
          <w:color w:val="000000"/>
          <w:sz w:val="32"/>
          <w:szCs w:val="32"/>
          <w:highlight w:val="none"/>
          <w:lang w:val="zh-CN"/>
        </w:rPr>
      </w:r>
      <w:r/>
    </w:p>
    <w:sectPr>
      <w:footnotePr/>
      <w:endnotePr/>
      <w:type w:val="nextPage"/>
      <w:pgSz w:w="11906" w:h="16838" w:orient="portrait"/>
      <w:pgMar w:top="2098" w:right="1474" w:bottom="1984" w:left="1587" w:header="1417" w:footer="141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简体">
    <w:panose1 w:val="020B0503020202020204"/>
  </w:font>
  <w:font w:name="楷体">
    <w:panose1 w:val="02010609060101010101"/>
  </w:font>
  <w:font w:name="宋体">
    <w:panose1 w:val="02010600030101010101"/>
  </w:font>
  <w:font w:name="方正小标宋简体">
    <w:panose1 w:val="020B0503020202020204"/>
  </w:font>
  <w:font w:name="黑体">
    <w:panose1 w:val="02010609060101010101"/>
  </w:font>
  <w:font w:name="仿宋_GB2312">
    <w:panose1 w:val="02010609060101010101"/>
  </w:font>
  <w:font w:name="楷体_GB2312">
    <w:panose1 w:val="02010609060101010101"/>
  </w:font>
  <w:font w:name="仿宋">
    <w:panose1 w:val="02010609060101010101"/>
  </w:font>
  <w:font w:name="Times New Roman">
    <w:panose1 w:val="02020603050405020304"/>
  </w:font>
  <w:font w:name="创艺简仿宋">
    <w:panose1 w:val="020B0503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6"/>
                            <w:tabs>
                              <w:tab w:val="clear" w:pos="7143" w:leader="none"/>
                              <w:tab w:val="clear" w:pos="14287" w:leader="none"/>
                            </w:tabs>
                          </w:pPr>
                          <w:r>
                            <w:t xml:space="preserve">— </w:t>
                          </w:r>
                          <w:r>
                            <w:fldChar w:fldCharType="begin"/>
                          </w:r>
                          <w:r>
                            <w:instrText xml:space="preserve"> PAGE  \* MERGEFORMAT </w:instrText>
                          </w:r>
                          <w:r>
                            <w:fldChar w:fldCharType="separate"/>
                          </w:r>
                          <w:r>
                            <w:t xml:space="preserve">53</w:t>
                          </w:r>
                          <w:r>
                            <w:fldChar w:fldCharType="end"/>
                          </w:r>
                          <w:r>
                            <w:t xml:space="preserve"> —</w:t>
                          </w:r>
                          <w:r/>
                        </w:p>
                        <w:p>
                          <w:pPr>
                            <w:pStyle w:val="77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6"/>
                      <w:tabs>
                        <w:tab w:val="clear" w:pos="7143" w:leader="none"/>
                        <w:tab w:val="clear" w:pos="14287" w:leader="none"/>
                      </w:tabs>
                    </w:pPr>
                    <w:r>
                      <w:t xml:space="preserve">— </w:t>
                    </w:r>
                    <w:r>
                      <w:fldChar w:fldCharType="begin"/>
                    </w:r>
                    <w:r>
                      <w:instrText xml:space="preserve"> PAGE  \* MERGEFORMAT </w:instrText>
                    </w:r>
                    <w:r>
                      <w:fldChar w:fldCharType="separate"/>
                    </w:r>
                    <w:r>
                      <w:t xml:space="preserve">53</w:t>
                    </w:r>
                    <w:r>
                      <w:fldChar w:fldCharType="end"/>
                    </w:r>
                    <w:r>
                      <w:t xml:space="preserve"> —</w:t>
                    </w:r>
                    <w:r/>
                  </w:p>
                  <w:p>
                    <w:pPr>
                      <w:pStyle w:val="77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6"/>
                            <w:tabs>
                              <w:tab w:val="clear" w:pos="7143" w:leader="none"/>
                              <w:tab w:val="clear" w:pos="14287"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77"/>
                          </w:pPr>
                          <w:r/>
                          <w:r/>
                        </w:p>
                      </w:txbxContent>
                    </wps:txbx>
                    <wps:bodyPr wrap="none" lIns="203200" tIns="0" rIns="20320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outside;mso-position-vertical-relative:text;margin-top:1.0pt;mso-position-vertical:absolute;width:144.0pt;height:144.0pt;mso-wrap-distance-left:9.0pt;mso-wrap-distance-top:0.0pt;mso-wrap-distance-right:9.0pt;mso-wrap-distance-bottom:0.0pt;visibility:visible;" filled="f" stroked="f" strokeweight="0.50pt">
              <v:textbox inset="0,0,0,0">
                <w:txbxContent>
                  <w:p>
                    <w:pPr>
                      <w:pStyle w:val="966"/>
                      <w:tabs>
                        <w:tab w:val="clear" w:pos="7143" w:leader="none"/>
                        <w:tab w:val="clear" w:pos="14287"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77"/>
                    </w:pPr>
                    <w:r/>
                    <w:r/>
                  </w:p>
                </w:txbxContent>
              </v:textbox>
            </v:shape>
          </w:pict>
        </mc:Fallback>
      </mc:AlternateContent>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7143" w:leader="none"/>
        <w:tab w:val="right" w:pos="14287"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right"/>
      <w:tabs>
        <w:tab w:val="center" w:pos="4153" w:leader="none"/>
        <w:tab w:val="right" w:pos="8306" w:leader="none"/>
      </w:tabs>
      <w:rPr>
        <w:u w:val="none"/>
      </w:rPr>
      <w:pBdr>
        <w:bottom w:val="single" w:color="000000" w:sz="4" w:space="0"/>
      </w:pBdr>
    </w:pPr>
    <w:r>
      <w:rPr>
        <w:rFonts w:hint="eastAsia" w:ascii="宋体" w:hAnsi="宋体" w:cs="宋体"/>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-8254</wp:posOffset>
              </wp:positionH>
              <wp:positionV relativeFrom="paragraph">
                <wp:posOffset>24765</wp:posOffset>
              </wp:positionV>
              <wp:extent cx="574040" cy="2692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6pt;mso-position-horizontal:absolute;mso-position-vertical-relative:text;margin-top:1.9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sz w:val="21"/>
        <w:szCs w:val="21"/>
      </w:rPr>
      <w:t xml:space="preserve">苏州卫康招标文件                   </w:t>
    </w:r>
    <w:r>
      <w:rPr>
        <w:rFonts w:hint="eastAsia" w:cs="仿宋_GB2312"/>
        <w:color w:val="000000"/>
        <w:sz w:val="21"/>
        <w:szCs w:val="21"/>
        <w:highlight w:val="none"/>
        <w:lang w:eastAsia="zh-CN"/>
      </w:rPr>
      <w:t xml:space="preserve">JSZC-320505-SZWK-C2026-0221</w:t>
    </w:r>
    <w:r>
      <w:rPr>
        <w:rFonts w:hint="eastAsia"/>
        <w:sz w:val="21"/>
        <w:szCs w:val="21"/>
      </w:rPr>
      <w:t xml:space="preserve">号</w:t>
    </w:r>
    <w:r>
      <w:rPr>
        <w:u w:val="non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Title"/>
    <w:basedOn w:val="777"/>
    <w:next w:val="777"/>
    <w:link w:val="818"/>
    <w:uiPriority w:val="10"/>
    <w:qFormat/>
    <w:pPr>
      <w:contextualSpacing/>
      <w:spacing w:before="300" w:after="200"/>
    </w:pPr>
    <w:rPr>
      <w:sz w:val="48"/>
      <w:szCs w:val="48"/>
    </w:rPr>
  </w:style>
  <w:style w:type="paragraph" w:styleId="757">
    <w:name w:val="Subtitle"/>
    <w:basedOn w:val="777"/>
    <w:next w:val="777"/>
    <w:link w:val="819"/>
    <w:uiPriority w:val="11"/>
    <w:qFormat/>
    <w:pPr>
      <w:spacing w:before="200" w:after="200"/>
    </w:pPr>
    <w:rPr>
      <w:sz w:val="24"/>
      <w:szCs w:val="24"/>
    </w:rPr>
  </w:style>
  <w:style w:type="paragraph" w:styleId="758">
    <w:name w:val="Header"/>
    <w:basedOn w:val="777"/>
    <w:link w:val="824"/>
    <w:uiPriority w:val="99"/>
    <w:unhideWhenUsed/>
    <w:pPr>
      <w:spacing w:after="0" w:line="240" w:lineRule="auto"/>
      <w:tabs>
        <w:tab w:val="center" w:pos="7143" w:leader="none"/>
        <w:tab w:val="right" w:pos="14287" w:leader="none"/>
      </w:tabs>
    </w:pPr>
  </w:style>
  <w:style w:type="paragraph" w:styleId="759">
    <w:name w:val="Footer"/>
    <w:basedOn w:val="777"/>
    <w:link w:val="827"/>
    <w:uiPriority w:val="99"/>
    <w:unhideWhenUsed/>
    <w:pPr>
      <w:spacing w:after="0" w:line="240" w:lineRule="auto"/>
      <w:tabs>
        <w:tab w:val="center" w:pos="7143" w:leader="none"/>
        <w:tab w:val="right" w:pos="14287" w:leader="none"/>
      </w:tabs>
    </w:pPr>
  </w:style>
  <w:style w:type="paragraph" w:styleId="760">
    <w:name w:val="Caption"/>
    <w:basedOn w:val="777"/>
    <w:next w:val="777"/>
    <w:uiPriority w:val="35"/>
    <w:semiHidden/>
    <w:unhideWhenUsed/>
    <w:qFormat/>
    <w:pPr>
      <w:spacing w:line="276" w:lineRule="auto"/>
    </w:pPr>
    <w:rPr>
      <w:b/>
      <w:bCs/>
      <w:color w:val="4f81bd" w:themeColor="accent1"/>
      <w:sz w:val="18"/>
      <w:szCs w:val="18"/>
    </w:rPr>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Hyperlink"/>
    <w:uiPriority w:val="99"/>
    <w:unhideWhenUsed/>
    <w:rPr>
      <w:color w:val="0000ff" w:themeColor="hyperlink"/>
      <w:u w:val="single"/>
    </w:rPr>
  </w:style>
  <w:style w:type="paragraph" w:styleId="763">
    <w:name w:val="footnote text"/>
    <w:basedOn w:val="777"/>
    <w:link w:val="795"/>
    <w:uiPriority w:val="99"/>
    <w:semiHidden/>
    <w:unhideWhenUsed/>
    <w:pPr>
      <w:spacing w:after="40" w:line="240" w:lineRule="auto"/>
    </w:pPr>
    <w:rPr>
      <w:sz w:val="18"/>
    </w:rPr>
  </w:style>
  <w:style w:type="character" w:styleId="764">
    <w:name w:val="footnote reference"/>
    <w:uiPriority w:val="99"/>
    <w:unhideWhenUsed/>
    <w:rPr>
      <w:vertAlign w:val="superscript"/>
    </w:rPr>
  </w:style>
  <w:style w:type="paragraph" w:styleId="765">
    <w:name w:val="endnote text"/>
    <w:basedOn w:val="777"/>
    <w:link w:val="789"/>
    <w:uiPriority w:val="99"/>
    <w:semiHidden/>
    <w:unhideWhenUsed/>
    <w:pPr>
      <w:spacing w:after="0" w:line="240" w:lineRule="auto"/>
    </w:pPr>
    <w:rPr>
      <w:sz w:val="20"/>
    </w:rPr>
  </w:style>
  <w:style w:type="character" w:styleId="766">
    <w:name w:val="endnote reference"/>
    <w:uiPriority w:val="99"/>
    <w:semiHidden/>
    <w:unhideWhenUsed/>
    <w:rPr>
      <w:vertAlign w:val="superscript"/>
    </w:rPr>
  </w:style>
  <w:style w:type="paragraph" w:styleId="767">
    <w:name w:val="toc 1"/>
    <w:basedOn w:val="777"/>
    <w:next w:val="777"/>
    <w:uiPriority w:val="39"/>
    <w:unhideWhenUsed/>
    <w:pPr>
      <w:ind w:left="0" w:right="0" w:firstLine="0"/>
      <w:spacing w:after="57"/>
    </w:pPr>
  </w:style>
  <w:style w:type="paragraph" w:styleId="768">
    <w:name w:val="toc 2"/>
    <w:basedOn w:val="777"/>
    <w:next w:val="777"/>
    <w:uiPriority w:val="39"/>
    <w:unhideWhenUsed/>
    <w:pPr>
      <w:ind w:left="283" w:right="0" w:firstLine="0"/>
      <w:spacing w:after="57"/>
    </w:pPr>
  </w:style>
  <w:style w:type="paragraph" w:styleId="769">
    <w:name w:val="toc 3"/>
    <w:basedOn w:val="777"/>
    <w:next w:val="777"/>
    <w:uiPriority w:val="39"/>
    <w:unhideWhenUsed/>
    <w:pPr>
      <w:ind w:left="567" w:right="0" w:firstLine="0"/>
      <w:spacing w:after="57"/>
    </w:pPr>
  </w:style>
  <w:style w:type="paragraph" w:styleId="770">
    <w:name w:val="toc 4"/>
    <w:basedOn w:val="777"/>
    <w:next w:val="777"/>
    <w:uiPriority w:val="39"/>
    <w:unhideWhenUsed/>
    <w:pPr>
      <w:ind w:left="850" w:right="0" w:firstLine="0"/>
      <w:spacing w:after="57"/>
    </w:pPr>
  </w:style>
  <w:style w:type="paragraph" w:styleId="771">
    <w:name w:val="toc 5"/>
    <w:basedOn w:val="777"/>
    <w:next w:val="777"/>
    <w:uiPriority w:val="39"/>
    <w:unhideWhenUsed/>
    <w:pPr>
      <w:ind w:left="1134" w:right="0" w:firstLine="0"/>
      <w:spacing w:after="57"/>
    </w:pPr>
  </w:style>
  <w:style w:type="paragraph" w:styleId="772">
    <w:name w:val="toc 6"/>
    <w:basedOn w:val="777"/>
    <w:next w:val="777"/>
    <w:uiPriority w:val="39"/>
    <w:unhideWhenUsed/>
    <w:pPr>
      <w:ind w:left="1417" w:right="0" w:firstLine="0"/>
      <w:spacing w:after="57"/>
    </w:pPr>
  </w:style>
  <w:style w:type="paragraph" w:styleId="773">
    <w:name w:val="toc 7"/>
    <w:basedOn w:val="777"/>
    <w:next w:val="777"/>
    <w:uiPriority w:val="39"/>
    <w:unhideWhenUsed/>
    <w:pPr>
      <w:ind w:left="1701" w:right="0" w:firstLine="0"/>
      <w:spacing w:after="57"/>
    </w:pPr>
  </w:style>
  <w:style w:type="paragraph" w:styleId="774">
    <w:name w:val="toc 8"/>
    <w:basedOn w:val="777"/>
    <w:next w:val="777"/>
    <w:uiPriority w:val="39"/>
    <w:unhideWhenUsed/>
    <w:pPr>
      <w:ind w:left="1984" w:right="0" w:firstLine="0"/>
      <w:spacing w:after="57"/>
    </w:pPr>
  </w:style>
  <w:style w:type="paragraph" w:styleId="775">
    <w:name w:val="toc 9"/>
    <w:basedOn w:val="777"/>
    <w:next w:val="777"/>
    <w:uiPriority w:val="39"/>
    <w:unhideWhenUsed/>
    <w:pPr>
      <w:ind w:left="2268" w:right="0" w:firstLine="0"/>
      <w:spacing w:after="57"/>
    </w:pPr>
  </w:style>
  <w:style w:type="paragraph" w:styleId="776">
    <w:name w:val="table of figures"/>
    <w:basedOn w:val="777"/>
    <w:next w:val="777"/>
    <w:uiPriority w:val="99"/>
    <w:unhideWhenUsed/>
    <w:pPr>
      <w:spacing w:after="0" w:afterAutospacing="0"/>
    </w:pPr>
  </w:style>
  <w:style w:type="paragraph" w:styleId="777" w:default="1">
    <w:name w:val="Normal"/>
    <w:next w:val="777"/>
    <w:link w:val="777"/>
    <w:qFormat/>
    <w:pPr>
      <w:jc w:val="both"/>
      <w:spacing w:before="20" w:after="20" w:line="580" w:lineRule="exact"/>
      <w:widowControl w:val="off"/>
    </w:pPr>
    <w:rPr>
      <w:rFonts w:ascii="Calibri" w:hAnsi="Calibri" w:eastAsia="仿宋" w:cs="Times New Roman"/>
      <w:sz w:val="32"/>
      <w:szCs w:val="24"/>
      <w:lang w:eastAsia="zh-CN"/>
    </w:rPr>
  </w:style>
  <w:style w:type="character" w:styleId="778">
    <w:name w:val="默认段落字体"/>
    <w:next w:val="778"/>
    <w:link w:val="777"/>
    <w:semiHidden/>
    <w:qFormat/>
  </w:style>
  <w:style w:type="table" w:styleId="779">
    <w:name w:val="普通表格"/>
    <w:next w:val="779"/>
    <w:link w:val="777"/>
    <w:semiHidden/>
    <w:qFormat/>
    <w:tblPr/>
  </w:style>
  <w:style w:type="paragraph" w:styleId="780">
    <w:name w:val="目录 7"/>
    <w:basedOn w:val="777"/>
    <w:next w:val="777"/>
    <w:link w:val="777"/>
    <w:uiPriority w:val="39"/>
    <w:unhideWhenUsed/>
    <w:pPr>
      <w:ind w:left="1701" w:right="0" w:firstLine="0"/>
      <w:spacing w:after="57"/>
    </w:pPr>
  </w:style>
  <w:style w:type="paragraph" w:styleId="781">
    <w:name w:val="正文缩进"/>
    <w:basedOn w:val="777"/>
    <w:next w:val="781"/>
    <w:link w:val="777"/>
    <w:qFormat/>
    <w:pPr>
      <w:ind w:firstLine="420"/>
    </w:pPr>
    <w:rPr>
      <w:rFonts w:eastAsia="楷体_GB2312"/>
    </w:rPr>
  </w:style>
  <w:style w:type="paragraph" w:styleId="782">
    <w:name w:val="批注文字"/>
    <w:basedOn w:val="777"/>
    <w:next w:val="782"/>
    <w:link w:val="777"/>
    <w:pPr>
      <w:jc w:val="left"/>
    </w:pPr>
  </w:style>
  <w:style w:type="paragraph" w:styleId="783">
    <w:name w:val="正文文本"/>
    <w:next w:val="783"/>
    <w:link w:val="777"/>
    <w:uiPriority w:val="99"/>
    <w:unhideWhenUsed/>
    <w:qFormat/>
    <w:pPr>
      <w:ind w:firstLine="630"/>
      <w:jc w:val="both"/>
      <w:spacing w:line="560" w:lineRule="exact"/>
    </w:pPr>
    <w:rPr>
      <w:rFonts w:ascii="Times New Roman" w:hAnsi="Times New Roman" w:eastAsia="仿宋_GB2312" w:cs="仿宋_GB2312"/>
      <w:spacing w:val="-6"/>
      <w:sz w:val="32"/>
      <w:szCs w:val="32"/>
    </w:rPr>
  </w:style>
  <w:style w:type="paragraph" w:styleId="784">
    <w:name w:val="正文文本缩进"/>
    <w:basedOn w:val="777"/>
    <w:next w:val="784"/>
    <w:link w:val="777"/>
    <w:qFormat/>
    <w:pPr>
      <w:ind w:left="420" w:firstLine="1188"/>
      <w:spacing w:line="360" w:lineRule="exact"/>
    </w:pPr>
    <w:rPr>
      <w:szCs w:val="24"/>
    </w:rPr>
  </w:style>
  <w:style w:type="paragraph" w:styleId="785">
    <w:name w:val="目录 5"/>
    <w:basedOn w:val="777"/>
    <w:next w:val="777"/>
    <w:link w:val="777"/>
    <w:uiPriority w:val="39"/>
    <w:unhideWhenUsed/>
    <w:pPr>
      <w:ind w:left="1134" w:right="0" w:firstLine="0"/>
      <w:spacing w:after="57"/>
    </w:pPr>
  </w:style>
  <w:style w:type="paragraph" w:styleId="786">
    <w:name w:val="目录 3"/>
    <w:basedOn w:val="777"/>
    <w:next w:val="777"/>
    <w:link w:val="777"/>
    <w:uiPriority w:val="39"/>
    <w:unhideWhenUsed/>
    <w:pPr>
      <w:ind w:left="567" w:right="0" w:firstLine="0"/>
      <w:spacing w:after="57"/>
    </w:pPr>
  </w:style>
  <w:style w:type="paragraph" w:styleId="787">
    <w:name w:val="目录 8"/>
    <w:basedOn w:val="777"/>
    <w:next w:val="777"/>
    <w:link w:val="777"/>
    <w:uiPriority w:val="39"/>
    <w:unhideWhenUsed/>
    <w:pPr>
      <w:ind w:left="1984" w:right="0" w:firstLine="0"/>
      <w:spacing w:after="57"/>
    </w:pPr>
  </w:style>
  <w:style w:type="paragraph" w:styleId="788">
    <w:name w:val="尾注文本"/>
    <w:basedOn w:val="777"/>
    <w:next w:val="788"/>
    <w:link w:val="789"/>
    <w:uiPriority w:val="99"/>
    <w:unhideWhenUsed/>
    <w:pPr>
      <w:spacing w:after="0" w:line="240" w:lineRule="auto"/>
    </w:pPr>
    <w:rPr>
      <w:sz w:val="20"/>
    </w:rPr>
  </w:style>
  <w:style w:type="character" w:styleId="789">
    <w:name w:val="Endnote Text Char"/>
    <w:next w:val="789"/>
    <w:link w:val="788"/>
    <w:uiPriority w:val="99"/>
    <w:rPr>
      <w:sz w:val="20"/>
    </w:rPr>
  </w:style>
  <w:style w:type="paragraph" w:styleId="790">
    <w:name w:val="页脚"/>
    <w:basedOn w:val="777"/>
    <w:next w:val="790"/>
    <w:link w:val="777"/>
    <w:uiPriority w:val="99"/>
    <w:unhideWhenUsed/>
    <w:pPr>
      <w:jc w:val="left"/>
      <w:tabs>
        <w:tab w:val="center" w:pos="4153" w:leader="none"/>
        <w:tab w:val="right" w:pos="8306" w:leader="none"/>
      </w:tabs>
    </w:pPr>
    <w:rPr>
      <w:sz w:val="18"/>
    </w:rPr>
  </w:style>
  <w:style w:type="paragraph" w:styleId="791">
    <w:name w:val="目录 1"/>
    <w:basedOn w:val="777"/>
    <w:next w:val="777"/>
    <w:link w:val="777"/>
    <w:uiPriority w:val="39"/>
    <w:unhideWhenUsed/>
    <w:pPr>
      <w:ind w:left="0" w:right="0" w:firstLine="0"/>
      <w:spacing w:after="57"/>
    </w:pPr>
  </w:style>
  <w:style w:type="paragraph" w:styleId="792">
    <w:name w:val="目录 4"/>
    <w:basedOn w:val="777"/>
    <w:next w:val="777"/>
    <w:link w:val="777"/>
    <w:uiPriority w:val="39"/>
    <w:unhideWhenUsed/>
    <w:pPr>
      <w:ind w:left="850" w:right="0" w:firstLine="0"/>
      <w:spacing w:after="57"/>
    </w:pPr>
  </w:style>
  <w:style w:type="paragraph" w:styleId="793">
    <w:name w:val="副标题"/>
    <w:next w:val="793"/>
    <w:link w:val="777"/>
    <w:qFormat/>
    <w:pPr>
      <w:jc w:val="center"/>
      <w:spacing w:beforeAutospacing="0" w:afterAutospacing="0" w:line="720" w:lineRule="exact"/>
      <w:outlineLvl w:val="9"/>
    </w:pPr>
    <w:rPr>
      <w:rFonts w:ascii="Times New Roman" w:hAnsi="Times New Roman" w:eastAsia="仿宋_GB2312" w:cs="仿宋_GB2312"/>
      <w:sz w:val="32"/>
      <w:szCs w:val="32"/>
    </w:rPr>
  </w:style>
  <w:style w:type="paragraph" w:styleId="794">
    <w:name w:val="脚注文本"/>
    <w:basedOn w:val="777"/>
    <w:next w:val="794"/>
    <w:link w:val="795"/>
    <w:uiPriority w:val="99"/>
    <w:unhideWhenUsed/>
    <w:pPr>
      <w:spacing w:after="40" w:line="240" w:lineRule="auto"/>
    </w:pPr>
    <w:rPr>
      <w:sz w:val="18"/>
    </w:rPr>
  </w:style>
  <w:style w:type="character" w:styleId="795">
    <w:name w:val="Footnote Text Char"/>
    <w:next w:val="795"/>
    <w:link w:val="794"/>
    <w:uiPriority w:val="99"/>
    <w:rPr>
      <w:sz w:val="18"/>
    </w:rPr>
  </w:style>
  <w:style w:type="paragraph" w:styleId="796">
    <w:name w:val="目录 6"/>
    <w:basedOn w:val="777"/>
    <w:next w:val="777"/>
    <w:link w:val="777"/>
    <w:uiPriority w:val="39"/>
    <w:unhideWhenUsed/>
    <w:pPr>
      <w:ind w:left="1417" w:right="0" w:firstLine="0"/>
      <w:spacing w:after="57"/>
    </w:pPr>
  </w:style>
  <w:style w:type="paragraph" w:styleId="797">
    <w:name w:val="图表目录"/>
    <w:basedOn w:val="777"/>
    <w:next w:val="777"/>
    <w:link w:val="777"/>
    <w:uiPriority w:val="99"/>
    <w:unhideWhenUsed/>
    <w:pPr>
      <w:spacing w:after="0" w:afterAutospacing="0"/>
    </w:pPr>
  </w:style>
  <w:style w:type="paragraph" w:styleId="798">
    <w:name w:val="目录 2"/>
    <w:basedOn w:val="777"/>
    <w:next w:val="777"/>
    <w:link w:val="777"/>
    <w:uiPriority w:val="39"/>
    <w:unhideWhenUsed/>
    <w:pPr>
      <w:ind w:left="283" w:right="0" w:firstLine="0"/>
      <w:spacing w:after="57"/>
    </w:pPr>
  </w:style>
  <w:style w:type="paragraph" w:styleId="799">
    <w:name w:val="目录 9"/>
    <w:basedOn w:val="777"/>
    <w:next w:val="777"/>
    <w:link w:val="777"/>
    <w:uiPriority w:val="39"/>
    <w:unhideWhenUsed/>
    <w:pPr>
      <w:ind w:left="2268" w:right="0" w:firstLine="0"/>
      <w:spacing w:after="57"/>
    </w:pPr>
  </w:style>
  <w:style w:type="paragraph" w:styleId="800">
    <w:name w:val="标题"/>
    <w:next w:val="777"/>
    <w:link w:val="777"/>
    <w:uiPriority w:val="10"/>
    <w:qFormat/>
    <w:pPr>
      <w:jc w:val="center"/>
      <w:spacing w:line="720" w:lineRule="exact"/>
      <w:outlineLvl w:val="9"/>
    </w:pPr>
    <w:rPr>
      <w:rFonts w:ascii="方正小标宋简体" w:hAnsi="方正小标宋简体" w:eastAsia="方正小标宋简体" w:cs="方正小标宋简体"/>
      <w:sz w:val="44"/>
      <w:szCs w:val="44"/>
    </w:rPr>
  </w:style>
  <w:style w:type="paragraph" w:styleId="801">
    <w:name w:val="正文首行缩进 2"/>
    <w:next w:val="801"/>
    <w:link w:val="777"/>
    <w:uiPriority w:val="99"/>
    <w:unhideWhenUsed/>
    <w:qFormat/>
    <w:pPr>
      <w:ind w:left="420" w:firstLine="420"/>
      <w:jc w:val="both"/>
      <w:spacing w:after="120"/>
      <w:widowControl w:val="off"/>
    </w:pPr>
    <w:rPr>
      <w:rFonts w:ascii="Calibri" w:hAnsi="Calibri" w:eastAsia="宋体" w:cs="Times New Roman"/>
      <w:sz w:val="21"/>
      <w:lang w:eastAsia="zh-CN"/>
    </w:rPr>
  </w:style>
  <w:style w:type="table" w:styleId="802">
    <w:name w:val="网格型"/>
    <w:basedOn w:val="779"/>
    <w:next w:val="802"/>
    <w:link w:val="777"/>
    <w:uiPriority w:val="59"/>
    <w:pPr>
      <w:spacing w:after="0" w:line="240" w:lineRule="auto"/>
    </w:pPr>
    <w:tblPr/>
  </w:style>
  <w:style w:type="character" w:styleId="803">
    <w:name w:val="尾注引用"/>
    <w:basedOn w:val="778"/>
    <w:next w:val="803"/>
    <w:link w:val="777"/>
    <w:uiPriority w:val="99"/>
    <w:unhideWhenUsed/>
    <w:rPr>
      <w:vertAlign w:val="superscript"/>
    </w:rPr>
  </w:style>
  <w:style w:type="character" w:styleId="804">
    <w:name w:val="超链接"/>
    <w:next w:val="804"/>
    <w:link w:val="777"/>
    <w:uiPriority w:val="99"/>
    <w:unhideWhenUsed/>
    <w:rPr>
      <w:color w:val="0000ff"/>
      <w:u w:val="single"/>
    </w:rPr>
  </w:style>
  <w:style w:type="character" w:styleId="805">
    <w:name w:val="批注引用"/>
    <w:basedOn w:val="778"/>
    <w:next w:val="805"/>
    <w:link w:val="777"/>
    <w:qFormat/>
    <w:rPr>
      <w:sz w:val="20"/>
    </w:rPr>
  </w:style>
  <w:style w:type="character" w:styleId="806">
    <w:name w:val="脚注引用"/>
    <w:basedOn w:val="778"/>
    <w:next w:val="806"/>
    <w:link w:val="777"/>
    <w:uiPriority w:val="99"/>
    <w:unhideWhenUsed/>
    <w:rPr>
      <w:vertAlign w:val="superscript"/>
    </w:rPr>
  </w:style>
  <w:style w:type="character" w:styleId="807">
    <w:name w:val="Heading 1 Char"/>
    <w:basedOn w:val="778"/>
    <w:next w:val="807"/>
    <w:link w:val="777"/>
    <w:uiPriority w:val="9"/>
    <w:rPr>
      <w:rFonts w:ascii="Arial" w:hAnsi="Arial" w:eastAsia="Arial" w:cs="Arial"/>
      <w:sz w:val="40"/>
      <w:szCs w:val="40"/>
    </w:rPr>
  </w:style>
  <w:style w:type="character" w:styleId="808">
    <w:name w:val="Heading 2 Char"/>
    <w:basedOn w:val="778"/>
    <w:next w:val="808"/>
    <w:link w:val="777"/>
    <w:uiPriority w:val="9"/>
    <w:rPr>
      <w:rFonts w:ascii="Arial" w:hAnsi="Arial" w:eastAsia="Arial" w:cs="Arial"/>
      <w:sz w:val="34"/>
    </w:rPr>
  </w:style>
  <w:style w:type="character" w:styleId="809">
    <w:name w:val="Heading 3 Char"/>
    <w:basedOn w:val="778"/>
    <w:next w:val="809"/>
    <w:link w:val="777"/>
    <w:uiPriority w:val="9"/>
    <w:rPr>
      <w:rFonts w:ascii="Arial" w:hAnsi="Arial" w:eastAsia="Arial" w:cs="Arial"/>
      <w:sz w:val="30"/>
      <w:szCs w:val="30"/>
    </w:rPr>
  </w:style>
  <w:style w:type="character" w:styleId="810">
    <w:name w:val="Heading 4 Char"/>
    <w:basedOn w:val="778"/>
    <w:next w:val="810"/>
    <w:link w:val="777"/>
    <w:uiPriority w:val="9"/>
    <w:rPr>
      <w:rFonts w:ascii="Arial" w:hAnsi="Arial" w:eastAsia="Arial" w:cs="Arial"/>
      <w:b/>
      <w:bCs/>
      <w:sz w:val="26"/>
      <w:szCs w:val="26"/>
    </w:rPr>
  </w:style>
  <w:style w:type="character" w:styleId="811">
    <w:name w:val="Heading 5 Char"/>
    <w:basedOn w:val="778"/>
    <w:next w:val="811"/>
    <w:link w:val="777"/>
    <w:uiPriority w:val="9"/>
    <w:rPr>
      <w:rFonts w:ascii="Arial" w:hAnsi="Arial" w:eastAsia="Arial" w:cs="Arial"/>
      <w:b/>
      <w:bCs/>
      <w:sz w:val="24"/>
      <w:szCs w:val="24"/>
    </w:rPr>
  </w:style>
  <w:style w:type="character" w:styleId="812">
    <w:name w:val="Heading 6 Char"/>
    <w:basedOn w:val="778"/>
    <w:next w:val="812"/>
    <w:link w:val="777"/>
    <w:uiPriority w:val="9"/>
    <w:rPr>
      <w:rFonts w:ascii="Arial" w:hAnsi="Arial" w:eastAsia="Arial" w:cs="Arial"/>
      <w:b/>
      <w:bCs/>
      <w:sz w:val="22"/>
      <w:szCs w:val="22"/>
    </w:rPr>
  </w:style>
  <w:style w:type="character" w:styleId="813">
    <w:name w:val="Heading 7 Char"/>
    <w:basedOn w:val="778"/>
    <w:next w:val="813"/>
    <w:link w:val="777"/>
    <w:uiPriority w:val="9"/>
    <w:rPr>
      <w:rFonts w:ascii="Arial" w:hAnsi="Arial" w:eastAsia="Arial" w:cs="Arial"/>
      <w:b/>
      <w:bCs/>
      <w:i/>
      <w:iCs/>
      <w:sz w:val="22"/>
      <w:szCs w:val="22"/>
    </w:rPr>
  </w:style>
  <w:style w:type="character" w:styleId="814">
    <w:name w:val="Heading 8 Char"/>
    <w:basedOn w:val="778"/>
    <w:next w:val="814"/>
    <w:link w:val="777"/>
    <w:uiPriority w:val="9"/>
    <w:rPr>
      <w:rFonts w:ascii="Arial" w:hAnsi="Arial" w:eastAsia="Arial" w:cs="Arial"/>
      <w:i/>
      <w:iCs/>
      <w:sz w:val="22"/>
      <w:szCs w:val="22"/>
    </w:rPr>
  </w:style>
  <w:style w:type="character" w:styleId="815">
    <w:name w:val="Heading 9 Char"/>
    <w:basedOn w:val="778"/>
    <w:next w:val="815"/>
    <w:link w:val="777"/>
    <w:uiPriority w:val="9"/>
    <w:rPr>
      <w:rFonts w:ascii="Arial" w:hAnsi="Arial" w:eastAsia="Arial" w:cs="Arial"/>
      <w:i/>
      <w:iCs/>
      <w:sz w:val="21"/>
      <w:szCs w:val="21"/>
    </w:rPr>
  </w:style>
  <w:style w:type="paragraph" w:styleId="816">
    <w:name w:val="List Paragraph"/>
    <w:basedOn w:val="777"/>
    <w:next w:val="816"/>
    <w:link w:val="777"/>
    <w:uiPriority w:val="34"/>
    <w:qFormat/>
    <w:pPr>
      <w:contextualSpacing/>
      <w:ind w:left="720"/>
    </w:pPr>
  </w:style>
  <w:style w:type="paragraph" w:styleId="817">
    <w:name w:val="No Spacing"/>
    <w:next w:val="817"/>
    <w:link w:val="777"/>
    <w:uiPriority w:val="1"/>
    <w:qFormat/>
    <w:pPr>
      <w:spacing w:before="0" w:after="0" w:line="240" w:lineRule="auto"/>
    </w:pPr>
  </w:style>
  <w:style w:type="character" w:styleId="818">
    <w:name w:val="Title Char"/>
    <w:basedOn w:val="778"/>
    <w:next w:val="818"/>
    <w:link w:val="777"/>
    <w:uiPriority w:val="10"/>
    <w:rPr>
      <w:sz w:val="48"/>
      <w:szCs w:val="48"/>
    </w:rPr>
  </w:style>
  <w:style w:type="character" w:styleId="819">
    <w:name w:val="Subtitle Char"/>
    <w:basedOn w:val="778"/>
    <w:next w:val="819"/>
    <w:link w:val="777"/>
    <w:uiPriority w:val="11"/>
    <w:rPr>
      <w:sz w:val="24"/>
      <w:szCs w:val="24"/>
    </w:rPr>
  </w:style>
  <w:style w:type="paragraph" w:styleId="820">
    <w:name w:val="Quote"/>
    <w:basedOn w:val="777"/>
    <w:next w:val="777"/>
    <w:link w:val="821"/>
    <w:uiPriority w:val="29"/>
    <w:qFormat/>
    <w:pPr>
      <w:ind w:left="720" w:right="720"/>
    </w:pPr>
    <w:rPr>
      <w:i/>
    </w:rPr>
  </w:style>
  <w:style w:type="character" w:styleId="821">
    <w:name w:val="Quote Char"/>
    <w:next w:val="821"/>
    <w:link w:val="820"/>
    <w:uiPriority w:val="29"/>
    <w:rPr>
      <w:i/>
    </w:rPr>
  </w:style>
  <w:style w:type="paragraph" w:styleId="822">
    <w:name w:val="Intense Quote"/>
    <w:basedOn w:val="777"/>
    <w:next w:val="777"/>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next w:val="823"/>
    <w:link w:val="822"/>
    <w:uiPriority w:val="30"/>
    <w:rPr>
      <w:i/>
    </w:rPr>
  </w:style>
  <w:style w:type="character" w:styleId="824">
    <w:name w:val="Header Char"/>
    <w:basedOn w:val="778"/>
    <w:next w:val="824"/>
    <w:link w:val="777"/>
    <w:uiPriority w:val="99"/>
  </w:style>
  <w:style w:type="character" w:styleId="825">
    <w:name w:val="Footer Char"/>
    <w:basedOn w:val="778"/>
    <w:next w:val="825"/>
    <w:link w:val="777"/>
    <w:uiPriority w:val="99"/>
  </w:style>
  <w:style w:type="paragraph" w:styleId="826">
    <w:name w:val="Caption1"/>
    <w:basedOn w:val="777"/>
    <w:next w:val="777"/>
    <w:link w:val="777"/>
    <w:uiPriority w:val="35"/>
    <w:unhideWhenUsed/>
    <w:qFormat/>
    <w:pPr>
      <w:spacing w:line="276" w:lineRule="auto"/>
    </w:pPr>
    <w:rPr>
      <w:b/>
      <w:bCs/>
      <w:color w:val="4f81bd"/>
      <w:sz w:val="18"/>
      <w:szCs w:val="18"/>
    </w:rPr>
  </w:style>
  <w:style w:type="character" w:styleId="827">
    <w:name w:val="Caption Char"/>
    <w:next w:val="827"/>
    <w:link w:val="777"/>
    <w:uiPriority w:val="99"/>
  </w:style>
  <w:style w:type="table" w:styleId="828">
    <w:name w:val="Table Grid Light"/>
    <w:basedOn w:val="779"/>
    <w:next w:val="828"/>
    <w:link w:val="777"/>
    <w:uiPriority w:val="59"/>
    <w:pPr>
      <w:spacing w:after="0" w:line="240" w:lineRule="auto"/>
    </w:pPr>
    <w:tblPr/>
  </w:style>
  <w:style w:type="table" w:styleId="829">
    <w:name w:val="Plain Table 1"/>
    <w:basedOn w:val="779"/>
    <w:next w:val="829"/>
    <w:link w:val="777"/>
    <w:uiPriority w:val="59"/>
    <w:pPr>
      <w:spacing w:after="0" w:line="240" w:lineRule="auto"/>
    </w:pPr>
    <w:tblPr/>
  </w:style>
  <w:style w:type="table" w:styleId="830">
    <w:name w:val="Plain Table 2"/>
    <w:basedOn w:val="779"/>
    <w:next w:val="830"/>
    <w:link w:val="777"/>
    <w:uiPriority w:val="59"/>
    <w:pPr>
      <w:spacing w:after="0" w:line="240" w:lineRule="auto"/>
    </w:pPr>
    <w:tblPr/>
  </w:style>
  <w:style w:type="table" w:styleId="831">
    <w:name w:val="Plain Table 3"/>
    <w:basedOn w:val="779"/>
    <w:next w:val="831"/>
    <w:link w:val="777"/>
    <w:uiPriority w:val="99"/>
    <w:pPr>
      <w:spacing w:after="0" w:line="240" w:lineRule="auto"/>
    </w:pPr>
    <w:tblPr/>
  </w:style>
  <w:style w:type="table" w:styleId="832">
    <w:name w:val="Plain Table 4"/>
    <w:basedOn w:val="779"/>
    <w:next w:val="832"/>
    <w:link w:val="777"/>
    <w:uiPriority w:val="99"/>
    <w:pPr>
      <w:spacing w:after="0" w:line="240" w:lineRule="auto"/>
    </w:pPr>
    <w:tblPr/>
  </w:style>
  <w:style w:type="table" w:styleId="833">
    <w:name w:val="Plain Table 5"/>
    <w:basedOn w:val="779"/>
    <w:next w:val="833"/>
    <w:link w:val="777"/>
    <w:uiPriority w:val="99"/>
    <w:pPr>
      <w:spacing w:after="0" w:line="240" w:lineRule="auto"/>
    </w:pPr>
    <w:tblPr/>
  </w:style>
  <w:style w:type="table" w:styleId="834">
    <w:name w:val="Grid Table 1 Light"/>
    <w:basedOn w:val="779"/>
    <w:next w:val="834"/>
    <w:link w:val="777"/>
    <w:uiPriority w:val="99"/>
    <w:pPr>
      <w:spacing w:after="0" w:line="240" w:lineRule="auto"/>
    </w:pPr>
    <w:tblPr/>
  </w:style>
  <w:style w:type="table" w:styleId="835">
    <w:name w:val="Grid Table 1 Light - Accent 1"/>
    <w:basedOn w:val="779"/>
    <w:next w:val="835"/>
    <w:link w:val="777"/>
    <w:uiPriority w:val="99"/>
    <w:pPr>
      <w:spacing w:after="0" w:line="240" w:lineRule="auto"/>
    </w:pPr>
    <w:tblPr/>
  </w:style>
  <w:style w:type="table" w:styleId="836">
    <w:name w:val="Grid Table 1 Light - Accent 2"/>
    <w:basedOn w:val="779"/>
    <w:next w:val="836"/>
    <w:link w:val="777"/>
    <w:uiPriority w:val="99"/>
    <w:pPr>
      <w:spacing w:after="0" w:line="240" w:lineRule="auto"/>
    </w:pPr>
    <w:tblPr/>
  </w:style>
  <w:style w:type="table" w:styleId="837">
    <w:name w:val="Grid Table 1 Light - Accent 3"/>
    <w:basedOn w:val="779"/>
    <w:next w:val="837"/>
    <w:link w:val="777"/>
    <w:uiPriority w:val="99"/>
    <w:pPr>
      <w:spacing w:after="0" w:line="240" w:lineRule="auto"/>
    </w:pPr>
    <w:tblPr/>
  </w:style>
  <w:style w:type="table" w:styleId="838">
    <w:name w:val="Grid Table 1 Light - Accent 4"/>
    <w:basedOn w:val="779"/>
    <w:next w:val="838"/>
    <w:link w:val="777"/>
    <w:uiPriority w:val="99"/>
    <w:pPr>
      <w:spacing w:after="0" w:line="240" w:lineRule="auto"/>
    </w:pPr>
    <w:tblPr/>
  </w:style>
  <w:style w:type="table" w:styleId="839">
    <w:name w:val="Grid Table 1 Light - Accent 5"/>
    <w:basedOn w:val="779"/>
    <w:next w:val="839"/>
    <w:link w:val="777"/>
    <w:uiPriority w:val="99"/>
    <w:pPr>
      <w:spacing w:after="0" w:line="240" w:lineRule="auto"/>
    </w:pPr>
    <w:tblPr/>
  </w:style>
  <w:style w:type="table" w:styleId="840">
    <w:name w:val="Grid Table 1 Light - Accent 6"/>
    <w:basedOn w:val="779"/>
    <w:next w:val="840"/>
    <w:link w:val="777"/>
    <w:uiPriority w:val="99"/>
    <w:pPr>
      <w:spacing w:after="0" w:line="240" w:lineRule="auto"/>
    </w:pPr>
    <w:tblPr/>
  </w:style>
  <w:style w:type="table" w:styleId="841">
    <w:name w:val="Grid Table 2"/>
    <w:basedOn w:val="779"/>
    <w:next w:val="841"/>
    <w:link w:val="777"/>
    <w:uiPriority w:val="99"/>
    <w:pPr>
      <w:spacing w:after="0" w:line="240" w:lineRule="auto"/>
    </w:pPr>
    <w:tblPr/>
  </w:style>
  <w:style w:type="table" w:styleId="842">
    <w:name w:val="Grid Table 2 - Accent 1"/>
    <w:basedOn w:val="779"/>
    <w:next w:val="842"/>
    <w:link w:val="777"/>
    <w:uiPriority w:val="99"/>
    <w:pPr>
      <w:spacing w:after="0" w:line="240" w:lineRule="auto"/>
    </w:pPr>
    <w:tblPr/>
  </w:style>
  <w:style w:type="table" w:styleId="843">
    <w:name w:val="Grid Table 2 - Accent 2"/>
    <w:basedOn w:val="779"/>
    <w:next w:val="843"/>
    <w:link w:val="777"/>
    <w:uiPriority w:val="99"/>
    <w:pPr>
      <w:spacing w:after="0" w:line="240" w:lineRule="auto"/>
    </w:pPr>
    <w:tblPr/>
  </w:style>
  <w:style w:type="table" w:styleId="844">
    <w:name w:val="Grid Table 2 - Accent 3"/>
    <w:basedOn w:val="779"/>
    <w:next w:val="844"/>
    <w:link w:val="777"/>
    <w:uiPriority w:val="99"/>
    <w:pPr>
      <w:spacing w:after="0" w:line="240" w:lineRule="auto"/>
    </w:pPr>
    <w:tblPr/>
  </w:style>
  <w:style w:type="table" w:styleId="845">
    <w:name w:val="Grid Table 2 - Accent 4"/>
    <w:basedOn w:val="779"/>
    <w:next w:val="845"/>
    <w:link w:val="777"/>
    <w:uiPriority w:val="99"/>
    <w:pPr>
      <w:spacing w:after="0" w:line="240" w:lineRule="auto"/>
    </w:pPr>
    <w:tblPr/>
  </w:style>
  <w:style w:type="table" w:styleId="846">
    <w:name w:val="Grid Table 2 - Accent 5"/>
    <w:basedOn w:val="779"/>
    <w:next w:val="846"/>
    <w:link w:val="777"/>
    <w:uiPriority w:val="99"/>
    <w:pPr>
      <w:spacing w:after="0" w:line="240" w:lineRule="auto"/>
    </w:pPr>
    <w:tblPr/>
  </w:style>
  <w:style w:type="table" w:styleId="847">
    <w:name w:val="Grid Table 2 - Accent 6"/>
    <w:basedOn w:val="779"/>
    <w:next w:val="847"/>
    <w:link w:val="777"/>
    <w:uiPriority w:val="99"/>
    <w:pPr>
      <w:spacing w:after="0" w:line="240" w:lineRule="auto"/>
    </w:pPr>
    <w:tblPr/>
  </w:style>
  <w:style w:type="table" w:styleId="848">
    <w:name w:val="Grid Table 3"/>
    <w:basedOn w:val="779"/>
    <w:next w:val="848"/>
    <w:link w:val="777"/>
    <w:uiPriority w:val="99"/>
    <w:pPr>
      <w:spacing w:after="0" w:line="240" w:lineRule="auto"/>
    </w:pPr>
    <w:tblPr/>
  </w:style>
  <w:style w:type="table" w:styleId="849">
    <w:name w:val="Grid Table 3 - Accent 1"/>
    <w:basedOn w:val="779"/>
    <w:next w:val="849"/>
    <w:link w:val="777"/>
    <w:uiPriority w:val="99"/>
    <w:pPr>
      <w:spacing w:after="0" w:line="240" w:lineRule="auto"/>
    </w:pPr>
    <w:tblPr/>
  </w:style>
  <w:style w:type="table" w:styleId="850">
    <w:name w:val="Grid Table 3 - Accent 2"/>
    <w:basedOn w:val="779"/>
    <w:next w:val="850"/>
    <w:link w:val="777"/>
    <w:uiPriority w:val="99"/>
    <w:pPr>
      <w:spacing w:after="0" w:line="240" w:lineRule="auto"/>
    </w:pPr>
    <w:tblPr/>
  </w:style>
  <w:style w:type="table" w:styleId="851">
    <w:name w:val="Grid Table 3 - Accent 3"/>
    <w:basedOn w:val="779"/>
    <w:next w:val="851"/>
    <w:link w:val="777"/>
    <w:uiPriority w:val="99"/>
    <w:pPr>
      <w:spacing w:after="0" w:line="240" w:lineRule="auto"/>
    </w:pPr>
    <w:tblPr/>
  </w:style>
  <w:style w:type="table" w:styleId="852">
    <w:name w:val="Grid Table 3 - Accent 4"/>
    <w:basedOn w:val="779"/>
    <w:next w:val="852"/>
    <w:link w:val="777"/>
    <w:uiPriority w:val="99"/>
    <w:pPr>
      <w:spacing w:after="0" w:line="240" w:lineRule="auto"/>
    </w:pPr>
    <w:tblPr/>
  </w:style>
  <w:style w:type="table" w:styleId="853">
    <w:name w:val="Grid Table 3 - Accent 5"/>
    <w:basedOn w:val="779"/>
    <w:next w:val="853"/>
    <w:link w:val="777"/>
    <w:uiPriority w:val="99"/>
    <w:pPr>
      <w:spacing w:after="0" w:line="240" w:lineRule="auto"/>
    </w:pPr>
    <w:tblPr/>
  </w:style>
  <w:style w:type="table" w:styleId="854">
    <w:name w:val="Grid Table 3 - Accent 6"/>
    <w:basedOn w:val="779"/>
    <w:next w:val="854"/>
    <w:link w:val="777"/>
    <w:uiPriority w:val="99"/>
    <w:pPr>
      <w:spacing w:after="0" w:line="240" w:lineRule="auto"/>
    </w:pPr>
    <w:tblPr/>
  </w:style>
  <w:style w:type="table" w:styleId="855">
    <w:name w:val="Grid Table 4"/>
    <w:basedOn w:val="779"/>
    <w:next w:val="855"/>
    <w:link w:val="777"/>
    <w:uiPriority w:val="59"/>
    <w:pPr>
      <w:spacing w:after="0" w:line="240" w:lineRule="auto"/>
    </w:pPr>
    <w:tblPr/>
  </w:style>
  <w:style w:type="table" w:styleId="856">
    <w:name w:val="Grid Table 4 - Accent 1"/>
    <w:basedOn w:val="779"/>
    <w:next w:val="856"/>
    <w:link w:val="777"/>
    <w:uiPriority w:val="59"/>
    <w:pPr>
      <w:spacing w:after="0" w:line="240" w:lineRule="auto"/>
    </w:pPr>
    <w:tblPr/>
  </w:style>
  <w:style w:type="table" w:styleId="857">
    <w:name w:val="Grid Table 4 - Accent 2"/>
    <w:basedOn w:val="779"/>
    <w:next w:val="857"/>
    <w:link w:val="777"/>
    <w:uiPriority w:val="59"/>
    <w:pPr>
      <w:spacing w:after="0" w:line="240" w:lineRule="auto"/>
    </w:pPr>
    <w:tblPr/>
  </w:style>
  <w:style w:type="table" w:styleId="858">
    <w:name w:val="Grid Table 4 - Accent 3"/>
    <w:basedOn w:val="779"/>
    <w:next w:val="858"/>
    <w:link w:val="777"/>
    <w:uiPriority w:val="59"/>
    <w:pPr>
      <w:spacing w:after="0" w:line="240" w:lineRule="auto"/>
    </w:pPr>
    <w:tblPr/>
  </w:style>
  <w:style w:type="table" w:styleId="859">
    <w:name w:val="Grid Table 4 - Accent 4"/>
    <w:basedOn w:val="779"/>
    <w:next w:val="859"/>
    <w:link w:val="777"/>
    <w:uiPriority w:val="59"/>
    <w:pPr>
      <w:spacing w:after="0" w:line="240" w:lineRule="auto"/>
    </w:pPr>
    <w:tblPr/>
  </w:style>
  <w:style w:type="table" w:styleId="860">
    <w:name w:val="Grid Table 4 - Accent 5"/>
    <w:basedOn w:val="779"/>
    <w:next w:val="860"/>
    <w:link w:val="777"/>
    <w:uiPriority w:val="59"/>
    <w:pPr>
      <w:spacing w:after="0" w:line="240" w:lineRule="auto"/>
    </w:pPr>
    <w:tblPr/>
  </w:style>
  <w:style w:type="table" w:styleId="861">
    <w:name w:val="Grid Table 4 - Accent 6"/>
    <w:basedOn w:val="779"/>
    <w:next w:val="861"/>
    <w:link w:val="777"/>
    <w:uiPriority w:val="59"/>
    <w:pPr>
      <w:spacing w:after="0" w:line="240" w:lineRule="auto"/>
    </w:pPr>
    <w:tblPr/>
  </w:style>
  <w:style w:type="table" w:styleId="862">
    <w:name w:val="Grid Table 5 Dark"/>
    <w:basedOn w:val="779"/>
    <w:next w:val="862"/>
    <w:link w:val="777"/>
    <w:uiPriority w:val="99"/>
    <w:pPr>
      <w:spacing w:after="0" w:line="240" w:lineRule="auto"/>
    </w:pPr>
    <w:tblPr/>
  </w:style>
  <w:style w:type="table" w:styleId="863">
    <w:name w:val="Grid Table 5 Dark- Accent 1"/>
    <w:basedOn w:val="779"/>
    <w:next w:val="863"/>
    <w:link w:val="777"/>
    <w:uiPriority w:val="99"/>
    <w:pPr>
      <w:spacing w:after="0" w:line="240" w:lineRule="auto"/>
    </w:pPr>
    <w:tblPr/>
  </w:style>
  <w:style w:type="table" w:styleId="864">
    <w:name w:val="Grid Table 5 Dark - Accent 2"/>
    <w:basedOn w:val="779"/>
    <w:next w:val="864"/>
    <w:link w:val="777"/>
    <w:uiPriority w:val="99"/>
    <w:pPr>
      <w:spacing w:after="0" w:line="240" w:lineRule="auto"/>
    </w:pPr>
    <w:tblPr/>
  </w:style>
  <w:style w:type="table" w:styleId="865">
    <w:name w:val="Grid Table 5 Dark - Accent 3"/>
    <w:basedOn w:val="779"/>
    <w:next w:val="865"/>
    <w:link w:val="777"/>
    <w:uiPriority w:val="99"/>
    <w:pPr>
      <w:spacing w:after="0" w:line="240" w:lineRule="auto"/>
    </w:pPr>
    <w:tblPr/>
  </w:style>
  <w:style w:type="table" w:styleId="866">
    <w:name w:val="Grid Table 5 Dark- Accent 4"/>
    <w:basedOn w:val="779"/>
    <w:next w:val="866"/>
    <w:link w:val="777"/>
    <w:uiPriority w:val="99"/>
    <w:pPr>
      <w:spacing w:after="0" w:line="240" w:lineRule="auto"/>
    </w:pPr>
    <w:tblPr/>
  </w:style>
  <w:style w:type="table" w:styleId="867">
    <w:name w:val="Grid Table 5 Dark - Accent 5"/>
    <w:basedOn w:val="779"/>
    <w:next w:val="867"/>
    <w:link w:val="777"/>
    <w:uiPriority w:val="99"/>
    <w:pPr>
      <w:spacing w:after="0" w:line="240" w:lineRule="auto"/>
    </w:pPr>
    <w:tblPr/>
  </w:style>
  <w:style w:type="table" w:styleId="868">
    <w:name w:val="Grid Table 5 Dark - Accent 6"/>
    <w:basedOn w:val="779"/>
    <w:next w:val="868"/>
    <w:link w:val="777"/>
    <w:uiPriority w:val="99"/>
    <w:pPr>
      <w:spacing w:after="0" w:line="240" w:lineRule="auto"/>
    </w:pPr>
    <w:tblPr/>
  </w:style>
  <w:style w:type="table" w:styleId="869">
    <w:name w:val="Grid Table 6 Colorful"/>
    <w:basedOn w:val="779"/>
    <w:next w:val="869"/>
    <w:link w:val="777"/>
    <w:uiPriority w:val="99"/>
    <w:pPr>
      <w:spacing w:after="0" w:line="240" w:lineRule="auto"/>
    </w:pPr>
    <w:tblPr/>
  </w:style>
  <w:style w:type="table" w:styleId="870">
    <w:name w:val="Grid Table 6 Colorful - Accent 1"/>
    <w:basedOn w:val="779"/>
    <w:next w:val="870"/>
    <w:link w:val="777"/>
    <w:uiPriority w:val="99"/>
    <w:pPr>
      <w:spacing w:after="0" w:line="240" w:lineRule="auto"/>
    </w:pPr>
    <w:tblPr/>
  </w:style>
  <w:style w:type="table" w:styleId="871">
    <w:name w:val="Grid Table 6 Colorful - Accent 2"/>
    <w:basedOn w:val="779"/>
    <w:next w:val="871"/>
    <w:link w:val="777"/>
    <w:uiPriority w:val="99"/>
    <w:pPr>
      <w:spacing w:after="0" w:line="240" w:lineRule="auto"/>
    </w:pPr>
    <w:tblPr/>
  </w:style>
  <w:style w:type="table" w:styleId="872">
    <w:name w:val="Grid Table 6 Colorful - Accent 3"/>
    <w:basedOn w:val="779"/>
    <w:next w:val="872"/>
    <w:link w:val="777"/>
    <w:uiPriority w:val="99"/>
    <w:pPr>
      <w:spacing w:after="0" w:line="240" w:lineRule="auto"/>
    </w:pPr>
    <w:tblPr/>
  </w:style>
  <w:style w:type="table" w:styleId="873">
    <w:name w:val="Grid Table 6 Colorful - Accent 4"/>
    <w:basedOn w:val="779"/>
    <w:next w:val="873"/>
    <w:link w:val="777"/>
    <w:uiPriority w:val="99"/>
    <w:pPr>
      <w:spacing w:after="0" w:line="240" w:lineRule="auto"/>
    </w:pPr>
    <w:tblPr/>
  </w:style>
  <w:style w:type="table" w:styleId="874">
    <w:name w:val="Grid Table 6 Colorful - Accent 5"/>
    <w:basedOn w:val="779"/>
    <w:next w:val="874"/>
    <w:link w:val="777"/>
    <w:uiPriority w:val="99"/>
    <w:pPr>
      <w:spacing w:after="0" w:line="240" w:lineRule="auto"/>
    </w:pPr>
    <w:tblPr/>
  </w:style>
  <w:style w:type="table" w:styleId="875">
    <w:name w:val="Grid Table 6 Colorful - Accent 6"/>
    <w:basedOn w:val="779"/>
    <w:next w:val="875"/>
    <w:link w:val="777"/>
    <w:uiPriority w:val="99"/>
    <w:pPr>
      <w:spacing w:after="0" w:line="240" w:lineRule="auto"/>
    </w:pPr>
    <w:tblPr/>
  </w:style>
  <w:style w:type="table" w:styleId="876">
    <w:name w:val="Grid Table 7 Colorful"/>
    <w:basedOn w:val="779"/>
    <w:next w:val="876"/>
    <w:link w:val="777"/>
    <w:uiPriority w:val="99"/>
    <w:pPr>
      <w:spacing w:after="0" w:line="240" w:lineRule="auto"/>
    </w:pPr>
    <w:tblPr/>
  </w:style>
  <w:style w:type="table" w:styleId="877">
    <w:name w:val="Grid Table 7 Colorful - Accent 1"/>
    <w:basedOn w:val="779"/>
    <w:next w:val="877"/>
    <w:link w:val="777"/>
    <w:uiPriority w:val="99"/>
    <w:pPr>
      <w:spacing w:after="0" w:line="240" w:lineRule="auto"/>
    </w:pPr>
    <w:tblPr/>
  </w:style>
  <w:style w:type="table" w:styleId="878">
    <w:name w:val="Grid Table 7 Colorful - Accent 2"/>
    <w:basedOn w:val="779"/>
    <w:next w:val="878"/>
    <w:link w:val="777"/>
    <w:uiPriority w:val="99"/>
    <w:pPr>
      <w:spacing w:after="0" w:line="240" w:lineRule="auto"/>
    </w:pPr>
    <w:tblPr/>
  </w:style>
  <w:style w:type="table" w:styleId="879">
    <w:name w:val="Grid Table 7 Colorful - Accent 3"/>
    <w:basedOn w:val="779"/>
    <w:next w:val="879"/>
    <w:link w:val="777"/>
    <w:uiPriority w:val="99"/>
    <w:pPr>
      <w:spacing w:after="0" w:line="240" w:lineRule="auto"/>
    </w:pPr>
    <w:tblPr/>
  </w:style>
  <w:style w:type="table" w:styleId="880">
    <w:name w:val="Grid Table 7 Colorful - Accent 4"/>
    <w:basedOn w:val="779"/>
    <w:next w:val="880"/>
    <w:link w:val="777"/>
    <w:uiPriority w:val="99"/>
    <w:pPr>
      <w:spacing w:after="0" w:line="240" w:lineRule="auto"/>
    </w:pPr>
    <w:tblPr/>
  </w:style>
  <w:style w:type="table" w:styleId="881">
    <w:name w:val="Grid Table 7 Colorful - Accent 5"/>
    <w:basedOn w:val="779"/>
    <w:next w:val="881"/>
    <w:link w:val="777"/>
    <w:uiPriority w:val="99"/>
    <w:pPr>
      <w:spacing w:after="0" w:line="240" w:lineRule="auto"/>
    </w:pPr>
    <w:tblPr/>
  </w:style>
  <w:style w:type="table" w:styleId="882">
    <w:name w:val="Grid Table 7 Colorful - Accent 6"/>
    <w:basedOn w:val="779"/>
    <w:next w:val="882"/>
    <w:link w:val="777"/>
    <w:uiPriority w:val="99"/>
    <w:pPr>
      <w:spacing w:after="0" w:line="240" w:lineRule="auto"/>
    </w:pPr>
    <w:tblPr/>
  </w:style>
  <w:style w:type="table" w:styleId="883">
    <w:name w:val="List Table 1 Light"/>
    <w:basedOn w:val="779"/>
    <w:next w:val="883"/>
    <w:link w:val="777"/>
    <w:uiPriority w:val="99"/>
    <w:pPr>
      <w:spacing w:after="0" w:line="240" w:lineRule="auto"/>
    </w:pPr>
    <w:tblPr/>
  </w:style>
  <w:style w:type="table" w:styleId="884">
    <w:name w:val="List Table 1 Light - Accent 1"/>
    <w:basedOn w:val="779"/>
    <w:next w:val="884"/>
    <w:link w:val="777"/>
    <w:uiPriority w:val="99"/>
    <w:pPr>
      <w:spacing w:after="0" w:line="240" w:lineRule="auto"/>
    </w:pPr>
    <w:tblPr/>
  </w:style>
  <w:style w:type="table" w:styleId="885">
    <w:name w:val="List Table 1 Light - Accent 2"/>
    <w:basedOn w:val="779"/>
    <w:next w:val="885"/>
    <w:link w:val="777"/>
    <w:uiPriority w:val="99"/>
    <w:pPr>
      <w:spacing w:after="0" w:line="240" w:lineRule="auto"/>
    </w:pPr>
    <w:tblPr/>
  </w:style>
  <w:style w:type="table" w:styleId="886">
    <w:name w:val="List Table 1 Light - Accent 3"/>
    <w:basedOn w:val="779"/>
    <w:next w:val="886"/>
    <w:link w:val="777"/>
    <w:uiPriority w:val="99"/>
    <w:pPr>
      <w:spacing w:after="0" w:line="240" w:lineRule="auto"/>
    </w:pPr>
    <w:tblPr/>
  </w:style>
  <w:style w:type="table" w:styleId="887">
    <w:name w:val="List Table 1 Light - Accent 4"/>
    <w:basedOn w:val="779"/>
    <w:next w:val="887"/>
    <w:link w:val="777"/>
    <w:uiPriority w:val="99"/>
    <w:pPr>
      <w:spacing w:after="0" w:line="240" w:lineRule="auto"/>
    </w:pPr>
    <w:tblPr/>
  </w:style>
  <w:style w:type="table" w:styleId="888">
    <w:name w:val="List Table 1 Light - Accent 5"/>
    <w:basedOn w:val="779"/>
    <w:next w:val="888"/>
    <w:link w:val="777"/>
    <w:uiPriority w:val="99"/>
    <w:pPr>
      <w:spacing w:after="0" w:line="240" w:lineRule="auto"/>
    </w:pPr>
    <w:tblPr/>
  </w:style>
  <w:style w:type="table" w:styleId="889">
    <w:name w:val="List Table 1 Light - Accent 6"/>
    <w:basedOn w:val="779"/>
    <w:next w:val="889"/>
    <w:link w:val="777"/>
    <w:uiPriority w:val="99"/>
    <w:pPr>
      <w:spacing w:after="0" w:line="240" w:lineRule="auto"/>
    </w:pPr>
    <w:tblPr/>
  </w:style>
  <w:style w:type="table" w:styleId="890">
    <w:name w:val="List Table 2"/>
    <w:basedOn w:val="779"/>
    <w:next w:val="890"/>
    <w:link w:val="777"/>
    <w:uiPriority w:val="99"/>
    <w:pPr>
      <w:spacing w:after="0" w:line="240" w:lineRule="auto"/>
    </w:pPr>
    <w:tblPr/>
  </w:style>
  <w:style w:type="table" w:styleId="891">
    <w:name w:val="List Table 2 - Accent 1"/>
    <w:basedOn w:val="779"/>
    <w:next w:val="891"/>
    <w:link w:val="777"/>
    <w:uiPriority w:val="99"/>
    <w:pPr>
      <w:spacing w:after="0" w:line="240" w:lineRule="auto"/>
    </w:pPr>
    <w:tblPr/>
  </w:style>
  <w:style w:type="table" w:styleId="892">
    <w:name w:val="List Table 2 - Accent 2"/>
    <w:basedOn w:val="779"/>
    <w:next w:val="892"/>
    <w:link w:val="777"/>
    <w:uiPriority w:val="99"/>
    <w:pPr>
      <w:spacing w:after="0" w:line="240" w:lineRule="auto"/>
    </w:pPr>
    <w:tblPr/>
  </w:style>
  <w:style w:type="table" w:styleId="893">
    <w:name w:val="List Table 2 - Accent 3"/>
    <w:basedOn w:val="779"/>
    <w:next w:val="893"/>
    <w:link w:val="777"/>
    <w:uiPriority w:val="99"/>
    <w:pPr>
      <w:spacing w:after="0" w:line="240" w:lineRule="auto"/>
    </w:pPr>
    <w:tblPr/>
  </w:style>
  <w:style w:type="table" w:styleId="894">
    <w:name w:val="List Table 2 - Accent 4"/>
    <w:basedOn w:val="779"/>
    <w:next w:val="894"/>
    <w:link w:val="777"/>
    <w:uiPriority w:val="99"/>
    <w:pPr>
      <w:spacing w:after="0" w:line="240" w:lineRule="auto"/>
    </w:pPr>
    <w:tblPr/>
  </w:style>
  <w:style w:type="table" w:styleId="895">
    <w:name w:val="List Table 2 - Accent 5"/>
    <w:basedOn w:val="779"/>
    <w:next w:val="895"/>
    <w:link w:val="777"/>
    <w:uiPriority w:val="99"/>
    <w:pPr>
      <w:spacing w:after="0" w:line="240" w:lineRule="auto"/>
    </w:pPr>
    <w:tblPr/>
  </w:style>
  <w:style w:type="table" w:styleId="896">
    <w:name w:val="List Table 2 - Accent 6"/>
    <w:basedOn w:val="779"/>
    <w:next w:val="896"/>
    <w:link w:val="777"/>
    <w:uiPriority w:val="99"/>
    <w:pPr>
      <w:spacing w:after="0" w:line="240" w:lineRule="auto"/>
    </w:pPr>
    <w:tblPr/>
  </w:style>
  <w:style w:type="table" w:styleId="897">
    <w:name w:val="List Table 3"/>
    <w:basedOn w:val="779"/>
    <w:next w:val="897"/>
    <w:link w:val="777"/>
    <w:uiPriority w:val="99"/>
    <w:pPr>
      <w:spacing w:after="0" w:line="240" w:lineRule="auto"/>
    </w:pPr>
    <w:tblPr/>
  </w:style>
  <w:style w:type="table" w:styleId="898">
    <w:name w:val="List Table 3 - Accent 1"/>
    <w:basedOn w:val="779"/>
    <w:next w:val="898"/>
    <w:link w:val="777"/>
    <w:uiPriority w:val="99"/>
    <w:pPr>
      <w:spacing w:after="0" w:line="240" w:lineRule="auto"/>
    </w:pPr>
    <w:tblPr/>
  </w:style>
  <w:style w:type="table" w:styleId="899">
    <w:name w:val="List Table 3 - Accent 2"/>
    <w:basedOn w:val="779"/>
    <w:next w:val="899"/>
    <w:link w:val="777"/>
    <w:uiPriority w:val="99"/>
    <w:pPr>
      <w:spacing w:after="0" w:line="240" w:lineRule="auto"/>
    </w:pPr>
    <w:tblPr/>
  </w:style>
  <w:style w:type="table" w:styleId="900">
    <w:name w:val="List Table 3 - Accent 3"/>
    <w:basedOn w:val="779"/>
    <w:next w:val="900"/>
    <w:link w:val="777"/>
    <w:uiPriority w:val="99"/>
    <w:pPr>
      <w:spacing w:after="0" w:line="240" w:lineRule="auto"/>
    </w:pPr>
    <w:tblPr/>
  </w:style>
  <w:style w:type="table" w:styleId="901">
    <w:name w:val="List Table 3 - Accent 4"/>
    <w:basedOn w:val="779"/>
    <w:next w:val="901"/>
    <w:link w:val="777"/>
    <w:uiPriority w:val="99"/>
    <w:pPr>
      <w:spacing w:after="0" w:line="240" w:lineRule="auto"/>
    </w:pPr>
    <w:tblPr/>
  </w:style>
  <w:style w:type="table" w:styleId="902">
    <w:name w:val="List Table 3 - Accent 5"/>
    <w:basedOn w:val="779"/>
    <w:next w:val="902"/>
    <w:link w:val="777"/>
    <w:uiPriority w:val="99"/>
    <w:pPr>
      <w:spacing w:after="0" w:line="240" w:lineRule="auto"/>
    </w:pPr>
    <w:tblPr/>
  </w:style>
  <w:style w:type="table" w:styleId="903">
    <w:name w:val="List Table 3 - Accent 6"/>
    <w:basedOn w:val="779"/>
    <w:next w:val="903"/>
    <w:link w:val="777"/>
    <w:uiPriority w:val="99"/>
    <w:pPr>
      <w:spacing w:after="0" w:line="240" w:lineRule="auto"/>
    </w:pPr>
    <w:tblPr/>
  </w:style>
  <w:style w:type="table" w:styleId="904">
    <w:name w:val="List Table 4"/>
    <w:basedOn w:val="779"/>
    <w:next w:val="904"/>
    <w:link w:val="777"/>
    <w:uiPriority w:val="99"/>
    <w:pPr>
      <w:spacing w:after="0" w:line="240" w:lineRule="auto"/>
    </w:pPr>
    <w:tblPr/>
  </w:style>
  <w:style w:type="table" w:styleId="905">
    <w:name w:val="List Table 4 - Accent 1"/>
    <w:basedOn w:val="779"/>
    <w:next w:val="905"/>
    <w:link w:val="777"/>
    <w:uiPriority w:val="99"/>
    <w:pPr>
      <w:spacing w:after="0" w:line="240" w:lineRule="auto"/>
    </w:pPr>
    <w:tblPr/>
  </w:style>
  <w:style w:type="table" w:styleId="906">
    <w:name w:val="List Table 4 - Accent 2"/>
    <w:basedOn w:val="779"/>
    <w:next w:val="906"/>
    <w:link w:val="777"/>
    <w:uiPriority w:val="99"/>
    <w:pPr>
      <w:spacing w:after="0" w:line="240" w:lineRule="auto"/>
    </w:pPr>
    <w:tblPr/>
  </w:style>
  <w:style w:type="table" w:styleId="907">
    <w:name w:val="List Table 4 - Accent 3"/>
    <w:basedOn w:val="779"/>
    <w:next w:val="907"/>
    <w:link w:val="777"/>
    <w:uiPriority w:val="99"/>
    <w:pPr>
      <w:spacing w:after="0" w:line="240" w:lineRule="auto"/>
    </w:pPr>
    <w:tblPr/>
  </w:style>
  <w:style w:type="table" w:styleId="908">
    <w:name w:val="List Table 4 - Accent 4"/>
    <w:basedOn w:val="779"/>
    <w:next w:val="908"/>
    <w:link w:val="777"/>
    <w:uiPriority w:val="99"/>
    <w:pPr>
      <w:spacing w:after="0" w:line="240" w:lineRule="auto"/>
    </w:pPr>
    <w:tblPr/>
  </w:style>
  <w:style w:type="table" w:styleId="909">
    <w:name w:val="List Table 4 - Accent 5"/>
    <w:basedOn w:val="779"/>
    <w:next w:val="909"/>
    <w:link w:val="777"/>
    <w:uiPriority w:val="99"/>
    <w:pPr>
      <w:spacing w:after="0" w:line="240" w:lineRule="auto"/>
    </w:pPr>
    <w:tblPr/>
  </w:style>
  <w:style w:type="table" w:styleId="910">
    <w:name w:val="List Table 4 - Accent 6"/>
    <w:basedOn w:val="779"/>
    <w:next w:val="910"/>
    <w:link w:val="777"/>
    <w:uiPriority w:val="99"/>
    <w:pPr>
      <w:spacing w:after="0" w:line="240" w:lineRule="auto"/>
    </w:pPr>
    <w:tblPr/>
  </w:style>
  <w:style w:type="table" w:styleId="911">
    <w:name w:val="List Table 5 Dark"/>
    <w:basedOn w:val="779"/>
    <w:next w:val="911"/>
    <w:link w:val="777"/>
    <w:uiPriority w:val="99"/>
    <w:pPr>
      <w:spacing w:after="0" w:line="240" w:lineRule="auto"/>
    </w:pPr>
    <w:tblPr/>
  </w:style>
  <w:style w:type="table" w:styleId="912">
    <w:name w:val="List Table 5 Dark - Accent 1"/>
    <w:basedOn w:val="779"/>
    <w:next w:val="912"/>
    <w:link w:val="777"/>
    <w:uiPriority w:val="99"/>
    <w:pPr>
      <w:spacing w:after="0" w:line="240" w:lineRule="auto"/>
    </w:pPr>
    <w:tblPr/>
  </w:style>
  <w:style w:type="table" w:styleId="913">
    <w:name w:val="List Table 5 Dark - Accent 2"/>
    <w:basedOn w:val="779"/>
    <w:next w:val="913"/>
    <w:link w:val="777"/>
    <w:uiPriority w:val="99"/>
    <w:pPr>
      <w:spacing w:after="0" w:line="240" w:lineRule="auto"/>
    </w:pPr>
    <w:tblPr/>
  </w:style>
  <w:style w:type="table" w:styleId="914">
    <w:name w:val="List Table 5 Dark - Accent 3"/>
    <w:basedOn w:val="779"/>
    <w:next w:val="914"/>
    <w:link w:val="777"/>
    <w:uiPriority w:val="99"/>
    <w:pPr>
      <w:spacing w:after="0" w:line="240" w:lineRule="auto"/>
    </w:pPr>
    <w:tblPr/>
  </w:style>
  <w:style w:type="table" w:styleId="915">
    <w:name w:val="List Table 5 Dark - Accent 4"/>
    <w:basedOn w:val="779"/>
    <w:next w:val="915"/>
    <w:link w:val="777"/>
    <w:uiPriority w:val="99"/>
    <w:pPr>
      <w:spacing w:after="0" w:line="240" w:lineRule="auto"/>
    </w:pPr>
    <w:tblPr/>
  </w:style>
  <w:style w:type="table" w:styleId="916">
    <w:name w:val="List Table 5 Dark - Accent 5"/>
    <w:basedOn w:val="779"/>
    <w:next w:val="916"/>
    <w:link w:val="777"/>
    <w:uiPriority w:val="99"/>
    <w:pPr>
      <w:spacing w:after="0" w:line="240" w:lineRule="auto"/>
    </w:pPr>
    <w:tblPr/>
  </w:style>
  <w:style w:type="table" w:styleId="917">
    <w:name w:val="List Table 5 Dark - Accent 6"/>
    <w:basedOn w:val="779"/>
    <w:next w:val="917"/>
    <w:link w:val="777"/>
    <w:uiPriority w:val="99"/>
    <w:pPr>
      <w:spacing w:after="0" w:line="240" w:lineRule="auto"/>
    </w:pPr>
    <w:tblPr/>
  </w:style>
  <w:style w:type="table" w:styleId="918">
    <w:name w:val="List Table 6 Colorful"/>
    <w:basedOn w:val="779"/>
    <w:next w:val="918"/>
    <w:link w:val="777"/>
    <w:uiPriority w:val="99"/>
    <w:pPr>
      <w:spacing w:after="0" w:line="240" w:lineRule="auto"/>
    </w:pPr>
    <w:tblPr/>
  </w:style>
  <w:style w:type="table" w:styleId="919">
    <w:name w:val="List Table 6 Colorful - Accent 1"/>
    <w:basedOn w:val="779"/>
    <w:next w:val="919"/>
    <w:link w:val="777"/>
    <w:uiPriority w:val="99"/>
    <w:pPr>
      <w:spacing w:after="0" w:line="240" w:lineRule="auto"/>
    </w:pPr>
    <w:tblPr/>
  </w:style>
  <w:style w:type="table" w:styleId="920">
    <w:name w:val="List Table 6 Colorful - Accent 2"/>
    <w:basedOn w:val="779"/>
    <w:next w:val="920"/>
    <w:link w:val="777"/>
    <w:uiPriority w:val="99"/>
    <w:pPr>
      <w:spacing w:after="0" w:line="240" w:lineRule="auto"/>
    </w:pPr>
    <w:tblPr/>
  </w:style>
  <w:style w:type="table" w:styleId="921">
    <w:name w:val="List Table 6 Colorful - Accent 3"/>
    <w:basedOn w:val="779"/>
    <w:next w:val="921"/>
    <w:link w:val="777"/>
    <w:uiPriority w:val="99"/>
    <w:pPr>
      <w:spacing w:after="0" w:line="240" w:lineRule="auto"/>
    </w:pPr>
    <w:tblPr/>
  </w:style>
  <w:style w:type="table" w:styleId="922">
    <w:name w:val="List Table 6 Colorful - Accent 4"/>
    <w:basedOn w:val="779"/>
    <w:next w:val="922"/>
    <w:link w:val="777"/>
    <w:uiPriority w:val="99"/>
    <w:pPr>
      <w:spacing w:after="0" w:line="240" w:lineRule="auto"/>
    </w:pPr>
    <w:tblPr/>
  </w:style>
  <w:style w:type="table" w:styleId="923">
    <w:name w:val="List Table 6 Colorful - Accent 5"/>
    <w:basedOn w:val="779"/>
    <w:next w:val="923"/>
    <w:link w:val="777"/>
    <w:uiPriority w:val="99"/>
    <w:pPr>
      <w:spacing w:after="0" w:line="240" w:lineRule="auto"/>
    </w:pPr>
    <w:tblPr/>
  </w:style>
  <w:style w:type="table" w:styleId="924">
    <w:name w:val="List Table 6 Colorful - Accent 6"/>
    <w:basedOn w:val="779"/>
    <w:next w:val="924"/>
    <w:link w:val="777"/>
    <w:uiPriority w:val="99"/>
    <w:pPr>
      <w:spacing w:after="0" w:line="240" w:lineRule="auto"/>
    </w:pPr>
    <w:tblPr/>
  </w:style>
  <w:style w:type="table" w:styleId="925">
    <w:name w:val="List Table 7 Colorful"/>
    <w:basedOn w:val="779"/>
    <w:next w:val="925"/>
    <w:link w:val="777"/>
    <w:uiPriority w:val="99"/>
    <w:pPr>
      <w:spacing w:after="0" w:line="240" w:lineRule="auto"/>
    </w:pPr>
    <w:tblPr/>
  </w:style>
  <w:style w:type="table" w:styleId="926">
    <w:name w:val="List Table 7 Colorful - Accent 1"/>
    <w:basedOn w:val="779"/>
    <w:next w:val="926"/>
    <w:link w:val="777"/>
    <w:uiPriority w:val="99"/>
    <w:pPr>
      <w:spacing w:after="0" w:line="240" w:lineRule="auto"/>
    </w:pPr>
    <w:tblPr/>
  </w:style>
  <w:style w:type="table" w:styleId="927">
    <w:name w:val="List Table 7 Colorful - Accent 2"/>
    <w:basedOn w:val="779"/>
    <w:next w:val="927"/>
    <w:link w:val="777"/>
    <w:uiPriority w:val="99"/>
    <w:pPr>
      <w:spacing w:after="0" w:line="240" w:lineRule="auto"/>
    </w:pPr>
    <w:tblPr/>
  </w:style>
  <w:style w:type="table" w:styleId="928">
    <w:name w:val="List Table 7 Colorful - Accent 3"/>
    <w:basedOn w:val="779"/>
    <w:next w:val="928"/>
    <w:link w:val="777"/>
    <w:uiPriority w:val="99"/>
    <w:pPr>
      <w:spacing w:after="0" w:line="240" w:lineRule="auto"/>
    </w:pPr>
    <w:tblPr/>
  </w:style>
  <w:style w:type="table" w:styleId="929">
    <w:name w:val="List Table 7 Colorful - Accent 4"/>
    <w:basedOn w:val="779"/>
    <w:next w:val="929"/>
    <w:link w:val="777"/>
    <w:uiPriority w:val="99"/>
    <w:pPr>
      <w:spacing w:after="0" w:line="240" w:lineRule="auto"/>
    </w:pPr>
    <w:tblPr/>
  </w:style>
  <w:style w:type="table" w:styleId="930">
    <w:name w:val="List Table 7 Colorful - Accent 5"/>
    <w:basedOn w:val="779"/>
    <w:next w:val="930"/>
    <w:link w:val="777"/>
    <w:uiPriority w:val="99"/>
    <w:pPr>
      <w:spacing w:after="0" w:line="240" w:lineRule="auto"/>
    </w:pPr>
    <w:tblPr/>
  </w:style>
  <w:style w:type="table" w:styleId="931">
    <w:name w:val="List Table 7 Colorful - Accent 6"/>
    <w:basedOn w:val="779"/>
    <w:next w:val="931"/>
    <w:link w:val="777"/>
    <w:uiPriority w:val="99"/>
    <w:pPr>
      <w:spacing w:after="0" w:line="240" w:lineRule="auto"/>
    </w:pPr>
    <w:tblPr/>
  </w:style>
  <w:style w:type="table" w:styleId="932">
    <w:name w:val="Lined - Accent"/>
    <w:basedOn w:val="779"/>
    <w:next w:val="932"/>
    <w:link w:val="777"/>
    <w:uiPriority w:val="99"/>
    <w:pPr>
      <w:spacing w:after="0" w:line="240" w:lineRule="auto"/>
    </w:pPr>
    <w:rPr>
      <w:color w:val="404040"/>
    </w:rPr>
    <w:tblPr/>
  </w:style>
  <w:style w:type="table" w:styleId="933">
    <w:name w:val="Lined - Accent 1"/>
    <w:basedOn w:val="779"/>
    <w:next w:val="933"/>
    <w:link w:val="777"/>
    <w:uiPriority w:val="99"/>
    <w:pPr>
      <w:spacing w:after="0" w:line="240" w:lineRule="auto"/>
    </w:pPr>
    <w:rPr>
      <w:color w:val="404040"/>
    </w:rPr>
    <w:tblPr/>
  </w:style>
  <w:style w:type="table" w:styleId="934">
    <w:name w:val="Lined - Accent 2"/>
    <w:basedOn w:val="779"/>
    <w:next w:val="934"/>
    <w:link w:val="777"/>
    <w:uiPriority w:val="99"/>
    <w:pPr>
      <w:spacing w:after="0" w:line="240" w:lineRule="auto"/>
    </w:pPr>
    <w:rPr>
      <w:color w:val="404040"/>
    </w:rPr>
    <w:tblPr/>
  </w:style>
  <w:style w:type="table" w:styleId="935">
    <w:name w:val="Lined - Accent 3"/>
    <w:basedOn w:val="779"/>
    <w:next w:val="935"/>
    <w:link w:val="777"/>
    <w:uiPriority w:val="99"/>
    <w:pPr>
      <w:spacing w:after="0" w:line="240" w:lineRule="auto"/>
    </w:pPr>
    <w:rPr>
      <w:color w:val="404040"/>
    </w:rPr>
    <w:tblPr/>
  </w:style>
  <w:style w:type="table" w:styleId="936">
    <w:name w:val="Lined - Accent 4"/>
    <w:basedOn w:val="779"/>
    <w:next w:val="936"/>
    <w:link w:val="777"/>
    <w:uiPriority w:val="99"/>
    <w:pPr>
      <w:spacing w:after="0" w:line="240" w:lineRule="auto"/>
    </w:pPr>
    <w:rPr>
      <w:color w:val="404040"/>
    </w:rPr>
    <w:tblPr/>
  </w:style>
  <w:style w:type="table" w:styleId="937">
    <w:name w:val="Lined - Accent 5"/>
    <w:basedOn w:val="779"/>
    <w:next w:val="937"/>
    <w:link w:val="777"/>
    <w:uiPriority w:val="99"/>
    <w:pPr>
      <w:spacing w:after="0" w:line="240" w:lineRule="auto"/>
    </w:pPr>
    <w:rPr>
      <w:color w:val="404040"/>
    </w:rPr>
    <w:tblPr/>
  </w:style>
  <w:style w:type="table" w:styleId="938">
    <w:name w:val="Lined - Accent 6"/>
    <w:basedOn w:val="779"/>
    <w:next w:val="938"/>
    <w:link w:val="777"/>
    <w:uiPriority w:val="99"/>
    <w:pPr>
      <w:spacing w:after="0" w:line="240" w:lineRule="auto"/>
    </w:pPr>
    <w:rPr>
      <w:color w:val="404040"/>
    </w:rPr>
    <w:tblPr/>
  </w:style>
  <w:style w:type="table" w:styleId="939">
    <w:name w:val="Bordered &amp; Lined - Accent"/>
    <w:basedOn w:val="779"/>
    <w:next w:val="939"/>
    <w:link w:val="777"/>
    <w:uiPriority w:val="99"/>
    <w:pPr>
      <w:spacing w:after="0" w:line="240" w:lineRule="auto"/>
    </w:pPr>
    <w:rPr>
      <w:color w:val="404040"/>
    </w:rPr>
    <w:tblPr/>
  </w:style>
  <w:style w:type="table" w:styleId="940">
    <w:name w:val="Bordered &amp; Lined - Accent 1"/>
    <w:basedOn w:val="779"/>
    <w:next w:val="940"/>
    <w:link w:val="777"/>
    <w:uiPriority w:val="99"/>
    <w:pPr>
      <w:spacing w:after="0" w:line="240" w:lineRule="auto"/>
    </w:pPr>
    <w:rPr>
      <w:color w:val="404040"/>
    </w:rPr>
    <w:tblPr/>
  </w:style>
  <w:style w:type="table" w:styleId="941">
    <w:name w:val="Bordered &amp; Lined - Accent 2"/>
    <w:basedOn w:val="779"/>
    <w:next w:val="941"/>
    <w:link w:val="777"/>
    <w:uiPriority w:val="99"/>
    <w:pPr>
      <w:spacing w:after="0" w:line="240" w:lineRule="auto"/>
    </w:pPr>
    <w:rPr>
      <w:color w:val="404040"/>
    </w:rPr>
    <w:tblPr/>
  </w:style>
  <w:style w:type="table" w:styleId="942">
    <w:name w:val="Bordered &amp; Lined - Accent 3"/>
    <w:basedOn w:val="779"/>
    <w:next w:val="942"/>
    <w:link w:val="777"/>
    <w:uiPriority w:val="99"/>
    <w:pPr>
      <w:spacing w:after="0" w:line="240" w:lineRule="auto"/>
    </w:pPr>
    <w:rPr>
      <w:color w:val="404040"/>
    </w:rPr>
    <w:tblPr/>
  </w:style>
  <w:style w:type="table" w:styleId="943">
    <w:name w:val="Bordered &amp; Lined - Accent 4"/>
    <w:basedOn w:val="779"/>
    <w:next w:val="943"/>
    <w:link w:val="777"/>
    <w:uiPriority w:val="99"/>
    <w:pPr>
      <w:spacing w:after="0" w:line="240" w:lineRule="auto"/>
    </w:pPr>
    <w:rPr>
      <w:color w:val="404040"/>
    </w:rPr>
    <w:tblPr/>
  </w:style>
  <w:style w:type="table" w:styleId="944">
    <w:name w:val="Bordered &amp; Lined - Accent 5"/>
    <w:basedOn w:val="779"/>
    <w:next w:val="944"/>
    <w:link w:val="777"/>
    <w:uiPriority w:val="99"/>
    <w:pPr>
      <w:spacing w:after="0" w:line="240" w:lineRule="auto"/>
    </w:pPr>
    <w:rPr>
      <w:color w:val="404040"/>
    </w:rPr>
    <w:tblPr/>
  </w:style>
  <w:style w:type="table" w:styleId="945">
    <w:name w:val="Bordered &amp; Lined - Accent 6"/>
    <w:basedOn w:val="779"/>
    <w:next w:val="945"/>
    <w:link w:val="777"/>
    <w:uiPriority w:val="99"/>
    <w:pPr>
      <w:spacing w:after="0" w:line="240" w:lineRule="auto"/>
    </w:pPr>
    <w:rPr>
      <w:color w:val="404040"/>
    </w:rPr>
    <w:tblPr/>
  </w:style>
  <w:style w:type="table" w:styleId="946">
    <w:name w:val="Bordered"/>
    <w:basedOn w:val="779"/>
    <w:next w:val="946"/>
    <w:link w:val="777"/>
    <w:uiPriority w:val="99"/>
    <w:pPr>
      <w:spacing w:after="0" w:line="240" w:lineRule="auto"/>
    </w:pPr>
    <w:tblPr/>
  </w:style>
  <w:style w:type="table" w:styleId="947">
    <w:name w:val="Bordered - Accent 1"/>
    <w:basedOn w:val="779"/>
    <w:next w:val="947"/>
    <w:link w:val="777"/>
    <w:uiPriority w:val="99"/>
    <w:pPr>
      <w:spacing w:after="0" w:line="240" w:lineRule="auto"/>
    </w:pPr>
    <w:tblPr/>
  </w:style>
  <w:style w:type="table" w:styleId="948">
    <w:name w:val="Bordered - Accent 2"/>
    <w:basedOn w:val="779"/>
    <w:next w:val="948"/>
    <w:link w:val="777"/>
    <w:uiPriority w:val="99"/>
    <w:pPr>
      <w:spacing w:after="0" w:line="240" w:lineRule="auto"/>
    </w:pPr>
    <w:tblPr/>
  </w:style>
  <w:style w:type="table" w:styleId="949">
    <w:name w:val="Bordered - Accent 3"/>
    <w:basedOn w:val="779"/>
    <w:next w:val="949"/>
    <w:link w:val="777"/>
    <w:uiPriority w:val="99"/>
    <w:pPr>
      <w:spacing w:after="0" w:line="240" w:lineRule="auto"/>
    </w:pPr>
    <w:tblPr/>
  </w:style>
  <w:style w:type="table" w:styleId="950">
    <w:name w:val="Bordered - Accent 4"/>
    <w:basedOn w:val="779"/>
    <w:next w:val="950"/>
    <w:link w:val="777"/>
    <w:uiPriority w:val="99"/>
    <w:pPr>
      <w:spacing w:after="0" w:line="240" w:lineRule="auto"/>
    </w:pPr>
    <w:tblPr/>
  </w:style>
  <w:style w:type="table" w:styleId="951">
    <w:name w:val="Bordered - Accent 5"/>
    <w:basedOn w:val="779"/>
    <w:next w:val="951"/>
    <w:link w:val="777"/>
    <w:uiPriority w:val="99"/>
    <w:pPr>
      <w:spacing w:after="0" w:line="240" w:lineRule="auto"/>
    </w:pPr>
    <w:tblPr/>
  </w:style>
  <w:style w:type="table" w:styleId="952">
    <w:name w:val="Bordered - Accent 6"/>
    <w:basedOn w:val="779"/>
    <w:next w:val="952"/>
    <w:link w:val="777"/>
    <w:uiPriority w:val="99"/>
    <w:pPr>
      <w:spacing w:after="0" w:line="240" w:lineRule="auto"/>
    </w:pPr>
    <w:tblPr/>
  </w:style>
  <w:style w:type="paragraph" w:styleId="953">
    <w:name w:val="TOC Heading"/>
    <w:next w:val="953"/>
    <w:link w:val="777"/>
    <w:uiPriority w:val="39"/>
    <w:unhideWhenUsed/>
  </w:style>
  <w:style w:type="paragraph" w:styleId="954">
    <w:name w:val="Heading 1"/>
    <w:next w:val="777"/>
    <w:link w:val="955"/>
    <w:uiPriority w:val="9"/>
    <w:qFormat/>
    <w:pPr>
      <w:ind w:firstLine="894"/>
      <w:keepLines/>
      <w:keepNext/>
      <w:spacing w:beforeAutospacing="0" w:afterAutospacing="0" w:line="560" w:lineRule="exact"/>
      <w:outlineLvl w:val="0"/>
    </w:pPr>
    <w:rPr>
      <w:rFonts w:ascii="黑体" w:hAnsi="黑体" w:eastAsia="黑体" w:cs="黑体"/>
      <w:sz w:val="32"/>
      <w:szCs w:val="32"/>
    </w:rPr>
  </w:style>
  <w:style w:type="character" w:styleId="955">
    <w:name w:val="标题 1 Char"/>
    <w:next w:val="955"/>
    <w:link w:val="954"/>
    <w:qFormat/>
    <w:rPr>
      <w:rFonts w:ascii="黑体" w:hAnsi="黑体" w:eastAsia="黑体" w:cs="黑体"/>
      <w:sz w:val="32"/>
      <w:szCs w:val="32"/>
    </w:rPr>
  </w:style>
  <w:style w:type="paragraph" w:styleId="956">
    <w:name w:val="Heading 2"/>
    <w:next w:val="777"/>
    <w:link w:val="957"/>
    <w:uiPriority w:val="9"/>
    <w:unhideWhenUsed/>
    <w:qFormat/>
    <w:pPr>
      <w:ind w:firstLine="894"/>
      <w:keepLines/>
      <w:keepNext/>
      <w:spacing w:beforeAutospacing="0" w:afterAutospacing="0" w:line="560" w:lineRule="exact"/>
      <w:outlineLvl w:val="1"/>
    </w:pPr>
    <w:rPr>
      <w:rFonts w:ascii="Times New Roman" w:hAnsi="Times New Roman" w:eastAsia="楷体_GB2312" w:cs="楷体_GB2312"/>
      <w:sz w:val="32"/>
      <w:szCs w:val="32"/>
    </w:rPr>
  </w:style>
  <w:style w:type="character" w:styleId="957">
    <w:name w:val="标题 2 Char"/>
    <w:next w:val="957"/>
    <w:link w:val="956"/>
    <w:qFormat/>
    <w:rPr>
      <w:rFonts w:ascii="Times New Roman" w:hAnsi="Times New Roman" w:eastAsia="楷体_GB2312" w:cs="楷体_GB2312"/>
      <w:sz w:val="32"/>
      <w:szCs w:val="32"/>
    </w:rPr>
  </w:style>
  <w:style w:type="paragraph" w:styleId="958">
    <w:name w:val="Heading 3"/>
    <w:next w:val="777"/>
    <w:link w:val="959"/>
    <w:uiPriority w:val="9"/>
    <w:unhideWhenUsed/>
    <w:qFormat/>
    <w:pPr>
      <w:ind w:firstLine="894"/>
      <w:keepLines/>
      <w:keepNext/>
      <w:spacing w:beforeAutospacing="0" w:afterAutospacing="0" w:line="560" w:lineRule="exact"/>
      <w:outlineLvl w:val="2"/>
    </w:pPr>
    <w:rPr>
      <w:rFonts w:ascii="Times New Roman" w:hAnsi="Times New Roman" w:eastAsia="仿宋_GB2312" w:cs="仿宋_GB2312"/>
      <w:sz w:val="32"/>
      <w:szCs w:val="32"/>
    </w:rPr>
  </w:style>
  <w:style w:type="character" w:styleId="959">
    <w:name w:val="标题 3 Char1"/>
    <w:next w:val="959"/>
    <w:link w:val="958"/>
    <w:qFormat/>
    <w:rPr>
      <w:rFonts w:ascii="Times New Roman" w:hAnsi="Times New Roman" w:eastAsia="仿宋_GB2312" w:cs="仿宋_GB2312"/>
      <w:sz w:val="32"/>
      <w:szCs w:val="32"/>
    </w:rPr>
  </w:style>
  <w:style w:type="paragraph" w:styleId="960">
    <w:name w:val="Heading 4"/>
    <w:next w:val="777"/>
    <w:link w:val="777"/>
    <w:uiPriority w:val="9"/>
    <w:unhideWhenUsed/>
    <w:qFormat/>
    <w:pPr>
      <w:ind w:firstLine="894"/>
      <w:keepLines/>
      <w:keepNext/>
      <w:spacing w:beforeAutospacing="0" w:afterAutospacing="0" w:line="560" w:lineRule="exact"/>
      <w:outlineLvl w:val="3"/>
    </w:pPr>
    <w:rPr>
      <w:rFonts w:ascii="Times New Roman" w:hAnsi="Times New Roman" w:eastAsia="仿宋_GB2312" w:cs="仿宋_GB2312"/>
      <w:sz w:val="32"/>
      <w:szCs w:val="32"/>
    </w:rPr>
  </w:style>
  <w:style w:type="paragraph" w:styleId="961">
    <w:name w:val="Heading 5"/>
    <w:next w:val="777"/>
    <w:link w:val="777"/>
    <w:unhideWhenUsed/>
    <w:qFormat/>
    <w:pPr>
      <w:ind w:firstLine="894"/>
      <w:spacing w:line="560" w:lineRule="exact"/>
      <w:outlineLvl w:val="4"/>
    </w:pPr>
    <w:rPr>
      <w:rFonts w:ascii="Times New Roman" w:hAnsi="Times New Roman" w:eastAsia="仿宋_GB2312" w:cs="仿宋_GB2312"/>
      <w:sz w:val="32"/>
      <w:szCs w:val="32"/>
    </w:rPr>
  </w:style>
  <w:style w:type="paragraph" w:styleId="962">
    <w:name w:val="Heading 6"/>
    <w:next w:val="777"/>
    <w:link w:val="777"/>
    <w:unhideWhenUsed/>
    <w:qFormat/>
    <w:pPr>
      <w:ind w:firstLine="894"/>
      <w:spacing w:line="560" w:lineRule="exact"/>
      <w:outlineLvl w:val="5"/>
    </w:pPr>
    <w:rPr>
      <w:rFonts w:ascii="Times New Roman" w:hAnsi="Times New Roman" w:eastAsia="仿宋_GB2312" w:cs="仿宋_GB2312"/>
      <w:sz w:val="32"/>
      <w:szCs w:val="32"/>
    </w:rPr>
  </w:style>
  <w:style w:type="paragraph" w:styleId="963">
    <w:name w:val="Heading 7"/>
    <w:next w:val="777"/>
    <w:link w:val="777"/>
    <w:unhideWhenUsed/>
    <w:qFormat/>
    <w:pPr>
      <w:ind w:firstLine="894"/>
      <w:spacing w:line="560" w:lineRule="exact"/>
      <w:outlineLvl w:val="6"/>
    </w:pPr>
    <w:rPr>
      <w:rFonts w:ascii="Times New Roman" w:hAnsi="Times New Roman" w:eastAsia="仿宋_GB2312" w:cs="仿宋_GB2312"/>
      <w:sz w:val="32"/>
      <w:szCs w:val="32"/>
    </w:rPr>
  </w:style>
  <w:style w:type="paragraph" w:styleId="964">
    <w:name w:val="Heading 8"/>
    <w:next w:val="777"/>
    <w:link w:val="777"/>
    <w:unhideWhenUsed/>
    <w:qFormat/>
    <w:pPr>
      <w:ind w:firstLine="894"/>
      <w:spacing w:line="560" w:lineRule="exact"/>
      <w:outlineLvl w:val="7"/>
    </w:pPr>
    <w:rPr>
      <w:rFonts w:ascii="Times New Roman" w:hAnsi="Times New Roman" w:eastAsia="仿宋_GB2312" w:cs="仿宋_GB2312"/>
      <w:sz w:val="32"/>
      <w:szCs w:val="32"/>
    </w:rPr>
  </w:style>
  <w:style w:type="paragraph" w:styleId="965">
    <w:name w:val="Heading 9"/>
    <w:next w:val="777"/>
    <w:link w:val="777"/>
    <w:unhideWhenUsed/>
    <w:qFormat/>
    <w:pPr>
      <w:ind w:firstLine="894"/>
      <w:spacing w:line="560" w:lineRule="exact"/>
      <w:outlineLvl w:val="8"/>
    </w:pPr>
    <w:rPr>
      <w:rFonts w:ascii="Times New Roman" w:hAnsi="Times New Roman" w:eastAsia="仿宋_GB2312" w:cs="仿宋_GB2312"/>
      <w:sz w:val="32"/>
      <w:szCs w:val="32"/>
    </w:rPr>
  </w:style>
  <w:style w:type="paragraph" w:styleId="966">
    <w:name w:val="Footer1"/>
    <w:basedOn w:val="777"/>
    <w:next w:val="966"/>
    <w:link w:val="777"/>
    <w:uiPriority w:val="99"/>
    <w:unhideWhenUsed/>
    <w:qFormat/>
    <w:pPr>
      <w:spacing w:after="0" w:line="240" w:lineRule="auto"/>
      <w:tabs>
        <w:tab w:val="center" w:pos="7143" w:leader="none"/>
        <w:tab w:val="right" w:pos="14287" w:leader="none"/>
      </w:tabs>
    </w:pPr>
  </w:style>
  <w:style w:type="paragraph" w:styleId="967">
    <w:name w:val="Header1"/>
    <w:basedOn w:val="777"/>
    <w:next w:val="967"/>
    <w:link w:val="777"/>
    <w:uiPriority w:val="99"/>
    <w:unhideWhenUsed/>
    <w:qFormat/>
    <w:pPr>
      <w:spacing w:after="0" w:line="240" w:lineRule="auto"/>
      <w:tabs>
        <w:tab w:val="center" w:pos="7143" w:leader="none"/>
        <w:tab w:val="right" w:pos="14287" w:leader="none"/>
      </w:tabs>
    </w:pPr>
  </w:style>
  <w:style w:type="paragraph" w:styleId="968">
    <w:name w:val="目录 11"/>
    <w:basedOn w:val="777"/>
    <w:next w:val="777"/>
    <w:link w:val="777"/>
    <w:uiPriority w:val="99"/>
    <w:qFormat/>
    <w:pPr>
      <w:jc w:val="left"/>
    </w:pPr>
    <w:rPr>
      <w:rFonts w:eastAsia="楷体_GB2312"/>
      <w:sz w:val="24"/>
      <w:szCs w:val="20"/>
    </w:rPr>
  </w:style>
  <w:style w:type="paragraph" w:styleId="969">
    <w:name w:val="章标题"/>
    <w:next w:val="777"/>
    <w:link w:val="777"/>
    <w:qFormat/>
    <w:pPr>
      <w:jc w:val="center"/>
      <w:spacing w:line="560" w:lineRule="exact"/>
      <w:widowControl w:val="off"/>
      <w:outlineLvl w:val="0"/>
    </w:pPr>
    <w:rPr>
      <w:rFonts w:ascii="黑体" w:hAnsi="黑体" w:eastAsia="黑体" w:cs="黑体"/>
      <w:bCs/>
      <w:spacing w:val="-6"/>
      <w:sz w:val="32"/>
      <w:szCs w:val="32"/>
    </w:rPr>
  </w:style>
  <w:style w:type="character" w:styleId="970">
    <w:name w:val="标题 2 Char2"/>
    <w:next w:val="970"/>
    <w:link w:val="777"/>
    <w:uiPriority w:val="9"/>
    <w:qFormat/>
    <w:rPr>
      <w:rFonts w:ascii="Times New Roman" w:hAnsi="Times New Roman" w:eastAsia="楷体_GB2312" w:cs="楷体_GB2312"/>
      <w:sz w:val="32"/>
      <w:szCs w:val="32"/>
    </w:rPr>
  </w:style>
  <w:style w:type="character" w:styleId="971">
    <w:name w:val="标题 3 Char"/>
    <w:next w:val="971"/>
    <w:link w:val="777"/>
    <w:uiPriority w:val="9"/>
    <w:qFormat/>
    <w:rPr>
      <w:rFonts w:ascii="Arial" w:hAnsi="Arial" w:eastAsia="楷体" w:cs="Arial"/>
      <w:sz w:val="32"/>
      <w:szCs w:val="30"/>
    </w:rPr>
  </w:style>
  <w:style w:type="character" w:styleId="972">
    <w:name w:val="标题 4 Char"/>
    <w:next w:val="972"/>
    <w:link w:val="777"/>
    <w:uiPriority w:val="9"/>
    <w:qFormat/>
    <w:rPr>
      <w:rFonts w:ascii="Times New Roman" w:hAnsi="Times New Roman" w:eastAsia="仿宋_GB2312" w:cs="仿宋_GB2312"/>
      <w:sz w:val="32"/>
      <w:szCs w:val="32"/>
    </w:rPr>
  </w:style>
  <w:style w:type="character" w:styleId="973">
    <w:name w:val="contractReviewCommentRevision_b1a2581b94874e72bee9a90bbaa068f8"/>
    <w:basedOn w:val="778"/>
    <w:next w:val="973"/>
    <w:link w:val="777"/>
    <w:qFormat/>
  </w:style>
  <w:style w:type="paragraph" w:styleId="974">
    <w:name w:val="附录标题"/>
    <w:next w:val="777"/>
    <w:link w:val="777"/>
    <w:qFormat/>
    <w:pPr>
      <w:jc w:val="left"/>
      <w:spacing w:line="560" w:lineRule="exact"/>
      <w:outlineLvl w:val="0"/>
    </w:pPr>
    <w:rPr>
      <w:rFonts w:ascii="黑体" w:hAnsi="黑体" w:eastAsia="黑体" w:cs="黑体"/>
      <w:sz w:val="32"/>
      <w:szCs w:val="32"/>
    </w:rPr>
  </w:style>
  <w:style w:type="paragraph" w:styleId="975">
    <w:name w:val="_Style 91"/>
    <w:next w:val="975"/>
    <w:link w:val="777"/>
    <w:uiPriority w:val="99"/>
    <w:qFormat/>
    <w:pPr>
      <w:ind w:firstLine="420"/>
      <w:jc w:val="both"/>
      <w:widowControl w:val="off"/>
    </w:pPr>
    <w:rPr>
      <w:rFonts w:ascii="Calibri" w:hAnsi="Calibri" w:eastAsia="宋体" w:cs="Times New Roman"/>
      <w:sz w:val="21"/>
      <w:szCs w:val="22"/>
      <w:lang w:eastAsia="zh-CN"/>
    </w:rPr>
  </w:style>
  <w:style w:type="paragraph" w:styleId="976">
    <w:name w:val="普通(网站)11"/>
    <w:basedOn w:val="777"/>
    <w:next w:val="976"/>
    <w:link w:val="777"/>
    <w:uiPriority w:val="99"/>
    <w:unhideWhenUsed/>
    <w:qFormat/>
    <w:pPr>
      <w:jc w:val="left"/>
      <w:spacing w:beforeAutospacing="1" w:afterAutospacing="1"/>
    </w:pPr>
    <w:rPr>
      <w:sz w:val="24"/>
    </w:rPr>
  </w:style>
  <w:style w:type="paragraph" w:styleId="977">
    <w:name w:val="普通(网站)1"/>
    <w:basedOn w:val="777"/>
    <w:next w:val="977"/>
    <w:link w:val="777"/>
    <w:qFormat/>
    <w:pPr>
      <w:jc w:val="left"/>
      <w:spacing w:before="100" w:beforeAutospacing="1" w:after="100" w:afterAutospacing="1"/>
      <w:widowControl/>
    </w:pPr>
    <w:rPr>
      <w:rFonts w:ascii="宋体" w:hAnsi="宋体" w:cs="宋体"/>
      <w:sz w:val="24"/>
    </w:rPr>
  </w:style>
  <w:style w:type="paragraph" w:styleId="978">
    <w:name w:val="正文缩进11"/>
    <w:basedOn w:val="777"/>
    <w:next w:val="777"/>
    <w:link w:val="777"/>
    <w:uiPriority w:val="99"/>
    <w:unhideWhenUsed/>
    <w:qFormat/>
    <w:pPr>
      <w:ind w:firstLine="420"/>
      <w:jc w:val="left"/>
    </w:pPr>
    <w:rPr>
      <w:sz w:val="24"/>
    </w:rPr>
  </w:style>
  <w:style w:type="paragraph" w:styleId="979">
    <w:name w:val="主送对象"/>
    <w:next w:val="777"/>
    <w:link w:val="777"/>
    <w:qFormat/>
    <w:pPr>
      <w:spacing w:line="560" w:lineRule="exact"/>
    </w:pPr>
    <w:rPr>
      <w:rFonts w:ascii="Times New Roman" w:hAnsi="Times New Roman" w:eastAsia="仿宋_GB2312" w:cs="仿宋_GB2312"/>
      <w:sz w:val="32"/>
      <w:szCs w:val="32"/>
    </w:rPr>
  </w:style>
  <w:style w:type="paragraph" w:styleId="980">
    <w:name w:val="正文首行缩进 21"/>
    <w:basedOn w:val="981"/>
    <w:next w:val="983"/>
    <w:link w:val="777"/>
    <w:uiPriority w:val="99"/>
    <w:qFormat/>
    <w:pPr>
      <w:ind w:left="420" w:firstLine="210"/>
      <w:spacing w:after="120" w:line="240" w:lineRule="auto"/>
    </w:pPr>
    <w:rPr>
      <w:rFonts w:ascii="Times New Roman" w:hAnsi="Times New Roman" w:eastAsia="仿宋_GB2312"/>
      <w:sz w:val="30"/>
    </w:rPr>
  </w:style>
  <w:style w:type="paragraph" w:styleId="981">
    <w:name w:val="正文文本缩进1"/>
    <w:basedOn w:val="777"/>
    <w:next w:val="982"/>
    <w:link w:val="777"/>
    <w:qFormat/>
    <w:pPr>
      <w:ind w:left="570"/>
      <w:spacing w:line="520" w:lineRule="exact"/>
    </w:pPr>
    <w:rPr>
      <w:rFonts w:ascii="方正仿宋简体" w:hAnsi="创艺简仿宋" w:eastAsia="方正仿宋简体"/>
      <w:sz w:val="24"/>
    </w:rPr>
  </w:style>
  <w:style w:type="paragraph" w:styleId="982">
    <w:name w:val="寄信人地址1"/>
    <w:basedOn w:val="777"/>
    <w:next w:val="982"/>
    <w:link w:val="777"/>
    <w:uiPriority w:val="99"/>
    <w:unhideWhenUsed/>
    <w:qFormat/>
    <w:rPr>
      <w:rFonts w:ascii="Arial" w:hAnsi="Arial"/>
    </w:rPr>
  </w:style>
  <w:style w:type="paragraph" w:styleId="983">
    <w:name w:val="Body"/>
    <w:next w:val="984"/>
    <w:link w:val="777"/>
    <w:qFormat/>
    <w:pPr>
      <w:ind w:left="567" w:right="2835" w:firstLine="3584"/>
      <w:spacing w:after="60"/>
    </w:pPr>
    <w:rPr>
      <w:rFonts w:ascii="Calibri" w:hAnsi="Calibri" w:eastAsia="宋体" w:cs="宋体"/>
      <w:lang w:eastAsia="zh-CN"/>
    </w:rPr>
  </w:style>
  <w:style w:type="paragraph" w:styleId="984">
    <w:name w:val="索引 91"/>
    <w:basedOn w:val="954"/>
    <w:next w:val="777"/>
    <w:link w:val="777"/>
    <w:qFormat/>
    <w:pPr>
      <w:ind w:left="1600" w:firstLine="2560"/>
      <w:jc w:val="center"/>
      <w:spacing w:before="0" w:after="0" w:line="360" w:lineRule="auto"/>
    </w:pPr>
    <w:rPr>
      <w:rFonts w:ascii="Times New Roman" w:hAnsi="Times New Roman" w:cs="Times New Roman"/>
    </w:rPr>
  </w:style>
  <w:style w:type="paragraph" w:styleId="985">
    <w:name w:val="页脚1"/>
    <w:basedOn w:val="777"/>
    <w:next w:val="985"/>
    <w:link w:val="777"/>
    <w:uiPriority w:val="99"/>
    <w:qFormat/>
    <w:pPr>
      <w:jc w:val="left"/>
      <w:tabs>
        <w:tab w:val="center" w:pos="4153" w:leader="none"/>
        <w:tab w:val="right" w:pos="8306" w:leader="none"/>
      </w:tabs>
    </w:pPr>
    <w:rPr>
      <w:sz w:val="18"/>
      <w:szCs w:val="18"/>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dc:creator>
  <cp:lastModifiedBy>华琤</cp:lastModifiedBy>
  <cp:revision>9</cp:revision>
  <dcterms:created xsi:type="dcterms:W3CDTF">2023-05-30T02:56:00Z</dcterms:created>
  <dcterms:modified xsi:type="dcterms:W3CDTF">2026-07-30T06:50:29Z</dcterms:modified>
</cp:coreProperties>
</file>