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rPr>
        <w:t xml:space="preserve">项目名称：连云港职业技术学院致远楼教学区电梯项目（非专门面向中小企业）</w:t>
      </w:r>
      <w:r/>
    </w:p>
    <w:p>
      <w:pPr>
        <w:ind w:firstLine="1285"/>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sz w:val="32"/>
          <w:szCs w:val="24"/>
        </w:rPr>
        <w:t xml:space="preserve">项目编号：JSZC-320700-JZCG-G2026-00</w:t>
      </w:r>
      <w:r>
        <w:rPr>
          <w:rFonts w:hint="eastAsia" w:ascii="Arial" w:hAnsi="Arial" w:eastAsia="宋体" w:cs="Times New Roman"/>
          <w:b/>
          <w:bCs/>
          <w:sz w:val="32"/>
          <w:szCs w:val="24"/>
          <w:lang w:val="en-US" w:eastAsia="zh-CN"/>
        </w:rPr>
        <w:t xml:space="preserve">79</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713"/>
      </w:pPr>
      <w:r>
        <w:rPr>
          <w:rFonts w:hint="eastAsia"/>
        </w:rPr>
        <w:t xml:space="preserve">目  录</w:t>
      </w:r>
      <w:r/>
    </w:p>
    <w:p>
      <w:pPr>
        <w:pStyle w:val="713"/>
        <w:rPr>
          <w:sz w:val="36"/>
          <w:szCs w:val="36"/>
        </w:rPr>
      </w:pPr>
      <w:r>
        <w:rPr>
          <w:rFonts w:hint="eastAsia"/>
          <w:sz w:val="36"/>
          <w:szCs w:val="36"/>
        </w:rPr>
        <w:t xml:space="preserve">第一章</w:t>
      </w:r>
      <w:r>
        <w:rPr>
          <w:sz w:val="36"/>
          <w:szCs w:val="36"/>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713"/>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713"/>
        <w:rPr>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p>
    <w:p>
      <w:pPr>
        <w:pStyle w:val="713"/>
        <w:rPr>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p>
    <w:p>
      <w:pPr>
        <w:pStyle w:val="713"/>
        <w:rPr>
          <w:sz w:val="36"/>
          <w:szCs w:val="36"/>
        </w:rPr>
      </w:pPr>
      <w:r>
        <w:rPr>
          <w:rFonts w:hint="eastAsia"/>
          <w:sz w:val="36"/>
          <w:szCs w:val="36"/>
        </w:rPr>
        <w:t xml:space="preserve">第五章</w:t>
      </w:r>
      <w:r>
        <w:rPr>
          <w:sz w:val="36"/>
          <w:szCs w:val="36"/>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44</w:t>
      </w:r>
      <w:r>
        <w:rPr>
          <w:sz w:val="36"/>
          <w:szCs w:val="36"/>
        </w:rPr>
        <w:fldChar w:fldCharType="end"/>
      </w:r>
      <w:r/>
    </w:p>
    <w:p>
      <w:pPr>
        <w:pStyle w:val="713"/>
        <w:rPr>
          <w:sz w:val="36"/>
          <w:szCs w:val="36"/>
        </w:rPr>
      </w:pPr>
      <w:r>
        <w:rPr>
          <w:rFonts w:hint="eastAsia"/>
          <w:sz w:val="36"/>
          <w:szCs w:val="36"/>
        </w:rPr>
        <w:t xml:space="preserve">第六章</w:t>
      </w:r>
      <w:r>
        <w:rPr>
          <w:sz w:val="36"/>
          <w:szCs w:val="36"/>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46</w:t>
      </w:r>
      <w:r>
        <w:rPr>
          <w:sz w:val="36"/>
          <w:szCs w:val="36"/>
        </w:rPr>
        <w:fldChar w:fldCharType="end"/>
      </w:r>
      <w:r/>
    </w:p>
    <w:p>
      <w:pPr>
        <w:jc w:val="left"/>
        <w:widowControl/>
      </w:pPr>
      <w:r>
        <w:fldChar w:fldCharType="end"/>
      </w:r>
      <w:r>
        <w:br w:type="page" w:clear="all"/>
      </w:r>
      <w:r/>
    </w:p>
    <w:p>
      <w:pPr>
        <w:pStyle w:val="68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87"/>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受连云港职业技术学院的委托，连云港市公共资源交易中心就</w:t>
      </w:r>
      <w:r>
        <w:rPr>
          <w:rFonts w:hint="eastAsia"/>
          <w:sz w:val="24"/>
          <w:szCs w:val="24"/>
        </w:rPr>
        <w:br/>
      </w:r>
      <w:r>
        <w:rPr>
          <w:rFonts w:hint="eastAsia"/>
          <w:sz w:val="24"/>
          <w:szCs w:val="24"/>
        </w:rPr>
        <w:t xml:space="preserve">连云港职业技术学院致远楼教学区电梯项目（非专门面向中小企业）（JSZC-320700-JZCG-G2026-00</w:t>
      </w:r>
      <w:r>
        <w:rPr>
          <w:rFonts w:hint="eastAsia"/>
          <w:sz w:val="24"/>
          <w:szCs w:val="24"/>
          <w:lang w:val="en-US" w:eastAsia="zh-CN"/>
        </w:rPr>
        <w:t xml:space="preserve">79</w:t>
      </w:r>
      <w:r>
        <w:rPr>
          <w:rFonts w:hint="eastAsia"/>
          <w:sz w:val="24"/>
          <w:szCs w:val="24"/>
        </w:rPr>
        <w:t xml:space="preserve">）进行公开招标采购，欢迎符合条件的供应商投标。</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highlight w:val="white"/>
              </w:rPr>
            </w:pPr>
            <w:r>
              <w:rPr>
                <w:rFonts w:hint="eastAsia"/>
                <w:sz w:val="24"/>
                <w:szCs w:val="24"/>
              </w:rPr>
              <w:t xml:space="preserve">连云港职业技术学院致远楼教学区电梯项目（非专门</w:t>
            </w:r>
            <w:r>
              <w:rPr>
                <w:rFonts w:hint="eastAsia"/>
                <w:sz w:val="24"/>
                <w:szCs w:val="24"/>
                <w:highlight w:val="white"/>
              </w:rPr>
              <w:t xml:space="preserve">面向中小企业）的潜在投标人应在江苏政府采购网自行免费下载招标文件，并于202</w:t>
            </w:r>
            <w:r>
              <w:rPr>
                <w:rFonts w:hint="eastAsia" w:eastAsia="宋体"/>
                <w:sz w:val="24"/>
                <w:szCs w:val="24"/>
                <w:highlight w:val="white"/>
              </w:rPr>
              <w:t xml:space="preserve">6</w:t>
            </w:r>
            <w:r>
              <w:rPr>
                <w:rFonts w:hint="eastAsia"/>
                <w:sz w:val="24"/>
                <w:szCs w:val="24"/>
                <w:highlight w:val="white"/>
              </w:rPr>
              <w:t xml:space="preserve">年</w:t>
            </w:r>
            <w:r>
              <w:rPr>
                <w:rFonts w:hint="eastAsia" w:eastAsia="宋体"/>
                <w:sz w:val="24"/>
                <w:szCs w:val="24"/>
                <w:highlight w:val="white"/>
                <w:lang w:val="en-US" w:eastAsia="zh-CN"/>
              </w:rPr>
              <w:t xml:space="preserve">8</w:t>
            </w:r>
            <w:r>
              <w:rPr>
                <w:rFonts w:hint="eastAsia"/>
                <w:sz w:val="24"/>
                <w:szCs w:val="24"/>
                <w:highlight w:val="white"/>
              </w:rPr>
              <w:t xml:space="preserve">月</w:t>
            </w:r>
            <w:r>
              <w:rPr>
                <w:rFonts w:hint="eastAsia"/>
                <w:sz w:val="24"/>
                <w:szCs w:val="24"/>
                <w:highlight w:val="white"/>
                <w:lang w:val="en-US" w:eastAsia="zh-CN"/>
              </w:rPr>
              <w:t xml:space="preserve">6</w:t>
            </w:r>
            <w:r>
              <w:rPr>
                <w:rFonts w:hint="eastAsia"/>
                <w:sz w:val="24"/>
                <w:szCs w:val="24"/>
                <w:highlight w:val="white"/>
              </w:rPr>
              <w:t xml:space="preserve">日09:00:00（北京时间）前递交（上传）投标文件。</w:t>
            </w:r>
            <w:r/>
          </w:p>
        </w:tc>
      </w:tr>
    </w:tbl>
    <w:p>
      <w:pPr>
        <w:pStyle w:val="68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项目编号：JSZC-320700-JZCG-G2026-00</w:t>
      </w:r>
      <w:r>
        <w:rPr>
          <w:rFonts w:hint="eastAsia"/>
          <w:sz w:val="24"/>
          <w:szCs w:val="24"/>
          <w:lang w:val="en-US" w:eastAsia="zh-CN"/>
        </w:rPr>
        <w:t xml:space="preserve">79</w:t>
      </w:r>
      <w:r/>
    </w:p>
    <w:p>
      <w:pPr>
        <w:ind w:firstLine="480"/>
        <w:jc w:val="left"/>
        <w:spacing w:line="500" w:lineRule="exact"/>
        <w:rPr>
          <w:rFonts w:hint="eastAsia" w:eastAsiaTheme="minorEastAsia"/>
          <w:sz w:val="24"/>
          <w:szCs w:val="24"/>
          <w:lang w:eastAsia="zh-CN"/>
        </w:rPr>
      </w:pPr>
      <w:r>
        <w:rPr>
          <w:rFonts w:hint="eastAsia"/>
          <w:sz w:val="24"/>
          <w:szCs w:val="24"/>
        </w:rPr>
        <w:t xml:space="preserve">项目名称：连云港职业技术学院致远楼教学区电梯项目（非专门面向中小企业）</w:t>
      </w:r>
      <w:r/>
    </w:p>
    <w:p>
      <w:pPr>
        <w:ind w:firstLine="480"/>
        <w:jc w:val="left"/>
        <w:spacing w:line="500" w:lineRule="exact"/>
        <w:rPr>
          <w:sz w:val="24"/>
          <w:szCs w:val="24"/>
        </w:rPr>
      </w:pPr>
      <w:r>
        <w:rPr>
          <w:rFonts w:hint="eastAsia"/>
          <w:sz w:val="24"/>
          <w:szCs w:val="24"/>
        </w:rPr>
        <w:t xml:space="preserve">预算金额：24万元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采购需求：学校拟近期更换学校致远楼一部电梯，详细需求见第四章采购需求。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合同履行期限：合同签订后</w:t>
      </w:r>
      <w:r>
        <w:rPr>
          <w:rFonts w:hint="eastAsia"/>
          <w:sz w:val="24"/>
          <w:szCs w:val="24"/>
          <w:lang w:val="en-US" w:eastAsia="zh-CN"/>
        </w:rPr>
        <w:t xml:space="preserve">4</w:t>
      </w:r>
      <w:r>
        <w:rPr>
          <w:rFonts w:hint="eastAsia"/>
          <w:sz w:val="24"/>
          <w:szCs w:val="24"/>
        </w:rPr>
        <w:t xml:space="preserve">0天内</w:t>
      </w:r>
      <w:bookmarkStart w:id="26" w:name="_GoBack"/>
      <w:r/>
      <w:bookmarkEnd w:id="26"/>
      <w:r>
        <w:rPr>
          <w:rFonts w:hint="eastAsia"/>
          <w:sz w:val="24"/>
          <w:szCs w:val="24"/>
        </w:rPr>
        <w:t xml:space="preserve">完成安装、调试。</w:t>
      </w:r>
      <w:r/>
    </w:p>
    <w:p>
      <w:pPr>
        <w:ind w:firstLine="480"/>
        <w:jc w:val="left"/>
        <w:spacing w:line="500" w:lineRule="exact"/>
        <w:rPr>
          <w:rFonts w:hint="eastAsia"/>
          <w:sz w:val="24"/>
          <w:szCs w:val="24"/>
          <w:highlight w:val="none"/>
        </w:rPr>
      </w:pPr>
      <w:r>
        <w:rPr>
          <w:rFonts w:hint="eastAsia"/>
          <w:sz w:val="24"/>
          <w:szCs w:val="24"/>
        </w:rPr>
        <w:t xml:space="preserve">本项目（是/否）接受联合体投标：不接受联合体。</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本项目不接受进口产品（进口产品是指通过中国海关报关验放进入中国境内且产自关境外的产品）投标，中标后不允许分包或转包。</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68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7.资格审查现场查询“信用中国”网站</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pStyle w:val="910"/>
        <w:ind w:firstLine="480"/>
        <w:rPr>
          <w:sz w:val="24"/>
        </w:rPr>
      </w:pPr>
      <w:r>
        <w:rPr>
          <w:rFonts w:hint="eastAsia"/>
          <w:sz w:val="24"/>
        </w:rPr>
        <w:t xml:space="preserve">（三）本项目特定资格要求</w:t>
      </w: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b/>
          <w:bCs/>
          <w:sz w:val="24"/>
          <w:szCs w:val="24"/>
          <w:highlight w:val="none"/>
        </w:rPr>
        <w:t xml:space="preserve">投标人为制造商的，</w:t>
      </w:r>
      <w:r>
        <w:rPr>
          <w:rFonts w:ascii="宋体" w:hAnsi="宋体" w:eastAsia="宋体" w:cs="宋体"/>
          <w:b w:val="0"/>
          <w:bCs w:val="0"/>
          <w:sz w:val="24"/>
          <w:szCs w:val="24"/>
          <w:highlight w:val="none"/>
        </w:rPr>
        <w:t xml:space="preserve">应具备</w:t>
      </w:r>
      <w:r>
        <w:rPr>
          <w:rFonts w:ascii="宋体" w:hAnsi="宋体" w:eastAsia="宋体" w:cs="宋体"/>
          <w:sz w:val="24"/>
          <w:szCs w:val="24"/>
          <w:highlight w:val="none"/>
        </w:rPr>
        <w:t xml:space="preserve">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ascii="宋体" w:hAnsi="宋体" w:eastAsia="宋体" w:cs="宋体"/>
          <w:b/>
          <w:bCs/>
          <w:sz w:val="24"/>
          <w:szCs w:val="24"/>
          <w:highlight w:val="none"/>
        </w:rPr>
        <w:t xml:space="preserve">制造</w:t>
      </w:r>
      <w:r>
        <w:rPr>
          <w:rFonts w:hint="eastAsia" w:ascii="宋体" w:hAnsi="宋体" w:eastAsia="宋体" w:cs="宋体"/>
          <w:b/>
          <w:bCs/>
          <w:sz w:val="24"/>
          <w:szCs w:val="24"/>
          <w:highlight w:val="none"/>
          <w:lang w:val="en-US" w:eastAsia="zh-CN"/>
        </w:rPr>
        <w:t xml:space="preserve">（含</w:t>
      </w:r>
      <w:r>
        <w:rPr>
          <w:rFonts w:ascii="宋体" w:hAnsi="宋体" w:eastAsia="宋体" w:cs="宋体"/>
          <w:b/>
          <w:bCs/>
          <w:sz w:val="24"/>
          <w:szCs w:val="24"/>
          <w:highlight w:val="none"/>
        </w:rPr>
        <w:t xml:space="preserve">安装、</w:t>
      </w:r>
      <w:r>
        <w:rPr>
          <w:rFonts w:hint="eastAsia" w:ascii="宋体" w:hAnsi="宋体" w:eastAsia="宋体" w:cs="宋体"/>
          <w:b/>
          <w:bCs/>
          <w:sz w:val="24"/>
          <w:szCs w:val="24"/>
          <w:highlight w:val="none"/>
          <w:lang w:val="en-US" w:eastAsia="zh-CN"/>
        </w:rPr>
        <w:t xml:space="preserve">修理</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改造）</w:t>
      </w:r>
      <w:r>
        <w:rPr>
          <w:rFonts w:ascii="宋体" w:hAnsi="宋体" w:eastAsia="宋体" w:cs="宋体"/>
          <w:b/>
          <w:bCs/>
          <w:sz w:val="24"/>
          <w:szCs w:val="24"/>
          <w:highlight w:val="none"/>
        </w:rPr>
        <w:t xml:space="preserve">资质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lang w:val="en-US" w:eastAsia="zh-CN"/>
        </w:rPr>
        <w:t xml:space="preserve">或者同时具备</w:t>
      </w:r>
      <w:r>
        <w:rPr>
          <w:rFonts w:ascii="宋体" w:hAnsi="宋体" w:eastAsia="宋体" w:cs="宋体"/>
          <w:sz w:val="24"/>
          <w:szCs w:val="24"/>
          <w:highlight w:val="none"/>
        </w:rPr>
        <w:t xml:space="preserve">有效期内的《中华人民共和国特种设备制造许可证》曳引驱动乘客梯C级</w:t>
      </w:r>
      <w:r>
        <w:rPr>
          <w:rFonts w:hint="eastAsia" w:ascii="宋体" w:hAnsi="宋体" w:eastAsia="宋体" w:cs="宋体"/>
          <w:sz w:val="24"/>
          <w:szCs w:val="24"/>
          <w:highlight w:val="none"/>
          <w:lang w:val="en-US" w:eastAsia="zh-CN"/>
        </w:rPr>
        <w:t xml:space="preserve">及以上</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《中华人民共和国特种设备安装改造维修许可证》安装、维修C级</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以上资质</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新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ascii="宋体" w:hAnsi="宋体" w:eastAsia="宋体" w:cs="宋体"/>
          <w:b/>
          <w:bCs/>
          <w:sz w:val="24"/>
          <w:szCs w:val="24"/>
          <w:highlight w:val="none"/>
        </w:rPr>
        <w:t xml:space="preserve">投标人为代理商的，应具备</w:t>
      </w:r>
      <w:r>
        <w:rPr>
          <w:rFonts w:ascii="宋体" w:hAnsi="宋体" w:eastAsia="宋体" w:cs="宋体"/>
          <w:sz w:val="24"/>
          <w:szCs w:val="24"/>
          <w:highlight w:val="none"/>
        </w:rPr>
        <w:t xml:space="preserve">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hint="eastAsia" w:ascii="宋体" w:hAnsi="宋体" w:eastAsia="宋体" w:cs="宋体"/>
          <w:sz w:val="24"/>
          <w:szCs w:val="24"/>
          <w:highlight w:val="none"/>
        </w:rPr>
        <w:t xml:space="preserve">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修理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新</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ascii="宋体" w:hAnsi="宋体" w:eastAsia="新宋体" w:cs="宋体"/>
          <w:sz w:val="24"/>
          <w:szCs w:val="24"/>
          <w:highlight w:val="none"/>
        </w:rPr>
        <w:t xml:space="preserve">②</w:t>
      </w:r>
      <w:r>
        <w:rPr>
          <w:rFonts w:ascii="宋体" w:hAnsi="宋体" w:eastAsia="宋体" w:cs="宋体"/>
          <w:b/>
          <w:bCs/>
          <w:sz w:val="24"/>
          <w:szCs w:val="24"/>
          <w:highlight w:val="none"/>
        </w:rPr>
        <w:t xml:space="preserve">同时提供所投产品制造商</w:t>
      </w:r>
      <w:r>
        <w:rPr>
          <w:rFonts w:ascii="宋体" w:hAnsi="宋体" w:eastAsia="宋体" w:cs="宋体"/>
          <w:sz w:val="24"/>
          <w:szCs w:val="24"/>
          <w:highlight w:val="none"/>
        </w:rPr>
        <w:t xml:space="preserve">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ascii="宋体" w:hAnsi="宋体" w:eastAsia="宋体" w:cs="宋体"/>
          <w:sz w:val="24"/>
          <w:szCs w:val="24"/>
          <w:highlight w:val="none"/>
        </w:rPr>
        <w:t xml:space="preserve">制造（新）资质。</w:t>
      </w:r>
      <w:r/>
    </w:p>
    <w:p>
      <w:pPr>
        <w:pStyle w:val="68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w:t>
      </w:r>
      <w:r>
        <w:rPr>
          <w:rFonts w:hint="eastAsia" w:eastAsia="宋体" w:asciiTheme="minorEastAsia" w:hAnsiTheme="minorEastAsia"/>
          <w:sz w:val="24"/>
          <w:szCs w:val="24"/>
        </w:rPr>
        <w:t xml:space="preserve">6</w:t>
      </w:r>
      <w:r>
        <w:rPr>
          <w:rFonts w:hint="eastAsia" w:asciiTheme="minorEastAsia" w:hAnsiTheme="minorEastAsia"/>
          <w:sz w:val="24"/>
          <w:szCs w:val="24"/>
        </w:rPr>
        <w:t xml:space="preserve">年</w:t>
      </w:r>
      <w:r>
        <w:rPr>
          <w:rFonts w:hint="eastAsia" w:eastAsia="宋体" w:asciiTheme="minorEastAsia" w:hAnsiTheme="minorEastAsia"/>
          <w:sz w:val="24"/>
          <w:szCs w:val="24"/>
          <w:lang w:val="en-US" w:eastAsia="zh-CN"/>
        </w:rPr>
        <w:t xml:space="preserve">7</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24</w:t>
      </w:r>
      <w:r>
        <w:rPr>
          <w:rFonts w:hint="eastAsia" w:asciiTheme="minorEastAsia" w:hAnsiTheme="minorEastAsia"/>
          <w:sz w:val="24"/>
          <w:szCs w:val="24"/>
        </w:rPr>
        <w:t xml:space="preserve">日</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8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w:t>
      </w:r>
      <w:r>
        <w:rPr>
          <w:rFonts w:hint="eastAsia" w:eastAsia="宋体"/>
          <w:sz w:val="24"/>
          <w:szCs w:val="24"/>
        </w:rPr>
        <w:t xml:space="preserve">6</w:t>
      </w:r>
      <w:r>
        <w:rPr>
          <w:rFonts w:hint="eastAsia"/>
          <w:sz w:val="24"/>
          <w:szCs w:val="24"/>
        </w:rPr>
        <w:t xml:space="preserve">年</w:t>
      </w:r>
      <w:r>
        <w:rPr>
          <w:rFonts w:hint="eastAsia"/>
          <w:sz w:val="24"/>
          <w:szCs w:val="24"/>
          <w:lang w:val="en-US" w:eastAsia="zh-CN"/>
        </w:rPr>
        <w:t xml:space="preserve">8</w:t>
      </w:r>
      <w:r>
        <w:rPr>
          <w:rFonts w:hint="eastAsia"/>
          <w:sz w:val="24"/>
          <w:szCs w:val="24"/>
        </w:rPr>
        <w:t xml:space="preserve">月</w:t>
      </w:r>
      <w:r>
        <w:rPr>
          <w:rFonts w:hint="eastAsia"/>
          <w:sz w:val="24"/>
          <w:szCs w:val="24"/>
          <w:lang w:val="en-US" w:eastAsia="zh-CN"/>
        </w:rPr>
        <w:t xml:space="preserve">6</w:t>
      </w:r>
      <w:r>
        <w:rPr>
          <w:rFonts w:hint="eastAsia"/>
          <w:sz w:val="24"/>
          <w:szCs w:val="24"/>
        </w:rPr>
        <w:t xml:space="preserve">日09:00:00（北京时间）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8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8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8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称：连云港职业技术学院</w:t>
      </w:r>
      <w:r/>
    </w:p>
    <w:p>
      <w:pPr>
        <w:ind w:firstLine="480"/>
        <w:jc w:val="left"/>
        <w:spacing w:line="500" w:lineRule="exact"/>
        <w:rPr>
          <w:sz w:val="24"/>
          <w:szCs w:val="24"/>
        </w:rPr>
      </w:pPr>
      <w:r>
        <w:rPr>
          <w:rFonts w:hint="eastAsia"/>
          <w:sz w:val="24"/>
          <w:szCs w:val="24"/>
        </w:rPr>
        <w:t xml:space="preserve">地    址：江苏省连云港市晨光路2号</w:t>
      </w:r>
      <w:r/>
    </w:p>
    <w:p>
      <w:pPr>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李老师</w:t>
      </w:r>
      <w:r/>
    </w:p>
    <w:p>
      <w:pPr>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0518-80828089</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址：连云港市海州区凌洲东路9号2号楼419室</w:t>
      </w:r>
      <w:r/>
    </w:p>
    <w:p>
      <w:pPr>
        <w:ind w:firstLine="480"/>
        <w:jc w:val="left"/>
        <w:spacing w:line="500" w:lineRule="exact"/>
        <w:rPr>
          <w:rFonts w:eastAsia="宋体"/>
          <w:sz w:val="24"/>
          <w:szCs w:val="24"/>
        </w:rPr>
      </w:pPr>
      <w:r>
        <w:rPr>
          <w:rFonts w:hint="eastAsia"/>
          <w:sz w:val="24"/>
          <w:szCs w:val="24"/>
        </w:rPr>
        <w:t xml:space="preserve">联 系 人：</w:t>
      </w:r>
      <w:r>
        <w:rPr>
          <w:rFonts w:hint="eastAsia" w:eastAsia="宋体"/>
          <w:sz w:val="24"/>
          <w:szCs w:val="24"/>
        </w:rPr>
        <w:t xml:space="preserve">程杨</w:t>
      </w:r>
      <w:r/>
    </w:p>
    <w:p>
      <w:pPr>
        <w:ind w:firstLine="480"/>
        <w:jc w:val="left"/>
        <w:spacing w:line="500" w:lineRule="exact"/>
        <w:rPr>
          <w:rFonts w:eastAsia="宋体"/>
          <w:sz w:val="24"/>
          <w:szCs w:val="24"/>
        </w:rPr>
      </w:pPr>
      <w:r>
        <w:rPr>
          <w:rFonts w:hint="eastAsia"/>
          <w:sz w:val="24"/>
          <w:szCs w:val="24"/>
        </w:rPr>
        <w:t xml:space="preserve">联系电话：</w:t>
      </w:r>
      <w:r>
        <w:rPr>
          <w:rFonts w:hint="eastAsia" w:eastAsia="宋体"/>
          <w:sz w:val="24"/>
          <w:szCs w:val="24"/>
        </w:rPr>
        <w:t xml:space="preserve">0518-82256581</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项目联系人：</w:t>
      </w:r>
      <w:r>
        <w:rPr>
          <w:rFonts w:hint="eastAsia"/>
          <w:sz w:val="24"/>
          <w:szCs w:val="24"/>
          <w:lang w:val="en-US" w:eastAsia="zh-CN"/>
        </w:rPr>
        <w:t xml:space="preserve">李老师</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电      话：</w:t>
      </w:r>
      <w:r>
        <w:rPr>
          <w:rFonts w:hint="eastAsia"/>
          <w:sz w:val="24"/>
          <w:szCs w:val="24"/>
          <w:lang w:val="en-US" w:eastAsia="zh-CN"/>
        </w:rPr>
        <w:t xml:space="preserve">0518-80828089</w:t>
      </w:r>
      <w:r/>
    </w:p>
    <w:p>
      <w:pPr>
        <w:jc w:val="left"/>
        <w:widowControl/>
        <w:rPr>
          <w:rFonts w:ascii="黑体" w:hAnsi="黑体" w:eastAsia="黑体"/>
          <w:bCs/>
          <w:sz w:val="44"/>
          <w:szCs w:val="44"/>
        </w:rPr>
      </w:pPr>
      <w:r>
        <w:rPr>
          <w:rFonts w:ascii="黑体" w:hAnsi="黑体" w:eastAsia="黑体"/>
          <w:b/>
        </w:rPr>
        <w:br w:type="page" w:clear="all"/>
      </w:r>
      <w:r/>
    </w:p>
    <w:p>
      <w:pPr>
        <w:pStyle w:val="687"/>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688"/>
        <w:spacing w:before="0" w:after="0" w:line="360" w:lineRule="auto"/>
        <w:rPr>
          <w:rFonts w:ascii="黑体" w:hAnsi="黑体" w:eastAsia="黑体"/>
          <w:b w:val="0"/>
        </w:rPr>
      </w:pPr>
      <w:r>
        <w:rPr>
          <w:rFonts w:hint="eastAsia" w:ascii="黑体" w:hAnsi="黑体" w:eastAsia="黑体"/>
          <w:b w:val="0"/>
        </w:rPr>
        <w:t xml:space="preserve">一、总则</w:t>
      </w:r>
      <w:r/>
    </w:p>
    <w:p>
      <w:pPr>
        <w:pStyle w:val="68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8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68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8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68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88"/>
        <w:spacing w:before="0" w:after="0" w:line="360" w:lineRule="auto"/>
        <w:rPr>
          <w:rFonts w:ascii="黑体" w:hAnsi="黑体" w:eastAsia="黑体"/>
          <w:b w:val="0"/>
        </w:rPr>
      </w:pPr>
      <w:r>
        <w:rPr>
          <w:rFonts w:hint="eastAsia" w:ascii="黑体" w:hAnsi="黑体" w:eastAsia="黑体"/>
          <w:b w:val="0"/>
        </w:rPr>
        <w:t xml:space="preserve">二、招标文件</w:t>
      </w:r>
      <w:r/>
    </w:p>
    <w:p>
      <w:pPr>
        <w:pStyle w:val="68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8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68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8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89"/>
        <w:ind w:firstLine="562"/>
        <w:jc w:val="left"/>
        <w:spacing w:before="0" w:after="0" w:line="360" w:lineRule="auto"/>
        <w:rPr>
          <w:sz w:val="28"/>
          <w:szCs w:val="28"/>
        </w:rPr>
      </w:pPr>
      <w:r>
        <w:rPr>
          <w:rFonts w:hint="eastAsia"/>
          <w:sz w:val="28"/>
          <w:szCs w:val="28"/>
        </w:rPr>
        <w:t xml:space="preserve">9、投标文件编写注意事项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0"/>
        <w:jc w:val="left"/>
        <w:spacing w:line="500" w:lineRule="exact"/>
        <w:rPr>
          <w:sz w:val="24"/>
          <w:szCs w:val="24"/>
        </w:rPr>
      </w:pPr>
      <w:r>
        <w:rPr>
          <w:sz w:val="24"/>
          <w:szCs w:val="24"/>
        </w:rPr>
      </w:r>
      <w:r/>
    </w:p>
    <w:p>
      <w:pPr>
        <w:pStyle w:val="68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8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8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8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68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8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68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8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8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8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8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68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68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8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8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68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8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8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689"/>
        <w:ind w:firstLine="562"/>
        <w:jc w:val="left"/>
        <w:spacing w:before="0" w:after="0" w:line="360" w:lineRule="auto"/>
        <w:rPr>
          <w:sz w:val="28"/>
          <w:szCs w:val="28"/>
        </w:rPr>
      </w:pPr>
      <w:r>
        <w:rPr>
          <w:rFonts w:hint="eastAsia"/>
          <w:sz w:val="28"/>
          <w:szCs w:val="28"/>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1.投标报价低于全部通过符合性审查供应商投标报价平均值</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%的，即投标报价&lt;全部通过符合性审查供应商投标报价平均值×</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2.投标报价低于通过符合性审查的次低报价供应商投标报价</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%的，即投标报价&lt;通过符合性审查的次低报价供应商投标报价×</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3.投标报价低于采购项目最高限价</w:t>
      </w:r>
      <w:r>
        <w:rPr>
          <w:rFonts w:hint="eastAsia" w:ascii="宋体" w:hAnsi="宋体" w:eastAsia="宋体" w:cs="宋体"/>
          <w:b/>
          <w:bCs w:val="0"/>
          <w:sz w:val="24"/>
          <w:szCs w:val="24"/>
          <w:highlight w:val="none"/>
          <w:lang w:val="en-US" w:eastAsia="zh-CN"/>
        </w:rPr>
        <w:t xml:space="preserve">45</w:t>
      </w:r>
      <w:r>
        <w:rPr>
          <w:rFonts w:hint="eastAsia" w:ascii="宋体" w:hAnsi="宋体" w:eastAsia="宋体" w:cs="宋体"/>
          <w:b/>
          <w:bCs w:val="0"/>
          <w:sz w:val="24"/>
          <w:szCs w:val="24"/>
          <w:highlight w:val="none"/>
        </w:rPr>
        <w:t xml:space="preserve">%的，即投标报价&lt;采购项目最高限价×</w:t>
      </w:r>
      <w:r>
        <w:rPr>
          <w:rFonts w:hint="eastAsia" w:ascii="宋体" w:hAnsi="宋体" w:eastAsia="宋体" w:cs="宋体"/>
          <w:b/>
          <w:bCs w:val="0"/>
          <w:sz w:val="24"/>
          <w:szCs w:val="24"/>
          <w:highlight w:val="none"/>
          <w:lang w:val="en-US" w:eastAsia="zh-CN"/>
        </w:rPr>
        <w:t xml:space="preserve">45</w:t>
      </w:r>
      <w:r>
        <w:rPr>
          <w:rFonts w:hint="eastAsia" w:ascii="宋体" w:hAnsi="宋体" w:eastAsia="宋体" w:cs="宋体"/>
          <w:b/>
          <w:bCs w:val="0"/>
          <w:sz w:val="24"/>
          <w:szCs w:val="24"/>
          <w:highlight w:val="none"/>
        </w:rPr>
        <w:t xml:space="preserve">%；</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4.评审委员会基于专业判断，认为供应商报价过低，有可能影响产品质量或者不能诚信履约的其他情形。</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pStyle w:val="68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Calibri" w:hAnsi="Calibri" w:eastAsia="Calibri" w:cs="Calibri"/>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88"/>
        <w:spacing w:before="0" w:after="0" w:line="360" w:lineRule="auto"/>
        <w:rPr>
          <w:rFonts w:ascii="黑体" w:hAnsi="黑体" w:eastAsia="黑体"/>
          <w:b w:val="0"/>
        </w:rPr>
      </w:pPr>
      <w:r>
        <w:rPr>
          <w:rFonts w:hint="eastAsia" w:ascii="黑体" w:hAnsi="黑体" w:eastAsia="黑体"/>
          <w:b w:val="0"/>
        </w:rPr>
        <w:t xml:space="preserve">六、定标</w:t>
      </w:r>
      <w:r/>
    </w:p>
    <w:p>
      <w:pPr>
        <w:pStyle w:val="68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8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88"/>
        <w:spacing w:before="0" w:after="0" w:line="360" w:lineRule="auto"/>
        <w:rPr>
          <w:rFonts w:ascii="黑体" w:hAnsi="黑体" w:eastAsia="黑体"/>
          <w:b w:val="0"/>
        </w:rPr>
      </w:pPr>
      <w:r>
        <w:rPr>
          <w:rFonts w:hint="eastAsia" w:ascii="黑体" w:hAnsi="黑体" w:eastAsia="黑体"/>
          <w:b w:val="0"/>
        </w:rPr>
        <w:t xml:space="preserve">七、授予合同</w:t>
      </w:r>
      <w:r/>
    </w:p>
    <w:p>
      <w:pPr>
        <w:pStyle w:val="68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本项目履约保证金要求详见招标文件第四章 采购需求。</w:t>
      </w:r>
      <w:r/>
    </w:p>
    <w:p>
      <w:pPr>
        <w:pStyle w:val="689"/>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8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8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68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68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9"/>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sz w:val="28"/>
          <w:szCs w:val="28"/>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pStyle w:val="689"/>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rPr>
          <w:rFonts w:ascii="黑体" w:hAnsi="黑体" w:eastAsia="黑体"/>
        </w:rPr>
      </w:pPr>
      <w:r/>
      <w:bookmarkStart w:id="2" w:name="_Toc165205796"/>
      <w:r>
        <w:rPr>
          <w:rFonts w:hint="eastAsia" w:ascii="黑体" w:hAnsi="黑体" w:eastAsia="黑体"/>
        </w:rPr>
        <w:br w:type="page" w:clear="all"/>
      </w:r>
      <w:r/>
    </w:p>
    <w:p>
      <w:pPr>
        <w:pStyle w:val="687"/>
        <w:jc w:val="center"/>
        <w:spacing w:line="360" w:lineRule="auto"/>
        <w:rPr>
          <w:rFonts w:ascii="黑体" w:hAnsi="黑体" w:eastAsia="黑体"/>
          <w:b w:val="0"/>
        </w:rPr>
      </w:pPr>
      <w:r>
        <w:rPr>
          <w:rFonts w:hint="eastAsia" w:ascii="黑体" w:hAnsi="黑体" w:eastAsia="黑体"/>
          <w:b w:val="0"/>
        </w:rPr>
        <w:t xml:space="preserve">第三章  合同文本</w:t>
      </w:r>
      <w:bookmarkEnd w:id="2"/>
      <w:r/>
      <w:r/>
    </w:p>
    <w:p>
      <w:pPr>
        <w:pStyle w:val="702"/>
        <w:jc w:val="center"/>
        <w:spacing w:after="0"/>
        <w:rPr>
          <w:rFonts w:ascii="宋体" w:hAnsi="宋体" w:cs="宋体"/>
          <w:b/>
          <w:bCs/>
          <w:spacing w:val="-20"/>
          <w:sz w:val="48"/>
          <w:szCs w:val="48"/>
        </w:rPr>
      </w:pPr>
      <w:r/>
      <w:bookmarkStart w:id="3" w:name="_Toc3995"/>
      <w:r/>
      <w:r/>
    </w:p>
    <w:p>
      <w:pPr>
        <w:pStyle w:val="702"/>
        <w:jc w:val="center"/>
        <w:spacing w:after="0"/>
        <w:rPr>
          <w:rFonts w:ascii="宋体" w:hAnsi="宋体" w:cs="宋体"/>
          <w:b/>
          <w:bCs/>
          <w:spacing w:val="-20"/>
          <w:sz w:val="48"/>
          <w:szCs w:val="48"/>
        </w:rPr>
      </w:pPr>
      <w:r>
        <w:rPr>
          <w:rFonts w:ascii="宋体" w:hAnsi="宋体" w:cs="宋体"/>
          <w:b/>
          <w:bCs/>
          <w:spacing w:val="-20"/>
          <w:sz w:val="48"/>
          <w:szCs w:val="48"/>
        </w:rPr>
      </w:r>
      <w:r/>
    </w:p>
    <w:p>
      <w:pPr>
        <w:pStyle w:val="702"/>
        <w:jc w:val="center"/>
        <w:spacing w:after="0"/>
        <w:rPr>
          <w:rFonts w:ascii="宋体" w:hAnsi="宋体" w:cs="宋体"/>
          <w:b/>
          <w:bCs/>
          <w:spacing w:val="-20"/>
          <w:sz w:val="48"/>
          <w:szCs w:val="48"/>
        </w:rPr>
      </w:pPr>
      <w:r>
        <w:rPr>
          <w:rFonts w:ascii="宋体" w:hAnsi="宋体" w:cs="宋体"/>
          <w:b/>
          <w:bCs/>
          <w:spacing w:val="-20"/>
          <w:sz w:val="48"/>
          <w:szCs w:val="48"/>
        </w:rPr>
      </w:r>
      <w:r/>
    </w:p>
    <w:p>
      <w:pPr>
        <w:pStyle w:val="702"/>
        <w:jc w:val="center"/>
        <w:spacing w:after="0"/>
        <w:rPr>
          <w:rFonts w:ascii="宋体" w:hAnsi="宋体" w:cs="宋体"/>
          <w:b/>
          <w:bCs/>
          <w:spacing w:val="-20"/>
          <w:sz w:val="48"/>
          <w:szCs w:val="48"/>
        </w:rPr>
      </w:pPr>
      <w:r>
        <w:rPr>
          <w:rFonts w:ascii="宋体" w:hAnsi="宋体" w:cs="宋体"/>
          <w:b/>
          <w:bCs/>
          <w:spacing w:val="-20"/>
          <w:sz w:val="48"/>
          <w:szCs w:val="48"/>
        </w:rPr>
      </w:r>
      <w:r/>
    </w:p>
    <w:p>
      <w:pPr>
        <w:pStyle w:val="70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pStyle w:val="68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70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703"/>
        <w:jc w:val="left"/>
        <w:spacing w:after="0" w:line="400" w:lineRule="exact"/>
        <w:rPr>
          <w:rFonts w:ascii="宋体" w:hAnsi="宋体"/>
          <w:szCs w:val="21"/>
          <w:u w:val="single"/>
        </w:rPr>
      </w:pPr>
      <w:r>
        <w:rPr>
          <w:rFonts w:hint="eastAsia" w:ascii="宋体" w:hAnsi="宋体"/>
          <w:szCs w:val="21"/>
        </w:rPr>
        <w:t xml:space="preserve">（1）采购项目名称：</w:t>
      </w:r>
      <w:r/>
    </w:p>
    <w:p>
      <w:pPr>
        <w:pStyle w:val="703"/>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70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920"/>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20"/>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920"/>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920"/>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920"/>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20"/>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920"/>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920"/>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920"/>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924"/>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2"/>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920"/>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920"/>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92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92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924"/>
      </w:pPr>
      <w:r/>
      <w:r/>
    </w:p>
    <w:tbl>
      <w:tblPr>
        <w:tblStyle w:val="697"/>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703"/>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88"/>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02"/>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02"/>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20"/>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70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02"/>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2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2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2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92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2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92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2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2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20"/>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8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97"/>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20"/>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687"/>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color w:val="000000"/>
          <w:sz w:val="24"/>
          <w:szCs w:val="24"/>
          <w:u w:val="single"/>
        </w:rPr>
        <w:t xml:space="preserve">工业</w:t>
      </w:r>
      <w:r>
        <w:rPr>
          <w:rFonts w:hint="eastAsia" w:ascii="宋体" w:hAnsi="宋体" w:eastAsia="宋体" w:cs="Times New Roman"/>
          <w:color w:val="000000"/>
          <w:sz w:val="24"/>
          <w:szCs w:val="24"/>
        </w:rPr>
        <w:t xml:space="preserve">行业划型标准：</w:t>
      </w:r>
      <w:r/>
    </w:p>
    <w:p>
      <w:pPr>
        <w:ind w:firstLine="480"/>
        <w:jc w:val="left"/>
        <w:spacing w:line="500" w:lineRule="exact"/>
        <w:rPr>
          <w:sz w:val="24"/>
          <w:szCs w:val="24"/>
        </w:rPr>
      </w:pPr>
      <w:r>
        <w:rPr>
          <w:rFonts w:hint="eastAsia"/>
          <w:sz w:val="24"/>
          <w:szCs w:val="24"/>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sz w:val="24"/>
          <w:szCs w:val="24"/>
        </w:rPr>
        <w:t xml:space="preserve">学校拟近期更换学校致远楼一部电梯。</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二、货物采购清单</w:t>
      </w:r>
      <w:r/>
    </w:p>
    <w:tbl>
      <w:tblPr>
        <w:tblStyle w:val="697"/>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730"/>
        <w:gridCol w:w="1080"/>
        <w:gridCol w:w="915"/>
        <w:gridCol w:w="1012"/>
        <w:gridCol w:w="1950"/>
      </w:tblGrid>
      <w:tr>
        <w:trPr>
          <w:jc w:val="center"/>
        </w:trPr>
        <w:tc>
          <w:tcPr>
            <w:shd w:val="clear" w:color="auto" w:fill="auto"/>
            <w:tcW w:w="660"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730"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货物名称</w:t>
            </w:r>
            <w:r/>
          </w:p>
        </w:tc>
        <w:tc>
          <w:tcPr>
            <w:shd w:val="clear" w:color="auto" w:fill="auto"/>
            <w:tcW w:w="1080" w:type="dxa"/>
            <w:vAlign w:val="center"/>
            <w:textDirection w:val="lrTb"/>
            <w:noWrap w:val="false"/>
          </w:tcPr>
          <w:p>
            <w:pPr>
              <w:jc w:val="center"/>
              <w:spacing w:line="360" w:lineRule="auto"/>
              <w:widowControl/>
              <w:rPr>
                <w:rFonts w:ascii="宋体" w:hAnsi="Times New Roman" w:eastAsia="宋体" w:cs="Times New Roman"/>
                <w:sz w:val="24"/>
                <w:szCs w:val="24"/>
              </w:rPr>
            </w:pPr>
            <w:r>
              <w:rPr>
                <w:rFonts w:hint="eastAsia" w:ascii="Times New Roman" w:hAnsi="Times New Roman" w:eastAsia="宋体" w:cs="Times New Roman"/>
                <w:sz w:val="24"/>
                <w:szCs w:val="24"/>
              </w:rPr>
              <w:t xml:space="preserve">数量</w:t>
            </w:r>
            <w:r/>
          </w:p>
        </w:tc>
        <w:tc>
          <w:tcPr>
            <w:shd w:val="clear" w:color="auto" w:fill="auto"/>
            <w:tcW w:w="915" w:type="dxa"/>
            <w:vAlign w:val="center"/>
            <w:textDirection w:val="lrTb"/>
            <w:noWrap w:val="false"/>
          </w:tcPr>
          <w:p>
            <w:pPr>
              <w:jc w:val="center"/>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w:t>
            </w:r>
            <w:r/>
          </w:p>
        </w:tc>
        <w:tc>
          <w:tcPr>
            <w:shd w:val="clear" w:color="auto" w:fill="auto"/>
            <w:tcW w:w="1012" w:type="dxa"/>
            <w:vAlign w:val="center"/>
            <w:textDirection w:val="lrTb"/>
            <w:noWrap w:val="false"/>
          </w:tcPr>
          <w:p>
            <w:pPr>
              <w:jc w:val="center"/>
            </w:pPr>
            <w:r>
              <w:rPr>
                <w:rFonts w:hint="eastAsia"/>
              </w:rPr>
              <w:t xml:space="preserve">备注</w:t>
            </w:r>
            <w:r/>
          </w:p>
        </w:tc>
        <w:tc>
          <w:tcPr>
            <w:shd w:val="clear" w:color="auto" w:fill="auto"/>
            <w:tcW w:w="1950" w:type="dxa"/>
            <w:vAlign w:val="center"/>
            <w:textDirection w:val="lrTb"/>
            <w:noWrap w:val="false"/>
          </w:tcPr>
          <w:p>
            <w:pPr>
              <w:jc w:val="center"/>
              <w:widowControl/>
              <w:rPr>
                <w:rFonts w:ascii="Times New Roman" w:hAnsi="Times New Roman" w:eastAsia="宋体" w:cs="Times New Roman"/>
                <w:szCs w:val="24"/>
              </w:rPr>
            </w:pPr>
            <w:r>
              <w:rPr>
                <w:rFonts w:hint="eastAsia" w:ascii="Times New Roman" w:hAnsi="Times New Roman" w:eastAsia="宋体" w:cs="Times New Roman"/>
                <w:szCs w:val="24"/>
              </w:rPr>
              <w:t xml:space="preserve">中小企业划分标准所属行业</w:t>
            </w:r>
            <w:r/>
          </w:p>
        </w:tc>
      </w:tr>
      <w:tr>
        <w:trPr>
          <w:jc w:val="center"/>
        </w:trPr>
        <w:tc>
          <w:tcPr>
            <w:shd w:val="clear" w:color="auto" w:fill="auto"/>
            <w:tcW w:w="660"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730" w:type="dxa"/>
            <w:vAlign w:val="center"/>
            <w:textDirection w:val="lrTb"/>
            <w:noWrap w:val="false"/>
          </w:tcPr>
          <w:p>
            <w:pPr>
              <w:jc w:val="center"/>
              <w:rPr>
                <w:sz w:val="24"/>
                <w:szCs w:val="24"/>
              </w:rPr>
            </w:pPr>
            <w:r>
              <w:rPr>
                <w:rFonts w:hint="eastAsia"/>
                <w:sz w:val="24"/>
                <w:szCs w:val="24"/>
              </w:rPr>
              <w:t xml:space="preserve">电梯</w:t>
            </w:r>
            <w:r/>
          </w:p>
        </w:tc>
        <w:tc>
          <w:tcPr>
            <w:shd w:val="clear" w:color="auto" w:fill="auto"/>
            <w:tcW w:w="1080" w:type="dxa"/>
            <w:vAlign w:val="center"/>
            <w:textDirection w:val="lrTb"/>
            <w:noWrap w:val="false"/>
          </w:tcPr>
          <w:p>
            <w:pPr>
              <w:jc w:val="center"/>
              <w:rPr>
                <w:sz w:val="24"/>
                <w:szCs w:val="24"/>
              </w:rPr>
            </w:pPr>
            <w:r>
              <w:rPr>
                <w:rFonts w:hint="eastAsia"/>
                <w:sz w:val="24"/>
                <w:szCs w:val="24"/>
              </w:rPr>
              <w:t xml:space="preserve">1</w:t>
            </w:r>
            <w:r/>
          </w:p>
        </w:tc>
        <w:tc>
          <w:tcPr>
            <w:shd w:val="clear" w:color="auto" w:fill="auto"/>
            <w:tcW w:w="915" w:type="dxa"/>
            <w:vAlign w:val="center"/>
            <w:textDirection w:val="lrTb"/>
            <w:noWrap w:val="false"/>
          </w:tcPr>
          <w:p>
            <w:pPr>
              <w:jc w:val="center"/>
              <w:rPr>
                <w:sz w:val="24"/>
                <w:szCs w:val="24"/>
              </w:rPr>
            </w:pPr>
            <w:r>
              <w:rPr>
                <w:rFonts w:hint="eastAsia"/>
                <w:sz w:val="24"/>
                <w:szCs w:val="24"/>
              </w:rPr>
              <w:t xml:space="preserve">台</w:t>
            </w:r>
            <w:r/>
          </w:p>
        </w:tc>
        <w:tc>
          <w:tcPr>
            <w:shd w:val="clear" w:color="auto" w:fill="auto"/>
            <w:tcW w:w="1012" w:type="dxa"/>
            <w:vAlign w:val="center"/>
            <w:textDirection w:val="lrTb"/>
            <w:noWrap w:val="false"/>
          </w:tcPr>
          <w:p>
            <w:pPr>
              <w:jc w:val="center"/>
            </w:pPr>
            <w:r/>
            <w:r/>
          </w:p>
        </w:tc>
        <w:tc>
          <w:tcPr>
            <w:shd w:val="clear" w:color="auto" w:fill="auto"/>
            <w:tcW w:w="1950"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工业</w:t>
            </w:r>
            <w:r/>
          </w:p>
        </w:tc>
      </w:tr>
    </w:tbl>
    <w:p>
      <w:pPr>
        <w:ind w:firstLine="562"/>
        <w:jc w:val="left"/>
        <w:spacing w:line="360" w:lineRule="auto"/>
        <w:rPr>
          <w:rFonts w:ascii="Times New Roman" w:hAnsi="Times New Roman" w:eastAsia="宋体" w:cs="Times New Roman"/>
          <w:b/>
          <w:sz w:val="28"/>
          <w:szCs w:val="28"/>
        </w:rPr>
      </w:pPr>
      <w:r/>
      <w:bookmarkStart w:id="9" w:name="_Toc139966432"/>
      <w:r/>
      <w:bookmarkStart w:id="10" w:name="_Toc139967216"/>
      <w:r>
        <w:rPr>
          <w:rFonts w:hint="eastAsia" w:ascii="Times New Roman" w:hAnsi="Times New Roman" w:eastAsia="宋体" w:cs="Times New Roman"/>
          <w:b/>
          <w:sz w:val="28"/>
          <w:szCs w:val="28"/>
        </w:rPr>
        <w:t xml:space="preserve">三、货物技术参数及功能指标</w:t>
      </w:r>
      <w:r/>
    </w:p>
    <w:tbl>
      <w:tblPr>
        <w:tblStyle w:val="697"/>
        <w:tblW w:w="4933" w:type="pct"/>
        <w:tblInd w:w="0" w:type="dxa"/>
        <w:tblLayout w:type="autofit"/>
        <w:tblCellMar>
          <w:left w:w="108" w:type="dxa"/>
          <w:top w:w="0" w:type="dxa"/>
          <w:right w:w="108" w:type="dxa"/>
          <w:bottom w:w="0" w:type="dxa"/>
        </w:tblCellMar>
        <w:tblLook w:val="04A0" w:firstRow="1" w:lastRow="0" w:firstColumn="1" w:lastColumn="0" w:noHBand="0" w:noVBand="1"/>
      </w:tblPr>
      <w:tblGrid>
        <w:gridCol w:w="758"/>
        <w:gridCol w:w="4012"/>
        <w:gridCol w:w="3638"/>
      </w:tblGrid>
      <w:tr>
        <w:trPr>
          <w:trHeight w:val="449"/>
        </w:trPr>
        <w:tc>
          <w:tcPr>
            <w:shd w:val="clear" w:color="auto" w:fill="auto"/>
            <w:tcBorders>
              <w:top w:val="single" w:color="auto" w:sz="4" w:space="0"/>
              <w:left w:val="single" w:color="auto" w:sz="4" w:space="0"/>
              <w:bottom w:val="single" w:color="auto" w:sz="4" w:space="0"/>
              <w:right w:val="single" w:color="auto" w:sz="4" w:space="0"/>
            </w:tcBorders>
            <w:tcW w:w="451" w:type="pct"/>
            <w:vAlign w:val="bottom"/>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4548" w:type="pct"/>
            <w:vAlign w:val="bottom"/>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技术参数</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载重量(kg)</w:t>
            </w:r>
            <w:r/>
          </w:p>
        </w:tc>
        <w:tc>
          <w:tcPr>
            <w:shd w:val="clear" w:color="auto" w:fill="auto"/>
            <w:tcBorders>
              <w:top w:val="single" w:color="auto"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≥1000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速度（m/s）</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层/站/门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服务楼层</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基站</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驱动方式</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微机控制交流变频调压调速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动力电源/照明电源</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AC3相 380V 50Hz/AC 220V 50 Hz</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控制方式</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单控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井道尺寸(宽×深)(mm)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2500×2400（具体以现场测量为准）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机房尺寸(宽×深×高)(mm)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2500×2400×2100（具体以现场测量为准）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井道总高(m)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20.37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提升高度(m)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顶层净高(mm)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4900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底坑净深(mm)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1970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轿内尺寸(宽×深)(mm)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1600×1500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轿厢天花</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LED照明，简洁大方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轿厢高度(mm)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sz w:val="24"/>
                <w:szCs w:val="24"/>
              </w:rPr>
            </w:pPr>
            <w:r>
              <w:rPr>
                <w:rFonts w:hint="eastAsia" w:ascii="宋体" w:hAnsi="宋体" w:eastAsia="宋体" w:cs="宋体"/>
                <w:b w:val="0"/>
                <w:bCs/>
                <w:sz w:val="24"/>
                <w:szCs w:val="24"/>
                <w:lang w:bidi="ar"/>
              </w:rPr>
              <w:t xml:space="preserve">净高度≥</w:t>
            </w:r>
            <w:r>
              <w:rPr>
                <w:rFonts w:ascii="宋体" w:hAnsi="宋体" w:eastAsia="宋体" w:cs="宋体"/>
                <w:b w:val="0"/>
                <w:bCs/>
                <w:sz w:val="24"/>
                <w:szCs w:val="24"/>
                <w:lang w:bidi="ar"/>
              </w:rPr>
              <w:t xml:space="preserve">2600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轿厢前壁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门灯横梁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轿厢侧壁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轿厢后壁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轿厢地面</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PVC耐磨地板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开门方向</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中分门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开门尺寸(宽×高)(mm)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900×2100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轿厢操纵箱/显示屏幕尺寸</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一体式或全高式操纵箱/显示屏幕≥7英寸，3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操纵箱按钮</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轿厢位置指层/显示屏幕尺寸</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段码或液晶显示/显示屏幕≥7英寸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门套材质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所有层_小门套_3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p>
            <w:pPr>
              <w:jc w:val="left"/>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auto"/>
                <w:sz w:val="24"/>
                <w:szCs w:val="24"/>
                <w:lang w:bidi="ar"/>
              </w:rPr>
              <w:t xml:space="preserve">每层大门套-304发</w:t>
            </w:r>
            <w:r>
              <w:rPr>
                <w:rFonts w:hint="eastAsia" w:ascii="宋体" w:hAnsi="宋体" w:eastAsia="宋体" w:cs="宋体"/>
                <w:b w:val="0"/>
                <w:bCs w:val="0"/>
                <w:color w:val="auto"/>
                <w:sz w:val="24"/>
                <w:szCs w:val="24"/>
                <w:lang w:val="en-US" w:eastAsia="zh-CN" w:bidi="ar"/>
              </w:rPr>
              <w:t xml:space="preserve">纹</w:t>
            </w:r>
            <w:r>
              <w:rPr>
                <w:rFonts w:hint="eastAsia" w:ascii="宋体" w:hAnsi="宋体" w:eastAsia="宋体" w:cs="宋体"/>
                <w:b w:val="0"/>
                <w:bCs w:val="0"/>
                <w:color w:val="auto"/>
                <w:sz w:val="24"/>
                <w:szCs w:val="24"/>
                <w:lang w:bidi="ar"/>
              </w:rPr>
              <w:t xml:space="preserve">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层（厅）门材质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所有层_3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厅外召唤箱</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所有层_显示屏+盲文按钮，3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外召按钮</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所有层_盲文按钮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lang w:bidi="ar"/>
              </w:rPr>
              <w:t xml:space="preserve">门保护装置</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i/>
                <w:iCs/>
                <w:color w:val="000000"/>
                <w:sz w:val="24"/>
                <w:szCs w:val="24"/>
                <w:highlight w:val="none"/>
              </w:rPr>
            </w:pPr>
            <w:r>
              <w:rPr>
                <w:rFonts w:hint="eastAsia" w:ascii="宋体" w:hAnsi="宋体" w:eastAsia="宋体" w:cs="宋体"/>
                <w:b w:val="0"/>
                <w:bCs w:val="0"/>
                <w:i/>
                <w:iCs/>
                <w:color w:val="000000"/>
                <w:sz w:val="24"/>
                <w:szCs w:val="24"/>
                <w:highlight w:val="none"/>
                <w:u w:val="single"/>
                <w:lang w:bidi="ar"/>
              </w:rPr>
              <w:t xml:space="preserve">智能光幕保护功能</w:t>
            </w:r>
            <w:r>
              <w:rPr>
                <w:rFonts w:ascii="宋体" w:hAnsi="宋体" w:eastAsia="宋体" w:cs="宋体"/>
                <w:b w:val="0"/>
                <w:bCs w:val="0"/>
                <w:i/>
                <w:iCs/>
                <w:color w:val="000000"/>
                <w:sz w:val="24"/>
                <w:szCs w:val="24"/>
                <w:highlight w:val="none"/>
                <w:u w:val="single"/>
                <w:lang w:bidi="ar"/>
              </w:rPr>
              <w:t xml:space="preserve">（光幕</w:t>
            </w:r>
            <w:r>
              <w:rPr>
                <w:rFonts w:hint="eastAsia" w:ascii="宋体" w:hAnsi="宋体" w:eastAsia="宋体" w:cs="宋体"/>
                <w:b w:val="0"/>
                <w:bCs w:val="0"/>
                <w:i/>
                <w:iCs/>
                <w:color w:val="000000"/>
                <w:sz w:val="24"/>
                <w:szCs w:val="24"/>
                <w:highlight w:val="none"/>
                <w:u w:val="single"/>
                <w:lang w:bidi="ar"/>
              </w:rPr>
              <w:t xml:space="preserve">最大光束数≥</w:t>
            </w:r>
            <w:r>
              <w:rPr>
                <w:rFonts w:ascii="宋体" w:hAnsi="宋体" w:eastAsia="宋体" w:cs="宋体"/>
                <w:b w:val="0"/>
                <w:bCs w:val="0"/>
                <w:i/>
                <w:iCs/>
                <w:color w:val="000000"/>
                <w:sz w:val="24"/>
                <w:szCs w:val="24"/>
                <w:highlight w:val="none"/>
                <w:u w:val="single"/>
                <w:lang w:bidi="ar"/>
              </w:rPr>
              <w:t xml:space="preserve">194</w:t>
            </w:r>
            <w:r>
              <w:rPr>
                <w:rFonts w:hint="eastAsia" w:ascii="宋体" w:hAnsi="宋体" w:eastAsia="宋体" w:cs="宋体"/>
                <w:b w:val="0"/>
                <w:bCs w:val="0"/>
                <w:i/>
                <w:iCs/>
                <w:color w:val="000000"/>
                <w:sz w:val="24"/>
                <w:szCs w:val="24"/>
                <w:highlight w:val="none"/>
                <w:u w:val="single"/>
                <w:lang w:bidi="ar"/>
              </w:rPr>
              <w:t xml:space="preserve">束、光束对管≥</w:t>
            </w:r>
            <w:r>
              <w:rPr>
                <w:rFonts w:ascii="宋体" w:hAnsi="宋体" w:eastAsia="宋体" w:cs="宋体"/>
                <w:b w:val="0"/>
                <w:bCs w:val="0"/>
                <w:i/>
                <w:iCs/>
                <w:color w:val="000000"/>
                <w:sz w:val="24"/>
                <w:szCs w:val="24"/>
                <w:highlight w:val="none"/>
                <w:u w:val="single"/>
                <w:lang w:bidi="ar"/>
              </w:rPr>
              <w:t xml:space="preserve">40</w:t>
            </w:r>
            <w:r>
              <w:rPr>
                <w:rFonts w:hint="eastAsia" w:ascii="宋体" w:hAnsi="宋体" w:eastAsia="宋体" w:cs="宋体"/>
                <w:b w:val="0"/>
                <w:bCs w:val="0"/>
                <w:i/>
                <w:iCs/>
                <w:color w:val="000000"/>
                <w:sz w:val="24"/>
                <w:szCs w:val="24"/>
                <w:highlight w:val="none"/>
                <w:u w:val="single"/>
                <w:lang w:bidi="ar"/>
              </w:rPr>
              <w:t xml:space="preserve">对、满足IP</w:t>
            </w:r>
            <w:r>
              <w:rPr>
                <w:rFonts w:ascii="宋体" w:hAnsi="宋体" w:eastAsia="宋体" w:cs="宋体"/>
                <w:b w:val="0"/>
                <w:bCs w:val="0"/>
                <w:i/>
                <w:iCs/>
                <w:color w:val="000000"/>
                <w:sz w:val="24"/>
                <w:szCs w:val="24"/>
                <w:highlight w:val="none"/>
                <w:u w:val="single"/>
                <w:lang w:bidi="ar"/>
              </w:rPr>
              <w:t xml:space="preserve">54</w:t>
            </w:r>
            <w:r>
              <w:rPr>
                <w:rFonts w:hint="eastAsia" w:ascii="宋体" w:hAnsi="宋体" w:eastAsia="宋体" w:cs="宋体"/>
                <w:b w:val="0"/>
                <w:bCs w:val="0"/>
                <w:i/>
                <w:iCs/>
                <w:color w:val="000000"/>
                <w:sz w:val="24"/>
                <w:szCs w:val="24"/>
                <w:highlight w:val="none"/>
                <w:u w:val="single"/>
                <w:lang w:bidi="ar"/>
              </w:rPr>
              <w:t xml:space="preserve">防护等级</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投标文件中</w:t>
            </w:r>
            <w:r>
              <w:rPr>
                <w:rFonts w:hint="eastAsia" w:ascii="宋体" w:hAnsi="宋体" w:eastAsia="宋体" w:cs="宋体"/>
                <w:b w:val="0"/>
                <w:bCs w:val="0"/>
                <w:i/>
                <w:iCs/>
                <w:color w:val="000000"/>
                <w:sz w:val="24"/>
                <w:szCs w:val="24"/>
                <w:highlight w:val="none"/>
                <w:u w:val="single"/>
                <w:lang w:bidi="ar"/>
              </w:rPr>
              <w:t xml:space="preserve">提供</w:t>
            </w:r>
            <w:r>
              <w:rPr>
                <w:rFonts w:hint="eastAsia" w:ascii="宋体" w:hAnsi="宋体" w:eastAsia="宋体" w:cs="宋体"/>
                <w:b w:val="0"/>
                <w:bCs w:val="0"/>
                <w:i/>
                <w:iCs/>
                <w:color w:val="000000"/>
                <w:sz w:val="24"/>
                <w:szCs w:val="24"/>
                <w:highlight w:val="none"/>
                <w:u w:val="single"/>
                <w:lang w:val="en-US" w:eastAsia="zh-CN" w:bidi="ar"/>
              </w:rPr>
              <w:t xml:space="preserve">国家认可的</w:t>
            </w:r>
            <w:r>
              <w:rPr>
                <w:rFonts w:hint="eastAsia" w:ascii="宋体" w:hAnsi="宋体" w:eastAsia="宋体" w:cs="宋体"/>
                <w:b w:val="0"/>
                <w:bCs w:val="0"/>
                <w:i/>
                <w:iCs/>
                <w:color w:val="000000"/>
                <w:sz w:val="24"/>
                <w:szCs w:val="24"/>
                <w:highlight w:val="none"/>
                <w:u w:val="single"/>
                <w:lang w:bidi="ar"/>
              </w:rPr>
              <w:t xml:space="preserve">第三方检测机构出具的</w:t>
            </w:r>
            <w:r>
              <w:rPr>
                <w:rFonts w:hint="eastAsia" w:ascii="宋体" w:hAnsi="宋体" w:eastAsia="宋体" w:cs="宋体"/>
                <w:b w:val="0"/>
                <w:bCs w:val="0"/>
                <w:i/>
                <w:iCs/>
                <w:color w:val="000000"/>
                <w:sz w:val="24"/>
                <w:szCs w:val="24"/>
                <w:highlight w:val="none"/>
                <w:u w:val="single"/>
                <w:lang w:val="en-US" w:eastAsia="zh-CN" w:bidi="ar"/>
              </w:rPr>
              <w:t xml:space="preserve">检测</w:t>
            </w:r>
            <w:r>
              <w:rPr>
                <w:rFonts w:hint="eastAsia" w:ascii="宋体" w:hAnsi="宋体" w:eastAsia="宋体" w:cs="宋体"/>
                <w:b w:val="0"/>
                <w:bCs w:val="0"/>
                <w:i/>
                <w:iCs/>
                <w:color w:val="000000"/>
                <w:sz w:val="24"/>
                <w:szCs w:val="24"/>
                <w:highlight w:val="none"/>
                <w:u w:val="single"/>
                <w:lang w:bidi="ar"/>
              </w:rPr>
              <w:t xml:space="preserve">报告）</w:t>
            </w:r>
            <w:r/>
          </w:p>
        </w:tc>
      </w:tr>
    </w:tbl>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tbl>
      <w:tblPr>
        <w:tblStyle w:val="697"/>
        <w:tblW w:w="4930" w:type="pct"/>
        <w:tblInd w:w="0" w:type="dxa"/>
        <w:tblLayout w:type="fixed"/>
        <w:tblCellMar>
          <w:left w:w="108" w:type="dxa"/>
          <w:top w:w="0" w:type="dxa"/>
          <w:right w:w="108" w:type="dxa"/>
          <w:bottom w:w="0" w:type="dxa"/>
        </w:tblCellMar>
        <w:tblLook w:val="04A0" w:firstRow="1" w:lastRow="0" w:firstColumn="1" w:lastColumn="0" w:noHBand="0" w:noVBand="1"/>
      </w:tblPr>
      <w:tblGrid>
        <w:gridCol w:w="697"/>
        <w:gridCol w:w="770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功能指标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底坑对讲机通讯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开门时间自动调整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无呼自返基站功能:1层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轿内超载指示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层高自测定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无效内指令自动消除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超速机械保护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目的层按钮闪亮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超载报警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开关门时间超常保护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电动机过热保护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超速电气保护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运行次数显示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位置异常自动校正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厅外检修显示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智能辅助制动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厅轿门旁路检测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开门异常自动选层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反向内指令自动消除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故障自动检测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电动机过载保护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抱闸动作双安全检测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待机定期自检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电梯服务支援系统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轿内通风自动控制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对讲机通讯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轿顶检修操作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电动机空转保护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故障低速自救运行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轿内照明自动控制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消防迫降功能:1层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关门按钮灯点亮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警铃报警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故障自动存储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门过载保护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停车在非门区报警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开门时间自动控制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机房调试操作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轿内慢速运行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起动补偿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门停止运行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满载直驶运行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五方通话功能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b w:val="0"/>
                <w:bCs w:val="0"/>
                <w:i/>
                <w:iCs/>
                <w:color w:val="000000"/>
                <w:sz w:val="24"/>
                <w:szCs w:val="24"/>
                <w:highlight w:val="none"/>
                <w:u w:val="single"/>
                <w:lang w:bidi="ar"/>
              </w:rPr>
              <w:t xml:space="preserve">断电平层自动救援操作装置</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投标文件中</w:t>
            </w:r>
            <w:r>
              <w:rPr>
                <w:rFonts w:hint="eastAsia" w:ascii="宋体" w:hAnsi="宋体" w:eastAsia="宋体" w:cs="宋体"/>
                <w:b w:val="0"/>
                <w:bCs w:val="0"/>
                <w:i/>
                <w:iCs/>
                <w:color w:val="000000"/>
                <w:sz w:val="24"/>
                <w:szCs w:val="24"/>
                <w:highlight w:val="none"/>
                <w:u w:val="single"/>
                <w:lang w:bidi="ar"/>
              </w:rPr>
              <w:t xml:space="preserve">提供</w:t>
            </w:r>
            <w:r>
              <w:rPr>
                <w:rFonts w:hint="eastAsia" w:ascii="宋体" w:hAnsi="宋体" w:eastAsia="宋体" w:cs="宋体"/>
                <w:b w:val="0"/>
                <w:bCs w:val="0"/>
                <w:i/>
                <w:iCs/>
                <w:color w:val="000000"/>
                <w:sz w:val="24"/>
                <w:szCs w:val="24"/>
                <w:highlight w:val="none"/>
                <w:u w:val="single"/>
                <w:lang w:val="en-US" w:eastAsia="zh-CN" w:bidi="ar"/>
              </w:rPr>
              <w:t xml:space="preserve">国家认可的</w:t>
            </w:r>
            <w:r>
              <w:rPr>
                <w:rFonts w:hint="eastAsia" w:ascii="宋体" w:hAnsi="宋体" w:eastAsia="宋体" w:cs="宋体"/>
                <w:b w:val="0"/>
                <w:bCs w:val="0"/>
                <w:i/>
                <w:iCs/>
                <w:color w:val="000000"/>
                <w:sz w:val="24"/>
                <w:szCs w:val="24"/>
                <w:highlight w:val="none"/>
                <w:u w:val="single"/>
                <w:lang w:bidi="ar"/>
              </w:rPr>
              <w:t xml:space="preserve">第三方检测机构出具的</w:t>
            </w:r>
            <w:r>
              <w:rPr>
                <w:rFonts w:hint="eastAsia" w:ascii="宋体" w:hAnsi="宋体" w:eastAsia="宋体" w:cs="宋体"/>
                <w:b w:val="0"/>
                <w:bCs w:val="0"/>
                <w:i/>
                <w:iCs/>
                <w:color w:val="000000"/>
                <w:sz w:val="24"/>
                <w:szCs w:val="24"/>
                <w:highlight w:val="none"/>
                <w:u w:val="single"/>
                <w:lang w:val="en-US" w:eastAsia="zh-CN" w:bidi="ar"/>
              </w:rPr>
              <w:t xml:space="preserve">检测</w:t>
            </w:r>
            <w:r>
              <w:rPr>
                <w:rFonts w:hint="eastAsia" w:ascii="宋体" w:hAnsi="宋体" w:eastAsia="宋体" w:cs="宋体"/>
                <w:b w:val="0"/>
                <w:bCs w:val="0"/>
                <w:i/>
                <w:iCs/>
                <w:color w:val="000000"/>
                <w:sz w:val="24"/>
                <w:szCs w:val="24"/>
                <w:highlight w:val="none"/>
                <w:u w:val="single"/>
                <w:lang w:bidi="ar"/>
              </w:rPr>
              <w:t xml:space="preserve">报告）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具备轿厢防扒门装置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数字接口(预留视频电缆)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b w:val="0"/>
                <w:bCs w:val="0"/>
                <w:i/>
                <w:iCs/>
                <w:color w:val="000000"/>
                <w:sz w:val="24"/>
                <w:szCs w:val="24"/>
                <w:highlight w:val="none"/>
                <w:u w:val="single"/>
                <w:lang w:bidi="ar"/>
              </w:rPr>
              <w:t xml:space="preserve">低烟无卤阻燃电缆</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投标文件中</w:t>
            </w:r>
            <w:r>
              <w:rPr>
                <w:rFonts w:hint="eastAsia" w:ascii="宋体" w:hAnsi="宋体" w:eastAsia="宋体" w:cs="宋体"/>
                <w:b w:val="0"/>
                <w:bCs w:val="0"/>
                <w:i/>
                <w:iCs/>
                <w:color w:val="000000"/>
                <w:sz w:val="24"/>
                <w:szCs w:val="24"/>
                <w:highlight w:val="none"/>
                <w:u w:val="single"/>
                <w:lang w:bidi="ar"/>
              </w:rPr>
              <w:t xml:space="preserve">提供</w:t>
            </w:r>
            <w:r>
              <w:rPr>
                <w:rFonts w:hint="eastAsia" w:ascii="宋体" w:hAnsi="宋体" w:eastAsia="宋体" w:cs="宋体"/>
                <w:b w:val="0"/>
                <w:bCs w:val="0"/>
                <w:i/>
                <w:iCs/>
                <w:color w:val="000000"/>
                <w:sz w:val="24"/>
                <w:szCs w:val="24"/>
                <w:highlight w:val="none"/>
                <w:u w:val="single"/>
                <w:lang w:val="en-US" w:eastAsia="zh-CN" w:bidi="ar"/>
              </w:rPr>
              <w:t xml:space="preserve">国家认可的</w:t>
            </w:r>
            <w:r>
              <w:rPr>
                <w:rFonts w:hint="eastAsia" w:ascii="宋体" w:hAnsi="宋体" w:eastAsia="宋体" w:cs="宋体"/>
                <w:b w:val="0"/>
                <w:bCs w:val="0"/>
                <w:i/>
                <w:iCs/>
                <w:color w:val="000000"/>
                <w:sz w:val="24"/>
                <w:szCs w:val="24"/>
                <w:highlight w:val="none"/>
                <w:u w:val="single"/>
                <w:lang w:bidi="ar"/>
              </w:rPr>
              <w:t xml:space="preserve">第三方检测机构出具的</w:t>
            </w:r>
            <w:r>
              <w:rPr>
                <w:rFonts w:hint="eastAsia" w:ascii="宋体" w:hAnsi="宋体" w:eastAsia="宋体" w:cs="宋体"/>
                <w:b w:val="0"/>
                <w:bCs w:val="0"/>
                <w:i/>
                <w:iCs/>
                <w:color w:val="000000"/>
                <w:sz w:val="24"/>
                <w:szCs w:val="24"/>
                <w:highlight w:val="none"/>
                <w:u w:val="single"/>
                <w:lang w:val="en-US" w:eastAsia="zh-CN" w:bidi="ar"/>
              </w:rPr>
              <w:t xml:space="preserve">检测</w:t>
            </w:r>
            <w:r>
              <w:rPr>
                <w:rFonts w:hint="eastAsia" w:ascii="宋体" w:hAnsi="宋体" w:eastAsia="宋体" w:cs="宋体"/>
                <w:b w:val="0"/>
                <w:bCs w:val="0"/>
                <w:i/>
                <w:iCs/>
                <w:color w:val="000000"/>
                <w:sz w:val="24"/>
                <w:szCs w:val="24"/>
                <w:highlight w:val="none"/>
                <w:u w:val="single"/>
                <w:lang w:bidi="ar"/>
              </w:rPr>
              <w:t xml:space="preserve">报告）</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本项目设备安装、调试、系统对接及施工过程中所需辅材、配件等由中标供应商根据实际情况自行配备，须充分满足项目需求。除合同价款外，采购人不支付其他任何费用。</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本次采购含乘客电梯本体设备、原厂安装、验收取证，配套包含电梯轿厢出入口过门石铺装、电梯轿厢专用防滑地垫供货及铺设，所有配套辅材、人工、耗材、成品保护、售后维保均含在报价内，采购人不再另行付费。</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电梯过门石 轿厢层门出入口统一定制过门石，石材材质、厚度、尺寸结合现场门洞实测定制，平整度达标，防水防滑、收口密缝，含基层处理、切割、铺贴、勾缝、废料清运全套施工。</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电梯轿厢地垫 整轿厢全覆盖定制防滑耐磨地垫，阻燃、防油污、易清洁，按轿厢实际尺寸裁切铺设；约定地垫更换周期与免费更换服务，材质、厚度、款式须经校方确认后方可施工。</w:t>
      </w:r>
      <w:r/>
    </w:p>
    <w:p>
      <w:pPr>
        <w:ind w:firstLine="480"/>
        <w:jc w:val="left"/>
        <w:spacing w:line="500" w:lineRule="exact"/>
        <w:rPr>
          <w:rFonts w:hint="eastAsia" w:ascii="宋体" w:hAnsi="宋体" w:eastAsia="宋体" w:cs="宋体"/>
          <w:b/>
          <w:bCs/>
          <w:sz w:val="24"/>
          <w:szCs w:val="24"/>
        </w:rPr>
      </w:pPr>
      <w:r>
        <w:rPr>
          <w:rFonts w:hint="eastAsia" w:ascii="新宋体" w:hAnsi="新宋体" w:eastAsia="新宋体" w:cs="新宋体"/>
          <w:i/>
          <w:iCs/>
          <w:sz w:val="24"/>
          <w:szCs w:val="24"/>
          <w:highlight w:val="none"/>
          <w:u w:val="single"/>
        </w:rPr>
        <w:t xml:space="preserve">其他配套：电梯安装配套开孔、修补、地面找平、垃圾清理等附属工程一并包含在项目总价。</w:t>
      </w:r>
      <w:r/>
    </w:p>
    <w:p>
      <w:pPr>
        <w:ind w:firstLine="562"/>
        <w:jc w:val="left"/>
        <w:spacing w:line="360" w:lineRule="auto"/>
        <w:rPr>
          <w:rFonts w:ascii="宋体" w:hAnsi="宋体" w:eastAsia="宋体" w:cs="Times New Roman"/>
          <w:sz w:val="24"/>
          <w:szCs w:val="24"/>
        </w:rPr>
      </w:pPr>
      <w:r>
        <w:rPr>
          <w:rFonts w:ascii="Times New Roman" w:hAnsi="Times New Roman" w:eastAsia="宋体" w:cs="Times New Roman"/>
          <w:b/>
          <w:sz w:val="28"/>
          <w:szCs w:val="28"/>
        </w:rPr>
        <w:t xml:space="preserve">五、供货要求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1.交货期：合同签订后</w:t>
      </w:r>
      <w:r>
        <w:rPr>
          <w:rFonts w:hint="eastAsia" w:ascii="新宋体" w:hAnsi="新宋体" w:eastAsia="新宋体" w:cs="新宋体"/>
          <w:sz w:val="24"/>
          <w:szCs w:val="24"/>
          <w:lang w:val="en-US" w:eastAsia="zh-CN"/>
        </w:rPr>
        <w:t xml:space="preserve">40</w:t>
      </w:r>
      <w:r>
        <w:rPr>
          <w:rFonts w:hint="eastAsia" w:ascii="新宋体" w:hAnsi="新宋体" w:eastAsia="新宋体" w:cs="新宋体"/>
          <w:sz w:val="24"/>
          <w:szCs w:val="24"/>
        </w:rPr>
        <w:t xml:space="preserve">天内完成安装、调试。</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2.交货方式：在货物发运手续办理完毕后24小时内或货到采购单位48小时前通知采购人，以准备接货。货物在交付采购人前发生的风险均由中标人负责。</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3.交货地点：连云港市海州区连云港职业技术学院院内采购人指定地点。</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4.中标人提供的货物（含配件）应是全新的、未使用过的合格正品，并保证所提供货物的开箱合格率为 100%，外观和内在质量都不得有任何问题。提供的产品应根据国家标准和规范进行设计和制造，并遵循采购文件及投标文件的要求。 货物运抵现场后应完好无损，如有缺漏、损坏，由中标人负责调换、补齐或赔偿。 </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所提供货物的技术资料（含软件）完整正确，数据和资料准确无误，能够保证设备按时正确地安装、调试和验收，并能满足正常运行和维修保养的需要。在未验收前，货物保管、安全均由成交供应商负责，货物送到采购人指定地点，并负责办理运输和装卸，费用由中标人负责。</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6.品质说明：必须保证提供的设备完全与招标文件所述的质量、规格和性能相符，所使用的材料及配件达到国家标准，相关设备具有厂家出具的设备质量合格证明书。 </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保证向采购人提供的设备或设备的任何一部分，免受第三方提出的侵犯其专利权、商标权或知识产权等的起诉，任何由此引起的法律责任和经济责任均由中标供应商承担。</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8.提交材料：①装箱清单、②产品出厂合格证、③使用维护说明书、④安装说明书和部件安装图、⑤电器敷线图、⑥动力电路和安全电路的电器线路示意图及符号说明、⑦需要土建配合安装的详细图纸和资料、⑧提供设备检验合格证、⑨技术资料要求中英文对照，一式两份。如发生偏差，以中文为准。</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2.中标人根据提交的相关技术文件，对合同设备的进行安装、调试、试运行，使其符合技术要求和有关标准的要求。质保期内，中标人需负责相关设备的正确安装、调试和维护保养，保持设备运转良好。</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4.在安装调试期间或保修过程中，中标人负责及时清理产生的垃圾，保持安装场地整洁。对场地内现有设施，施工时要充分考虑，做相应保护措施，不得污损现有环境。</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5.原有电梯拆除：</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拆除范围：曳引机、曳引钢丝绳、随行电缆、井道内电缆、控制柜、电梯轿厢、导轨轨道、导轨支架、层门、层面装置、外呼装置、底坑设备等。</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本项目受制于现场空间限制，拆除部件和换新部件应听从采购人指挥。</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为保证正常办公秩序，电梯更换分步实施，安装顺序按采购人要求执行。</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i/>
          <w:iCs/>
          <w:sz w:val="24"/>
          <w:szCs w:val="24"/>
          <w:highlight w:val="none"/>
          <w:u w:val="single"/>
        </w:rPr>
        <w:t xml:space="preserve">中标人要做好现场安全文明安装，保证不发生任何安全责任事故、人员伤亡事故。要求全程封闭安装，保证大楼正常办公。安装时间完全服从采购人的安排计划，涉及到的夜间安装费、加班费等，须综合考虑到投标报价中。中标人要做好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投标文件中提供承诺函并加盖投标人公章，格式自拟）</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5.6原电梯残值经评估后，拟采用公开拍卖处置，</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中标人须报名参与原电梯拍卖。较重、较大的设备运输就位时须制定可行、妥善的运输和保护方案。中标人须采取措施保证不损坏公共设施和原有建筑装饰面，如有损坏由中标人自费修复或赔偿。在合同履行过程中所发生的一切工伤、交通等安全事故以及造成的经济损失，均由中标人自行承担，并承担一切责任。（投标文件中提供承诺函并加盖投标人公章，格式自拟）</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GB 7588—2003+XG1—2015《电梯制造与安装安全规范》</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《电梯主要参数及轿厢、井道、机房的型式与尺寸》(GB/T7025.1-3)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《电梯技术条件》(GB/T10058-2009)</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《电梯试验方法》(GB/T10059-2023)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《电梯安装验收规范》(GB10060-2023)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《电梯工程施工质量验收规范》(GB50310-2002)</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《电梯用钢丝绳》(GB8903-2024)</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《电梯曳引机》（GB/T 24478-2023）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《交流电梯电动机通用技术条件》(GB/T12974-2023)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《特种设备安全监察条例》</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《特种设备质量监督与安全监察规定》</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八、人员配备要求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p>
    <w:p>
      <w:pPr>
        <w:ind w:firstLine="56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本项目负责人为投标人正式职工且具有《中华人民共和国特种设备安全管理和作业人员证》（电梯作业T）。投标文件中提供证书及2026年1月（含）以来任意一个月由投标人为其缴纳的社保证明材料（加盖社保中心章或社保中心参保缴费证明电子专用章）。</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1.工程完成后，中标供应商须负责电梯全部设备的保护和清洁工作，直至设备验收合格并取得政府有关部门的使用证书，交付使用单位之日为止。</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验收合格条件：验收结果符合国家强制性规定及本项目合同约定的产品标准和技术规格书；设备在交付使用单位使用之前应通过政府有关部门验收和采购人的内部验收并取得检测合格证和准用证书；整套设备图纸及技术文件都已提交并得到接受，中标供应商负责首次报验，并负责承担相关费用。</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3.验收标准：符合国家有关标准。</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1.提供完善的人员培训方案，通过各种培训课程和培训方式，对采购人指派的相关人员进行针对性培训，使其能够熟练操作相关设备。</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2.在质保期内，中标供应商须在质保期内提供至少1次/年的专项培训计划，每次采购人参加培训的人员不少于2人。</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3.培训过程中产生的费用包含在投标报价内，采购人不再另行支付任何费用。</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十一、售后服务要求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1.质保期：本项目质保期3年。质保期以取得电梯安全检验合格证中标供应商、使用方办理设备移交手续后，中标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将电梯移交使用方使用之日算起。备品备件按使用方要求存放至指定地点。</w:t>
      </w:r>
      <w:r/>
    </w:p>
    <w:p>
      <w:pPr>
        <w:ind w:firstLine="560"/>
        <w:jc w:val="left"/>
        <w:spacing w:line="360" w:lineRule="auto"/>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2.在质保期内，电梯运行发生故障</w:t>
      </w:r>
      <w:r>
        <w:rPr>
          <w:rFonts w:hint="eastAsia" w:ascii="Times New Roman" w:hAnsi="Times New Roman" w:eastAsia="宋体" w:cs="Times New Roman"/>
          <w:i/>
          <w:iCs/>
          <w:sz w:val="24"/>
          <w:szCs w:val="24"/>
          <w:u w:val="single"/>
          <w:lang w:val="en-US" w:eastAsia="zh-CN"/>
        </w:rPr>
        <w:t xml:space="preserve">中标人</w:t>
      </w:r>
      <w:r>
        <w:rPr>
          <w:rFonts w:hint="eastAsia" w:ascii="Times New Roman" w:hAnsi="Times New Roman" w:eastAsia="宋体" w:cs="Times New Roman"/>
          <w:i/>
          <w:iCs/>
          <w:sz w:val="24"/>
          <w:szCs w:val="24"/>
          <w:u w:val="single"/>
        </w:rPr>
        <w:t xml:space="preserve">应提供咨询、维修服务、更换零部件，费用包含在投标总价中。</w:t>
      </w:r>
      <w:r/>
    </w:p>
    <w:p>
      <w:pPr>
        <w:ind w:firstLine="560"/>
        <w:jc w:val="left"/>
        <w:spacing w:line="360" w:lineRule="auto"/>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3.在质保期内，如发生维护费用，需要更换的主要零配件设备材料费用，年检费等其他费用，由中标</w:t>
      </w:r>
      <w:r>
        <w:rPr>
          <w:rFonts w:hint="eastAsia" w:ascii="Times New Roman" w:hAnsi="Times New Roman" w:eastAsia="宋体" w:cs="Times New Roman"/>
          <w:i/>
          <w:iCs/>
          <w:sz w:val="24"/>
          <w:szCs w:val="24"/>
          <w:u w:val="single"/>
          <w:lang w:val="en-US" w:eastAsia="zh-CN"/>
        </w:rPr>
        <w:t xml:space="preserve">人</w:t>
      </w:r>
      <w:r>
        <w:rPr>
          <w:rFonts w:hint="eastAsia" w:ascii="Times New Roman" w:hAnsi="Times New Roman" w:eastAsia="宋体" w:cs="Times New Roman"/>
          <w:i/>
          <w:iCs/>
          <w:sz w:val="24"/>
          <w:szCs w:val="24"/>
          <w:u w:val="single"/>
        </w:rPr>
        <w:t xml:space="preserve">全部承担。</w:t>
      </w:r>
      <w:r/>
    </w:p>
    <w:p>
      <w:pPr>
        <w:ind w:firstLine="560"/>
        <w:jc w:val="left"/>
        <w:spacing w:line="360" w:lineRule="auto"/>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4.在质保期内，中标</w:t>
      </w:r>
      <w:r>
        <w:rPr>
          <w:rFonts w:hint="eastAsia" w:ascii="Times New Roman" w:hAnsi="Times New Roman" w:eastAsia="宋体" w:cs="Times New Roman"/>
          <w:i/>
          <w:iCs/>
          <w:sz w:val="24"/>
          <w:szCs w:val="24"/>
          <w:u w:val="single"/>
          <w:lang w:val="en-US" w:eastAsia="zh-CN"/>
        </w:rPr>
        <w:t xml:space="preserve">人</w:t>
      </w:r>
      <w:r>
        <w:rPr>
          <w:rFonts w:hint="eastAsia" w:ascii="Times New Roman" w:hAnsi="Times New Roman" w:eastAsia="宋体" w:cs="Times New Roman"/>
          <w:i/>
          <w:iCs/>
          <w:sz w:val="24"/>
          <w:szCs w:val="24"/>
          <w:u w:val="single"/>
        </w:rPr>
        <w:t xml:space="preserve">提供半月保养一次，维护人员做到定人、定时、定梯进行保养，提供全天候应急处理服务。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5.在质保期内，中标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须在质保期内提供至少2次/年的专项培训计划，每次采购人参加培训的人员不少于6人，费用包含在投标总价中。</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在质保期内供应备品备件、专用工具，费用包含在投标总价中。</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7.售后服务提供24小时服务热线并保证在接到故障电话后30分钟内达到现场维修，且每次失效（故障）的修复时间不超过 2 小时。</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8.在接到关人事故通知时，15分钟内须完成解困工作。</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9.在电梯发生故障需要更换备件时，36小时内赶到现场并零部件更换完成投入正常使用。</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9.中标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所提供的设备进场后，如采购人发现有任何问题（如外观有损坏），中标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应以同样型号的设备在采购人商定的时间内更换，确保其使用。 </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（1）商品包装层数不得超过 3 层，空隙率不大于 40%；</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（2）商品包装尽可能使用单一材质的包装材料，如因功能需求必需使用不同材质，不同材质间应便于分离；</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 5%（以重量计）；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 6 色；</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 100mg/kg；</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十三、投标报价要求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本项目为交钥匙项目，各项报价包含但不限于所有设备采购（包括货物、辅配件、随设备应提交的资料等费用）、人员意外伤害保险费、清单所列及施工、安装、运输、调试、 集成、保洁、原厂质保、利润、税金、培训、检测、政策性文件规定及本项目包含的所有风险、责任等各项应有费用，本项目验收前中标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承担所有货物的保管责任；本项目单项报价中含税。</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p>
    <w:p>
      <w:pPr>
        <w:ind w:firstLine="56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付款方式：双方合同签订后10个工作日内支付合同总价的50%，全部安装完毕后10个工作日内付至合同总价的80%，市场监督主管部门验收合格、取得“电梯使用登记标志”后10个工作日内付清余款。</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2.履约保证金：本项目不收取履约保证金。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9"/>
      <w:r/>
      <w:bookmarkEnd w:id="10"/>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本项目报价不得超过预算价。</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特别提醒投标人：应根据国家收费标准并结合市场实际进行报价，总价包干。</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20"/>
        <w:jc w:val="left"/>
        <w:spacing w:line="360" w:lineRule="auto"/>
        <w:rPr>
          <w:rFonts w:ascii="宋体" w:hAnsi="宋体" w:eastAsia="宋体" w:cs="宋体"/>
          <w:b/>
          <w:bCs/>
          <w:i/>
          <w:iCs/>
          <w:strike/>
          <w:color w:val="000000"/>
          <w:sz w:val="24"/>
          <w:szCs w:val="24"/>
          <w:u w:val="single"/>
        </w:rPr>
      </w:pPr>
      <w:r>
        <w:rPr>
          <w:rFonts w:ascii="宋体" w:hAnsi="宋体" w:eastAsia="宋体" w:cs="宋体"/>
          <w:b/>
          <w:bCs/>
          <w:i/>
          <w:iCs/>
          <w:strike/>
          <w:color w:val="000000"/>
          <w:sz w:val="24"/>
          <w:szCs w:val="24"/>
          <w:u w:val="single"/>
        </w:rPr>
      </w:r>
      <w:r/>
    </w:p>
    <w:p>
      <w:pPr>
        <w:ind w:firstLine="560"/>
        <w:jc w:val="left"/>
        <w:spacing w:line="360" w:lineRule="auto"/>
        <w:rPr>
          <w:rFonts w:ascii="宋体" w:hAnsi="宋体" w:eastAsia="宋体" w:cs="Times New Roman"/>
          <w:sz w:val="24"/>
          <w:szCs w:val="24"/>
        </w:rPr>
      </w:pPr>
      <w:r>
        <w:rPr>
          <w:sz w:val="28"/>
          <w:szCs w:val="28"/>
        </w:rPr>
        <w:br w:type="page" w:clear="all"/>
      </w:r>
      <w:r/>
    </w:p>
    <w:p>
      <w:pPr>
        <w:pStyle w:val="687"/>
        <w:jc w:val="center"/>
        <w:spacing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（2）</w:t>
      </w:r>
      <w:r>
        <w:rPr>
          <w:rFonts w:hint="eastAsia" w:eastAsia="宋体"/>
          <w:sz w:val="24"/>
          <w:szCs w:val="24"/>
        </w:rPr>
        <w:t xml:space="preserve">商务</w:t>
      </w:r>
      <w:r>
        <w:rPr>
          <w:rFonts w:hint="eastAsia"/>
          <w:sz w:val="24"/>
          <w:szCs w:val="24"/>
        </w:rPr>
        <w:t xml:space="preserve">分（40分）</w:t>
      </w:r>
      <w:r/>
    </w:p>
    <w:tbl>
      <w:tblPr>
        <w:tblStyle w:val="6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7331"/>
      </w:tblGrid>
      <w:tr>
        <w:trPr>
          <w:trHeight w:val="290"/>
        </w:trPr>
        <w:tc>
          <w:tcPr>
            <w:tcW w:w="697"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302"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评分标准</w:t>
            </w:r>
            <w:r/>
          </w:p>
        </w:tc>
      </w:tr>
      <w:tr>
        <w:trPr>
          <w:trHeight w:val="540"/>
        </w:trPr>
        <w:tc>
          <w:tcPr>
            <w:tcW w:w="697" w:type="pct"/>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产品配置</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Borders>
              <w:bottom w:val="none" w:color="000000" w:sz="4" w:space="0"/>
            </w:tcBorders>
            <w:tcW w:w="4302" w:type="pct"/>
            <w:textDirection w:val="lrTb"/>
            <w:noWrap w:val="false"/>
          </w:tcPr>
          <w:p>
            <w:pPr>
              <w:rPr>
                <w:rFonts w:ascii="宋体" w:hAnsi="宋体" w:eastAsia="宋体" w:cs="宋体"/>
                <w:color w:val="000000"/>
                <w:sz w:val="24"/>
                <w:szCs w:val="24"/>
              </w:rPr>
            </w:pPr>
            <w:r>
              <w:rPr>
                <w:rFonts w:ascii="Times New Roman" w:hAnsi="Times New Roman"/>
                <w:bCs/>
                <w:sz w:val="24"/>
                <w:szCs w:val="24"/>
              </w:rPr>
              <w:t xml:space="preserve">所投产品</w:t>
            </w:r>
            <w:r>
              <w:rPr>
                <w:rFonts w:hint="eastAsia" w:ascii="Times New Roman" w:hAnsi="Times New Roman"/>
                <w:bCs/>
                <w:sz w:val="24"/>
                <w:szCs w:val="24"/>
                <w:lang w:val="en-US" w:eastAsia="zh-CN"/>
              </w:rPr>
              <w:t xml:space="preserve">主要部件，包括</w:t>
            </w:r>
            <w:r>
              <w:rPr>
                <w:rFonts w:hint="eastAsia" w:cs="宋体" w:asciiTheme="minorEastAsia" w:hAnsiTheme="minorEastAsia"/>
                <w:color w:val="000000"/>
                <w:sz w:val="24"/>
                <w:szCs w:val="24"/>
              </w:rPr>
              <w:t xml:space="preserve">主机、电机、控制柜、安全电路、轿门门锁、厅门门锁、限速器、安全钳、缓冲器、可编程电子安全相关系统</w:t>
            </w:r>
            <w:r>
              <w:rPr>
                <w:rFonts w:hint="eastAsia" w:ascii="宋体" w:hAnsi="宋体" w:cs="Times New Roman"/>
                <w:bCs/>
                <w:color w:val="000000"/>
                <w:sz w:val="24"/>
                <w:szCs w:val="24"/>
                <w:highlight w:val="none"/>
                <w:lang w:val="en"/>
              </w:rPr>
              <w:t xml:space="preserve">与所投电梯整机为同一品牌</w:t>
            </w:r>
            <w:r>
              <w:rPr>
                <w:rFonts w:hint="eastAsia" w:ascii="Times New Roman" w:hAnsi="Times New Roman"/>
                <w:bCs/>
                <w:sz w:val="24"/>
                <w:szCs w:val="24"/>
              </w:rPr>
              <w:t xml:space="preserve">的</w:t>
            </w:r>
            <w:r>
              <w:rPr>
                <w:rFonts w:hint="eastAsia" w:cs="宋体" w:asciiTheme="minorEastAsia" w:hAnsiTheme="minorEastAsia"/>
                <w:color w:val="000000"/>
                <w:sz w:val="24"/>
                <w:szCs w:val="24"/>
              </w:rPr>
              <w:t xml:space="preserve">，每有一项得</w:t>
            </w:r>
            <w:r>
              <w:rPr>
                <w:rFonts w:cs="宋体" w:asciiTheme="minorEastAsia" w:hAnsiTheme="minorEastAsia"/>
                <w:color w:val="000000"/>
                <w:sz w:val="24"/>
                <w:szCs w:val="24"/>
              </w:rPr>
              <w:t xml:space="preserve">0.3</w:t>
            </w:r>
            <w:r>
              <w:rPr>
                <w:rFonts w:hint="eastAsia" w:cs="宋体" w:asciiTheme="minorEastAsia" w:hAnsiTheme="minorEastAsia"/>
                <w:color w:val="000000"/>
                <w:sz w:val="24"/>
                <w:szCs w:val="24"/>
              </w:rPr>
              <w:t xml:space="preserve">分，</w:t>
            </w:r>
            <w:r>
              <w:rPr>
                <w:rFonts w:hint="eastAsia" w:cs="宋体" w:asciiTheme="minorEastAsia" w:hAnsiTheme="minorEastAsia"/>
                <w:b/>
                <w:bCs/>
                <w:color w:val="000000"/>
                <w:sz w:val="24"/>
                <w:szCs w:val="24"/>
              </w:rPr>
              <w:t xml:space="preserve">本项最高得</w:t>
            </w:r>
            <w:r>
              <w:rPr>
                <w:rFonts w:cs="宋体" w:asciiTheme="minorEastAsia" w:hAnsiTheme="minorEastAsia"/>
                <w:b/>
                <w:bCs/>
                <w:color w:val="000000"/>
                <w:sz w:val="24"/>
                <w:szCs w:val="24"/>
              </w:rPr>
              <w:t xml:space="preserve">3</w:t>
            </w:r>
            <w:r>
              <w:rPr>
                <w:rFonts w:hint="eastAsia" w:cs="宋体" w:asciiTheme="minorEastAsia" w:hAnsiTheme="minorEastAsia"/>
                <w:b/>
                <w:bCs/>
                <w:color w:val="000000"/>
                <w:sz w:val="24"/>
                <w:szCs w:val="24"/>
              </w:rPr>
              <w:t xml:space="preserve">分。</w:t>
            </w:r>
            <w:r/>
          </w:p>
        </w:tc>
      </w:tr>
      <w:tr>
        <w:trPr>
          <w:trHeight w:val="29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textDirection w:val="lrTb"/>
            <w:noWrap w:val="false"/>
          </w:tcPr>
          <w:p>
            <w:pPr>
              <w:rPr>
                <w:rFonts w:hint="eastAsia" w:ascii="宋体" w:hAnsi="宋体" w:cs="宋体" w:eastAsiaTheme="minorEastAsia"/>
                <w:color w:val="000000"/>
                <w:sz w:val="24"/>
                <w:szCs w:val="24"/>
                <w:lang w:eastAsia="zh-CN"/>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控制系统可靠性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1、所投产品的控制柜抗雷击浪涌组合波的电压≥</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KV的得3分，电压≥</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KV且＜</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KV的得1分，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 所投产品的控制柜供电电源电压可以在380V±20%范围内保证正常运行的得3分；在380V±15%范围内保证正常运行的，得1分，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29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门系统可靠性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1、所投产品的电梯门机外壳防护IP等级≥IP65得3分；门电机外壳防护等级≥IP54且＜IP65得1分,其余不得分。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2、所投产品的电梯门机的开关门动作寿命≥</w:t>
            </w: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00万次的得3分；开关门动作寿命≥1</w:t>
            </w:r>
            <w:r>
              <w:rPr>
                <w:rFonts w:ascii="宋体" w:hAnsi="宋体" w:eastAsia="宋体" w:cs="宋体"/>
                <w:color w:val="000000"/>
                <w:sz w:val="24"/>
                <w:szCs w:val="24"/>
              </w:rPr>
              <w:t xml:space="preserve">0</w:t>
            </w:r>
            <w:r>
              <w:rPr>
                <w:rFonts w:hint="eastAsia" w:ascii="宋体" w:hAnsi="宋体" w:eastAsia="宋体" w:cs="宋体"/>
                <w:color w:val="000000"/>
                <w:sz w:val="24"/>
                <w:szCs w:val="24"/>
              </w:rPr>
              <w:t xml:space="preserve">00万次且＜</w:t>
            </w: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00万次的得1分,其余不得分。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5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曳引系统可靠性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1、所投产品的曳引机制动器动作寿命≥</w:t>
            </w:r>
            <w:r>
              <w:rPr>
                <w:rFonts w:ascii="宋体" w:hAnsi="宋体" w:eastAsia="宋体" w:cs="宋体"/>
                <w:color w:val="000000"/>
                <w:sz w:val="24"/>
                <w:szCs w:val="24"/>
              </w:rPr>
              <w:t xml:space="preserve">2000</w:t>
            </w:r>
            <w:r>
              <w:rPr>
                <w:rFonts w:hint="eastAsia" w:ascii="宋体" w:hAnsi="宋体" w:eastAsia="宋体" w:cs="宋体"/>
                <w:color w:val="000000"/>
                <w:sz w:val="24"/>
                <w:szCs w:val="24"/>
              </w:rPr>
              <w:t xml:space="preserve">万次得3分；制动器动作寿命≥1</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00万次且小于</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00万次得1分,其余不得分。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曳引机外壳防护IP等级≥IP5</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得3分；曳引机外壳防护等级≥IP</w:t>
            </w:r>
            <w:r>
              <w:rPr>
                <w:rFonts w:ascii="宋体" w:hAnsi="宋体" w:eastAsia="宋体" w:cs="宋体"/>
                <w:color w:val="000000"/>
                <w:sz w:val="24"/>
                <w:szCs w:val="24"/>
              </w:rPr>
              <w:t xml:space="preserve">52</w:t>
            </w:r>
            <w:r>
              <w:rPr>
                <w:rFonts w:hint="eastAsia" w:ascii="宋体" w:hAnsi="宋体" w:eastAsia="宋体" w:cs="宋体"/>
                <w:color w:val="000000"/>
                <w:sz w:val="24"/>
                <w:szCs w:val="24"/>
              </w:rPr>
              <w:t xml:space="preserve">且＜IP5</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5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28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安全部件可靠性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安全部件使用动作寿命进行横向对比：</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1、所投产品的安全钳通过模拟使用寿命≥</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年动作寿命试验的得1分；安全钳通过模拟使用≥</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年且＜</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年动作寿命试验的得0.5分。其余不得分。</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2、所投产品的限速器通过模拟使用寿命≥</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0年动作寿命试验的得1分；限速器通过模拟使用≥</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年且＜</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年动作寿命试验的得0.5分。其余不得分。</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3、所投产品的缓冲器通过模拟使用寿命≥</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年动作寿命试验的得1分；缓冲器通过模拟使用≥</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年且＜</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0年动作寿命试验的得0.5分。其余不得分。</w:t>
            </w:r>
            <w:r/>
          </w:p>
        </w:tc>
      </w:tr>
      <w:tr>
        <w:trPr>
          <w:trHeight w:val="55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（上述1-3项投标文件中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1876"/>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电梯按钮可靠性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所投产品的</w:t>
            </w:r>
            <w:r>
              <w:rPr>
                <w:rFonts w:hint="eastAsia" w:ascii="宋体" w:hAnsi="宋体" w:eastAsia="宋体" w:cs="宋体"/>
                <w:color w:val="000000"/>
                <w:sz w:val="24"/>
                <w:szCs w:val="24"/>
              </w:rPr>
              <w:t xml:space="preserve">电梯按钮动作寿命≥</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00万次及以上的得3分,电梯按钮动作寿命≥1</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00万次且＜</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00万次的得1分,其余不得分。</w:t>
            </w:r>
            <w:r>
              <w:rPr>
                <w:rFonts w:hint="eastAsia" w:ascii="宋体" w:hAnsi="宋体" w:eastAsia="宋体" w:cs="宋体"/>
                <w:b/>
                <w:bCs/>
                <w:color w:val="000000"/>
                <w:sz w:val="24"/>
                <w:szCs w:val="24"/>
              </w:rPr>
              <w:t xml:space="preserve">本项最高得3分。</w:t>
            </w:r>
            <w:r/>
          </w:p>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电梯节能</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所投</w:t>
            </w:r>
            <w:r>
              <w:rPr>
                <w:rFonts w:hint="eastAsia" w:ascii="宋体" w:hAnsi="宋体" w:eastAsia="宋体" w:cs="宋体"/>
                <w:color w:val="000000"/>
                <w:sz w:val="24"/>
                <w:szCs w:val="24"/>
                <w:lang w:val="en-US" w:eastAsia="zh-CN"/>
              </w:rPr>
              <w:t xml:space="preserve">产品</w:t>
            </w:r>
            <w:r>
              <w:rPr>
                <w:rFonts w:hint="eastAsia" w:ascii="宋体" w:hAnsi="宋体" w:eastAsia="宋体" w:cs="宋体"/>
                <w:color w:val="000000"/>
                <w:sz w:val="24"/>
                <w:szCs w:val="24"/>
              </w:rPr>
              <w:t xml:space="preserve">的控制柜具有能量反馈功能，最大节电率≥5</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%的得3分,</w:t>
            </w:r>
            <w:r>
              <w:rPr>
                <w:rFonts w:ascii="宋体" w:hAnsi="宋体" w:eastAsia="宋体" w:cs="宋体"/>
                <w:color w:val="000000"/>
                <w:sz w:val="24"/>
                <w:szCs w:val="24"/>
              </w:rPr>
              <w:t xml:space="preserve">56</w:t>
            </w:r>
            <w:r>
              <w:rPr>
                <w:rFonts w:hint="eastAsia" w:ascii="宋体" w:hAnsi="宋体" w:eastAsia="宋体" w:cs="宋体"/>
                <w:color w:val="000000"/>
                <w:sz w:val="24"/>
                <w:szCs w:val="24"/>
              </w:rPr>
              <w:t xml:space="preserve">≤节电率&lt;5</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的得2分，</w:t>
            </w:r>
            <w:r>
              <w:rPr>
                <w:rFonts w:ascii="宋体" w:hAnsi="宋体" w:eastAsia="宋体" w:cs="宋体"/>
                <w:color w:val="000000"/>
                <w:sz w:val="24"/>
                <w:szCs w:val="24"/>
              </w:rPr>
              <w:t xml:space="preserve">54</w:t>
            </w:r>
            <w:r>
              <w:rPr>
                <w:rFonts w:hint="eastAsia" w:ascii="宋体" w:hAnsi="宋体" w:eastAsia="宋体" w:cs="宋体"/>
                <w:color w:val="000000"/>
                <w:sz w:val="24"/>
                <w:szCs w:val="24"/>
              </w:rPr>
              <w:t xml:space="preserve">≤节电率&lt;</w:t>
            </w:r>
            <w:r>
              <w:rPr>
                <w:rFonts w:ascii="宋体" w:hAnsi="宋体" w:eastAsia="宋体" w:cs="宋体"/>
                <w:color w:val="000000"/>
                <w:sz w:val="24"/>
                <w:szCs w:val="24"/>
              </w:rPr>
              <w:t xml:space="preserve">56</w:t>
            </w:r>
            <w:r>
              <w:rPr>
                <w:rFonts w:hint="eastAsia" w:ascii="宋体" w:hAnsi="宋体" w:eastAsia="宋体" w:cs="宋体"/>
                <w:color w:val="000000"/>
                <w:sz w:val="24"/>
                <w:szCs w:val="24"/>
              </w:rPr>
              <w:t xml:space="preserve">的得1分,其余不得分。</w:t>
            </w:r>
            <w:r>
              <w:rPr>
                <w:rFonts w:hint="eastAsia" w:ascii="宋体" w:hAnsi="宋体" w:eastAsia="宋体" w:cs="宋体"/>
                <w:b/>
                <w:bCs/>
                <w:color w:val="000000"/>
                <w:sz w:val="24"/>
                <w:szCs w:val="24"/>
              </w:rPr>
              <w:t xml:space="preserve">本项最高得3分。</w:t>
            </w:r>
            <w:r/>
          </w:p>
        </w:tc>
      </w:tr>
      <w:tr>
        <w:trPr>
          <w:trHeight w:val="29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2010"/>
        </w:trPr>
        <w:tc>
          <w:tcPr>
            <w:shd w:val="clear" w:color="auto" w:fill="auto"/>
            <w:tcW w:w="697" w:type="pct"/>
            <w:vAlign w:val="center"/>
            <w:textDirection w:val="lrTb"/>
            <w:noWrap w:val="false"/>
          </w:tcPr>
          <w:p>
            <w:pPr>
              <w:jc w:val="center"/>
              <w:spacing w:line="276" w:lineRule="auto"/>
              <w:rPr>
                <w:sz w:val="24"/>
                <w:szCs w:val="24"/>
              </w:rPr>
            </w:pPr>
            <w:r>
              <w:rPr>
                <w:rFonts w:hint="eastAsia"/>
                <w:sz w:val="24"/>
                <w:szCs w:val="24"/>
              </w:rPr>
              <w:t xml:space="preserve">企业体系认证</w:t>
            </w:r>
            <w:r/>
          </w:p>
          <w:p>
            <w:pPr>
              <w:jc w:val="center"/>
              <w:spacing w:line="276" w:lineRule="auto"/>
              <w:rPr>
                <w:sz w:val="24"/>
                <w:szCs w:val="24"/>
              </w:rPr>
            </w:pPr>
            <w:r>
              <w:rPr>
                <w:rFonts w:hint="eastAsia"/>
                <w:sz w:val="24"/>
                <w:szCs w:val="24"/>
              </w:rPr>
              <w:t xml:space="preserve">（6分）</w:t>
            </w:r>
            <w:r/>
          </w:p>
        </w:tc>
        <w:tc>
          <w:tcPr>
            <w:shd w:val="clear" w:color="auto" w:fill="auto"/>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1.投标人或所投品牌制造商具有质量管理体系认证证书的</w:t>
            </w:r>
            <w:r>
              <w:rPr>
                <w:rFonts w:hint="eastAsia" w:ascii="宋体" w:hAnsi="宋体" w:eastAsia="宋体" w:cs="宋体"/>
                <w:b/>
                <w:bCs/>
                <w:color w:val="000000"/>
                <w:sz w:val="24"/>
                <w:szCs w:val="24"/>
              </w:rPr>
              <w:t xml:space="preserve">得2分；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2.投标人或所投品牌制造商具有环境管理体系认证证书的</w:t>
            </w:r>
            <w:r>
              <w:rPr>
                <w:rFonts w:hint="eastAsia" w:ascii="宋体" w:hAnsi="宋体" w:eastAsia="宋体" w:cs="宋体"/>
                <w:b/>
                <w:bCs/>
                <w:color w:val="000000"/>
                <w:sz w:val="24"/>
                <w:szCs w:val="24"/>
              </w:rPr>
              <w:t xml:space="preserve">得2分；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3.投标人或所投品牌制造商具有职业健康安全管理体系认证证书的</w:t>
            </w:r>
            <w:r>
              <w:rPr>
                <w:rFonts w:hint="eastAsia" w:ascii="宋体" w:hAnsi="宋体" w:eastAsia="宋体" w:cs="宋体"/>
                <w:b/>
                <w:bCs/>
                <w:color w:val="000000"/>
                <w:sz w:val="24"/>
                <w:szCs w:val="24"/>
              </w:rPr>
              <w:t xml:space="preserve">得2分</w:t>
            </w:r>
            <w:r>
              <w:rPr>
                <w:rFonts w:hint="eastAsia" w:ascii="宋体" w:hAnsi="宋体" w:eastAsia="宋体" w:cs="宋体"/>
                <w:color w:val="000000"/>
                <w:sz w:val="24"/>
                <w:szCs w:val="24"/>
              </w:rPr>
              <w:t xml:space="preserve">。</w:t>
            </w:r>
            <w:r/>
          </w:p>
          <w:p>
            <w:pPr>
              <w:rPr>
                <w:rFonts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上述1-3项</w:t>
            </w:r>
            <w:r>
              <w:rPr>
                <w:rFonts w:hint="eastAsia" w:ascii="宋体" w:hAnsi="宋体" w:eastAsia="宋体" w:cs="宋体"/>
                <w:b/>
                <w:bCs/>
                <w:color w:val="000000"/>
                <w:sz w:val="24"/>
                <w:szCs w:val="24"/>
              </w:rPr>
              <w:t xml:space="preserve">投标文件中提供证书查询网站截图（国家市场监督总局，网址http://cx.cnca.cn/CertECloud/index/index/page）、证书原件扫描件，未提供或提供不全不得分。）</w:t>
            </w:r>
            <w:r/>
          </w:p>
        </w:tc>
      </w:tr>
      <w:tr>
        <w:trPr>
          <w:trHeight w:val="2155"/>
        </w:trPr>
        <w:tc>
          <w:tcPr>
            <w:shd w:val="clear" w:color="auto" w:fill="auto"/>
            <w:tcW w:w="697" w:type="pct"/>
            <w:vAlign w:val="center"/>
            <w:textDirection w:val="lrTb"/>
            <w:noWrap w:val="false"/>
          </w:tcPr>
          <w:p>
            <w:pPr>
              <w:jc w:val="center"/>
              <w:spacing w:line="276" w:lineRule="auto"/>
              <w:rPr>
                <w:sz w:val="24"/>
                <w:szCs w:val="24"/>
              </w:rPr>
            </w:pPr>
            <w:r>
              <w:rPr>
                <w:rFonts w:hint="eastAsia"/>
                <w:sz w:val="24"/>
                <w:szCs w:val="24"/>
              </w:rPr>
              <w:t xml:space="preserve">业绩</w:t>
            </w:r>
            <w:r/>
          </w:p>
          <w:p>
            <w:pPr>
              <w:jc w:val="center"/>
              <w:spacing w:line="276" w:lineRule="auto"/>
              <w:rPr>
                <w:sz w:val="24"/>
                <w:szCs w:val="24"/>
              </w:rPr>
            </w:pPr>
            <w:r>
              <w:rPr>
                <w:rFonts w:hint="eastAsia"/>
                <w:sz w:val="24"/>
                <w:szCs w:val="24"/>
              </w:rPr>
              <w:t xml:space="preserve">（4分）</w:t>
            </w:r>
            <w:r/>
          </w:p>
        </w:tc>
        <w:tc>
          <w:tcPr>
            <w:shd w:val="clear" w:color="auto" w:fill="auto"/>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自2022年1月1日（含）以来，投标人具有</w:t>
            </w:r>
            <w:r>
              <w:rPr>
                <w:rFonts w:hint="eastAsia" w:ascii="宋体" w:hAnsi="宋体" w:eastAsia="宋体" w:cs="宋体"/>
                <w:color w:val="000000"/>
                <w:sz w:val="24"/>
                <w:szCs w:val="24"/>
                <w:lang w:val="zh-CN"/>
              </w:rPr>
              <w:t xml:space="preserve">类似</w:t>
            </w:r>
            <w:r>
              <w:rPr>
                <w:rFonts w:hint="eastAsia"/>
                <w:lang w:val="en-US" w:eastAsia="zh-CN"/>
              </w:rPr>
              <w:t xml:space="preserve">电</w:t>
            </w:r>
            <w:r>
              <w:rPr>
                <w:rFonts w:hint="eastAsia" w:ascii="宋体" w:hAnsi="宋体" w:eastAsia="宋体" w:cs="宋体"/>
                <w:color w:val="000000"/>
                <w:sz w:val="24"/>
                <w:szCs w:val="24"/>
                <w:lang w:val="zh-CN"/>
              </w:rPr>
              <w:t xml:space="preserve">梯更换项目</w:t>
            </w:r>
            <w:r>
              <w:rPr>
                <w:rFonts w:hint="eastAsia" w:ascii="宋体" w:hAnsi="宋体" w:eastAsia="宋体" w:cs="宋体"/>
                <w:color w:val="000000"/>
                <w:sz w:val="24"/>
                <w:szCs w:val="24"/>
              </w:rPr>
              <w:t xml:space="preserve">业绩的，每提供1个得1分，</w:t>
            </w:r>
            <w:r>
              <w:rPr>
                <w:rFonts w:hint="eastAsia" w:ascii="宋体" w:hAnsi="宋体" w:eastAsia="宋体" w:cs="宋体"/>
                <w:b/>
                <w:bCs/>
                <w:color w:val="000000"/>
                <w:sz w:val="24"/>
                <w:szCs w:val="24"/>
                <w:lang w:val="en-US" w:eastAsia="zh-CN"/>
              </w:rPr>
              <w:t xml:space="preserve">本项</w:t>
            </w:r>
            <w:r>
              <w:rPr>
                <w:rFonts w:hint="eastAsia" w:ascii="宋体" w:hAnsi="宋体" w:eastAsia="宋体" w:cs="宋体"/>
                <w:b/>
                <w:bCs/>
                <w:color w:val="000000"/>
                <w:sz w:val="24"/>
                <w:szCs w:val="24"/>
              </w:rPr>
              <w:t xml:space="preserve">最高得4分。</w:t>
            </w:r>
            <w:r/>
          </w:p>
          <w:p>
            <w:pP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投标文件中</w:t>
            </w:r>
            <w:r>
              <w:rPr>
                <w:rFonts w:hint="eastAsia" w:ascii="宋体" w:hAnsi="宋体" w:eastAsia="宋体" w:cs="宋体"/>
                <w:b/>
                <w:bCs/>
                <w:color w:val="000000"/>
                <w:sz w:val="24"/>
                <w:szCs w:val="24"/>
              </w:rPr>
              <w:t xml:space="preserve">提供合同扫描件及市场监督主管部门验收合格颁发的验收报告扫描件并加盖投标人公章，时间以市场监督主管部门验收合格颁发的验收报告的时间为准，标的内容以合同为准，否则不得分</w:t>
            </w:r>
            <w:r>
              <w:rPr>
                <w:rFonts w:hint="eastAsia" w:ascii="宋体" w:hAnsi="宋体" w:eastAsia="宋体" w:cs="宋体"/>
                <w:b/>
                <w:bCs/>
                <w:color w:val="000000"/>
                <w:sz w:val="24"/>
                <w:szCs w:val="24"/>
                <w:lang w:eastAsia="zh-CN"/>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 30 </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9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供货计划及质量保证措施</w:t>
            </w:r>
            <w:r/>
          </w:p>
          <w:p>
            <w:pPr>
              <w:jc w:val="center"/>
              <w:spacing w:line="276" w:lineRule="auto"/>
            </w:pPr>
            <w:r>
              <w:rPr>
                <w:rFonts w:hint="eastAsia" w:ascii="宋体" w:hAnsi="宋体" w:cs="宋体"/>
                <w:color w:val="auto"/>
                <w:spacing w:val="0"/>
                <w:sz w:val="24"/>
                <w:szCs w:val="24"/>
                <w:highlight w:val="none"/>
                <w:lang w:val="en-US" w:eastAsia="zh-CN"/>
              </w:rPr>
              <w:t xml:space="preserve">（7分）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一、供货计划完整性（</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内容完整，明确设备规格、数量、型号及供货明细，包含交付、验收等核心内容，符合招标要求，得</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核心信息无缺失，明细、验收流程较简单，需轻微调整，得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关键信息缺失，影响执行，得</w:t>
            </w:r>
            <w:r>
              <w:rPr>
                <w:rFonts w:hint="eastAsia" w:ascii="宋体" w:hAnsi="宋体" w:eastAsia="宋体" w:cs="宋体"/>
                <w:sz w:val="24"/>
                <w:szCs w:val="24"/>
                <w:lang w:val="en-US" w:eastAsia="zh-CN" w:bidi="ar"/>
              </w:rPr>
              <w:t xml:space="preserve">0.5分</w:t>
            </w:r>
            <w:r>
              <w:rPr>
                <w:rFonts w:ascii="宋体" w:hAnsi="宋体" w:eastAsia="宋体" w:cs="宋体"/>
                <w:sz w:val="24"/>
                <w:szCs w:val="24"/>
                <w:lang w:val="en-US" w:eastAsia="zh-CN" w:bidi="ar"/>
              </w:rPr>
              <w:t xml:space="preserve">；</w:t>
            </w:r>
            <w:r/>
          </w:p>
          <w:p>
            <w:pPr>
              <w:jc w:val="left"/>
              <w:keepLines w:val="0"/>
              <w:keepNext w:val="0"/>
              <w:spacing w:line="240" w:lineRule="auto"/>
              <w:widowControl/>
              <w:rPr>
                <w:b/>
                <w:bCs/>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二、供货进度合理性（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贴合土建、井道移交进度，明确各阶段时间节点，衔接顺畅、有缓冲期，进度可量化，得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基本贴合项目进度，主要节点明确、衔接顺畅，得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节点模糊、未结合项目进度，衔接有漏洞，得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240" w:lineRule="auto"/>
              <w:widowControl/>
              <w:rPr>
                <w:rFonts w:ascii="宋体" w:hAnsi="宋体" w:eastAsia="宋体" w:cs="宋体"/>
                <w:b/>
                <w:bCs/>
                <w:sz w:val="24"/>
                <w:szCs w:val="24"/>
                <w:lang w:val="en-US" w:eastAsia="zh-CN" w:bidi="ar"/>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三、供货保障措施可行性（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保障体系完善，明确生产、物流、人员保障及突发情况应急预案，符合特种设备要求，得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有基本保障措施及简单应急思路，可保障供货，得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措施笼统、无应急预案，难以应对突发情况，得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拆除方案和安全保障措施</w:t>
            </w:r>
            <w:r/>
          </w:p>
          <w:p>
            <w:pPr>
              <w:jc w:val="center"/>
              <w:spacing w:line="276" w:lineRule="auto"/>
            </w:pPr>
            <w:r>
              <w:rPr>
                <w:rFonts w:hint="eastAsia" w:ascii="宋体" w:hAnsi="宋体" w:cs="宋体"/>
                <w:color w:val="auto"/>
                <w:spacing w:val="0"/>
                <w:sz w:val="24"/>
                <w:szCs w:val="24"/>
                <w:highlight w:val="none"/>
                <w:lang w:val="en-US" w:eastAsia="zh-CN"/>
              </w:rPr>
              <w:t xml:space="preserve">（9分）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一、电梯拆除方案（</w:t>
            </w: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方案完整规范，涵盖拆除范围、流程（符合电梯移除“先评估、再计划、后施工”原则）、节点进度、设备拆解、清运处置及现场恢复，贴合项目实际，可直接落地，得</w:t>
            </w: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方案基本完整，明确核心拆除流程、进度及清运方式，需轻微调整可执行，符合行业规范，得</w:t>
            </w:r>
            <w:r>
              <w:rPr>
                <w:rFonts w:hint="eastAsia" w:ascii="宋体" w:hAnsi="宋体" w:eastAsia="宋体" w:cs="宋体"/>
                <w:sz w:val="24"/>
                <w:szCs w:val="24"/>
                <w:lang w:val="en-US" w:eastAsia="zh-CN" w:bidi="ar"/>
              </w:rPr>
              <w:t xml:space="preserve">2.5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方案内容简单，缺失关键环节（如无拆解流程、无清运计划），合理性不足，得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rPr>
                <w:b/>
                <w:bCs/>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二、安全保障措施（</w:t>
            </w: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保障体系完善，符合《中华人民共和国特种设备安全法》及电梯拆除行业规范，明确人员资质（持证上岗）、现场防护、用电/动火/吊装安全、应急处置（应对坠落、触电、物体打击等风险），措施具体可操作，得</w:t>
            </w: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具备基本安全保障措施，明确人员防护、现场警示及简单应急方案，可基本防范重大安全风险，得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安全措施笼统，未明确具体防护方式及应急处置，存在明显安全隐患，得1分；</w:t>
            </w:r>
            <w:r/>
          </w:p>
          <w:p>
            <w:pPr>
              <w:numPr>
                <w:ilvl w:val="0"/>
                <w:numId w:val="0"/>
              </w:numPr>
              <w:jc w:val="left"/>
              <w:keepLines w:val="0"/>
              <w:keepNext w:val="0"/>
              <w:spacing w:line="240" w:lineRule="auto"/>
              <w:widowControl/>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安装进度计划和各阶段进度的保证措施</w:t>
            </w:r>
            <w:r/>
          </w:p>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（9分）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一、安装进度计划（4分）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进度计划科学完整，明确安装全流程（井道复测、部件安装、调试、验收）各阶段时间节点，贴合项目整体工期及土建进度，衔接顺畅、可量化可追溯，得4分；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进度计划基本合理，明确核心阶段时间节点，贴合项目工期，衔接基本顺畅，得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进度计划简单，时间节点模糊，未结合项目实际进度，衔接有漏洞，得1分；</w:t>
            </w:r>
            <w:r/>
          </w:p>
          <w:p>
            <w:pPr>
              <w:jc w:val="left"/>
              <w:keepLines w:val="0"/>
              <w:keepNext w:val="0"/>
              <w:spacing w:line="240" w:lineRule="auto"/>
              <w:widowControl/>
              <w:rPr>
                <w:b/>
                <w:bCs/>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二、各阶段进度保证措施（5分）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措施完善具体，针对安装各阶段（复测、安装、调试、验收）制定专属保障方案，明确人员、设备、物料保障及进度延误应急预案，可有效确保各阶段按时完成，得5分；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措施基本可行，明确主要阶段保障方式及人员、物料安排，有简单应急思路，可基本保障进度，得2分；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措施笼统，未区分各阶段保障重点，无应急方案，难以保障进度，得1分；</w:t>
            </w:r>
            <w:r/>
          </w:p>
          <w:p>
            <w:pPr>
              <w:jc w:val="left"/>
              <w:keepLines w:val="0"/>
              <w:keepNext w:val="0"/>
              <w:spacing w:line="240" w:lineRule="auto"/>
              <w:widowControl/>
              <w:rPr>
                <w:rFonts w:hint="eastAsia" w:ascii="宋体" w:hAnsi="宋体" w:cs="宋体"/>
                <w:b/>
                <w:bCs/>
                <w:color w:val="auto"/>
                <w:sz w:val="24"/>
                <w:szCs w:val="24"/>
                <w:highlight w:val="none"/>
                <w:lang w:val="en-US" w:eastAsia="zh-CN" w:bidi="zh-CN"/>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r>
        <w:trPr>
          <w:jc w:val="center"/>
          <w:trHeight w:val="621"/>
        </w:trPr>
        <w:tc>
          <w:tcPr>
            <w:tcW w:w="1754" w:type="dxa"/>
            <w:vAlign w:val="center"/>
            <w:textDirection w:val="lrTb"/>
            <w:noWrap w:val="false"/>
          </w:tcPr>
          <w:p>
            <w:pPr>
              <w:jc w:val="center"/>
              <w:spacing w:line="276" w:lineRule="auto"/>
              <w:rPr>
                <w:rFonts w:hint="default"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售后服务方案（5分）</w:t>
            </w:r>
            <w:r/>
          </w:p>
        </w:tc>
        <w:tc>
          <w:tcPr>
            <w:tcW w:w="6576" w:type="dxa"/>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投标人针对本项目提供售后服务方案，包括但不限于售后服务机构设置、售后服务人员配置、解决质量或错做问题的响应时间、形式、维修时间、地点、人员等内容：</w:t>
            </w:r>
            <w:r/>
          </w:p>
          <w:p>
            <w:pPr>
              <w:numPr>
                <w:ilvl w:val="0"/>
                <w:numId w:val="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内容详尽完善，售后服务机构和人员有保证，响应维修时间及时，切合售后服务需求，人员安排合理，可实施性强的得5分；</w:t>
            </w:r>
            <w:r/>
          </w:p>
          <w:p>
            <w:pPr>
              <w:numPr>
                <w:ilvl w:val="0"/>
                <w:numId w:val="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内容较详细全面，售后服务机构和人员较有保证，响应维修时间较及时，比较切合售后服务需求，人员安排较合理，可实施性较强的得3分；</w:t>
            </w:r>
            <w:r/>
          </w:p>
          <w:p>
            <w:pPr>
              <w:numPr>
                <w:ilvl w:val="0"/>
                <w:numId w:val="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方案内容一般，基本符合售后服务需求的得2分；</w:t>
            </w:r>
            <w:r/>
          </w:p>
          <w:p>
            <w:pPr>
              <w:numPr>
                <w:ilvl w:val="0"/>
                <w:numId w:val="7"/>
              </w:numPr>
              <w:ind w:left="0" w:firstLine="0"/>
              <w:jc w:val="left"/>
              <w:keepLines w:val="0"/>
              <w:keepNext w:val="0"/>
              <w:pageBreakBefore w:val="0"/>
              <w:spacing w:line="240" w:lineRule="auto"/>
              <w:widowControl/>
              <w:rPr>
                <w:rFonts w:hint="eastAsia" w:ascii="宋体" w:hAnsi="宋体" w:cs="宋体"/>
                <w:b/>
                <w:bCs w:val="0"/>
                <w:color w:val="auto"/>
                <w:sz w:val="24"/>
                <w:szCs w:val="24"/>
                <w:lang w:val="en-US" w:eastAsia="zh-CN" w:bidi="ar-SA"/>
              </w:rPr>
            </w:pPr>
            <w:r>
              <w:rPr>
                <w:rFonts w:hint="eastAsia" w:ascii="宋体" w:hAnsi="宋体" w:cs="宋体"/>
                <w:b w:val="0"/>
                <w:bCs/>
                <w:color w:val="auto"/>
                <w:sz w:val="24"/>
                <w:szCs w:val="24"/>
                <w:lang w:val="en-US" w:eastAsia="zh-CN" w:bidi="ar-SA"/>
              </w:rPr>
              <w:t xml:space="preserve">方案内容粗略，表述不明确的得1分。</w:t>
            </w:r>
            <w:r/>
          </w:p>
          <w:p>
            <w:pPr>
              <w:numPr>
                <w:ilvl w:val="0"/>
                <w:numId w:val="7"/>
              </w:numPr>
              <w:ind w:left="0" w:firstLine="0"/>
              <w:jc w:val="left"/>
              <w:keepLines w:val="0"/>
              <w:keepNext w:val="0"/>
              <w:pageBreakBefore w:val="0"/>
              <w:spacing w:line="240" w:lineRule="auto"/>
              <w:widowControl/>
              <w:rPr>
                <w:rFonts w:hint="eastAsia" w:ascii="宋体" w:hAnsi="宋体" w:cs="宋体"/>
                <w:b/>
                <w:bCs w:val="0"/>
                <w:color w:val="auto"/>
                <w:sz w:val="24"/>
                <w:szCs w:val="24"/>
                <w:lang w:val="en-US" w:eastAsia="zh-CN" w:bidi="ar-SA"/>
              </w:rPr>
            </w:pPr>
            <w:r>
              <w:rPr>
                <w:rFonts w:ascii="宋体" w:hAnsi="宋体" w:eastAsia="宋体" w:cs="宋体"/>
                <w:b/>
                <w:bCs/>
                <w:sz w:val="24"/>
                <w:szCs w:val="24"/>
                <w:lang w:val="en-US" w:eastAsia="zh-CN" w:bidi="ar"/>
              </w:rPr>
              <w:t xml:space="preserve">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bl>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注：1.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30</w:t>
      </w:r>
      <w:r>
        <w:rPr>
          <w:rFonts w:hint="eastAsia" w:ascii="宋体" w:hAnsi="宋体" w:cs="Calibri"/>
          <w:b/>
          <w:color w:val="000000"/>
          <w:sz w:val="24"/>
          <w:szCs w:val="24"/>
          <w:highlight w:val="none"/>
        </w:rPr>
        <w:t xml:space="preserve">分）采用暗标方式进行评审。</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2"/>
        <w:keepLines w:val="0"/>
        <w:keepNext w:val="0"/>
        <w:pageBreakBefore w:val="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ind w:firstLine="482"/>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sz w:val="24"/>
          <w:szCs w:val="24"/>
        </w:rPr>
      </w:pPr>
      <w:r>
        <w:rPr>
          <w:sz w:val="24"/>
          <w:szCs w:val="24"/>
        </w:rPr>
        <w:br w:type="page" w:clear="all"/>
      </w:r>
      <w:r/>
    </w:p>
    <w:p>
      <w:pPr>
        <w:pStyle w:val="687"/>
        <w:jc w:val="center"/>
        <w:spacing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9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green"/>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rPr>
          <w:rFonts w:hint="default" w:ascii="宋体" w:hAnsi="宋体"/>
          <w:color w:val="000000"/>
          <w:szCs w:val="24"/>
          <w:highlight w:val="green"/>
          <w:lang w:val="en-US" w:eastAsia="zh-CN"/>
        </w:rPr>
      </w:pPr>
      <w:r>
        <w:rPr>
          <w:rFonts w:hint="eastAsia" w:ascii="宋体" w:hAnsi="宋体"/>
          <w:color w:val="000000"/>
          <w:szCs w:val="24"/>
          <w:highlight w:val="green"/>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hint="eastAsia" w:ascii="Arial" w:hAnsi="Arial" w:eastAsia="宋体" w:cs="Arial"/>
          <w:sz w:val="32"/>
          <w:highlight w:val="green"/>
        </w:rPr>
        <w:outlineLvl w:val="1"/>
      </w:pPr>
      <w:r>
        <w:rPr>
          <w:rFonts w:hint="eastAsia" w:ascii="Arial" w:hAnsi="Arial" w:eastAsia="宋体" w:cs="Arial"/>
          <w:sz w:val="32"/>
          <w:highlight w:val="green"/>
          <w:lang w:val="en-US" w:eastAsia="zh-CN"/>
        </w:rPr>
        <w:t xml:space="preserve">十五、</w:t>
      </w:r>
      <w:r>
        <w:rPr>
          <w:rFonts w:hint="eastAsia" w:ascii="Arial" w:hAnsi="Arial" w:eastAsia="宋体" w:cs="Arial"/>
          <w:sz w:val="32"/>
          <w:highlight w:val="green"/>
        </w:rPr>
        <w:t xml:space="preserve">关于符合本国产品标准的声明函（</w:t>
      </w:r>
      <w:r>
        <w:rPr>
          <w:rFonts w:hint="eastAsia" w:ascii="Arial" w:hAnsi="Arial" w:eastAsia="宋体" w:cs="Arial"/>
          <w:sz w:val="32"/>
          <w:highlight w:val="green"/>
          <w:lang w:val="en-US" w:eastAsia="zh-CN"/>
        </w:rPr>
        <w:t xml:space="preserve">分</w:t>
      </w:r>
      <w:r>
        <w:rPr>
          <w:rFonts w:hint="eastAsia" w:ascii="Arial" w:hAnsi="Arial" w:eastAsia="宋体" w:cs="Arial"/>
          <w:sz w:val="32"/>
          <w:highlight w:val="green"/>
        </w:rPr>
        <w:t xml:space="preserve">包号：**）</w:t>
      </w:r>
      <w:r/>
    </w:p>
    <w:p>
      <w:pPr>
        <w:pStyle w:val="72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21"/>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直接箭头连接符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1.</w:t>
      </w:r>
      <w:r>
        <w:rPr>
          <w:rStyle w:val="726"/>
          <w:rFonts w:hint="eastAsia" w:ascii="宋体" w:hAnsi="宋体" w:eastAsia="宋体" w:cs="宋体"/>
          <w:i w:val="0"/>
          <w:color w:val="auto"/>
          <w:sz w:val="24"/>
          <w:szCs w:val="24"/>
          <w:highlight w:val="green"/>
          <w:u w:val="single"/>
          <w:shd w:val="clear" w:color="auto" w:fill="ffffff"/>
        </w:rPr>
        <w:t xml:space="preserve">（产品名称1）</w:t>
      </w:r>
      <w:r>
        <w:rPr>
          <w:rStyle w:val="726"/>
          <w:rFonts w:hint="eastAsia" w:ascii="宋体" w:hAnsi="宋体" w:eastAsia="宋体" w:cs="宋体"/>
          <w:i w:val="0"/>
          <w:color w:val="auto"/>
          <w:sz w:val="24"/>
          <w:szCs w:val="24"/>
          <w:highlight w:val="green"/>
          <w:shd w:val="clear" w:color="auto" w:fill="ffffff"/>
          <w:vertAlign w:val="superscript"/>
        </w:rPr>
        <w:t xml:space="preserve">1</w:t>
      </w:r>
      <w:r>
        <w:rPr>
          <w:rFonts w:hint="eastAsia" w:ascii="宋体" w:hAnsi="宋体" w:eastAsia="宋体" w:cs="宋体"/>
          <w:color w:val="auto"/>
          <w:sz w:val="24"/>
          <w:szCs w:val="24"/>
          <w:highlight w:val="green"/>
          <w:shd w:val="clear" w:color="auto" w:fill="ffffff"/>
        </w:rPr>
        <w:t xml:space="preserve">，生产厂为</w:t>
      </w:r>
      <w:r>
        <w:rPr>
          <w:rStyle w:val="726"/>
          <w:rFonts w:hint="eastAsia" w:ascii="宋体" w:hAnsi="宋体" w:eastAsia="宋体" w:cs="宋体"/>
          <w:i w:val="0"/>
          <w:color w:val="auto"/>
          <w:sz w:val="24"/>
          <w:szCs w:val="24"/>
          <w:highlight w:val="green"/>
          <w:u w:val="single"/>
          <w:shd w:val="clear" w:color="auto" w:fill="ffffff"/>
        </w:rPr>
        <w:t xml:space="preserve">（厂名）</w:t>
      </w:r>
      <w:r>
        <w:rPr>
          <w:rStyle w:val="726"/>
          <w:rFonts w:hint="eastAsia" w:ascii="宋体" w:hAnsi="宋体" w:eastAsia="宋体" w:cs="宋体"/>
          <w:i w:val="0"/>
          <w:color w:val="auto"/>
          <w:sz w:val="24"/>
          <w:szCs w:val="24"/>
          <w:highlight w:val="green"/>
          <w:shd w:val="clear" w:color="auto" w:fill="ffffff"/>
          <w:vertAlign w:val="superscript"/>
        </w:rPr>
        <w:t xml:space="preserve">2</w:t>
      </w:r>
      <w:r>
        <w:rPr>
          <w:rFonts w:hint="eastAsia" w:ascii="宋体" w:hAnsi="宋体" w:eastAsia="宋体" w:cs="宋体"/>
          <w:color w:val="auto"/>
          <w:sz w:val="24"/>
          <w:szCs w:val="24"/>
          <w:highlight w:val="green"/>
          <w:shd w:val="clear" w:color="auto" w:fill="ffffff"/>
        </w:rPr>
        <w:t xml:space="preserve">，厂址为</w:t>
      </w:r>
      <w:r>
        <w:rPr>
          <w:rStyle w:val="726"/>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Fonts w:hint="eastAsia" w:ascii="宋体" w:hAnsi="宋体" w:eastAsia="宋体" w:cs="宋体"/>
          <w:color w:val="auto"/>
          <w:sz w:val="24"/>
          <w:szCs w:val="24"/>
          <w:highlight w:val="green"/>
          <w:u w:val="single"/>
          <w:shd w:val="clear" w:color="auto" w:fill="ffffff"/>
        </w:rPr>
        <w:t xml:space="preserve"> </w:t>
      </w:r>
      <w:r>
        <w:rPr>
          <w:rStyle w:val="726"/>
          <w:rFonts w:hint="eastAsia" w:ascii="宋体" w:hAnsi="宋体" w:eastAsia="宋体" w:cs="宋体"/>
          <w:i w:val="0"/>
          <w:color w:val="auto"/>
          <w:sz w:val="24"/>
          <w:szCs w:val="24"/>
          <w:highlight w:val="green"/>
          <w:u w:val="single"/>
          <w:shd w:val="clear" w:color="auto" w:fill="ffffff"/>
        </w:rPr>
        <w:t xml:space="preserve">（产品名称1） </w:t>
      </w:r>
      <w:r>
        <w:rPr>
          <w:rFonts w:hint="eastAsia" w:ascii="宋体" w:hAnsi="宋体" w:eastAsia="宋体" w:cs="宋体"/>
          <w:color w:val="auto"/>
          <w:sz w:val="24"/>
          <w:szCs w:val="24"/>
          <w:highlight w:val="green"/>
          <w:shd w:val="clear" w:color="auto" w:fill="ffffff"/>
        </w:rPr>
        <w:t xml:space="preserve">的中国境内生产的组件成本占比≥</w:t>
      </w:r>
      <w:r>
        <w:rPr>
          <w:rStyle w:val="726"/>
          <w:rFonts w:hint="eastAsia" w:ascii="宋体" w:hAnsi="宋体" w:eastAsia="宋体" w:cs="宋体"/>
          <w:i w:val="0"/>
          <w:color w:val="auto"/>
          <w:sz w:val="24"/>
          <w:szCs w:val="24"/>
          <w:highlight w:val="green"/>
          <w:u w:val="single"/>
          <w:shd w:val="clear" w:color="auto" w:fill="ffffff"/>
        </w:rPr>
        <w:t xml:space="preserve">（规定比例）</w:t>
      </w:r>
      <w:r>
        <w:rPr>
          <w:rStyle w:val="726"/>
          <w:rFonts w:hint="eastAsia" w:ascii="宋体" w:hAnsi="宋体" w:eastAsia="宋体" w:cs="宋体"/>
          <w:i w:val="0"/>
          <w:color w:val="auto"/>
          <w:sz w:val="24"/>
          <w:szCs w:val="24"/>
          <w:highlight w:val="green"/>
          <w:shd w:val="clear" w:color="auto" w:fill="ffffff"/>
          <w:vertAlign w:val="superscript"/>
        </w:rPr>
        <w:t xml:space="preserve">3</w:t>
      </w:r>
      <w:r>
        <w:rPr>
          <w:rFonts w:hint="eastAsia" w:ascii="宋体" w:hAnsi="宋体" w:eastAsia="宋体" w:cs="宋体"/>
          <w:color w:val="auto"/>
          <w:sz w:val="24"/>
          <w:szCs w:val="24"/>
          <w:highlight w:val="green"/>
          <w:shd w:val="clear" w:color="auto" w:fill="ffffff"/>
        </w:rPr>
        <w:t xml:space="preserve">。</w:t>
      </w:r>
      <w:r>
        <w:rPr>
          <w:rStyle w:val="726"/>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726"/>
          <w:rFonts w:hint="eastAsia" w:ascii="宋体" w:hAnsi="宋体" w:eastAsia="宋体" w:cs="宋体"/>
          <w:i w:val="0"/>
          <w:color w:val="auto"/>
          <w:sz w:val="24"/>
          <w:szCs w:val="24"/>
          <w:highlight w:val="green"/>
          <w:u w:val="single"/>
          <w:shd w:val="clear" w:color="auto" w:fill="ffffff"/>
        </w:rPr>
        <w:t xml:space="preserve">（关键组件）</w:t>
      </w:r>
      <w:r>
        <w:rPr>
          <w:rStyle w:val="726"/>
          <w:rFonts w:hint="eastAsia" w:ascii="宋体" w:hAnsi="宋体" w:eastAsia="宋体" w:cs="宋体"/>
          <w:i w:val="0"/>
          <w:color w:val="auto"/>
          <w:sz w:val="24"/>
          <w:szCs w:val="24"/>
          <w:highlight w:val="green"/>
          <w:shd w:val="clear" w:color="auto" w:fill="ffffff"/>
          <w:vertAlign w:val="superscript"/>
        </w:rPr>
        <w:t xml:space="preserve">4</w:t>
      </w:r>
      <w:r>
        <w:rPr>
          <w:rFonts w:hint="eastAsia" w:ascii="宋体" w:hAnsi="宋体" w:eastAsia="宋体" w:cs="宋体"/>
          <w:color w:val="auto"/>
          <w:sz w:val="24"/>
          <w:szCs w:val="24"/>
          <w:highlight w:val="green"/>
          <w:shd w:val="clear" w:color="auto" w:fill="ffffff"/>
        </w:rPr>
        <w:t xml:space="preserve">在中国境内生产。</w:t>
      </w:r>
      <w:r>
        <w:rPr>
          <w:rStyle w:val="726"/>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726"/>
          <w:rFonts w:hint="eastAsia" w:ascii="宋体" w:hAnsi="宋体" w:eastAsia="宋体" w:cs="宋体"/>
          <w:i w:val="0"/>
          <w:color w:val="auto"/>
          <w:sz w:val="24"/>
          <w:szCs w:val="24"/>
          <w:highlight w:val="green"/>
          <w:u w:val="single"/>
          <w:shd w:val="clear" w:color="auto" w:fill="ffffff"/>
        </w:rPr>
        <w:t xml:space="preserve">（关键工序）</w:t>
      </w:r>
      <w:r>
        <w:rPr>
          <w:rStyle w:val="726"/>
          <w:rFonts w:hint="eastAsia" w:ascii="宋体" w:hAnsi="宋体" w:eastAsia="宋体" w:cs="宋体"/>
          <w:i w:val="0"/>
          <w:color w:val="auto"/>
          <w:sz w:val="24"/>
          <w:szCs w:val="24"/>
          <w:highlight w:val="green"/>
          <w:shd w:val="clear" w:color="auto" w:fill="ffffff"/>
          <w:vertAlign w:val="superscript"/>
        </w:rPr>
        <w:t xml:space="preserve">5</w:t>
      </w:r>
      <w:r>
        <w:rPr>
          <w:rFonts w:hint="eastAsia" w:ascii="宋体" w:hAnsi="宋体" w:eastAsia="宋体" w:cs="宋体"/>
          <w:color w:val="auto"/>
          <w:sz w:val="24"/>
          <w:szCs w:val="24"/>
          <w:highlight w:val="green"/>
          <w:shd w:val="clear" w:color="auto" w:fill="ffffff"/>
        </w:rPr>
        <w:t xml:space="preserve">在中国境内完成。</w:t>
      </w:r>
      <w:r/>
    </w:p>
    <w:p>
      <w:pPr>
        <w:pStyle w:val="72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2.</w:t>
      </w:r>
      <w:r>
        <w:rPr>
          <w:rStyle w:val="726"/>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，生产厂为</w:t>
      </w:r>
      <w:r>
        <w:rPr>
          <w:rStyle w:val="726"/>
          <w:rFonts w:hint="eastAsia" w:ascii="宋体" w:hAnsi="宋体" w:eastAsia="宋体" w:cs="宋体"/>
          <w:i w:val="0"/>
          <w:color w:val="auto"/>
          <w:sz w:val="24"/>
          <w:szCs w:val="24"/>
          <w:highlight w:val="green"/>
          <w:u w:val="single"/>
          <w:shd w:val="clear" w:color="auto" w:fill="ffffff"/>
        </w:rPr>
        <w:t xml:space="preserve">（厂名）</w:t>
      </w:r>
      <w:r>
        <w:rPr>
          <w:rFonts w:hint="eastAsia" w:ascii="宋体" w:hAnsi="宋体" w:eastAsia="宋体" w:cs="宋体"/>
          <w:color w:val="auto"/>
          <w:sz w:val="24"/>
          <w:szCs w:val="24"/>
          <w:highlight w:val="green"/>
          <w:shd w:val="clear" w:color="auto" w:fill="ffffff"/>
        </w:rPr>
        <w:t xml:space="preserve">，厂址为</w:t>
      </w:r>
      <w:r>
        <w:rPr>
          <w:rStyle w:val="726"/>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Style w:val="726"/>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的中国境内生产的组件成本占比≥</w:t>
      </w:r>
      <w:r>
        <w:rPr>
          <w:rStyle w:val="726"/>
          <w:rFonts w:hint="eastAsia" w:ascii="宋体" w:hAnsi="宋体" w:eastAsia="宋体" w:cs="宋体"/>
          <w:i w:val="0"/>
          <w:color w:val="auto"/>
          <w:sz w:val="24"/>
          <w:szCs w:val="24"/>
          <w:highlight w:val="green"/>
          <w:u w:val="single"/>
          <w:shd w:val="clear" w:color="auto" w:fill="ffffff"/>
        </w:rPr>
        <w:t xml:space="preserve">（规定比例）</w:t>
      </w:r>
      <w:r>
        <w:rPr>
          <w:rFonts w:hint="eastAsia" w:ascii="宋体" w:hAnsi="宋体" w:eastAsia="宋体" w:cs="宋体"/>
          <w:color w:val="auto"/>
          <w:sz w:val="24"/>
          <w:szCs w:val="24"/>
          <w:highlight w:val="green"/>
          <w:shd w:val="clear" w:color="auto" w:fill="ffffff"/>
        </w:rPr>
        <w:t xml:space="preserve">。</w:t>
      </w:r>
      <w:r>
        <w:rPr>
          <w:rStyle w:val="726"/>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w:t>
      </w:r>
      <w:r>
        <w:rPr>
          <w:rStyle w:val="726"/>
          <w:rFonts w:hint="eastAsia" w:ascii="宋体" w:hAnsi="宋体" w:eastAsia="宋体" w:cs="宋体"/>
          <w:i w:val="0"/>
          <w:color w:val="auto"/>
          <w:sz w:val="24"/>
          <w:szCs w:val="24"/>
          <w:highlight w:val="green"/>
          <w:u w:val="single"/>
          <w:shd w:val="clear" w:color="auto" w:fill="ffffff"/>
        </w:rPr>
        <w:t xml:space="preserve">（关键组件）</w:t>
      </w:r>
      <w:r>
        <w:rPr>
          <w:rFonts w:hint="eastAsia" w:ascii="宋体" w:hAnsi="宋体" w:eastAsia="宋体" w:cs="宋体"/>
          <w:color w:val="auto"/>
          <w:sz w:val="24"/>
          <w:szCs w:val="24"/>
          <w:highlight w:val="green"/>
          <w:shd w:val="clear" w:color="auto" w:fill="ffffff"/>
        </w:rPr>
        <w:t xml:space="preserve">在中国境内生产。</w:t>
      </w:r>
      <w:r>
        <w:rPr>
          <w:rStyle w:val="726"/>
          <w:rFonts w:hint="eastAsia" w:ascii="宋体" w:hAnsi="宋体" w:eastAsia="宋体" w:cs="宋体"/>
          <w:i w:val="0"/>
          <w:color w:val="auto"/>
          <w:sz w:val="24"/>
          <w:szCs w:val="24"/>
          <w:highlight w:val="green"/>
          <w:u w:val="single"/>
          <w:shd w:val="clear" w:color="auto" w:fill="ffffff"/>
        </w:rPr>
        <w:t xml:space="preserve">（产品名称</w:t>
      </w:r>
      <w:r>
        <w:rPr>
          <w:rStyle w:val="726"/>
          <w:rFonts w:hint="eastAsia" w:ascii="宋体" w:hAnsi="宋体" w:eastAsia="宋体" w:cs="宋体"/>
          <w:i w:val="0"/>
          <w:color w:val="auto"/>
          <w:sz w:val="24"/>
          <w:szCs w:val="24"/>
          <w:highlight w:val="green"/>
          <w:u w:val="single"/>
          <w:shd w:val="clear" w:color="auto" w:fill="ffffff"/>
          <w:lang w:val="en-US" w:eastAsia="zh-CN"/>
        </w:rPr>
        <w:t xml:space="preserve">2</w:t>
      </w:r>
      <w:r>
        <w:rPr>
          <w:rStyle w:val="726"/>
          <w:rFonts w:hint="eastAsia" w:ascii="宋体" w:hAnsi="宋体" w:eastAsia="宋体" w:cs="宋体"/>
          <w:i w:val="0"/>
          <w:color w:val="auto"/>
          <w:sz w:val="24"/>
          <w:szCs w:val="24"/>
          <w:highlight w:val="green"/>
          <w:u w:val="single"/>
          <w:shd w:val="clear" w:color="auto" w:fill="ffffff"/>
        </w:rPr>
        <w:t xml:space="preserve">）</w:t>
      </w:r>
      <w:r>
        <w:rPr>
          <w:rFonts w:hint="eastAsia" w:ascii="宋体" w:hAnsi="宋体" w:eastAsia="宋体" w:cs="宋体"/>
          <w:color w:val="auto"/>
          <w:sz w:val="24"/>
          <w:szCs w:val="24"/>
          <w:highlight w:val="green"/>
          <w:shd w:val="clear" w:color="auto" w:fill="ffffff"/>
        </w:rPr>
        <w:t xml:space="preserve">的</w:t>
      </w:r>
      <w:r>
        <w:rPr>
          <w:rStyle w:val="726"/>
          <w:rFonts w:hint="eastAsia" w:ascii="宋体" w:hAnsi="宋体" w:eastAsia="宋体" w:cs="宋体"/>
          <w:i w:val="0"/>
          <w:color w:val="auto"/>
          <w:sz w:val="24"/>
          <w:szCs w:val="24"/>
          <w:highlight w:val="green"/>
          <w:u w:val="single"/>
          <w:shd w:val="clear" w:color="auto" w:fill="ffffff"/>
        </w:rPr>
        <w:t xml:space="preserve">（关键工序）</w:t>
      </w:r>
      <w:r>
        <w:rPr>
          <w:rFonts w:hint="eastAsia" w:ascii="宋体" w:hAnsi="宋体" w:eastAsia="宋体" w:cs="宋体"/>
          <w:color w:val="auto"/>
          <w:sz w:val="24"/>
          <w:szCs w:val="24"/>
          <w:highlight w:val="green"/>
          <w:shd w:val="clear" w:color="auto" w:fill="ffffff"/>
        </w:rPr>
        <w:t xml:space="preserve">在中国境内完成。</w:t>
      </w:r>
      <w:r/>
    </w:p>
    <w:p>
      <w:pPr>
        <w:pStyle w:val="72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w:t>
      </w:r>
      <w:r/>
    </w:p>
    <w:p>
      <w:pPr>
        <w:pStyle w:val="72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本公司（单位）对上述声明内容的真实性负责。如有虚假，愿承担相应法律责任。</w:t>
      </w:r>
      <w:r/>
    </w:p>
    <w:p>
      <w:pPr>
        <w:pStyle w:val="72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pStyle w:val="721"/>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公司（单位）名称（盖章）：　        </w:t>
      </w:r>
      <w:r/>
    </w:p>
    <w:p>
      <w:pPr>
        <w:pStyle w:val="721"/>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                                日期：　   年　  月　  日         </w:t>
      </w:r>
      <w:r/>
    </w:p>
    <w:p>
      <w:pPr>
        <w:pStyle w:val="72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1.产品如有型号，请在“产品名称”栏一并填写。</w:t>
      </w:r>
      <w:r/>
    </w:p>
    <w:p>
      <w:pPr>
        <w:pStyle w:val="72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2.生产厂名与厂址应与生产厂营业执照载明的相关信息保持一致。</w:t>
      </w:r>
      <w:r/>
    </w:p>
    <w:p>
      <w:pPr>
        <w:pStyle w:val="72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3.该产品的中国境内生产的组件成本占比相关要求实施前，“规定比例”栏可不填，下同。</w:t>
      </w:r>
      <w:r/>
    </w:p>
    <w:p>
      <w:pPr>
        <w:pStyle w:val="72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4.该产品的关键组件要求实施前，“关键组件”栏可不填，下同。</w:t>
      </w:r>
      <w:r/>
    </w:p>
    <w:p>
      <w:pPr>
        <w:pStyle w:val="72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6.用斜线划除的地方无需填写。</w:t>
      </w:r>
      <w:r/>
    </w:p>
    <w:p>
      <w:pPr>
        <w:jc w:val="left"/>
        <w:spacing w:line="360" w:lineRule="auto"/>
        <w:rPr>
          <w:rFonts w:hint="eastAsia" w:ascii="宋体" w:hAnsi="宋体"/>
          <w:sz w:val="24"/>
          <w:szCs w:val="24"/>
          <w:highlight w:val="green"/>
        </w:rPr>
      </w:pPr>
      <w:r>
        <w:rPr>
          <w:rFonts w:hint="eastAsia" w:ascii="宋体" w:hAnsi="宋体"/>
          <w:sz w:val="24"/>
          <w:szCs w:val="24"/>
          <w:highlight w:val="green"/>
          <w:lang w:val="en-US" w:eastAsia="zh-CN"/>
        </w:rPr>
        <w:t xml:space="preserve">7.</w:t>
      </w:r>
      <w:r>
        <w:rPr>
          <w:rFonts w:hint="eastAsia" w:ascii="宋体" w:hAnsi="宋体"/>
          <w:sz w:val="24"/>
          <w:szCs w:val="24"/>
          <w:highlight w:val="green"/>
        </w:rPr>
        <w:t xml:space="preserve">请供应商如实填写，如填写有误，将承担一切不利后果。</w:t>
      </w:r>
      <w:r/>
    </w:p>
    <w:p>
      <w:pPr>
        <w:pStyle w:val="721"/>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green"/>
          <w:lang w:val="en-US" w:eastAsia="zh-CN"/>
        </w:rPr>
        <w:t xml:space="preserve">8.</w:t>
      </w:r>
      <w:r>
        <w:rPr>
          <w:rFonts w:hint="eastAsia" w:ascii="宋体" w:hAnsi="宋体"/>
          <w:sz w:val="24"/>
          <w:szCs w:val="24"/>
          <w:highlight w:val="green"/>
        </w:rPr>
        <w:t xml:space="preserve">供应商提供虚假《声明函》、虚假证明文件谋取中标的，依照《中华人民共和国政府采购法》等法律法规规定追究相应责任。</w:t>
      </w:r>
      <w:r/>
    </w:p>
    <w:p>
      <w:pPr>
        <w:pStyle w:val="721"/>
        <w:ind w:left="0" w:right="0" w:firstLine="0"/>
        <w:keepLines w:val="0"/>
        <w:keepNext w:val="0"/>
        <w:spacing w:before="0" w:beforeAutospacing="0" w:after="150" w:afterAutospacing="0" w:line="27" w:lineRule="atLeast"/>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green"/>
          <w:shd w:val="clear" w:color="auto" w:fill="ffffff"/>
          <w:lang w:val="en-US" w:eastAsia="zh-CN"/>
        </w:rPr>
        <w:t xml:space="preserve">9.</w:t>
      </w:r>
      <w:r>
        <w:rPr>
          <w:rFonts w:hint="eastAsia" w:ascii="宋体" w:hAnsi="宋体"/>
          <w:sz w:val="24"/>
          <w:szCs w:val="24"/>
          <w:highlight w:val="green"/>
        </w:rPr>
        <w:t xml:space="preserve">中标人的</w:t>
      </w:r>
      <w:r>
        <w:rPr>
          <w:rFonts w:hint="eastAsia" w:ascii="宋体" w:hAnsi="宋体" w:eastAsia="宋体" w:cs="宋体"/>
          <w:i w:val="0"/>
          <w:iCs w:val="0"/>
          <w:caps w:val="0"/>
          <w:color w:val="333333"/>
          <w:spacing w:val="0"/>
          <w:sz w:val="24"/>
          <w:szCs w:val="24"/>
          <w:highlight w:val="green"/>
          <w:shd w:val="clear" w:color="auto" w:fill="ffffff"/>
        </w:rPr>
        <w:t xml:space="preserve">《声明函》或有关证明文件</w:t>
      </w:r>
      <w:r>
        <w:rPr>
          <w:rFonts w:hint="eastAsia" w:ascii="宋体" w:hAnsi="宋体"/>
          <w:sz w:val="24"/>
          <w:szCs w:val="24"/>
          <w:highlight w:val="green"/>
        </w:rPr>
        <w:t xml:space="preserve">随中标结果公开，接受社会监督。</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4" w:name="_Hlt26671372"/>
            <w:r/>
            <w:bookmarkEnd w:id="14"/>
            <w:r/>
            <w:bookmarkStart w:id="15" w:name="_Hlt26580838"/>
            <w:r/>
            <w:bookmarkEnd w:id="15"/>
            <w:r/>
            <w:bookmarkStart w:id="16" w:name="_Hlt26671343"/>
            <w:r/>
            <w:bookmarkEnd w:id="16"/>
            <w:r/>
            <w:bookmarkStart w:id="17" w:name="_Hlt24879081"/>
            <w:r/>
            <w:bookmarkEnd w:id="17"/>
            <w:r/>
            <w:bookmarkStart w:id="18" w:name="_Hlt26955064"/>
            <w:r/>
            <w:bookmarkEnd w:id="18"/>
            <w:r/>
            <w:bookmarkStart w:id="19" w:name="_Hlt26609391"/>
            <w:r/>
            <w:bookmarkEnd w:id="19"/>
            <w:r/>
            <w:bookmarkStart w:id="20" w:name="_Hlt26782999"/>
            <w:r/>
            <w:bookmarkEnd w:id="20"/>
            <w:r/>
            <w:bookmarkStart w:id="21" w:name="_Hlt26955056"/>
            <w:r/>
            <w:bookmarkEnd w:id="2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Hlt26609389"/>
      <w:r/>
      <w:bookmarkEnd w:id="22"/>
      <w:r/>
      <w:bookmarkStart w:id="23" w:name="_Hlt26671374"/>
      <w:r/>
      <w:bookmarkEnd w:id="23"/>
      <w:r/>
      <w:bookmarkStart w:id="24" w:name="_Hlt26955066"/>
      <w:r/>
      <w:bookmarkEnd w:id="24"/>
      <w:r/>
      <w:bookmarkStart w:id="25" w:name="_格式2__法定代表人授权书"/>
      <w:r/>
      <w:bookmarkEnd w:id="25"/>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汉仪书宋二S">
    <w:panose1 w:val="020B0503020202020204"/>
  </w:font>
  <w:font w:name="仿宋">
    <w:panose1 w:val="02010609060101010101"/>
  </w:font>
  <w:font w:name="Symbol">
    <w:panose1 w:val="05050102010706020507"/>
  </w:font>
  <w:font w:name="新宋体">
    <w:panose1 w:val="02010609030101010101"/>
  </w:font>
  <w:font w:name="华文细黑">
    <w:panose1 w:val="02010600040101010101"/>
  </w:font>
  <w:font w:name="华文楷体">
    <w:panose1 w:val="02010600040101010101"/>
  </w:font>
  <w:font w:name="Wingdings">
    <w:panose1 w:val="05000000000000000000"/>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11"/>
          <w:jc w:val="center"/>
        </w:pPr>
        <w:r>
          <w:fldChar w:fldCharType="begin"/>
        </w:r>
        <w:r>
          <w:instrText xml:space="preserve"> PAGE   \* MERGEFORMAT </w:instrText>
        </w:r>
        <w:r>
          <w:fldChar w:fldCharType="separate"/>
        </w:r>
        <w:r>
          <w:rPr>
            <w:lang w:val="zh-CN"/>
          </w:rPr>
          <w:t xml:space="preserve">48</w:t>
        </w:r>
        <w:r>
          <w:rPr>
            <w:lang w:val="zh-CN"/>
          </w:rPr>
          <w:fldChar w:fldCharType="end"/>
        </w:r>
        <w:r/>
      </w:p>
    </w:sdtContent>
  </w:sdt>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7">
    <w:name w:val="Heading 1"/>
    <w:basedOn w:val="686"/>
    <w:next w:val="686"/>
    <w:link w:val="913"/>
    <w:uiPriority w:val="9"/>
    <w:qFormat/>
    <w:pPr>
      <w:keepLines/>
      <w:keepNext/>
      <w:spacing w:before="340" w:after="330" w:line="578" w:lineRule="auto"/>
      <w:outlineLvl w:val="0"/>
    </w:pPr>
    <w:rPr>
      <w:b/>
      <w:bCs/>
      <w:sz w:val="44"/>
      <w:szCs w:val="44"/>
    </w:rPr>
  </w:style>
  <w:style w:type="paragraph" w:styleId="688">
    <w:name w:val="Heading 2"/>
    <w:basedOn w:val="686"/>
    <w:next w:val="686"/>
    <w:link w:val="91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9">
    <w:name w:val="Heading 3"/>
    <w:basedOn w:val="686"/>
    <w:next w:val="686"/>
    <w:link w:val="916"/>
    <w:uiPriority w:val="9"/>
    <w:unhideWhenUsed/>
    <w:qFormat/>
    <w:pPr>
      <w:keepLines/>
      <w:keepNext/>
      <w:spacing w:before="260" w:after="260" w:line="416" w:lineRule="auto"/>
      <w:outlineLvl w:val="2"/>
    </w:pPr>
    <w:rPr>
      <w:b/>
      <w:bCs/>
      <w:sz w:val="32"/>
      <w:szCs w:val="32"/>
    </w:rPr>
  </w:style>
  <w:style w:type="paragraph" w:styleId="690">
    <w:name w:val="Heading 4"/>
    <w:basedOn w:val="686"/>
    <w:next w:val="686"/>
    <w:link w:val="765"/>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67"/>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68"/>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69"/>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70"/>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Document Map"/>
    <w:basedOn w:val="686"/>
    <w:link w:val="914"/>
    <w:uiPriority w:val="99"/>
    <w:semiHidden/>
    <w:unhideWhenUsed/>
    <w:qFormat/>
    <w:rPr>
      <w:rFonts w:ascii="宋体" w:eastAsia="宋体"/>
      <w:sz w:val="18"/>
      <w:szCs w:val="18"/>
    </w:rPr>
  </w:style>
  <w:style w:type="paragraph" w:styleId="701">
    <w:name w:val="annotation text"/>
    <w:basedOn w:val="686"/>
    <w:link w:val="918"/>
    <w:uiPriority w:val="0"/>
    <w:qFormat/>
    <w:pPr>
      <w:ind w:firstLine="922"/>
      <w:jc w:val="left"/>
      <w:spacing w:line="360" w:lineRule="auto"/>
    </w:pPr>
    <w:rPr>
      <w:rFonts w:ascii="Times New Roman" w:hAnsi="Times New Roman" w:eastAsia="宋体" w:cs="Times New Roman"/>
      <w:szCs w:val="24"/>
    </w:rPr>
  </w:style>
  <w:style w:type="paragraph" w:styleId="702">
    <w:name w:val="Body Text"/>
    <w:basedOn w:val="686"/>
    <w:next w:val="686"/>
    <w:link w:val="921"/>
    <w:uiPriority w:val="0"/>
    <w:unhideWhenUsed/>
    <w:qFormat/>
    <w:pPr>
      <w:spacing w:after="120"/>
    </w:pPr>
    <w:rPr>
      <w:rFonts w:ascii="Calibri" w:hAnsi="Calibri" w:eastAsia="宋体" w:cs="Times New Roman"/>
    </w:rPr>
  </w:style>
  <w:style w:type="paragraph" w:styleId="703">
    <w:name w:val="Body Text Indent"/>
    <w:basedOn w:val="686"/>
    <w:next w:val="686"/>
    <w:link w:val="922"/>
    <w:uiPriority w:val="0"/>
    <w:qFormat/>
    <w:pPr>
      <w:ind w:left="420"/>
      <w:spacing w:after="120"/>
    </w:pPr>
    <w:rPr>
      <w:rFonts w:ascii="Times New Roman" w:hAnsi="Times New Roman" w:eastAsia="宋体" w:cs="Times New Roman"/>
      <w:szCs w:val="24"/>
    </w:rPr>
  </w:style>
  <w:style w:type="paragraph" w:styleId="704">
    <w:name w:val="toc 5"/>
    <w:basedOn w:val="686"/>
    <w:next w:val="686"/>
    <w:uiPriority w:val="39"/>
    <w:unhideWhenUsed/>
    <w:qFormat/>
    <w:pPr>
      <w:ind w:left="1134"/>
      <w:spacing w:after="57"/>
    </w:pPr>
  </w:style>
  <w:style w:type="paragraph" w:styleId="705">
    <w:name w:val="toc 3"/>
    <w:basedOn w:val="686"/>
    <w:next w:val="686"/>
    <w:uiPriority w:val="39"/>
    <w:unhideWhenUsed/>
    <w:qFormat/>
    <w:pPr>
      <w:ind w:left="567"/>
      <w:spacing w:after="57"/>
    </w:pPr>
  </w:style>
  <w:style w:type="paragraph" w:styleId="706">
    <w:name w:val="Plain Text"/>
    <w:basedOn w:val="686"/>
    <w:link w:val="923"/>
    <w:uiPriority w:val="0"/>
    <w:qFormat/>
    <w:rPr>
      <w:rFonts w:ascii="宋体" w:hAnsi="Courier New" w:eastAsia="宋体" w:cs="Courier New"/>
      <w:szCs w:val="21"/>
    </w:rPr>
  </w:style>
  <w:style w:type="paragraph" w:styleId="707">
    <w:name w:val="toc 8"/>
    <w:basedOn w:val="686"/>
    <w:next w:val="686"/>
    <w:uiPriority w:val="39"/>
    <w:unhideWhenUsed/>
    <w:qFormat/>
    <w:pPr>
      <w:ind w:left="1984"/>
      <w:spacing w:after="57"/>
    </w:pPr>
  </w:style>
  <w:style w:type="paragraph" w:styleId="708">
    <w:name w:val="Date"/>
    <w:basedOn w:val="686"/>
    <w:next w:val="686"/>
    <w:link w:val="917"/>
    <w:uiPriority w:val="99"/>
    <w:semiHidden/>
    <w:unhideWhenUsed/>
    <w:qFormat/>
    <w:pPr>
      <w:ind w:left="100"/>
    </w:pPr>
  </w:style>
  <w:style w:type="paragraph" w:styleId="709">
    <w:name w:val="endnote text"/>
    <w:basedOn w:val="686"/>
    <w:link w:val="908"/>
    <w:uiPriority w:val="99"/>
    <w:semiHidden/>
    <w:unhideWhenUsed/>
    <w:qFormat/>
    <w:rPr>
      <w:sz w:val="20"/>
    </w:rPr>
  </w:style>
  <w:style w:type="paragraph" w:styleId="710">
    <w:name w:val="Balloon Text"/>
    <w:basedOn w:val="686"/>
    <w:link w:val="919"/>
    <w:uiPriority w:val="99"/>
    <w:semiHidden/>
    <w:unhideWhenUsed/>
    <w:qFormat/>
    <w:rPr>
      <w:sz w:val="18"/>
      <w:szCs w:val="18"/>
    </w:rPr>
  </w:style>
  <w:style w:type="paragraph" w:styleId="711">
    <w:name w:val="Footer"/>
    <w:basedOn w:val="686"/>
    <w:link w:val="912"/>
    <w:uiPriority w:val="99"/>
    <w:unhideWhenUsed/>
    <w:qFormat/>
    <w:pPr>
      <w:jc w:val="left"/>
      <w:tabs>
        <w:tab w:val="center" w:pos="4153" w:leader="none"/>
        <w:tab w:val="right" w:pos="8306" w:leader="none"/>
      </w:tabs>
    </w:pPr>
    <w:rPr>
      <w:sz w:val="18"/>
      <w:szCs w:val="18"/>
    </w:rPr>
  </w:style>
  <w:style w:type="paragraph" w:styleId="712">
    <w:name w:val="Header"/>
    <w:basedOn w:val="686"/>
    <w:link w:val="91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6"/>
    <w:next w:val="686"/>
    <w:uiPriority w:val="39"/>
    <w:unhideWhenUsed/>
    <w:qFormat/>
    <w:pPr>
      <w:jc w:val="center"/>
      <w:tabs>
        <w:tab w:val="right" w:pos="8296" w:leader="dot"/>
      </w:tabs>
    </w:pPr>
    <w:rPr>
      <w:rFonts w:ascii="黑体" w:hAnsi="黑体" w:eastAsia="黑体"/>
      <w:sz w:val="44"/>
      <w:szCs w:val="44"/>
    </w:rPr>
  </w:style>
  <w:style w:type="paragraph" w:styleId="714">
    <w:name w:val="toc 4"/>
    <w:basedOn w:val="686"/>
    <w:next w:val="686"/>
    <w:uiPriority w:val="39"/>
    <w:unhideWhenUsed/>
    <w:qFormat/>
    <w:pPr>
      <w:ind w:left="850"/>
      <w:spacing w:after="57"/>
    </w:pPr>
  </w:style>
  <w:style w:type="paragraph" w:styleId="715">
    <w:name w:val="Subtitle"/>
    <w:basedOn w:val="686"/>
    <w:next w:val="686"/>
    <w:link w:val="774"/>
    <w:uiPriority w:val="11"/>
    <w:qFormat/>
    <w:pPr>
      <w:spacing w:before="200" w:after="200"/>
    </w:pPr>
    <w:rPr>
      <w:sz w:val="24"/>
      <w:szCs w:val="24"/>
    </w:rPr>
  </w:style>
  <w:style w:type="paragraph" w:styleId="716">
    <w:name w:val="footnote text"/>
    <w:basedOn w:val="686"/>
    <w:link w:val="907"/>
    <w:uiPriority w:val="99"/>
    <w:semiHidden/>
    <w:unhideWhenUsed/>
    <w:qFormat/>
    <w:pPr>
      <w:spacing w:after="40"/>
    </w:pPr>
    <w:rPr>
      <w:sz w:val="18"/>
    </w:rPr>
  </w:style>
  <w:style w:type="paragraph" w:styleId="717">
    <w:name w:val="toc 6"/>
    <w:basedOn w:val="686"/>
    <w:next w:val="686"/>
    <w:uiPriority w:val="39"/>
    <w:unhideWhenUsed/>
    <w:qFormat/>
    <w:pPr>
      <w:ind w:left="1417"/>
      <w:spacing w:after="57"/>
    </w:pPr>
  </w:style>
  <w:style w:type="paragraph" w:styleId="718">
    <w:name w:val="table of figures"/>
    <w:basedOn w:val="686"/>
    <w:next w:val="686"/>
    <w:uiPriority w:val="99"/>
    <w:unhideWhenUsed/>
    <w:qFormat/>
  </w:style>
  <w:style w:type="paragraph" w:styleId="719">
    <w:name w:val="toc 2"/>
    <w:basedOn w:val="686"/>
    <w:next w:val="686"/>
    <w:uiPriority w:val="39"/>
    <w:unhideWhenUsed/>
    <w:qFormat/>
    <w:pPr>
      <w:ind w:left="283"/>
      <w:spacing w:after="57"/>
    </w:pPr>
  </w:style>
  <w:style w:type="paragraph" w:styleId="720">
    <w:name w:val="toc 9"/>
    <w:basedOn w:val="686"/>
    <w:next w:val="686"/>
    <w:uiPriority w:val="39"/>
    <w:unhideWhenUsed/>
    <w:qFormat/>
    <w:pPr>
      <w:ind w:left="2268"/>
      <w:spacing w:after="57"/>
    </w:pPr>
  </w:style>
  <w:style w:type="paragraph" w:styleId="721">
    <w:name w:val="Normal (Web)"/>
    <w:basedOn w:val="686"/>
    <w:uiPriority w:val="99"/>
    <w:unhideWhenUsed/>
    <w:qFormat/>
    <w:pPr>
      <w:ind w:left="0" w:right="0"/>
      <w:jc w:val="left"/>
      <w:spacing w:before="100" w:beforeAutospacing="1" w:after="100" w:afterAutospacing="1"/>
    </w:pPr>
    <w:rPr>
      <w:sz w:val="24"/>
      <w:lang w:val="en-US" w:eastAsia="zh-CN" w:bidi="ar"/>
    </w:rPr>
  </w:style>
  <w:style w:type="paragraph" w:styleId="722">
    <w:name w:val="Title"/>
    <w:basedOn w:val="686"/>
    <w:next w:val="686"/>
    <w:link w:val="773"/>
    <w:uiPriority w:val="10"/>
    <w:qFormat/>
    <w:pPr>
      <w:contextualSpacing/>
      <w:spacing w:before="300" w:after="200"/>
    </w:pPr>
    <w:rPr>
      <w:sz w:val="48"/>
      <w:szCs w:val="48"/>
    </w:rPr>
  </w:style>
  <w:style w:type="table" w:styleId="723">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6"/>
    <w:uiPriority w:val="22"/>
    <w:qFormat/>
    <w:rPr>
      <w:b/>
    </w:rPr>
  </w:style>
  <w:style w:type="character" w:styleId="725">
    <w:name w:val="endnote reference"/>
    <w:basedOn w:val="696"/>
    <w:uiPriority w:val="99"/>
    <w:semiHidden/>
    <w:unhideWhenUsed/>
    <w:qFormat/>
    <w:rPr>
      <w:vertAlign w:val="superscript"/>
    </w:rPr>
  </w:style>
  <w:style w:type="character" w:styleId="726">
    <w:name w:val="Emphasis"/>
    <w:basedOn w:val="696"/>
    <w:uiPriority w:val="20"/>
    <w:qFormat/>
    <w:rPr>
      <w:i/>
    </w:rPr>
  </w:style>
  <w:style w:type="character" w:styleId="727">
    <w:name w:val="Hyperlink"/>
    <w:uiPriority w:val="99"/>
    <w:qFormat/>
    <w:rPr>
      <w:color w:val="0000ff"/>
      <w:u w:val="none"/>
    </w:rPr>
  </w:style>
  <w:style w:type="character" w:styleId="728">
    <w:name w:val="annotation reference"/>
    <w:uiPriority w:val="0"/>
    <w:qFormat/>
    <w:rPr>
      <w:sz w:val="21"/>
      <w:szCs w:val="21"/>
    </w:rPr>
  </w:style>
  <w:style w:type="character" w:styleId="729">
    <w:name w:val="footnote reference"/>
    <w:basedOn w:val="696"/>
    <w:uiPriority w:val="99"/>
    <w:unhideWhenUsed/>
    <w:qFormat/>
    <w:rPr>
      <w:vertAlign w:val="superscript"/>
    </w:rPr>
  </w:style>
  <w:style w:type="character" w:styleId="730" w:customStyle="1">
    <w:name w:val="Heading 4 Char"/>
    <w:basedOn w:val="696"/>
    <w:uiPriority w:val="9"/>
    <w:rPr>
      <w:rFonts w:ascii="Arial" w:hAnsi="Arial" w:eastAsia="Arial" w:cs="Arial"/>
      <w:b/>
      <w:bCs/>
      <w:sz w:val="26"/>
      <w:szCs w:val="26"/>
    </w:rPr>
  </w:style>
  <w:style w:type="character" w:styleId="731" w:customStyle="1">
    <w:name w:val="Heading 5 Char"/>
    <w:basedOn w:val="696"/>
    <w:uiPriority w:val="9"/>
    <w:rPr>
      <w:rFonts w:ascii="Arial" w:hAnsi="Arial" w:eastAsia="Arial" w:cs="Arial"/>
      <w:b/>
      <w:bCs/>
      <w:sz w:val="24"/>
      <w:szCs w:val="24"/>
    </w:rPr>
  </w:style>
  <w:style w:type="character" w:styleId="732" w:customStyle="1">
    <w:name w:val="Heading 6 Char"/>
    <w:basedOn w:val="696"/>
    <w:uiPriority w:val="9"/>
    <w:rPr>
      <w:rFonts w:ascii="Arial" w:hAnsi="Arial" w:eastAsia="Arial" w:cs="Arial"/>
      <w:b/>
      <w:bCs/>
      <w:sz w:val="22"/>
      <w:szCs w:val="22"/>
    </w:rPr>
  </w:style>
  <w:style w:type="character" w:styleId="733" w:customStyle="1">
    <w:name w:val="Heading 7 Char"/>
    <w:basedOn w:val="696"/>
    <w:uiPriority w:val="9"/>
    <w:rPr>
      <w:rFonts w:ascii="Arial" w:hAnsi="Arial" w:eastAsia="Arial" w:cs="Arial"/>
      <w:b/>
      <w:bCs/>
      <w:i/>
      <w:iCs/>
      <w:sz w:val="22"/>
      <w:szCs w:val="22"/>
    </w:rPr>
  </w:style>
  <w:style w:type="character" w:styleId="734" w:customStyle="1">
    <w:name w:val="Heading 8 Char"/>
    <w:basedOn w:val="696"/>
    <w:uiPriority w:val="9"/>
    <w:rPr>
      <w:rFonts w:ascii="Arial" w:hAnsi="Arial" w:eastAsia="Arial" w:cs="Arial"/>
      <w:i/>
      <w:iCs/>
      <w:sz w:val="22"/>
      <w:szCs w:val="22"/>
    </w:rPr>
  </w:style>
  <w:style w:type="character" w:styleId="735" w:customStyle="1">
    <w:name w:val="Heading 9 Char"/>
    <w:basedOn w:val="696"/>
    <w:uiPriority w:val="9"/>
    <w:qFormat/>
    <w:rPr>
      <w:rFonts w:ascii="Arial" w:hAnsi="Arial" w:eastAsia="Arial" w:cs="Arial"/>
      <w:i/>
      <w:iCs/>
      <w:sz w:val="21"/>
      <w:szCs w:val="21"/>
    </w:rPr>
  </w:style>
  <w:style w:type="character" w:styleId="736" w:customStyle="1">
    <w:name w:val="Title Char"/>
    <w:basedOn w:val="696"/>
    <w:uiPriority w:val="10"/>
    <w:rPr>
      <w:sz w:val="48"/>
      <w:szCs w:val="48"/>
    </w:rPr>
  </w:style>
  <w:style w:type="character" w:styleId="737" w:customStyle="1">
    <w:name w:val="Subtitle Char"/>
    <w:basedOn w:val="696"/>
    <w:uiPriority w:val="11"/>
    <w:rPr>
      <w:sz w:val="24"/>
      <w:szCs w:val="24"/>
    </w:rPr>
  </w:style>
  <w:style w:type="character" w:styleId="738" w:customStyle="1">
    <w:name w:val="Quote Char"/>
    <w:uiPriority w:val="29"/>
    <w:rPr>
      <w:i/>
    </w:rPr>
  </w:style>
  <w:style w:type="character" w:styleId="739" w:customStyle="1">
    <w:name w:val="Intense Quote Char"/>
    <w:uiPriority w:val="30"/>
    <w:rPr>
      <w:i/>
    </w:rPr>
  </w:style>
  <w:style w:type="table" w:styleId="740" w:customStyle="1">
    <w:name w:val="Plain Table 1"/>
    <w:basedOn w:val="69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9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9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9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69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9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9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9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9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9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69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69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rPr>
      <w:sz w:val="18"/>
    </w:rPr>
  </w:style>
  <w:style w:type="character" w:styleId="760" w:customStyle="1">
    <w:name w:val="Endnote Text Char"/>
    <w:uiPriority w:val="99"/>
    <w:rPr>
      <w:sz w:val="20"/>
    </w:rPr>
  </w:style>
  <w:style w:type="paragraph" w:styleId="761" w:customStyle="1">
    <w:name w:val="TOC Heading"/>
    <w:uiPriority w:val="39"/>
    <w:unhideWhenUsed/>
    <w:rPr>
      <w:rFonts w:hint="default" w:ascii="Times New Roman" w:hAnsi="Times New Roman" w:eastAsia="宋体" w:cs="Times New Roman"/>
    </w:rPr>
  </w:style>
  <w:style w:type="character" w:styleId="762" w:customStyle="1">
    <w:name w:val="Heading 1 Char"/>
    <w:basedOn w:val="696"/>
    <w:uiPriority w:val="9"/>
    <w:qFormat/>
    <w:rPr>
      <w:rFonts w:ascii="Arial" w:hAnsi="Arial" w:eastAsia="Arial" w:cs="Arial"/>
      <w:sz w:val="40"/>
      <w:szCs w:val="40"/>
    </w:rPr>
  </w:style>
  <w:style w:type="character" w:styleId="763" w:customStyle="1">
    <w:name w:val="Heading 2 Char"/>
    <w:basedOn w:val="696"/>
    <w:uiPriority w:val="9"/>
    <w:qFormat/>
    <w:rPr>
      <w:rFonts w:ascii="Arial" w:hAnsi="Arial" w:eastAsia="Arial" w:cs="Arial"/>
      <w:sz w:val="34"/>
    </w:rPr>
  </w:style>
  <w:style w:type="character" w:styleId="764" w:customStyle="1">
    <w:name w:val="Heading 3 Char"/>
    <w:basedOn w:val="696"/>
    <w:uiPriority w:val="9"/>
    <w:qFormat/>
    <w:rPr>
      <w:rFonts w:ascii="Arial" w:hAnsi="Arial" w:eastAsia="Arial" w:cs="Arial"/>
      <w:sz w:val="30"/>
      <w:szCs w:val="30"/>
    </w:rPr>
  </w:style>
  <w:style w:type="character" w:styleId="765" w:customStyle="1">
    <w:name w:val="标题 4 Char"/>
    <w:basedOn w:val="696"/>
    <w:link w:val="690"/>
    <w:uiPriority w:val="9"/>
    <w:qFormat/>
    <w:rPr>
      <w:rFonts w:ascii="Arial" w:hAnsi="Arial" w:eastAsia="Arial" w:cs="Arial"/>
      <w:b/>
      <w:bCs/>
      <w:sz w:val="26"/>
      <w:szCs w:val="26"/>
    </w:rPr>
  </w:style>
  <w:style w:type="character" w:styleId="766" w:customStyle="1">
    <w:name w:val="标题 5 Char"/>
    <w:basedOn w:val="696"/>
    <w:link w:val="691"/>
    <w:uiPriority w:val="9"/>
    <w:qFormat/>
    <w:rPr>
      <w:rFonts w:ascii="Arial" w:hAnsi="Arial" w:eastAsia="Arial" w:cs="Arial"/>
      <w:b/>
      <w:bCs/>
      <w:sz w:val="24"/>
      <w:szCs w:val="24"/>
    </w:rPr>
  </w:style>
  <w:style w:type="character" w:styleId="767" w:customStyle="1">
    <w:name w:val="标题 6 Char"/>
    <w:basedOn w:val="696"/>
    <w:link w:val="692"/>
    <w:uiPriority w:val="9"/>
    <w:qFormat/>
    <w:rPr>
      <w:rFonts w:ascii="Arial" w:hAnsi="Arial" w:eastAsia="Arial" w:cs="Arial"/>
      <w:b/>
      <w:bCs/>
      <w:sz w:val="22"/>
      <w:szCs w:val="22"/>
    </w:rPr>
  </w:style>
  <w:style w:type="character" w:styleId="768" w:customStyle="1">
    <w:name w:val="标题 7 Char"/>
    <w:basedOn w:val="696"/>
    <w:link w:val="693"/>
    <w:uiPriority w:val="9"/>
    <w:qFormat/>
    <w:rPr>
      <w:rFonts w:ascii="Arial" w:hAnsi="Arial" w:eastAsia="Arial" w:cs="Arial"/>
      <w:b/>
      <w:bCs/>
      <w:i/>
      <w:iCs/>
      <w:sz w:val="22"/>
      <w:szCs w:val="22"/>
    </w:rPr>
  </w:style>
  <w:style w:type="character" w:styleId="769" w:customStyle="1">
    <w:name w:val="标题 8 Char"/>
    <w:basedOn w:val="696"/>
    <w:link w:val="694"/>
    <w:uiPriority w:val="9"/>
    <w:qFormat/>
    <w:rPr>
      <w:rFonts w:ascii="Arial" w:hAnsi="Arial" w:eastAsia="Arial" w:cs="Arial"/>
      <w:i/>
      <w:iCs/>
      <w:sz w:val="22"/>
      <w:szCs w:val="22"/>
    </w:rPr>
  </w:style>
  <w:style w:type="character" w:styleId="770" w:customStyle="1">
    <w:name w:val="标题 9 Char"/>
    <w:basedOn w:val="696"/>
    <w:link w:val="695"/>
    <w:uiPriority w:val="9"/>
    <w:qFormat/>
    <w:rPr>
      <w:rFonts w:ascii="Arial" w:hAnsi="Arial" w:eastAsia="Arial" w:cs="Arial"/>
      <w:i/>
      <w:iCs/>
      <w:sz w:val="21"/>
      <w:szCs w:val="21"/>
    </w:rPr>
  </w:style>
  <w:style w:type="paragraph" w:styleId="771">
    <w:name w:val="List Paragraph"/>
    <w:basedOn w:val="686"/>
    <w:uiPriority w:val="34"/>
    <w:qFormat/>
    <w:pPr>
      <w:contextualSpacing/>
      <w:ind w:left="720"/>
    </w:pPr>
  </w:style>
  <w:style w:type="paragraph" w:styleId="772">
    <w:name w:val="No Spacing"/>
    <w:uiPriority w:val="1"/>
    <w:qFormat/>
    <w:rPr>
      <w:rFonts w:hint="default" w:ascii="Times New Roman" w:hAnsi="Times New Roman" w:eastAsia="宋体" w:cs="Times New Roman"/>
      <w:lang w:val="en-US" w:eastAsia="zh-CN" w:bidi="ar-SA"/>
    </w:rPr>
  </w:style>
  <w:style w:type="character" w:styleId="773" w:customStyle="1">
    <w:name w:val="标题 Char"/>
    <w:basedOn w:val="696"/>
    <w:link w:val="722"/>
    <w:uiPriority w:val="10"/>
    <w:qFormat/>
    <w:rPr>
      <w:sz w:val="48"/>
      <w:szCs w:val="48"/>
    </w:rPr>
  </w:style>
  <w:style w:type="character" w:styleId="774" w:customStyle="1">
    <w:name w:val="副标题 Char"/>
    <w:basedOn w:val="696"/>
    <w:link w:val="715"/>
    <w:uiPriority w:val="11"/>
    <w:qFormat/>
    <w:rPr>
      <w:sz w:val="24"/>
      <w:szCs w:val="24"/>
    </w:rPr>
  </w:style>
  <w:style w:type="paragraph" w:styleId="775">
    <w:name w:val="Quote"/>
    <w:basedOn w:val="686"/>
    <w:next w:val="686"/>
    <w:link w:val="776"/>
    <w:uiPriority w:val="29"/>
    <w:qFormat/>
    <w:pPr>
      <w:ind w:left="720" w:right="720"/>
    </w:pPr>
    <w:rPr>
      <w:i/>
    </w:rPr>
  </w:style>
  <w:style w:type="character" w:styleId="776" w:customStyle="1">
    <w:name w:val="引用 Char"/>
    <w:link w:val="775"/>
    <w:uiPriority w:val="29"/>
    <w:qFormat/>
    <w:rPr>
      <w:i/>
    </w:rPr>
  </w:style>
  <w:style w:type="paragraph" w:styleId="777">
    <w:name w:val="Intense Quote"/>
    <w:basedOn w:val="686"/>
    <w:next w:val="686"/>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
    <w:link w:val="777"/>
    <w:uiPriority w:val="30"/>
    <w:qFormat/>
    <w:rPr>
      <w:i/>
    </w:rPr>
  </w:style>
  <w:style w:type="character" w:styleId="779" w:customStyle="1">
    <w:name w:val="Header Char"/>
    <w:basedOn w:val="696"/>
    <w:uiPriority w:val="99"/>
    <w:qFormat/>
  </w:style>
  <w:style w:type="character" w:styleId="780" w:customStyle="1">
    <w:name w:val="Footer Char"/>
    <w:basedOn w:val="696"/>
    <w:uiPriority w:val="99"/>
    <w:qFormat/>
  </w:style>
  <w:style w:type="character" w:styleId="781" w:customStyle="1">
    <w:name w:val="Caption Char"/>
    <w:uiPriority w:val="99"/>
    <w:qFormat/>
  </w:style>
  <w:style w:type="table" w:styleId="782"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无格式表格 1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网格表 3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网格表 5 深色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网格表 6 彩色1"/>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网格表 7 彩色1"/>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清单表 21"/>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清单表 3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清单表 4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清单表 5 深色1"/>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清单表 7 彩色1"/>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Char"/>
    <w:link w:val="716"/>
    <w:uiPriority w:val="99"/>
    <w:qFormat/>
    <w:rPr>
      <w:sz w:val="18"/>
    </w:rPr>
  </w:style>
  <w:style w:type="character" w:styleId="908" w:customStyle="1">
    <w:name w:val="尾注文本 Char"/>
    <w:link w:val="709"/>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customStyle="1">
    <w:name w:val="Default"/>
    <w:uiPriority w:val="99"/>
    <w:qFormat/>
    <w:pPr>
      <w:widowControl w:val="off"/>
    </w:pPr>
    <w:rPr>
      <w:rFonts w:hint="default" w:ascii="MS Mincho" w:hAnsi="Times New Roman" w:eastAsia="宋体" w:cs="Times New Roman"/>
      <w:color w:val="000000"/>
      <w:sz w:val="21"/>
      <w:szCs w:val="24"/>
      <w:lang w:val="en-US" w:eastAsia="zh-CN" w:bidi="ar-SA"/>
    </w:rPr>
  </w:style>
  <w:style w:type="character" w:styleId="911" w:customStyle="1">
    <w:name w:val="页眉 Char"/>
    <w:basedOn w:val="696"/>
    <w:link w:val="712"/>
    <w:uiPriority w:val="99"/>
    <w:semiHidden/>
    <w:qFormat/>
    <w:rPr>
      <w:sz w:val="18"/>
      <w:szCs w:val="18"/>
    </w:rPr>
  </w:style>
  <w:style w:type="character" w:styleId="912" w:customStyle="1">
    <w:name w:val="页脚 Char"/>
    <w:basedOn w:val="696"/>
    <w:link w:val="711"/>
    <w:uiPriority w:val="99"/>
    <w:qFormat/>
    <w:rPr>
      <w:sz w:val="18"/>
      <w:szCs w:val="18"/>
    </w:rPr>
  </w:style>
  <w:style w:type="character" w:styleId="913" w:customStyle="1">
    <w:name w:val="标题 1 Char"/>
    <w:basedOn w:val="696"/>
    <w:link w:val="687"/>
    <w:uiPriority w:val="9"/>
    <w:qFormat/>
    <w:rPr>
      <w:b/>
      <w:bCs/>
      <w:sz w:val="44"/>
      <w:szCs w:val="44"/>
    </w:rPr>
  </w:style>
  <w:style w:type="character" w:styleId="914" w:customStyle="1">
    <w:name w:val="文档结构图 Char"/>
    <w:basedOn w:val="696"/>
    <w:link w:val="700"/>
    <w:uiPriority w:val="99"/>
    <w:semiHidden/>
    <w:qFormat/>
    <w:rPr>
      <w:rFonts w:ascii="宋体" w:eastAsia="宋体"/>
      <w:sz w:val="18"/>
      <w:szCs w:val="18"/>
    </w:rPr>
  </w:style>
  <w:style w:type="character" w:styleId="915" w:customStyle="1">
    <w:name w:val="标题 2 Char"/>
    <w:basedOn w:val="696"/>
    <w:link w:val="688"/>
    <w:uiPriority w:val="9"/>
    <w:qFormat/>
    <w:rPr>
      <w:rFonts w:asciiTheme="majorHAnsi" w:hAnsiTheme="majorHAnsi" w:eastAsiaTheme="majorEastAsia" w:cstheme="majorBidi"/>
      <w:b/>
      <w:bCs/>
      <w:sz w:val="32"/>
      <w:szCs w:val="32"/>
    </w:rPr>
  </w:style>
  <w:style w:type="character" w:styleId="916" w:customStyle="1">
    <w:name w:val="标题 3 Char"/>
    <w:basedOn w:val="696"/>
    <w:link w:val="689"/>
    <w:uiPriority w:val="9"/>
    <w:qFormat/>
    <w:rPr>
      <w:b/>
      <w:bCs/>
      <w:sz w:val="32"/>
      <w:szCs w:val="32"/>
    </w:rPr>
  </w:style>
  <w:style w:type="character" w:styleId="917" w:customStyle="1">
    <w:name w:val="日期 Char"/>
    <w:basedOn w:val="696"/>
    <w:link w:val="708"/>
    <w:uiPriority w:val="99"/>
    <w:semiHidden/>
    <w:qFormat/>
  </w:style>
  <w:style w:type="character" w:styleId="918" w:customStyle="1">
    <w:name w:val="批注文字 Char"/>
    <w:basedOn w:val="696"/>
    <w:link w:val="701"/>
    <w:uiPriority w:val="0"/>
    <w:qFormat/>
    <w:rPr>
      <w:rFonts w:ascii="Times New Roman" w:hAnsi="Times New Roman" w:eastAsia="宋体" w:cs="Times New Roman"/>
      <w:szCs w:val="24"/>
    </w:rPr>
  </w:style>
  <w:style w:type="character" w:styleId="919" w:customStyle="1">
    <w:name w:val="批注框文本 Char"/>
    <w:basedOn w:val="696"/>
    <w:link w:val="710"/>
    <w:uiPriority w:val="99"/>
    <w:semiHidden/>
    <w:qFormat/>
    <w:rPr>
      <w:sz w:val="18"/>
      <w:szCs w:val="18"/>
    </w:rPr>
  </w:style>
  <w:style w:type="paragraph" w:styleId="9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21" w:customStyle="1">
    <w:name w:val="正文文本 Char"/>
    <w:basedOn w:val="696"/>
    <w:link w:val="702"/>
    <w:uiPriority w:val="0"/>
    <w:qFormat/>
    <w:rPr>
      <w:rFonts w:ascii="Calibri" w:hAnsi="Calibri" w:eastAsia="宋体" w:cs="Times New Roman"/>
    </w:rPr>
  </w:style>
  <w:style w:type="character" w:styleId="922" w:customStyle="1">
    <w:name w:val="正文文本缩进 Char"/>
    <w:basedOn w:val="696"/>
    <w:link w:val="703"/>
    <w:uiPriority w:val="0"/>
    <w:qFormat/>
    <w:rPr>
      <w:rFonts w:ascii="Times New Roman" w:hAnsi="Times New Roman" w:eastAsia="宋体" w:cs="Times New Roman"/>
      <w:szCs w:val="24"/>
    </w:rPr>
  </w:style>
  <w:style w:type="character" w:styleId="923" w:customStyle="1">
    <w:name w:val="纯文本 Char"/>
    <w:basedOn w:val="696"/>
    <w:link w:val="706"/>
    <w:uiPriority w:val="0"/>
    <w:qFormat/>
    <w:rPr>
      <w:rFonts w:ascii="宋体" w:hAnsi="Courier New" w:eastAsia="宋体" w:cs="Courier New"/>
      <w:szCs w:val="21"/>
    </w:rPr>
  </w:style>
  <w:style w:type="paragraph" w:styleId="924" w:customStyle="1">
    <w:name w:val="列出段落1"/>
    <w:basedOn w:val="686"/>
    <w:uiPriority w:val="0"/>
    <w:qFormat/>
    <w:pPr>
      <w:ind w:firstLine="420"/>
    </w:pPr>
    <w:rPr>
      <w:rFonts w:ascii="Times New Roman" w:hAnsi="Times New Roman" w:eastAsia="宋体" w:cs="Times New Roman"/>
      <w:szCs w:val="21"/>
    </w:rPr>
  </w:style>
  <w:style w:type="character" w:styleId="925" w:customStyle="1">
    <w:name w:val="font21"/>
    <w:uiPriority w:val="0"/>
    <w:qFormat/>
    <w:rPr>
      <w:rFonts w:ascii="Arial" w:hAnsi="Arial" w:cs="Arial"/>
      <w:color w:val="000000"/>
      <w:sz w:val="16"/>
      <w:szCs w:val="16"/>
      <w:u w:val="none"/>
    </w:rPr>
  </w:style>
  <w:style w:type="character" w:styleId="926" w:customStyle="1">
    <w:name w:val="font11"/>
    <w:uiPriority w:val="0"/>
    <w:qFormat/>
    <w:rPr>
      <w:rFonts w:hint="eastAsia" w:ascii="微软雅黑" w:hAnsi="微软雅黑" w:eastAsia="微软雅黑" w:cs="微软雅黑"/>
      <w:color w:val="000000"/>
      <w:sz w:val="16"/>
      <w:szCs w:val="16"/>
      <w:u w:val="none"/>
    </w:rPr>
  </w:style>
  <w:style w:type="paragraph" w:styleId="927" w:customStyle="1">
    <w:name w:val="Table Text"/>
    <w:basedOn w:val="686"/>
    <w:uiPriority w:val="0"/>
    <w:semiHidden/>
    <w:qFormat/>
    <w:rPr>
      <w:rFonts w:ascii="华文细黑" w:hAnsi="华文细黑" w:eastAsia="华文细黑" w:cs="华文细黑"/>
      <w:sz w:val="16"/>
      <w:szCs w:val="16"/>
      <w:lang w:eastAsia="en-US"/>
    </w:rPr>
  </w:style>
  <w:style w:type="paragraph" w:styleId="928" w:customStyle="1">
    <w:name w:val="普通(网站)1"/>
    <w:basedOn w:val="686"/>
    <w:uiPriority w:val="99"/>
    <w:unhideWhenUsed/>
    <w:qFormat/>
    <w:pPr>
      <w:jc w:val="left"/>
      <w:spacing w:before="100" w:beforeAutospacing="1" w:after="100" w:afterAutospacing="1"/>
    </w:pPr>
    <w:rPr>
      <w:rFonts w:cs="Times New Roman"/>
      <w:sz w:val="24"/>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99C18B-9E7F-4656-960D-190596472E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程杨</cp:lastModifiedBy>
  <cp:revision>21</cp:revision>
  <dcterms:created xsi:type="dcterms:W3CDTF">2024-07-15T08:29:00Z</dcterms:created>
  <dcterms:modified xsi:type="dcterms:W3CDTF">2026-07-16T01:32:36Z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C85E504F5D814167AAE9DC6C4C7CF6EA_13</vt:lpwstr>
  </property>
  <property fmtid="{D5CDD505-2E9C-101B-9397-08002B2CF9AE}" pid="4" name="KSOTemplateDocerSaveRecord">
    <vt:lpwstr>eyJoZGlkIjoiODUzYmFhYjRkNDhlOTg1M2IwNjdlYzFlZmYyMDhiODIiLCJ1c2VySWQiOiIxMDQyMDAzNTU1In0=</vt:lpwstr>
  </property>
</Properties>
</file>