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ind w:firstLine="0"/>
        <w:spacing w:line="360" w:lineRule="auto"/>
        <w:rPr>
          <w:rFonts w:hint="eastAsia" w:eastAsia="黑体"/>
          <w:b/>
          <w:bCs/>
          <w:sz w:val="84"/>
          <w:shd w:val="clear" w:color="ffffff" w:fill="d9d9d9"/>
        </w:rPr>
      </w:pPr>
      <w:r>
        <w:rPr>
          <w:rFonts w:hint="eastAsia" w:eastAsia="黑体"/>
          <w:b/>
          <w:bCs/>
          <w:sz w:val="84"/>
          <w:shd w:val="clear" w:color="ffffff" w:fill="d9d9d9"/>
        </w:rPr>
      </w:r>
      <w:r/>
    </w:p>
    <w:p>
      <w:pPr>
        <w:pStyle w:val="939"/>
        <w:ind w:firstLine="0"/>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39"/>
        <w:ind w:firstLine="0"/>
        <w:jc w:val="center"/>
        <w:spacing w:line="360" w:lineRule="auto"/>
        <w:rPr>
          <w:rFonts w:ascii="黑体" w:hAnsi="华文中宋" w:eastAsia="黑体"/>
          <w:bCs/>
          <w:spacing w:val="20"/>
          <w:sz w:val="52"/>
          <w:szCs w:val="52"/>
        </w:rPr>
      </w:pPr>
      <w:r>
        <w:rPr>
          <w:rFonts w:ascii="黑体" w:hAnsi="华文中宋" w:eastAsia="黑体"/>
          <w:bCs/>
          <w:spacing w:val="20"/>
          <w:sz w:val="52"/>
          <w:szCs w:val="52"/>
        </w:rPr>
      </w:r>
      <w:r/>
    </w:p>
    <w:p>
      <w:pPr>
        <w:pStyle w:val="939"/>
        <w:ind w:firstLine="0"/>
        <w:jc w:val="center"/>
        <w:spacing w:line="360" w:lineRule="auto"/>
        <w:rPr>
          <w:rFonts w:hint="eastAsia" w:ascii="黑体" w:hAnsi="华文中宋" w:eastAsia="黑体"/>
          <w:bCs/>
          <w:spacing w:val="20"/>
          <w:sz w:val="52"/>
          <w:szCs w:val="52"/>
          <w:shd w:val="clear" w:color="ffffff" w:fill="d9d9d9"/>
          <w:lang w:eastAsia="zh-CN"/>
        </w:rPr>
      </w:pPr>
      <w:r>
        <w:rPr>
          <w:rFonts w:hint="eastAsia" w:ascii="黑体" w:hAnsi="华文中宋" w:eastAsia="黑体"/>
          <w:bCs/>
          <w:spacing w:val="20"/>
          <w:sz w:val="52"/>
          <w:szCs w:val="52"/>
          <w:shd w:val="clear" w:color="ffffff" w:fill="d9d9d9"/>
          <w:lang w:eastAsia="zh-CN"/>
        </w:rPr>
        <w:t xml:space="preserve">（</w:t>
      </w:r>
      <w:r>
        <w:rPr>
          <w:rFonts w:hint="eastAsia" w:ascii="黑体" w:hAnsi="华文中宋" w:eastAsia="黑体"/>
          <w:bCs/>
          <w:spacing w:val="20"/>
          <w:sz w:val="52"/>
          <w:szCs w:val="52"/>
          <w:shd w:val="clear" w:color="ffffff" w:fill="d9d9d9"/>
          <w:lang w:val="en-US" w:eastAsia="zh-CN"/>
        </w:rPr>
        <w:t xml:space="preserve">暗标</w:t>
      </w:r>
      <w:r>
        <w:rPr>
          <w:rFonts w:hint="eastAsia" w:ascii="黑体" w:hAnsi="华文中宋" w:eastAsia="黑体"/>
          <w:bCs/>
          <w:spacing w:val="20"/>
          <w:sz w:val="52"/>
          <w:szCs w:val="52"/>
          <w:shd w:val="clear" w:color="ffffff" w:fill="d9d9d9"/>
          <w:lang w:eastAsia="zh-CN"/>
        </w:rPr>
        <w:t xml:space="preserve">）</w:t>
      </w:r>
      <w:r/>
    </w:p>
    <w:p>
      <w:pPr>
        <w:pStyle w:val="939"/>
        <w:ind w:firstLine="0"/>
        <w:jc w:val="center"/>
        <w:spacing w:line="360" w:lineRule="auto"/>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39"/>
        <w:ind w:firstLine="0"/>
        <w:jc w:val="center"/>
        <w:spacing w:line="360" w:lineRule="auto"/>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项目编号：JSZC-320211-JZCG-G2026-0012</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项目名称：省锡中滨湖分校实验室装备采购项目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spacing w:line="360" w:lineRule="auto"/>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39"/>
        <w:ind w:firstLine="0"/>
        <w:jc w:val="center"/>
        <w:spacing w:before="0" w:after="0" w:line="360" w:lineRule="auto"/>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39"/>
        <w:ind w:firstLine="0"/>
        <w:jc w:val="center"/>
        <w:spacing w:line="360" w:lineRule="auto"/>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eastAsia="zh-CN"/>
        </w:rPr>
        <w:t xml:space="preserve">七</w:t>
      </w:r>
      <w:r>
        <w:rPr>
          <w:rFonts w:hint="eastAsia" w:ascii="黑体" w:hAnsi="华文中宋" w:eastAsia="黑体"/>
          <w:bCs/>
          <w:color w:val="000000"/>
          <w:sz w:val="32"/>
          <w:szCs w:val="32"/>
          <w:highlight w:val="none"/>
        </w:rPr>
        <w:t xml:space="preserve">月</w:t>
      </w:r>
      <w:r/>
    </w:p>
    <w:p>
      <w:pPr>
        <w:pStyle w:val="939"/>
        <w:ind w:firstLine="0"/>
        <w:jc w:val="center"/>
        <w:spacing w:line="360" w:lineRule="auto"/>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黑体" w:eastAsia="黑体"/>
          <w:sz w:val="36"/>
          <w:szCs w:val="36"/>
        </w:rPr>
        <w:t xml:space="preserve">总  目  录</w:t>
      </w:r>
      <w:r/>
    </w:p>
    <w:p>
      <w:pPr>
        <w:jc w:val="center"/>
        <w:spacing w:line="36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36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36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360" w:lineRule="auto"/>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就省锡中滨湖分校实验室装备采购项目进行公开招标采购，欢迎符合条件的供应商投标。</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省锡中滨湖分校实验室装备</w:t>
      </w:r>
      <w:r>
        <w:rPr>
          <w:rFonts w:hint="eastAsia" w:ascii="宋体" w:hAnsi="宋体"/>
          <w:color w:val="000000"/>
          <w:sz w:val="24"/>
          <w:szCs w:val="24"/>
          <w:lang w:eastAsia="zh-CN"/>
        </w:rPr>
        <w:t xml:space="preserve">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19</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54"/>
        <w:ind w:firstLine="452"/>
        <w:keepLines w:val="0"/>
        <w:keepNext w:val="0"/>
        <w:spacing w:before="0" w:after="0" w:line="360" w:lineRule="auto"/>
        <w:rPr>
          <w:sz w:val="30"/>
          <w:szCs w:val="30"/>
        </w:rPr>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1.项目编号：JSZC-320211-JZCG-G2026-0012</w:t>
      </w:r>
      <w:r/>
    </w:p>
    <w:p>
      <w:pPr>
        <w:ind w:firstLine="480"/>
        <w:spacing w:line="360" w:lineRule="auto"/>
        <w:rPr>
          <w:rFonts w:hint="eastAsia" w:ascii="宋体" w:hAnsi="宋体"/>
          <w:color w:val="000000"/>
          <w:sz w:val="24"/>
          <w:szCs w:val="24"/>
          <w:lang w:eastAsia="zh-CN"/>
        </w:rPr>
      </w:pPr>
      <w:r>
        <w:rPr>
          <w:rFonts w:hint="eastAsia" w:ascii="宋体" w:hAnsi="宋体"/>
          <w:color w:val="000000"/>
          <w:sz w:val="24"/>
          <w:szCs w:val="24"/>
        </w:rPr>
        <w:t xml:space="preserve">2.项目名称：省锡中滨湖分校实验室装备采购项目</w:t>
      </w:r>
      <w:bookmarkEnd w:id="11"/>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805</w:t>
      </w:r>
      <w:r>
        <w:rPr>
          <w:rFonts w:hint="eastAsia" w:ascii="宋体" w:hAnsi="宋体"/>
          <w:color w:val="000000"/>
          <w:sz w:val="24"/>
          <w:szCs w:val="24"/>
        </w:rPr>
        <w:t xml:space="preserve">万元</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4.项目最高限价：740.051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万元</w:t>
      </w:r>
      <w:r/>
    </w:p>
    <w:p>
      <w:pPr>
        <w:ind w:firstLine="480"/>
        <w:spacing w:line="360" w:lineRule="auto"/>
        <w:rPr>
          <w:rFonts w:hint="eastAsia" w:ascii="宋体" w:hAnsi="宋体"/>
          <w:sz w:val="24"/>
          <w:szCs w:val="24"/>
        </w:rPr>
      </w:pPr>
      <w:r>
        <w:rPr>
          <w:rFonts w:hint="eastAsia" w:ascii="宋体" w:hAnsi="宋体"/>
          <w:sz w:val="24"/>
          <w:szCs w:val="24"/>
        </w:rPr>
        <w:t xml:space="preserve">5.采购方式：公开招标</w:t>
      </w:r>
      <w:r/>
    </w:p>
    <w:p>
      <w:pPr>
        <w:ind w:firstLine="480"/>
        <w:spacing w:line="360" w:lineRule="auto"/>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360" w:lineRule="auto"/>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360" w:lineRule="auto"/>
        <w:rPr>
          <w:rFonts w:hint="eastAsia" w:cs="宋体" w:asciiTheme="minorEastAsia" w:hAnsiTheme="minorEastAsia"/>
          <w:b/>
          <w:color w:val="000000" w:themeColor="text1"/>
          <w:sz w:val="24"/>
          <w:szCs w:val="24"/>
          <w:lang w:val="en-US" w:eastAsia="zh-CN"/>
        </w:rPr>
      </w:pPr>
      <w:r/>
      <w:bookmarkStart w:id="12" w:name="_Toc38985264"/>
      <w:r/>
      <w:bookmarkStart w:id="13" w:name="_Toc35393791"/>
      <w:r/>
      <w:bookmarkStart w:id="14" w:name="_Toc28359003"/>
      <w:r/>
      <w:bookmarkStart w:id="15" w:name="_Toc35393622"/>
      <w:r/>
      <w:bookmarkStart w:id="16" w:name="_Toc28359080"/>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lang w:val="en-US" w:eastAsia="zh-CN"/>
        </w:rPr>
        <w:t xml:space="preserve">是</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ascii="Arial" w:hAnsi="Arial" w:cs="宋体"/>
          <w:color w:val="000000"/>
          <w:sz w:val="24"/>
          <w:szCs w:val="24"/>
        </w:rPr>
        <w:t xml:space="preserve">工业</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54"/>
        <w:ind w:firstLine="452"/>
        <w:keepLines w:val="0"/>
        <w:keepNext w:val="0"/>
        <w:spacing w:before="0" w:after="0" w:line="360" w:lineRule="auto"/>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szCs w:val="24"/>
        </w:rPr>
      </w:pPr>
      <w:r/>
      <w:bookmarkStart w:id="17" w:name="_Toc38985265"/>
      <w:r/>
      <w:bookmarkStart w:id="18" w:name="_Toc28359081"/>
      <w:r/>
      <w:bookmarkStart w:id="19" w:name="_Toc35393792"/>
      <w:r/>
      <w:bookmarkStart w:id="20" w:name="_Toc35393623"/>
      <w:r/>
      <w:bookmarkStart w:id="21" w:name="_Toc28359004"/>
      <w:r>
        <w:rPr>
          <w:rFonts w:hint="eastAsia" w:ascii="宋体" w:hAnsi="宋体"/>
          <w:sz w:val="24"/>
          <w:szCs w:val="24"/>
        </w:rPr>
        <w:t xml:space="preserve">1.满足《中华人民共和国政府采购法》第二十二条规定；</w:t>
      </w:r>
      <w:r/>
    </w:p>
    <w:p>
      <w:pPr>
        <w:ind w:firstLine="480"/>
        <w:spacing w:line="360" w:lineRule="auto"/>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360" w:lineRule="auto"/>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：本项目专门面向中小企业，资格证明文件中必须提交《中小企业声明函》或《监狱企业证明文件》或《残疾人福利性单位声明函》；</w:t>
      </w:r>
      <w:r/>
    </w:p>
    <w:p>
      <w:pPr>
        <w:ind w:firstLine="480"/>
        <w:spacing w:line="360" w:lineRule="auto"/>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54"/>
        <w:ind w:firstLine="452"/>
        <w:keepLines w:val="0"/>
        <w:keepNext w:val="0"/>
        <w:spacing w:before="0" w:after="0" w:line="360" w:lineRule="auto"/>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360" w:lineRule="auto"/>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360" w:lineRule="auto"/>
        <w:rPr>
          <w:rStyle w:val="928"/>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360" w:lineRule="auto"/>
        <w:rPr>
          <w:rFonts w:ascii="宋体" w:hAnsi="宋体"/>
          <w:bCs/>
          <w:sz w:val="24"/>
          <w:szCs w:val="24"/>
        </w:rPr>
      </w:pPr>
      <w:r>
        <w:rPr>
          <w:rFonts w:hint="eastAsia" w:ascii="宋体" w:hAnsi="宋体"/>
          <w:bCs/>
          <w:sz w:val="24"/>
          <w:szCs w:val="24"/>
        </w:rPr>
        <w:t xml:space="preserve">4.售价：本项目招标文件免费。</w:t>
      </w:r>
      <w:r/>
    </w:p>
    <w:p>
      <w:pPr>
        <w:pStyle w:val="854"/>
        <w:ind w:firstLine="452"/>
        <w:keepLines w:val="0"/>
        <w:keepNext w:val="0"/>
        <w:spacing w:before="0" w:after="0" w:line="360" w:lineRule="auto"/>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360" w:lineRule="auto"/>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
          <w:bCs w:val="0"/>
          <w:color w:val="0000ff"/>
          <w:sz w:val="24"/>
          <w:szCs w:val="24"/>
          <w:highlight w:val="none"/>
        </w:rPr>
        <w:t xml:space="preserve">2026年</w:t>
      </w:r>
      <w:r>
        <w:rPr>
          <w:rFonts w:hint="eastAsia" w:ascii="宋体" w:hAnsi="宋体"/>
          <w:b/>
          <w:bCs w:val="0"/>
          <w:color w:val="0000ff"/>
          <w:sz w:val="24"/>
          <w:szCs w:val="24"/>
          <w:highlight w:val="none"/>
          <w:lang w:val="en-US" w:eastAsia="zh-CN"/>
        </w:rPr>
        <w:t xml:space="preserve">08</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19</w:t>
      </w:r>
      <w:bookmarkStart w:id="206" w:name="_GoBack"/>
      <w:r/>
      <w:bookmarkEnd w:id="206"/>
      <w:r>
        <w:rPr>
          <w:rFonts w:hint="eastAsia" w:ascii="宋体" w:hAnsi="宋体"/>
          <w:b/>
          <w:bCs w:val="0"/>
          <w:color w:val="0000ff"/>
          <w:sz w:val="24"/>
          <w:szCs w:val="24"/>
          <w:highlight w:val="none"/>
        </w:rPr>
        <w:t xml:space="preserve">日</w:t>
      </w:r>
      <w:r>
        <w:rPr>
          <w:rFonts w:hint="eastAsia" w:ascii="宋体" w:hAnsi="宋体"/>
          <w:b/>
          <w:bCs w:val="0"/>
          <w:color w:val="auto"/>
          <w:sz w:val="24"/>
          <w:szCs w:val="24"/>
          <w:highlight w:val="none"/>
        </w:rPr>
        <w:t xml:space="preserve">09点30分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w:t>
      </w:r>
      <w:r/>
    </w:p>
    <w:p>
      <w:pPr>
        <w:ind w:firstLine="480"/>
        <w:spacing w:line="360" w:lineRule="auto"/>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54"/>
        <w:ind w:firstLine="452"/>
        <w:keepLines w:val="0"/>
        <w:keepNext w:val="0"/>
        <w:spacing w:before="0" w:after="0" w:line="360" w:lineRule="auto"/>
        <w:rPr>
          <w:sz w:val="30"/>
          <w:szCs w:val="30"/>
        </w:rPr>
      </w:pPr>
      <w:r/>
      <w:bookmarkStart w:id="27" w:name="_Toc38985267"/>
      <w:r/>
      <w:bookmarkStart w:id="28" w:name="_Toc28359084"/>
      <w:r/>
      <w:bookmarkStart w:id="29" w:name="_Toc28359007"/>
      <w:r/>
      <w:bookmarkStart w:id="30" w:name="_Toc35393794"/>
      <w:r/>
      <w:bookmarkStart w:id="31" w:name="_Toc35393625"/>
      <w:r>
        <w:rPr>
          <w:rFonts w:hint="eastAsia"/>
          <w:sz w:val="30"/>
          <w:szCs w:val="30"/>
        </w:rPr>
        <w:t xml:space="preserve">五、公告期限</w:t>
      </w:r>
      <w:bookmarkEnd w:id="27"/>
      <w:r/>
      <w:bookmarkEnd w:id="28"/>
      <w:r/>
      <w:bookmarkEnd w:id="29"/>
      <w:r/>
      <w:bookmarkEnd w:id="30"/>
      <w:r/>
      <w:bookmarkEnd w:id="31"/>
      <w:r/>
      <w:r/>
    </w:p>
    <w:p>
      <w:pPr>
        <w:ind w:firstLine="480"/>
        <w:spacing w:line="360"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p>
    <w:p>
      <w:pPr>
        <w:pStyle w:val="854"/>
        <w:ind w:firstLine="452"/>
        <w:keepLines w:val="0"/>
        <w:keepNext w:val="0"/>
        <w:spacing w:before="0" w:after="0" w:line="360" w:lineRule="auto"/>
        <w:rPr>
          <w:sz w:val="30"/>
          <w:szCs w:val="30"/>
        </w:rPr>
      </w:pPr>
      <w:r>
        <w:rPr>
          <w:rFonts w:hint="eastAsia"/>
          <w:sz w:val="30"/>
          <w:szCs w:val="30"/>
        </w:rPr>
        <w:t xml:space="preserve">六、其他补充事宜</w:t>
      </w:r>
      <w:bookmarkEnd w:id="32"/>
      <w:r/>
      <w:bookmarkEnd w:id="33"/>
      <w:r/>
      <w:bookmarkEnd w:id="34"/>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pStyle w:val="854"/>
        <w:ind w:firstLine="452"/>
        <w:keepLines w:val="0"/>
        <w:keepNext w:val="0"/>
        <w:spacing w:before="0" w:after="0" w:line="360" w:lineRule="auto"/>
        <w:rPr>
          <w:sz w:val="30"/>
          <w:szCs w:val="30"/>
        </w:rPr>
      </w:pPr>
      <w:r/>
      <w:bookmarkStart w:id="35" w:name="_Toc35393627"/>
      <w:r/>
      <w:bookmarkStart w:id="36" w:name="_Toc28359085"/>
      <w:r/>
      <w:bookmarkStart w:id="37" w:name="_Toc38985269"/>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lang w:val="en-US" w:eastAsia="zh-CN"/>
        </w:rPr>
        <w:t xml:space="preserve"> </w:t>
      </w:r>
      <w:r>
        <w:rPr>
          <w:rFonts w:hint="eastAsia" w:cs="宋体" w:asciiTheme="minorEastAsia" w:hAnsiTheme="minorEastAsia"/>
          <w:color w:val="000000" w:themeColor="text1"/>
          <w:sz w:val="24"/>
          <w:szCs w:val="24"/>
        </w:rPr>
        <w:t xml:space="preserve">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w:t>
      </w:r>
      <w:r>
        <w:rPr>
          <w:rFonts w:hint="eastAsia" w:ascii="Arial" w:hAnsi="Arial" w:cs="宋体"/>
          <w:color w:val="000000"/>
          <w:sz w:val="24"/>
          <w:szCs w:val="24"/>
        </w:rPr>
        <w:t xml:space="preserve">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联系人：</w:t>
      </w:r>
      <w:r>
        <w:rPr>
          <w:rFonts w:hint="eastAsia" w:ascii="Arial" w:hAnsi="Arial" w:cs="宋体"/>
          <w:color w:val="000000"/>
          <w:sz w:val="24"/>
          <w:szCs w:val="24"/>
        </w:rPr>
        <w:t xml:space="preserve">许诺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联系电话：051081178601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联系地址：滨湖区金城西路500号</w:t>
      </w:r>
      <w:r/>
    </w:p>
    <w:p>
      <w:pPr>
        <w:pStyle w:val="854"/>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360" w:lineRule="auto"/>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sz w:val="24"/>
          <w:szCs w:val="24"/>
        </w:rPr>
        <w:t xml:space="preserve">（五）</w:t>
      </w:r>
      <w:r>
        <w:rPr>
          <w:rFonts w:hint="eastAsia" w:ascii="宋体" w:hAnsi="宋体"/>
          <w:bCs/>
          <w:color w:val="000000" w:themeColor="text1"/>
          <w:sz w:val="24"/>
          <w:szCs w:val="24"/>
          <w:highlight w:val="none"/>
        </w:rPr>
        <w:t xml:space="preserve">各政府采购当事人可通过江苏政府采购网、中国政府采购网等媒体，关注无锡市政府采购公示公告信息。</w:t>
      </w:r>
      <w:r/>
    </w:p>
    <w:p>
      <w:pPr>
        <w:ind w:firstLine="480"/>
        <w:spacing w:line="360" w:lineRule="auto"/>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rPr>
          <w:rFonts w:hint="eastAsia" w:ascii="黑体" w:hAnsi="黑体" w:eastAsia="黑体"/>
          <w:color w:val="000000" w:themeColor="text1"/>
          <w:sz w:val="36"/>
          <w:szCs w:val="36"/>
          <w:highlight w:val="none"/>
        </w:rPr>
        <w:t xml:space="preserve">第二章  </w:t>
      </w:r>
      <w:bookmarkEnd w:id="40"/>
      <w:r/>
      <w:bookmarkStart w:id="41" w:name="_Toc20823274"/>
      <w:r/>
      <w:bookmarkStart w:id="42" w:name="_Toc513029202"/>
      <w:r/>
      <w:bookmarkStart w:id="43" w:name="_Toc120614213"/>
      <w:r/>
      <w:bookmarkStart w:id="44" w:name="_Toc16938518"/>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54"/>
        <w:ind w:firstLine="452"/>
        <w:keepLines w:val="0"/>
        <w:keepNext w:val="0"/>
        <w:spacing w:before="0" w:after="0" w:line="360" w:lineRule="auto"/>
        <w:rPr>
          <w:rFonts w:hint="eastAsia"/>
          <w:color w:val="000000" w:themeColor="text1"/>
          <w:sz w:val="30"/>
          <w:szCs w:val="30"/>
          <w:highlight w:val="none"/>
        </w:rPr>
      </w:pPr>
      <w:r/>
      <w:bookmarkStart w:id="45" w:name="_Toc16938519"/>
      <w:r/>
      <w:bookmarkStart w:id="46" w:name="_Toc20823275"/>
      <w:r/>
      <w:bookmarkStart w:id="47" w:name="_Toc513029203"/>
      <w:r/>
      <w:bookmarkStart w:id="48" w:name="_Toc120614214"/>
      <w:r>
        <w:rPr>
          <w:rFonts w:hint="eastAsia"/>
          <w:color w:val="000000" w:themeColor="text1"/>
          <w:sz w:val="30"/>
          <w:szCs w:val="30"/>
          <w:highlight w:val="none"/>
        </w:rPr>
        <w:t xml:space="preserve">一、总则</w:t>
      </w:r>
      <w:bookmarkEnd w:id="45"/>
      <w:r/>
      <w:bookmarkEnd w:id="46"/>
      <w:r/>
      <w:bookmarkEnd w:id="47"/>
      <w:r/>
      <w:bookmarkEnd w:id="48"/>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53" w:name="_Toc20823277"/>
      <w:r/>
      <w:bookmarkStart w:id="54" w:name="_Toc16938521"/>
      <w:r/>
      <w:bookmarkStart w:id="55" w:name="_Toc513029205"/>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56" w:name="_Toc16938522"/>
      <w:r/>
      <w:bookmarkStart w:id="57" w:name="_Toc20823278"/>
      <w:r/>
      <w:bookmarkStart w:id="58" w:name="_Toc513029206"/>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59" w:name="_Toc20823279"/>
      <w:r/>
      <w:bookmarkStart w:id="60" w:name="_Toc513029207"/>
      <w:r/>
      <w:bookmarkStart w:id="61" w:name="_Toc462564067"/>
      <w:r/>
      <w:bookmarkStart w:id="62" w:name="_Toc16938523"/>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54"/>
        <w:ind w:firstLine="452"/>
        <w:keepLines w:val="0"/>
        <w:keepNext w:val="0"/>
        <w:spacing w:before="0" w:after="0" w:line="360" w:lineRule="auto"/>
        <w:rPr>
          <w:rFonts w:hint="eastAsia"/>
          <w:color w:val="000000" w:themeColor="text1"/>
          <w:sz w:val="30"/>
          <w:szCs w:val="30"/>
          <w:highlight w:val="none"/>
        </w:rPr>
      </w:pPr>
      <w:r/>
      <w:bookmarkStart w:id="63" w:name="_Toc513029209"/>
      <w:r/>
      <w:bookmarkStart w:id="64" w:name="_Toc20823281"/>
      <w:r/>
      <w:bookmarkStart w:id="65" w:name="_Toc16938525"/>
      <w:r/>
      <w:bookmarkStart w:id="66" w:name="_Toc120614215"/>
      <w:r>
        <w:rPr>
          <w:rFonts w:hint="eastAsia"/>
          <w:color w:val="000000" w:themeColor="text1"/>
          <w:sz w:val="30"/>
          <w:szCs w:val="30"/>
          <w:highlight w:val="none"/>
        </w:rPr>
        <w:t xml:space="preserve">二、招标文件</w:t>
      </w:r>
      <w:bookmarkEnd w:id="63"/>
      <w:r/>
      <w:bookmarkEnd w:id="64"/>
      <w:r/>
      <w:bookmarkEnd w:id="65"/>
      <w:r/>
      <w:bookmarkEnd w:id="66"/>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67" w:name="_Toc20823282"/>
      <w:r/>
      <w:bookmarkStart w:id="68" w:name="_Toc16938526"/>
      <w:r/>
      <w:bookmarkStart w:id="69" w:name="_Toc513029210"/>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360" w:lineRule="auto"/>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70" w:name="_Toc462564070"/>
      <w:r/>
      <w:bookmarkStart w:id="71" w:name="_Toc16938527"/>
      <w:r/>
      <w:bookmarkStart w:id="72" w:name="_Toc513029211"/>
      <w:r/>
      <w:bookmarkStart w:id="73" w:name="_Toc20823283"/>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74" w:name="_Toc16938528"/>
      <w:r/>
      <w:bookmarkStart w:id="75" w:name="_Toc462564071"/>
      <w:r/>
      <w:bookmarkStart w:id="76" w:name="_Toc20823284"/>
      <w:r/>
      <w:bookmarkStart w:id="77" w:name="_Toc513029212"/>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p>
    <w:p>
      <w:pPr>
        <w:pStyle w:val="854"/>
        <w:ind w:firstLine="452"/>
        <w:keepLines w:val="0"/>
        <w:keepNext w:val="0"/>
        <w:spacing w:before="0" w:after="0" w:line="360" w:lineRule="auto"/>
        <w:rPr>
          <w:rFonts w:hint="eastAsia"/>
          <w:color w:val="000000" w:themeColor="text1"/>
          <w:sz w:val="30"/>
          <w:szCs w:val="30"/>
          <w:highlight w:val="none"/>
        </w:rPr>
      </w:pPr>
      <w:r/>
      <w:bookmarkStart w:id="78" w:name="_Toc462564072"/>
      <w:r/>
      <w:bookmarkStart w:id="79" w:name="_Toc16938529"/>
      <w:r/>
      <w:bookmarkStart w:id="80" w:name="_Toc120614216"/>
      <w:r/>
      <w:bookmarkStart w:id="81" w:name="_Toc20823285"/>
      <w:r/>
      <w:bookmarkStart w:id="82" w:name="_Toc513029213"/>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83" w:name="_Toc16938530"/>
      <w:r/>
      <w:bookmarkStart w:id="84" w:name="_Toc513029214"/>
      <w:r/>
      <w:bookmarkStart w:id="85" w:name="_Toc20823286"/>
      <w:r/>
      <w:bookmarkStart w:id="86" w:name="_Toc462564073"/>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87" w:name="_Toc16938531"/>
      <w:r/>
      <w:bookmarkStart w:id="88" w:name="_Toc20823287"/>
      <w:r/>
      <w:bookmarkStart w:id="89" w:name="_Toc462564074"/>
      <w:r/>
      <w:bookmarkStart w:id="90" w:name="_Toc513029215"/>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ind w:firstLine="482"/>
        <w:spacing w:line="360" w:lineRule="auto"/>
        <w:rPr>
          <w:rFonts w:ascii="宋体" w:hAnsi="宋体"/>
          <w:b/>
          <w:sz w:val="24"/>
          <w:highlight w:val="none"/>
          <w:u w:val="single"/>
        </w:rPr>
      </w:pPr>
      <w:r>
        <w:rPr>
          <w:rFonts w:hint="eastAsia" w:ascii="宋体" w:hAnsi="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ascii="宋体" w:hAnsi="宋体"/>
          <w:b/>
          <w:sz w:val="24"/>
          <w:highlight w:val="none"/>
          <w:u w:val="single"/>
        </w:rPr>
      </w:pPr>
      <w:r>
        <w:rPr>
          <w:rFonts w:hint="eastAsia" w:ascii="宋体" w:hAnsi="宋体"/>
          <w:b/>
          <w:sz w:val="24"/>
          <w:highlight w:val="none"/>
        </w:rPr>
        <w:t xml:space="preserve">不得有体现投标人身份的内容是指：</w:t>
      </w:r>
      <w:r/>
    </w:p>
    <w:p>
      <w:pPr>
        <w:ind w:firstLine="482"/>
        <w:spacing w:line="360" w:lineRule="auto"/>
        <w:rPr>
          <w:rFonts w:ascii="宋体" w:hAnsi="宋体"/>
          <w:b/>
          <w:sz w:val="24"/>
          <w:highlight w:val="none"/>
        </w:rPr>
      </w:pPr>
      <w:r>
        <w:rPr>
          <w:rFonts w:hint="eastAsia" w:ascii="宋体" w:hAnsi="宋体"/>
          <w:b/>
          <w:sz w:val="24"/>
          <w:highlight w:val="none"/>
        </w:rPr>
        <w:t xml:space="preserve">10.4.1技术部分不得出现能够体现投标人身份、名称的相关描述、材料、文件等内容；</w:t>
      </w:r>
      <w:r/>
    </w:p>
    <w:p>
      <w:pPr>
        <w:ind w:firstLine="482"/>
        <w:spacing w:line="360" w:lineRule="auto"/>
        <w:rPr>
          <w:rFonts w:ascii="宋体" w:hAnsi="宋体"/>
          <w:b/>
          <w:sz w:val="24"/>
          <w:highlight w:val="none"/>
        </w:rPr>
      </w:pPr>
      <w:r>
        <w:rPr>
          <w:rFonts w:hint="eastAsia" w:ascii="宋体" w:hAnsi="宋体"/>
          <w:b/>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ascii="宋体" w:hAnsi="宋体"/>
          <w:b/>
          <w:sz w:val="24"/>
          <w:highlight w:val="none"/>
        </w:rPr>
      </w:pPr>
      <w:r>
        <w:rPr>
          <w:rFonts w:hint="eastAsia" w:ascii="宋体" w:hAnsi="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ascii="宋体" w:hAnsi="宋体"/>
          <w:b/>
          <w:sz w:val="24"/>
          <w:highlight w:val="none"/>
        </w:rPr>
      </w:pPr>
      <w:r>
        <w:rPr>
          <w:rFonts w:hint="eastAsia" w:ascii="宋体" w:hAnsi="宋体"/>
          <w:b/>
          <w:sz w:val="24"/>
          <w:highlight w:val="none"/>
        </w:rPr>
        <w:t xml:space="preserve">10.4.4不得有其他体现投标人身份的内容。</w:t>
      </w:r>
      <w:r/>
    </w:p>
    <w:p>
      <w:pPr>
        <w:ind w:firstLine="361"/>
        <w:spacing w:line="360" w:lineRule="auto"/>
        <w:rPr>
          <w:rFonts w:ascii="宋体" w:hAnsi="宋体"/>
          <w:b/>
          <w:sz w:val="24"/>
          <w:highlight w:val="none"/>
        </w:rPr>
      </w:pPr>
      <w:r>
        <w:rPr>
          <w:rFonts w:hint="eastAsia" w:ascii="宋体" w:hAnsi="宋体" w:cs="宋体"/>
          <w:b/>
          <w:sz w:val="24"/>
          <w:szCs w:val="24"/>
          <w:highlight w:val="none"/>
        </w:rPr>
        <w:t xml:space="preserve">10.5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91" w:name="_Hlt26670360"/>
      <w:r/>
      <w:bookmarkEnd w:id="91"/>
      <w:r/>
      <w:bookmarkStart w:id="92" w:name="_Hlt26668975"/>
      <w:r/>
      <w:bookmarkEnd w:id="92"/>
      <w:r/>
      <w:bookmarkStart w:id="93" w:name="_Hlt26954838"/>
      <w:r/>
      <w:bookmarkEnd w:id="93"/>
      <w:r/>
      <w:bookmarkStart w:id="94" w:name="_Toc49090507"/>
      <w:r/>
      <w:bookmarkStart w:id="95" w:name="_Toc513029219"/>
      <w:r/>
      <w:bookmarkStart w:id="96" w:name="_Toc14577357"/>
      <w:r/>
      <w:bookmarkStart w:id="97" w:name="_Toc14577354"/>
      <w:r/>
      <w:bookmarkStart w:id="98" w:name="_Toc49090509"/>
      <w:r/>
      <w:bookmarkStart w:id="99" w:name="_Toc513029216"/>
      <w:r/>
      <w:bookmarkStart w:id="100" w:name="_Toc479757207"/>
      <w:r/>
      <w:bookmarkStart w:id="101" w:name="_Toc20823314"/>
      <w:r/>
      <w:bookmarkStart w:id="102" w:name="_Toc513029242"/>
      <w:r/>
      <w:bookmarkStart w:id="103" w:name="_Toc120614221"/>
      <w:r/>
      <w:bookmarkStart w:id="104" w:name="_Toc16938558"/>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360" w:lineRule="auto"/>
        <w:rPr>
          <w:rFonts w:hint="eastAsia" w:ascii="宋体" w:hAnsi="宋体"/>
          <w:bCs/>
          <w:color w:val="000000" w:themeColor="text1"/>
          <w:sz w:val="24"/>
          <w:highlight w:val="none"/>
        </w:rPr>
      </w:pPr>
      <w:r/>
      <w:bookmarkStart w:id="105" w:name="_Toc14577355"/>
      <w:r/>
      <w:bookmarkStart w:id="106" w:name="_Toc49090508"/>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07" w:name="_Toc49090510"/>
      <w:r/>
      <w:bookmarkStart w:id="108" w:name="_Toc14577359"/>
      <w:r>
        <w:rPr>
          <w:rFonts w:hint="eastAsia" w:ascii="宋体" w:hAnsi="宋体" w:eastAsia="宋体"/>
          <w:bCs w:val="0"/>
          <w:color w:val="000000" w:themeColor="text1"/>
          <w:highlight w:val="none"/>
        </w:rPr>
        <w:t xml:space="preserve">12.投标函、承诺书和开标一览表</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7"/>
      <w:r/>
      <w:bookmarkEnd w:id="108"/>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5"/>
      <w:r/>
      <w:bookmarkEnd w:id="106"/>
      <w:r>
        <w:rPr>
          <w:rFonts w:hint="eastAsia" w:ascii="宋体" w:hAnsi="宋体" w:eastAsia="宋体"/>
          <w:bCs w:val="0"/>
          <w:color w:val="000000" w:themeColor="text1"/>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9" w:name="_Hlt26954840"/>
      <w:r/>
      <w:bookmarkEnd w:id="109"/>
      <w:r>
        <w:rPr>
          <w:rFonts w:hint="eastAsia" w:ascii="宋体" w:hAnsi="宋体"/>
          <w:color w:val="000000" w:themeColor="text1"/>
          <w:sz w:val="24"/>
          <w:highlight w:val="none"/>
        </w:rPr>
        <w:t xml:space="preserve">标人应按照招标文件规定格式填报</w:t>
      </w:r>
      <w:bookmarkStart w:id="110" w:name="_Hlt26670399"/>
      <w:r/>
      <w:bookmarkEnd w:id="110"/>
      <w:r>
        <w:rPr>
          <w:rFonts w:hint="eastAsia" w:ascii="宋体" w:hAnsi="宋体"/>
          <w:color w:val="000000" w:themeColor="text1"/>
          <w:sz w:val="24"/>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11" w:name="_Hlt26670403"/>
      <w:r/>
      <w:bookmarkEnd w:id="111"/>
      <w:r/>
      <w:bookmarkStart w:id="112" w:name="_Hlt26670486"/>
      <w:r/>
      <w:bookmarkEnd w:id="112"/>
      <w:r/>
      <w:bookmarkStart w:id="113" w:name="_Hlt26954844"/>
      <w:r/>
      <w:bookmarkEnd w:id="113"/>
      <w:r/>
      <w:bookmarkStart w:id="114" w:name="_Hlt26668983"/>
      <w:r/>
      <w:bookmarkEnd w:id="114"/>
      <w:r/>
      <w:bookmarkStart w:id="115" w:name="_Hlt26954846"/>
      <w:r/>
      <w:bookmarkEnd w:id="115"/>
      <w:r/>
      <w:bookmarkStart w:id="116" w:name="_Hlt26954731"/>
      <w:r/>
      <w:bookmarkEnd w:id="116"/>
      <w:r/>
      <w:bookmarkStart w:id="117" w:name="_Hlt26670482"/>
      <w:r/>
      <w:bookmarkEnd w:id="117"/>
      <w:r/>
      <w:bookmarkStart w:id="118" w:name="_Hlt26954842"/>
      <w:r/>
      <w:bookmarkEnd w:id="118"/>
      <w:r/>
      <w:bookmarkStart w:id="119" w:name="_Hlt26670425"/>
      <w:r/>
      <w:bookmarkEnd w:id="119"/>
      <w:r/>
      <w:bookmarkStart w:id="120" w:name="_Hlt26954848"/>
      <w:r/>
      <w:bookmarkEnd w:id="120"/>
      <w:r>
        <w:rPr>
          <w:rFonts w:hint="eastAsia" w:ascii="宋体" w:hAnsi="宋体" w:eastAsia="宋体"/>
          <w:bCs w:val="0"/>
          <w:color w:val="000000" w:themeColor="text1"/>
          <w:highlight w:val="none"/>
        </w:rPr>
        <w:t xml:space="preserve">14.投标偏离表</w:t>
      </w:r>
      <w:r/>
    </w:p>
    <w:p>
      <w:pPr>
        <w:ind w:firstLine="480"/>
        <w:spacing w:line="360" w:lineRule="auto"/>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21" w:name="_Hlt26670489"/>
      <w:r/>
      <w:bookmarkEnd w:id="121"/>
      <w:r/>
      <w:bookmarkStart w:id="122" w:name="_Hlt26954850"/>
      <w:r/>
      <w:bookmarkEnd w:id="122"/>
      <w:r/>
      <w:bookmarkStart w:id="123" w:name="_Hlt26954734"/>
      <w:r/>
      <w:bookmarkEnd w:id="123"/>
      <w:r/>
      <w:bookmarkStart w:id="124" w:name="_Toc49090511"/>
      <w:r/>
      <w:bookmarkStart w:id="125" w:name="_Toc14577360"/>
      <w:r>
        <w:rPr>
          <w:rFonts w:hint="eastAsia" w:ascii="宋体" w:hAnsi="宋体" w:eastAsia="宋体"/>
          <w:bCs w:val="0"/>
          <w:color w:val="000000" w:themeColor="text1"/>
          <w:highlight w:val="none"/>
        </w:rPr>
        <w:t xml:space="preserve">15.投标有效期</w:t>
      </w:r>
      <w:bookmarkEnd w:id="124"/>
      <w:r/>
      <w:bookmarkEnd w:id="125"/>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54"/>
        <w:ind w:firstLine="452"/>
        <w:keepLines w:val="0"/>
        <w:keepNext w:val="0"/>
        <w:spacing w:before="0" w:after="0" w:line="360" w:lineRule="auto"/>
        <w:rPr>
          <w:rFonts w:hint="eastAsia"/>
          <w:color w:val="000000" w:themeColor="text1"/>
          <w:sz w:val="30"/>
          <w:szCs w:val="30"/>
          <w:highlight w:val="none"/>
        </w:rPr>
      </w:pPr>
      <w:r/>
      <w:bookmarkStart w:id="126" w:name="_Hlt26954852"/>
      <w:r/>
      <w:bookmarkEnd w:id="126"/>
      <w:r/>
      <w:bookmarkStart w:id="127" w:name="_Hlt26954739"/>
      <w:r/>
      <w:bookmarkEnd w:id="127"/>
      <w:r/>
      <w:bookmarkStart w:id="128" w:name="_Toc513029224"/>
      <w:r/>
      <w:bookmarkStart w:id="129" w:name="_Toc120614217"/>
      <w:r/>
      <w:bookmarkStart w:id="130" w:name="_Toc16938540"/>
      <w:r/>
      <w:bookmarkStart w:id="131" w:name="_Toc20823296"/>
      <w:r>
        <w:rPr>
          <w:rFonts w:hint="eastAsia"/>
          <w:color w:val="000000" w:themeColor="text1"/>
          <w:sz w:val="30"/>
          <w:szCs w:val="30"/>
          <w:highlight w:val="none"/>
        </w:rPr>
        <w:t xml:space="preserve">四、投标文件的递交</w:t>
      </w:r>
      <w:bookmarkEnd w:id="128"/>
      <w:r/>
      <w:bookmarkEnd w:id="129"/>
      <w:r/>
      <w:bookmarkEnd w:id="130"/>
      <w:r/>
      <w:bookmarkEnd w:id="131"/>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32" w:name="_Toc16938541"/>
      <w:r/>
      <w:bookmarkStart w:id="133" w:name="_Toc20823297"/>
      <w:r/>
      <w:bookmarkStart w:id="134" w:name="_Toc513029225"/>
      <w:r/>
      <w:bookmarkStart w:id="135" w:name="_Toc462564084"/>
      <w:r>
        <w:rPr>
          <w:rFonts w:hint="eastAsia" w:ascii="宋体" w:hAnsi="宋体" w:eastAsia="宋体"/>
          <w:bCs w:val="0"/>
          <w:color w:val="000000" w:themeColor="text1"/>
          <w:highlight w:val="none"/>
        </w:rPr>
        <w:t xml:space="preserve">17.投标文件</w:t>
      </w:r>
      <w:bookmarkEnd w:id="132"/>
      <w:r/>
      <w:bookmarkEnd w:id="133"/>
      <w:r/>
      <w:bookmarkEnd w:id="134"/>
      <w:r/>
      <w:bookmarkEnd w:id="135"/>
      <w:r>
        <w:rPr>
          <w:rFonts w:hint="eastAsia" w:ascii="宋体" w:hAnsi="宋体" w:eastAsia="宋体"/>
          <w:bCs w:val="0"/>
          <w:color w:val="000000" w:themeColor="text1"/>
          <w:highlight w:val="none"/>
        </w:rPr>
        <w:t xml:space="preserve">的递交</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964"/>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6" w:name="_Toc16938542"/>
      <w:r/>
      <w:bookmarkStart w:id="137" w:name="_Toc20823298"/>
      <w:r/>
      <w:bookmarkStart w:id="138" w:name="_Toc513029226"/>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6"/>
      <w:r/>
      <w:bookmarkEnd w:id="137"/>
      <w:r/>
      <w:bookmarkEnd w:id="138"/>
      <w:r>
        <w:rPr>
          <w:rFonts w:hint="eastAsia" w:ascii="宋体" w:hAnsi="宋体" w:eastAsia="宋体"/>
          <w:bCs w:val="0"/>
          <w:color w:val="000000" w:themeColor="text1"/>
          <w:highlight w:val="none"/>
        </w:rPr>
        <w:t xml:space="preserve">时间</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39" w:name="_Toc513029227"/>
      <w:r/>
      <w:bookmarkStart w:id="140" w:name="_Toc16938543"/>
      <w:r/>
      <w:bookmarkStart w:id="141" w:name="_Toc20823299"/>
      <w:r>
        <w:rPr>
          <w:rFonts w:hint="eastAsia" w:ascii="宋体" w:hAnsi="宋体" w:eastAsia="宋体"/>
          <w:bCs w:val="0"/>
          <w:color w:val="000000" w:themeColor="text1"/>
          <w:highlight w:val="none"/>
        </w:rPr>
        <w:t xml:space="preserve">19.投标文件</w:t>
      </w:r>
      <w:bookmarkEnd w:id="139"/>
      <w:r/>
      <w:bookmarkEnd w:id="140"/>
      <w:r/>
      <w:bookmarkEnd w:id="141"/>
      <w:r>
        <w:rPr>
          <w:rFonts w:hint="eastAsia" w:ascii="宋体" w:hAnsi="宋体" w:eastAsia="宋体"/>
          <w:bCs w:val="0"/>
          <w:color w:val="000000" w:themeColor="text1"/>
          <w:highlight w:val="none"/>
        </w:rPr>
        <w:t xml:space="preserve">的拒收</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42" w:name="_Toc16938544"/>
      <w:r/>
      <w:bookmarkStart w:id="143" w:name="_Toc513029228"/>
      <w:r/>
      <w:bookmarkStart w:id="144" w:name="_Toc20823300"/>
      <w:r>
        <w:rPr>
          <w:rFonts w:hint="eastAsia" w:ascii="宋体" w:hAnsi="宋体" w:eastAsia="宋体"/>
          <w:bCs w:val="0"/>
          <w:color w:val="000000" w:themeColor="text1"/>
          <w:highlight w:val="none"/>
        </w:rPr>
        <w:t xml:space="preserve">20.投标文件的撤回和修改</w:t>
      </w:r>
      <w:bookmarkEnd w:id="142"/>
      <w:r/>
      <w:bookmarkEnd w:id="143"/>
      <w:r/>
      <w:bookmarkEnd w:id="144"/>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54"/>
        <w:ind w:firstLine="452"/>
        <w:keepLines w:val="0"/>
        <w:keepNext w:val="0"/>
        <w:spacing w:before="0" w:after="0" w:line="360" w:lineRule="auto"/>
        <w:rPr>
          <w:rFonts w:hint="eastAsia"/>
          <w:color w:val="000000" w:themeColor="text1"/>
          <w:sz w:val="30"/>
          <w:szCs w:val="30"/>
          <w:highlight w:val="none"/>
        </w:rPr>
      </w:pPr>
      <w:r/>
      <w:bookmarkStart w:id="145" w:name="_Toc20823301"/>
      <w:r/>
      <w:bookmarkStart w:id="146" w:name="_Toc513029229"/>
      <w:r/>
      <w:bookmarkStart w:id="147" w:name="_Toc120614218"/>
      <w:r/>
      <w:bookmarkStart w:id="148" w:name="_Toc16938545"/>
      <w:r>
        <w:rPr>
          <w:rFonts w:hint="eastAsia"/>
          <w:color w:val="000000" w:themeColor="text1"/>
          <w:sz w:val="30"/>
          <w:szCs w:val="30"/>
          <w:highlight w:val="none"/>
        </w:rPr>
        <w:t xml:space="preserve">五、开标与评标</w:t>
      </w:r>
      <w:bookmarkEnd w:id="145"/>
      <w:r/>
      <w:bookmarkEnd w:id="146"/>
      <w:r/>
      <w:bookmarkEnd w:id="147"/>
      <w:r/>
      <w:bookmarkEnd w:id="148"/>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49" w:name="_Toc513029230"/>
      <w:r/>
      <w:bookmarkStart w:id="150" w:name="_Toc16938546"/>
      <w:r/>
      <w:bookmarkStart w:id="151" w:name="_Toc20823302"/>
      <w:r>
        <w:rPr>
          <w:rFonts w:hint="eastAsia" w:ascii="宋体" w:hAnsi="宋体" w:eastAsia="宋体"/>
          <w:bCs w:val="0"/>
          <w:color w:val="000000" w:themeColor="text1"/>
          <w:highlight w:val="none"/>
        </w:rPr>
        <w:t xml:space="preserve">21.开标</w:t>
      </w:r>
      <w:bookmarkEnd w:id="149"/>
      <w:r/>
      <w:bookmarkEnd w:id="150"/>
      <w:r/>
      <w:bookmarkEnd w:id="151"/>
      <w:r/>
      <w:r/>
    </w:p>
    <w:p>
      <w:pPr>
        <w:ind w:firstLine="480"/>
        <w:spacing w:line="360" w:lineRule="auto"/>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52" w:name="_Toc513029231"/>
      <w:r/>
      <w:bookmarkStart w:id="153" w:name="_Toc20823303"/>
      <w:r/>
      <w:bookmarkStart w:id="154" w:name="_Toc16938547"/>
      <w:r>
        <w:rPr>
          <w:rFonts w:hint="eastAsia" w:ascii="宋体" w:hAnsi="宋体" w:eastAsia="宋体"/>
          <w:bCs w:val="0"/>
          <w:color w:val="000000" w:themeColor="text1"/>
          <w:highlight w:val="none"/>
        </w:rPr>
        <w:t xml:space="preserve">22.评标委员会</w:t>
      </w:r>
      <w:r/>
    </w:p>
    <w:p>
      <w:pPr>
        <w:ind w:firstLine="480"/>
        <w:spacing w:line="360" w:lineRule="auto"/>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52"/>
      <w:r/>
      <w:bookmarkEnd w:id="153"/>
      <w:r/>
      <w:bookmarkEnd w:id="154"/>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55" w:name="_Toc513029232"/>
      <w:r/>
      <w:bookmarkStart w:id="156" w:name="_Toc20823304"/>
      <w:r/>
      <w:bookmarkStart w:id="157" w:name="_Toc16938548"/>
      <w:r>
        <w:rPr>
          <w:rFonts w:hint="eastAsia" w:ascii="宋体" w:hAnsi="宋体" w:eastAsia="宋体"/>
          <w:bCs w:val="0"/>
          <w:color w:val="000000" w:themeColor="text1"/>
          <w:highlight w:val="none"/>
        </w:rPr>
        <w:t xml:space="preserve">24.投标文件的澄清</w:t>
      </w:r>
      <w:bookmarkEnd w:id="155"/>
      <w:r/>
      <w:bookmarkEnd w:id="156"/>
      <w:r/>
      <w:bookmarkEnd w:id="157"/>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682"/>
        <w:ind w:firstLine="482"/>
        <w:spacing w:line="360" w:lineRule="auto"/>
        <w:rPr>
          <w:rFonts w:hint="eastAsia" w:ascii="宋体" w:hAnsi="宋体"/>
          <w:b/>
          <w:bCs/>
          <w:color w:val="000000" w:themeColor="text1"/>
          <w:sz w:val="24"/>
          <w:szCs w:val="24"/>
          <w:highlight w:val="none"/>
        </w:rPr>
      </w:pPr>
      <w:r>
        <w:rPr>
          <w:rFonts w:hint="eastAsia" w:ascii="宋体" w:hAnsi="宋体" w:eastAsia="宋体"/>
          <w:b/>
          <w:bCs/>
          <w:sz w:val="24"/>
          <w:szCs w:val="24"/>
          <w:highlight w:val="none"/>
          <w:lang w:eastAsia="zh-CN"/>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58" w:name="_Toc16938549"/>
      <w:r/>
      <w:bookmarkStart w:id="159" w:name="_Toc513029233"/>
      <w:r/>
      <w:bookmarkStart w:id="160" w:name="_Toc20823305"/>
      <w:r>
        <w:rPr>
          <w:rFonts w:hint="eastAsia" w:ascii="宋体" w:hAnsi="宋体" w:eastAsia="宋体"/>
          <w:bCs w:val="0"/>
          <w:color w:val="000000" w:themeColor="text1"/>
          <w:highlight w:val="none"/>
        </w:rPr>
        <w:t xml:space="preserve">25.对投标文件的初审</w:t>
      </w:r>
      <w:bookmarkEnd w:id="158"/>
      <w:r/>
      <w:bookmarkEnd w:id="159"/>
      <w:r/>
      <w:bookmarkEnd w:id="160"/>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360" w:lineRule="auto"/>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themeColor="text1"/>
          <w:sz w:val="24"/>
          <w:highlight w:val="none"/>
        </w:rPr>
      </w:pPr>
      <w:r/>
      <w:bookmarkStart w:id="161" w:name="_Toc20823306"/>
      <w:r/>
      <w:bookmarkStart w:id="162" w:name="_Toc16938550"/>
      <w:r/>
      <w:bookmarkStart w:id="163"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61"/>
      <w:r/>
      <w:bookmarkEnd w:id="162"/>
      <w:r/>
      <w:bookmarkEnd w:id="163"/>
      <w:r>
        <w:rPr>
          <w:rFonts w:hint="eastAsia" w:ascii="宋体" w:hAnsi="宋体" w:eastAsia="宋体"/>
          <w:bCs w:val="0"/>
          <w:color w:val="000000" w:themeColor="text1"/>
          <w:highlight w:val="none"/>
        </w:rPr>
        <w:t xml:space="preserve">.无效投标条款和废标条款</w:t>
      </w:r>
      <w:r/>
    </w:p>
    <w:p>
      <w:pPr>
        <w:ind w:left="479"/>
        <w:spacing w:line="360" w:lineRule="auto"/>
        <w:rPr>
          <w:rFonts w:hint="eastAsia" w:ascii="宋体" w:hAnsi="宋体"/>
          <w:bCs/>
          <w:color w:val="000000" w:themeColor="text1"/>
          <w:sz w:val="24"/>
          <w:highlight w:val="none"/>
        </w:rPr>
      </w:pPr>
      <w:r/>
      <w:bookmarkStart w:id="164" w:name="_Toc20823307"/>
      <w:r/>
      <w:bookmarkStart w:id="165" w:name="_Toc513029235"/>
      <w:r/>
      <w:bookmarkStart w:id="166" w:name="_Toc16938551"/>
      <w:r>
        <w:rPr>
          <w:rFonts w:hint="eastAsia" w:ascii="宋体" w:hAnsi="宋体"/>
          <w:bCs/>
          <w:color w:val="000000" w:themeColor="text1"/>
          <w:sz w:val="24"/>
          <w:highlight w:val="none"/>
        </w:rPr>
        <w:t xml:space="preserve">26.1无效投标条款</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b/>
          <w:bCs/>
          <w:sz w:val="24"/>
          <w:highlight w:val="none"/>
        </w:rPr>
      </w:pPr>
      <w:r>
        <w:rPr>
          <w:rFonts w:hint="eastAsia" w:ascii="宋体" w:hAnsi="宋体"/>
          <w:b/>
          <w:bCs/>
          <w:sz w:val="24"/>
          <w:highlight w:val="none"/>
        </w:rPr>
        <w:t xml:space="preserve">26.4技术标（暗标）中出现该报价供应商单位名称、简称、人员姓名、Logo、商标、电话号码等任何标识标记及其他暗示性标志的；</w:t>
      </w:r>
      <w:r/>
    </w:p>
    <w:p>
      <w:pPr>
        <w:ind w:firstLine="480"/>
        <w:spacing w:line="360" w:lineRule="auto"/>
        <w:rPr>
          <w:rFonts w:ascii="宋体" w:hAnsi="宋体"/>
          <w:b/>
          <w:bCs/>
          <w:sz w:val="24"/>
          <w:highlight w:val="none"/>
        </w:rPr>
      </w:pPr>
      <w:r>
        <w:rPr>
          <w:rFonts w:hint="eastAsia" w:ascii="宋体" w:hAnsi="宋体"/>
          <w:b/>
          <w:bCs/>
          <w:sz w:val="24"/>
          <w:highlight w:val="none"/>
        </w:rPr>
        <w:t xml:space="preserve">26.5商务标（明标）和技术标（暗标），其中某一标被本项目评委确认为无效响应文件的；</w:t>
      </w:r>
      <w:r/>
    </w:p>
    <w:p>
      <w:pPr>
        <w:ind w:firstLine="480"/>
        <w:spacing w:line="360" w:lineRule="auto"/>
        <w:rPr>
          <w:rFonts w:hint="eastAsia" w:ascii="宋体" w:hAnsi="宋体"/>
          <w:bCs/>
          <w:color w:val="000000" w:themeColor="text1"/>
          <w:sz w:val="24"/>
          <w:highlight w:val="none"/>
        </w:rPr>
      </w:pPr>
      <w:r>
        <w:rPr>
          <w:rFonts w:hint="eastAsia" w:ascii="宋体" w:hAnsi="宋体"/>
          <w:b/>
          <w:bCs/>
          <w:sz w:val="24"/>
          <w:highlight w:val="none"/>
        </w:rPr>
        <w:t xml:space="preserve">26.6暗标未按要求编制，编制粗糙、缺漏项、格式混乱、条理不清的；</w:t>
      </w:r>
      <w:r/>
    </w:p>
    <w:p>
      <w:pPr>
        <w:pStyle w:val="854"/>
        <w:ind w:firstLine="452"/>
        <w:keepLines w:val="0"/>
        <w:keepNext w:val="0"/>
        <w:spacing w:before="0" w:after="0" w:line="360" w:lineRule="auto"/>
        <w:rPr>
          <w:rFonts w:hint="eastAsia"/>
          <w:color w:val="000000" w:themeColor="text1"/>
          <w:sz w:val="30"/>
          <w:szCs w:val="30"/>
          <w:highlight w:val="none"/>
        </w:rPr>
      </w:pPr>
      <w:r/>
      <w:bookmarkStart w:id="167" w:name="_Toc120614219"/>
      <w:r>
        <w:rPr>
          <w:rFonts w:hint="eastAsia"/>
          <w:color w:val="000000" w:themeColor="text1"/>
          <w:sz w:val="30"/>
          <w:szCs w:val="30"/>
          <w:highlight w:val="none"/>
        </w:rPr>
        <w:t xml:space="preserve">六、</w:t>
      </w:r>
      <w:bookmarkEnd w:id="164"/>
      <w:r/>
      <w:bookmarkEnd w:id="165"/>
      <w:r/>
      <w:bookmarkEnd w:id="166"/>
      <w:r>
        <w:rPr>
          <w:rFonts w:hint="eastAsia"/>
          <w:color w:val="000000" w:themeColor="text1"/>
          <w:sz w:val="30"/>
          <w:szCs w:val="30"/>
          <w:highlight w:val="none"/>
        </w:rPr>
        <w:t xml:space="preserve">定标</w:t>
      </w:r>
      <w:bookmarkEnd w:id="167"/>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68" w:name="_Toc513029238"/>
      <w:r/>
      <w:bookmarkStart w:id="169" w:name="_Toc16938554"/>
      <w:r/>
      <w:bookmarkStart w:id="170" w:name="_Toc20823310"/>
      <w:r>
        <w:rPr>
          <w:rFonts w:hint="eastAsia" w:ascii="宋体" w:hAnsi="宋体" w:eastAsia="宋体"/>
          <w:bCs w:val="0"/>
          <w:color w:val="000000" w:themeColor="text1"/>
          <w:highlight w:val="none"/>
        </w:rPr>
        <w:t xml:space="preserve">27</w:t>
      </w:r>
      <w:bookmarkEnd w:id="168"/>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9"/>
      <w:r/>
      <w:bookmarkEnd w:id="170"/>
      <w:r>
        <w:rPr>
          <w:rFonts w:hint="eastAsia" w:ascii="宋体" w:hAnsi="宋体" w:eastAsia="宋体"/>
          <w:bCs w:val="0"/>
          <w:color w:val="000000" w:themeColor="text1"/>
          <w:highlight w:val="none"/>
        </w:rPr>
        <w:t xml:space="preserve">中标单位</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360" w:lineRule="auto"/>
        <w:rPr>
          <w:rFonts w:hint="eastAsia" w:ascii="宋体" w:hAnsi="宋体"/>
          <w:color w:val="000000" w:themeColor="text1"/>
          <w:sz w:val="24"/>
          <w:szCs w:val="24"/>
          <w:highlight w:val="none"/>
        </w:rPr>
      </w:pPr>
      <w:r/>
      <w:bookmarkStart w:id="171"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71"/>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54"/>
        <w:ind w:firstLine="452"/>
        <w:keepLines w:val="0"/>
        <w:keepNext w:val="0"/>
        <w:spacing w:before="0" w:after="0" w:line="360" w:lineRule="auto"/>
        <w:rPr>
          <w:rFonts w:hint="eastAsia"/>
          <w:color w:val="000000" w:themeColor="text1"/>
          <w:sz w:val="30"/>
          <w:szCs w:val="30"/>
          <w:highlight w:val="none"/>
        </w:rPr>
      </w:pPr>
      <w:r/>
      <w:bookmarkStart w:id="172" w:name="_Toc16938552"/>
      <w:r/>
      <w:bookmarkStart w:id="173" w:name="_Toc120614220"/>
      <w:r/>
      <w:bookmarkStart w:id="174" w:name="_Toc513029236"/>
      <w:r/>
      <w:bookmarkStart w:id="175" w:name="_Toc20823308"/>
      <w:r>
        <w:rPr>
          <w:rFonts w:hint="eastAsia"/>
          <w:color w:val="000000" w:themeColor="text1"/>
          <w:sz w:val="30"/>
          <w:szCs w:val="30"/>
          <w:highlight w:val="none"/>
        </w:rPr>
        <w:t xml:space="preserve">七、授予合同</w:t>
      </w:r>
      <w:bookmarkEnd w:id="172"/>
      <w:r/>
      <w:bookmarkEnd w:id="173"/>
      <w:r/>
      <w:bookmarkEnd w:id="174"/>
      <w:r/>
      <w:bookmarkEnd w:id="175"/>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bookmarkStart w:id="176" w:name="_Toc513029237"/>
      <w:r/>
      <w:bookmarkStart w:id="177" w:name="_Toc20823309"/>
      <w:r/>
      <w:bookmarkStart w:id="178" w:name="_Toc16938553"/>
      <w:r>
        <w:rPr>
          <w:rFonts w:hint="eastAsia" w:ascii="宋体" w:hAnsi="宋体" w:eastAsia="宋体"/>
          <w:bCs w:val="0"/>
          <w:color w:val="000000" w:themeColor="text1"/>
          <w:highlight w:val="none"/>
        </w:rPr>
        <w:t xml:space="preserve">30.签订合同</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5"/>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6"/>
      <w:r/>
      <w:bookmarkEnd w:id="177"/>
      <w:r/>
      <w:bookmarkEnd w:id="178"/>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sz w:val="24"/>
          <w:shd w:val="clear" w:color="ffffff" w:fill="d9d9d9"/>
        </w:rPr>
        <w:br w:type="page" w:clear="all"/>
      </w:r>
      <w:bookmarkEnd w:id="100"/>
      <w:r/>
      <w:bookmarkEnd w:id="101"/>
      <w:r/>
      <w:bookmarkEnd w:id="102"/>
      <w:r/>
      <w:bookmarkEnd w:id="103"/>
      <w:r/>
      <w:bookmarkEnd w:id="104"/>
      <w:r/>
      <w:bookmarkStart w:id="179" w:name="_Toc20823315"/>
      <w:r/>
      <w:bookmarkStart w:id="180" w:name="_Toc16938559"/>
      <w:r/>
      <w:bookmarkStart w:id="181" w:name="_Toc513029243"/>
      <w:r>
        <w:rPr>
          <w:rFonts w:hint="eastAsia" w:ascii="黑体" w:hAnsi="黑体" w:eastAsia="黑体"/>
          <w:color w:val="000000" w:themeColor="text1"/>
          <w:sz w:val="36"/>
          <w:szCs w:val="36"/>
          <w:highlight w:val="none"/>
        </w:rPr>
        <w:t xml:space="preserve">第三章  合同文本</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以下为中标后签订本项目合同的通用条款，中标人不得提出实质性的修改。</w:t>
      </w:r>
      <w:r/>
    </w:p>
    <w:p>
      <w:pPr>
        <w:ind w:firstLine="602"/>
        <w:jc w:val="center"/>
        <w:spacing w:line="360" w:lineRule="auto"/>
        <w:rPr>
          <w:rFonts w:ascii="宋体" w:hAnsi="宋体"/>
          <w:b/>
          <w:bCs/>
          <w:color w:val="000000" w:themeColor="text1"/>
          <w:sz w:val="30"/>
          <w:szCs w:val="20"/>
          <w:highlight w:val="none"/>
        </w:rPr>
      </w:pPr>
      <w:r>
        <w:rPr>
          <w:rFonts w:hint="eastAsia" w:ascii="宋体" w:hAnsi="宋体"/>
          <w:b/>
          <w:color w:val="000000" w:themeColor="text1"/>
          <w:sz w:val="30"/>
          <w:highlight w:val="none"/>
        </w:rPr>
        <w:t xml:space="preserve">江苏省政府采购合同（货物）（合同编号）</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项目名称：                                       项目编号：</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甲方：（买方、需方、采购人）_________</w:t>
      </w:r>
      <w:r/>
    </w:p>
    <w:p>
      <w:pPr>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乙方：（卖方、供方、供应商）_________</w:t>
      </w:r>
      <w:r/>
    </w:p>
    <w:p>
      <w:pPr>
        <w:ind w:firstLine="480"/>
        <w:spacing w:line="360" w:lineRule="auto"/>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lang w:eastAsia="zh-CN"/>
        </w:rPr>
        <w:t xml:space="preserve">无锡市滨湖区公共资源交易中心</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项目公开招标的结果，签署本合同。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一、</w:t>
      </w:r>
      <w:r>
        <w:rPr>
          <w:rFonts w:hint="eastAsia" w:ascii="宋体" w:hAnsi="宋体" w:cs="Courier New"/>
          <w:b/>
          <w:color w:val="000000" w:themeColor="text1"/>
          <w:sz w:val="24"/>
          <w:szCs w:val="24"/>
          <w:highlight w:val="none"/>
        </w:rPr>
        <w:t xml:space="preserve">合同</w:t>
      </w:r>
      <w:r>
        <w:rPr>
          <w:rFonts w:ascii="宋体" w:hAnsi="宋体" w:cs="Courier New"/>
          <w:b/>
          <w:color w:val="000000" w:themeColor="text1"/>
          <w:sz w:val="24"/>
          <w:szCs w:val="24"/>
          <w:highlight w:val="none"/>
        </w:rPr>
        <w:t xml:space="preserve">内容</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1.1 </w:t>
      </w:r>
      <w:r>
        <w:rPr>
          <w:rFonts w:hint="eastAsia" w:ascii="宋体" w:hAnsi="宋体" w:cs="Courier New"/>
          <w:color w:val="000000" w:themeColor="text1"/>
          <w:sz w:val="24"/>
          <w:szCs w:val="24"/>
          <w:highlight w:val="none"/>
        </w:rPr>
        <w:t xml:space="preserve">标的</w:t>
      </w:r>
      <w:r>
        <w:rPr>
          <w:rFonts w:ascii="宋体" w:hAnsi="宋体" w:cs="Courier New"/>
          <w:color w:val="000000" w:themeColor="text1"/>
          <w:sz w:val="24"/>
          <w:szCs w:val="24"/>
          <w:highlight w:val="none"/>
        </w:rPr>
        <w:t xml:space="preserve">名称：</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 标的质量：</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 标的数量（规模）：</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 履行时间（期限）：</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 履行地点：</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1.7 包装方式：</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二、合同金额</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2.1</w:t>
      </w:r>
      <w:r>
        <w:rPr>
          <w:rFonts w:hAnsi="宋体"/>
          <w:color w:val="000000" w:themeColor="text1"/>
          <w:sz w:val="24"/>
          <w:szCs w:val="24"/>
          <w:highlight w:val="none"/>
        </w:rPr>
        <w:t xml:space="preserve">本合同金额为（大写）： _____________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三、技术资料</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3.1乙方应按招标文件规定的时间向甲方提供使用货物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的有关技术资料。</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四、知识产权</w:t>
      </w:r>
      <w:r/>
    </w:p>
    <w:p>
      <w:pPr>
        <w:ind w:firstLine="480"/>
        <w:spacing w:line="360" w:lineRule="auto"/>
        <w:rPr>
          <w:rFonts w:hint="eastAsia" w:ascii="宋体" w:hAnsi="宋体"/>
          <w:color w:val="000000" w:themeColor="text1"/>
          <w:sz w:val="24"/>
          <w:highlight w:val="none"/>
        </w:rPr>
      </w:pPr>
      <w:r>
        <w:rPr>
          <w:rFonts w:hAnsi="宋体"/>
          <w:color w:val="000000" w:themeColor="text1"/>
          <w:sz w:val="24"/>
          <w:szCs w:val="24"/>
          <w:highlight w:val="none"/>
        </w:rPr>
        <w:t xml:space="preserve">4.1乙</w:t>
      </w:r>
      <w:r>
        <w:rPr>
          <w:rFonts w:hint="eastAsia" w:ascii="宋体" w:hAnsi="宋体"/>
          <w:color w:val="000000" w:themeColor="text1"/>
          <w:sz w:val="24"/>
          <w:highlight w:val="none"/>
        </w:rPr>
        <w:t xml:space="preserve">方应保证甲方在使用、接受本合同货物</w:t>
      </w:r>
      <w:r>
        <w:rPr>
          <w:rFonts w:hint="eastAsia" w:hAnsi="宋体"/>
          <w:color w:val="000000" w:themeColor="text1"/>
          <w:sz w:val="24"/>
          <w:szCs w:val="24"/>
          <w:highlight w:val="none"/>
        </w:rPr>
        <w:t xml:space="preserve">（包含与货物相关的服务）</w:t>
      </w:r>
      <w:r>
        <w:rPr>
          <w:rFonts w:hint="eastAsia" w:ascii="宋体" w:hAnsi="宋体"/>
          <w:color w:val="000000" w:themeColor="text1"/>
          <w:sz w:val="24"/>
          <w:highlight w:val="none"/>
        </w:rPr>
        <w:t xml:space="preserve">或其任何一部分时不受第三方提出侵犯其专利权、版权、商标权和工业设计权等知识产权的起诉。一旦出现侵权，由乙方负全部责任。</w:t>
      </w:r>
      <w:r/>
    </w:p>
    <w:p>
      <w:pPr>
        <w:spacing w:line="360" w:lineRule="auto"/>
        <w:rPr>
          <w:rFonts w:hint="eastAsia" w:ascii="宋体" w:hAnsi="宋体" w:cs="Courier New"/>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360" w:lineRule="auto"/>
        <w:rPr>
          <w:rFonts w:ascii="宋体" w:hAnsi="宋体" w:cs="Courier New"/>
          <w:color w:val="000000" w:themeColor="text1"/>
          <w:sz w:val="24"/>
          <w:szCs w:val="24"/>
          <w:highlight w:val="none"/>
          <w:u w:val="single"/>
        </w:rPr>
      </w:pPr>
      <w:r>
        <w:rPr>
          <w:rFonts w:ascii="宋体" w:hAnsi="宋体" w:cs="Courier New"/>
          <w:b/>
          <w:color w:val="000000" w:themeColor="text1"/>
          <w:sz w:val="24"/>
          <w:szCs w:val="24"/>
          <w:highlight w:val="none"/>
        </w:rPr>
        <w:t xml:space="preserve">五、产权担保</w:t>
      </w:r>
      <w:r/>
    </w:p>
    <w:p>
      <w:pPr>
        <w:ind w:firstLine="480"/>
        <w:spacing w:line="360" w:lineRule="auto"/>
        <w:rPr>
          <w:rFonts w:ascii="宋体" w:hAnsi="宋体" w:cs="Courier New"/>
          <w:color w:val="000000" w:themeColor="text1"/>
          <w:sz w:val="24"/>
          <w:szCs w:val="24"/>
          <w:highlight w:val="none"/>
          <w:u w:val="single"/>
        </w:rPr>
      </w:pPr>
      <w:r>
        <w:rPr>
          <w:rFonts w:ascii="宋体" w:hAnsi="宋体" w:cs="Courier New"/>
          <w:color w:val="000000" w:themeColor="text1"/>
          <w:sz w:val="24"/>
          <w:szCs w:val="24"/>
          <w:highlight w:val="none"/>
        </w:rPr>
        <w:t xml:space="preserve">5.1 乙方保证所交付的货物</w:t>
      </w:r>
      <w:r>
        <w:rPr>
          <w:rFonts w:hint="eastAsia" w:ascii="宋体" w:hAnsi="宋体" w:cs="Courier New"/>
          <w:color w:val="000000" w:themeColor="text1"/>
          <w:sz w:val="24"/>
          <w:szCs w:val="24"/>
          <w:highlight w:val="none"/>
        </w:rPr>
        <w:t xml:space="preserve">（包含与货物相关的服务）</w:t>
      </w:r>
      <w:r>
        <w:rPr>
          <w:rFonts w:ascii="宋体" w:hAnsi="宋体" w:cs="Courier New"/>
          <w:color w:val="000000" w:themeColor="text1"/>
          <w:sz w:val="24"/>
          <w:szCs w:val="24"/>
          <w:highlight w:val="none"/>
        </w:rPr>
        <w:t xml:space="preserve">的所有权完全属于乙方且无任何抵押、查封等产权瑕疵。</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六、履约保证金</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6.1 乙方交纳人民币__元作为本合同的履约保证金。</w:t>
      </w:r>
      <w:r>
        <w:rPr>
          <w:rFonts w:hint="eastAsia" w:ascii="宋体" w:hAnsi="宋体" w:cs="Courier New"/>
          <w:color w:val="000000" w:themeColor="text1"/>
          <w:sz w:val="24"/>
          <w:szCs w:val="24"/>
          <w:highlight w:val="none"/>
        </w:rPr>
        <w:t xml:space="preserve">（不得超过合同金额的10%）</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6.2合同履行结束后，甲方应及时退还交纳的履约保证金。</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6.2.1履约保证金退还方式：</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6.2.2履约保证金退还时间：</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6.2.3履约保证金退还条件：</w:t>
      </w:r>
      <w:r/>
    </w:p>
    <w:p>
      <w:pPr>
        <w:ind w:firstLine="480"/>
        <w:spacing w:line="360"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6.2.4履约保证金不予退还的情形：</w:t>
      </w:r>
      <w:r/>
    </w:p>
    <w:p>
      <w:pPr>
        <w:ind w:firstLine="482"/>
        <w:spacing w:line="360" w:lineRule="auto"/>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60" w:lineRule="auto"/>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乙方如有转包或未经甲方同意的分包行为，甲方有权给予终止合同。</w:t>
      </w:r>
      <w:r/>
    </w:p>
    <w:p>
      <w:pPr>
        <w:ind w:firstLine="482"/>
        <w:spacing w:line="360" w:lineRule="auto"/>
        <w:rPr>
          <w:rFonts w:ascii="宋体" w:hAnsi="宋体" w:cs="Courier New"/>
          <w:b/>
          <w:color w:val="000000" w:themeColor="text1"/>
          <w:sz w:val="24"/>
          <w:szCs w:val="24"/>
          <w:highlight w:val="none"/>
        </w:rPr>
      </w:pPr>
      <w:r>
        <w:rPr>
          <w:rFonts w:hint="eastAsia" w:ascii="宋体" w:hAnsi="宋体" w:cs="Courier New"/>
          <w:b/>
          <w:color w:val="000000" w:themeColor="text1"/>
          <w:sz w:val="24"/>
          <w:szCs w:val="24"/>
          <w:highlight w:val="none"/>
        </w:rPr>
        <w:t xml:space="preserve">八</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合同款项</w:t>
      </w:r>
      <w:r>
        <w:rPr>
          <w:rFonts w:ascii="宋体" w:hAnsi="宋体" w:cs="Courier New"/>
          <w:b/>
          <w:color w:val="000000" w:themeColor="text1"/>
          <w:sz w:val="24"/>
          <w:szCs w:val="24"/>
          <w:highlight w:val="none"/>
        </w:rPr>
        <w:t xml:space="preserve">支付</w:t>
      </w:r>
      <w:r/>
    </w:p>
    <w:p>
      <w:pPr>
        <w:ind w:firstLine="480"/>
        <w:spacing w:line="360" w:lineRule="auto"/>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.1</w:t>
      </w:r>
      <w:r>
        <w:rPr>
          <w:rFonts w:hint="eastAsia" w:ascii="宋体" w:hAnsi="宋体" w:cs="Courier New"/>
          <w:bCs/>
          <w:color w:val="000000" w:themeColor="text1"/>
          <w:sz w:val="24"/>
          <w:szCs w:val="24"/>
          <w:highlight w:val="none"/>
        </w:rPr>
        <w:t xml:space="preserve">合同款项的支付方式及进度安排</w:t>
      </w:r>
      <w:r/>
    </w:p>
    <w:p>
      <w:pPr>
        <w:ind w:firstLine="480"/>
        <w:spacing w:line="360" w:lineRule="auto"/>
        <w:rPr>
          <w:rFonts w:hint="eastAsia"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8.1.1预付款支付时间：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，预付款支付比例：</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bCs/>
          <w:color w:val="000000" w:themeColor="text1"/>
          <w:sz w:val="24"/>
          <w:szCs w:val="24"/>
          <w:highlight w:val="none"/>
        </w:rPr>
        <w:t xml:space="preserve">8.1.2尾款支付时间：</w:t>
      </w:r>
      <w:r>
        <w:rPr>
          <w:rFonts w:hint="eastAsia" w:ascii="宋体" w:hAnsi="宋体" w:cs="Courier New"/>
          <w:bCs/>
          <w:color w:val="000000" w:themeColor="text1"/>
          <w:sz w:val="24"/>
          <w:szCs w:val="24"/>
          <w:highlight w:val="none"/>
          <w:u w:val="single"/>
        </w:rPr>
        <w:t xml:space="preserve">                 </w:t>
      </w:r>
      <w:r>
        <w:rPr>
          <w:rFonts w:hint="eastAsia" w:ascii="宋体" w:hAnsi="宋体" w:cs="Courier New"/>
          <w:bCs/>
          <w:color w:val="000000" w:themeColor="text1"/>
          <w:sz w:val="24"/>
          <w:szCs w:val="24"/>
          <w:highlight w:val="none"/>
        </w:rPr>
        <w:t xml:space="preserve">。</w:t>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360" w:lineRule="auto"/>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360" w:lineRule="auto"/>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360" w:lineRule="auto"/>
        <w:rPr>
          <w:rFonts w:ascii="宋体" w:hAnsi="宋体" w:cs="Courier New"/>
          <w:bCs/>
          <w:color w:val="000000" w:themeColor="text1"/>
          <w:sz w:val="24"/>
          <w:szCs w:val="24"/>
          <w:highlight w:val="none"/>
        </w:rPr>
      </w:pPr>
      <w:r>
        <w:rPr>
          <w:rFonts w:hint="eastAsia" w:ascii="宋体" w:hAnsi="宋体" w:cs="Courier New"/>
          <w:bCs/>
          <w:color w:val="000000" w:themeColor="text1"/>
          <w:sz w:val="24"/>
          <w:szCs w:val="24"/>
          <w:highlight w:val="none"/>
        </w:rPr>
        <w:t xml:space="preserve">8</w:t>
      </w:r>
      <w:r>
        <w:rPr>
          <w:rFonts w:ascii="宋体" w:hAnsi="宋体" w:cs="Courier New"/>
          <w:bCs/>
          <w:color w:val="000000" w:themeColor="text1"/>
          <w:sz w:val="24"/>
          <w:szCs w:val="24"/>
          <w:highlight w:val="none"/>
        </w:rPr>
        <w:t xml:space="preserve">.2</w:t>
      </w:r>
      <w:r>
        <w:rPr>
          <w:rFonts w:ascii="宋体" w:hAnsi="宋体" w:cs="Courier New"/>
          <w:color w:val="000000" w:themeColor="text1"/>
          <w:sz w:val="24"/>
          <w:szCs w:val="24"/>
          <w:highlight w:val="none"/>
        </w:rPr>
        <w:t xml:space="preserve">当采购数量与实际使用数量不一致时，</w:t>
      </w:r>
      <w:r>
        <w:rPr>
          <w:rFonts w:hint="eastAsia" w:ascii="宋体" w:hAnsi="宋体" w:cs="Courier New"/>
          <w:color w:val="000000" w:themeColor="text1"/>
          <w:sz w:val="24"/>
          <w:szCs w:val="24"/>
          <w:highlight w:val="none"/>
        </w:rPr>
        <w:t xml:space="preserve">乙方</w:t>
      </w:r>
      <w:r>
        <w:rPr>
          <w:rFonts w:ascii="宋体" w:hAnsi="宋体" w:cs="Courier New"/>
          <w:color w:val="000000" w:themeColor="text1"/>
          <w:sz w:val="24"/>
          <w:szCs w:val="24"/>
          <w:highlight w:val="none"/>
        </w:rPr>
        <w:t xml:space="preserve">应根据实际使用量供货，合同的最终结算金额按实际使用量乘以成交单价进行计算。</w:t>
      </w:r>
      <w:r/>
    </w:p>
    <w:p>
      <w:pPr>
        <w:ind w:firstLine="482"/>
        <w:spacing w:line="360" w:lineRule="auto"/>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p>
    <w:p>
      <w:pPr>
        <w:ind w:firstLine="480"/>
        <w:spacing w:line="360" w:lineRule="auto"/>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p>
    <w:p>
      <w:pPr>
        <w:ind w:firstLine="482"/>
        <w:spacing w:line="360" w:lineRule="auto"/>
        <w:rPr>
          <w:rFonts w:ascii="宋体" w:hAnsi="宋体" w:cs="Courier New"/>
          <w:color w:val="000000" w:themeColor="text1"/>
          <w:sz w:val="24"/>
          <w:szCs w:val="24"/>
          <w:highlight w:val="none"/>
        </w:rPr>
      </w:pPr>
      <w:r>
        <w:rPr>
          <w:rFonts w:ascii="宋体" w:hAnsi="宋体" w:cs="Courier New"/>
          <w:b/>
          <w:color w:val="000000" w:themeColor="text1"/>
          <w:sz w:val="24"/>
          <w:szCs w:val="24"/>
          <w:highlight w:val="none"/>
        </w:rPr>
        <w:t xml:space="preserve">十、质量</w:t>
      </w:r>
      <w:r>
        <w:rPr>
          <w:rFonts w:hint="eastAsia" w:ascii="宋体" w:hAnsi="宋体" w:cs="Courier New"/>
          <w:b/>
          <w:color w:val="000000" w:themeColor="text1"/>
          <w:sz w:val="24"/>
          <w:szCs w:val="24"/>
          <w:highlight w:val="none"/>
        </w:rPr>
        <w:t xml:space="preserve">保修范围和保修期</w:t>
      </w:r>
      <w:r>
        <w:rPr>
          <w:rFonts w:ascii="宋体" w:hAnsi="宋体" w:cs="Courier New"/>
          <w:b/>
          <w:color w:val="000000" w:themeColor="text1"/>
          <w:sz w:val="24"/>
          <w:szCs w:val="24"/>
          <w:highlight w:val="none"/>
        </w:rPr>
        <w:t xml:space="preserve">及售后服务</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.1 乙方应按招标文件规定的货物性能、技术要求、质量标准向甲方提供未经使用的全新产品。</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⑴更换：由乙方承担所发生的全部费用。</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⑵贬值处理：由甲乙双方合议定价。</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⑶退货处理：乙方应退还甲方支付的合同款，同时应承担该货物的直接费用（运输、保险、检验、货款利息及银行手续费等）。</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.3 如在使用过程中发生质量问题，乙方在接到甲方通知后在_________小时内到达甲方现场。</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.4 在质保期内，乙方应对货物出现的质量及安全问题负责处理解决并承担一切费用。</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0</w:t>
      </w:r>
      <w:r>
        <w:rPr>
          <w:rFonts w:ascii="宋体" w:hAnsi="宋体" w:cs="Courier New"/>
          <w:color w:val="000000" w:themeColor="text1"/>
          <w:sz w:val="24"/>
          <w:szCs w:val="24"/>
          <w:highlight w:val="none"/>
        </w:rPr>
        <w:t xml:space="preserve">.5上述货物免费保修期为</w:t>
      </w:r>
      <w:r>
        <w:rPr>
          <w:rFonts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rPr>
        <w:t xml:space="preserve">身</w:t>
      </w:r>
      <w:r>
        <w:rPr>
          <w:rFonts w:ascii="宋体" w:hAnsi="宋体" w:cs="Courier New"/>
          <w:color w:val="000000" w:themeColor="text1"/>
          <w:sz w:val="24"/>
          <w:szCs w:val="24"/>
          <w:highlight w:val="none"/>
        </w:rPr>
        <w:t xml:space="preserve">维修，维修时只收部件成本费。</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一</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项目</w:t>
      </w:r>
      <w:r>
        <w:rPr>
          <w:rFonts w:ascii="宋体" w:hAnsi="宋体" w:cs="Courier New"/>
          <w:b/>
          <w:color w:val="000000" w:themeColor="text1"/>
          <w:sz w:val="24"/>
          <w:szCs w:val="24"/>
          <w:highlight w:val="none"/>
        </w:rPr>
        <w:t xml:space="preserve">验收</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如有必要，甲方邀请参加本项目的其他供应商或第三方专业机构及专家参与验收，相关意见将作为验收书的参考资料。</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二</w:t>
      </w:r>
      <w:r>
        <w:rPr>
          <w:rFonts w:ascii="宋体" w:hAnsi="宋体" w:cs="Courier New"/>
          <w:b/>
          <w:color w:val="000000" w:themeColor="text1"/>
          <w:sz w:val="24"/>
          <w:szCs w:val="24"/>
          <w:highlight w:val="none"/>
        </w:rPr>
        <w:t xml:space="preserve">、货物</w:t>
      </w:r>
      <w:r>
        <w:rPr>
          <w:rFonts w:hint="eastAsia" w:ascii="宋体" w:hAnsi="宋体" w:cs="Courier New"/>
          <w:b/>
          <w:color w:val="000000" w:themeColor="text1"/>
          <w:sz w:val="24"/>
          <w:szCs w:val="24"/>
          <w:highlight w:val="none"/>
        </w:rPr>
        <w:t xml:space="preserve">的</w:t>
      </w:r>
      <w:r>
        <w:rPr>
          <w:rFonts w:ascii="宋体" w:hAnsi="宋体" w:cs="Courier New"/>
          <w:b/>
          <w:color w:val="000000" w:themeColor="text1"/>
          <w:sz w:val="24"/>
          <w:szCs w:val="24"/>
          <w:highlight w:val="none"/>
        </w:rPr>
        <w:t xml:space="preserve">包装、发运及运输</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rPr>
        <w:t xml:space="preserve">乙方对货物的包装应符合《商品包装政府采购需求标准（试行）》和《快递包装政府采购需求标准（试行）》的规定。</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.2 使用说明书、质量检验证明书、随配附件和工具以及清单一并附于货物内。</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.3 乙方在货物发运手续办理完毕后24小时内或货到甲方48小时前通知甲方，以准备接货。</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.4 货物在交付甲方前发生的风险均由乙方负责。</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2</w:t>
      </w:r>
      <w:r>
        <w:rPr>
          <w:rFonts w:ascii="宋体" w:hAnsi="宋体" w:cs="Courier New"/>
          <w:color w:val="000000" w:themeColor="text1"/>
          <w:sz w:val="24"/>
          <w:szCs w:val="24"/>
          <w:highlight w:val="none"/>
        </w:rPr>
        <w:t xml:space="preserve">.5 货物在规定的交付期限内由乙方送达甲方指定的地点视为交付，乙方同时需通知甲方货物已送达。</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三</w:t>
      </w:r>
      <w:r>
        <w:rPr>
          <w:rFonts w:ascii="宋体" w:hAnsi="宋体" w:cs="Courier New"/>
          <w:b/>
          <w:color w:val="000000" w:themeColor="text1"/>
          <w:sz w:val="24"/>
          <w:szCs w:val="24"/>
          <w:highlight w:val="none"/>
        </w:rPr>
        <w:t xml:space="preserve">、违约责任</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.1 甲方无正当理由拒收货物的，甲方向乙方偿付拒收货款总值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.2 甲方无故逾期验收和办理货款支付手续的</w:t>
      </w:r>
      <w:r>
        <w:rPr>
          <w:rFonts w:hint="eastAsia" w:ascii="宋体" w:hAnsi="宋体" w:cs="Courier New"/>
          <w:color w:val="000000" w:themeColor="text1"/>
          <w:sz w:val="24"/>
          <w:szCs w:val="24"/>
          <w:highlight w:val="none"/>
        </w:rPr>
        <w:t xml:space="preserve">，</w:t>
      </w:r>
      <w:r>
        <w:rPr>
          <w:rFonts w:ascii="宋体" w:hAnsi="宋体" w:cs="Courier New"/>
          <w:color w:val="000000" w:themeColor="text1"/>
          <w:sz w:val="24"/>
          <w:szCs w:val="24"/>
          <w:highlight w:val="none"/>
        </w:rPr>
        <w:t xml:space="preserve">甲方应按逾期付款总额每日</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向乙方支付违约金。</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rPr>
        <w:t xml:space="preserve">    </w:t>
      </w:r>
      <w:r>
        <w:rPr>
          <w:rFonts w:ascii="宋体" w:hAnsi="宋体" w:cs="Courier New"/>
          <w:color w:val="000000" w:themeColor="text1"/>
          <w:sz w:val="24"/>
          <w:szCs w:val="24"/>
          <w:highlight w:val="none"/>
        </w:rPr>
        <w:t xml:space="preserve">的违约金，如造成甲方损失超过违约金的，超出部分由乙方继续承担赔偿责任。 </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四</w:t>
      </w:r>
      <w:r>
        <w:rPr>
          <w:rFonts w:ascii="宋体" w:hAnsi="宋体" w:cs="Courier New"/>
          <w:b/>
          <w:color w:val="000000" w:themeColor="text1"/>
          <w:sz w:val="24"/>
          <w:szCs w:val="24"/>
          <w:highlight w:val="none"/>
        </w:rPr>
        <w:t xml:space="preserve">、不可抗力事件处理</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.1 在合同有效期内，任何一方因不可抗力事件导致不能履行合同，则合同履行期可延长，其延长期与不可抗力影响期相同。</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.2 不可抗力事件发生后，应立即通知对方，并寄送有关权威机构出具的证明。</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w:t>
      </w:r>
      <w:r>
        <w:rPr>
          <w:rFonts w:ascii="宋体" w:hAnsi="宋体" w:cs="Courier New"/>
          <w:color w:val="000000" w:themeColor="text1"/>
          <w:sz w:val="24"/>
          <w:szCs w:val="24"/>
          <w:highlight w:val="none"/>
        </w:rPr>
        <w:t xml:space="preserve">.3 不可抗力事件延续120天以上，双方应通过友好协商，确定是否继续履行合同。</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五</w:t>
      </w:r>
      <w:r>
        <w:rPr>
          <w:rFonts w:ascii="宋体" w:hAnsi="宋体" w:cs="Courier New"/>
          <w:b/>
          <w:color w:val="000000" w:themeColor="text1"/>
          <w:sz w:val="24"/>
          <w:szCs w:val="24"/>
          <w:highlight w:val="none"/>
        </w:rPr>
        <w:t xml:space="preserve">、</w:t>
      </w:r>
      <w:r>
        <w:rPr>
          <w:rFonts w:hint="eastAsia" w:ascii="宋体" w:hAnsi="宋体" w:cs="Courier New"/>
          <w:b/>
          <w:color w:val="000000" w:themeColor="text1"/>
          <w:sz w:val="24"/>
          <w:szCs w:val="24"/>
          <w:highlight w:val="none"/>
        </w:rPr>
        <w:t xml:space="preserve">解决争议的方法</w:t>
      </w:r>
      <w:r/>
    </w:p>
    <w:p>
      <w:pPr>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w:t>
      </w: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甲乙</w:t>
      </w:r>
      <w:r>
        <w:rPr>
          <w:rFonts w:ascii="宋体" w:hAnsi="宋体" w:cs="Courier New"/>
          <w:color w:val="000000" w:themeColor="text1"/>
          <w:sz w:val="24"/>
          <w:szCs w:val="24"/>
          <w:highlight w:val="none"/>
        </w:rPr>
        <w:t xml:space="preserve">双方</w:t>
      </w:r>
      <w:r>
        <w:rPr>
          <w:rFonts w:hint="eastAsia" w:ascii="宋体" w:hAnsi="宋体" w:cs="Courier New"/>
          <w:color w:val="000000" w:themeColor="text1"/>
          <w:sz w:val="24"/>
          <w:szCs w:val="24"/>
          <w:highlight w:val="none"/>
        </w:rPr>
        <w:t xml:space="preserve">因</w:t>
      </w:r>
      <w:r>
        <w:rPr>
          <w:rFonts w:ascii="宋体" w:hAnsi="宋体" w:cs="Courier New"/>
          <w:color w:val="000000" w:themeColor="text1"/>
          <w:sz w:val="24"/>
          <w:szCs w:val="24"/>
          <w:highlight w:val="none"/>
        </w:rPr>
        <w:t xml:space="preserve">合同</w:t>
      </w:r>
      <w:r>
        <w:rPr>
          <w:rFonts w:hint="eastAsia" w:ascii="宋体" w:hAnsi="宋体" w:cs="Courier New"/>
          <w:color w:val="000000" w:themeColor="text1"/>
          <w:sz w:val="24"/>
          <w:szCs w:val="24"/>
          <w:highlight w:val="none"/>
        </w:rPr>
        <w:t xml:space="preserve">签订、履行而</w:t>
      </w:r>
      <w:r>
        <w:rPr>
          <w:rFonts w:ascii="宋体" w:hAnsi="宋体" w:cs="Courier New"/>
          <w:color w:val="000000" w:themeColor="text1"/>
          <w:sz w:val="24"/>
          <w:szCs w:val="24"/>
          <w:highlight w:val="none"/>
        </w:rPr>
        <w:t xml:space="preserve">发生的一切争议，应通过</w:t>
      </w:r>
      <w:r>
        <w:rPr>
          <w:rFonts w:hint="eastAsia" w:ascii="宋体" w:hAnsi="宋体" w:cs="Courier New"/>
          <w:color w:val="000000" w:themeColor="text1"/>
          <w:sz w:val="24"/>
          <w:szCs w:val="24"/>
          <w:highlight w:val="none"/>
        </w:rPr>
        <w:t xml:space="preserve">友好</w:t>
      </w:r>
      <w:r>
        <w:rPr>
          <w:rFonts w:ascii="宋体" w:hAnsi="宋体" w:cs="Courier New"/>
          <w:color w:val="000000" w:themeColor="text1"/>
          <w:sz w:val="24"/>
          <w:szCs w:val="24"/>
          <w:highlight w:val="none"/>
        </w:rPr>
        <w:t xml:space="preserve">协商解决。如协商不成</w:t>
      </w:r>
      <w:r>
        <w:rPr>
          <w:rFonts w:hint="eastAsia" w:ascii="宋体" w:hAnsi="宋体" w:cs="Courier New"/>
          <w:color w:val="000000" w:themeColor="text1"/>
          <w:sz w:val="24"/>
          <w:szCs w:val="24"/>
          <w:highlight w:val="none"/>
        </w:rPr>
        <w:t xml:space="preserve">由甲方住所地人民</w:t>
      </w:r>
      <w:r>
        <w:rPr>
          <w:rFonts w:ascii="宋体" w:hAnsi="宋体" w:cs="Courier New"/>
          <w:color w:val="000000" w:themeColor="text1"/>
          <w:sz w:val="24"/>
          <w:szCs w:val="24"/>
          <w:highlight w:val="none"/>
        </w:rPr>
        <w:t xml:space="preserve">法院</w:t>
      </w:r>
      <w:r>
        <w:rPr>
          <w:rFonts w:hint="eastAsia" w:ascii="宋体" w:hAnsi="宋体" w:cs="Courier New"/>
          <w:color w:val="000000" w:themeColor="text1"/>
          <w:sz w:val="24"/>
          <w:szCs w:val="24"/>
          <w:highlight w:val="none"/>
        </w:rPr>
        <w:t xml:space="preserve">管辖。</w:t>
      </w:r>
      <w:r/>
    </w:p>
    <w:p>
      <w:pPr>
        <w:ind w:firstLine="482"/>
        <w:spacing w:line="360" w:lineRule="auto"/>
        <w:rPr>
          <w:rFonts w:ascii="宋体" w:hAnsi="宋体" w:cs="Courier New"/>
          <w:b/>
          <w:color w:val="000000" w:themeColor="text1"/>
          <w:sz w:val="24"/>
          <w:szCs w:val="24"/>
          <w:highlight w:val="none"/>
        </w:rPr>
      </w:pPr>
      <w:r>
        <w:rPr>
          <w:rFonts w:ascii="宋体" w:hAnsi="宋体" w:cs="Courier New"/>
          <w:b/>
          <w:color w:val="000000" w:themeColor="text1"/>
          <w:sz w:val="24"/>
          <w:szCs w:val="24"/>
          <w:highlight w:val="none"/>
        </w:rPr>
        <w:t xml:space="preserve">十</w:t>
      </w:r>
      <w:r>
        <w:rPr>
          <w:rFonts w:hint="eastAsia" w:ascii="宋体" w:hAnsi="宋体" w:cs="Courier New"/>
          <w:b/>
          <w:color w:val="000000" w:themeColor="text1"/>
          <w:sz w:val="24"/>
          <w:szCs w:val="24"/>
          <w:highlight w:val="none"/>
        </w:rPr>
        <w:t xml:space="preserve">六</w:t>
      </w:r>
      <w:r>
        <w:rPr>
          <w:rFonts w:ascii="宋体" w:hAnsi="宋体" w:cs="Courier New"/>
          <w:b/>
          <w:color w:val="000000" w:themeColor="text1"/>
          <w:sz w:val="24"/>
          <w:szCs w:val="24"/>
          <w:highlight w:val="none"/>
        </w:rPr>
        <w:t xml:space="preserve">、合同生效及其他</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.1 合同经双方法定代表人或授权委托代</w:t>
      </w:r>
      <w:r>
        <w:rPr>
          <w:rFonts w:hint="eastAsia" w:ascii="宋体" w:hAnsi="宋体" w:cs="Courier New"/>
          <w:color w:val="000000" w:themeColor="text1"/>
          <w:sz w:val="24"/>
          <w:szCs w:val="24"/>
          <w:highlight w:val="none"/>
        </w:rPr>
        <w:t xml:space="preserve">表</w:t>
      </w:r>
      <w:r>
        <w:rPr>
          <w:rFonts w:ascii="宋体" w:hAnsi="宋体" w:cs="Courier New"/>
          <w:color w:val="000000" w:themeColor="text1"/>
          <w:sz w:val="24"/>
          <w:szCs w:val="24"/>
          <w:highlight w:val="none"/>
        </w:rPr>
        <w:t xml:space="preserve">人签字并加盖单位公章后生效。</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.2本合同未尽事宜，遵照</w:t>
      </w:r>
      <w:r>
        <w:rPr>
          <w:rFonts w:hint="eastAsia" w:ascii="宋体" w:hAnsi="宋体" w:cs="Courier New"/>
          <w:color w:val="000000" w:themeColor="text1"/>
          <w:sz w:val="24"/>
          <w:szCs w:val="24"/>
          <w:highlight w:val="none"/>
        </w:rPr>
        <w:t xml:space="preserve">《中华人民共和国民法典》《中华人民共和国政府采购法》等</w:t>
      </w:r>
      <w:r>
        <w:rPr>
          <w:rFonts w:ascii="宋体" w:hAnsi="宋体" w:cs="Courier New"/>
          <w:color w:val="000000" w:themeColor="text1"/>
          <w:sz w:val="24"/>
          <w:szCs w:val="24"/>
          <w:highlight w:val="none"/>
        </w:rPr>
        <w:t xml:space="preserve">有关条文执行。</w:t>
      </w:r>
      <w:r/>
    </w:p>
    <w:p>
      <w:pPr>
        <w:ind w:firstLine="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w:t>
      </w:r>
      <w:r>
        <w:rPr>
          <w:rFonts w:ascii="宋体" w:hAnsi="宋体" w:cs="Courier New"/>
          <w:color w:val="000000" w:themeColor="text1"/>
          <w:sz w:val="24"/>
          <w:szCs w:val="24"/>
          <w:highlight w:val="none"/>
        </w:rPr>
        <w:t xml:space="preserve">.</w:t>
      </w:r>
      <w:r>
        <w:rPr>
          <w:rFonts w:hint="eastAsia" w:ascii="宋体" w:hAnsi="宋体" w:cs="Courier New"/>
          <w:color w:val="000000" w:themeColor="text1"/>
          <w:sz w:val="24"/>
          <w:szCs w:val="24"/>
          <w:highlight w:val="none"/>
        </w:rPr>
        <w:t xml:space="preserve">3</w:t>
      </w:r>
      <w:r>
        <w:rPr>
          <w:rFonts w:ascii="宋体" w:hAnsi="宋体" w:cs="Courier New"/>
          <w:color w:val="000000" w:themeColor="text1"/>
          <w:sz w:val="24"/>
          <w:szCs w:val="24"/>
          <w:highlight w:val="none"/>
        </w:rPr>
        <w:t xml:space="preserve"> 本合同正本一式</w:t>
      </w:r>
      <w:r>
        <w:rPr>
          <w:rFonts w:hint="eastAsia" w:ascii="宋体" w:hAnsi="宋体" w:cs="Courier New"/>
          <w:color w:val="000000" w:themeColor="text1"/>
          <w:sz w:val="24"/>
          <w:szCs w:val="24"/>
          <w:highlight w:val="none"/>
        </w:rPr>
        <w:t xml:space="preserve">两</w:t>
      </w:r>
      <w:r>
        <w:rPr>
          <w:rFonts w:ascii="宋体" w:hAnsi="宋体" w:cs="Courier New"/>
          <w:color w:val="000000" w:themeColor="text1"/>
          <w:sz w:val="24"/>
          <w:szCs w:val="24"/>
          <w:highlight w:val="none"/>
        </w:rPr>
        <w:t xml:space="preserve">份，具有同等法律效力，甲</w:t>
      </w:r>
      <w:r>
        <w:rPr>
          <w:rFonts w:hint="eastAsia" w:ascii="宋体" w:hAnsi="宋体" w:cs="Courier New"/>
          <w:color w:val="000000" w:themeColor="text1"/>
          <w:sz w:val="24"/>
          <w:szCs w:val="24"/>
          <w:highlight w:val="none"/>
        </w:rPr>
        <w:t xml:space="preserve">方、</w:t>
      </w:r>
      <w:r>
        <w:rPr>
          <w:rFonts w:ascii="宋体" w:hAnsi="宋体" w:cs="Courier New"/>
          <w:color w:val="000000" w:themeColor="text1"/>
          <w:sz w:val="24"/>
          <w:szCs w:val="24"/>
          <w:highlight w:val="none"/>
        </w:rPr>
        <w:t xml:space="preserve">乙方各执一份。</w:t>
      </w:r>
      <w:r/>
    </w:p>
    <w:p>
      <w:pPr>
        <w:ind w:left="480" w:hanging="480"/>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甲方：                        乙方： </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地址：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地址： </w:t>
      </w:r>
      <w:r/>
    </w:p>
    <w:p>
      <w:pPr>
        <w:spacing w:line="360"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        法定代表人</w:t>
      </w:r>
      <w:r>
        <w:rPr>
          <w:rFonts w:hint="eastAsia" w:ascii="宋体" w:hAnsi="宋体" w:cs="Courier New"/>
          <w:color w:val="000000" w:themeColor="text1"/>
          <w:sz w:val="24"/>
          <w:szCs w:val="24"/>
          <w:highlight w:val="none"/>
        </w:rPr>
        <w:t xml:space="preserve">或授权代表</w:t>
      </w:r>
      <w:r>
        <w:rPr>
          <w:rFonts w:ascii="宋体" w:hAnsi="宋体" w:cs="Courier New"/>
          <w:color w:val="000000" w:themeColor="text1"/>
          <w:sz w:val="24"/>
          <w:szCs w:val="24"/>
          <w:highlight w:val="none"/>
        </w:rPr>
        <w:t xml:space="preserve">：</w:t>
      </w:r>
      <w:r/>
    </w:p>
    <w:p>
      <w:pPr>
        <w:ind w:firstLine="240"/>
        <w:spacing w:line="360" w:lineRule="auto"/>
        <w:rPr>
          <w:rFonts w:hint="eastAsia" w:ascii="宋体" w:hAnsi="Courier New" w:cs="Courier New"/>
          <w:color w:val="000000" w:themeColor="text1"/>
          <w:highlight w:val="none"/>
        </w:rPr>
      </w:pPr>
      <w:r>
        <w:rPr>
          <w:rFonts w:hint="eastAsia" w:ascii="宋体" w:hAnsi="宋体" w:cs="Courier New"/>
          <w:color w:val="000000" w:themeColor="text1"/>
          <w:sz w:val="24"/>
          <w:szCs w:val="24"/>
          <w:highlight w:val="none"/>
        </w:rPr>
        <w:t xml:space="preserve">联系电话：                    联系电话：          </w:t>
      </w:r>
      <w:r/>
    </w:p>
    <w:p>
      <w:pPr>
        <w:jc w:val="center"/>
        <w:spacing w:line="360" w:lineRule="auto"/>
        <w:rPr>
          <w:rFonts w:hint="eastAsia" w:ascii="宋体" w:hAnsi="宋体" w:cs="Courier New"/>
          <w:color w:val="000000" w:themeColor="text1"/>
          <w:sz w:val="24"/>
          <w:szCs w:val="24"/>
          <w:highlight w:val="none"/>
        </w:rPr>
      </w:pPr>
      <w:r>
        <w:rPr>
          <w:rFonts w:hint="eastAsia" w:ascii="宋体" w:hAnsi="Courier New" w:cs="Courier New"/>
          <w:color w:val="000000" w:themeColor="text1"/>
          <w:highlight w:val="none"/>
        </w:rPr>
        <w:t xml:space="preserve">                 </w:t>
      </w:r>
      <w:r>
        <w:rPr>
          <w:rFonts w:hint="eastAsia" w:ascii="宋体" w:hAnsi="宋体" w:cs="Courier New"/>
          <w:color w:val="000000" w:themeColor="text1"/>
          <w:sz w:val="24"/>
          <w:szCs w:val="24"/>
          <w:highlight w:val="none"/>
        </w:rPr>
        <w:t xml:space="preserve">   </w:t>
      </w:r>
      <w:r/>
    </w:p>
    <w:p>
      <w:pPr>
        <w:jc w:val="center"/>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签订日期：      年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月  </w:t>
      </w:r>
      <w:r>
        <w:rPr>
          <w:rFonts w:hint="eastAsia" w:ascii="宋体" w:hAnsi="宋体" w:cs="Courier New"/>
          <w:color w:val="000000" w:themeColor="text1"/>
          <w:sz w:val="24"/>
          <w:szCs w:val="24"/>
          <w:highlight w:val="none"/>
        </w:rPr>
        <w:t xml:space="preserve"> </w:t>
      </w:r>
      <w:r>
        <w:rPr>
          <w:rFonts w:ascii="宋体" w:hAnsi="宋体" w:cs="Courier New"/>
          <w:color w:val="000000" w:themeColor="text1"/>
          <w:sz w:val="24"/>
          <w:szCs w:val="24"/>
          <w:highlight w:val="none"/>
        </w:rPr>
        <w:t xml:space="preserve">日</w:t>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cs="Courier New"/>
          <w:color w:val="000000" w:themeColor="text1"/>
          <w:sz w:val="24"/>
          <w:szCs w:val="24"/>
          <w:highlight w:val="none"/>
        </w:rPr>
        <w:t xml:space="preserve">注：采购人也可参考财政部制定的《政府采购货物买卖合同（试行）》使用，《政府采购货物买卖合同（试行）》电子版请登录中国政府采购网（www.ccgp.gov.cn）下载。</w:t>
      </w:r>
      <w:r/>
    </w:p>
    <w:p>
      <w:pPr>
        <w:ind w:firstLine="480"/>
        <w:spacing w:line="360" w:lineRule="auto"/>
        <w:rPr>
          <w:rFonts w:ascii="宋体" w:hAnsi="宋体"/>
          <w:bCs/>
          <w:sz w:val="24"/>
          <w:szCs w:val="24"/>
        </w:rPr>
      </w:pPr>
      <w:r>
        <w:rPr>
          <w:rFonts w:ascii="宋体" w:hAnsi="宋体"/>
          <w:bCs/>
          <w:sz w:val="24"/>
          <w:szCs w:val="24"/>
        </w:rPr>
      </w:r>
      <w:r/>
    </w:p>
    <w:p>
      <w:pPr>
        <w:jc w:val="center"/>
        <w:spacing w:line="360" w:lineRule="auto"/>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20614244"/>
      <w:r/>
      <w:bookmarkStart w:id="186" w:name="_Toc16938590"/>
      <w:r/>
      <w:bookmarkStart w:id="187" w:name="_Toc479757211"/>
      <w:r/>
      <w:bookmarkStart w:id="188" w:name="_Toc462564139"/>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49090575"/>
      <w:r/>
      <w:bookmarkStart w:id="190" w:name="_Toc26554093"/>
      <w:r/>
      <w:r/>
    </w:p>
    <w:p>
      <w:pPr>
        <w:jc w:val="left"/>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cs="宋体"/>
          <w:b/>
          <w:bCs/>
          <w:sz w:val="24"/>
          <w:szCs w:val="24"/>
        </w:rPr>
        <w:t xml:space="preserve">实验桌1</w:t>
      </w:r>
      <w:r>
        <w:rPr>
          <w:rFonts w:hint="eastAsia" w:ascii="宋体" w:hAnsi="宋体"/>
          <w:color w:val="000000"/>
          <w:sz w:val="24"/>
          <w:szCs w:val="24"/>
        </w:rPr>
        <w:t xml:space="preserve">为核心产品。</w:t>
      </w:r>
      <w:r/>
    </w:p>
    <w:p>
      <w:pPr>
        <w:spacing w:line="360" w:lineRule="auto"/>
        <w:rPr>
          <w:rFonts w:ascii="宋体" w:hAnsi="宋体" w:cs="宋体"/>
          <w:b/>
          <w:sz w:val="24"/>
          <w:szCs w:val="24"/>
        </w:rPr>
      </w:pPr>
      <w:r>
        <w:rPr>
          <w:rFonts w:hint="eastAsia" w:ascii="宋体" w:hAnsi="宋体"/>
          <w:b/>
          <w:color w:val="000000"/>
          <w:sz w:val="30"/>
          <w:szCs w:val="30"/>
        </w:rPr>
        <w:t xml:space="preserve">第一部分  项目技术要求</w:t>
      </w:r>
      <w:r/>
    </w:p>
    <w:p>
      <w:pPr>
        <w:spacing w:line="360" w:lineRule="auto"/>
        <w:rPr>
          <w:rFonts w:ascii="宋体" w:hAnsi="宋体" w:cs="宋体"/>
          <w:b/>
          <w:sz w:val="24"/>
          <w:szCs w:val="24"/>
        </w:rPr>
      </w:pPr>
      <w:r>
        <w:rPr>
          <w:rFonts w:hint="eastAsia" w:ascii="宋体" w:hAnsi="宋体" w:cs="宋体"/>
          <w:b/>
          <w:sz w:val="24"/>
          <w:szCs w:val="24"/>
        </w:rPr>
        <w:t xml:space="preserve">一、项目概况：</w:t>
      </w:r>
      <w:r/>
    </w:p>
    <w:p>
      <w:pPr>
        <w:ind w:firstLine="482"/>
        <w:spacing w:line="360" w:lineRule="auto"/>
        <w:rPr>
          <w:rFonts w:ascii="宋体" w:hAnsi="宋体" w:cs="宋体"/>
          <w:sz w:val="24"/>
          <w:szCs w:val="24"/>
        </w:rPr>
      </w:pPr>
      <w:r>
        <w:rPr>
          <w:rFonts w:hint="eastAsia" w:ascii="宋体" w:hAnsi="宋体" w:cs="宋体"/>
          <w:sz w:val="24"/>
          <w:szCs w:val="24"/>
        </w:rPr>
        <w:t xml:space="preserve">1.项目名称：省锡中滨湖分校实验室装备采购项目</w:t>
      </w:r>
      <w:r/>
    </w:p>
    <w:p>
      <w:pPr>
        <w:ind w:firstLine="482"/>
        <w:spacing w:line="360" w:lineRule="auto"/>
        <w:rPr>
          <w:rFonts w:ascii="宋体" w:hAnsi="宋体" w:cs="宋体"/>
          <w:sz w:val="24"/>
          <w:szCs w:val="24"/>
        </w:rPr>
      </w:pPr>
      <w:r>
        <w:rPr>
          <w:rFonts w:hint="eastAsia" w:ascii="宋体" w:hAnsi="宋体" w:cs="宋体"/>
          <w:sz w:val="24"/>
          <w:szCs w:val="24"/>
        </w:rPr>
        <w:t xml:space="preserve">2.采购人：无锡市滨湖区教育局</w:t>
      </w:r>
      <w:r/>
    </w:p>
    <w:p>
      <w:pPr>
        <w:ind w:firstLine="482"/>
        <w:spacing w:line="360" w:lineRule="auto"/>
        <w:rPr>
          <w:rFonts w:ascii="宋体" w:hAnsi="宋体" w:cs="宋体"/>
          <w:sz w:val="24"/>
          <w:szCs w:val="24"/>
        </w:rPr>
      </w:pPr>
      <w:r>
        <w:rPr>
          <w:rFonts w:hint="eastAsia" w:ascii="宋体" w:hAnsi="宋体" w:cs="宋体"/>
          <w:sz w:val="24"/>
          <w:szCs w:val="24"/>
        </w:rPr>
        <w:t xml:space="preserve">3本项目预算金额：804.9961万元</w:t>
      </w:r>
      <w:r/>
    </w:p>
    <w:p>
      <w:pPr>
        <w:ind w:firstLine="482"/>
        <w:spacing w:line="360" w:lineRule="auto"/>
        <w:rPr>
          <w:rFonts w:ascii="宋体" w:hAnsi="宋体" w:cs="宋体"/>
          <w:sz w:val="24"/>
          <w:szCs w:val="24"/>
          <w:highlight w:val="none"/>
        </w:rPr>
      </w:pPr>
      <w:r>
        <w:rPr>
          <w:rFonts w:hint="eastAsia" w:ascii="宋体" w:hAnsi="宋体" w:cs="宋体"/>
          <w:sz w:val="24"/>
          <w:szCs w:val="24"/>
          <w:highlight w:val="none"/>
        </w:rPr>
        <w:t xml:space="preserve">4.本项目最高限价：740.05158万元</w:t>
      </w:r>
      <w:r/>
    </w:p>
    <w:p>
      <w:pPr>
        <w:ind w:firstLine="482"/>
        <w:spacing w:line="360" w:lineRule="auto"/>
        <w:rPr>
          <w:rFonts w:ascii="宋体" w:hAnsi="宋体" w:cs="宋体"/>
          <w:sz w:val="24"/>
          <w:szCs w:val="24"/>
        </w:rPr>
      </w:pPr>
      <w:r>
        <w:rPr>
          <w:rFonts w:hint="eastAsia" w:ascii="宋体" w:hAnsi="宋体" w:cs="宋体"/>
          <w:sz w:val="24"/>
          <w:szCs w:val="24"/>
        </w:rPr>
        <w:t xml:space="preserve">5.采购内容：省锡中滨湖分校物理、生物、化学实验室的仪器设备等（招标范围包括货物的供货、安装、调试、培训、验收、售后服务等内容，中标供应商在供货前需要对接学校对产品数量、尺寸等进行复核）。</w:t>
      </w:r>
      <w:r/>
    </w:p>
    <w:p>
      <w:pPr>
        <w:spacing w:line="360" w:lineRule="auto"/>
        <w:rPr>
          <w:rFonts w:ascii="宋体" w:hAnsi="宋体" w:cs="宋体"/>
          <w:b/>
          <w:bCs/>
          <w:sz w:val="24"/>
          <w:szCs w:val="24"/>
        </w:rPr>
      </w:pPr>
      <w:r>
        <w:rPr>
          <w:rFonts w:hint="eastAsia" w:ascii="宋体" w:hAnsi="宋体" w:cs="宋体"/>
          <w:b/>
          <w:bCs/>
          <w:sz w:val="24"/>
          <w:szCs w:val="24"/>
        </w:rPr>
        <w:t xml:space="preserve">二、采购清单及技术要求：详见附件一、省锡中滨湖分校实验室装备采购项目招标清单</w:t>
      </w:r>
      <w:r/>
    </w:p>
    <w:p>
      <w:pPr>
        <w:ind w:left="420"/>
        <w:spacing w:line="360" w:lineRule="auto"/>
        <w:rPr>
          <w:rFonts w:hint="eastAsia" w:ascii="宋体" w:hAnsi="宋体" w:cs="宋体"/>
          <w:sz w:val="24"/>
          <w:szCs w:val="24"/>
        </w:rPr>
      </w:pPr>
      <w:r>
        <w:rPr>
          <w:rFonts w:hint="eastAsia" w:ascii="宋体" w:hAnsi="宋体" w:cs="宋体"/>
          <w:sz w:val="24"/>
          <w:szCs w:val="24"/>
        </w:rPr>
        <w:t xml:space="preserve">注：1、投标人必须在满足招标文件要求的基础上进行报价，投标人所投内容必须</w:t>
      </w:r>
      <w:r/>
    </w:p>
    <w:p>
      <w:pPr>
        <w:spacing w:line="360" w:lineRule="auto"/>
        <w:rPr>
          <w:rFonts w:ascii="宋体" w:hAnsi="宋体" w:cs="宋体"/>
          <w:sz w:val="24"/>
          <w:szCs w:val="24"/>
        </w:rPr>
      </w:pPr>
      <w:r>
        <w:rPr>
          <w:rFonts w:hint="eastAsia" w:ascii="宋体" w:hAnsi="宋体" w:cs="宋体"/>
          <w:sz w:val="24"/>
          <w:szCs w:val="24"/>
        </w:rPr>
        <w:t xml:space="preserve">满足附件一要求，不得有负偏离。</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如采用与上述要求不一致且主观认为高于上述要求的材质，则应当在投标文件</w:t>
      </w:r>
      <w:r/>
    </w:p>
    <w:p>
      <w:pPr>
        <w:spacing w:line="360" w:lineRule="auto"/>
        <w:rPr>
          <w:rFonts w:ascii="宋体" w:hAnsi="宋体" w:cs="宋体"/>
          <w:sz w:val="24"/>
          <w:szCs w:val="24"/>
        </w:rPr>
      </w:pPr>
      <w:r>
        <w:rPr>
          <w:rFonts w:hint="eastAsia" w:ascii="宋体" w:hAnsi="宋体" w:cs="宋体"/>
          <w:sz w:val="24"/>
          <w:szCs w:val="24"/>
        </w:rPr>
        <w:t xml:space="preserve">中详细描述，且必须提供相关证明文件，或者相关的国家技术规范，但供应商应承担被评委判定为负偏离的风险。</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投标人可对现场进行勘查（不统一组织、因投标人不进行现场勘查造成辅材附</w:t>
      </w:r>
      <w:r/>
    </w:p>
    <w:p>
      <w:pPr>
        <w:spacing w:line="360" w:lineRule="auto"/>
        <w:rPr>
          <w:rFonts w:ascii="宋体" w:hAnsi="宋体" w:cs="宋体"/>
          <w:sz w:val="24"/>
          <w:szCs w:val="24"/>
        </w:rPr>
      </w:pPr>
      <w:r>
        <w:rPr>
          <w:rFonts w:hint="eastAsia" w:ascii="宋体" w:hAnsi="宋体" w:cs="宋体"/>
          <w:sz w:val="24"/>
          <w:szCs w:val="24"/>
        </w:rPr>
        <w:t xml:space="preserve">件费用计算不准等的后果均由供应商负责）</w:t>
      </w:r>
      <w:r/>
    </w:p>
    <w:p>
      <w:pPr>
        <w:numPr>
          <w:ilvl w:val="0"/>
          <w:numId w:val="5"/>
        </w:numPr>
        <w:ind w:left="420"/>
        <w:spacing w:line="360" w:lineRule="auto"/>
        <w:rPr>
          <w:rFonts w:ascii="宋体" w:hAnsi="宋体" w:cs="宋体"/>
          <w:sz w:val="24"/>
          <w:szCs w:val="24"/>
        </w:rPr>
      </w:pPr>
      <w:r>
        <w:rPr>
          <w:rFonts w:hint="eastAsia" w:ascii="宋体" w:hAnsi="宋体" w:cs="宋体"/>
          <w:sz w:val="24"/>
          <w:szCs w:val="24"/>
        </w:rPr>
        <w:t xml:space="preserve">本项目需要对①化学学科所有教室及仪器室；②生物学科所有教室及仪器室；</w:t>
      </w:r>
      <w:r/>
    </w:p>
    <w:p>
      <w:pPr>
        <w:spacing w:line="360" w:lineRule="auto"/>
        <w:rPr>
          <w:rFonts w:ascii="宋体" w:hAnsi="宋体" w:cs="宋体"/>
          <w:sz w:val="24"/>
          <w:szCs w:val="24"/>
        </w:rPr>
      </w:pPr>
      <w:r>
        <w:rPr>
          <w:rFonts w:hint="eastAsia" w:ascii="宋体" w:hAnsi="宋体" w:cs="宋体"/>
          <w:sz w:val="24"/>
          <w:szCs w:val="24"/>
        </w:rPr>
        <w:t xml:space="preserve">③物理学科所有教室及仪器室进行深化设计。</w:t>
      </w:r>
      <w:r/>
    </w:p>
    <w:p>
      <w:pPr>
        <w:ind w:firstLine="420"/>
        <w:spacing w:line="360" w:lineRule="auto"/>
        <w:rPr>
          <w:rFonts w:ascii="宋体" w:hAnsi="宋体" w:cs="宋体"/>
          <w:sz w:val="24"/>
          <w:szCs w:val="24"/>
        </w:rPr>
      </w:pPr>
      <w:r>
        <w:rPr>
          <w:rFonts w:hint="eastAsia" w:ascii="宋体" w:hAnsi="宋体" w:cs="宋体"/>
          <w:sz w:val="24"/>
          <w:szCs w:val="24"/>
        </w:rPr>
        <w:t xml:space="preserve">5、中标单位于中标后3日内向使用单位提供部分产品的样品进行测试，具体测试产品清单由使用单位抽取，若产品测试不合格，采购人有权取消该中标单位中标资格。</w:t>
      </w:r>
      <w:r/>
    </w:p>
    <w:p>
      <w:pPr>
        <w:spacing w:line="360" w:lineRule="auto"/>
        <w:rPr>
          <w:rFonts w:ascii="宋体" w:hAnsi="宋体" w:cs="宋体"/>
          <w:b/>
          <w:bCs/>
          <w:sz w:val="24"/>
          <w:szCs w:val="24"/>
        </w:rPr>
      </w:pPr>
      <w:r>
        <w:rPr>
          <w:rFonts w:hint="eastAsia" w:ascii="宋体" w:hAnsi="宋体" w:cs="宋体"/>
          <w:b/>
          <w:bCs/>
          <w:sz w:val="24"/>
          <w:szCs w:val="24"/>
        </w:rPr>
        <w:t xml:space="preserve">三、服务要求：</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1.质量要求：符合国家、地方及相关行业标准。货物的验收包括：数量、外观、质量、性能、质保单、包装和乙方承诺的其他指标；验收标准根据有关规定及技术要求，原则上以通过计量检定或校准合格为准。</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2.交货期：合同签订生效后45日历天内，完成供货、安装、调试，交付采购人使用。</w:t>
      </w:r>
      <w:r/>
    </w:p>
    <w:p>
      <w:pPr>
        <w:pStyle w:val="933"/>
        <w:ind w:left="0" w:firstLine="480"/>
        <w:spacing w:line="360" w:lineRule="auto"/>
        <w:rPr>
          <w:rFonts w:ascii="宋体" w:hAnsi="宋体" w:cs="宋体"/>
          <w:lang w:eastAsia="zh-CN"/>
        </w:rPr>
      </w:pPr>
      <w:r>
        <w:rPr>
          <w:rFonts w:hint="eastAsia" w:ascii="宋体" w:hAnsi="宋体" w:cs="宋体"/>
          <w:lang w:eastAsia="zh-CN"/>
        </w:rPr>
        <w:t xml:space="preserve">3.质保期：3年（自终验收双方签署终验收报告之日起开始计算，质保期满后提供终身有偿维修服务）。</w:t>
      </w:r>
      <w:r/>
    </w:p>
    <w:p>
      <w:pPr>
        <w:pStyle w:val="933"/>
        <w:ind w:left="0" w:firstLine="480"/>
        <w:spacing w:line="360" w:lineRule="auto"/>
        <w:rPr>
          <w:rFonts w:hint="eastAsia" w:ascii="宋体" w:hAnsi="宋体" w:cs="宋体"/>
          <w:lang w:eastAsia="zh-CN"/>
        </w:rPr>
      </w:pPr>
      <w:r>
        <w:rPr>
          <w:rFonts w:hint="eastAsia" w:ascii="宋体" w:hAnsi="宋体" w:cs="宋体"/>
          <w:lang w:eastAsia="zh-CN"/>
        </w:rPr>
        <w:t xml:space="preserve">4.本项目实施地点：省锡中滨湖分校，</w:t>
      </w:r>
      <w:r>
        <w:rPr>
          <w:rFonts w:hint="eastAsia" w:ascii="宋体" w:hAnsi="宋体" w:cs="宋体"/>
          <w:bCs/>
          <w:lang w:eastAsia="zh-CN"/>
        </w:rPr>
        <w:t xml:space="preserve">具体地点以合同书约定为准。中标方必须按采购人要求将本项目中货物送到指定地点（包括可能的分布范围），并分地实施安装调试。</w:t>
      </w:r>
      <w:r/>
    </w:p>
    <w:p>
      <w:pPr>
        <w:pStyle w:val="933"/>
        <w:ind w:left="0" w:firstLine="480"/>
        <w:spacing w:line="360" w:lineRule="auto"/>
        <w:rPr>
          <w:rFonts w:ascii="宋体" w:hAnsi="宋体" w:cs="宋体"/>
          <w:lang w:eastAsia="zh-CN"/>
        </w:rPr>
      </w:pPr>
      <w:r>
        <w:rPr>
          <w:rFonts w:hint="eastAsia" w:ascii="宋体" w:hAnsi="宋体" w:eastAsia="宋体" w:cs="宋体"/>
          <w:bCs/>
          <w:lang w:eastAsia="zh-CN"/>
        </w:rPr>
        <w:t xml:space="preserve">5.付款方式：合同签</w:t>
      </w:r>
      <w:r>
        <w:rPr>
          <w:rFonts w:hint="eastAsia" w:ascii="宋体" w:hAnsi="宋体" w:cs="宋体"/>
          <w:lang w:eastAsia="zh-CN"/>
        </w:rPr>
        <w:t xml:space="preserve">订后支付合同价款的30%预付款，货物到场后全部安装完毕后付至合同价款的55%，验收合格并经审计后付至审定价的100%。</w:t>
      </w:r>
      <w:r/>
    </w:p>
    <w:p>
      <w:pPr>
        <w:spacing w:line="360" w:lineRule="auto"/>
        <w:tabs>
          <w:tab w:val="left" w:pos="525" w:leader="none"/>
          <w:tab w:val="left" w:pos="630" w:leader="none"/>
          <w:tab w:val="left" w:pos="735" w:leader="none"/>
          <w:tab w:val="left" w:pos="945" w:leader="none"/>
        </w:tabs>
        <w:rPr>
          <w:rFonts w:ascii="宋体" w:hAnsi="宋体" w:cs="宋体"/>
          <w:b/>
          <w:bCs/>
          <w:sz w:val="24"/>
          <w:szCs w:val="24"/>
        </w:rPr>
      </w:pPr>
      <w:r>
        <w:rPr>
          <w:rFonts w:hint="eastAsia" w:ascii="宋体" w:hAnsi="宋体" w:cs="宋体"/>
          <w:b/>
          <w:sz w:val="24"/>
          <w:szCs w:val="24"/>
        </w:rPr>
        <w:t xml:space="preserve">第二部分  有关说明</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1.投标总报价包括满足本项目要求的所有产品及其配件、包装、运输、安装调试及售后服务等从项目中标起到项目正式交付以及质保期内所发生的一切费用。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2.通过中国海关报关验放进入中国境内且产自中国境外的产品不在本项目的报价范围。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4.采购人成立验收小组，按照采购合同的约定对中标供应商的履约情况进行验收。验收时间以采购人政府采购履约验收通知单发出为准。验收时，采购人按照采购合同的约定对每一项技术、商务要求的履约情况进行确认。验收结束后，验收小组出具验收书，给出项目总体评价，验收双方共同签署并盖章，履约验收的各项资料存档备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采购人在项目验收时如发现中标供应商所供产品技术参数与投标文件不符，采购人有权拒收货、拒付款，并按提供虚假材料谋取中标处理，供货方须承担相应的法律责任。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5.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6.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7.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hint="eastAsia" w:ascii="宋体" w:hAnsi="宋体" w:cs="宋体"/>
          <w:bCs/>
          <w:sz w:val="24"/>
          <w:szCs w:val="24"/>
        </w:rPr>
        <w:t xml:space="preserve">8.中标供应商按签约合同价的5%向采购人缴纳履约保证金；中标（成交）供应商也可采用电子履约保函（保险）形式提供履约担保，具体操作可登录江苏政府采购网的保险保函模块进行办理。</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lang w:eastAsia="zh-CN"/>
        </w:rPr>
        <w:t xml:space="preserve">.</w:t>
      </w:r>
      <w:r>
        <w:rPr>
          <w:rFonts w:hint="eastAsia" w:ascii="宋体" w:hAnsi="宋体" w:cs="宋体"/>
          <w:bCs/>
          <w:sz w:val="24"/>
          <w:szCs w:val="24"/>
        </w:rPr>
        <w:t xml:space="preserve">根据《关于推</w:t>
      </w:r>
      <w:r>
        <w:rPr>
          <w:rFonts w:hint="eastAsia" w:ascii="宋体" w:hAnsi="宋体" w:cs="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10</w:t>
      </w:r>
      <w:r>
        <w:rPr>
          <w:rFonts w:hint="eastAsia" w:ascii="宋体" w:hAnsi="宋体" w:cs="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11</w:t>
      </w:r>
      <w:r>
        <w:rPr>
          <w:rFonts w:hint="eastAsia" w:ascii="宋体" w:hAnsi="宋体" w:cs="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lang w:eastAsia="zh-CN"/>
        </w:rPr>
        <w:t xml:space="preserve">.</w:t>
      </w:r>
      <w:r>
        <w:rPr>
          <w:rFonts w:hint="eastAsia" w:ascii="宋体" w:hAnsi="宋体" w:cs="宋体"/>
          <w:bCs/>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lang w:eastAsia="zh-CN"/>
        </w:rPr>
        <w:t xml:space="preserve">.</w:t>
      </w:r>
      <w:r>
        <w:rPr>
          <w:rFonts w:hint="eastAsia" w:ascii="宋体" w:hAnsi="宋体" w:cs="宋体"/>
          <w:bCs/>
          <w:sz w:val="24"/>
          <w:szCs w:val="24"/>
        </w:rPr>
        <w:t xml:space="preserve">凡涉及招标文件的补充说明或修正，均以书面依据为准。</w:t>
      </w:r>
      <w:r/>
    </w:p>
    <w:p>
      <w:pPr>
        <w:spacing w:line="360" w:lineRule="auto"/>
        <w:tabs>
          <w:tab w:val="left" w:pos="525" w:leader="none"/>
          <w:tab w:val="left" w:pos="630" w:leader="none"/>
          <w:tab w:val="left" w:pos="735" w:leader="none"/>
          <w:tab w:val="left" w:pos="945" w:leader="none"/>
          <w:tab w:val="left" w:pos="1080" w:leader="none"/>
        </w:tabs>
        <w:rPr>
          <w:rFonts w:ascii="宋体" w:hAnsi="宋体" w:cs="宋体"/>
          <w:b/>
          <w:bCs/>
          <w:sz w:val="24"/>
          <w:szCs w:val="24"/>
        </w:rPr>
      </w:pPr>
      <w:r>
        <w:rPr>
          <w:rFonts w:hint="eastAsia" w:ascii="宋体" w:hAnsi="宋体" w:cs="宋体"/>
          <w:b/>
          <w:bCs/>
          <w:sz w:val="24"/>
          <w:szCs w:val="24"/>
        </w:rPr>
        <w:t xml:space="preserve">附件一、省锡中滨湖分校实验室装备采购项目招标清单</w:t>
      </w:r>
      <w:r/>
    </w:p>
    <w:tbl>
      <w:tblPr>
        <w:tblStyle w:val="679"/>
        <w:tblW w:w="9863" w:type="dxa"/>
        <w:tblInd w:w="99" w:type="dxa"/>
        <w:tblLayout w:type="fixed"/>
        <w:tblCellMar>
          <w:left w:w="108" w:type="dxa"/>
          <w:top w:w="0" w:type="dxa"/>
          <w:right w:w="108" w:type="dxa"/>
          <w:bottom w:w="0" w:type="dxa"/>
        </w:tblCellMar>
        <w:tblLook w:val="04A0" w:firstRow="1" w:lastRow="0" w:firstColumn="1" w:lastColumn="0" w:noHBand="0" w:noVBand="1"/>
      </w:tblPr>
      <w:tblGrid>
        <w:gridCol w:w="709"/>
        <w:gridCol w:w="922"/>
        <w:gridCol w:w="6953"/>
        <w:gridCol w:w="642"/>
        <w:gridCol w:w="637"/>
      </w:tblGrid>
      <w:tr>
        <w:trPr>
          <w:trHeight w:val="380"/>
        </w:trPr>
        <w:tc>
          <w:tcPr>
            <w:gridSpan w:val="5"/>
            <w:tcBorders>
              <w:top w:val="single" w:color="000000" w:sz="4" w:space="0"/>
              <w:left w:val="single" w:color="000000" w:sz="4" w:space="0"/>
              <w:bottom w:val="single" w:color="000000" w:sz="4" w:space="0"/>
              <w:right w:val="single" w:color="000000" w:sz="4" w:space="0"/>
            </w:tcBorders>
            <w:tcW w:w="9863" w:type="dxa"/>
            <w:vAlign w:val="center"/>
            <w:textDirection w:val="lrTb"/>
            <w:noWrap/>
          </w:tcPr>
          <w:p>
            <w:pPr>
              <w:jc w:val="center"/>
              <w:spacing w:line="360" w:lineRule="auto"/>
              <w:widowControl/>
              <w:rPr>
                <w:rFonts w:ascii="宋体" w:hAnsi="宋体" w:cs="宋体"/>
                <w:b/>
                <w:bCs/>
                <w:color w:val="000000"/>
                <w:sz w:val="28"/>
                <w:szCs w:val="28"/>
              </w:rPr>
            </w:pPr>
            <w:r>
              <w:rPr>
                <w:rFonts w:hint="eastAsia" w:ascii="宋体" w:hAnsi="宋体" w:cs="宋体"/>
                <w:b/>
                <w:bCs/>
                <w:color w:val="000000"/>
                <w:sz w:val="28"/>
                <w:szCs w:val="28"/>
                <w:lang w:bidi="ar"/>
              </w:rPr>
              <w:t xml:space="preserve">省锡中滨湖分校实验室装备采购项目清单</w:t>
            </w:r>
            <w:r/>
          </w:p>
        </w:tc>
      </w:tr>
      <w:tr>
        <w:trPr>
          <w:trHeight w:val="38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non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产品名称</w:t>
            </w:r>
            <w:r/>
          </w:p>
        </w:tc>
        <w:tc>
          <w:tcPr>
            <w:tcBorders>
              <w:top w:val="non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技术参数、规格、功能</w:t>
            </w:r>
            <w:r/>
          </w:p>
        </w:tc>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non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2、规格：φ3mm～φ4mm；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3、理化性能：耐水等级：1级，耐碱等级：1级，耐酸等级：2级；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4、应力：在偏光仪中呈蓝色；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6、玻璃棒要圆、直径均匀、不能粗细不匀，无气泡、无节瘤、无结石。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专用有线户外声光闪动警灯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1、与主机、分机配套使用，电压12V，电流0.8ma，≤100分贝，防水等级不低于IP55，模拟转动。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手摇离心转台是一种简单的手动动力机械，凡转动的实验大多可用它来带动。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金属槽码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1、产品用不锈钢制造。总长度为200㎜；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2、钳子制作应光滑、平整、无缺陷；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3、钳子的夹持端为弯头，端头应有齿纹，便于夹住物体，吻合一致。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1、仪器由直线电流磁场演示器、环形电流磁场演示器、螺线管电流磁场演示器等构成；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2、输入电流2.5A；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3、演示器的线圈骨架和底座用全透明有机玻璃制作，切割面和表面必须光洁、明亮，不得有明显创痕、伤疤等缺陷。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模拟生态设备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195*193mm，透明亚克力材质，实验器由圆筒上主体(上盖带两个孔)、带内槽下盖(可液封密闭)、靠近下半部区域放置一个孔，规格不同的硅胶塞组成。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1.用于生化实验中的光合作用、呼吸作用、模拟生态系统等实验。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2.实验箱、密封盖、橡胶塞可轻松搭建密闭实验环境，整体配合可用于模拟生态系统的研究，多种不同孔径的橡胶塞可以配合多种传感器实时监测各种数据的变化情况，并在Windows、安卓、iOS终端上呈现。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3.透明亚克力材质，便于观察箱体内部的实验现象，材料强度高，耐腐蚀。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4.独立的实验箱体设计，可整体使用，也可三个独立实验箱体进行不同组合形式使用，比如单个实验箱可拆分使用完成光合作用实验探究等。使用灵活，满足不同实验需求。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5.橡胶塞密封效果好，种类比较多，支持带线的传感器探头主体完全进入实验器，可满足不同实验需求，支持教师DIY设计实验。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6.配套专用实验预设模板，以表格和曲线等形式自动记录数据变化情况，实验结果更直观明显。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研究生态系统的稳定性、光合作用等实验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洗洁精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环保，无毒无害，使用安全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毫升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高速钢半圆形锯片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88mm，HCS高碳钢锯体；切割模板、软金属及塑料材质等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2、规格：直固，300mm；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磁吸式，背板尺寸≥325*240mm。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智能升降机构设备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1、智能升降机构箱体：整体尺寸：≥500*450*150mm；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2、箱体外壳：采用冷轧钢板，厚度为：≥1mmSPCC，经激光切割折弯成型，表面经酸洗磷化处理，静电喷涂环保粉末高温处理工艺，表面光滑，不易变形，强度高等特点，无有害物质，具有防腐性高。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3、升降传动机构：绕线旋转线槽模块采用汽车轮毂式，材质采用ABS工程塑料模具注塑一次成型。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1、供学生敲击物体的手动工具；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2、材质：45～55优质碳素结构钢；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3、硬度：大头HRC≥48～55，小头HRC≥40；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4、锤体孔眼端正，轮廓清晰、表面不应有裂纹、折叠、缺口、凹凸不平、生锈等缺陷；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5、木柄采用材质坚韧的木材制作，并应平直圆滑，无裂纺、霉变、虫蛀，表面涂清漆；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6、榔头装柄后不得松动摇头。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实验室物联控制套装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智能融合信息终端：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1、1U机架式设计。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2、集成千兆交换机功能，具备4个RJ45网口。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3、具备4路RS232通信端口，具备1路RS485通信端口，具备1路干接点接口，具备1路12V/2A输出接口，具备2路GPIO接口。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4、有线麦克风通道具备DSP处理能力，支持远距离拾音、AFC自动反馈控制、AGC音量增益自动控制、6段EQ调制、0~24db增益调制。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5、具备1路USB通信接口,具备一进四出USBKVM切换能力。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备网络中控功能，支持电教设备的本地或远程控制。集成物联网关功能，支持能耗数据上报。支持MQTT协议，支持扩展最大30路2.4G无线物联模块，配合小程序可远程对终端设备及物联模块进行手动、定时、集控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7、具备音频硬解码能力，具备推送的音频广播播放功能，可播放定时/手动广播任务，支持0-100级广播级别选择。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通过授权可支持高清视频广播播放功能，支持H.264、AAC等主流媒体格式，智能终端在待机状态下接收预设的高清流媒体内容或在线电视节目进行自动播放，自动开启显示设备，实现无人值守智能化视频广播功能，视频广播支持0-100级广播优先级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9、支持通过控制面板或远程控制暂停广播输出和调节广播音量，强制广播模式（例如消防应急广播）下禁止控制面板操作广播暂停和调节音量。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10、支持web配置界面，支持本地参数、网络参数、串口参数、面板参数、音视频矩阵参数、IO接口参数、显示设备参数等配置。支持开关机场景及自定义场景配置。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通过配套触控面板可完成一键开关机设备、音量调节。支持IC卡刷卡或插卡、扫码、IP对讲等功能，支持离线状态下启用面板开机功能,支持同品牌无线麦克风接入及扩声。支持设备故障报修功能，待机状态下可显示设备联机网络信息、终端ID信息、运维电话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12、支持≥6路大屏/投影机同屏显示或≥4路大屏/投影机异屏显示及控制，支持输出画面冻结功能。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13、支持自有品牌麦克风的接入、控制和状态查询，包括麦克风电量、使用状态、充电状态及锁止状态等。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14、支持在线升级功能，支持版本信息查看，网络配置等功能。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15、支持通过RS232串口控制协议，实现对第三方设备的接入控制，包括：智能交互平板、投影机、录播主机、音频处理器等设备。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16、支持通过RS485串口控制协议，实现对RS485从设备的控制。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集控管理：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1、采用B/S架构，本地化部署。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2、支持通过HTTPS协议进行Web访问，通过账号+密码+验证码的方式进行用户身份认证，支持手动同步HTTPS证书。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3、支持接入云端，支持通过小程序使用本功能。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4、支持向第三方开放OpenAPI接口，可以通过OpenAPI实现单点登录、IC卡用户同步、课表同步、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设备管理、反向二维码扫码认证等功能。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5、支持通过NTP方式校正时间，支持手动校正时间，支持向管理设备提供时间同步服务。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6、支持管理功能：网络设置、关机、重启、信息及运行状态查看。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7、支持远程维护，支持数据库本地备份及备份导出功能。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8、支持用户自定义名称、Logo、标语、学校名称、学校Logo等。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9、具备用户管理功能：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1)支持管理员、学校管理员、教师、学生、临时人员5种用户类型。支持针对不同的用户赋予不同的管理权限和使用权限，并提供用户批量授权功能。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2)支持创建10000+用户，支持批量导入教师用户。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3)支持用户信息（学工号、IC卡号、手机号和部门名称等）管理，提供IC卡挂失功能。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4)支持与一卡通、教务或其他第三方用户数据库对接。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10、具备智能设备管理功能：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1)支持设备分区设置、设备控制、设备参数配置、设备状态查看、设备日志记录及查看、设备能耗记录及查看、设备故障收集及展示等，提供设备配置复制功能、批量控制功能。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2)支持展示环境数据（温度、湿度、光照、PM2.5、二氧化碳等）和设定策略，可通过检测环境温度自动调整空调模式。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3)支持通过手动/定时任务进行设备控制。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4)支持扫码、小程序、后台远程、IC卡刷卡和课表联动等开机方式。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5)支持设备异常检测并主动推送告警消息。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6)支持管理设备固件版本（当前固件版本、可升级固件版本、远程批量升级等）。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7)支持与智能融合终端进行IP对讲、远程监听功能。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8)支持查看教室监控画面、电脑桌面、监控墙，提供设备巡查、IP对讲联动监控等功能。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9)支持经认证的第三方485智能设备接入：智能电表、智能空开、传感器等。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11、具备多媒体素材管理功能：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1)支持音视频文件（MP3、MP4、AVI、TS等）上传、下载、预览及审核。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2)支持图文素材编辑、预览及审核。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3)支持添加在线视频资源。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4)支持推送媒体素材上传通知、媒体素材审核通知到管理员。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12、具备音视频IP广播推送功能：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1)支持解码媒体资源库中审核过的音视频文件并推送至同品牌广播接收终端。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2)支持拉取媒体资源库配置的在线视频流（HTTP、RTSP、RTMP、UDP/TS等协议）并推送至同品牌广播接收终端。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3)支持定点或分组推送至广播接收终端。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4)支持跨子网推送音视频广播。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5)支持同时推送32路音频、16路视频广播。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13、具备图文广播功能：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1)支持将媒体资源库中审核过的图文资源推送至同品牌图文广播接收终端。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2)支持定点或分组推送至图文广播接收终端。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3)支持同时推送100路图文广播。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14、具备音视频直转播功能：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1)支持接收同品牌音频直播终端推送的音频流并对其进行分区转播至同品牌广播接收终端。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2)支持接收同品牌视频直播终端推送的音视频流并对其进行定点或分组转播至同品牌广播接收终端。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3)支持通过浏览器进行定点或分组喊话至同品牌广播接收终端，同时可配置喊话背景音乐。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15、具备任务管理功能：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1)支持创建手动/定时设备管理任务、音频广播任务、视频广播任务、图文广播任务、直转播任务。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2)支持创建任务模板和运行模式，对任务进行策略化管理。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3)支持模式/任务以优先级（0-100级）方式调度，优先执行高优先级任务。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4)支持一键切换工作日的定时任务，实现全校统一调课功能。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16、具备统计报表功能：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1)支持设备使用时长、设备能耗、空调能耗统计，提供设备能耗导出功能。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2)提供首页和数据大屏展示运行状态，包括设备使用概览、设备能耗曲线、设备实时状态、教室使用状态、任务运行状态等。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3)支持环境数据统计并展示环境数据曲线。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4)支持记录设备运行日志，包括设备上下线、开关机、设备启用禁用、用户认证、麦克风使用、IP对讲求助、设备故障等。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5)支持记录日志，包括用户登录日志、用户操作日志、任务调度日志、策略执行日志、OpenAPI访问日志等。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6)支持日志分类查询，提供日志导出功能。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17、支持消防、安防事件联动触发广播告警。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18、支持微信公众号消息推送功能，包括投影灯泡使用告警信息、媒体素材上传及审核信息、设备异常离线告警信息、数据库备份异常告警信息和设备状态定时统计信息等。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19、支持直播课堂功能，可以进行全校的教学直播以及网络直播。支持创建定时任务，定时开启教学直播。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20、支持教室预约功能。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液晶操控面板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1、一体化设计，工业ABS工程塑料注塑成型。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2、具备7英寸高分辨率工业触摸屏，支持触摸屏控制界面定制。支持画面切换，声音调整，设备控制。支持广播信号本地暂停收听及音量调节。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3、具备二维码扫码摄像头，支持实现二维码反扫及扫码开机。集成IC卡读卡器，支持刷卡开机，支持安装底座实现插卡开机。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4、支持充电桩麦克风未归位语音提醒，支持关机倒计时语音提示，支持外接传感器数据实时显示。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触控电源控制器：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1、标准触摸86型开关面板，通过2.4G无线方式与同品牌网关连接。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2、220VAC电源输入，触控按键功能可自定义设置。具备2路220VAC独立输出，每路最大支持500W。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3、面板可匹配2键/4键/6键三种风格，最多可配置2个按键为本地线路控制按键，其他可设置为关联按键。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4、内置能耗计量芯片，可实时检测用电设备运行状态并上报能耗数据。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5、授权用户通过微信小程序远程监控每路电源输出的状态，可手动或定时对接入的灯光、风扇、窗帘等用电设备进行智能策略通断电控制。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6、支持通过禁用本地按键模式，同时支持自主启用本地按键模式。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空调控制器：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1、通过2.4G无线方式与网关连接。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2、输入采用1路220V大功率防脱落插头，输出采用1路大功率咬合式接口，最大支持6000W负载。具备1路红外输出，可遥控所连接的空调设备。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3、内置温湿度传感器，可实时显示当前区域温湿度状态。内置能耗计量芯片，可实时检测所连接空调的能耗数据，可汇总空调能耗数据。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4、支持通过微信小程序远程监控所连接空调的运行状态，对其进行手动/定时的点对点、点对组开关机及模式切换。可选配同品牌操作面板对空调进行本地控制。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5、支持自启动通电应急模式。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九合一传感器：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工作电压：DC 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通信类型：485/TTL二选一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温度："分辨率：0.01℃测量范围：-40 ～ 125℃测量精度：±0.2℃"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湿度："分辨率：0.01%测量范围：0 ～ 100%测量精度：±2%RH"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CO2:"分辨率：1ppm测量范围：400 ～ 60,000ppm测量精度：±30ppm"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甲醛："分辨率：1μg/m³测量范围：0 ～ 1,000μg/m³测量精度：±25%"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TVOC："分辨率：1ppb测量范围：0 ～ 60,000ppb测量精度：±30ppb"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PM2.5："分辨率：1μg/m³测量范围：0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PM10："分辨率：1μg/m³测量范围：0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PM1.0："分辨率：1μg/m³测量范围：0 ～ 1,000μg/m³测量精度：±10%"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光照度："分辨率：1Lux测量范围：0 ～ 60,000Lux测量精度：±5%"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电子时钟：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1、TFTLCD显示屏，显示分辨率≥2560*800。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2、1个千兆以太网口，支持POE/DC受电；具备一个USB接口。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3、支持通过NTP协议自动校准日期和时间，支持时区配置。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4、提供多个时钟显示模板，支持个性化时钟显示。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5、可实现手动或定时息屏和亮屏、信息发布等功能。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6、支持在线升级功能，可直接联网升级。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智能配电模块：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1、支持80~260V宽电压输入，具备≥8路独立电源输出接口，单路额定电流8A，总额定电流25A；具备≥6路国标插座，1路防脱落万可插座（扩展2路电源输出控制或1路幕布/窗帘控制）。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3、每路电源输出接口对应1个电源指示灯，通电亮灯，断电熄灯。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4、支持IO输入状态查询、能耗统计及上报。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5、支持通过IP网络接入服务器对本设备进行独立管理和控制。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6、支持通过配置工具进行静态/动态IP地址、掩码、网关以及服务器查找方式等参数配置。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音箱：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1、采用号角式结构、双导向管、音柱型箱体设计。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2、内置不少于1个4×6寸椭圆形专业定制低音单元，94mm球顶高音单元、HIFI分频器。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3、功率：60W，阻抗：8欧姆。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4、频响：35HZ-18KHZ。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5、灵敏度：90±3dB。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电子班牌：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 一体化设计，工业ABS工程塑料注塑成型。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具备1个RJ45千兆网口，1路HDMI输入接口，1路USB接口，1路3.5mm音频输入接口，1路3.5mm音频输出接口，1路12V/1A输出接口,1路干接点接口, 1路GPIO接口；具备人体近场感应（正面1.5米范围内）亮屏功能；支持POE或DC 12V/3A受电。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配备≥13.3英寸工业触控屏，支持10点触控，屏幕分辨率≥1920×1080，亮度≥400nits；配备200万像素双目摄像头，支持暗光识别；集成IC卡读卡器；内置扬声器2W*2、拾音器；具备音视频编解码能力。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支持展示教室今日日期、时间、周次、课表，教室当前正在上课的课程信息。支持查看全校所有教室本学年的课表信息。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支持查看当前课程的学生信息，支持学生考勤签到，支持人脸、IC卡刷卡签到。支持实时展示待签到、已签到学生信息。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具备门禁管理功能，支持IC卡刷卡、人脸识别、密码等开门方式。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具备教室预约功能，学生/老师可以通过IC卡刷卡或者人脸识别登录，然后进行教室预约。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具备巡班巡考功能，支持查看教室实时画面。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 具备IP对讲功能，支持与后台管理员进行实时语音通话。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 采用4核CPU、4GB RAM、32GB EMMC FLASH，内置1T NPU。开放控制接口，支持界面自主定制。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网络控制面板：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1、支持POE受电，86型面板安装方式，嵌入式，800MHz 32位双核处理器。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2、配备≥7寸电容式触控屏幕，屏幕分辨率1024x600。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3、具备一个RJ45以太网口、1个mircoSD卡接口。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远程485控制器：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1、一体化设计，工业ABS工程塑料注塑成型，标准1P导轨式安装方式。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2、支持DC12V外部供电；具备1路RS485接口，1个外置对频按键；内置2.4G无线通讯模块。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3、具备1个IR接口，支持红外收发功能。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4、支持同品牌2.4G物联通讯协议，可接入同品牌物联网关。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5、最大支持8路RS485有线设备控制。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3P+N智能断路器：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RS485+能耗计量+380V63A+5位标准导轨式安装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1P智能断路器：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RS485+能耗计量+220V25A+1位标准导轨式安装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智能控制窗帘电机：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1、电机负载≥70Kg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2、加厚轨道≥1.9mm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3、功率≥36W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4、材质：阻燃PC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所有模块均由同一控制端控制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轴心（制作笔课件专用）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规格用途：制作笔课件专用轴心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长度：220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材质：金属轴杆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结构：光滑圆柱杆，两端适配固定安装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适用：物理教学笔课件组装、演示实验配件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霍尔效应实验仪（变温）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1、学习霍尔效应原理，测绘霍尔元件的曲线；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2、学习利用霍尔效应测量磁感应强度B；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3、学习用“对称交换测量法”消除负效应产生的误差；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4、测量电磁铁的磁场分布。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5、变温霍尔效应实验：可开设测量霍尔系数与温度的关系，电导率与温度的关系，推算半导体器件的禁带宽度等实验。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6、霍尔元件材料电导率测量、霍尔系数测量、载流子浓度测量、迁移率测量。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1、液晶触摸屏调节、控制与计算实验参数与数据。高清液晶屏，规格：1024X600像素。具有实验原理页面、仪器介绍页面、VH-Is页面、VH-B页面、VH-IM</w:t>
            </w:r>
            <w:r>
              <w:rPr>
                <w:rFonts w:hint="eastAsia" w:ascii="宋体" w:hAnsi="宋体" w:cs="宋体"/>
                <w:color w:val="000000"/>
                <w:sz w:val="20"/>
                <w:szCs w:val="20"/>
                <w:lang w:bidi="ar"/>
              </w:rPr>
              <w:t xml:space="preserve">页面、B-IM页面、Vσ-Is页面、RH-n页面、VH-X磁场分布测量页面、变温霍尔效应实验VH-T页面、数据与曲线显示页面、设置页面等，各页面间可通过触控按钮快速切换，也可逐页滚动。实验数据可手动与自动采集，可录入、撤回、存储、清除，可描绘实验数据曲线，各曲线均自带拟合功能，自动计算并给出拟合数据和相关系数。设备带USB数据传输接口，并可校准技术参数和测量精确度，可设置显示亮度和音量，可设置时间，自带实验计时器，可恢复出厂设置，有设置wifi名称和密码，设置服务器IP和端口功能，操作带语音提示（可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2、励磁恒流源0～1A连续可调，既可软件控制正反，又可硬件手动控制正反；调节细度＜0.1mA，稳定度＜10-5，液晶触摸屏数显；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3、样品工作电流源0～5mA，稳定度＜10-5；调节细度＜1µA，液晶屏数显，既可软件控制正反，又可硬件手动控制正反；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4、霍尔电压显示窗：直流毫伏表2000.0mV，分辨率0.1mV；带软件调零；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5、电导电压显示窗：直流毫伏表2000.0mV，分辨率0.1mV；带软件调零；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6、自动测量设置窗：起始值和最大值可设，测量间隔可设置；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6、磁感应强度显示窗：直流200.0mT，分辨率0.1mV；带软件调零；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7、变温霍尔效应实验， 霍尔元件变温范围：室温～100℃；测温传感器：铂电阻；加热器最高温度120℃，测量温度单位：℃、K同时显示；可开设测量霍尔系数与温度的关系，电导电压与温度的关系，进而测得霍尔系数与温度的关系、载流子浓度与温度的关系、迁移率与温度的关系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8、砷化镓霍尔片，霍尔灵敏度≥150mV/(mA•T)；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9、电磁铁：截面尺寸：22X18mm：磁场气隙4mm，微调范围1mm。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10、移动尺装置：横向移动距离70mm，竖向移动30mm，距离分辨率1mm。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11、使用霍尔片保护电路：设有过压、过流和吸收电路，接线错误不会造成霍尔片和仪器损坏。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半导体激光器，光的干涉、多种衍射(单缝、多缝、圆孔、异形孔、单丝、圆屏、刀口等)。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1、长度：≥11CM小球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2、直径：1.5CM棒直径：1CM。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主体：2 根带挂钩的纯铅圆柱体（铅柱）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铅柱材质：含铅量 ＞99%（纯铅，易挤压贴合）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配套工具：旋转式刮削器（胶木 + 钢刀片）、挤压扳动器 / 螺旋挤压器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结构：每根铅柱一端带金属挂钩，用于悬挂重物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透明容器内能承受3个以上大气压，成雾明显，使用安全。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高速钢木工车刀组 （5支套）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串珠刀，凿刀（3.0mm,6.4mm两种规格），切断刀，刮刀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凸面镜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1、由凸面镜体，托架、支柱、底座各部分组成。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2、托架、支柱、底座均为塑料制品。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3、产品应符合JY138－82《凹、凸面镜》的有关规定。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电动钻孔器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提箱装手提式电动钻孔机，内装可充电锂电池（容量大于1.5AH）供电，转速0～550/分钟，钻轧头可装夹1～10mm钻头，配有专用卡具，也可装夹四种不同直径的打孔器，可对不同规格橡胶塞打孔；2、附有各种钻头，打孔器和随机工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展示边柜1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1.尺寸：4900*600*800mm；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钢锤木工锤，锤头长度不小于5cm,木柄长度不小于20cm。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标称容量：5mL（最大吸液量）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材质：低密度聚乙烯（LDPE），透明 / 半透明，无毒、耐酸碱、回弹性好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总长度：210mm（常见标准）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滴量：约 55μL / 滴（水相，常温常压）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结构：一体成型，含吸液球、管身、尖嘴；尖嘴可热封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四种碱基、脱氧核糖、磷酸彼此分离，透明塑料盒包装。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平头镊</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12.5cm 直头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牛皮纸</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80g,12*12cm 100张/袋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光具座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1.导轨采用铝合金结构。2、主机由铝合金导轨，支脚、滑块、刻度尺组成。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产品为组合式，有A型底座（大、小）2根、立杆2根、连接头2个、万能夹1个、烧瓶夹1个、铁环1个、滴定夹1个、圆盘1个、漏斗架板1块组成。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1、最大称量500g，分度值0.02g；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2、制动机构的支承螺钉、托架，应能保证升降平稳，以保持横梁的再现性；天平开启或停动后，吊耳悬挂不得倾斜、晃动；梁体不得有扭动，指针不得有前后跳针和带针现象；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3、横梁应具有足够的刚性和硬度，表面应进行防腐蚀处理，但不允许涂调和漆；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4、底座由金属制成应具有足够的强度和稳度。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木工量具五件套装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公制五件套：三角板（铝合金），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中心规（铝合金），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划线笔（不锈钢），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多功能规（90mm*170mm*1.25mm,不锈钢），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带水平直角尺（铝合金），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表面均做黑色阳极化处理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化学反应原理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strike w:val="0"/>
                <w:color w:val="auto"/>
                <w:highlight w:val="none"/>
                <w:lang w:bidi="ar"/>
              </w:rPr>
              <w:t xml:space="preserve">以《普通高中化学课程标准（</w:t>
            </w:r>
            <w:r>
              <w:rPr>
                <w:rStyle w:val="970"/>
                <w:strike w:val="0"/>
                <w:color w:val="auto"/>
                <w:highlight w:val="none"/>
                <w:lang w:bidi="ar"/>
              </w:rPr>
              <w:t xml:space="preserve">2017</w:t>
            </w:r>
            <w:r>
              <w:rPr>
                <w:rStyle w:val="968"/>
                <w:rFonts w:hint="default"/>
                <w:strike w:val="0"/>
                <w:color w:val="auto"/>
                <w:highlight w:val="none"/>
                <w:lang w:bidi="ar"/>
              </w:rPr>
              <w:t xml:space="preserve">年版</w:t>
            </w:r>
            <w:r>
              <w:rPr>
                <w:rStyle w:val="970"/>
                <w:strike w:val="0"/>
                <w:color w:val="auto"/>
                <w:highlight w:val="none"/>
                <w:lang w:bidi="ar"/>
              </w:rPr>
              <w:t xml:space="preserve">2020</w:t>
            </w:r>
            <w:r>
              <w:rPr>
                <w:rStyle w:val="968"/>
                <w:rFonts w:hint="default"/>
                <w:strike w:val="0"/>
                <w:color w:val="auto"/>
                <w:highlight w:val="none"/>
                <w:lang w:bidi="ar"/>
              </w:rPr>
              <w:t xml:space="preserve">年修订）》为依据，结合各大版本高中化学课程教材，满足高中化学课程的所有实验。此箱是专为教师及学生完成教材要求的实验而设计，采用高度集成的方法将</w:t>
            </w:r>
            <w:r>
              <w:rPr>
                <w:rStyle w:val="970"/>
                <w:strike w:val="0"/>
                <w:color w:val="auto"/>
                <w:highlight w:val="none"/>
                <w:lang w:bidi="ar"/>
              </w:rPr>
              <w:t xml:space="preserve">“</w:t>
            </w:r>
            <w:r>
              <w:rPr>
                <w:rStyle w:val="968"/>
                <w:rFonts w:hint="default"/>
                <w:strike w:val="0"/>
                <w:color w:val="auto"/>
                <w:highlight w:val="none"/>
                <w:lang w:bidi="ar"/>
              </w:rPr>
              <w:t xml:space="preserve">化学反应原理</w:t>
            </w:r>
            <w:r>
              <w:rPr>
                <w:rStyle w:val="970"/>
                <w:strike w:val="0"/>
                <w:color w:val="auto"/>
                <w:highlight w:val="none"/>
                <w:lang w:bidi="ar"/>
              </w:rPr>
              <w:t xml:space="preserve">”</w:t>
            </w:r>
            <w:r>
              <w:rPr>
                <w:rStyle w:val="968"/>
                <w:rFonts w:hint="default"/>
                <w:strike w:val="0"/>
                <w:color w:val="auto"/>
                <w:highlight w:val="none"/>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strike w:val="0"/>
                <w:color w:val="auto"/>
                <w:highlight w:val="none"/>
                <w:lang w:bidi="ar"/>
              </w:rPr>
              <w:br/>
            </w:r>
            <w:r>
              <w:rPr>
                <w:rStyle w:val="968"/>
                <w:rFonts w:hint="default"/>
                <w:strike w:val="0"/>
                <w:color w:val="auto"/>
                <w:highlight w:val="none"/>
                <w:u w:val="none"/>
                <w:lang w:bidi="ar"/>
              </w:rPr>
              <w:t xml:space="preserve">外观尺寸</w:t>
            </w:r>
            <w:r>
              <w:rPr>
                <w:rStyle w:val="970"/>
                <w:strike w:val="0"/>
                <w:color w:val="auto"/>
                <w:highlight w:val="none"/>
                <w:u w:val="none"/>
                <w:lang w:bidi="ar"/>
              </w:rPr>
              <w:t xml:space="preserve">(mm)</w:t>
            </w:r>
            <w:r>
              <w:rPr>
                <w:rStyle w:val="968"/>
                <w:rFonts w:hint="default"/>
                <w:strike w:val="0"/>
                <w:color w:val="auto"/>
                <w:highlight w:val="none"/>
                <w:u w:val="none"/>
                <w:lang w:bidi="ar"/>
              </w:rPr>
              <w:t xml:space="preserve">：</w:t>
            </w:r>
            <w:r>
              <w:rPr>
                <w:rStyle w:val="968"/>
                <w:rFonts w:hint="eastAsia"/>
                <w:strike w:val="0"/>
                <w:color w:val="auto"/>
                <w:highlight w:val="none"/>
                <w:lang w:val="en-US" w:eastAsia="zh-CN" w:bidi="ar"/>
              </w:rPr>
              <w:t xml:space="preserve">≥</w:t>
            </w:r>
            <w:r>
              <w:rPr>
                <w:rStyle w:val="970"/>
                <w:strike w:val="0"/>
                <w:color w:val="auto"/>
                <w:highlight w:val="none"/>
                <w:lang w:bidi="ar"/>
              </w:rPr>
              <w:t xml:space="preserve">485*370*155mm</w:t>
            </w:r>
            <w:r>
              <w:rPr>
                <w:rStyle w:val="970"/>
                <w:strike w:val="0"/>
                <w:color w:val="auto"/>
                <w:highlight w:val="none"/>
                <w:lang w:bidi="ar"/>
              </w:rPr>
              <w:br/>
            </w:r>
            <w:r>
              <w:rPr>
                <w:rStyle w:val="968"/>
                <w:rFonts w:hint="default"/>
                <w:strike w:val="0"/>
                <w:color w:val="auto"/>
                <w:highlight w:val="none"/>
                <w:lang w:bidi="ar"/>
              </w:rPr>
              <w:t xml:space="preserve">箱体材料：高密度工程塑料（聚丙烯）</w:t>
            </w:r>
            <w:r>
              <w:rPr>
                <w:rStyle w:val="968"/>
                <w:rFonts w:hint="eastAsia"/>
                <w:strike w:val="0"/>
                <w:color w:val="auto"/>
                <w:highlight w:val="none"/>
                <w:lang w:eastAsia="zh-CN" w:bidi="ar"/>
              </w:rPr>
              <w:t xml:space="preserve">，</w:t>
            </w:r>
            <w:r>
              <w:rPr>
                <w:rStyle w:val="968"/>
                <w:rFonts w:hint="default"/>
                <w:strike w:val="0"/>
                <w:color w:val="auto"/>
                <w:highlight w:val="none"/>
                <w:lang w:bidi="ar"/>
              </w:rPr>
              <w:t xml:space="preserve">箱体内部零件固定体：采用高发泡隔离填充材料</w:t>
            </w:r>
            <w:r>
              <w:rPr>
                <w:rStyle w:val="968"/>
                <w:rFonts w:hint="eastAsia"/>
                <w:strike w:val="0"/>
                <w:color w:val="auto"/>
                <w:highlight w:val="none"/>
                <w:lang w:eastAsia="zh-CN" w:bidi="ar"/>
              </w:rPr>
              <w:t xml:space="preserve">，</w:t>
            </w:r>
            <w:r>
              <w:rPr>
                <w:rStyle w:val="968"/>
                <w:rFonts w:hint="default"/>
                <w:strike w:val="0"/>
                <w:color w:val="auto"/>
                <w:highlight w:val="none"/>
                <w:lang w:bidi="ar"/>
              </w:rPr>
              <w:t xml:space="preserve">零件固定体按零件形状数控雕刻成型，每种实验器材有相对应插槽，每种实验器材设有固定位置。</w:t>
            </w:r>
            <w:r>
              <w:rPr>
                <w:rStyle w:val="968"/>
                <w:rFonts w:hint="default"/>
                <w:strike w:val="0"/>
                <w:color w:val="auto"/>
                <w:highlight w:val="none"/>
                <w:lang w:bidi="ar"/>
              </w:rPr>
              <w:br/>
            </w:r>
            <w:r>
              <w:rPr>
                <w:rStyle w:val="968"/>
                <w:rFonts w:hint="default"/>
                <w:strike w:val="0"/>
                <w:color w:val="auto"/>
                <w:highlight w:val="none"/>
                <w:lang w:bidi="ar"/>
              </w:rPr>
              <w:t xml:space="preserve">实验器材：药匙、胶头滴管、玻璃棒、</w:t>
            </w:r>
            <w:r>
              <w:rPr>
                <w:rStyle w:val="970"/>
                <w:strike w:val="0"/>
                <w:color w:val="auto"/>
                <w:highlight w:val="none"/>
                <w:lang w:bidi="ar"/>
              </w:rPr>
              <w:t xml:space="preserve">50mL</w:t>
            </w:r>
            <w:r>
              <w:rPr>
                <w:rStyle w:val="968"/>
                <w:rFonts w:hint="default"/>
                <w:strike w:val="0"/>
                <w:color w:val="auto"/>
                <w:highlight w:val="none"/>
                <w:lang w:bidi="ar"/>
              </w:rPr>
              <w:t xml:space="preserve">烧杯、</w:t>
            </w:r>
            <w:r>
              <w:rPr>
                <w:rStyle w:val="970"/>
                <w:strike w:val="0"/>
                <w:color w:val="auto"/>
                <w:highlight w:val="none"/>
                <w:lang w:bidi="ar"/>
              </w:rPr>
              <w:t xml:space="preserve">100mL</w:t>
            </w:r>
            <w:r>
              <w:rPr>
                <w:rStyle w:val="968"/>
                <w:rFonts w:hint="default"/>
                <w:strike w:val="0"/>
                <w:color w:val="auto"/>
                <w:highlight w:val="none"/>
                <w:lang w:bidi="ar"/>
              </w:rPr>
              <w:t xml:space="preserve">烧杯、</w:t>
            </w:r>
            <w:r>
              <w:rPr>
                <w:rStyle w:val="970"/>
                <w:strike w:val="0"/>
                <w:color w:val="auto"/>
                <w:highlight w:val="none"/>
                <w:lang w:bidi="ar"/>
              </w:rPr>
              <w:t xml:space="preserve">250mL</w:t>
            </w:r>
            <w:r>
              <w:rPr>
                <w:rStyle w:val="968"/>
                <w:rFonts w:hint="default"/>
                <w:strike w:val="0"/>
                <w:color w:val="auto"/>
                <w:highlight w:val="none"/>
                <w:lang w:bidi="ar"/>
              </w:rPr>
              <w:t xml:space="preserve">烧杯、试管夹、</w:t>
            </w:r>
            <w:r>
              <w:rPr>
                <w:rStyle w:val="970"/>
                <w:strike w:val="0"/>
                <w:color w:val="auto"/>
                <w:highlight w:val="none"/>
                <w:lang w:bidi="ar"/>
              </w:rPr>
              <w:t xml:space="preserve">10mL</w:t>
            </w:r>
            <w:r>
              <w:rPr>
                <w:rStyle w:val="968"/>
                <w:rFonts w:hint="default"/>
                <w:strike w:val="0"/>
                <w:color w:val="auto"/>
                <w:highlight w:val="none"/>
                <w:lang w:bidi="ar"/>
              </w:rPr>
              <w:t xml:space="preserve">量筒、秒表、球型分液漏斗、锥形瓶、长直角玻璃管、短直角玻璃管、圆底烧瓶、止水皮管夹、酒精灯、表面皿、石棉网、</w:t>
            </w:r>
            <w:r>
              <w:rPr>
                <w:rStyle w:val="970"/>
                <w:strike w:val="0"/>
                <w:color w:val="auto"/>
                <w:highlight w:val="none"/>
                <w:lang w:bidi="ar"/>
              </w:rPr>
              <w:t xml:space="preserve">U</w:t>
            </w:r>
            <w:r>
              <w:rPr>
                <w:rStyle w:val="968"/>
                <w:rFonts w:hint="default"/>
                <w:strike w:val="0"/>
                <w:color w:val="auto"/>
                <w:highlight w:val="none"/>
                <w:lang w:bidi="ar"/>
              </w:rPr>
              <w:t xml:space="preserve">形管、口部具支试管、培养皿等。</w:t>
            </w:r>
            <w:r>
              <w:rPr>
                <w:rStyle w:val="968"/>
                <w:rFonts w:hint="default"/>
                <w:strike w:val="0"/>
                <w:color w:val="auto"/>
                <w:highlight w:val="none"/>
                <w:lang w:bidi="ar"/>
              </w:rPr>
              <w:br/>
            </w:r>
            <w:r>
              <w:rPr>
                <w:rStyle w:val="968"/>
                <w:rFonts w:hint="default"/>
                <w:strike w:val="0"/>
                <w:color w:val="auto"/>
                <w:highlight w:val="none"/>
                <w:lang w:bidi="ar"/>
              </w:rPr>
              <w:t xml:space="preserve">可做实验：</w:t>
            </w:r>
            <w:r>
              <w:rPr>
                <w:rStyle w:val="970"/>
                <w:strike w:val="0"/>
                <w:color w:val="auto"/>
                <w:highlight w:val="none"/>
                <w:lang w:bidi="ar"/>
              </w:rPr>
              <w:t xml:space="preserve">1</w:t>
            </w:r>
            <w:r>
              <w:rPr>
                <w:rStyle w:val="968"/>
                <w:rFonts w:hint="default"/>
                <w:strike w:val="0"/>
                <w:color w:val="auto"/>
                <w:highlight w:val="none"/>
                <w:lang w:bidi="ar"/>
              </w:rPr>
              <w:t xml:space="preserve">、探究盐酸与镁反应前后溶液的温度变化；</w:t>
            </w:r>
            <w:r>
              <w:rPr>
                <w:rStyle w:val="970"/>
                <w:strike w:val="0"/>
                <w:color w:val="auto"/>
                <w:highlight w:val="none"/>
                <w:lang w:bidi="ar"/>
              </w:rPr>
              <w:t xml:space="preserve">2</w:t>
            </w:r>
            <w:r>
              <w:rPr>
                <w:rStyle w:val="968"/>
                <w:rFonts w:hint="default"/>
                <w:strike w:val="0"/>
                <w:color w:val="auto"/>
                <w:highlight w:val="none"/>
                <w:lang w:bidi="ar"/>
              </w:rPr>
              <w:t xml:space="preserve">、探究八水合氢氧化钡晶体与氯化铵晶体反应前后固体的温度变化；</w:t>
            </w:r>
            <w:r>
              <w:rPr>
                <w:rStyle w:val="970"/>
                <w:strike w:val="0"/>
                <w:color w:val="auto"/>
                <w:highlight w:val="none"/>
                <w:lang w:bidi="ar"/>
              </w:rPr>
              <w:t xml:space="preserve">3</w:t>
            </w:r>
            <w:r>
              <w:rPr>
                <w:rStyle w:val="968"/>
                <w:rFonts w:hint="default"/>
                <w:strike w:val="0"/>
                <w:color w:val="auto"/>
                <w:highlight w:val="none"/>
                <w:lang w:bidi="ar"/>
              </w:rPr>
              <w:t xml:space="preserve">、原电池实验；</w:t>
            </w:r>
            <w:r>
              <w:rPr>
                <w:rStyle w:val="970"/>
                <w:strike w:val="0"/>
                <w:color w:val="auto"/>
                <w:highlight w:val="none"/>
                <w:lang w:bidi="ar"/>
              </w:rPr>
              <w:t xml:space="preserve">4</w:t>
            </w:r>
            <w:r>
              <w:rPr>
                <w:rStyle w:val="968"/>
                <w:rFonts w:hint="default"/>
                <w:strike w:val="0"/>
                <w:color w:val="auto"/>
                <w:highlight w:val="none"/>
                <w:lang w:bidi="ar"/>
              </w:rPr>
              <w:t xml:space="preserve">、简易电池的设计与制作；</w:t>
            </w:r>
            <w:r>
              <w:rPr>
                <w:rStyle w:val="970"/>
                <w:strike w:val="0"/>
                <w:color w:val="auto"/>
                <w:highlight w:val="none"/>
                <w:lang w:bidi="ar"/>
              </w:rPr>
              <w:t xml:space="preserve">5</w:t>
            </w:r>
            <w:r>
              <w:rPr>
                <w:rStyle w:val="968"/>
                <w:rFonts w:hint="default"/>
                <w:strike w:val="0"/>
                <w:color w:val="auto"/>
                <w:highlight w:val="none"/>
                <w:lang w:bidi="ar"/>
              </w:rPr>
              <w:t xml:space="preserve">、影响化学反应速率的因素；</w:t>
            </w:r>
            <w:r>
              <w:rPr>
                <w:rStyle w:val="970"/>
                <w:strike w:val="0"/>
                <w:color w:val="auto"/>
                <w:highlight w:val="none"/>
                <w:lang w:bidi="ar"/>
              </w:rPr>
              <w:t xml:space="preserve">6</w:t>
            </w:r>
            <w:r>
              <w:rPr>
                <w:rStyle w:val="968"/>
                <w:rFonts w:hint="default"/>
                <w:strike w:val="0"/>
                <w:color w:val="auto"/>
                <w:highlight w:val="none"/>
                <w:lang w:bidi="ar"/>
              </w:rPr>
              <w:t xml:space="preserve">、化学能转化成电能；</w:t>
            </w:r>
            <w:r>
              <w:rPr>
                <w:rStyle w:val="970"/>
                <w:strike w:val="0"/>
                <w:color w:val="auto"/>
                <w:highlight w:val="none"/>
                <w:lang w:bidi="ar"/>
              </w:rPr>
              <w:t xml:space="preserve">7</w:t>
            </w:r>
            <w:r>
              <w:rPr>
                <w:rStyle w:val="968"/>
                <w:rFonts w:hint="default"/>
                <w:strike w:val="0"/>
                <w:color w:val="auto"/>
                <w:highlight w:val="none"/>
                <w:lang w:bidi="ar"/>
              </w:rPr>
              <w:t xml:space="preserve">、化学反应速率的影响因素；</w:t>
            </w:r>
            <w:r>
              <w:rPr>
                <w:rStyle w:val="970"/>
                <w:strike w:val="0"/>
                <w:color w:val="auto"/>
                <w:highlight w:val="none"/>
                <w:lang w:bidi="ar"/>
              </w:rPr>
              <w:t xml:space="preserve">8</w:t>
            </w:r>
            <w:r>
              <w:rPr>
                <w:rStyle w:val="968"/>
                <w:rFonts w:hint="default"/>
                <w:strike w:val="0"/>
                <w:color w:val="auto"/>
                <w:highlight w:val="none"/>
                <w:lang w:bidi="ar"/>
              </w:rPr>
              <w:t xml:space="preserve">、中和反应反应热的测定；</w:t>
            </w:r>
            <w:r>
              <w:rPr>
                <w:rStyle w:val="970"/>
                <w:strike w:val="0"/>
                <w:color w:val="auto"/>
                <w:highlight w:val="none"/>
                <w:lang w:bidi="ar"/>
              </w:rPr>
              <w:t xml:space="preserve">9</w:t>
            </w:r>
            <w:r>
              <w:rPr>
                <w:rStyle w:val="968"/>
                <w:rFonts w:hint="default"/>
                <w:strike w:val="0"/>
                <w:color w:val="auto"/>
                <w:highlight w:val="none"/>
                <w:lang w:bidi="ar"/>
              </w:rPr>
              <w:t xml:space="preserve">、定性与定量研究影响化学反应速率的因素；</w:t>
            </w:r>
            <w:r>
              <w:rPr>
                <w:rStyle w:val="970"/>
                <w:strike w:val="0"/>
                <w:color w:val="auto"/>
                <w:highlight w:val="none"/>
                <w:lang w:bidi="ar"/>
              </w:rPr>
              <w:t xml:space="preserve">10</w:t>
            </w:r>
            <w:r>
              <w:rPr>
                <w:rStyle w:val="968"/>
                <w:rFonts w:hint="default"/>
                <w:strike w:val="0"/>
                <w:color w:val="auto"/>
                <w:highlight w:val="none"/>
                <w:lang w:bidi="ar"/>
              </w:rPr>
              <w:t xml:space="preserve">、探究浓度对化学平衡的影响；</w:t>
            </w:r>
            <w:r>
              <w:rPr>
                <w:rStyle w:val="970"/>
                <w:strike w:val="0"/>
                <w:color w:val="auto"/>
                <w:highlight w:val="none"/>
                <w:lang w:bidi="ar"/>
              </w:rPr>
              <w:t xml:space="preserve">11</w:t>
            </w:r>
            <w:r>
              <w:rPr>
                <w:rStyle w:val="968"/>
                <w:rFonts w:hint="default"/>
                <w:strike w:val="0"/>
                <w:color w:val="auto"/>
                <w:highlight w:val="none"/>
                <w:lang w:bidi="ar"/>
              </w:rPr>
              <w:t xml:space="preserve">、盐类水解的应用；</w:t>
            </w:r>
            <w:r>
              <w:rPr>
                <w:rStyle w:val="970"/>
                <w:strike w:val="0"/>
                <w:color w:val="auto"/>
                <w:highlight w:val="none"/>
                <w:lang w:bidi="ar"/>
              </w:rPr>
              <w:t xml:space="preserve">12</w:t>
            </w:r>
            <w:r>
              <w:rPr>
                <w:rStyle w:val="968"/>
                <w:rFonts w:hint="default"/>
                <w:strike w:val="0"/>
                <w:color w:val="auto"/>
                <w:highlight w:val="none"/>
                <w:lang w:bidi="ar"/>
              </w:rPr>
              <w:t xml:space="preserve">、简单的电镀实验；</w:t>
            </w:r>
            <w:r>
              <w:rPr>
                <w:rStyle w:val="970"/>
                <w:strike w:val="0"/>
                <w:color w:val="auto"/>
                <w:highlight w:val="none"/>
                <w:lang w:bidi="ar"/>
              </w:rPr>
              <w:t xml:space="preserve">13</w:t>
            </w:r>
            <w:r>
              <w:rPr>
                <w:rStyle w:val="968"/>
                <w:rFonts w:hint="default"/>
                <w:strike w:val="0"/>
                <w:color w:val="auto"/>
                <w:highlight w:val="none"/>
                <w:lang w:bidi="ar"/>
              </w:rPr>
              <w:t xml:space="preserve">、制作简单的燃料电池等。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1、容量20mL聚丙烯工程塑料；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2、耐丙酮、酒精、石油醚、甲醇、乙酸、四氯化碳。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电荷间作用力实验器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产品主要由底座、大球、带线小球、刻度尺、伸缩杆等组成。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自感现象演示器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1、主线圈：带铁芯线圈；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2、显示方式：高亮度LED发光二极管；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3、工作电源：CD3V（5电池二节）。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喷笔上色工作台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电压：220-240V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功率：15W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噪音：45分贝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重量：约4.7KG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排风量：5.2立方米/MIN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展开尺寸40.5*43.5*33（cm）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外箱尺寸47*27.5*36(cm)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中号试管刷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金刚砂砂轮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形状：平形（最常用）、杯形、碟形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外径：150mm（教学砂轮机标配）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磨料：人造金刚石（金刚砂）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粒度（目数）：80#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结合剂：树脂结合剂（教学 / 手工常用，韧性好、易修整）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工作线速度：≤35 m/s（安全转速）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1、标本在80x和200x学生显微镜下观察运动神经原的形态；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2、能看清运动神经原的细胞体和突起、细胞体内的胞核、少量的神经纤维和神经胶质细胞的胞核；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3、不要求显示尼氏体；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4、标本取材于脊髓灰质前角中的运动神经原，作涂片或分离装片；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5、用能显示细胞结构和不易褪色的方法染色；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6、神经原应分布均轧形态正执无破碎现象。在80x镜下盖玻片中间部分的任一视野内应不少于五个运动神经原；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8、产品应符合JY99－82《运动神经元装片》的要求。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压缩机+ 套装喷笔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1.电流:1.6A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2.马达:DC12V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3.接口尺寸:螺纹接口1/18mm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4.输出:DC12V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5.输入:AC100V-240V50/60HZ 0.6A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6.自动停机压力:25PSI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7.空气流量:10.5L/MIN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8.调压方式:无极分流降压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9.自动开机压力:15PSI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10.声音:47分贝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11.调压范围:2-15PSI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12.电池电压容量:1.2V*100 2000MA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每组包含菱形小磁针不小于16支。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形状：正三角形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尺寸：边长 70 mm（教学常用标准）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基材：氧化铝 / 碳化硅砂面 + 背胶纸基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背面：自粘不干胶，可直接粘贴在摩擦块上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粒度：120#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特点：粘贴牢固、不易脱落、更换方便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探究法拉第电磁感应定律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一、整体规格：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2.外观尺寸：350×300×610mm (长×宽×高)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3.外观设计：马蹄形（U形）立式结构，符合人体工学，便于多角度观察。表面采用细磨砂黑纹处理，质感高级，有效减少环境光反射干扰，凸显实验现象。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4.机身材质：优质铝合金型材与Q235钢板，结构稳定。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二、核心演示组件（四管对比）：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四根长度均为550mm、外径均为Φ25mm的平行立管，提供最直观的对比实验：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1.纯铜管： 高纯度黄铜管，电导率高，涡流效应最强，磁铁下落速度最慢，现象极其明显。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2.纯铝管： 高纯度铝管，电导率次于铜，涡流效应较强，磁铁下落速度较慢，与铜管形成对比。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3.透明亚克力管(参照管)：绝缘体，无涡流效应。磁铁在重力作用下自由落体，下落速度最快，作为对比基准。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4.LED可视化亚克力管 (创新点)：管壁内侧嵌入四组均匀分布的感应线圈。每组线圈回路中连接一个高亮LED灯。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三、磁铁配置：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1.规格：钕铁硼稀土永磁环，共4个（与管道数量匹配）。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2.性能：剩磁Br ≥ 1.2T，提供极强的磁场。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3.稳定性：具有优异的温度稳定性，确保在不同环境下实验现象一致可靠。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设计：中心开孔，下落轨迹更稳定，便于重复操作。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2、规格：球形，300mm；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由底座、调解螺旋、螺母悬点螺丝横杆横丝，横杆立杆指角器，偏角指针。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送风箱风量1600/m3，整个净化级别达到10万级无尘净化级别，集成初、中、高效净化过滤器, 由风机、净化箱、风管、进出风口组成，达到10万级净化。自净器高效净化，特别是多室净化合理分配气流很重要。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雕刻刀专用多形状磨石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材质：碳化硅磨料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 240#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结构：一体成型多刃面，适配雕刻刀斜口、尖口、圆弧口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硬度：中硬耐磨，不易掉砂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1.由反应容器、硅胶塞及注液器构成。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2.材质：PET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3.工艺：丝印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1.配合温度传感器、数据采集器等硬件及中和热专用软件，用于测定强酸与强碱反应的中和热实验。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解剖器具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生物解剖器7件套、解剖针（盒）、解剖盘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※1、3顶板选者（陶瓷涂层，不锈钢或铝） - 选择任意一种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2、强大的马达可达10升搅拌能力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※3、从环境温度到320°C的温度范围，温度控制1°C /步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4、速度设置从200到2200转/分钟，转速控制为10转/步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5、运行时间-1至999分钟和无限模式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※6、具有上次运行记忆功能的微处理器控制器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7、大而清晰的关键参数显示，便于阅读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8、工作面板尺寸：140 mm，尺寸 (L x W x H)：156 x 248 x 104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9、发热量：600W，保护等级：IP 21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10、允许环境温度：5 - 40°C，允许相对湿度：80%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11、重量：2.2kg，输入电压：110v-2.65A，220v-2.65A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12、总功耗：610W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结构：玻璃管 + 金属底座阀门 + 羽毛、钱币（或金属片）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管体尺寸：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长度：约 1000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直径：约 35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材质：高硼硅玻璃管，金属密封阀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实验物体：轻质羽毛、金属片各 1 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气密性：可抽真空，密封良好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纸盆扬声器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1、直径不小于200mm，8Ω；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2、动圈式扬声器的主要性能在指向性、频响(5-5KHZ)、失真度、音质等方面符合技术要求。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1、产品为组装式，2.5N；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外壳采用镀锌板折弯焊接成型，表面喷塑，电源面板表面贴面膜，有漏电总开关、交流220V五孔带防护插座、教师用低压调整单元、学生用控制单元，低压交直流电压、40A倒计时时间均采用二位半数显表头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2、直流稳压输出：标准电压：1.5V～12V，可输出到16V，无极可调，每0.1V递增。额定电流：2A。负载特性：交流输入电压在198V～242V之间变化，在额定电流输出时电压变化≤0.2V，在交流输入220V时，纹波电压≤3mV。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3、交流稳压输出：标准电压：2V～12V，可输出0V～16V，每0.5V步进调整，自动稳压。额定电流：5A。负载特性：交流输入在220V不变时，负载电流在0至额定电流范围内变化，输出各档电压变化量±0.5V。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4、直流40A大电流：当负载大于10A时，10秒内负载自动关断，并有倒计时时间显示。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5、过载保护：当直流输出过载或短路时，自动进入恒流状态。当低压交直流长时间处在过载或短路状态下。电源自动关机。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6、电源低压交直流电压二位半数字显示，显示精度0.1V。所显示的是实际输出电压。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7、学生交流220V输出分4路，每路输出独立工作。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8、变压器输入端设有过载自恢复保护。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9、设有总电源漏电保护开关。低压交直流输出采用全铜香蕉插座，教师用五孔插座带安全防护。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结构：支架、偏心轮驱动装置、长短不同弹簧振子组、底座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驱动方式：电机带动偏心轮，提供周期性驱动力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可调频率范围：约 0.5～3 Hz（30～180 次 / 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振子数量：通常 5～6 组弹簧振子，固有频率各不相同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电机电压：DC 6V～12V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外形尺寸：约 350mm × 150mm × 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材质：金属支架、塑料底座、弹簧、钢球振子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1、不锈钢，尖头，140mm；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2、符合GB4747、1—1989《医用镊通用技术条件》的有关规定。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食盐，金刚石，石墨，明矾，石英各一种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风机软连接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1、≥φ600-φ400mm，pp材质。进出口接头采用柔性材质，消除因震动引起的微量错位对风机的影响。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净化吊顶</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钢板EPS氧指数30，50MM厚夹心硅岩净化板，双面贴膜，企口白灰色，表面喷塑密封，净化防尘防菌处理。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在绝缘底座上装一根金属杆，在金属杆上端用两个半园形的金属片之中夹约40根自由线（丝织带制成）。上端用螺母拧紧。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1、40幅；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1、全长不小于132mm，由测电头、绝缘手柄组成，测量范围：交流12V-220V；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2、刀杆材料选用优质CR-V钢，全硬热处理，达到CE标准；手柄绝缘性能良好；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3、安全、结构、外观应符合JY0001第5、6、7的有关要求执行。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24齿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齿数：24 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内孔孔径：20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刀头材质：钨钢刀头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厚度：约 0.4～0.5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转速：≤60000～72000 r/min</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5球，中学物理演示物体互相作用时动量的传递。结构；由底板、立柱、横杆、横梁等组成仪器支架。支架上悬挂五个质量相同的钢球。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1、仪器可组装金刚石晶体结构，由彩色橡胶球、塑料杆组成，演示用；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2、直径不小于29mm，球杆组装松紧适度，不应有自由转动、松脱，组装后不得有明显的弯曲变形及角度变化；教学演示效果明显。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1、包括：原油、汽油、煤油、柴油、重油、润滑油、油渣；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2、每种标本附有标签采用塑料盒包装。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2、规格：Φ200mm×100mm；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顶装智能控制器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10寸高分辨率工业触摸屏，集中控制，可执行各选项控制（配一启动按钮开关和一急停开关）1、摇臂控制：对全室摇臂进行单独或分组控制（上升、下降或暂停，上升或下降到底后摇臂会自动停止），具有防卡，防夹功能2、电源控制：对全室220V进行单独或分组控制；3、照明控制：对全室照明进行单独或分组控制；4、通风控制：触摸数字无极变频控制，具有频率数字显示功能，可精确控制通风风量；5、供水控制：对全室供排水进行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200mm碳钢材质，200mm×20mm×0.5mm，分度值0.5mm。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毛细现象演示器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1、构造一塑料盛液座，五根内径大小不同的玻璃毛细管；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2、使用说明将五根毛细管，分别插入孔内，将有色水慢慢加入盛液座内，直到浸入毛细管为止；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3、此时可以看到有色水在管内上升高度不同，毛细管内径越小有色水就上升越高。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数码显微互动设备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为保证产品的全面性，需提供至少七种显示视图，支持监控视图、报告视图、策略视图、文件提交视图、答题卡视图、抢答竞赛视图、共享白板视图等，在对应视图中能直观的操作相关功能；监控视图页面提供客户端画面监控缩略图，能够显示整个班级学生，并支持缩略图多级放大缩小。1、全面支持Windows系列，包括Windows 11（32位、64位）、支持MAC及众多Linux发行版本，兼容虚拟机。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屏幕广播：将教师机屏幕和教师讲话实时广播给单一、部分或全体学生，可选择全屏或窗口方式。窗口模式下或教师机与学生机分辨率不同情况下，学生机可以以“缩放模式”、“平移”或者“智能滚动”的窗口方式接收广播，广播窗口所在的屏幕位置有“居中”、“偏右”、“偏左”三种方式选择，此时学生可跟着教师操作，边看边练，以增加教学的直观性；支持教师根据需要选择屏幕的某个部分广播给学生，给教师留有一定的私人空间；屏幕广播的同时，支持教师指定学生演示教师机屏幕；广播多媒体课件，可使用屏幕笔添加批注，广播同时可进行屏幕录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3、学生演示：教师选定一台学生机作为示范，由此学生代替教师进行示范教学。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5、分组教学：通过分组教学，将学生分成几个组进行合作学习。小组长可使用多种功能来辅导同伴，例如：广播教学、监视、文件分发和网络影院。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6、屏幕监视：教师机可以监视单一、部分、全体学生机的屏幕，教师机每屏可监视多个学生屏幕。可以控制教师机监控的同屏幕各窗口间、屏幕与屏幕间的切换速度。可手动或自动循环监视。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白板：教师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8、标准化考试：教师将试卷分发给学生即可开始考试</w:t>
            </w:r>
            <w:r>
              <w:rPr>
                <w:rFonts w:hint="eastAsia" w:ascii="宋体" w:hAnsi="宋体" w:cs="宋体"/>
                <w:color w:val="000000"/>
                <w:sz w:val="20"/>
                <w:szCs w:val="20"/>
                <w:lang w:bidi="ar"/>
              </w:rPr>
              <w:t xml:space="preserve">，教师导入word、ppt、excel、pdf等文档类型的考试内容共享给学生，直接生成答题卡用于学生作答，包含多种不同的题型：多选题，判断题，填空题和论述题等。考试过程中，可以看到学生答题的进度，答题情况。考试过程中可以教师如有问题补充，可暂停考试，在特殊情况下，可以暂挂考试，下次启动后可继续考试；考试过程中如有断电、关机等意外情况学生机可断线重连，考试结束后学生可提交或时间到自动提交。自动评分，柱状图分析统计结果，将评分结果发送给学生，考试结果统一导出 为.html/xml 形式，方便数据后期的整合利用。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9、作业下发:可以将图片或office文件下发给学生作为课后作业。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10、语言选择:中英文可选，满足双语教学需求。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1、铝铁碳，150mm；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2、教学用磁钢极性标注，指北极（N）为红色，指南极（S）为白色或蓝色；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3、N、S字母的颜色为蓝色或白色；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3、试验后磁感应强度不小于第1条的要求。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圆水槽</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2、圆形，Φ270mm×140mm；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1、表面镀镍（镀锌或镀铬）的金属空壳，球形导体呈球状；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2、三角形底座；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3、插在底座上的有机玻璃棒。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比色管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25mL，符合JY/T0423-2011《教学用玻璃仪器一般质量要求和试验方法》的规定。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形状：正三角形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边长：70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粒度：120#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基材：碳化硅 / 氧化铝砂面，纸基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背面：强力自粘不干胶，可直接粘贴摩擦块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包装：25 片 / 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吊架外壳功能板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1、规格：采用ABS注塑成型，经高温模压工艺一次成型，表面光滑，环保无毒，生产工业采取模块组合，便于安装，外观流线形设计，简洁美观，高温固化处理，耐腐蚀。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光谱管组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1、光谱管组是一种低气压放电管，用来观察气体的发射光谱；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2、每组6支，每支玻璃管两端均装有电极。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1、分组实验，进行定性观测和定量研究物体在自由降落状态下的运动规律，钢球直径10mm，便携式支架。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无线数显pH传感器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1.用于测量溶液中的pH，可测量有色溶液的酸碱度；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2.性能：测量范围：0~14；分度：0.01；准确度：0.15；最大采样率：5KHz；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3.温度范围：0-80℃（塑壳）,0-100℃（玻璃），电缆长度：1m，电极杆长度：120mm，电极杆直径：12mm，斜率：≥97%，电阻：≤250M，零点：7.00±0.25pH；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使用BNC连接器方式与电极连接；具有快速响应的特点，测量数据能在5秒内达到真实值的90%， 10秒内稳定；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份</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密立根油滴仪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1、验证电荷的不连续性，测定基本电荷的大小；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4、学会对仪器的调整、油滴的选定、跟踪、测量以及数据的处理。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1、平均极板间距离：5.00±0.01mm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2、放大倍数：30， 焦 距：48mm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3、分划板满刻度当量：3.0±0.01mm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4、连续跟踪带电油时：≥2h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5、起辉电压：1500V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6、改变油滴带电量时间：≤5S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7、平均相对误差：≤3%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8、CCD 电子显示：800TVL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9、工作电压：DC500V，线视场 ：3.5mm。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1、标本在80X和200X学生显微镜下观察骨骼肌纵横切破片标志；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2、在纵断面上能起看清肌外膜和成束的股双维,股纤维上有显暗相间的横纹,即明带和暗带。在肌膜下可见圆形或长形的胞核；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3、在横断面上能起看清肌外膜、肌束膜、肌纤维及其胞核和小血管等；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4、标本取材于哺乳动物的隔肌；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5、纵横切片的厚度均在8μm以丸每张玻片放纵、横切各一片；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6、明暗带及胞核等应着色清晰,对比协调；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7、纵切材料的肌纤维应伸直,成纵断面的肌纤维不得不于90%,肌膜无裂隙;横切材料肌纤维囊应不收缩、无裂隙;纵横切材料的肌模,肌外膜均应完整无皱褶；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9、产品应符合JY96－82《骨骼肌纵横切片》的要求。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油石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材质：棕刚玉（氧化铝）/ 绿碳化硅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常用粒度：180#～600#（粗磨～精磨）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常见尺寸：100×25×12 mm、150×50×25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硬度：中硬（HRA 80～90）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结合剂：陶瓷结合剂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2、规格：平底，250mL；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1、产品由塑料底板和储气室、热敏电阻及相应的电子放大器组成；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2、盒尺寸：145*105*55mm。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简易综合箱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铝合金箱体内，包含消毒用品、包扎辅料、防护用品及裁剪器材；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highlight w:val="none"/>
              </w:rPr>
            </w:pPr>
            <w:r>
              <w:rPr>
                <w:rFonts w:hint="eastAsia" w:ascii="宋体" w:hAnsi="宋体" w:cs="宋体"/>
                <w:color w:val="000000"/>
                <w:sz w:val="20"/>
                <w:szCs w:val="20"/>
                <w:highlight w:val="none"/>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碰撞实验器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由铝合金轨道、支架、铝合金轨道长度，组成一体。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风洞实验套装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1、风洞参数: 440*140*148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空气流速度: 6.5 - 14.1 m/s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 15°C - 35 °C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高采样率速：4个传感器模拟和数字输入，15 MHz 采样率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个模拟差分输入:范围±30V, ±15V, ±5V, ±0.25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个模拟输出范围:±10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内置函数发生器  可配合数据记录仪使用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2、数据记录仪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4通道传感器端，4通道模拟端，双独立高频函数发生器可以连接各种传感器与模拟输出仪器运行实时采集与分析。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内部存储器不少于5G。可插外部存储器保存。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可同时测量四通道电压值，采样率可达15Mhz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模拟端分辨率12位最低采样段66ns，调节步长1纳秒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电压分布每端口可调±30 V, ±15 V, ±5 V, ±0,25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USB连接，含嵌入式软件，免驱动，随时更换电脑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传感器和数据记录器链接时可提醒。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传感器端兼容多样化实验传感器，传感器有独立显示LCD屏幕具有双独立高频函数发生器(正弦波，三角波，利基，信号恢复)：输出范围：±10 V、输出电流50mA、输出阻抗：50欧姆、采样率：5MS / s每个传感器均需有LED灯来判定工作状态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数字式，4-1/2位，电压﹑电流﹑电阻﹑温度测试﹑电容﹑二极管测试。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蝴蝶标本墙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背板采用1cm高密 PVC 底板覆3mm亚克力,UV打印，蝴蝶标本固定于背板上，配套蝴蝶名称、科属等相关信息，不少于15个，约10cm。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无线数显氧气传感器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1.用于测量待测气体中氧气的含量；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2.性能：测量范围：0～100％，分度：0.1％；准确度：±1%（0-50%)、±2%(50.1%-100%)；最大采样率：5KHz；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3.技术指标：工作温度5℃～40℃，工作湿度0～95%RH（无冷凝），储存温度-15℃～50℃，响应时间(T90)＜15秒；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4.结构：氧气传感器探头外壳直径36.8mm，探头部分直径20mm,探头整体高度50mm,线长80cm；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8.设有硬件校准按键，可通过按键校准空气中氧气的含量：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墙面粉刷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1、清理原墙面基础（此清理不含产墙皮）；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2、刷界面剂一遍；批刮美巢821腻子粉2-3遍找平、并打磨平整；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3、刷底漆一遍，面漆两遍（立邦漆）。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保温漏斗整体用约0.5mm厚的黄铜皮制成，分漏斗体、漏斗颈、加热头三部分。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结构为座式。金属制作，壁厚1mm，火焰温度可达1200摄氏度。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1、主要由壶体、燃杯、壶嘴、喷管、火苗调节杆、钢针组成；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2、壶体外形尺寸：容量250ml；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3、喷管与壶体连接螺纹、壶体密封盖无漏气现象；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4、焊接部位应焊接牢固、光滑。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隔热网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2、规格：U形，Φ20mm×200mm；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气体定律实验器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1、要提供修正体积数据；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2、由气筒、活塞组成；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3、气筒5mL。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1、本仪器包含：红外线发现实验器、红外线性质说明器和红外线控制器，三套实验装置；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翻转扇形桌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规格：≥750*576*750mm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1、台面及前挡板优质刨花板（三聚氰胺板）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2、台面托架采用优质冷轧钢板经冲压折弯工艺一体而成，表面采用防锈静电喷涂处理,实用牢固，承受力大。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3、桌子书包斗：采用高强度铝合金结构，承重性好，整体造型外观饱满，精致大方。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4、桌腿采用人字型结构，前后脚表面采用防锈静电喷涂处理及塑料配件而成，整体牢固耐用，美观大方，承受力大。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无线数显相对湿度传感器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1.用于测量容器内的湿度；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2.性能：测量范围：0～100%，分度0.1％；准确度：≤±5%（20%-70%），≤±6%（&lt;20%,&gt;70%）；最大采样率：5KHz；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3.技术指标：探管φ9mm，长度57mm，工作温度-40℃～100℃，存储温度-40℃～125℃，压力范围700～1100mbar，响应时间(T90)＜5秒；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4.结构：传感器尺寸：133*40*25(mm)，由高强度塑料外壳封装，采用注塑工艺，材质为蓝色透明PC。外壳设计M5螺丝孔位，可将传感器固定在多种操作和装置上；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无线数显色度计&amp;浊度计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浊度：0~400NTU，分度：0.1 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透光率：0～100％，分度：0.1%；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吸光度：0-3，分度：0.001。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2.测量波长：色度六种波长：650nm（红色）、600nm（橙色）、570nm（黄色）、550nm（绿色）、500nm（蓝色）和450nm（紫色）；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浊度波长：850nm；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浊度：0-25NTU ≤±2NTU，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25-400NTU ≤±5% F.S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4.传感器由高强度塑料外壳封装，采用注塑工艺，材质为黑色ABS。外壳设计M5螺丝孔位，可将传感器固定在多种操作和装置上；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9.可完成检测生物组织中的蛋白质、浓度对化学反应速率的影响、测定有色溶液的浓度等实验。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1、标本在80×和200×学生显微镜下，观察洋葱根尖分生区有丝分裂形态；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2、能看清有丝分裂各时期染色体形态分布；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3、染色体着色均匀清晰。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顶装内胆主体架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1、结构参数：隔层板、左右铝合金外壳、支撑架采用扣压式组装链接一体，具有质量轻、强度高、耐腐蚀、结构稳定等特点。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2、技术参数：舱体底层隔层板采用厚度：≥1.0mm的冷轧钢板，规格：≥1200mm*520mm。支撑架采用冷轧钢板。所有的金属件表面经环氧树脂粉末喷涂高温固化处理，具有阻燃性强和耐酸碱、耐腐蚀等特点。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1、产品为炼铁高炉缩小模型，装置于底座上，模型高度的最小尺寸：620mm；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2、模型应能正确显示高炉“腰粗、喉细”的整体特征，并应显示炉喉、炉身、炉腰、炉腹、炉缸等各部分结构；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4、产品的主要结构应用标签注明，标注应准确、清晰、牢固；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斜口钳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规格：5 寸 / 125mm（常用）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材质：高碳钢锻造，整体淬火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钳头：斜口剪切型，刃口锋利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表面处理：抛光镀铬或发黑防锈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手柄：PVC 防滑绝缘手柄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突发事件接警云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功能特性：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统计显示内容：可对报警设备总数统计，包括设备在线率、设备总数、在线设备、离线设备、报警设备、预警数量以及监测时长等数据展示。设备在线列表：可展示报警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2、基础数据管理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（1）信息处理：应当突发事件接警客户端弹出警情信息，可以进行查看具体的报警信息，并且能够对该报警信息作出上报、误报、开警号、关警号、防护、停警声等相应的处理操作。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（2）支持广域网操作和管理，学校用户支持通过电脑端或手机端完成所有的管理操作，方便学校进行账户管理；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（3）学校基础数据管理：应可以对学校、组织机构、监测楼栋以及监测空间进行管理操作功能。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（4）账号管理：应可以刷新、新增管理员、修改管理员、删除管理员、搜索管理员账号等相应的操作。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（5）设备报警记录：应可以刷新、生成Excel、搜索、查看处理状态、警情、报警时间、联系电话、地址、设备编码、防区、设备MAC、接警人、微信接警人、处理时间、地图、监控视频、防区图、离线地图。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互联功能：应可以与主机联接，当主机接收到与其相连接的分机、移动式报警控制器发出的报警信号时，主机应可以通过网线或SIM卡联网方式将报警信号传输至与其相连的突发事件接警客户端、手机APP软件或微信端以及Internet网页端接收到报警信息后，应可以自动弹出具体的警情信息、地图（包含经度、纬度、地址、地图位置）、电话、防区、报警时间、设备MAC等信息；接警客户端接收到报警信息后，显示报警信息的同时，自动开启播放以主机对应的警报声，方便师生、安保负责人通过警报声辩别何种突发事件来临，做出正确的应对措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3、应急疏散管理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管理：应可以刷新，新增设备，生成Excel，选择、查看设备编码、设备MAC、设备状态、设备地址、防区图、监控视频、离线地图、修改设备设置、删除设备、冻结、恢复、布防、撤防、全选、设置设备内容信息、搜索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（2）报警联系人：应可以刷新，新增、修改、删除以及查询报警联系人，当发生应急突发事件报警时，支持以电话、短信的方式通知报警联系人。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（3）报警参数管理：对报警设备进行报警参数进行配置管理，可选择报警设备，设置相应的推送方式、推送次数以及报警联系人；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（4）设备在线管理：应可以按照防区字段、报警设备类型进行分类查询，展示报警设备所在空间名称、设备编号、设备名称、设备在线/离线状态以及上一次在线时间等信息；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（5）设备报警记录管理：应可以查询设备的报警信息，按照报警模式、报警时间、报警设备编号、报警设备类型、报警设备位置以及报警事件进行列表显示，可查询每条报警记录的具体通知记录；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4、校端突发事件应急管理数据看板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将数据通过分类统计，进行数据可视化输出，可通过一屏实现整个校园突发事件的整体概况。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（1）设备概况：设备总数、在线设备、离线设备、设备在线率；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据统计分析：应将设备、设备警情记录、非法撤防记录、设备不在线记录按天、按月、按年进行统计，每种数据统计结果按照已处理、误报、撤防、布防四种情况进行分类,通过扇形图的方式进行直观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（3）设备在线记录：以列表的方式呈现时间、设备编号、设备类型、防区位置以及在线状态；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（4）设备防区地图：以地图的方式呈现当前防区的位置；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（5）最新报警记录：以列表的方式呈现序号、报警时间、设备编号、报警位置、报警模式、报警事件，多个报警信息进行滚动播放显示；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（6）累计事件报警数统计：按照警情、演练进行分类统计，显示累计报警数、发生警情数、发生演练报警数；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（7）警情事件统计：按照报警事件、报警模式进行分类统计，分别显示暴力袭击、火灾、空袭报警、地震报警发生次数；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（8）警情趋势图：统计今年累计发生的警情数量，演练数量，通过柱状图按照月份进行直观统计显示。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无线数显钙离子传感器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功能模块用于测量溶液中钾离子的含量；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性能：L；分度：10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材质：高硼硅玻璃（加厚防爆）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结构：一体成型，带长导管进气、短导管出气，磨砂口密封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瓶身直径：约 70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总高度：约 180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导管管径：约 8mm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1、量程1000g，感量0.1g；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工作电压：直流6~9V。电流：60±10mA。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1、产品由防紫外线罩，紫外线灯，日光灯，滤光片，荧光片，主机盒等组成；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2、使用电源AC220V±22V50Hz；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3、紫外线灯为AC220V6W波长265mm、254mm各一只；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4、日光灯：220V，8W一只；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1、电阻(碳膜电阻、瓷管电阻、线绕电阻、光敏电阻、热敏电阻等)；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2、电磁继电器、电容、电感、电位器、二极管、发光二极管、三极管、集成电路块等。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1、量程100g，感量0.01g；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顶装智能总控柜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1、结构参数：总控柜挂壁式结构设计，整体规格：≥450*200*900mm；箱体厚度为：≥1mmSPCC冷轧钢板，表面光滑，不易变形，强度高等特点，</w:t>
            </w:r>
            <w:r>
              <w:rPr>
                <w:rFonts w:hint="eastAsia" w:ascii="宋体" w:hAnsi="宋体" w:cs="宋体"/>
                <w:color w:val="000000"/>
                <w:sz w:val="20"/>
                <w:szCs w:val="20"/>
                <w:lang w:bidi="ar"/>
              </w:rPr>
              <w:t xml:space="preserve">钣金折弯成型，表面经酸洗磷化处理，静电喷涂环保粉末高温处理工艺，无有害物质，具有防腐性高，柜右侧上端为电气设备安装层，右侧下柜配有操作位置显示屏窗口，配有紧急停止开关、启、停开关。2、控制箱内配置要求：导轨式接线端子，电源总开关、导轨五孔插座2组，漏保漏电断路器2组，⑴.单片机控制器及功能扩展模块1套，单片机控制器及功能扩展模块1套；安全机制既长时间不操作自动切断总电源。⑵.风机变频器：箱内配置风机变频器控制器1个，功率≥5.5KVA，输入额定电压三相380V；±15%。教师端可根据教学所需，控制风量大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低频信号发生器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10Hz～1MHz，正弦波功率输出不小于5W。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1、20Hz～20kHz，可分几个频段，连续可调，有功率输出；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2、正弦波电压输出不小于3.5V（1kHz）。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环境检测实时监视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控制箱内配置精密温湿度传感器，实时监测室内的温度和湿度，实时显示当前环境的温度和湿度，为舒适的室内环境提供实时数据参考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1、交流12V；2、三根保险丝组成，正面有相应的实验电路图，电路图绘制应正确、清晰、不易脱落，图形符号应符合JY0001的有关规定。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本仪器由斜面板，底板，小车，摩擦块和滑轮支架组成，优质木材，全长1200mm。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本仪器装置有φ90×100mm有机玻璃外壳,有机玻璃上盖,隔热温层,φ60×70mm有机圆筒内，以及玻璃环形搅拌器等部件组成。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60*60mm 500张/包,硫酸纸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 翻转式电源盒，可放置在实验台两侧，书包盒中间，也可置于台面，实验和安装都非常方便。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2、配置≥2组220V国标5孔插座，保险丝保护，工作指示。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3、电源采用耐磨、耐腐蚀、耐高温（≤140℃）的面板，标识清楚。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力学综合实验套装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1、力学气桌：平整度高，重量轻，全金属，易存储，表面尺寸不小于A1纸（935*750毫米）。具有至少可以固定各种配件。三个可以调整高度的底脚螺丝。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2、运动滑块（带样机）：两个，无线，内含气浮装置，形成气垫，提供移动无摩擦环境，可在移动中打点。直径不超过100毫米高度不超过95毫米。双色LED灯，通过快速摄像头与力学软件配合，方便检测轨迹。重量 =0.5×小车质量，超载配件刻度使用牛顿单位。内部可以连接一个锂电池可以驱动小车至少30分钟，配备控制器，设置打点时间间隔。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3、无弹性碰撞配件：提供两个划痕以确保两个运动物体之间的连接可以显示无弹性碰撞实验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4、校准力发射器：弹簧刚度200N/m，可调压力范围:4-9 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5、与力学气桌匹配的红外发射和接受框，通过配套软件，显示运动轨迹。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充电式，LED灯头，金属材质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可密封长玻璃管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内径10mm×1000mm，有胶塞，带刻度衬板。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水火箭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1、安装发射架，装上四根导向杆，调整发射角度，拧紧左右两侧的定位螺丝；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先将水火箭瓶体装入1/4到1/3的水，将瓶口内侧的水用纸巾擦干（增大摩擦系数），用力将制作好的胶塞喷嘴塞入瓶口，尽力完全塞进去，然后用六角扳手将气门嘴上的六角螺母拧紧，胶塞受挤膨胀后自然会跟瓶口紧密结合，这样才能尽可能增大气压，让水火箭飞得更高更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3、将气门嘴上的金属套帽先旋掉，现在将水火箭倒过来安放到发射架上，气门嘴刚好从上板中央的圆孔穿过，然后将气门嘴金属套帽拧上；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4、用打气筒给充气，气压足够大时将胶塞冲开，箭体在反冲作用下高速射出。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灭火设备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1、≥4KG干粉灭火器，符合安全条例，满足意外事故需要；两个灭火器和1个灭火器箱；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1、包括：铜矿、铝矿、钨矿、锡石矿、铁矿、铁、铅矿、锡、铝合金、钛金；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3、塑料包装盒。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照明灯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600*600mm平板灯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台式砂光机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产品功率:1200W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砂带打磨宽:150mm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砂带打磨长:341mm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砂带尺寸:152X1220mm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砂盘尺寸:Ф250mm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产品重量:42.5kg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包装尺寸:75.5X45.5X46.5cm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产品转速:2850 r/min</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无线数显压强传感器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1.用于直接测量气体的绝对压强；配件：20mL注液器。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~700 kPa；分度：0.1 kPa；准确度：1kPa；最大采样率：5KHz；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范围：0到210千帕(0到2.1大气压或0到1600毫米-汞柱)；最大不会导致永久性破坏压力：405千帕(4大气压)；使用工厂校准的准确度：±4kPa；在空气中使用单点自定义校准的准确度：±3kPa；反应时间：10毫秒；内部体积：0.8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4.结构：塑料软管内径φ4、外径φ6，长55mm；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活扳手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1、材质：优质中碳钢；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2、规格：200mm。活动扳手；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3、其他符合GB/T4440-1998《活扳手》的要求。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1、由铁环和3只脚组成；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2、三只脚与铁环焊接紧固，脚距相等，立放台上时圆环应与台面平行，所支承的容器不得有滑动。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百分表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测量范围：0～10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分度值：0.01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精度：±0.01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示值误差：≤0.02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测杆行程：10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表盘刻度：圆周 100 格，每圈代表 1mm 行程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结构：防震机芯，硬质合金测头，带燕尾安装座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包括金刚石、石墨、碳-60三种结构模型；小型，球管式，可拆卸。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手提式，18L、不锈钢、直径34cm压力消毒锅；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1、盖上装有工作压力为0.14MPa的安全阀和能承受蒸汽压力为0.165MPa的放汽阀，使用安全，性能可靠；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2、盖上装有刻度压力表外圈红字表示温度内圈黑字表示压力，显示明确。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2、厚薄均匀，不得有刺手现象；规格：试管外径Φ15mm，试管高150mm；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3、截面应为适度的圆形；试管口部是熔光的平口；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2284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舱体末端封板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1、结构参数：末端堵头与外壳用扣压式组装，具有质量轻、强度高、耐腐蚀、结构稳定后期检修便捷等特点。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2、技术要求：采用ABS工程材料，必须由模具注塑一次成型，规格：≥510*520*240mm。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无线数显力传感器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1.可用于测拉力（显示正值）和压力（显示负值）；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2.性能：测量范围：-20N~+20N；分度：0.01N；准确度：0.1N；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3.原理：传感器的敏感元件是电阻式应变计，它由电阻应变片、悬臂梁和传感器电路构成。悬臂梁受力后产生形变，应变片将悬臂梁的形变转换为电阻值的变化，通过传感器电路处理后即可转换为力的变化。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4.结构：手柄式结构，由传感器数据处理电路和金属测钩构成，通过螺纹连接；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10.可完成实验：胡克定律、摩擦力、探究滑动摩擦力的影响因素、力的合成与分解、牛顿第三定律、超重与失重、研究向心力与质量、角速度和半径之间的关系、研究变力作用下的动量定理等实验。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2、规格：锥形，50mL；壁厚：不小于1mm；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操作台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规格：2400*1200*750mm，台面板材：一体化台面，采用知名品牌12.7mm厚实心理化板。理化板抗翘曲、易清洁、防水、防火、耐酸碱、耐腐蚀、防静电。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台身结构：铝合金框架结构,框架采用国标Ф50 mm±1.2mm 圆管为立腿，横管为32×28±1.2mm方管，铝合金型材的壁厚不小于1.0mm（±0.2 mm）。铝合金表面静电喷塑，连接件为ABS工程塑料连接件。铝合金型材应带凹槽，凹槽的宽度、深度应与所采用的柜体板材相匹配，接缝严密，无晃动现象。桌架整体耐腐蚀、防火、防潮、稳固耐用；背板侧板及吊板采用16mm厚优质三聚氰胺板双贴面密度板，所有板材外露端面采用高质量PVC封边条，利用机械封边机配以热溶胶高温封边，高密封性不吸水、不膨胀，外型美观、经久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脚垫：采用特制模具ABS注塑脚垫，高度可调，可有效防止台身受潮，延长设备 的使用寿命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1、产品为有效量程为25mm、测量精度为0.01mm的测砧为固定式的千分尺；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2、采用钢材制造，表面抛光处理；其中砧头用优质钢材制造；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标本类型：永久装片 / 涂片（口腔上皮细胞 / 洋葱内表皮细胞）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适用范围：中小学生物教学观察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载玻片：76.2 mm × 25.4 mm，厚度 1.0–1.2 mm，无划痕、无气泡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盖玻片：24 mm × 24 mm，厚度 0.13–0.17 mm，透明洁净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标本厚度：单层细胞，无重叠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染色方法：甲基绿 - 吡罗红（Methyl Green-Pyronin Y）染色法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染色剂：甲基绿 - 吡罗红混合染液，pH 4.8（醋酸缓冲液）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染色时间：5–10 min（室温）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结果判读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DNA：细胞核呈绿色 / 蓝绿色（主要分布）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RNA：细胞质呈红色 / 粉红色（主要分布）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核仁：红色（富含 RNA）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泥三角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1、金属丝外套石棉筒；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2、等边三角形的单边长不小于80㎜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1、技术规格：电阻20Ω；额定电流2A；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2、电阻值误差应小于10％；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3、滑动变阻器绕线应紧密排齐、平整；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4、电阻线绝缘层承受不低于1.5kV的电压不被击穿；滑动变阻器承受1.5kV的电压试验，不应出现飞弧或击穿现象；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8、滑动头与电阻线、滑杆保持良好的弹性接触，触头应圆滑，压力均匀，滑动应顺畅；滑动头在电阻线上滑动时，电阻值应均匀变化，不得有间断跳跃现象。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1、高中演示电流电压表为指针式内磁结构。供教学演示实验中作检流计，及测量直流电流、直流电压、交流电流、交流电压等之用；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2、基本误差：±2.5%；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3、阻尼时间：≤6s。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1、实验用加热仪器100mm，陶瓷制造；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2、口圆整、光滑，不得有缺口，厚薄均匀，底部平整，不凸凹，放置平面不摇晃，器身不扁瘪；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3、蒸发皿的形状应规整，不得有裂纹和妨碍使用的熔洞、斑点、缺釉等缺陷；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4、吸水率：不大于0.3%；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5、釉的耐酸性：带釉蒸发皿内表面釉的损失量不大于0.01mg/cm2；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6、釉的高温粘结性：将带釉蒸发皿加热至900℃时，不出现釉粘结现象；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7、热稳定性：产品在高于室温230℃至室温的水中热交换一次，不出现裂痕或色斑；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8、按使用温度可分为：带釉蒸发皿和无釉蒸发皿。带釉蒸发皿使用温度不高于1000℃，无釉蒸发皿使用温度不高于1250℃。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瓶体材质：高硼硅 3.3 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瓶型：直三口 / 斜三口（常用斜三口）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主口规格：24# 标准磨口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侧口规格：2×19# 或 2×24# 标准磨口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瓶底直径：约 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全高：约 160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壁厚：均匀加厚，耐热冲击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适用规格：适配 10mL / 25mL / 50mL 比色管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材质：优质塑料（PP / 聚甲醛）或木质、铝合金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孔数：常用 6 孔、12 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结构形式：双层多孔架，上层定位孔、下层承托孔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孔径：根据比色管外径配套，一般 16mm、21mm、27mm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外形尺寸（12 孔常用）：约 320mm × 110mm × 70mm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2V～24V，每2V一档，2V～6V/12A，8V～12V/6A，14V～24V/3A；直流稳压：1V～25V分档连续可调，2V～6V/6A，8V～12V/4A，14V～24V/2A；直流大电流短时输出：40A，8秒自动关断；输出端子采用Φ4mm铜芯香蕉插座或行程不小于4mm的铜接线柱；交流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a、各档空载电压应不大于1.05U标＋0.3V；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b、各档满载电压应不小于0.95U标～0.3V；直流稳压输出电压偏调：±（2％U标＋0.1V）；直流大电流短时输出电流大于10A时，20s±2s自动关断。输出短时电流为40A+10A，8s±2自动关断；过载保护；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a、电源的交流输出和直流输出电流等于或小于其额定输出电流时，电源应正常工作，当输出电流在额定输出电流值的1.05～1.5倍时，电源应能过载保护；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b、各档输出电路短路时应能自动关断；连续工作时间不少于8h。</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1、一列二孔，工作室尺寸：300mm×160mm×90mm（±20mm）；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2、功率：600W；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3、控温范围：室温+5℃～99.9℃，温度均匀性：±0.5℃，水温波动±0.5℃；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5、外壳：静电喷塑，安全可靠。不锈钢内胆拉伸成型；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6、控温：微机PID智能控制。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工作服</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1、材质：涤卡；身长120cm，颜色为白色；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2、工作服具有一定的防静电，及防酸、碱及其他化学腐蚀的能力；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3、产品应做工精细，产品外观无破损、斑点、污物等缺陷；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4、产品所用材料应能满足日常穿用和中学实验室日常使用要求，具有一定耐穿性、牢固性和和舒适感。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激光李萨如图形演示仪（箱式）</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知识点：相互垂直谐振动的合成。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1.便携箱式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2.外观尺寸34cm×26 cm×15cm；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3.频率比可调；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4.相位差可调；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5.幅度可调；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6.激光器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(1)功率：30mw;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(2)类型：红色点状；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7.现象：选择x方向和y方向简谐振动的频率比（1:1、1:2、2:3......)可以通过投影看到相应的李萨茹图形，改变两信号的相位差，同样频率比的李萨茹图形也会有所改变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600mm碳钢材质，600mm×20mm×0.5mm，分度值0.5mm。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1、产品由示教版、电极电线、容器、灵敏电流计等组成；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2、示教电路版用塑料制成。面板上带有指示用灯炮和开关；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3、电极采用耐酸、碱、盐的导电材料制成；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4、容器为耐酸、碱、盐的透明材料制成；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5、为进行比较实验，容器数量为4个；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6、产品的电源电压为直流6V。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440mm*600mm*850mm；水槽采用环保型PP材料一次性注塑成型，耐强酸碱≤80度有机溶剂并耐≥150度高温，壁厚≥3mm，具有防溢出功能。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槽柜带独立储物抽屉，抽屉隐藏于水槽柜检修门内，使用时打开，不用时不影响整体外观造型。同时水槽柜自带抽屉封板防止抽屉内物品外漏于水槽柜内，抽屉封板与水槽柜前端模具一体成型非二次组装。储物抽屉采用环保型ABS材料一次性注塑成型与水槽柜整体连接，尺寸：≥85mm*120mm*345mm，储物抽屉分为三格，每格尺寸：≥110mm*115mm*65mm；便于学生使用时存放不同洗涤辅助用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紫外灭菌车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1、紫外消毒车釆用双灯管结构，并可以单独使用，灯臂角度可以180度调节，不用时请垂放关上保护门以免灯管破坏，又能保持灯管清洁；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2、定时器可以在120分钟内定时控制消毒时间，定时器工作完毕会自行断路而灯管熄灭；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3、形式为移动式；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4、安全防护分类为I类；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5、灯臂长度为：920mm+2mm,灯臂调节角度为0-180度；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6、输入功率为:150VA；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7、环境温度：5-40C；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8、相对温度：80%；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9、电源220V+22V 50Hz+lHz；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10、紫外线波长253.7A；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1、电流电压220V50Hz；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12、功率2×30W；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13、灯臂调节角度ZXC-1型为0-180°；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14、定时范围：1-120分钟，其最大定时误差＜=15min；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15、消毒车釆用的消毒灯管符合GB19258-2003的规定；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16、熔断器规格：FUSES。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纵波演示器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1、本产品由支架、螺旋弹簧、振源及附件、连接杆和衬布等部件组成；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2、支架应有足够的强度，表面经防锈处理；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3、振子为柱体或球体金属件。表面镀铬，振子可在弹簧钢片上调整其高度；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4、弹簧钢片应有足够的长度和钢度，表面防锈处理；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5、螺旋弹簧需经防锈处理，在工作状态下应满足如下要求；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6、螺旋弹簧吊线结点应在一条直线上，且分布均匀。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2、规格：锥形，500mL；壁厚：不小于1mm；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打点纸带、墨粉纸、坐标纸、复印纸</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分离及鉴定土壤中能分解尿素的细菌培养基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尿素固体培养基：2 瓶 (35.88g/瓶)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酚红(选用)：1 瓶(5mL/瓶)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尿素：1瓶(5g/瓶)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LB固体培养基：2瓶(40g/瓶)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一次性细菌过滤器：1个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20mL塑料注液器：1个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通风控制辅材及安装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1、规格：≥3*4+2*2.5㎡；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2、线芯材质：高纯度铜，无氧化铜芯；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3、绝缘护套：耐磨、耐老化、耐腐蚀、柔软。橡皮绝缘；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4、标称截面：4㎡；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5、电压等级：中、低压电力电缆（35千伏及以下）；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笔形砂光机(需要另配电源)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1.额定电压：12 - 18V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2.直流电源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3.摆动频率：8,000次/分钟(每冲程 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4.机身长度：160mm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5.重量：130g</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铁的吸氧腐蚀实验器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平口圆底试管（52*100mm）、橡胶塞、宝塔头、硅胶堵头*2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1.用于铁的吸氧腐蚀实验的探究，通过测量反应过程中温度、压强、氧气含量的变化，探究铁的吸氧腐蚀现象。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2.实验器具有匹配不同传感器探头的孔径，密封性良好，配合温度传感器、绝对压强传感器测量铁在吸氧腐蚀过程中温度、氧气含量、压强的变化，并在Windows、安卓、iOS终端上实时呈现数据。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3.试管体积足够大，增加反应物的接触面积，能使反应物在试管内部充分反应，实验效果明显。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5.与传感器适配性好，轻松搭建密封的实验环境，可拓展完成多种化学实验。减轻准备器材的负担，轻松满足演示及分组实验，让课堂教学更高效。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探究铁的吸氧腐蚀现象等实验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1、高硼硅玻璃材质，硬质；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2、规格：外径Φ20mm，长250mm；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1、在500×生物显微镜下观察大肠杆菌的基本形态；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2、清晰地看出大肠杆菌的形态，不要求显示鞭毛；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3、标本一般应取材于人工培养的大肠杆菌；实验所用载玻片应经洗液清洗。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内含120，240，400，600，800，1000目各一张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利用电火花计时，车拖纸带式，打点有效距离不小于900mm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1、物理探究实验用；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2、产品为带孔的圆盘，圆盘可自动转动，固定片有相同孔径的圆孔。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Φ12mm×150mm符合《玻璃仪器通用技术要求》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1、产品由三棱镜2个（一对）、光源、光屏及底座等组成；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2、两块棱镜应配对；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3、三棱镜的顶角为60±0.5°，非工作面磨砂。应有保护性倒角。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1、本仪器由铁粉盒、生铁粉、磁铁组成；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2、铁粉盒用塑料制作，内腔呈长方形，底部有两个孔；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3、生铁粉选用颗粒状，质量不少于3G；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4、磁铁N、S板标示明显。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侵润和不侵润现象演示器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由塑料盒(98*58*40mm)一个、浸润玻璃一块、不浸润玻璃一块，细线30cm长两根个、海绵组成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教师端专业图像分析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1、图像采集与存储：可以兼容标准的USB。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2、常规的图像处理功能：图像缩放、彩色转灰度、反相、图像叠加运算及景深扩展功能、直方图均衡，各种和形态学有关的滤镜如：中值滤波、腐蚀、膨胀、锐化、加噪声、图像柔化等功能。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区域操作、处理、分析功能：对选择区域进行分析、 处理，并且可以导出灰度或者是二值图。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灵活的定标功能：可以设定几组定标值供选择，更改定标值后各测量数据会自动变化。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图像标注、测量功能：文字、箭头、各种形状的标注框，直线、折线、任意直线、周长、面积、角度等的测量，支持动态视频测量。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图像识别和分析功能：灰度、RGB分量的彩色分割，并且显示灰度直方图，可以完成图像的自动分割。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图像的多层分割：可以在一幅图片上实现多层的分割，并且没有层数的限制，各层计算的数据可以分别显示并统计。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分割修正功能：孔洞填充、边缘平滑以及压框不计，提供区域或者是点的擦除功能，提供断开和连接功能。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9.、颗粒删除功能：可以根据对象的各种形态参数对需要的目标进行筛选。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10、计算形态参数：可以得出几何参数、位置参数、当量几何参数、外接几何参数、光密度参数、形态学参数，以及相关其他参数。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 便捷的结果输出：支持所有结果输出到Word、Excel。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12、多语言模块：支持中文、英文等一键安装。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13、支持Windows xp/win7/win8/win10,Mac OSX, Linux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14、图片拼接模块（教师端）：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1）支持多种图像输入格式；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2）界面友好，操作简单灵活；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3）最大支持20×20张图像的拼接；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4）拼接速度快，准确；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5）动态自动拼接功能：将拍摄到的切片的各个部位的局部图像按顺序拼接得到整个切片的图像。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15、动态景深拓展模块(教师端）：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1）去模糊多焦面合成：直接移动微调手轮，将不同焦面的图像合成得到清晰完整的整幅图像，增加高倍物镜的景深；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2）支持多种图像输入格式；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3）具有操作简便，合成速度快，合成图像效果好的特点。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车拖纸带打点式，打点有效距离不小于600mm。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蜂蜡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环保，无毒无害，使用安全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凹、凸桥间隙独立可调外框，操作简单实验效果明显，本仪器由两根平行凹凸轨，支架、钢球和轨道。间隙调节器组成。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1、由矩形底座、立杆、烧瓶夹、大小铁环、垂直夹（2 只）、平行夹等组成；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2、底座和立杆表面应作防锈处理；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3、放置平稳、支承夹持可靠，立杆与底座间的垂直度不大于 3mm，铁环组装后与立杆垂直，垂直度不大于 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1、产品为高等真核细胞立体亚显微结构模型，细胞直径约放大两万倍，环保塑料制品，固定内部元件的衬板，在剖面与外壳之间，应无色透明；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2、元件的组装应牢固可靠，调换的元件应拆装方便，不得自由松动和脱落。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作品展示柜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1.规格尺寸：2700*300*2200mm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2.材质:实木多层板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3.制作工艺根据图纸定制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1、量程200g，最小分度值：0.001g；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2、线性误差≤±0.002g；重复性误差≤0.001g；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3、校准方式：外校（配砝码）；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4、数据输出：RS232；电源电压：220VAC；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5、采用高精度电磁平衡传达室感器，LED显示，具有8种称量单位转换，计数功能。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1、产品由盒体、左盖板、右盖板、电池盖板、电池盒、方试管、试管盖按钮组成；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2、盒体呈长方形，装有集光电珠的电池盒可以沿盒槽上下移动；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3、通过盒体前端的观察窗，就能看见胶体的丁达尔现象。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1、产品包括：硬橡胶棒（或聚碳酸脂棒）1根，毛皮1块；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2、硬橡胶棒（或聚碳酸脂棒）；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3、胶棒、聚碳酸脂棒表面要光洁；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4、毛皮为经过鞣制的猫皮、兔皮、羊羔皮等。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结构组成：底座、支架、电磁铁、弹射装置、两个钢球、接球盒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钢球规格：直径 16 mm，材质为实心钢球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释放方式：电磁铁吸合释放，保证两球同时开始运动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250 mm × 180 mm × 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总高度：约 400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2、台面：采用一体化≥25mm厚高强度金属树脂理化板，耐强酸碱、耐腐蚀、耐有机溶剂，抗菌、抗污染、防水、防火，并经精密加工、倒角、打磨，呈光滑半圆形，注重人性化设计，美观实用。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3、结构：演示台设有储物柜，中间为演示台,设置电源主控、多媒体设备（主机、显示器、中控、功放、交换机）的位置预留。含PP水槽、下水管和溢流管及三联水嘴。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铰链：采用优质铰链，开合十万次不变形。三联水嘴：鹅颈式实验室专用优质化验水嘴：要求防酸碱、防锈、防虹吸、防阻塞，表面环氧树脂喷涂。出水嘴为铜质瓷芯，高头，便于多用途使用，可拆卸清洗阻塞。出水嘴可拆卸，内置成型螺纹，便于连接各类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6、下水管和溢流管：水槽专配型排水管，不锈钢卡扣连接，安装方便不渗漏。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1、规格尺寸不小于：590mm×400mm×800mm；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2、仪器车额定载重量为60kg，上、下层托盘承载重量均不小于60kg；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3、采用双层结构，有上、下二层托盘，不锈钢材料；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4、车架用不锈钢管制成；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5、万向轮部件可以绕固定管作360º旋转；在仪器车载重为额定值时，车轮应转动灵活，并且万向轮的方向也能自动调整，无卡阻现象。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辆</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乳胶手套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一次性乳胶手套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付</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1、产品由支承板、底板、立柱等组成；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2、全木制结构，支承板，板上布有2个圆孔；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3、立杆垂直度3mm，支承板的高度应能方便调整且紧固可靠。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2、规格：单球，150mm；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4、符合JY0001～2003《教学仪器一般质量要求》的有关规定。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匀速圆周运动投影器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1、吊线横梁2、吊杆3、摆长调整器4、屏幕板5、单摆球6、电磁铁7、转动盘8、小球9、机箱座10、屏幕支架11、直流电源插座12、电磁铁开关13、电机开机K214、指示灯15、电位器16、机箱盖。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1、演示用，0～180°实木制；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2、外形尺寸：600mm，带有金属手柄,应印有0~180°角度刻度线，在0°、90°、180°位置印有角度数值，90°刻度线与圆心应在一条直线上，垂直于下方的直尺，两边对称，刻线和数字排列整齐端正，刻线粗细均匀。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1、量程400g，感量0.1g；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2、高亮度显示，读数清晰。具有计数，称重、去皮等多种功能模式。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电子比荷实验仪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1、三位半显示；0~100VDC/0~200VDC(纹波&lt;1%)(两档)三位半显示；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2、带PASCO通讯接口，可在110V/220V之间切换。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最大钻孔直径：13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最小夹持 / 钻孔：1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主轴锥度 / 夹头：B16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主轴行程：50–85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立柱直径：48–72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1、电动式摩擦力演示实验装置；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2、滚筒转动带动橡皮带运动，通过橡皮带上物体的相对运动结合仪器配备的演示测力计测量物理的最大静摩擦力；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3、额定电压：交流220V；频率：50Hz；电机功率：40W。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气体辉光球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球罩直径：95 mm（±1 mm），高硼硅加厚透明玻璃，壁厚 2.5–3 mm，抗冲击防炸裂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内部气体：低压惰性混合气体（氖 + 氩为主），气压约几十帕（稀薄真空，避免正压危险）；氖主导红光，氩调蓝 / 紫，混合出彩色流光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中心电极：实心金属球形 / 棒状电极，表面抗氧化处理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120 mm × 120 mm × 60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整机高度：约 150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电磁阻尼演示器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材质：底座 PP/ABS；摆片 6063 铝；磁铁 钕铁硼；支架 冷轧钢板 / 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摆长 / 摆幅：摆轴到摆下端约 220 mm；最大摆角 30°，可稳定复位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工作温度：10–35℃（室温），避免高温退磁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1、最大称量500g，分度值0.5g；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智能升降学生电源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1、电源尺寸：≥120*430mm，开孔尺寸≥Φ102mm。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2、智能升降学生电源采用铝合金加工程塑料，隐藏式设计，以智能电动升降为核心，智能电动升降开关，外加智能防夹手、防顶撞功能，轻奢体验，一键乐享，镀白工艺。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3、开关机环形LED灯闪烁提示，待机状态下中间LED灯灭。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4、产品控制端设计≤3秒开机功能，轻按电源键即可控制升降。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5、直流稳压输出：0-30V/2A（倍率：0.1V），交流电压输出：0～30V/2A（倍率：V），过载保护功能，闪“E”提示，按钮复位。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6、可受教师锁定，锁定后电压不可调节。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7、电压，电流显示，数字键盘输入，禁用上下键输入方式。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8、带1组国标五孔交流220V电压输出。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称量范围：0～200 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可读性（分度值）：0.1 mg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稳定时间：≤3～5 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功能：自动校准、去皮、计数、单位转换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金刚砂半圆形锯片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形状：半圆形开槽锯片（弧形刃口）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刃部材质：电镀金刚石砂 / 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基体材质：合金钢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 或 16 mm（常用教学型 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砂粒度：120#～180# 中细砂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厚度：0.3～0.5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适用转速：≤ 15000 r/min</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2.5V或3.8V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光具盘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盘面直径：Φ300 mm（标准教学型）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盘面材质：白色磨砂金属板 / ABS 工程塑料，带角度刻度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刻度分度：360° 圆周刻度，分度值 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光源配置：半导体激光光源 1～3 束，平行红光，安全 Class 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配套光学元件：平面镜、凹面镜、凸面镜、凸透镜、凹透镜、三棱镜、玻璃砖等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固定方式：带底座立式支架，可旋转、可锁定角度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1、环保塑料制品，每个细胞约为25mm；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2、蛋白质分子，磷脂分子，多糖。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桥梁模型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六件/套；外形尺寸：≥370mm×60mm×200mm，有机玻璃材质，底板为优质色板，环保塑料精致加工成型；含悬梁桥、斜拉索桥、梁架桥、拱架桥、弓形拱桥、悬索桥等六</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平行通电直导线之间的相互作用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实验目的：演示电流之间的相互作用。</w:t>
            </w:r>
            <w:r>
              <w:rPr>
                <w:rStyle w:val="968"/>
                <w:rFonts w:hint="default"/>
                <w:lang w:bidi="ar"/>
              </w:rPr>
              <w:br/>
            </w:r>
            <w:r>
              <w:rPr>
                <w:rStyle w:val="968"/>
                <w:rFonts w:hint="default"/>
                <w:lang w:bidi="ar"/>
              </w:rPr>
              <w:t xml:space="preserve">实验器材：通电平行直导线相互作用演示器(通电平行直导线、电流方向调节开关、操作开关等组成)。</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1.调水平：把两平行直导线装在仪器上下两个对应的凹槽中，并检查是否 转动灵活。调节仪器，使两平行直导线在自身重力的作用下，自动转向观</w:t>
            </w:r>
            <w:r>
              <w:rPr>
                <w:rStyle w:val="968"/>
                <w:rFonts w:hint="default"/>
                <w:lang w:bidi="ar"/>
              </w:rPr>
              <w:br/>
            </w:r>
            <w:r>
              <w:rPr>
                <w:rStyle w:val="968"/>
                <w:rFonts w:hint="default"/>
                <w:lang w:bidi="ar"/>
              </w:rPr>
              <w:t xml:space="preserve">察者方向，就视为水平调好了。</w:t>
            </w:r>
            <w:r>
              <w:rPr>
                <w:rStyle w:val="968"/>
                <w:rFonts w:hint="default"/>
                <w:lang w:bidi="ar"/>
              </w:rPr>
              <w:br/>
            </w:r>
            <w:r>
              <w:rPr>
                <w:rStyle w:val="968"/>
                <w:rFonts w:hint="default"/>
                <w:lang w:bidi="ar"/>
              </w:rPr>
              <w:t xml:space="preserve">2.插上电源线，红色指示灯亮表明电源接通。</w:t>
            </w:r>
            <w:r>
              <w:rPr>
                <w:rStyle w:val="968"/>
                <w:rFonts w:hint="default"/>
                <w:lang w:bidi="ar"/>
              </w:rPr>
              <w:br/>
            </w:r>
            <w:r>
              <w:rPr>
                <w:rStyle w:val="968"/>
                <w:rFonts w:hint="default"/>
                <w:lang w:bidi="ar"/>
              </w:rPr>
              <w:t xml:space="preserve">3.将两个铜导线平行放置，将开关扳至“同向”,即两个通电平行直导线中 电流方向一致。按“操作开关”,观察到两铜棒因排斥分开。</w:t>
            </w:r>
            <w:r>
              <w:rPr>
                <w:rStyle w:val="968"/>
                <w:rFonts w:hint="default"/>
                <w:lang w:bidi="ar"/>
              </w:rPr>
              <w:br/>
            </w:r>
            <w:r>
              <w:rPr>
                <w:rStyle w:val="968"/>
                <w:rFonts w:hint="default"/>
                <w:lang w:bidi="ar"/>
              </w:rPr>
              <w:t xml:space="preserve">4.将两个铜导线平行放置，将开关扳至“反向”,即两个通电平行直导线中 电流方向相反，按“操作开关”,观察到两铜棒因吸引合并。</w:t>
            </w:r>
            <w:r>
              <w:rPr>
                <w:rStyle w:val="968"/>
                <w:rFonts w:hint="default"/>
                <w:lang w:bidi="ar"/>
              </w:rPr>
              <w:br/>
            </w:r>
            <w:r>
              <w:rPr>
                <w:rFonts w:hint="eastAsia" w:ascii="宋体" w:hAnsi="宋体" w:cs="宋体"/>
                <w:b/>
                <w:bCs/>
                <w:color w:val="000000"/>
                <w:sz w:val="20"/>
                <w:szCs w:val="20"/>
                <w:lang w:bidi="ar"/>
              </w:rPr>
              <w:t xml:space="preserve">备注：必修三-P105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万能夹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产品由夹杆、夹头组成。夹头分三爪，铝合金压铸成夹叉形，夹口为张紧螺丝张口，双向紧固，每一夹叉上均粘接软木底垫。</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工作范围长180mm30.5mm注塑手柄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1、注塑外壳；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2、容器孔数：1孔；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4、功率：4A、300W，室温-100℃5温控精度≦1.5℃；6升温速度由室温升到沸点≦70分钟。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输入电压：AC 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输出电压：2V / 4V / 6V / 12V 多档可调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输出电流：1A / 2A 两档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充电方式：恒压限流充电，带过充、过流、短路保护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指示方式：电源指示灯 + 充电指示灯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教师电源</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1.教师演示台配备总漏电保护和分组保护，可分组控制学生的高低压电源，确保学生实验安全方便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2.教师电源总控采用≥7寸"电阻式"液晶屏，显示智能控制按键同时显示电源电压；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3.教师交流电源通过智能控制按键直接选取0～30V电压，最小调节单元可达1V,额定电流6A；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4.教师直流电源也是通过智能控制按键直接选取，调节范围为0～30V，分辨率可达0.1V,额定电流4A；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5.低压大电流值为40A，自动关断；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6.教学电源：220V交流输出为带安全门的新国标插座，带有电源指示 ，学生低压交流电源可通过智能控制按键直接选取0～30V电压，最小调节单元为1V，组输送至学生桌；低压直流电压教师能准确控制，最小调节单元为0.1V。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1、产品为组装式，10N；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显示方式：LED 灯光显示（亮暗区分导电强弱）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电极材质：石墨 / 不锈钢惰性电极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探头结构：笔式一体化，双电极固定间距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1、仪器可组装石墨晶体结构，由黑色橡胶球39只、塑料杆组成，演示用；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2、橡胶球直径不小于290mm；球杆组装松紧适度，不应有自由转动、松脱，组装后不得有明显的弯曲变形及角度变化；教学演示效果明显。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微型三角散打机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3.额定输入功率：320W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4.速度档位：6档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5.摆动角度：3°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6.摆动频率11000-20000/min</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牛角管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2、规格：Φ18mm×150mm；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PN结特性研究与测量实验仪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1、温度不变，测量PN结正向伏安特性，计算玻尔兹曼常数；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2、正向电流I不变，测绘PN结正向压V-T曲线，计算灵敏度，估算被测PN结材料的禁带宽度；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3、应用实验：用给定PN结测量未知温度；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4、创新实验1：根据实验数据，估算PN结反向饱和电流Is。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5、创新实验2：观测复合电流的大小。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1、带封装PN结，由二极管和小功率NPN晶体三极管的CB结短路而成；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2、电流输出范围10nA～1mA，分4段可调，调节细度：最小1nA，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驱动电压约5V，跳字≤1个字/min；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3、专用SV表精确测量PN结正向电压，测量不确定度：0.5%±2个字；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4、实验温度：室温～99℃；</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5、数字温度计：0～100℃，分辨率0.1℃；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6、含电加热器等配件，完成所有实验。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强酸碱储存柜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1、规格：≥1650*1090*460mm。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2、材质：采用聚丙烯(PP)材料无缝焊接而成。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3、材料厚度：≥8mm厚度板材。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4、双门/手动，≥2个可调层板。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5、配备聚丙烯防泄漏托盘，可单独取出，便于清洁，层板可根据需要调节。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6、柜门贴有醒目的“腐蚀性”警示标识。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7、可以用于各种腐蚀性化学品的存储，如硫酸，硝酸，乙酸，硫磺酸等，保护操作者及周围人群安全。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1、规格：≥1000*300*750mm；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2、双层，分两段，立柱采用≥80mm*42mm*1.2mm的铝镁合金专用型材，挡条采用≥40mm*15mm*1mm的铝镁合金专用型材，支撑件采用≥1.2mm厚的冷轧钢板冲压成型；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3、支撑件用不锈钢内六角螺丝及小铁条固定在立柱上，可以上下自由调节；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4、金属件外喷纯环氧树脂，高温固化；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5、固定件采用≥4mm厚的专用合金件 ，充分保证试剂架安装后的稳定性；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6、电源插座：≥6只5孔10A防溅插座，电源盒采用防溅结构；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7、试剂架的上端和下端与台面连接的地方，分别采用工程塑料成型的立柱盖和立柱套；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8、试剂架的螺丝均采用不锈钢螺丝 ，层板采用≥8mm钢化玻璃。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展示边柜2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1.尺寸：4500*600*800mm；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量程范围：20 μL ～ 200 μL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精度（准确度）：≤ ±1.0%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重复性（精密度）：≤ ±0.5%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适配吸头：200 μL 通用吸头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全室给水管路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1、技术要求：具有防酸、防碱、耐腐蚀功能，全室给水全部模块化设计，每组模块间采用活接式连接，方便安装、检修。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2、给水管：主管选用≥Ф25（mm）PPR水管，支管≥Ф20（mm）PPR水管，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3、安全控制：总开关阀门、电磁阀外、丝连接件等，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超纯水仪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1、以城市自来水为水源，可同时生产 DI 高纯水，UP 超纯水，一级 RO 纯水，水质量满足 ASTM D1193-06、GB/T 11446.1-2013、GB/T33087-2016、GB/T6682-2008、CP、EP、USP、JP、CAP、CLSI 等规定的水质标准要求。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2、产水量：20 升/小时；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3、出水口（正面）：2 个（DI 去离子水、UP 超纯水，最大分配速度为 2 L/min）；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4、去离子水水质，电阻率(25℃)：16 MΩ.cm；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5、超纯水水质，电阻率(25℃)：18.2 MΩ.cm；TOC：5 ppb；微粒&lt;1 /ml (&gt;0.2μm)；细菌&lt;0.01 CFU/ml；致热原(内毒素) &lt;0.001 EU/ml；RNA 酶：1 pg/ml；DNA 酶：5 pg/ml；蛋白酶：0.15 μg/ml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7、智能化人机交互，4.3寸嵌入式彩色液晶控制界面，多级菜单式触屏操作，分辨率达：800×480，可全面了解滤芯，存储，水质状态、运行状态等信息。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8、具备一键紫外开启功能，配套低压24V波长254nmUv冷阴极管紫外灯组件，彻底杀菌及降低 TOC，提高水质，配备•USB•接口，支持历史报警记录的查询和历史定量取水记录的数据导出功能；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9、可设定RO膜、Uv灯和超纯化柱的寿命，显示耗材已用和剩余时间，耗材到期更换自动提醒，避免水质下降。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具备定时自动关机（0~24H）功能，关机时间到后自动停止所有输出，进入关机模式，具备高质量高硬度的水流开关、电磁阀、高压阀、静音泵等设备元器件及水质传感器电阻率在线检测；配备缺水蜂鸣报警提示，用户可自行设定缺水具体时间来实现设备缺水状态下自动停机保护设备；控制屏界面实时在线检测显示超纯水电阻率数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11、3 路水质监测及超标报警（RO水、DI水、UP水）。温度灵敏度0.1℃，可同时显示温度补偿后的电导率/电阻率和水温。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12、具有RO、超纯水的定时、定量取水功能；设置取水模式，界面同步更新显示设置的取水要求，定时设置范围（0.1~3000min）；定量设置范围（10~9999ml)；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13、整机以DC24V为主电源，全面使用弱电元件，超纯水水质超标、耗材寿命终结均能报警。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14、通讯接口要求：USB接口，可导出运行数据或升级版本，4G通讯接口，实现物联网连接。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机箱采用冷压钢板静电喷涂成型壳体，内部支架采用全钣金模具冲压成型。配备同品牌35升储水箱，由HDPE聚乙烯材料制造，外层加入抗UV助剂，内层使用纯PE原料，水箱需采用锥形底设计，桶体桶底部安装有排水阀，可排空水箱储水，水箱需标配复合空气滤器，可吸附CO2和有机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16、12 英寸预处理柱，包含5μm深层折叠PP纯化柱、活性炭纤维PC纯化柱（非普通碳棒/颗粒碳），大幅度的延长更换周期。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17、RO膜片，可设置RO膜冲洗间隔和持续时间，延长RO膜寿命，RO膜采用整体封装的抛弃式组件，杜绝二次污染，RO水不合格自动排放功能，确保进入后端纯化组件的纯水质量。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18、纯化柱为关键性耗材，需采用大容量结构设计，单根树脂填量达1.36L/根，总量达4.08升，确保高品质出水、减少TOC析出，降低使用成本。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19、标配配置：主机1台，纯化柱1套，35升PE纯水箱1个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2、灯工焊接牢固，喷水管应在球内中心位置，喷口对正下管孔，两孔间距不大于2.5mm；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3、喷口切割磨平，不得有歪斜及小缺点；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4、磨砂浮子必须活动自如，不得阻塞不动；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直流高压电源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1、输出电压：250V、300V、600V、1000V、1200V、1500V；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2、纹波电压：≤0.5V；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3、输出电流：≥0.1A(250V、300V时)≥0.05A(600V、1000V、1200V、1500V时)；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4、有过载保护。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化学反应速率实验器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密封反应瓶、注液阀门开关、注液器（10mL）、压强传感器接口、泄压组件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1.用于探究催化剂对过氧化氢分解的影响、金属与酸反应、酶催化的高效性等。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终端上实时呈现数据，实验规律更加直观，适用范围广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3.装置设有螺口注液器及注液阀门开关，保证全程密封的情况下，注入液体定量可控，可一次或分段多次注入，实验高效且保证安全性。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4.装置设有泄压阀 ，压强过高时会自动泄压，充分保证了实验的安全性。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6.与传感器适配性好，轻松搭建密封的实验环境，减轻准备器材的负担，轻松满足演示及分组实验，让课堂教学更高效。</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1、笔式，测量范围：0.0～14.0pH；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2、分辨率：0.1pH；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3、精度：±0.1pH（20℃）；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4、工作环境：0～50℃RH〈95%；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5、校正：一点校正。</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规格范围：直径 1 mm ～ 13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柄部类型：直柄（圆柱柄）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材质：高速钢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刃型：标准双螺旋槽，定心好、排屑顺畅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适用材料：木材、塑料、铝合金、薄钢板等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表面处理：本色 / 氧化发黑，防锈耐磨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匹配设备：φ1–13mm 台钻、手电钻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长度：随直径递增，典型总长 40～100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1、本套仪器由抽气盘，塑料钟罩，电铃,橡胶密封圈等组成；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2、钟罩的外径为180mm,属高强度透明塑料制品，透明度良好。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向心力实验器1、产品结构：本仪器由底座、传动部分、塑料转盘、弹簧装置、金属球等组成。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手持修边机架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最大跨距：150mm，通过定心销进行圆铣（100mm-400mm)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光学核心：强吸收 570–590 nm 钠黄光，透过 450–495 nm 蓝光，可清晰观察钾的紫色焰色；滤除 250–320 nm 有害紫外；分色号：3–4 号（实验室常用）、6–7 号（工业高温观火）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常规片：50×50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厚度：3 mm（实验室标配）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边缘：可磨边 / 倒角，防划伤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材质与成分：硅酸盐玻璃基体，添加氧化钴（CoO≈0.5%）着色；SiO₂为主，含少量 Na₂O、CaO 等；耐高温型可承受 380℃以上短期高温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安培力演示器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1、励磁方式：永磁式（分立平行放置的匀强磁铁）；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2、直导线：a、直径：Φ1.6mm紫铜线。b、长度：150mm(磁感线段)；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3、工作电源：a、3V-6V。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部件：风机、支架、机翼、控制、6V低压安全防水按钮等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展示了伯努利现象。当气流通过机翼时，由于机翼的形状造成上方流速快，压强小；下方流速慢，压强大。机翼上方的飘带产生“下洗”现象；机翼下方的飘带产生上升现象。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观众按下启动按钮，即可演示。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1、铝铁碳，80mm；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2、教学用磁钢极性标注，指北极（N）为红色，指南极（S）为白色或蓝色；N、S字母的颜色为蓝色或白色；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3、试验后磁感应强度不小于第1条的要求。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缸内剖视体、外气缸、叶轮支架、压气机叶轮、燃烧室剂体、透平叶轮、叶轮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外形尺寸:280*120*140mm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材质：金属、有机玻璃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工具组套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包含：1.精密台钳；2.通用夹持器；3.笔形砂光机（12v）；4.精密钻铣机（12v）；5.手持曲线锯（12v）；6</w:t>
            </w:r>
            <w:r>
              <w:rPr>
                <w:rFonts w:hint="eastAsia" w:ascii="宋体" w:hAnsi="宋体" w:cs="宋体"/>
                <w:color w:val="000000"/>
                <w:sz w:val="20"/>
                <w:szCs w:val="20"/>
                <w:lang w:bidi="ar"/>
              </w:rPr>
              <w:t xml:space="preserve">.工具夹持器；7.12v直流电源变压器；8.电子游标卡尺；9.延长软轴；10.打磨头；11.切断片；12.砂轮组片（2红2绿）；13.钻头；14.口罩；15.手持曲线锯配件（锯条2根，扳手1支，保护盖1个）；16.护目镜；17.内六角扳手；18.镊子；19.1m卷尺；20.环保木工胶；21.笔型砂光机配件（头柄8支，砂纸1套）；*22.拉杆式工具箱。功能强大的钻铣、打磨、切割一站式便携移动工作。特制低噪音、大扭矩直流电机，为学生们在各种比赛现场提供了稳定、高效、精准的工作体验，轻松完美诠释使用者的创意理念。</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嵌入式锯片 宽度14mm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锯片类型：嵌入式开槽锯片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有效宽度：14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外径：常用 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材质：硬质合金刀头 + 钢基体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微型台式砂轮机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1、砂轮直径150mm；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光敏电阻、74LS14、51kΩ可变电阻、发光二极管、330Ω电阻。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PP仪器柜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1、规格：≥1000mm*500mm*2050mm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2、材质：PP材质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3、柜体：侧板，顶板及底板采用增强型PP材质，一次注塑成型。表面做磨砂处理，结构紧密，耐腐蚀性强。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4、上柜门：采用增强型PP材质一次注塑成型，外嵌≥4mm厚钢化烤漆玻璃，中间烤漆镂空制作透明可视。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5、下柜门：采用增强型PP材质一次注塑成型，外嵌≥4mm钢化烤漆玻璃。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6、层板：配三块活动层板（上柜二块，下柜一块），每块层板尺寸为增强型PP材质一次注塑成型，承重不低于20公斤。层板可以抽取，自由组合各层空间。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7、门铰链：用增强型PP材质一次注塑成型，内嵌隐藏安装方便，耐腐蚀。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8、柜体预留通风孔，可以与通风管路连接。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2、旋杆采用45#钢，工作部硬度不低于HRC48；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3、手柄采用绝缘材质，外形根据人体工程学设计，手感舒适；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4、旋杆应经镀鉻防锈处理；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5、旋柄表面光洁、无毛刺，无缩迹。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1、产品为组装式，1N；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油膜实验器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工程塑料φ20cm，由盛水盘、刻度板、油酸、痱子粉、注液器、滴管、铅笔等组成。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顶部电源供应装置模块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1、顶部电源供应装置模块：外形整体规格：≥200mm*200mm*150mm，材质采用ABS工程塑料模具注塑一次成型，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2、供应装置模块顶部配有固定电缆线防水接头，四周预留了高、低压电源位置，底部中间配有一个限位开关，底部有四个软胶落地脚；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饮水鸟</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外形尺寸：高约 190～210 mm，底座约 80×50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结构组成：玻璃主体、头部绒布、尾部配重、支架、玻璃嘴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工作介质：易挥发性液体（二氯甲烷 / 乙醚类教学安全型）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工作原理：利用蒸发吸热→气压差→重心变化实现往复摆动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工作条件：室温 15～30℃，头部沾水即可连续摆动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摆动频率：约 10～20 次 / 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类型：防溅护目镜 / 化学实验护目镜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镜片材质：聚碳酸酯（PC），抗冲击、防刮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镜片厚度：≥1.0 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旋转的银蛋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部件：有机玻璃、磁铁、金属蛋等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本展品主要由三个可旋转磁块、一只金属蛋、透明圆盘和手轮组成。三个磁块在圆盘的下方互成120度夹角放置，为方便观众观看，圆盘采用透明材料，金属蛋放置在圆盘上方，为防止观众触碰到展品，外部用有机玻璃罩罩住。观众转动手轮，磁块旋转产生旋转磁场。而金属蛋是闭合的导体，线圈所形成的旋转磁场会使金属蛋中产生感生电流，并形成磁场，两个磁场相互作用使银蛋旋起来。于银蛋的质量分布不均匀，是偏心的，因此当银蛋旋转时，在离心力、重力以及摩擦力的作用下它便竖立了起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观众转动手轮，看看银弹会发生怎样的变化。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全室供电线路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1、线管：≥DN25mm国标阻燃PVC线管；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2、电线：国标铜芯线≥4m²、≥2.5㎡；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3、信号控制线：RVVP 聚氯乙烯护套纯无氧铜屏蔽≥2芯线；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4、模块化设计，每组模块间采用活接式连接，方便安装、检修。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2个质子交换膜电极，膜电极≥33㎜×33㎜，电表两个。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无线数智小车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包含智能小车*2辆、智能风扇模块</w:t>
            </w:r>
            <w:r>
              <w:rPr>
                <w:rFonts w:hint="eastAsia" w:ascii="宋体" w:hAnsi="宋体" w:cs="宋体"/>
                <w:color w:val="000000"/>
                <w:sz w:val="20"/>
                <w:szCs w:val="20"/>
                <w:lang w:bidi="ar"/>
              </w:rPr>
              <w:t xml:space="preserve">、智能弹射模块、矢量显示模块、智能驱动模块、轨道及附件、配套软件。智能小车能够同时测量位移、速度、加速度、力、角速度物理量，可以测出单个或多个变量变化的规律，描绘相应的曲线。智能小车内置的蓝牙无线模块，与计算机、平板电脑、手机无线连接，在软件上显示出测量数据或实验图线，可以在多多终端使用。内置弹射装置，为小车提供三种初始速度，可通过触摸按键启动或通过软件启动。智能小车有2个智能附件连接接口，可同时连接智能风扇模块、智能弹射模块、智能驱动模块、矢量显示模块其中两个模块。可在软件上对智能模块进行参数设置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智能小车至少满足以下主要技术参数：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1、力：测量范围：±20N；分度：≤0.001N；精准度：±0.01 N； 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位移：测量范围：-9999.9 mm ~9999.9mm；分度：≤1mm；精准度：±3mm；数据无线最高采样率：2000Hz。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速度：测量范围：±3m/S；最大速度：±3m/S；分度：≤0.001m/s；精准度：±0.01m/s；数据无线最高采样率：2000Hz；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加速度：测量范围：±156.8m/S2 （±16g）；分度≤0.001m/S2；精准度：±0.01m/S2；数据无线最高采样率：2000Hz；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陀螺仪：测量范围：±2000°/S；分度≤1°/S；精准度：±3°/s；数据无线最高采样率：2000Hz。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2、内置弹射装置，为小车提供三种初始速度，可通过触摸按键启动或通过软件启动。可在软件上对智能模块进行参数设置和控制。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3、可应用于Windows、Android、iOS、麒麟、统信、鸿蒙等操作。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1、水止皮管夹用钢丝拧制而成，弹性良好，夹持牢靠，表面作镀铬处理。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2、成型规整，表面无锈蚀。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分度值：0.1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容量允差（A 级）：±0.05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最小读数：0.05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材质：玻璃（酸式 / 碱式通用）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流出时间：60～90 s</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1、搅拌容量：不小于500ml；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2、搅拌速度：无级调速0-1250转/分；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3、加热温度：室温至400℃；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4、控温方式：自动；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5、工作电压：220V/50Hz，加热功率：200W，电动功率25W。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1、产品为接触法制硫酸的接触室缩小模型，外壳可局部剖开，能看清其内部结构；接触室内上部和下部各有一层触媒，两触媒层之间为热交换器；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2、触媒层应显示出黄色圆柱状固体颗粒，与热交换器之间应留有空隙；热交换器采用列管式，应表现出其内部立体结构；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3、气体的各进、出口的位置应正确，热交换器上部的热气体出口与接触室顶部的进口之间应用导管相连；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4、在各个适当部位用箭头标示气体的走向，箭头方向必须正确；产品的主要结构应用标签注明，标注应准确、清晰、牢固；各部件应比例适当，位置正确，连接牢固，不得因正常震动、碰触而开裂、松脱。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2、碱式，50mL，内应力消除：在偏光仪下呈紫色；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嵌入式锯片 宽度8mm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锯片宽度：8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外径：65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内孔径：10 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基体材质：优质钢板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刃口材质：硬质合金 / 金刚砂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适用设备：微型台钻、小型切割机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1、由贮气盒、标准电阻、气门螺帽、连接软管、红色液体、玻璃管、刻度线等组成；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2、电源电压：DC：0～6V；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3、工作电流：＜2A；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4、标准电阻：4Ω±0.5Ω。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由球面玻璃和平面玻璃组成，平凸透镜的曲面半径20mm以上，直径25mm以上。</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盖革计数器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产品由计数器、探测器及其连线组成。仪器主要技术参数：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1、工作电压：交流220V±10%，50Hz；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2、盖革计数器的本底计数率不大于40次/分；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3、探测器采用J401α、β、γ型计数管。。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电池盒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1、仪器可放置1节1号电池；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2、各触点使用不锈钢材料；要求接触良好，整体结构结实牢固；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3、可串并联。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采用60号络钒钢，整体淬火处理。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鳄鱼夹、插口夹、香蕉插头、电阻丝、锌片、铜片、灯泡(15W、60W)、小电池(5号、纽扣、太阳电池)、保险丝、保险管(不同规格的合金熔丝、保险管)、焊锡、绝缘胶布、导线等。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细口瓶</w:t>
            </w:r>
            <w:r>
              <w:rPr>
                <w:rStyle w:val="969"/>
                <w:rFonts w:hint="default"/>
                <w:lang w:bidi="ar"/>
              </w:rPr>
              <w:t xml:space="preserve">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探究安培力的方向与电流方向、磁场方向的关系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实验目的：演示安培力的方向与电流方向、磁场方向的关系。</w:t>
            </w:r>
            <w:r>
              <w:rPr>
                <w:rStyle w:val="968"/>
                <w:rFonts w:hint="default"/>
                <w:lang w:bidi="ar"/>
              </w:rPr>
              <w:br/>
            </w:r>
            <w:r>
              <w:rPr>
                <w:rStyle w:val="968"/>
                <w:rFonts w:hint="default"/>
                <w:lang w:bidi="ar"/>
              </w:rPr>
              <w:t xml:space="preserve">实验器材安培力演示器(由底座、磁极框架、磁铁、接线柱、刻度盘支架、刻度盘、指针、通电线框等组成)、教学电源、单刀开关、滑动变阻器、导线。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1.演示磁场对通电导线的作用力和作用方向将演示器的 1、3接线柱接入电路中，接通电源(3~6V)，看到指针发生偏转，说明线框在磁场内受到力的作用，这个力就是安培力。改变电流方向，可发现指针偏转的方向也改变，说明安培力的方向与电流方向有关。</w:t>
            </w:r>
            <w:r>
              <w:rPr>
                <w:rStyle w:val="968"/>
                <w:rFonts w:hint="default"/>
                <w:lang w:bidi="ar"/>
              </w:rPr>
              <w:br/>
            </w:r>
            <w:r>
              <w:rPr>
                <w:rStyle w:val="968"/>
                <w:rFonts w:hint="default"/>
                <w:lang w:bidi="ar"/>
              </w:rPr>
              <w:t xml:space="preserve">2. 演示安培力的大小与电流大小的关系</w:t>
            </w:r>
            <w:r>
              <w:rPr>
                <w:rStyle w:val="968"/>
                <w:rFonts w:hint="default"/>
                <w:lang w:bidi="ar"/>
              </w:rPr>
              <w:br/>
            </w:r>
            <w:r>
              <w:rPr>
                <w:rStyle w:val="968"/>
                <w:rFonts w:hint="default"/>
                <w:lang w:bidi="ar"/>
              </w:rPr>
              <w:t xml:space="preserve">将演示器的接线柱接入电路中，调节滑动变阻 器，减小其阻值以增大电路中的电流强度(电流强度 的大小可接入电流表来显示),可发现指针偏转的角 度随电流的增大而增大，可定性说明安培力的大小 与电流强度成正比。</w:t>
            </w:r>
            <w:r>
              <w:rPr>
                <w:rStyle w:val="968"/>
                <w:rFonts w:hint="default"/>
                <w:lang w:bidi="ar"/>
              </w:rPr>
              <w:br/>
            </w:r>
            <w:r>
              <w:rPr>
                <w:rStyle w:val="968"/>
                <w:rFonts w:hint="default"/>
                <w:lang w:bidi="ar"/>
              </w:rPr>
              <w:t xml:space="preserve">3.演示安培力的大小与导线长度的关系</w:t>
            </w:r>
            <w:r>
              <w:rPr>
                <w:rStyle w:val="968"/>
                <w:rFonts w:hint="default"/>
                <w:lang w:bidi="ar"/>
              </w:rPr>
              <w:br/>
            </w:r>
            <w:r>
              <w:rPr>
                <w:rStyle w:val="968"/>
                <w:rFonts w:hint="default"/>
                <w:lang w:bidi="ar"/>
              </w:rPr>
              <w:t xml:space="preserve">将演示器的接线柱接入电路中，调节滑动变阻器使其偏转一定角度，然后保持电路中电流大小不变将演示器的 其它接线柱分别接入电路中，可发现指针偏转角度随通电导线的长度的减小而减小，通过实验可说明安培力的大小 与通电导线的长度成正比。</w:t>
            </w:r>
            <w:r>
              <w:rPr>
                <w:rStyle w:val="968"/>
                <w:rFonts w:hint="default"/>
                <w:lang w:bidi="ar"/>
              </w:rPr>
              <w:br/>
            </w:r>
            <w:r>
              <w:rPr>
                <w:rStyle w:val="968"/>
                <w:rFonts w:hint="default"/>
                <w:lang w:bidi="ar"/>
              </w:rPr>
              <w:t xml:space="preserve">4. 演示安培力的大小与磁感应强度的关系</w:t>
            </w:r>
            <w:r>
              <w:rPr>
                <w:rStyle w:val="968"/>
                <w:rFonts w:hint="default"/>
                <w:lang w:bidi="ar"/>
              </w:rPr>
              <w:br/>
            </w:r>
            <w:r>
              <w:rPr>
                <w:rStyle w:val="968"/>
                <w:rFonts w:hint="default"/>
                <w:lang w:bidi="ar"/>
              </w:rPr>
              <w:t xml:space="preserve">将演示器的接线柱接入电路中，保持电流强度不变，将上下磁极距离调大，以减小磁感应强度，发现指针偏转的 角度减小。定性说明安培力的大小与磁感应强度的大小成正比。</w:t>
            </w:r>
            <w:r>
              <w:rPr>
                <w:rStyle w:val="968"/>
                <w:rFonts w:hint="default"/>
                <w:lang w:bidi="ar"/>
              </w:rPr>
              <w:br/>
            </w:r>
            <w:r>
              <w:rPr>
                <w:rStyle w:val="968"/>
                <w:rFonts w:hint="default"/>
                <w:lang w:bidi="ar"/>
              </w:rPr>
              <w:t xml:space="preserve">实验原理：</w:t>
            </w:r>
            <w:r>
              <w:rPr>
                <w:rStyle w:val="968"/>
                <w:rFonts w:hint="default"/>
                <w:lang w:bidi="ar"/>
              </w:rPr>
              <w:br/>
            </w:r>
            <w:r>
              <w:rPr>
                <w:rStyle w:val="968"/>
                <w:rFonts w:hint="default"/>
                <w:lang w:bidi="ar"/>
              </w:rPr>
              <w:t xml:space="preserve">通电线框(导体)在匀强磁场中受安培力的作用时发生偏移，同时线 框受自身重力在水平方向的分力的作用，当二者达到平衡时线框平面偏 转到某一角度静止(角度越大所受安培力越大),这个偏转的角度通过指 针放大显示在刻度盘上。</w:t>
            </w:r>
            <w:r>
              <w:rPr>
                <w:rStyle w:val="968"/>
                <w:rFonts w:hint="default"/>
                <w:lang w:bidi="ar"/>
              </w:rPr>
              <w:br/>
            </w:r>
            <w:r>
              <w:rPr>
                <w:rFonts w:hint="eastAsia" w:ascii="宋体" w:hAnsi="宋体" w:cs="宋体"/>
                <w:b/>
                <w:bCs/>
                <w:color w:val="000000"/>
                <w:sz w:val="20"/>
                <w:szCs w:val="20"/>
                <w:lang w:bidi="ar"/>
              </w:rPr>
              <w:t xml:space="preserve">备注：选择性必修二-P3</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产品由气筒、踏脚、活塞、活塞杆、手柄、橡胶管、气针夹等组成。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三联水嘴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体材料、尺寸：水龙头总整高度≥535mm。主体：采用≥ø20*2mm管径的不低于黄铜制造。直管：采用≥ø13*1.0mm管径的不锈钢制造。臂管：采用≥ø13*1.0mm管径的不锈钢制造。鹅颈弯管：采用≥ø13*1.0mm管径的不锈钢制造，可360°旋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2、涂层:涂层经亚光环氧树脂耐酸碱粉末涂料热固处理，耐腐蚀、耐热，防紫外线辐射。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3、陶瓷阀芯：90°旋转，使用寿命开关要求达到≥20万次，静态最大耐压≥10bar。</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4、开关旋钮:高密度PP，人体工学设计，手感舒适。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无线数显心率传感器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1.用于测量人体的实时心率大小以及心跳脉动波形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2.性能：测量范围：0～200次；最大采样率：5KHz；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3.原理：传感器敏感器件为专用指夹。光源和光敏元件置于手指两侧，光源发出的光照射在组织上，经透射后被光敏元件接收，通过传感器电路将脉动的光强度信号转变为电信号。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4.结构：血氧探头OEM300-AL，长度1米。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10.使用方法：将血氧探头连线接入传感器，预热一分钟后将血氧探头夹在被测人员食指上（注意：血氧探头红色发光侧应在手指指甲一侧），被测人员保持坐立不动，被测手指位置与心脏距离不超过20cm。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带柄铣刀组 6-10mm (4支组)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规格：6mm、7mm、8mm、10mm 共 4 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柄径：6mm 直柄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刃部材质：高速钢 HSS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刃型：立铣刀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适用设备：台钻、小型铣床、手电钻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1、规格：2400*1200*760mm*760mm±10mm。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3、台身结构：新型塑铝结构，整体为1200*600*760四张桌架拼接而成。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7、桌腿配有PP脚套装饰盖。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琼脂糖凝胶电泳实验试剂盒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主要组分：琼脂糖、电泳缓冲液（1×TAE 或 1×TBE）、上样缓冲液（含指示剂）、核酸染料（安全型）、一次性手套、吸头、离心管等耗材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琼脂糖规格：电泳级，凝胶强度高，电内渗低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缓冲液类型：TAE / TBE 通用型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核酸染色：安全无毒型染料，替代溴化乙锭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适用胶浓度：0.8%～2.0% 可配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适用片段：100 bp～20 kb 核酸片段</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1、产品为橡胶制品，长袖口带五指套；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2、应耐强酸、强碱及氧化剂、还原剂等化学药品试剂的腐蚀，并结实耐用；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3、冬季不得发硬，夏季不得粘连；各部位应完整严密，无开裂和小孔。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突发事件应急演练预警设备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1、主机采用≥7寸LED显示屏触摸控制以及显示，屏幕上分区域显示当前时间、报警模式、设备编号、防区位置、设备在线列表以及联动报警信息；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2、功能按键：≥5个按键，分别为暴力、火灾、地震、空袭、取消报警；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3、12V电源输出：≥1路12V/1A的直流电源输出；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4、后备电池：待机时间≥10小时，工作时间≥10分钟；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5、通讯：局域网通讯，通讯距离不受限制，内置天线；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6、报警响应时间：≤3秒；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7、电源：AC220V±10%；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8、功耗：≤72W；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9、整机尺寸：≥220*220*60mm；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10、工作温度：-20～60℃(主电工作)；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11、存储温度：-40～80℃；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12、相对湿度：5～95%RH，无凝露；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13、具有“暴力、火灾、地震、空袭”四大突发事件报警功能，可通过对应的触摸屏按键触发警报，支持与突发事件接警设备对接。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14、主机触发火灾警报按钮及警示语音提示：火灾警报声+（语音：“发生火灾，大家不要惊慌，请捂鼻猫腰，迅速按演习路线有序疏</w:t>
            </w:r>
            <w:r>
              <w:rPr>
                <w:rFonts w:hint="eastAsia" w:ascii="宋体" w:hAnsi="宋体" w:cs="宋体"/>
                <w:color w:val="000000"/>
                <w:sz w:val="20"/>
                <w:szCs w:val="20"/>
                <w:lang w:bidi="ar"/>
              </w:rPr>
              <w:t xml:space="preserve">散到安全区域，不要推挤踩踏”）+火灾警报声；主机触发暴力袭击警报按钮及警示语音提示：110警报声+（语音：“发生暴力袭击，大家不要惊慌，请关好门窗躲避到安全区域．安保人员紧急到岗处理”）+110警报声；主机触发地震警报按钮及警示语音提示：地震警报声+（语音：“地震警报”，大家不要惊慌，请先实施紧急避险，再按演习路线有序疏散到安全区域不要推挤踩踏”）+地震警报声；主机触发空袭警报按钮及警示语音提示：空袭警报声+（语音：“空袭警报”，大家不要惊慌，迅速按演习路线有序疏散到安全区域．不要推挤踩踏”）+空袭警报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15、主机可通过屏幕设置当前防区信息、布防防区位置以及报警模式并将当前报警模式发送给分机；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16、可接收并响应分机触发的突发事件报警；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17、可联动声光报警器进行联动报警输出；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18、可联动多功能智慧语言提示屏进行联动报警输出；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19、具有警报声、语音疏散引导、文字显示警情和上报地点等警示功能；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20、小程序、WEB端可自动显示警报信息；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21、主机可通过连接网络，可以给设定的紧急联系人以电话、短信方式通知警情信息；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22、具有静默功能，用户可通过登录后台，进行参数设置，将模式切换为“禁默模式”，重要时刻可临时禁用警报功能；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23、具有消音复位功能，可通过触摸“取消报警”键复位并消除当前的警报信息，主机可以复位并消除所有的报警设备的警报信息；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24、具有远程管理功能，可通过小程序、WEB端进行用户管理、防区管理、设备管理等；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25、支持智慧烟感探测终端联动报警输入，可触发警报并显示报警信息和位置，可选择自动触发火灾报警；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26、具有备电功能，支持停电运行；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27、具有内置扬声器；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28、具有音频功放输出，可外接大功率扬声器；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29、具有音频信号输出，可外接校园广播；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30、具有12V直流电源输出，可驱动外部警报设备；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灵敏度：高灵敏度，可检测微弱电流变化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显示方式：大表盘指针式，刻度清晰，便于课堂演示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功能：可测微电流、电阻，部分兼具检流功能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精度等级：2.5 级（教学演示级）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集屑盘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使用厚度为1.5mm的钢板制成，粉末涂层。尺寸：388*308*24mm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2、应符合JY0001-88《教学仪器产品一般质量要求》的有关规定。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氧原子（1孔、天蓝球）30个、碳原子（6孔、黑球）14个、球直径不小于25mm）。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静电现象演示组合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知识点：演示电场的分布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1.静电跳球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配亚克力支架1个；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铝制横置平行板，φ35cm；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锡纸球1套。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2.平行板电场演示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铝质竖置平行板，φ35cm；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亚克力底板。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3.静电摆球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外观尺寸：约35cm×20cm×45cm；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铝质竖置平行板，φ35cm；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亚克力底板、支架；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镀铝乒乓球1件。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4.配静电高压电源1台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外观尺寸：约35cm×30cm×13cm；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电压输出稳定，0到50kv连续可调；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高清液晶表头；带开关式电位器；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配有专用放电叉；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结构类型：气压调节式（含改进型），通过气体压力调节电解液接触面积改变内阻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内阻调节范围：约 500 Ω ～ 10000 Ω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额定电压：3 V ～ 5 V（等效两节干电池级）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调节方式：气压气囊 / 活塞式加压，改变内阻连续平滑可调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结构组成：透明外壳、大量可自由转动的小磁针 / 微型线圈（模拟分子磁体）、底座、外磁场施加装置（如条形磁铁 / 励磁线圈）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小磁偶极尺寸均匀，排布密集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调节功能：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无外场：磁偶极随机分布；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加外磁场：可快速呈现整齐排列；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磁场测量综合实验仪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1、测量螺旋管的磁感应强度和磁场分布；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2、测量单个圆线圈的磁感应强度和磁场分布；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3、测量亥姆霍兹线圈的磁感应强度和磁场分布；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4、验证毕奥-萨伐尔定律；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5、学习零磁场的实现方法；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6、测量地磁场水平分量的大小。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1、无磁测量：开放式设计，可测量其他线圈的磁场，单匝亥姆霍兹线圈，单匝线圈、直导线等。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2、高精度弱磁场双向一体传感器，磁场测量范围：2mT、20mT双量程自动转换，4位LED数显，一键调零，分辨率≥0.1μT；传感器轴向移动距离≥500mm，径向移动距离±80mm；传感器可自由取下，测量其他磁场。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3、螺线管：线径1.5mm，匝数110匝，允许电流6A。等效长度180mm，等效直径40mm；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#4、电流源：0-8A（稳流）连续可调，3位半LED显示，连续可调；稳定度：≥1*10-4/min；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5、黑色铝合金槽式导轨，双曲线式滑块，无磁设计，快速滑动，无间隙、无回差，导轨长度≥600mm，分辨率≥1mm；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四位9999Ω，0.5级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1、学生电阻箱的结构为十进多盘式，电阻处阻值变换方式为开关式；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2、电阻箱参考功率为0.5W，标称使用功率为1W；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3、等级指数0.5%；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4、电阻箱由每个开关触头接触引起的电阻变差不应大于最小步进电阻值允许绝对误差值的50%；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5、在参考条件下，电阻箱的负载功率自参考功率上限值改变到标称使用范围上限值后，在稳定状态下，由自热引起的变差应不超过相应等级指数值。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2、是一个具支管的圆底球体形烧瓶，便于与冷凝管和牛角管等组成蒸馏装置；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1、标本在80x和200x学生显微镜下观察心肌的结构；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2、在心肌的断面上能看清柱状并具有分枝的肌纤维（肌细胞），胞核呈圆形或椭圆形，位于肌纤维的中央；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3、在肌纤维彼此衔接的地方能看清心肌的特有结构—“闰盘”；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4、在肌纤维的横断面上能看清肌原纤维和圆形核的横断面结构；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5、在400x镜下能看清肌原纤维上有纤细的横纹；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6、标本取材于哺乳动物的心脏；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7、切片厚度在8μm以内，材料面积不小于4x4mm；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8、用能显示闰盘和横纹的方法染色！要求闰盘、胞核着色明显，横纹清晰，胞质不着色或色淡；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9、呈纵断面的肌纤维应不少于材料面积的2／5；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10、应保持细胞结构正常；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12、产品应符合JY98－82《心肌切片》的要求。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气压模拟演示器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电源电压10（1）4V，有导向杆配重块透明筒活动圆盘塑料小球、振动板底座、电机调速旋钮电源接线柱电源开关。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毛细管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0.9-1.1*100mm (500支/桶)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笔式酸度计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1、ABS工程塑料外壳；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2、仪器级别：0.01级；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3、测量范围：pH：0.00～14.00。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1、聚碳酸脂注塑成型槽体；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2、可实现原位制胶功能，200V。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植物立体水晶标本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1.约φ10*30cm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主要工艺:高透包埋胶工艺，带背板，新鲜植物保持植物的根、茎、叶、花、果，固色干燥处理后，经过第一次透光树脂材料灌入后，将处理过的饮片标本放入树脂材料中，再次加入树脂包埋原材料，经过真空处理，高压处理，高温加热硬化处理,硬化后简单打磨处理,保证成品硬度及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4.数量不少于26种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智慧互动教考终端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配备2路高清摄像系统，一路全局录播系统用于实验操作的视频全局录制、存储、和传播实验操作视频信息，用于学业考试时评价学生的实验操作技能水平或平时教学中用于帮助学生检查和纠正实验操作错误。一路细节录播系统，从不同的角度录制实验操作细节部分，是对全局录播有效的补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2、CPU:SOC ≥2.2GHz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屏幕尺寸：≥13英寸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分辨率：≥1920*1200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网络类型：4G+WiFi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存储容量：≥256GB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屏幕分辨率：≥ 1080P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运行内存：≥ 8GB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屏幕比例：≥16:10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厚度：7.1-9mm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后置摄像头像素：≥1300W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前置摄像头像素：≥800w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电池容量:≥10000mAh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屏幕类型:LCD</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12mm，试管高70mm；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学生端给排水接口</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给排水管接头采用,PVC材质，具有耐酸碱，拔插轻松，不生锈；即插即用，带自动锁紧插功能，带自动止水功能，即使在供水排水工作时，随时拔掉接口不会有任何滴漏现象。#2、水管和快速接头链接采用不锈钢螺纹接口连接，不漏水，维修方便。水管采用金属包塑编织风暴软管，管外部由PVC包塑，内管加厚三元乙丙橡胶材料，抗老化、防爆裂、防生锈、经久耐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2、规格：U形，Φ15mm×150mm；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40mm，试管高200mm；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无线数显电导率传感器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用于测量溶液的导电能力；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性能：测量范围一：0μS/cm ~20000μS/cm，分度：10μS/cm；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测量范围二：0μS/cm ~2000μS/cm，分度：1μS/cm；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测量范围三：0μS/cm ~200μS/cm，分度：0.1μS/cm；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准确度：0μS/cm~200μS/cm档：≤±4μS/cm；0μS/cm~2000μS/cm档：≤±40μS/cm；0μS/cm~20000μS/cm档：≤±400μS/cm；最大采样率：5KHz；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传感器敏感器件为铂黑电极。电极玻璃基座上有两片铂黑电极片，其位置和距离都已固定。电极插入待测液体，在外界电压的作用下溶液中产生电流，通过传感器电路处理后即可转换为电导率（或数值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技术指标：温度范围：0-100℃（玻璃），电缆长度：1m，电极杆长度：150mm，电极杆直径：12mm；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每套带支杆单滑轮、尼龙线、桌边夹，小铁环，支杆高度可调。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无线数显气态酒精传感器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1.用于测量待测气体中酒精的含量；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2.性能：测量范围：0~2mg/L；准确度：0.2mg/l；最大采样率：5KHz；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3.原理：传感器内的敏感元件为半导体气敏元件。当有被检测气体存在时，空气中该气体的浓度越高，传感器的电导率就越高。使用简单的电路即可将这种电导率的变化转换为与气体浓度对应的输出信号。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4.结构：传感器尺寸：85*40*25(mm)，由高强度塑料外壳封装，采用注塑工艺，材质为蓝色透明PC。外壳设计M5螺丝孔位，可将传感器固定在多种操作和装置上；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9.可以完成酵母菌呼吸作用研究、测量气态酒精含量等实验。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细齿锯条 34齿（12支）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规格：全长约 300 mm（12 寸），标准手工钢锯条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齿数：34 齿 / 英寸，细齿型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材质：高碳钢淬火，韧性好、不易折断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齿形：细齿交错分齿，切削顺畅、切面光滑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适用材料：金属管材、薄板、塑料、亚克力等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包装：12 支 / 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超净工作台</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1、单人单面、外壳全钢结构，不锈钢操作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2、垂直气流、准闭合式玻璃风门（全钢化处理）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3、玻璃升降模式：恒力弹簧升降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4、可任意设置紫外灯预约开启时间和关闭时间（0-9999min)，照明和杀菌系统安全互锁；，具有温度补偿功能，开启温度补偿键，进行温度补偿，便于湿冷环境的操作；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5、具有臭氧浓度检测功能，提示操作区臭氧浓度，超出上限报警。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6、风机具有调速功能，高效过滤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7、控制仪表：4.3寸液晶触摸显示面板，仪表面板分别设有插座、灭菌、风机、照明的轻触式按键。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8、显示功能：可显示温度、湿度、光照度，显示开机时间和持续运行时间。。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9、洁净等级：100级@≥0.5μ M（美联邦209E）；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 菌落数:≤0.5个/皿•时(Φ90mm培养平皿)；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11、平均风速：0.25m～0.45m/s（可调）；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12、噪音  ≤62dB (A)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13、最大功率 130W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14、外型尺寸： W×D×H 825*520*1570mm；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1、最大称量200g，分度值0.2g；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抽滤瓶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延长软轴 110/P</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采用0.3-3.2mm筒夹头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PH计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1、三合一pH电极, 带内置温度传感器。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2.超大屏幕白光背景,测量值清晰可见；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3.屏幕具有显示电极斜率图标\测量图标\校准图标\温度图标\错误报警\自动温度补偿图标；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测量范围:0.00~14.00pH；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测量精度:±0.01pH；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校准点:2 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使用校准液:USA (pH4.01, 7.00, 10.01)；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测量范围：-1999~1999mV；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测量精度：±1mV；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连接器 BNC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6.自动温度补偿范围:0~100°C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7、测温精度：±1℃</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1、手摇式，不小于300mm,可装0-7mm钻头；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2、其他符合QB/T2210-1996《手摇钻》标准。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吊装安装支架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1、采用厚度≥1mmSPCC冷轧钢板经激光切割、数控冲压、数控折弯成型，生产工业采取模块组合，便于安装，外观流线形设计，简洁美观，表面经环氧树脂粉末静电喷涂、高温固化处理，耐腐蚀。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2、升降支架采用厚度≥2mm，SPCC冷轧钢板经激光切割、数控冲压、数控折弯成型，表面经环氧树脂粉末静电喷涂、高温固化处理，耐腐蚀。 </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标本在80×和200×学生显微镜下观察胰腺（示胰岛）的结构；取材于大鼠；满足教学实验用。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振荡模式：阻尼振荡（可观察≥6 个完整周波）、等幅振荡（电子补偿维持振幅）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显示方式：指针式大电表指示；BNC 接口外接示波器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工作电源：220V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工作环境：0～40℃，相对湿度＜85%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可调功能：多组电容 / 电感可选，演示周期随 L、C 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安全标准：外壳绝缘，无高压裸露，符合教学仪器安全规范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微型热熔胶枪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1、规格：含热熔胶枪一把，胶枪采用陶瓷PTC热敏电阻作为发热元件，长温速度快，恒温准确。在100V至240V之间的交流或直流电源中可正常使用。额定频率：50-60HZ、功率：100W，带指示灯和开关。11*190mm胶棒30根；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2、材质：胶枪采用铜嘴，全身优质塑料。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由机座、变速盘、大皮带轮、小皮带轮、旋臂、示力标尺、压杆、套筒、弹簧、钢球、铝球、驱动机构等组成。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大（铝木）仪器柜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1、规格：1200*500*2000mm±10mm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2、柜体框架：采用模具成型的专用铝合金方管制作，通过ABS专用连接件组装而成，保证连接牢固。铝合金管材的壁厚1.2 mm（误差±0.2 mm）。铝合金型材带凹槽，凹槽的宽度与柜体衬板相匹配，凹槽的深度足够，保证柜体衬板与铝型材之间接缝严密，无晃动现象，不发生脱落。铝合金型材表面需经静电粉沫喷涂处理，整体耐腐蚀、防火、防潮、稳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采用E1级厚度为16mm的沙面白色环保板材，所有板材外露面采用PUR不可逆封边工艺，封边耐热、寒、水蒸气、化学品和溶剂，稳定性强，封边后封边条不可剥离，高密封性不吸水、不膨胀，外型美观、经久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4、柜门：上部为专用木框对开玻璃门，下部为对开木门，铝合金拉手。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5、隔板：上柜设置2块活动隔板，下柜设置1块活动隔板。隔板所用的板材与柜体板材相同，厚度不小于16mm。隔板可活动升降，为了维护柜子空间完整及美观度，不得使用升降条等突出形态装置。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6、支脚：采用直径不小于8mm的不锈钢螺杆与ABS工程塑料一次注塑成型的脚垫。</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1、本产品由外壳、绝缘套筒、导电杆、箔片及中位卡组成；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2、外壳应牢固、平整、底座平稳，透光部分应光洁透明，无气泡及划痕；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3、圆球或圆盘、导电杆及中位片用金属制成，镀铬抛光后，表面光洁无毛刺。安装后应紧固无松动及歪斜现象；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4、导电杆与外壳间应有绝缘套管，安装后应无明显缝隙。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结构组成：真空玻璃管、阴极、阳极、偏转电极、荧光屏、支架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显示方式：荧光屏发光显示电子束轨迹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偏转方式：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电场偏转：加直流电压可观察水平 / 竖直偏转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磁场偏转：用蹄形磁铁靠近可观察弯曲轨迹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主要结构：灯丝阴极、加速阳极、偏转极板、荧光屏、玻璃真空外壳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显示：荧光屏受电子轰击发光，显示电子束轨迹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阴极射线沿直线传播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电场作用下偏转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磁场作用下偏转（洛伦兹力）</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2、规格：圆底，500mL；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1、机身一体化成型，采用不小于21寸屏幕，四边进行圆角设计。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24V直流电源供电，可通过传感器模块实现对空气温湿度、光照、甲醛、C02、TVOC、PM2.5实时监测。配合环境监测云，可通过一体机实现室内环境实时监测，也可以通过数据可视化呈现所有布设主机的场景环境监测质量，具有一屏显示整体情况和异常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PM2.5监测模块：采用激光散射法监测，PM2.5/PM10测量直径：0.3~1、1~2.5、2.5~10um，测量范围:0~999ug/m3，PM10测量范围:0~999ug/m3，体积颗粒物浓度：PCS/0.1L，最小颗粒直径：0.3um，精度：＜±10%，分辨率：0.1ug/m3，重复性：＜10%，输出信号：瞬时PM2.5、PM10浓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3、挥发性有机化合物监测模块：采用气敏半导体监测原理，测量范围：0~220PPM，精度：＜±20%，分辨率：0.1PPM，灵敏度：＞3，响应时间：＜10秒。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4、甲醛监测模块：在线监测、扩散式检测方法，测量范围：0~2ppm，分辨率：0.01ppm，精度：＜±4%，稳定性：＜±3%，测量重复性：＜±2%，测量灵敏度：1.1±0.5uA（ppm）。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5、CO2浓度监测模块采用红外测量原理，具备温度补偿功能，测量范围：0~5000PPM，测量精度：±4%，分辨率：1PPM，测量重复性：±1%，预热时间≤180秒，响应时间≤60秒。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6、光照监测模块：低量程光照度测量范围：0~70KLUX，光照度测量精度：±7%，光照度分辨率：1LUX16位数字，光照度测量重复性：±5%，测量稳定时间：0.5秒，响应时间：＜1秒。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7、湿度监测模块：湿度测量范围：0~100RH%，测量精度：±3RH%，分辨率：0.1%RH，重复性：±1%RH。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8、温度监测模块：测量范围：-40~80度，测量精度：±0.5度，分辨率：0.1度，重复性：±0.2度，空气温度漂移：＜±0.1度/年。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9、设备频率容限：≤20ppm、频率范围：2400-2483.5MHz、发射功率：≤20dBm(EIRP)、占用带宽：≤40MHz、杂散发射限制：≤-30dBm。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1、加速极电压：0～200伏连续可调；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2、偏转板电压：电压幅度0～40伏连续可调电压方向：上正、断路、下正三档；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3、电源：220V±10%50Hz4、功率消耗：小于8瓦。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高中微型化学实验箱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箱体：PP 工程塑料箱，带锁扣，内衬珍珠棉 /eva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微型玻璃 / 耐化学塑料件：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反应容器：井穴板（9/24 孔）、微型试管（5 mL）、具支试管、微型蒸馏 / 回流装置、微型漏斗、滴管（4 mL 多用滴管）；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配套：双导气管塞、微型铁架台 / 支架、橡胶管、止水夹、药匙、镊子；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测量与辅助： /药勺、pH 试纸、表面皿、陶瓷点滴板；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DNA快速杂交仪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1、电源电压:AC220V±10%，50Hz，350W，使用环境:0℃～+40℃，相对湿度:≤90%RH；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2、温控范围:环境温度+5℃~60℃可调。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1、产品主要由具有测量性能的耐疲劳弹簧、指针、调节器、分度板等组成；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2、使用时指针在所测力的方向上（无负荷时）必要时对准零位；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3、不在零位时，只要旋动两端的调节器，可使指针移向零位；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1、左右手定则演示器由底座、撑杆、接线板（棒）、方形线圈组成；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2、底座用非金属材料制成，其底部安装垫角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3、产品应符合JY0014－90《左右手定则演示器》的要求。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1.产品由气缸、底座、端盖、活塞等组成。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2.产品应符合JY137-82《空气压缩引火仪》的要求。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无线数显电导率传感器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1.用于测量溶液的导电能力；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~20mS/cm；分度：0.001 mS/cm；准确度：0.6mS/cm(600uS/cm)；最大采样率：5KHz；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原理：传感器敏感器件为铂黑电极。电极玻璃基座上有两片铂黑电极片，其位置和距离都已固定。电极插入待测液体，在外界电压的作用下溶液中产生电流，通过传感器电路处理后即可转换为电导率（或数值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4.技术指标：温度范围：0-100℃（玻璃），电缆长度：1m，电极杆长度：150mm，电极杆直径：12mm；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5.结构：使用BNC连接器方式与电极连接；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11.可应用于Windows、Android、iOS、统信、鸿蒙操作。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1、规格：≥340*210*740mm；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2、材质：采用工程PP塑料模具一次成型，壁厚≥3mm，不变形，不扭曲，无明显裂纹、凹陷、气泡、缩水等现象。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3、结构：功能柱身分为两块，塑料注塑模一次性成型,以齿合槽配以螺丝连接，拆分组合方便，方便检修桶体内的风管或电线。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微型冲压机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喉深：95mm，行程：80mm，压力：0.5吨，体积：180*270*410mm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双金属片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1、双金属片由约0.5mm厚的两种金属片制成；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2、双金属片用铝铆钉铆合，常温下主体平直；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3、手柄为木质。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电磁波的干涉衍射偏振演示器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1、发射器：频率10GHz±1GHz，等幅波输出≥10mW；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2、接收器：喇叭天线接收距离≥1m，振子接收距离≥0.5m，有声、光、电显示。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1、发送：放电距离0.2mm～2mm可调，来顿瓶电容≥500pF；</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2、接收：来顿瓶电容≥500pF，可变电容350pF～850pF。</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铸铁（0级精度）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1、规格：400mm×400mm；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2、材质：球墨铸铁，含底角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1、产品材质：钢制喷塑；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2、产品尺寸：仪器高≥37cm，背板宽为25cm；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3、产品由平抛导轨抛球挡驾、钢球、接球槽、小旋组重锤、调平螺栓、底板面板、支杆、磁条组成。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1、仪器由示教板、接线柱、电阻丝、紫铜丝、铁丝组成。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2、各标记点安装红、黑接线柱。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无线充电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规格：0.9×0.6×1.15m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部件：无线充电原理演示装置、汽车充电演示装置、手机充电装置等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2、展项描述：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线充电，又称作感应充电、非接触式感应充电，是利用近场感应，也就是电感耦合，由供电设备(充电器)将能量传送至用电的装置，该装置使用接收到的能量对电池充电，并同时供其本身运作之用。由于充电器与用电装置之间以电感耦合传送能量，两者之间不用电线连接，因此充电器及用电的装置都可以做到无导电接点外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（1）按下“原理演示”按钮，左右移动滑动块，观看滑动块接近线圈时的变化；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（2）按下“汽车充电”按钮，观看汽车的变化；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（3）按下“手机充电”按钮，将具有无线充电功能的手机放到托盘上，观察手机的变化。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三棱镜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1、产品由三棱镜、托架、支柱、底座等组成；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2、三棱镜体外形为正三棱柱，相邻两角为60±0.5°。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1、阳极氧化铝材压铸成型边框；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2、纳米扩散导光板导光系数高达90以上，光色纯正、无炫光无暗区；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3、内外结合封闭性高，防止灰尘进入；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4、高亮LED芯片，亮度高且柔和不刺眼光线舒适；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5、吸顶式安装，规格：30*120cm。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1、单频率：0.02s，火花距离不小于10mm，平均电流不大于0.5mA塑料材质；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2、由外壳、纸带压板，高压脉冲变压器，印制电路板电源开关，高压脉冲输出插口，墨粉纸盘记录纸带，电频调节开关。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产品由五块电场线演示板组成，分别为单点电极演示板、双点电极演示板、平行板电极演示板、环形电极演示板、尖形导体演示板。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光电效应演示器，锌板及铜丝网，固定轴、光源（紫外灯管，日光灯管各一根）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1、规格：1200mm*600mm*780mm±10mm。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2、台面：采用≥16mm厚一体实芯黑色胚体实验室工业陶瓷台面。表面为实验室专业耐腐蚀、耐污染、抗冲击釉面。坯体一体实芯，釉面和坯体经高温一体烧结而成。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3.台身结构：新型塑铝结构，整体≥1200*600*780。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4.桌腿：采用工字型压铸铝一次成型，材料表面经高压静电喷涂环氧树脂防护层，耐酸碱，耐腐蚀处理。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75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7.书包斗:尺寸为≥480*290*152mm,壁厚≥3.0mm；采用环保型ABS工程塑料一次性注塑成型。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8.整体结构：台面陶瓷板一体成型，桌身由桌腿、立柱、前横梁、中横梁、后横梁及加强横支撑件组成。                 </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长颈角磨机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研磨砂轮直径为50mm，内孔10mm，电压：220V，功率：350W，转速：15,000rpm，长315mm，重量：约560克，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1、整体以金属件为主，附测体高装置，体重秤最大称量160千克，最小称量5千克，最小分度值0.5千克；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2、体高计由三根不同直径的圆筒组成，最小分度值0.5cm，误差±0.5cm。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凹面镜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1、本仪器由凹面镜、镜框、支架、镜座等组成；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2、凹面镜的基片采用普通玻璃制成，在距基片中心三分之二半径范围内，不得有目测到的气泡、结石和条纹；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3、反射膜镀层应均匀，在距中心三分之二半径范围内不得有色斑、擦痕、印迹等疵病，并应有牢固的保护层。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3、灯工焊接牢固，焊接处玻管内径以不少于芯孔直径；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4、管口烘光不得有缺损块口；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5、活塞芯孔径应与活塞壳孔对正，出现的偏差不得超过有效孔径的1/3为准；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6、活塞芯手柄不得有割手合缝线，尾部磨平，不得有4mm以上的缺口；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7、活塞芯与活塞壳磨合后，芯、肩应与壳肩齐平，其伸出或缩入最大偏差不得超过1mm为准；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直径≥195mm，由两块铝板面一块塑料圆板。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半定量实验。根据不同配置可分别演示：物体的动能跟质量和速度的关系；物体的重力势能跟质量和高度的关系以及物体由于发生弹性形变而具有的弹性势能。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1、机械计时仪器，金属外壳，不锈钢发条；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2、最小刻度值0.1秒；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3、独立暂停按钮；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4、指针读数准确。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学生多功能电源模块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1、结构参数：学生多功能电源外壳集成交直流低压电源输出和功能性按钮，中间集成总电源保险装置、急停旋钮。电源配有五孔高压插座，中央配有网络接口。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2、技术要求：电源模块外壳采用阻燃级材质，模具一体成型，面纸采用耐磨、耐腐蚀、耐高温的PC亮光薄膜面板，界面文字清晰美观。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3、学生电源信息显示屏，采用≥1.3寸128*64 OLED屏，显示电压，电流，温度，湿度等信息；对比度优于液晶屏，角度广，更具可读性。具体详细参数如下：直流稳压输出：0-16V，额定电流2A；16-30V，额定电流1A。最小调节单元0.1V。交流电压输出：0~18V，额定电流2A；18V-</w:t>
            </w:r>
            <w:r>
              <w:rPr>
                <w:rFonts w:hint="eastAsia" w:ascii="宋体" w:hAnsi="宋体" w:cs="宋体"/>
                <w:color w:val="000000"/>
                <w:sz w:val="20"/>
                <w:szCs w:val="20"/>
                <w:lang w:bidi="ar"/>
              </w:rPr>
              <w:t xml:space="preserve">30V，额定电流1A。最小调节单元1V。交直流电源具有过载保护智能检测功能，显示“OVER”过载短路保护提示。采用按钮复位功能免除反复过载冲击负载，保护功能更优。外壳配有网络模块接口。二次保护：当摇臂升起时，电源盒上还有未断开的线路或水管时，将会有提示，等待线路或水管拔除后，摇臂将再次自动升起，教师端无需二次操作。外壳配有：两组新国标五孔多功能220V安全插座，插口带保护门，额定电流10A。自由编号:可自行按教室划分编号,编号可独立使用，也可统一，独立使用时教师端可进行每台的单独控制而不影响其它电源的使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涡旋振荡器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液体、粉剂、小颗粒等振动混合f=2800次/分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化学反应速率实验器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一、组成</w:t>
            </w:r>
            <w:r>
              <w:rPr>
                <w:rStyle w:val="968"/>
                <w:rFonts w:hint="default"/>
                <w:lang w:bidi="ar"/>
              </w:rPr>
              <w:br/>
            </w:r>
            <w:r>
              <w:rPr>
                <w:rStyle w:val="968"/>
                <w:rFonts w:hint="default"/>
                <w:lang w:bidi="ar"/>
              </w:rPr>
              <w:t xml:space="preserve">实验器由2只Y型试管、1组支架、2只</w:t>
            </w:r>
            <w:r>
              <w:rPr>
                <w:rStyle w:val="971"/>
                <w:lang w:bidi="ar"/>
              </w:rPr>
              <w:t xml:space="preserve">φ</w:t>
            </w:r>
            <w:r>
              <w:rPr>
                <w:rStyle w:val="968"/>
                <w:rFonts w:hint="default"/>
                <w:lang w:bidi="ar"/>
              </w:rPr>
              <w:t xml:space="preserve">4mm单孔5号橡胶塞、2只等径气管快速接头、2条外径</w:t>
            </w:r>
            <w:r>
              <w:rPr>
                <w:rStyle w:val="971"/>
                <w:lang w:bidi="ar"/>
              </w:rPr>
              <w:t xml:space="preserve">φ</w:t>
            </w:r>
            <w:r>
              <w:rPr>
                <w:rStyle w:val="968"/>
                <w:rFonts w:hint="default"/>
                <w:lang w:bidi="ar"/>
              </w:rPr>
              <w:t xml:space="preserve">4mm软管、2只泄压阀组成。</w:t>
            </w:r>
            <w:r>
              <w:rPr>
                <w:rStyle w:val="968"/>
                <w:rFonts w:hint="default"/>
                <w:lang w:bidi="ar"/>
              </w:rPr>
              <w:br/>
            </w:r>
            <w:r>
              <w:rPr>
                <w:rStyle w:val="968"/>
                <w:rFonts w:hint="default"/>
                <w:lang w:bidi="ar"/>
              </w:rPr>
              <w:t xml:space="preserve">二、功能</w:t>
            </w:r>
            <w:r>
              <w:rPr>
                <w:rStyle w:val="968"/>
                <w:rFonts w:hint="default"/>
                <w:lang w:bidi="ar"/>
              </w:rPr>
              <w:br/>
            </w:r>
            <w:r>
              <w:rPr>
                <w:rStyle w:val="968"/>
                <w:rFonts w:hint="default"/>
                <w:lang w:bidi="ar"/>
              </w:rPr>
              <w:t xml:space="preserve">与传感器配套使用，可完成探究酶的专一性、比较过氧化氢在不同条件下的分解、探究pH对酶活性的影响、探究温度对生物酶活性的影响等相关实验。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符合教学实验要求，可以检验摩擦起电的电荷，电容等带电体的正负，以及演示静电感应。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Y形试管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尺寸：外径 φ20 mm；分叉角度约 60°，两臂内径匹配，底部连通成 Y 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材质：高硼硅玻璃，耐高温（短时明火 / 水浴 200℃+）、耐强酸强碱腐蚀，壁厚均匀不易炸裂；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容量：φ20×180 mm 总容量约 40 mL，每臂常用工作体积 3–8 mL，适合微型实验；；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三轨竟速</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由三个同等高度不同路径的轨道、钢球、控制器等组成。整体有机玻璃制做。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纯水机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1、产水量：10L/h，水质符合GB6682-1992三级；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2、水通量550L，使用水温5-45℃。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共振音叉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440Hz，木制共鸣箱一对，击锤一个。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材质：加厚高硼硅玻璃，耐化学腐蚀、可高温灭菌（煮沸 / 干热）；边缘精细打磨，无毛刺不伤眼周；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常用尺寸：容量多为 50mL；壶身直径 50 mm，壶嘴弧形贴合眼窝；部分带底座 / 支架，便于放置防倾倒；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结构：一体玻璃壶，带导流嘴 / 双杯型；有的带橡胶帽密封，防止洗眼液污染；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尺寸：2000mm*800mm，50MM厚硅岩净化板.双面贴膜.企口白灰色，表面喷塑密封，平开门成套配件，带玻璃视窗。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200目 1米*10米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1、通过共点力的平衡力系来演示说明力的合成和分解；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2、实验可配合专用作图计算纸或坐标计算纸加以验证。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牛肉膏蛋白胨培养基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1、实验用加热仪器60mm，陶瓷制造；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2、口圆整、光滑，不得有缺口，厚薄均匀，底部平整，不凸凹，放置平面不摇晃，器身不扁瘪；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3、蒸发皿的形状应规整，不得有裂纹和妨碍使用的熔洞、斑点、缺釉等缺陷；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4、吸水率：不大于0.3%；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5、釉的耐酸性：带釉蒸发皿内表面釉的损失量不大于0.01mg/cm2；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6、釉的高温粘结性：将带釉蒸发皿加热至900℃时，不出现釉粘结现象；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7、热稳定性：产品在高于室温230℃至室温的水中热交换一次，不出现裂痕或色斑；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8、按使用温度可分为：带釉蒸发皿和无釉蒸发皿。带釉蒸发皿使用温度不高于1000℃，无釉蒸发皿使用温度不高于1250℃。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实验箱支架车</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1.专为实验箱设计的移动支架车，可实现多个实验箱的迅速移动，省时省力。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2.承重60kg，可承载多个实验箱。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3.有4个万向轮，带刹车，移动方便。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4.便于收纳、运输。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称量瓶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瓶身外径：φ25 mm，瓶高：40 mm，容量 10 mL；材质：高硼硅玻璃（耐温、耐化学腐蚀，可烘箱烘干）。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离子交换柱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含玻璃纤维和离子交换树脂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1、产品为氨合成塔缩小模型，模型外形示塔体及顶盖等；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2、外壳剖开，应能看清塔内的环状空间及塔上部的触媒室和塔下部的热交换器等结构，外壳剖面上示其壁厚；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3、触媒室示触媒层的形态，触媒层应置于多空板上；热交换器采用列管式，应表现出其内部立体结构；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4、中心管直径应不小于热交换器列管直径的两倍，中心管上端应高出触媒层；模型必须正确显示气体在塔内的流动路线，并在各个适当位置用箭头标明方向，反映前后气体的流经区域应用不同颜色加以区别；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1、本产品由两只灵敏度相同的指针验电器组成。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2、壳体应连接牢固；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3、导电杆用金属制成，镀铬抛光后，表面应光洁无毛刺。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热熔胶棒7*100mm（12支）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直径：7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长度：100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适配工具：小号热熔胶枪（20W 左右）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材质：EVA 热熔胶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软化点：约 75～85℃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工作温度：120～160℃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颜色：透明 / 乳白色为主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特点：固化快、粘接强度适中、无毒无异味</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1、用聚苯乙烯压制而成，透明度良好、不易损坏；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2、外表尺寸：方形300mm×300mm×150mm；（圆形270mm×140mm）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3、产品口底部平整，表面无凹凸不平现象，无擦伤、划痕、裂缝等缺陷。</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电感式镇流器，本仪器由演示板、灯管、启辉器、镇流器、触发开关等组成。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实验室专用试剂架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规格：3300*300*750mm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1、铝合金结构，表面喷涂高温固化匀乳白环氧树脂喷涂理处理，具有较强的耐蚀性能，上下带塑胶模具堵头；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2、试剂架立柱截面尺寸：42mm*82mm,型材壁厚1.2mm；试剂架立柱双面升降槽，侧面双面镶嵌另色色条；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3、试剂架托架1.0mm高强度镀锌钢板，一次性冲压成型；试剂架护栏：护栏壁厚1.2mm，单面镶嵌另色色条。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4、立杆牢固固定于C型钢架底端，层板采用8mm厚的钢化玻璃，安装后用户可根据试剂大小上下高低无级调节。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自动稳定走纸，由铝合框体、走纸装置、描迹纸、火花描迹器、气垫式弹簧振子、等组成。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简谐振动投影演示器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工作电压:DC6V-8V，由铝合金框架、激光源、振动弹片及入射镜光屏、电机、反射镜及支架等组成。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烘干箱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1、材质：外壳采用冷轧钢板制造，表面静电喷塑；内胆为优质不锈钢材料制成；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2、电源电压：AC220（50Hz）。</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1、标本在100x和400x生物显微镜下观察酵母菌的形态；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2、酵母菌为单细胞卵圆形；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3、在不同的染色情况下，能看清细胞壁、细胞质、细胞核和液泡等；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4、在菌体上可看清出芽生殖，分别具一、二或多个芽；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5、标本取材于人工培养的体大的酵母菌；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6、材料应纯净，无杂菌、污物，不密集成团；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8、产品应符合JY79－82《酵母菌装片》的要求。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平口钳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JB/T54481-1999高精度机用平口钳,材质：45#高碳钢锻造，规格：80mm。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湿度计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1、注塑成型；为指针式，仪表盘上印有湿度标识；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2、湿度范围：0%RH-100%RH，最小标识：2%RH；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3、测量误差：30-90%RH时＜7%；</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4、工作湿度：-10℃—+50℃；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5、可部分参考QX/T27《毛发湿度计》标准执行。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水溶性颜料组（红、黄、蓝、绿、黑、白）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规格：单瓶容量 10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颜色套装：红、黄、蓝、绿、黑、白，共 6 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类型：水溶性、可水洗、水性颜料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性状：液体状，色彩鲜艳，易稀释、易混合调色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特点：无毒环保，无强刺激性气味，流动性好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溶解特性：可直接与水混溶，不溶于有机溶剂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1、放电距离：&gt;300mm；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2、最大电流：&lt;30ua；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3、力量：~220v；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4、力量：&lt;100w,蓄电球。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J2307型，产品由尖形导体（包括内锥体）、绝缘支杆、底座三部分组成。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化学实物周期表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规格：约3.5*2m（定制）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部面：主体背板、显示终端、互动软面、亚克力材料、实物模型、组合功能模块、按钮及控制器等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项整体为透明橱柜展示形式，墙面布满化学元素周期表部分实物及展示背景灯箱。将平面的化学元素周期表转换为三维的实物元素周期表，我们将118个化学元素以实物的形式展示在观众眼前，其中81种元素展示了的单个元素样品，由于部分元素的稀有性和放射性，被排除在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元素周期表适合中学课堂使用的化学元素表。其中可将元素按照不同种类分组，可显示同种元素的多种不同模型，可查看每个元素的详细介绍以及详细属性，如发现年份、性状、燃点、沸点等，甚至可以看到关于不同元素各个常见同位素的知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示元素标本：氢气、氦气、锂、铍、硼、碳、氮气、氧气、氟、氖气、钠、镁、铝、硅、磷、硫、氯、氩气、钾、钙、钪、钛、钒、铬、锰、铁、钴、镍、铜、锌、镓、锗、砷、硒、溴、氪气、铷、锶、钇、锆、铌、钼、钌粉、铑丝、钯、银、镉、铟块、锡、锑、碲、碘、氙气、铯、钡、镧、铈、镨、钕、钐、铕、钆、铽、镝、钬、铒、铥、镱、镥、铪、钽、钨、铼、锇、铱、铂、金、汞、铅、铋，共计80种实物元素，实物样品多达300种，从正面的每个小方格子能看到放有立体实物元素和相关生活用品实物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未展示元素图文：锝、钷、钋、砹、氡、钫、镭、锕、钍、镤、铀、铊、镎、钚、镅、锔、锫、锎、锿、镄、钔、锘、铹、鈩、钅杜、钅喜、钅波、钅黑、䥑、鐽、錀、鎶、鉨、鈇、钅莫、鉝、石田、气奥，共计38种元素,由于这些元素无法用肉眼观测，属于稀有元素，所以结合图文灯片进行科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含一套《化学元素周期表》互动软面，通过视频和图文介绍了118个化学元素，每个元素都有独立介绍视频或图文，结合生活中的应用场景，生活用品以及安全常识展示了每个化学元素独特的属性。引导观众自主学习，将化学应用到生活中，运用化学知识解决生活中遇见的问题。多种多样的展现形式和互动手段可以让学生们在参观体验的过程中领略到科学精神，享受探索与发现所带来的乐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进入体验区，根据指示牌操作，进行科普互动学习。</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智能实验记录本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记录本：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1、应用技术:无缘无线电磁压感笔技术；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3、压感级别:2048级压感；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4、读取速率:200点/秒；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5、EMR分辨率:0.01毫米 （2540 ppi）；</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6、使用纸张:任意普通纸张均可使用（最大支持A4尺寸）；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7、储存:可存储多达20页的书写内容；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8、电池使用时间:存储/实时模式连续不间断书写时间约15小时；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9、电池容量：可充电锂聚合物电池1000mAh；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10、充电时间: 2.5个小时；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11、待机时间：1个月以上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12、坐标分辨率：29700*21000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10、圆珠笔芯寿命:约1400米 +/- 20%；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11、状态显示屏:有；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12、LED状态灯：有；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13、要求:·支持蓝牙4.0的设备: iPad Pro, iPad mini, iPad 3, iPad Air 或更新(iOS8 或更新); iPhone 4s 或更新(iOS8 或更新);  Android™ 设备 (Android 4.3 或更新)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14、连接：Bluetooth 4.0, USB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蓝牙适配器：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教师版需搭配USB接收器采用USB连接实现蓝牙4.0连接，信号强，传输稳定，传输距离可达30米，小巧轻便，即插即用。电脑USB接口支持USB2.0及以上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实验微课模块：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1、纸笔书写板书。真实的纸笔书写感受，原笔迹的数字化呈现；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2、电磁笔可以当书写笔使用，亦可以模拟鼠标使用，提供多功能快捷键，不需要操作电脑，即可通过智能书写笔调整画笔颜色和粗细、擦除、翻页等功能实现微课的制作。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3、微课软件能快速高效导入教师所需的素材，对相应的文档资源进行录制讲解。老师只需要将已经制作好的ppt 、word、pdf、图片等文档导入到微课录制界面，使用电磁笔在纸上进行批注书写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4、附加书写白板。在讲解PPT等文档操作时，软件右侧可点击增加提供额外的书写白板，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5、鼠标书写。支持使用鼠标或触控设备在屏幕或多媒体触控屏上直接书写；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微课录制完成后，并且可以实现微课的回放和预览，便于教师查看微课录制效果，支持本地导出微课视频，生成MP4通用的流媒体格式文件，方便用户随时随地播放和应用。采用矢量轨迹的记录方式，视频容量大小约1MB/分钟。</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砂带尺寸：610*30mm；#100（3件装）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1、感温物质：水银；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2、全长：290mm；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3、测量范围：0－200℃；最小分度值：1℃；允许误差±1℃，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4、玻璃应光洁透明，不得有裂痕。毛细管不得有明显的弯曲现象，其孔径应均匀，管壁内应清洁无杂质。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携式直流单双臂电桥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金属外壳,单双臂,电桥的总有效量程,单臂电桥10~1111000欧姆、双臂电桥10-4~1111Ω。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无线色度计&amp;浊度计</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1.测量范围：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浊度：0~400NTU，分度：0.1 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透光率：0～100％，分度：0.1%；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吸光度：0-3，分度：0.001。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2.测量波长：色度六种波长：650nm（红色）、600nm（橙色）、570nm（黄色）、550nm（绿色）、500nm（蓝色）和450nm（紫色）；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浊度波长：850nm；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浊度：0-25NTU ≤±2NTU，</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25-400NTU ≤±5% F.S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4.传感器由高强度塑料外壳封装，采用注塑工艺，材质为黑色ABS。外壳设计M5螺丝孔位，可将传感器固定在多种操作和装置上；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9.可完成检测生物组织中的蛋白质、浓度对化学反应速率的影响、测定有色溶液的浓度等实验。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阿基米德沉浮子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部件：有机玻璃管、打气筒等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内装液体的封闭透明容器、打气筒、沉浮子等构成浸在液体内的物体受到液体对它向上的浮力，当重力与所受液体向上的浮力相等时，该物体可浮于液体中或液面，装置在未充气时，浮子只受重力和浮力作用，处于平衡状态，充气后，气压增大，气体对浮子的压力和向下的重力之和大于液体对浮子的浮力，浮子开始下沉。过一会儿气体泄漏，气体对浮子压力减小，浮力大于重力和气体压力之和，浮子开始上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观众按下操作打气筒，往密封容器内打气，使其内部压力增加，液体的浮力发生改变，当压力足够大时会看到沉浮子没入水中。（每操作完一次后请放气）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1号电池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每组2个～3个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数字式，3-1/2位，电压﹑电流﹑电阻﹑温度测试﹑电容﹑二极管测试。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电源储藏模块装置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1、电源储藏模块装置：采用内外双层结构设计，外壳规格：400mm*400mm*140mm(±5mm)，内胆规格：380mm*380mm*90mm(±5mm)，材质采用ABS工程塑料模具注塑一次成型，有效提高光源的聚光性和产品的牢固性，</w:t>
            </w:r>
            <w:r>
              <w:rPr>
                <w:rStyle w:val="968"/>
                <w:rFonts w:hint="default"/>
                <w:lang w:bidi="ar"/>
              </w:rPr>
              <w:br/>
            </w:r>
            <w:r>
              <w:rPr>
                <w:rStyle w:val="968"/>
                <w:rFonts w:hint="default"/>
                <w:lang w:bidi="ar"/>
              </w:rPr>
              <w:t xml:space="preserve">2、四周氛围灯：储藏模块内四周氛围LED光源，规格：≥</w:t>
            </w:r>
            <w:r>
              <w:rPr>
                <w:rStyle w:val="971"/>
                <w:lang w:bidi="ar"/>
              </w:rPr>
              <w:t xml:space="preserve">φ</w:t>
            </w:r>
            <w:r>
              <w:rPr>
                <w:rStyle w:val="968"/>
                <w:rFonts w:hint="default"/>
                <w:lang w:bidi="ar"/>
              </w:rPr>
              <w:t xml:space="preserve">366mm高亮度光源和隔离驱动器，灯罩采用双面磨砂≥1.5mmPC散光板，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植物组织培养基试剂盒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MS培养基，附适用于月季或菊花生根和发芽的相关激素。</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数字切片浏览设备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依据国家新课改普教生物教材的教学要求，完整收录现行教材涉及显微镜教学的全套切片，能同时满足教师演示和学生实验的不同需求，切片显示的组织结构典型清晰，图像颜色均匀自然，同时数字切片资源库的图像由教育界名师对切片结构进行标注，并经专家审核，确保切片的专业性和科学性，更有助于学生准确的认识切片中的微观结构，提高实验教学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2、将传统显微镜与数字切片互动教学和学习，既注重了学生的操作能力，也培养了学习的简便性与兴趣性，既方便教学课件制作，教师可随心所欲的发挥制作空间，灵活方便，方便规划建立精品课程。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3、设备支持C/S、B/S模式部署，可以手机、平板、电脑可以从本地局域网、校园网、Internet等网络上远程自主学习，也可以开展跨地域的远程教学模式，激发探究热情，实现教育方式的多样化。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4、显微虚拟数字切片与数码显微镜视频实现无缝结合，数码显微镜实时视频上可叠加图形、文字、图片等。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5、使用中无需实物切片，解决了实物切片的丢失、褪色、损坏问题，减少经费投入。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6、支持模拟显微镜视场进行观察，让学生有身临其境，实时操作之感受；支持模拟显微镜物镜固定倍率观察，四组固定倍率为：2倍、4倍、10倍、20倍、40倍、100倍，支持1X-100X无级缩放。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7、学生可自主学习并对切片内容进行标注、注解、测量长度、周长、面积等。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8、电子地图导航，提供数字切片全图缩略预览，并可快速定位目标区域。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9、知识点导航，点击知识点可快速定位到数字切片相应的倍数和位置。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2、口边光滑平整，无毛边、快口及崩缺，角度正确，口边不得呈椭圆形及不规则多边形，斗柄应垂直，下口应磨成45º角，并将斜口边倒角不呈缺口；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3、壁厚均匀，内壁光滑，斗柄接头处不允许严重折皱，斗柄垂直偏正不超过3~5mm。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1、6孔，5mL×6；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2、附带双导气管的井穴塞。</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防割手套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五级防割，材质防割纤维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1、具有较好耐磨防割性能,具有良好的绝缘性和防护能力；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2、产品为棉衬里丁腈防化手套表面有小圆型纹路。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1、放电距离应为 5 mm～10 mm，输出电压对地正负对称；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2、输入DC6V，输出电压范围-17.5 kV～+17.5 kV，短路电流不大于500µA。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液体表面张力实验器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由六种不同的几何形状的金属丝线框组成，半球环、双环、棉线环、棉线围环、金属框架、钢丝圈六件组成。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标称容量：10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分度：无分度单标线吸量管（完全流出式）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精度等级：A 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容量允差：±0.02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材质：硼硅玻璃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无线数显土壤湿度传感器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1.传感器由高强度塑料外壳封装，外壳设计M5螺丝孔位，可将传感器固定在多种操作和装置上；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5.可应用于Windows、Android、iOS、麒麟、统信、鸿蒙操作。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6.可用于测量土壤湿度、比较不同深度土壤湿度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高真空硼硅玻璃管，一端为电子枪组件，中部有可插入的金属挡片 / 十字形遮板，另一端是涂有黄绿荧光粉的荧光屏；电子枪：灯丝、阴极、控制栅极、加速阳极，聚焦成细电子束；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挡片：金属材质，插入后可在荧光屏上呈现清晰影子；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荧光屏：电子轰击即发光，直观显示射线轨迹。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钢手锯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1、规格：锯架300mm，锯条300mm，由钢锯架、钢锯条组成；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2、产品材料采用钢板制，调节式；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3、前、后固定销与相应孔的配合间隙不得大于0.3mm；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4、安装锯条后，锯条中心平面与锯架中心平面的平行度不得大于2mm；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5、锯架在达到900N拉力历经1min后，不应有永久变形，拉钉不得松动脱落；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6、钢板制锯架在达到900N张力时，侧弯不得超过1.8mm；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7、手柄握捏部位应光滑舒适；采用钢材、塑料、木料及合金等材料；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8、锯架表面不应有裂纹，锈渍、毛刺、剥落等缺陷，表面处理色泽一致。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作品展示柜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1.规格尺寸：1900*300*2200mm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2.材质:实木多层板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3.制作工艺根据图纸定制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吊装安装支架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冷轧钢板经激光切割、数控冲压、数控折弯成型，生产工业采取模块组合，便于安装，外观流线形设计，简洁美观，表面经环氧树脂粉末静电喷涂、高温固化处理，耐腐蚀。#2、升降支架采用冷轧钢板，表面经环氧树脂粉末静电喷涂、高温固化处理，耐腐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雕刻刀组 （5支）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V型刀，大凹槽，小凹槽，平圆和平直刀刃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电容与介电常数测量实验仪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1、用充放电法测量电容；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2、用谐振法测量电容；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3、研究极板距离和电容的关系；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4、研究极板面积大小和电容的关系；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5、研究介质与电容的关系，测量介质的相对介电常数；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6、根据电容量和电压计算电容存储的电量。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1、直流稳压源0-12V可调，稳定度10-5/min；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2、超高阻电压表：带4位半数显电压表，量程12V，输入内阻大于100GΩ；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3、计时器：0-99.999s，1000-999.99s；1000-9999.9s，10000-99999s自动量程，带计时启动、停止开关；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4、高阻单元：输入阻抗10MΩ、100MΩ、1GΩ；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5、标准电容单元：100pF、1nF、10nF、1uF；</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6、电容板材质：3种不同大小的圆形金属，表面光洁度：镜面级，测量范围0-8mm；分辨率0.01mm，调节细度和回差小于0.005mm；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7、谐振电路：频率范围1-100kHz；5位频率计数显；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8、提供两种不同材料的介质，供测量介电常数，更换方便。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触发器，体积160x125x65mm，电源：220VAC±10%50HZ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1、产品由透明有机玻璃制成；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2、面罩应清洁透明，应无波纹、无划伤、裂纹。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滤纸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60*60mm 中速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单面标本柜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1、柜体尺寸：1000（宽）*500（深）*2000mm（高）±10mm。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柜柜体：1000（宽）*500（深）*1400mm（高）±10mm，上柜柜体由铝合金框架和透明玻璃组装而成，能够完全观其内部陈列标本。柜体框架采用模具成型的专用铝合金方管制作，通过ABS专用连接件组装而成，保证连接牢固。铝合金型材带凹槽，凹槽的宽度应与柜体玻璃相匹配，凹槽的深度应足够，保证柜体玻璃与铝型材之间接缝严密，无晃动现象，不发生脱落。铝合金型材表面需经静电粉沫喷涂处理，整体耐腐蚀、防火、防潮、稳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3、层板托：层板托通过内置三卡锁与上柜框架卡槽固定，可自由调节高度。承重性好，升降方便，解决了原来玻璃层板容易向前倾摔倒的缺点。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4、下柜柜体：1000（宽）*500（深）*600mm（高）±10mm。采用≥16mm厚防潮三聚氰胺双面贴面板，所有板材外露端面采用高质量PVC封边条，利用机械封边机配以热溶胶高温封边。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5、下柜柜门：下部为整体木门，木框和木门材料与衬板相同。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6、层板：设置≥2块可上下升降调节活动搁板，搁板采用活动白玻(厚度≥8mm磨边)。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7、柜脚：采用特制模具ABS注塑脚垫，防水及防潮，有效使设备寿命延长。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3N，5N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1、产品由弹簧、指针、挂钩和标度板组成；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2、钢丝绕成的螺旋弹簧。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列管式烘干器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1、上盖、下底、列管、加热器、风扇、电源线组成；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2、金属制作，防锈处理；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3、列管下端为M10螺纹，上端8个、Φ3mm的出风孔；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4、有良好接地装置；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5、性能：工作电压：AC220V、50Hz电机（风扇）：30W加热器：240W干燥气流温度50℃～60℃绝缘电阻大于20MΩ；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6、工作温度：-20℃～40℃相对温度：≤80%。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规格：全长 250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类型：木工锉（粗齿 / 中齿，常见扁锉或半圆锉）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材质：高碳工具钢锉身，木质或塑料手柄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齿形：齿距较大，排屑顺畅，适合软质材料</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楞次定律演示仪（转环型）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一、整机规格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2.外形尺寸：200×200×400mm（长×宽×高）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磁铁类型：N52钕铁硼强磁铁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磁铁尺寸：Φ30mm×200mm长（1根）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磁场强度：≥0.4T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磁极标识：N/S极清晰标注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三、转环：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转环材质：LY12硬质铝合金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转环直径：Φ100mm×200mm长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四、支撑：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底座材质：45#优质碳素结构钢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底座厚度：15mm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顶针材质：SUS304不锈钢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顶针工艺：镜面抛光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支撑方式：精密轴承支撑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原副线圈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1、原副线圈由原线圈、副线圈、软铁心三部分组成；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2、原副线圈骨架用黑色塑料或木料制成，表面光洁，副线圈因底座平整，直立于平面时不应晃动。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磁力搅拌器由搅拌驱动器、搅拌子、电源适配器构成。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最大搅拌量：2L，转速范围：200转/分钟~2000转/分钟；适用于生化实验过程中搅拌低粘稠度的液体或固液混合物。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1、摇柄转速120转／分，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2、在温度为5～30℃范围，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3、起电盘采用有机玻璃板制成。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粗齿锯条 14齿（12支）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规格：标准长度 300 mm（12 英寸）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齿数：14 齿 / 英寸，粗齿型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材质：高碳钢，淬火处理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体视解剖镜</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1、规格参数：目镜：10X/Φ20mm;物镜：0.7X-4.5X连续变倍。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2、放大倍数：7X-45X连续变倍，选配辅助物镜下，放大倍数可达180倍；总放大率误差≤5.88%；成像清晰范围 上下≥73%；左右≥64%,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3、变倍物镜：双组内置变倍物镜，变倍范围0.7X-4.5X；视场中心分辨力（线对/mm），0.7倍物镜≥67;1倍物镜≥94;2倍物镜≥141;3倍物镜≥178;4倍物镜≥200;4.5倍物镜≥212;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4、工作距离：物方有效距离100mm，辅助物镜可选：0.3X/WD267mm,0.5X/WD165mm；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5、目镜：高眼点大视野广角目镜WF10X/20mm；目镜可选：WF20X/15mm；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6、观察头：三目观察筒，45度倾斜，可360度旋转，瞳距调节范围54mm-76mm，两目镜筒均可调节，视度调节±5屈光度；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7、底座组:透射底座；调焦托架齿轮齿条升降，调焦行程50mm，松紧可调；透射光源，采用上下高亮度LED光源，亮度可调，照明方向可任意调节；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8、连接方式:C 螺纹接口，输出信号:USB2.0 数字信号，总 像 素: ≥1000 万像素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9、传 感 器: 1/2”，分辨率: ≥2592x1944，信 噪 比:&gt;72dB，动态范围:&gt;40dB，扫描方式:亮度/对比度，色调/饱和度，白平衡，增益，锐度，即插即用 USB2.0/3.0 界面、无需采集卡，高画质、专业显微摄影、带正版 PHMIAS 图像处理软件软件功能，支持全分辨率高清模式实时动态图像预览，随时拍摄(捕获)图像，动态视频录象功能，拍摄图片可任意保存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10、数码成像系统：2000万像素，CMOS图像传感器，图像分辨率≥3840*2160，USB3.0高清数字信号输出；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10、数码成像：800万像素，CMOS图像传感器，图像分辨率≥3840*2160，USB3.0高清数字信号输出；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11、数据接口：USB3.0高速USB线，测微尺标定。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12、拍照、录像功能：内置一键拍照、一键开始录像功能。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13、测量模式：点坐标、直线、折线（鼠标右键结束）、画圆等操作、径画圆、三点画圆、同心圆、圆心距等操作等；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微型抛光机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1、抛光轮直径150mm；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帽子+围裙+袖套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棉制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1、高硼硅玻璃材质。管口应切平正烘光，底部圆正，厚薄均匀，不得有刺手现象；</w:t>
            </w:r>
            <w:r>
              <w:rPr>
                <w:rStyle w:val="968"/>
                <w:rFonts w:hint="default"/>
                <w:lang w:bidi="ar"/>
              </w:rPr>
              <w:br/>
            </w:r>
            <w:r>
              <w:rPr>
                <w:rStyle w:val="968"/>
                <w:rFonts w:hint="default"/>
                <w:lang w:bidi="ar"/>
              </w:rPr>
              <w:t xml:space="preserve">2、规格：试管外径</w:t>
            </w:r>
            <w:r>
              <w:rPr>
                <w:rStyle w:val="971"/>
                <w:lang w:bidi="ar"/>
              </w:rPr>
              <w:t xml:space="preserve">Φ</w:t>
            </w:r>
            <w:r>
              <w:rPr>
                <w:rStyle w:val="968"/>
                <w:rFonts w:hint="default"/>
                <w:lang w:bidi="ar"/>
              </w:rPr>
              <w:t xml:space="preserve">20mm，试管高200mm，急冷温差＞200℃；</w:t>
            </w:r>
            <w:r>
              <w:rPr>
                <w:rStyle w:val="968"/>
                <w:rFonts w:hint="default"/>
                <w:lang w:bidi="ar"/>
              </w:rPr>
              <w:br/>
            </w:r>
            <w:r>
              <w:rPr>
                <w:rStyle w:val="968"/>
                <w:rFonts w:hint="default"/>
                <w:lang w:bidi="ar"/>
              </w:rPr>
              <w:t xml:space="preserve">3、支管与试管连接处牢固、平滑；</w:t>
            </w:r>
            <w:r>
              <w:rPr>
                <w:rStyle w:val="968"/>
                <w:rFonts w:hint="default"/>
                <w:lang w:bidi="ar"/>
              </w:rPr>
              <w:br/>
            </w:r>
            <w:r>
              <w:rPr>
                <w:rStyle w:val="968"/>
                <w:rFonts w:hint="default"/>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汽油机模型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1、工作电压：直流1.5V～2V；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2、模型应示汽油机的汽缸体、进汽阀、排汽阀、汽阀弹簧、进汽道、排汽道、活塞、活塞环、连杆、曲轴、飞轮、火花塞、凸轮、水套；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3、模型在演示时，四个冲程工作过程动作准确、前后衔接，并配有指示灯说明。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2、台面：采用≥25mm厚高强度金属树脂理化板。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4、结构：演示台设有储物柜，中间为演示台,设置电源主控、多媒体设备（主机、显示器、中控、功放、交换机）的位置预留。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6、铰链：采用优质铰链，开合十万次不变形。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石棉网</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1、产品为在金属网上涂敷石棉材料而制成；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2、金属网无锈蚀，具备一定的强度。石棉材料涂敷均匀，附着力强。涂敷面不得裸漏金属网面；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3、整体应平整、美观，不翘角。</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1、测量范围:摆球偏转距离：0-25cm；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2、偏转角度：0-45°,摆球水平方向偏转力见45°角度时的标示值；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3、使用范围:空气湿度≤80%可做定性演示；空气湿度＜70%可做库仑定律的验证性。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数字化实验设备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1.专用采用了图形化的设计理念，包含了大量专用实验模板，预设了操作流程，方便学生操作使用，通用具备视频区域。可进行数据处理，满足学科教材与课外探究的要求；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2.传感器插入后能自动识别和运行；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3.须无需设置参数自动检测传感器，并提供仪表、数值、曲线多种显示风格；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4.具有双组合曲线功能及完整的可对数据图线进行拟合的功能（一次函数、二次函数、三次函数、反比函数、反比平方、对数、正弦函数、指数等），并自动显示拟合的函数表达式；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5.具有中学常用的预设公式，并可根据实验需求自由定义公式；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6.内设可调整采样频率范围是0.1~20K；具有完善的数据处理功能（可对图线中数据进行求导、积分、平均值、绘制包络线、最大值、最小值的计算），可对无效数据图线的数据进行删除或恢复；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7.可以对实验设置进行保存，生成实验模板；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8.具有实验数据采集过程录播、回放功能；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9.可生成实验报告，提供实验报告模板，可导入实验表格数据及插入实验图线并进行分析；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10.学生可发送实验报告；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11.提供实验帮助，可随时查询理化生实验图片及实验说明，方便教学参考使用。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12.具备的功能：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13.同时录制实验操作（录制时间0-30分钟可调）及数据显示、双组合图线、计算表格；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14.采集器有线、蓝牙无线（显示连接蓝牙ID号）；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15.采集器支持同时连接不低于12个传感器；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16.坐标系双Y轴，视图模式包含自动翻页、滑动显示、一屏显示。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1、筒形，250mL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2、漏斗应采用透明的钠钙玻璃或硼硅玻璃制造，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3、漏斗结构应牢固，能保证正常使用要求；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4、旋塞的锥度约为1/10；旋塞应具有良好的密合性；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5、在正常使用时旋塞柄应位于右侧，具有分度线的滴液漏斗其分度线应均匀、平直，并垂直于漏斗的轴心线。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蒸馏水器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1、实验室设备，整体采用全不锈钢金属材质，用于生产蒸馏水；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2、整体结构由蒸发锅、冷凝器、加热部分等组成，蒸发锅采用优质不锈钢薄板，经过滚动、延伸与先进的焊接方法加工而成；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3、出水量：不小于5升/小时。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1、规格：2400mm*700mm*850mm±10mm。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2、台面：采用≥25mm厚高强度金属树脂理化板。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3、桌身：整体采用≥1.0mm厚优质冷轧钢板，全部钢制件纳米陶瓷镀膜防锈处理。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4、结构：演示台设有储物柜，中间为演示台,设置电源主控、多媒体设备（主机、显示器、中控、功放、交换机）的位置预留。含PP水槽、下水管和溢流管及三联水嘴。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5、滑道：抽屉全部采用优质三节承重式滚珠滑道开合十万次不变形。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铰链：采用优质铰链，开合十万次不变形。三联水嘴：鹅颈式实验室专用优质化验水嘴：要求防酸碱、防锈、防虹吸、防阻塞，表面环氧树脂喷涂。出水嘴为铜质瓷芯，高头，便于多用途使用，可拆卸清洗阻塞。出水嘴可拆卸，内置成型螺纹，便于连接各类水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7、下水管和溢流管：水槽专配型排水管，不锈钢卡扣连接，安装方便不渗漏。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由直径50mm凸透镜、支杆、底座组成。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长度1130mm，一端高度可连续升降，连接曲面光滑。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能演示甲烷与氯气的反应。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MS培养基,细胞分裂激素\生长素,使用说明等。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强力锁紧机械万向磁力表座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吸附力：50kgf（≈500N），垂直吸附于钢铁表面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臂长 / 工作半径：220mm（主杆 + 关节总伸展）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锁紧方式：强力机械锁紧（多关节旋钮 / 扳手式），定位后无松动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底座尺寸：约 40×40×40mm（方形强磁底座）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夹持孔径：φ6mm、φ8mm，兼容燕尾槽，适配各类百分表 / 千分表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材质：底座为高导磁钢 + 钕铁硼强磁；支臂为淬火钢（HRC58），耐磨耐用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1、交流输出：2 V～16 V/3 A，每 2 V 一档；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2、直流稳压输出：2 V～16 V/2 A，每 2 V一档；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3、安全要求：空载时输出电压允许误差±0.3V。输出电流大于3A时自动关断。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1、电解槽外形采用立方体，外壳采用透明材料，可以在同一侧面上观察到内部结构和变化；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2、采用碳板阳极和金属阴极。自正接线柱至碳板对角线顶端的电阻应不大于5Ω；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3、采用透水性适宜的材料（如高丽纸等）做隔膜，隔开阳极室和阴极室；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4、用纯净的饱和食盐水（加入酚酞溶液）做电解液，注入阴极室，透过隔膜渗入阴极室内。两室的液位差应能维持两分钟以上；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位应能拆开，以便于清洗；各部件之间需能密封至不漏气，以保证实验进行。拆装应方便，并能在一次实验完了后，很方便的转入开始状态；全部材料都应对电解条件有足够的稳定性；工作电流为4A，工作环境温度为20℃～40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在正常情况下，接通电源两分钟内应在极板上观察到明显的气泡，同时阴极室内的电解液变红；五分钟内阳极室导出的氯气可使容器中不少于10ml的淀粉碘化钾溶液变色，并能在阴极室的导管上用试管收集到可供点燃检验的氢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学生用，尺寸：50*30*50mm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直角尺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1、材料:不锈钢，规格:150mm，镜面抛光处理；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2、其他符合GB/T6092-2004《直角尺》标准。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1、手摇式，不小于300mm,可装0-7mm钻头；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2、其他符合QB/T2210-1996《手摇钻》标准。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三片折叠式结构，有机玻璃制。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计数器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1、手持式，钢制外壳；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2、测量范围：1-9999。</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玻棒(附丝绸)</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1、产品包括：硬质玻棒（或有机玻棒）1根，丝绸1块；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2、玻棒（或有机玻棒）；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3、玻棒表面应无斑痕、气孔，烧制。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三相电机原理演示器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由永磁式旋转磁场演示器和电磁式旋转磁场演器两部分组成。附件磁针为冀形。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2、碱式，25mL，内应力消除：在偏光仪下呈紫色；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3件装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砂带尺寸：610*30mm；#240（3件装）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1、产品供中学物理演示物体的惯性；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2、产品由钢球、弹簧钢片、支架、底座、木片或塑料片等组成。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一面长方形的铜丝网，用三根绝缘支柱支起，绝缘支柱由三部分组成，绝缘部分用有机玻璃制成。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2、漏斗口径：90mm±2mm；厚度：约2mm；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3、口边光滑平整，无毛边、缺口及崩缺，角度正确，口边不得呈椭圆形及不规则多边形，斗柄应垂直，下口应磨成45º角，并将斜口边倒角不呈缺口；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4、壁厚均匀，内壁光滑，斗柄接头处不允许严重折皱，斗柄垂直偏正不超过3~5mm。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滴水架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1、材质:高密度PP。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2、尺寸：≥550*400*120mm，≥27支滴水棒。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3、底部托盘中间设有排水孔。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4、可拆卸式滴水棒，方便使用。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表面皿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实验无线示教仪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硬件参数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1.连接方式：配专用的无线接收器，不占用大屏的无线网卡；无线接收器与电脑的USB接口连接，免驱即插即用，无需设置，实现示教仪开机智能匹配连接。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2.金属软管式设计，任意方向可调，可拍大于A2幅面的示教场景，也可以微距显示。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3.影像速率：1080p或4K无线传输速率达到25~30帧/秒。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4.十字定位辅助功能：设备开启图像时，自动加载十字定位线，清晰呈现于画面，辅助用户快速识别画面中心位置。十字定位显示时长约15-20 秒，到达预设时间后自动消失，避免干扰正常图像的查看或操作。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5.底座带4个触摸按键：录像、转90ﾟ、灯光、对焦。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6.触摸底座上的录像按键，可启动软件的录制功能进行示教画面的录像。配专用无线麦克风，TYPE-C接口一拖二领夹麦。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7.示教设备采用可拆卸分离式底座，支持安装桌面底座，紧固夹板、三角支架，便携可移动，满足立体展示过程中的需要，兼顾更多示教场景。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8.配金属便携收纳箱，适合长期保存，也方便携带到不同教室中使用。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1.基础功能：软件全中文图标。可预设笔划粗细及颜色选择，画面可以实时批注，在任意区域内批注书写，支持黑板擦功能；支持对展台成像画面联同批注内容进行缩放、移动、画面旋转、冻结，支持拍照功能。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2.小组对比教学：进入对比教学可添加本地照片，进行同屏比较；支持实时触摸放大缩小、批注、全屏、旋转，删除等操作。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3.屏幕录制：可对课堂的实操过程进行视频录制，提供MP4、AVI、WMV多种视频格式选择，支持全屏、1080P模式录制。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节速器、干燥器、分离器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教学示波器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DC5MHz，扫描范围：10Hz～100kHz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风淋室</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1、外形尺寸（宽×深×高）：1300mm×780mm×2050mm （±20mm）；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2、净化区尺寸（宽×深×高）：700mm×780mm×1950mm（±20mm）；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3、过滤器净化效率：≥0.5um尘埃≥99.99%（钠焰法）；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 源： 220V-50Hz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5、最大功率：0.55KW；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6、隔板高效过滤器尺寸：600mm×600mm×120mm×1。</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1、多膜盒，读数范围80-106kPa，分度值0.25kPa；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2、空盒表面应光洁，无碰伤、划伤，焊接处无缝隙，漏气等缺陷；空盒中心与拉杆应同轴，多膜盒垂直放置，各膜盒连接牢固、互相平行；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3、刻度盘表面应平整，无划伤，刻线和数字均匀清晰，可见度好；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指针应平直，以轴心孔为支点，二端平衡，指针与刻度盘表面平行；在全量程范围内指针应盖住短线四分之一到四分之三，指针安装在刻度盘中心位置；指针应转动灵活、平稳，不得有跳动现象；指针应有微调机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5、空盒气压计上的玻璃罩或面板，应无色透明，除翻口处外，厚薄均匀，正面无气泡、结石，且不得有影响视线的条纹。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产品为可控硅调压器，调压范围：0-220V，工作电压：220V 50HZ，最大负载：2000W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蒸汽机模型</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吹动式，产品由气缸活塞、连杆、底板、凸轮、飞轮等组成。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1、塑料制、注塑成型；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2、产品由顶板、底板、插杆组成，6孔。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1、仪器主要由专用铝合金型材制成轨道；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2、工程塑料制造小车，设计巧妙的同步释放及暂停装置，以及上下配置的轨道结构；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仪器还设有小车浮获装置、定位标尺等等，使实验极为方便、直观、可靠/轨道长度：2×1000mm/轨度间距：140mm（上、下配置）/小车质量：200±10g/轨道可倾斜方向：前、后、左、右；4、表面光洁度：轮廓平均算术偏差值≤3、2μm/配备块：10g，50g/工作环境：温度：0～40℃/相对湿度：≤85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双球，内封NO</w:t>
            </w:r>
            <w:r>
              <w:rPr>
                <w:rStyle w:val="969"/>
                <w:rFonts w:hint="default"/>
                <w:lang w:bidi="ar"/>
              </w:rPr>
              <w:t xml:space="preserve">2</w:t>
            </w:r>
            <w:r>
              <w:rPr>
                <w:rStyle w:val="968"/>
                <w:rFonts w:hint="default"/>
                <w:lang w:bidi="ar"/>
              </w:rPr>
              <w:t xml:space="preserve">和N</w:t>
            </w:r>
            <w:r>
              <w:rPr>
                <w:rStyle w:val="969"/>
                <w:rFonts w:hint="default"/>
                <w:lang w:bidi="ar"/>
              </w:rPr>
              <w:t xml:space="preserve">2</w:t>
            </w:r>
            <w:r>
              <w:rPr>
                <w:rStyle w:val="968"/>
                <w:rFonts w:hint="default"/>
                <w:lang w:bidi="ar"/>
              </w:rPr>
              <w:t xml:space="preserve">O</w:t>
            </w:r>
            <w:r>
              <w:rPr>
                <w:rStyle w:val="969"/>
                <w:rFonts w:hint="default"/>
                <w:lang w:bidi="ar"/>
              </w:rPr>
              <w:t xml:space="preserve">4。</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智能光照培养箱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1.容积：280L；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2.控温范围：10-40℃ 控温分辨率0.1℃ 波动度±0.5℃-±1.0℃ 不均匀度±1.5℃；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2.额定光照度:  0-12000LX;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3.最大可编程段数≥30段；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4.光照级数：无级线性调节；(可调节光照度)；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5.培养箱具有直接输入光照度就可以自动自动调整光源功能；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6.光源为LED植物生长光源,24V供电，安全可靠；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7.具有移时功能,方便时间周期调节；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8.外门聚氨酯发泡门设计，保温效果好，温度波动小，内胆304不锈钢；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人机界面采用自主研发的4.3寸彩色触摸屏智能控制器，温度、光照强度、运行状态等多组数据一屏显示；培养箱自带照明开关，方便黑暗条件下观察培养；控制器安全管理含多级密码保护，分别为管理员、厂商技术人员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10.风道式通风，进口压缩机确保温度均匀，产品质量稳定耐用；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11、内胆尺寸（mm）：540*540*960；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12、外形尺寸（mm）：590*590*1650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台式盘锯机 FET</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auto"/>
                <w:sz w:val="20"/>
                <w:szCs w:val="20"/>
                <w:highlight w:val="none"/>
                <w:lang w:bidi="ar"/>
              </w:rPr>
              <w:t xml:space="preserve">1.电压:220V</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2.功率:1800W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3.锯片尺寸：</w:t>
            </w:r>
            <w:r>
              <w:rPr>
                <w:rFonts w:hint="eastAsia" w:ascii="宋体" w:hAnsi="宋体" w:cs="宋体"/>
                <w:color w:val="auto"/>
                <w:sz w:val="20"/>
                <w:szCs w:val="20"/>
                <w:highlight w:val="none"/>
                <w:lang w:val="en-US" w:eastAsia="zh-CN" w:bidi="ar"/>
              </w:rPr>
              <w:t xml:space="preserve">至少支持</w:t>
            </w:r>
            <w:r>
              <w:rPr>
                <w:rFonts w:hint="eastAsia" w:ascii="宋体" w:hAnsi="宋体" w:cs="宋体"/>
                <w:color w:val="auto"/>
                <w:sz w:val="20"/>
                <w:szCs w:val="20"/>
                <w:highlight w:val="none"/>
                <w:lang w:bidi="ar"/>
              </w:rPr>
              <w:t xml:space="preserve">210MM*30*2.6，锯片齿数:24齿/100齿；90度时最大切割深度50MM，45度时最大切割深度45MM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4.主台面规格:</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53CM*43CM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5.工作台可调角度0-45°</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6.高度:</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28.5CM</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7.重量:</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15KG。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铬钒钢锯片 85mm 80齿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210MM*30*2.6，锯片齿数:100齿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钻头磨削机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2.额定功率：120W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3.重量：9.8KG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4.体积：约310*180*170mm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直联泵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2XZ-1型，单相，有防回油功能。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波动弹簧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扁钢丝弹簧，外径不小于66mm，圈数不小于180，两端为90°弯折半圆。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伽尔顿板(道尔顿板)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满足教学实验用。由有机玻璃板、阵列钉子、V型槽、插板、狭槽等组成。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气液相密封实验器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与生物化学传感器密闭连接，可完成陆水生植物光合作用、种子萌发、呼吸作用、酶的特性等实验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高中物理系列3选修模块教学挂图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1、18幅；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动能发电手电筒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结构：手压扳机、齿轮增速机构、微型发电机、LED 灯珠、储能电容、外壳。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无需干电池，环保节能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随按随亮，应急使用方便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体积小、重量轻、耐用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双面刀片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光的折射全反射实验器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半圆 / 半圆柱光学玻璃砖（直径 80mm，厚度 12mm，光学级玻璃 / 亚克力，n≈1.52）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可调角度激光笔（红光 / 红绿双色，低压安全电源，避免强光直射眼睛）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旋转支架 / 指针，可精准读出入射角、折射角；部分磁吸款可快速固定在黑板上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辅助配件：平面镜、遮光罩、备用电池、说明书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材质：光学玻璃 / 高透亚克力 + ABS 工程塑料 + 金属支架；激光为 Class II 低功率，符合教学安全标准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0.5N，1N，2N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1、产品由弹簧、指针、挂钩和标度板组成；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2、钢丝绕成的螺旋弹簧。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洗耳球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1、包括：聚乙烯，聚丙烯，橡胶，涤纶，晴纶，氯纶、丝线、涤棉线、松香等；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2、每种标本附有标签；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3、优质塑料盒包装。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低气压放电管组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放电管，玻璃6支，支架注塑成型。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不少于5种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一个质子交换膜电极，膜电极≥15㎜×15㎜，带电流、电压表。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室内风管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1、室内风管采用直径为≥200mm，PVC管路或者采用PP焊接管路</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植物立体水晶标本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1.约φ10*40cm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主要工艺:高透包埋胶工艺，带背板，新鲜植物保持植物的根、茎、叶、花、果，固色干燥处理后，经过第一次透光树脂材料灌入后，将处理过的饮片标本放入树脂材料中，再次加入树脂包埋原材料，经过真空处理，高压处理，高温加热硬化处理,硬化后简单打磨处理,保证成品硬度及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数量不少于12种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拆装式，由1气体摩尔体积正方体组成，正方体规格为300mm×300mm×300mm，厚度为3mm的透明有机玻璃，再用专门设计的透明塑料角联结。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紫外灭菌设备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无菌室闪烁警示灯提醒装置，单独控制，独立线路，含安装。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演示力矩盘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圆盘直径≥27厘米，三爪底座，组装后整体高度可调。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室内通风设备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1、主风管：采用具有耐酸碱性能PVC≥Ф315mm、支分管≥Ф200mm，≥Ф75mm。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2、管卡采用碳钢制作，表面经镀铬处理，具有耐腐蚀、防火、防潮等功能。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1、中学物理教学演示实验；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2、枕形导体有可拆式或不可拆式。外径60mm,表面镀镍的金属空壳；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3、性能、安全、结构、外观应符合JY0001第4、5、6、7的有关要求。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脱脂棉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auto"/>
                <w:sz w:val="20"/>
                <w:szCs w:val="20"/>
                <w:lang w:bidi="ar"/>
              </w:rPr>
              <w:t xml:space="preserve">原料：100% 天然长绒棉，无化纤、回收棉、再生棉掺杂；500g/袋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强磁针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高磁能积磁体，底座直径70mm，磁铁长度90mm。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放大镜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1、由凸透镜、透镜框及手柄组成；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2、凸透镜放大倍率：5×；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3、透镜应无明显条纹。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4、透镜框应能牢靠地夹持透镜。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感应圈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1、规格电子开关式、输出高压0~50kV，输出连续可调；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2、在规定的工作电压条件下，放电火花不少于两条；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3、感应圈的温升不大于8℃；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4、感应圈电路部分的绝缘电阻不小于20MΩ；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5、在工作电压范围内的任一电压。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钢丝钳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材质：45#高碳钢锻造，规格不小于：40mm*80mm。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1、标准温度20℃，温度范围0～70℃；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2、密度范围：1.000～2.000g/cm³；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3、在液体中倾斜度不大于0.2分度值；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4、密度计各部位无严重内应力集中现象，无影响强度及密度测量的玻璃缺陷。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台式砂带机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1、采用定制超静音高速内置风扇电机；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2、主要部件采用电镀工艺或喷墨阳极氧化双工序处理；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3、采用欧标铝材T型内槽；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4、马达转速：12000转/分钟；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5、输入电压/电流/功率：24V/5A/100W，开关电源的转入电压为110V - 240V；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6、变压器具有过电流，过压，过热保护；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7、砂带尺寸：610*30mm；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8、加工尺寸：85mm*35mm，可选加工角度调节功能；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9、可选无极调速功能；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10、机床尺寸：310**110*210mm；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11、砂带机配合砂带使用，可对各类工件进行打磨加工，适用范围：金属，木材，玉石，亚克力等；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12、配合砂带使用，砂带可根据实际加工需求，选择60#、80#、100#、150#、180#、240#、320#、400#、600#砂带目数。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气垫式，由导轨、滑块、弹簧、刻线尺、进气管。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可伸缩万向吸风罩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1、伸缩导管材质：镁硅铝合金，管径≥63mm，，表面做特氟龙表面处理。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2、关节连接杆：304不锈钢双头锁杆。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3、松紧旋钮：高密度PP材质，表面喷塑处理，内嵌不锈钢轴承，与关节连接杆锁合。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4、固定底座：高密度PVC材质，模具注塑一体成型。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5、拱形集气罩：形状如喇叭口，高密度PC，具有阻燃、耐腐蚀等功效。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6、集气罩连接帽：连接帽连接紧固，螺纹无滑牙、烂牙等现象。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7、扭簧：扭簧材质弹簧钢表面抗氧化处理、扭簧线径≥4mm。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8、关节：高密度pp材质，表面磨砂处理，可360°旋转调节方向。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9、旋转角度：安装后可调节到三维360度任意转停，集气罩吸气角度360度任意转停。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手摇三相交流发电机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1、手摇三相交直流发电机由发电机、星形负载板和三角形负载板组成采用直流激磁方式手摇发电；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2、当转子激磁电压为6V、转速1500转/分，输出频率为25Hz时；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3、产品应符合JY23－88《手摇三相交直流发电机》的要求。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1、标本在80x和200x学生显微镜下观察叶下表皮形态和气孔结构；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2、能看清不规则形的下表皮细胞，及其胞核和分散在下表皮细胞间的气孔；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3、能看清正常开放的气孔形态和新月形的保卫细胞、胞核和叶绿体；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4、标本取材于新鲜的、气孔开放的蚕豆叶；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5、标本为平铺装片，四周剪切整齐；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6、材料整洁，不附带叶肉等其他组织，保卫细胞不收缩；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7、闭合气孔不得超过2／3；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8、胞质着色均匀，胞核明显，细胞界限清晰；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10、产品应符合JY75－82《蚕豆叶下表皮装片》的要求。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三线电子开关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1、输入阻抗：300KΩ//40PFA、B、C相同；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2、最大输入耐压：≥200V（DC+AC）；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3、开关频率：50Hz～50KHz连续可调；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4、放大系数：≥3倍A、B、C相同；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5、最大相对位移：≥4伏；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6、输入通道间隔离比：≥30分贝；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7、输出极性。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尖嘴钳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1、型号规格：150mm；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2、采用45号高碳钢精工铸造，整体精抛光、热处理，钳口高频淬火，硬度45～48HRC，PVC全新料环保手柄；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3、其它技术要求应符合GB6290夹扭钳和剪切钳通用技术条件的规定。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恒定电场综合实验仪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1、电流的测量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2、电流密度的测量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3、电阻的测量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4、电导率与电阻率的测量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5、电场强度的测量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6、验证欧姆定律微分方程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7、测量电量，验证电荷量公式。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1、直流恒流源：0-10A连续可调；4位半数显，精确度：0.1%，稳定度：≤5X10-5/min;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2、毫伏电压表：20mV、200mV双量程自动转换，4位半数显，最小分辨率：1uV，一键调零；精确度：0.2%；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3、被测对象：异质棒、同质棒，等径棒、变径棒；材质：铝、不锈钢、黄铜，可独立或组合测量。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4、测量方式：四线制，连接方式：点接触，对被测材质无损伤，减小测量误差；测量位置可连续移动，位移细度≤1mm；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5、含优质正品螺旋测微计、游标卡尺。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6、电量计：测量范围20mC、200mC、2C，三位半数显，精度0.2%；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7、时基信号：0-99.999s，5位数显，细度0.001s：测量精度0.1%</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2、Φ150mm×300mm，具上口；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装置有多种实验功能：酸碱废液中和、PH值测试、重金属达标处理、天然水的净化、处理前后水质检测，模拟酸雨危害、模拟酸碱性水环境、对植物生存的影响、对动物生存的影响等；包括试剂瓶、反应槽、搅拌机、水阀、过滤槽、活性炭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2、处理量，不小于20升/次，无极变速双搅拌，附循环泵，普通水要半小时，重金属水稍长时间。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1、由玻璃滴管和胶头组成；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1、产品用钢材制成，应作防锈处理；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2、产品制作应光滑、平整、无缺陷；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3、产品的夹持范围最大应不小于20mm，夹子的夹持应可靠，吻合好；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4、螺母与螺杆螺纹应吻合好，旋动轻便，不应有卡死现象。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1.滚摆由摆体（摆轮和摆轴）、悬线、支柱、横梁和底座组成。2.产品应符合JY110-82《滚摆》的要求。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由金属网编制而成金属底座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精油提取器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功率500W，功率可调，具有缺水断电功能，最大容积5L。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1、产品由铝合金制，外型为蝶形夹持，每侧的两夹夹持中心同轴，用螺丝或弹簧控制，可同时在左、右夹持一支滴定管，夹持质量为1KG。确保滴定管夹持后与水平面垂直；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2、各夹头上装有软质护套。</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1、高压电源模块：学生电源操作界面基材工程阻燃ABS塑料；面纸加贴PC膜加贴；界面文字清晰美观。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2、高压电源由教师电源统一供给，新国标五孔多功能220V安全插座四组；插口带保护门；额定电流10A。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3、高压电源保险管；USB插座四组，JR45网络接口二组；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充磁器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1、该仪器由盒体、空芯线圈、整流电路、选择开关及按钮开关等组成；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2、盒体中部有一通孔，属塑料制品；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3、工作电压为交流220V±10%，额定电流3A。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16mm×500mm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渗透研究实验器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U型连通器（含L型管*2、底座、硅胶板、梅花手柄螺丝*4）、导气配件*2、半透膜*6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1.用于初中生物、高中生物研究渗透实验。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应用U型管连通原理，贴合教学需要，配合压强传感器、离子类传感器（如氯离子传感器）、电导率传感器使用，可探究渗透过程中半透膜两侧产生的压力变化或渗透过程中膜两侧离子浓度的变化，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3.装置隔膜位置配有发泡硅胶板及4个梅花手紧螺丝，有效保证密封性，实验环境搭建简单，易操作。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4.可自由更换半透膜种类，根据教学要求拓展探究实验的深度和广度。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5.U型连通器两侧设有刻度标贴，可以观察液面高度的变化。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6.配套专用实验预设模板，以曲线形式自动记录数据变化情况，实验结果更直观明显。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观察渗透现象、测量渗透压等实验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恒温震荡器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1、转速范围:启动~300r/min转速可调；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2、温控范围:室温~50℃；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3、温控精度:±0.5℃；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4、振荡方式:往复；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5、振荡幅度:20mm；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6、定时范围:0-120min(或常开)。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1、自然对流通风式结构，控温仪表安装于箱体上；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2、控温装置：采用调节方式控制加热，并应有控温功能；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3、电源电压：220±22V，50Hz。控温范围：RT+20℃～60℃，±0.5℃。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2、酸式，50mL，内应力消除：在偏光仪下呈紫色；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1、由测量结构、测量路线、外壳等组成；测量机构采用磁电系仪表结构、标度盘，机械零位调节臂均固定在支架上；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2、准确度等级：2.5级。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水平式和竖式，由底座、支架、弹簧振子组成。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1、直接式防毒口罩；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2、口罩能完全罩住口、鼻不漏气；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3、防毒时间不小于1小时；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4、口罩应卫生清洁，不得有灰尘。不得用有毒材料制作。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主架舱体防尘检修板</w:t>
            </w:r>
            <w:r/>
          </w:p>
        </w:tc>
        <w:tc>
          <w:tcPr>
            <w:tcBorders>
              <w:top w:val="non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1、采用≥1.0mm厚SPCC冷轧钢板，钣金折弯成型。CO2保护焊焊接，打磨处理，表面光滑，不易变形，强度高等特点，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2、表面经酸洗磷化处理，静电喷涂环保粉末高温处理工艺，无有害物质，具有防腐性高，造型独特美观，检修方便。</w:t>
            </w:r>
            <w:r/>
          </w:p>
        </w:tc>
        <w:tc>
          <w:tcPr>
            <w:tcBorders>
              <w:top w:val="non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non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1、由底板及铜、铁、镍铬三种金属导线、接线柱、连接片、支撑架等组成；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2、金属导线应精细均匀，在有效长度内不能有弯折、锈蚀现象。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X射线演示仪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由热阴极X射线管、高压电源、防护机箱等组成。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书写白板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900mm×1800mm，双面，带支架。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高温扩散云室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一、探测器特点探测器有宽阔的观察视场（46cm×46cm）能方便而直接地用肉眼看到所有带电粒子的运动轨迹以及这</w:t>
            </w:r>
            <w:r>
              <w:rPr>
                <w:rFonts w:hint="eastAsia" w:ascii="宋体" w:hAnsi="宋体" w:cs="宋体"/>
                <w:color w:val="000000"/>
                <w:sz w:val="20"/>
                <w:szCs w:val="20"/>
                <w:lang w:bidi="ar"/>
              </w:rPr>
              <w:t xml:space="preserve">些粒子的入射方向。本仪器最大的特点在于能连续不断地显示仪器所在的自然背景辐射及来自宇宙的和来自地球的自然辐射，由于探测器的工作过程是完全自动的，所以操作简单，且耗能低。三、技术参数1、显示粒子径迹的活动层：46cm×46cm×近似1cm2、观察室尺寸：不小于65cm×65cm×20cm3、工作液体：分析纯无水乙醇4、制冷剂：R4045、蒸发槽加热器工作电流：2.5～5A6、电场电压：6kV7、低温板工作温度：-30℃～-40℃8、光源：15W×2（荧光灯）9、电压：AC220V，50Hz10、功耗：1kV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无线数显双量程光照度传感器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1.用于测量光照度。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2.性能：测量范围：0～6000lx～60000lx，分度：1lx；准确度：≤100lx或≤10%（读数的）取大值；最大采样率：5KHz；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5.模块化、可热插拔设计，支持有线通讯、无线通讯和屏幕数据显示，可6支持蓝牙无线数据传输；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1、最大载荷：200g,分度值：0．0001g；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2、主要技术数据：骑码标尺范围：1～10mg。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半导体热电特性研究实验仪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1、研究半导体制冷片的热输运机制，学习制冷原理，验证帕尔贴效应；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 学习半导体发电的原理，验证塞贝克效应；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 用恒流法、伏安法、比较法、内阻法、动态法测量半导体制冷片内阻；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测量半导体制冷片的塞贝克电压，计算塞贝克系数；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 测量半导体制冷片的优值系数；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 测量半导体制冷片的热导率和电阻率；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学习半导体制冷的最大制冷量和最大温差状态的参数设计；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 测量半导体制冷的电流-温度曲线，计算最大极限温差；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9、测量和计算半导体制冷的制冷效率；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10、研究实验：学习半导体热泵的原理，计算制热量和制热效率。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11、研究实验：测量半导体制冷片参数与温度的关系，绘制温度特性曲线；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12、设计实验：按最大制冷效率设计一个实用的制冷，设定各制冷参数。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1、半导体制冷片的默认参数：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外部尺寸：40*40*4mm，元件对数 :127。</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内部阻值：2.1~2.4Ω（环境温度23±1℃）。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致冷功率：Qcmax：40-55W，最大温差：△Tmax：67℃以上。工作电流：Imax=6A，额定电压：12V，最大电压14.5V。工作环境：温度范围 -55℃～200℃，塞贝克电压：温差20℃时，约1V。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1、电阻型加热器：工作电压约15V，加热功率约30W，耐温200℃，加热电压可控温、可关断。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2、温度传感器：两路，用于测量制冷片温度，及用于控制温度。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3、风扇：优质直流风扇，电压12V。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4、黄铜导热块：可由加热器加温至100℃；在制冷片工作时，可获得低于室温的温度，可快速散热；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5、其他被测温度传感器：NTC热敏电阻，PN结温度传感器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6、电气接口有：温度传感器接口，加热器/风扇接口，半导体制冷片接口：电流端和电位端各两个接线柱。可用于测量总阻R，或者接入电流源制冷。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7、温度表：共2个，可用于测量半导体制冷器冷热端的实时温度。4位数显，显示范围：-50～100℃，分辨率0.1℃，带自动测量和记录数据功能。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8、数字电压表：4位半数显，3个量程；200mV、2V、20V。带自动测量和记录数据功能。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计时装置：5位数显，最小分辨率0.01S。</w:t>
            </w:r>
            <w:r>
              <w:rPr>
                <w:rFonts w:hint="eastAsia" w:ascii="宋体" w:hAnsi="宋体" w:cs="宋体"/>
                <w:color w:val="000000"/>
                <w:sz w:val="20"/>
                <w:szCs w:val="20"/>
                <w:lang w:bidi="ar"/>
              </w:rPr>
              <w:t xml:space="preserve">测量数据可存贮，可查询，测量时带声音提示。默认状态时，按设置键，进入时间间隔设置，计时间隔设置范围：0.1s-600s；再按设置键，进入计时次数设置，计时次数1-166次可调节；再按设置键，进入查询状态，可按上下键依次查询以设定时间间隔测量的时间t、温度TH、温度TC、电压U、电流I。直流恒流源：量程1mA，100mA，10A，大小可连续调节，最大输出6A。4位半数显。开路电压＞15V。输出带通断开关，用于控制电流的通断。标准电阻；阻值1欧，精确度0.5%，额定电流0.1A，允许最大电流0.3A，4端钮连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虚拟电子测试仪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示波器(采样频率48MHz)、信号源(10MHz)、频率计、数字电压表(±80V)、逻辑分析仪等功能。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3、瓶塞上口应配合橡皮头下管正直；产品应符合《玻璃仪器通用技术要求》。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规格：3500*1500*800mm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1、台面：采用12.7mm厚实芯理化板制作，切割处正反面去毛刺切口打磨平整。表面有良好的耐腐蚀性及具有良好的承重性能。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2、柜体：全钢结构，上抽下门设计，采用1.0mm高强度镀锌钢板，切割折弯成型焊接打磨平整，表面经环氧树脂喷涂处理。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3、门板及抽面：采用双层结构，组装式设计，保证单层钢板双面都喷涂处理，门板中间填充隔音材料，减少关门时产生的噪音。防撞胶垫：装于抽屉及门板内侧，减缓碰撞，保护柜体。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4、拉手：采用一字拉手。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5、不锈钢防腐铰链：采用优质不锈钢模具一体成型。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6、防腐三节静音导轨：三节滚珠滑轨，承重性强，滑动顺滑。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火灾报警器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仪器由发光管,光电管,蜂鸣器,继电器等组成。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36齿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齿数：36 齿（中细齿）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刀齿材质：钨钢（硬质合金）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基体：高碳钢 / 锰钢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露点测定器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1、本产品和可测量0～50℃的红液温度计配套使用可测定露点温度；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2、本产品零部件包括容器(一端为起露观察面)，对比面、隔热层、底座、搅拌器等；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3、容器用不易锈蚀的材料制成，不漏水，并有插温度计和投放冷却物的孔；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4、隔热层用绝热性良好的材料制成，无缺边、无毛刺等工艺缺陷；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5、底座应能保证产品放置平稳；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6、产品组装后应无松动和倾斜现象；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7、本产品经高、低温实验后应无变形、无裂纹、容器不漏水。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玻璃材质，2.5L。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弦驻波演示仪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知识点：弦驻波现象及其形成的条件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2.外观尺寸：100×20×30cm；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3.机箱材质：Q235优质镀锌钢板 标准板厚1mm；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3.信号发生器:电压(0-5v)、频率(10-150HZ)连续可调，功率不小于30W；高清数字面板液晶表头2个，多圈精密电位器两个；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4.白色弦线，张力连续可调；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5.配黑色背板，增强演示效果；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6.至少可观察到 1——7 个完整、稳定的半波长弦驻波；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外形尺寸：171.5*51.5*46.5cm；容积250L；光照强度：0-12000LX，分级可调。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鱼类剥制标本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鱼类剥制标本，1:1比例自然大，形态自然，美观，亚克力盒子罩封，配套专业标签，显示标本名称、科属等相关信息，不少于50种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1、6×20ml容量0r/min～4000r/min10mL×8；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2、无刷电机，带电锁。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智慧环境监测主机监测插件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内实时监测数据：一些有毒气体、可燃气体、水浸报警器可以根据根据实验性质不同进行配置，以及设备的灵敏度，系统的刷新监测速度配置。环境监测系统监测内容主要包含温度、湿度、烟雾浓度、CO浓度、CO2、PM2.5浓度、甲醛浓度、TVOC、可燃气体、光照强度、氧气、水浸及历史数据变化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2、监测数据统计：主机内置存储卡，支持本地查看温度、湿度、烟雾浓度、CO浓度、CO2、PM2.5浓度、甲醛浓度、TVOC、可燃气体、光照强度、氧气、水浸及历史数据变化趋势图；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3、音量以及灵敏度设置：可以进行音量以及触摸灵敏度参数设置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环境监测预警：可通过显示屏进行预警参数设置，当监测参数达到设定的阀值，进行预警提醒，并且将预警记录实时推送至云进行消息预警，主机可支持预警参数设置、预警间隔提醒时间设置以及历史预警记录查询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5、WIFI连接参数设置：可以支持WIFI参数设置，无线连接、本机IP、本机MAC、DHCP配置；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六角实验桌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1、规格：1400*1212*740mm±10mm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桌身结构：桌身采用两种不同结构的部件拼装而成，每个部件各3组，采用榫卯连接结构，第一种桌身设计综合功能柜，桌身柜门尺寸≥385mm*310mm，柜门四边角采用≥30mm圆角设计，安全实用。第二种桌身不带柜门，桌身预留空位便于学生放置脚，组合完成后为六边形结构，边长约270mm，牢固易安装，可接触面部件做圆弧或R角处理，桌身所有部件采用高分子环保ABS塑料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桌身尺寸：采用双层桌面设计，上部桌面为≥1400*1212mm的≥12.7mm实芯理化板，下部桌身高度：≥720mm，下部每组桌面内边长≥292mm，宽≥293mm，边角采用≥25mm圆角设计防止划伤，6组桌身组成的直径：≥1160mm，台身高度720-725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5、台身颜色：采用白色，蓝色组位交替组合搭配，整体漂亮多变。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图形数据终端</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数据采集与处理设备</w:t>
            </w:r>
            <w:r/>
          </w:p>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1、内存：≥8GB；</w:t>
            </w:r>
            <w:r/>
          </w:p>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2、硬盘：≥256GB；</w:t>
            </w:r>
            <w:r/>
          </w:p>
          <w:p>
            <w:pPr>
              <w:numPr>
                <w:ilvl w:val="0"/>
                <w:numId w:val="0"/>
              </w:numPr>
              <w:jc w:val="left"/>
              <w:spacing w:line="360" w:lineRule="auto"/>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3、不少于1个TYPE-C接口；</w:t>
            </w:r>
            <w:r/>
          </w:p>
          <w:p>
            <w:pPr>
              <w:numPr>
                <w:ilvl w:val="0"/>
                <w:numId w:val="0"/>
              </w:numPr>
              <w:ind w:left="0" w:firstLine="0"/>
              <w:jc w:val="left"/>
              <w:spacing w:line="360" w:lineRule="auto"/>
              <w:widowControl/>
              <w:rPr>
                <w:rFonts w:ascii="宋体" w:hAnsi="宋体" w:cs="宋体"/>
                <w:color w:val="000000"/>
                <w:sz w:val="20"/>
                <w:szCs w:val="20"/>
              </w:rPr>
            </w:pPr>
            <w:r>
              <w:rPr>
                <w:rFonts w:hint="eastAsia" w:ascii="宋体" w:hAnsi="宋体" w:cs="宋体"/>
                <w:color w:val="auto"/>
                <w:sz w:val="20"/>
                <w:szCs w:val="20"/>
                <w:highlight w:val="none"/>
                <w:lang w:val="en-US" w:eastAsia="zh-CN" w:bidi="ar"/>
              </w:rPr>
              <w:t xml:space="preserve">4、支持多路传感器同时采集并实时显示实验数据图形曲线。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蓄电池</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1、额定电压：6V；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2、额定容量：15Ah；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3、蓄电池由3个额定电压为2V的单体蓄电池组成，结构采用阀控密封式结构，阀控式；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4、蓄电池外观不得有裂纹及明显变形，且标志清楚。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专用砂光橡胶轮垫</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基础尺寸：外径50mm；常见厚度 6mm（圆盘）；内孔 / 接口：M8 螺纹、6/8/10mm 直孔；圆柱轮型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2、规格：圆底，250mL；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3、细口球形平底烧瓶放在上不应旋转或摇晃；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4、烧瓶颈应上下粗细一致，不应有明显的弯曲，不允许有严重的条纹存在，不允许有明显的能目测的铁锈、铁屑存在。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 #80</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粒度：80 目（P80）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磨粒尺寸：约 160 μm（0.16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磨料：棕刚玉（氧化铝）为主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基材：强力树脂布基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1、高硼硅玻璃材质。管口应切平正烘光，底部圆正，厚薄均匀，不得有刺手现象；</w:t>
            </w:r>
            <w:r>
              <w:rPr>
                <w:rStyle w:val="968"/>
                <w:rFonts w:hint="default"/>
                <w:lang w:bidi="ar"/>
              </w:rPr>
              <w:br/>
            </w:r>
            <w:r>
              <w:rPr>
                <w:rStyle w:val="968"/>
                <w:rFonts w:hint="default"/>
                <w:lang w:bidi="ar"/>
              </w:rPr>
              <w:t xml:space="preserve">2、规格：试管外径</w:t>
            </w:r>
            <w:r>
              <w:rPr>
                <w:rStyle w:val="971"/>
                <w:lang w:bidi="ar"/>
              </w:rPr>
              <w:t xml:space="preserve">Φ</w:t>
            </w:r>
            <w:r>
              <w:rPr>
                <w:rStyle w:val="968"/>
                <w:rFonts w:hint="default"/>
                <w:lang w:bidi="ar"/>
              </w:rPr>
              <w:t xml:space="preserve">18mm，试管高180mm，急冷温差＞200℃；</w:t>
            </w:r>
            <w:r>
              <w:rPr>
                <w:rStyle w:val="968"/>
                <w:rFonts w:hint="default"/>
                <w:lang w:bidi="ar"/>
              </w:rPr>
              <w:br/>
            </w:r>
            <w:r>
              <w:rPr>
                <w:rStyle w:val="968"/>
                <w:rFonts w:hint="default"/>
                <w:lang w:bidi="ar"/>
              </w:rPr>
              <w:t xml:space="preserve">3、支管与试管连接处牢固、平滑；</w:t>
            </w:r>
            <w:r>
              <w:rPr>
                <w:rStyle w:val="968"/>
                <w:rFonts w:hint="default"/>
                <w:lang w:bidi="ar"/>
              </w:rPr>
              <w:br/>
            </w:r>
            <w:r>
              <w:rPr>
                <w:rStyle w:val="968"/>
                <w:rFonts w:hint="default"/>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了解三相电机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实验目的：了解三相电机。</w:t>
            </w:r>
            <w:r>
              <w:rPr>
                <w:rStyle w:val="968"/>
                <w:rFonts w:hint="default"/>
                <w:lang w:bidi="ar"/>
              </w:rPr>
              <w:br/>
            </w:r>
            <w:r>
              <w:rPr>
                <w:rStyle w:val="968"/>
                <w:rFonts w:hint="default"/>
                <w:lang w:bidi="ar"/>
              </w:rPr>
              <w:t xml:space="preserve">实验器材：三相电机原理演示器、手摇三相交流发电机、导线。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1.旋动永磁式旋转磁场演示器的蹄形磁铁，就会得到一个旋转磁场。在  蹄形磁铁内部空间放上针座，分别架上磁针、铝框、鼠笼转子，它们都会  随着旋转起来，旋转的方向与磁场旋转方向相同。如果放上塑料框，则不 转动。说明铝框、鼠笼转子的转动，是因感生电流在磁场中受力所致。</w:t>
            </w:r>
            <w:r>
              <w:rPr>
                <w:rStyle w:val="968"/>
                <w:rFonts w:hint="default"/>
                <w:lang w:bidi="ar"/>
              </w:rPr>
              <w:br/>
            </w:r>
            <w:r>
              <w:rPr>
                <w:rStyle w:val="968"/>
                <w:rFonts w:hint="default"/>
                <w:lang w:bidi="ar"/>
              </w:rPr>
              <w:t xml:space="preserve">2.用手摇三相电机作三相电源(Y型接法或使用输出电压10V、电流大于  150mA的其它三相电源、裂相电源)。将三相引线分别接到电磁式旋转演  示器的三个接线柱上，在绕组中间放入针座，并分别架上磁针、铝框、鼠  笼转子，它们都会旋转起来。说明了分别通有不同相位电流的三个线圈，</w:t>
            </w:r>
            <w:r>
              <w:rPr>
                <w:rStyle w:val="968"/>
                <w:rFonts w:hint="default"/>
                <w:lang w:bidi="ar"/>
              </w:rPr>
              <w:br/>
            </w:r>
            <w:r>
              <w:rPr>
                <w:rStyle w:val="968"/>
                <w:rFonts w:hint="default"/>
                <w:lang w:bidi="ar"/>
              </w:rPr>
              <w:t xml:space="preserve">产生了旋转磁场。</w:t>
            </w:r>
            <w:r>
              <w:rPr>
                <w:rStyle w:val="968"/>
                <w:rFonts w:hint="default"/>
                <w:lang w:bidi="ar"/>
              </w:rPr>
              <w:br/>
            </w:r>
            <w:r>
              <w:rPr>
                <w:rStyle w:val="968"/>
                <w:rFonts w:hint="default"/>
                <w:lang w:bidi="ar"/>
              </w:rPr>
              <w:t xml:space="preserve">当在绕组中放入塑料框时，它并不旋转，说明引起铝框、鼠笼转子转 动的原因是感应电流。</w:t>
            </w:r>
            <w:r>
              <w:rPr>
                <w:rStyle w:val="968"/>
                <w:rFonts w:hint="default"/>
                <w:lang w:bidi="ar"/>
              </w:rPr>
              <w:br/>
            </w:r>
            <w:r>
              <w:rPr>
                <w:rStyle w:val="968"/>
                <w:rFonts w:hint="default"/>
                <w:lang w:bidi="ar"/>
              </w:rPr>
              <w:t xml:space="preserve">当任意对换两条电源线时，磁针、铝框、鼠笼转子都会反转，证明其旋 转方向与旋转磁场的方向一致。</w:t>
            </w:r>
            <w:r>
              <w:rPr>
                <w:rStyle w:val="968"/>
                <w:rFonts w:hint="default"/>
                <w:lang w:bidi="ar"/>
              </w:rPr>
              <w:br/>
            </w:r>
            <w:r>
              <w:rPr>
                <w:rFonts w:hint="eastAsia" w:ascii="宋体" w:hAnsi="宋体" w:cs="宋体"/>
                <w:b/>
                <w:bCs/>
                <w:color w:val="000000"/>
                <w:sz w:val="20"/>
                <w:szCs w:val="20"/>
                <w:lang w:bidi="ar"/>
              </w:rPr>
              <w:t xml:space="preserve">备注：选择性必修二-P36</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1、产品由刀架、刀片、刀片定位销钉、刀片张角定位螺钉和手柄组成；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2、刀架应采用金属材料制作，表面作防锈处理。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3、刀片应采用工具钢片，具有足够钢性和硬度，刀刃应锋利、无缺损、变形、卷刃现象，刀体与刀柄连接牢固；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4、手柄表面光洁，大小适当，握持手感舒适；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5、刀片与刀架配合灵活，便于装拆。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剥线钳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1、材质：高碳钢，长度不小于160mm,压接范围：0.5、1、1.5、2.5、4平方毫米；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2、其他符合QB/T2207-1996《剥线钳》标准。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由堆积、晶胞模型和延展性模型组成，球直径不小于29mm。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1、产品为组合式，主要由上盖1个，下底1个，矩形凹形片，矩形半圆形片，小软铁片。碲形磁铁1个，条形磁铁1个组成；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2、上盖和下底用优质透明塑料制作；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3、矩形片用优质透明塑料制作。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学生电源交换机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1、通讯控制单元：由通讯总线接收总控单元的各种命令，来执行各种动作。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2、摇臂控制单元：采用闭环控制由上、下限检测开关控制。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3、低压供电单元：直流电源采用硬件，软件双重保护。交流电源采用隔离检测保护电路，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4、高压供电单元：漏电保护，急停停止电路。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5、供水控制单元：水位检测来控制电机启停，实时排水。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6、照明控制单元：远程开启关闭。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7、分组控制学生端低压输出，带分组接线口。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8、状态指示单元：各种状态指示，便于安装调试，维修。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乳胶管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1、产品用优质乳胶制造；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2、产品内径为5～6mm，壁厚1mm；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3、产品应符合国标GB1189～81《胶管外观质量》的规定。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米</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发电厂、升压变压器、高压输电线、降压变压器。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1、ABS塑料材质，元件之间要能拆开重新组合，各个碱基对的排列位置应能互换；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2、元件的组装应松紧适度，不应自由松脱或滑出；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3、产品应符合JY26-79《教学仪器产品一般质量要求(试行)》中的有关规定。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冲击摆实验器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有平衡锤、弹簧压片、指针、可调丝杆、刻度板、摆动、枪栓、扳机、底座、钢球、入弹孔通棒组成。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台式双速曲线锯机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1.无极调速：400-1600rpm；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2.额定电压220~50HZ，额定功率120W；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3.工作台尺寸：400*253mm.机器尺寸：600*260*300mm；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4.咽喉深度：400mm；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5.切割范围：1-50mm；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6.工作台倾斜范围：0-45°；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7.锯条长度：133mm；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8.净重：15Kg，毛重：17Kg；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9.最大切割厚度：木料20mm，软金属2mm，泡沫50mm，塑料30mm。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1、占地尺寸（长*宽*高）124*44*180CM，尺寸偏差偏差±2cm；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2、冷压钢板喷塑架，产品层板为采用冷压钢板，暗式布线，特别适合教学组培使用；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3、铝合金厚度：≥0.7mm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4、光照层共4层，每层配3根LED一体化灯管，采用高亮LED光源，高透光阻燃PC灯罩，18W/根，配国标线缆；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5、带有微电脑独立控时装置，独立编程控时，每天最高可达12组开关模式，适用于-30℃-50℃，记时误±0.5秒/天；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备用百褶过滤环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外径187mm，内径152mm，高118mm。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木屑收集装置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1、功率：≥1200W；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2、钢制壳体，配有可洗布袋及延伸管、延伸杆、两种吸头。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3、容量：≥18L；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4、尺寸：≥300*500mm。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3、瓶塞上口应配合橡皮头下管正直；产品应符合《玻璃仪器通用技术要求》。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专用配套工具箱20件套，含18种必备常用工具，工具箱内定点定位，方便</w:t>
            </w:r>
            <w:r>
              <w:rPr>
                <w:rFonts w:hint="eastAsia" w:ascii="宋体" w:hAnsi="宋体" w:cs="宋体"/>
                <w:color w:val="000000"/>
                <w:sz w:val="20"/>
                <w:szCs w:val="20"/>
                <w:lang w:bidi="ar"/>
              </w:rPr>
              <w:t xml:space="preserve">使用和管理。工具包括：木工凿子，1把，3/4”；美工刀，1把，包胶；木工锉，1把，8"半圆；剪刀，1把，多用；羊角锤，1把，0.5KG木柄；鸟刨，1把；手推刨，1把；钢角尺，1把，300mm；螺丝刀，1把，6*125+-铬钒钢，芝麻柄；老虎钳，1把，8"黄黑双色柄；卷尺，1把，3m*12.5mm；G形夹，1把，3"；有机玻璃钩刀，1把，钩刀带两把刀片；木工鸡尾锯，1把，锰钢三面齿，磨齿锯；木工铅笔，1支；小水平尺，1把，S93型，塑料，三水泡，45°、90°、180°；墨斗，1个，新型迷你墨斗；磨刀石一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1、产品为有效量程不小于150mm、测量精度0.02mm的普通游标卡尺；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2、具有内测、外测、深度等测量功能；采用不锈钢材料制造，表面抛光处理；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盖·吕萨克定律演示器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1、演示器由尺度板、玻璃管、橡胶塞、烧瓶、温度计、支脚、胶头滴管等组成；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2、用来实验一定质量的某种气体在压强不变的情况下其体积V与热力学温度T成正比。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液体表面张力演示器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由六种不同的几何形状的金属丝线框组成，半球环、双环、棉线环、棉线围环、金属框架、钢丝圈六件组成。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开口环、闭口环、底座支架组成。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工作虎钳 PM 60，钳口 60 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宽度60mm,夹持范围42mm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通风变频装置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1、装置采用模块化设计，双CPU控制，是集数字技术、计算机技术、现代自控技术于一体的高科技产品，具有精度高、噪音低、转矩大、性能可靠及高效节能等优点。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2、LED显示：频率指示、转速指示、状态指示、异常指示等；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3、额定输入电压：三相380V，±15%；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4、额定输入频率：50/60HZ；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5、控制方式：空间电压矢量控制；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组培苗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苗高：2～6 cm（常规组培苗）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茎粗：1.5～3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叶片数：3～6 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根数：3～8 条，根长 2～5 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根系状态：白色、粗壮、无褐化、无畸形根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轨道打点式，打点有效距离不小于600mm。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人体导电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规格：0.9×0.6×0.9m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部件：有机玻璃管、6V低压安全防水按钮等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在安全电压及微电流条件下，人体可以用来接通开关进行电路控制。这件展品就是根据这个原理制成的。展品由展台、不锈钢说明牌、金属电极、显示灯组成。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接通电源，观众两只手分别放在两个金属电极上，观看现象。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钢制黑板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1、尺寸及要求：不小于900mm×600mm，双面，黑板提手在长边边框中间安装牢靠，挂起或提拿时无明显歪斜；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2、钢制双面黑板，书写面为镀锌冷轧钢板制造，两钢板间为人造板，并与金属板粘结牢固；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3、无镜面反光，色泽均匀；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4、允许用绿白两用书写板代替；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5、使用普通或无尘粉笔时，应手感流畅、充实，笔迹清晰，经反复擦试无明显遗留粉笔痕迹。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1、量程100g，感量0.001g，数字显示6位；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化学分子展示模块配套橱窗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1.尺寸长3m*高1.5m*深0.6m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2.柜体以多层板为基层，展示面选用超白钢化玻璃 ，实现通透无界的视觉效果，同时钢化玻璃的高强度特性，保障标本展示安全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高硼硅玻璃25mL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体积：237ml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S、SP、SP2、SP3、Px、Py、Pz。</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原电池实验器由容器（含顶盖和罐体）、电极套装（含铜、铁、锌电极片各2套和碳棒1只）构成。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1.与电流、电压传感器配合使用，用于探究中学化学实验中原电池的形成条件、工作原理及影响因素；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2.还可以完成多个原电池串联、并联等电化学实验活动，并可拓展为电解池或电镀池使用。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3.滑动电极柱改变两电极之间的距离，调换电极片上下安装方式可以改变浸入溶液的面积。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2、外径：φ7mm～φ8mm；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3、理化性能：耐水等级：4级，耐碱等级：1～3级，耐酸等级：2～3级；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4、应力：紫红色或扩散状淡蓝；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6、玻管厚薄均匀，不能出现大小头。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简单机器人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1、物理探究实验用；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2、质量可靠，性能稳定。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玩具赛车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器材名称：遥控赛车（向心力演示用）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车辆类型：电动无线遥控赛车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配套轨道：圆形 / 圆弧水平轨道（可调节半径）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台式钻床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1、功率不小于350w；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3、钻孔直径1.5-13mm；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4、额定转速1400rpm，主轴5级变速；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5、工作台面尺寸不小于160mmx160mm；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6、底座尺寸不小于170mmx280mm；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7、总高度不小于580mm。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2、底板用塑料制作，开关闸刀与接线柱及垫片均为铁件镀铬；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3、接线柱直径为φ4mm；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4、开关的绝缘强度应能承受1200V，漏电流为5mA，频率50Hz的正弦交流（绿色）。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网状砂带  3件装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砂带尺寸：610*30mm；#180（3件装）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高中物理系列1选修多媒体互动教学配套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实验和相应教材配套，覆盖高中物理系列1选修模块内容，DVD光盘;1碟装。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产品由顶板、底板、插杆组成，12孔。木制。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500µL～5000µL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接线柱、白纸、复写纸、导电线、导线，黑色塑料底板组成。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水浴锅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1、中学化学实验用的常用仪器，适用于必须使被加热物质均匀受热，而温度不超过100℃时的间接加热；</w:t>
            </w:r>
            <w:r>
              <w:rPr>
                <w:rStyle w:val="968"/>
                <w:rFonts w:hint="default"/>
                <w:lang w:bidi="ar"/>
              </w:rPr>
              <w:br/>
            </w:r>
            <w:r>
              <w:rPr>
                <w:rStyle w:val="968"/>
                <w:rFonts w:hint="default"/>
                <w:lang w:bidi="ar"/>
              </w:rPr>
              <w:t xml:space="preserve">2、结构为紫铜制品，均冲压成形，其规格为</w:t>
            </w:r>
            <w:r>
              <w:rPr>
                <w:rStyle w:val="971"/>
                <w:lang w:bidi="ar"/>
              </w:rPr>
              <w:t xml:space="preserve">Φ</w:t>
            </w:r>
            <w:r>
              <w:rPr>
                <w:rStyle w:val="968"/>
                <w:rFonts w:hint="default"/>
                <w:lang w:bidi="ar"/>
              </w:rPr>
              <w:t xml:space="preserve">140mm×85mm。容积为120ml，盖由从小到大的五层圈组成。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交流电路特性演示器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大电感、小电感，大电容、小电容，电阻。</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250mL，密封性好，不漏气。</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环保塑料制品，磁性软板，塑料自封袋包装。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1、标本在100×和400×生物显微镜下观察蝗虫精巢减数分裂的各期形态；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2、能看清减数分裂过程中的以下时期：减数第一次分裂的前期、中期和后期和减数第二次分裂的前期、中期、后期和末期；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3、材料应取自蝗虫精巢；切片厚度应为6～8μm。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上水装置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1、用于连接地面水管及水龙头，上水管两端接头采用不低于201不锈钢螺帽铜芯，外管是304钢丝+尼龙丝混编的、内管采用三元内管、角阀是钻石轮（塑料包铁）、阀芯和阀体均为铜制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1、规格：≥1500*850*2350mm；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2、台面：采用≥12.7mm厚实芯理化板，耐酸碱，耐冲击，耐腐蚀，甲醛达到E1级及以上标准；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主体：左右旁板\前钢板\前立柱\下柜体：采用≥1.0mm厚一级优质镀锌钢板。钢板下料选用优质≥2000W全自动数控激光切割机，板材折边采用全自动数控折弯机一次性一体折弯成型，所有金属表面经环氧树脂粉末静电流水线自动化喷涂及高温固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4、内衬板\导流板\顶板\后背板：标配采用≥5mm厚实芯抗倍特板具有良好的防腐蚀、易清洗，导流板固定件使用PP优质材质制作一体成型。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移动视窗：门玻璃两侧用铝合金夹条包裹，铝合金一体成型拉手，并嵌入≥5mm厚优质钢化玻璃，门开启高度为≥750mm,自由升降，移门上下滑动装置采用垂直升降同步轮结构，无级任意停留，移门导向装置由抗腐蚀的聚氯乙稀材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6、固定视窗：框架为钢≥1.0mm厚一级优质镀锌钢板经激光切割下料，数控折边制作，环氧树脂粉末静电喷涂高温固化，并框内嵌入≥5mm厚钢化玻璃；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7、排风口：采用与顶板一体成型集气罩，出风口直径≥250mm圆孔，套管连接，减少气体扰流；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8、连接处：所有内部连接装置都隐藏布置和抗腐蚀，没有外露的螺钉，外部连接装置都抗化学腐蚀的不锈钢部件与非金属材料；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9、水槽：配有一次性成型PP小杯槽，耐酸碱、耐腐蚀，安装于通风柜内台面上；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10、水龙头：七字单口水龙头由黄铜构成并安装在通风柜内台面上；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11、控制面板：采用液晶显示屏面板（可设置快慢自由调节，支持电动风阀6秒快开）≥8个按键电源、设置、确定、照明、备用、风机、风阀+\-键；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12、照明：LED圆筒白光灯快速启动类型，安装置通风柜顶部，使用寿命长；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13、插座：配置不低于四个86型国标五孔多功能插座。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14、线路：通风柜内部线路均使用≥2.5平方铜芯电线；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15、下柜门：标配采用优质≥90度直臂铰链，使用寿命高，拆装方便，并采用了曲面柜门；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16、检修口：下柜背板预留活动检修窗，方便故障检修；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17、其它装置：上柜左右旁板各预留4个直径≥42mm圆孔方便加装考克等设施。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1．长方形透明水槽里口尺寸：250×180×100mm，槽壁不得有明显的不平。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2．水槽应不因温度和盛水时重力的影响而发生形变（水温40℃）。3．水槽应能在高度1M处自由下落于水泥地面时不碎裂。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1、产品为有效量程不小于125mm、测量精度0.05mm的普通游标卡尺；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2、具有内测、外测、深度等测量功能；采用不锈钢材料制造，表面抛光处理；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3、刻度清晰，无断线、缺划。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不锈钢制灯帽、玻璃缸体。</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20mm，试管高200mm；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单摆振动图像演示器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有底座、单摆锤、立柱、电磁铁及电机组成。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滴定实验装置由滴定计数器、支架、针筒、两通阀、十字转接器、铁夹、滴头、塑帽螺栓构成。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能够测量滴定实验过程中试剂通过滴定计数器时的液滴数量。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合pH传感器、电导率传感器或温度传感器等进行滴定实验，可完成中和滴定实验、冰醋酸的稀释、电导率滴定、检验氢氧化钠溶液的变质程度、中和滴定法测定食醋中的总酸度、饮料中维生素C含量的测定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高中物理必修模块投影片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17*24cm，40片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砂轮机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1、砂轮直径150mm；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2、电压220V，频率50Hz；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3、转速3000r/min；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4、功率370W。</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室外通风设备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2、规格：主风管直径≥400mm。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3、管卡采用碳钢制作，表面经镀铬处理，具有耐腐蚀、防火、防潮等功能。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1、实用多层，安装方便，插孔暗式布线，可独立开关，电源插头带漏电保护功能；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2、光照强度3000lx-5000lx-7000lx三档可调。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A字夹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4寸开口范围0-50mm，总长115mm，夹力10kg</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可拆变压器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产品由单相芯式变压器铁芯、变压器线圈及铁芯压紧螺钉装置等组成。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由金属丝和绞合在其上的猪鬃毛制成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电流天平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符合教学实验要求，由螺线管线圈、立柱、天平臂、底座等几部分组成。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太阳电池演示器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1、产品由机壳、太阳能电池板、小电机、风叶、蜂鸣器、转换开关等组成；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2、最大开路电压：3.5V；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3、大短路电流：50mA；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4、蜂鸣器工作电压：3V；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5、蜂鸣器工作电流：20mA；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6、风叶电机工作电压：3V，风叶电机工作电流：30mA。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分析天平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※1、全自动内部校准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2、电磁力传感器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3、LCD 液晶显示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4、全量程去皮、计数、单位转换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5、灵敏度、速度可调，百分比称重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※6、累加功能、峰值保持、上下限检重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※7、一键触发内校或依据内校周期设置，全自动时间触发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8、过载报警、故障报警、水平指示器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9、最大称重：220g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10、精度：0.0001g，最小称重：20mg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11、稳定时间≤3s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12、秤盘尺寸 80mm（标配）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13、重复性：±0.0001g，线性±0.0001g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14、外形尺寸：300X200X295mm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15、重量：6.0kg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16、、打印功能（波特率设置，连续输出和单点输出切换）RS232C（标配）、 RS485、 USB、Printer(选配）</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1、传感器分辨率：≤10－5次方牛顿；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2、环境温度：≤26℃；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3、相对湿度≤50%；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4、大气压力：86～106kPa；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5、实验误差：≤5％；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6、供电电压：220VAC。</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六位99999.9Ω，0.1级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1、教学电阻箱的结构为十进多盘式，电阻处阻值变换方式为开关式；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2、电阻箱参考功率为0.5W，标称使用功率为1W；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3、等级指数0.5%；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4、电阻箱由每个开关触头接触引起的电阻变差不应大于最小步进电阻值允许绝对误差值的50%；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5、在参考条件下，电阻箱的负载功率自参考功率上限值改变到标称使用范围上限值后，在稳定状态下，由自热引起的变差应不超过相应等级指数值。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2、规格：φ120mm；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10mL，内应力消除：在偏光仪下呈紫红色。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等倾干涉模型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知识点：等倾干涉的光路及其条纹形状的几何模型。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  2.外观尺寸：40×40×55cm；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无线数显高温传感器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用于测量高温如酒精喷灯火焰的温度等；传感器一体化设计，数据传输稳定，可记录火焰的温度和颜色。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性能：测量范围：0~1200℃；分度：1℃；准确度：环境空气中：≤±5℃；远红外加热炉：≤±10℃；最大采样率：5KHz；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原理：传感器的敏感元件为热电偶。当两种不同材质导体的两个接触点存在温差时，两者之间便产生电动势U，通过传感器电路处理后即可转换为温度的变化。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结构：使用不锈钢探针，可测高温物体或火焰的温度，不锈钢部分：长度为10.5厘米，直径为3.0毫米；探头把手：长度为9.5厘米，直径为1.23厘米。与传感器连接部分采用高精度、耐高温屏蔽线，线长58厘米，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1、成型规整、美观，表面无锈蚀，无损伤；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2、具备可靠的强度和夹持能力，便于与实验装置配合、组装；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3、夹杆直径为10mm±2mm，夹头内侧有软质垫衬。</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带网树脂砂轮切断片 80*1.0*10mm</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 80*1.0*10mm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化学边柜</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1.尺寸：5000*600*800mm；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2.材质及工艺：1.全钢结构：2.台面：采用12mm厚抗倍特板,倒圆角处理，</w:t>
            </w:r>
            <w:r>
              <w:rPr>
                <w:rFonts w:hint="eastAsia" w:ascii="宋体" w:hAnsi="宋体" w:cs="宋体"/>
                <w:color w:val="000000"/>
                <w:sz w:val="20"/>
                <w:szCs w:val="20"/>
                <w:lang w:bidi="ar"/>
              </w:rPr>
              <w:t xml:space="preserve">防强酸强碱，耐磨耐高温；不含任何有毒物质，无辐射，受热不产生有毒气体和物质；3.柜体：采用1.0mm厚度，表面锌层80g/m2无油无花镀锌钢板 ，漆膜附着力高不变色（烤漆膜厚度平均值≥70μm），无异味，柜体双重防腐保护。4.防撞胶垫：装于门板内侧，减缓碰撞，保护柜体；5.门板及抽面：采用双层结构，组装式设计，保证两层双面都喷涂处理，中间采用隔音材料，保证关门减少噪音；6.连接件：采用ABS专用连接组装件；7.合页：采用优质不锈钢铰链；9.固定桌脚：采用柜体内置可调ABS调整脚，保证调整脚前后都可以调节高低</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滚上体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由滚上体，弹簧秤，木陀螺组成。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包含：氧化铝陶瓷、氢化硅陶瓷、光导纤维。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尼龙毛刷轮 细毛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直径50mm  精细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血红蛋白提取及分离试剂盒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教学用试剂盒，聚丙烯酰胺凝胶由丙烯酰胺(简称 Acr)单体和少量交联剂甲叉双丙烯酰胺(简称 Bis)通过化学催化剂(过硫酸铵)、四甲基乙二胺(TEMED)作为加速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剂形成三维空间的高聚物；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 块凝胶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1、量程200g，感量0.01g；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2、以电子元件：称重传感器，放大电路，AD转换电路，单片机电路，显示电路，键盘电路，通讯接口电路，稳压电源电路等电路组成；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3、功能：液晶显示，自动零位跟踪可调，自动故障诊断，自动校准，全量程范围去皮，过载保护等。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吹风机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1、学生实验吹干物品用；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2、本品材质：为ABS、PVC、PP；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3、有冷热风、高中低三挡。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1、规格50g×4，200g×2，下卧沟，上下沟面垂直；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2、上、下勾开口方向相互垂直；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3、采用纯度99.6%、粒度≥80＃的铁基粉或其它钢材；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4、钩上、下勾的连线应通过钩码主体的轴线；钩码表面应有防腐镀层。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反应板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微型精密立钻架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钻架头部最大行程：60mm,立柱尺寸：400*32mm,喉深：150mm,工作台尺寸：250*170mm,夹持直径44mm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台式切断机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1、功率:2200W(全铜线)；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2、电压频率:220v/50HZ；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3、转速:5500r/min；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4、吸尘器接口:30mm，有可拆卸集尘袋，方便灰尘收集、打理；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5、锯片直径:255mm，锯片孔径:25.4mm，有锯片切割防护罩；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6、锯深0-90°，75*305mm；45-90°，45*305mm；0-45°，75*210mm；45°-45°，45*210mm；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7、定位:红外激光；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8、驱动:齿轮驱动；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9、机头角度:单向45°；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10、可切割：铝板、石块、木料、金属材质、PVC管等；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11、净重:16kg；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12、包装尺寸:800*500*410mm。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1、每组包含翼形磁针2支；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2、磁针体表面喷漆，漆层均匀无脱落；指北极（N）为红色，指南极（S）为白色或蓝色。</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酸碱反应热实验器</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中和热实验器由反应容器、硅胶塞及注液器构成。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配合温度传感器、传感器线、数据采集器、USB通讯线等硬件及中和热专用软件使用，用于测定强酸与强碱反应的中和热实验。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由金属箱橡皮塞小车铝杯组成尺寸95*65*24mm。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探究实验耗材包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纱布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80*200cm/包（灭菌）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智慧烟感探测终端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1、当发生火灾探测到烟雾时，突发事件应急疏散主机和分机应能够接受烟感探测器的警报信号，并应能触发“发生火灾”警报提示，并上传到突发事件接警云。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特性：烟雾探测；火灾预警；声光报警；自检测试；防潮设计；联动突发事件接警云进行报警；分体式设计，烟感与通讯模块无需接线，360度自由旋转安装；内置NB卡设计，避免长时间NB裸露在外灰尘与潮气带来的短路与短路造成不良；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3、性能指标：工作电源：DC3；待机电流：≤12uA；报警方式：LED&amp;蜂鸣器；报警声强：≥85dB；防火等级：不低于V0；</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含6#离心风装置≥5.5KW，转速：≥1450r/min，流量：6800-14530m³/h，全压：1150-748Pa，噪声符合国家标准,风机外壳和叶轮均采用模具一次成型。配橡胶减震器用于消除专用通风机引起的震动，配防雨帽，PP材质，主要用于对专用通风机的防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适应于细小玻璃管（可切20mm以内的玻璃试管）的切割，环形刀片。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2、规格：球形，50mL；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通风（室内）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1、主通风管规格：≥φ160mm/200mm，优质PVC成品管道；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2、支管道规格：≥φ110mm/160mm，优质PVC成品管道；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3、管道配件：管道三通、弯头、变径、直接；（实际管径视现场情况可适当调整）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1～14，条状，每本80张，每张尺寸不小于1*20mm。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标本选用父代穗、母代穗、子一代穗、子二代穗及子二代测交穗5穗玉米穗组成，各有不同的基因型。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高中数字演示电表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直流/交流电压、电流，检流；4-1/2位数码管，不小于5cm。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规格：6000*750*730mm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全板结构。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通用工具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after="200" w:line="360" w:lineRule="auto"/>
              <w:widowControl/>
              <w:rPr>
                <w:rFonts w:ascii="宋体" w:hAnsi="宋体" w:cs="宋体"/>
                <w:color w:val="000000"/>
                <w:sz w:val="20"/>
                <w:szCs w:val="20"/>
              </w:rPr>
            </w:pPr>
            <w:r>
              <w:rPr>
                <w:rStyle w:val="968"/>
                <w:rFonts w:hint="default"/>
                <w:color w:val="auto"/>
                <w:lang w:bidi="ar"/>
              </w:rPr>
              <w:t xml:space="preserve">以《普通高中化学课程标准（</w:t>
            </w:r>
            <w:r>
              <w:rPr>
                <w:rStyle w:val="970"/>
                <w:color w:val="auto"/>
                <w:lang w:bidi="ar"/>
              </w:rPr>
              <w:t xml:space="preserve">2017</w:t>
            </w:r>
            <w:r>
              <w:rPr>
                <w:rStyle w:val="968"/>
                <w:rFonts w:hint="default"/>
                <w:color w:val="auto"/>
                <w:lang w:bidi="ar"/>
              </w:rPr>
              <w:t xml:space="preserve">年版</w:t>
            </w:r>
            <w:r>
              <w:rPr>
                <w:rStyle w:val="970"/>
                <w:color w:val="auto"/>
                <w:lang w:bidi="ar"/>
              </w:rPr>
              <w:t xml:space="preserve">2020</w:t>
            </w:r>
            <w:r>
              <w:rPr>
                <w:rStyle w:val="968"/>
                <w:rFonts w:hint="default"/>
                <w:color w:val="auto"/>
                <w:lang w:bidi="ar"/>
              </w:rPr>
              <w:t xml:space="preserve">年修订）》为依据，结合各大版本高中化学课程教材，满足高中化学课程的所有实验。此箱是专为教师及学生完成教材要求的实验而设计，采用高度集成的方法将需要由串联类、支撑类仪器的使用才</w:t>
            </w:r>
            <w:r>
              <w:rPr>
                <w:rStyle w:val="968"/>
                <w:rFonts w:hint="default"/>
                <w:color w:val="auto"/>
                <w:highlight w:val="none"/>
                <w:lang w:bidi="ar"/>
              </w:rPr>
              <w:t xml:space="preserve">能完成的实验所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color w:val="auto"/>
                <w:highlight w:val="none"/>
                <w:lang w:bidi="ar"/>
              </w:rPr>
              <w:br/>
            </w:r>
            <w:r>
              <w:rPr>
                <w:rStyle w:val="968"/>
                <w:rFonts w:hint="default"/>
                <w:color w:val="auto"/>
                <w:highlight w:val="none"/>
                <w:lang w:bidi="ar"/>
              </w:rPr>
              <w:t xml:space="preserve">外观尺寸</w:t>
            </w:r>
            <w:r>
              <w:rPr>
                <w:rStyle w:val="970"/>
                <w:color w:val="auto"/>
                <w:highlight w:val="none"/>
                <w:lang w:bidi="ar"/>
              </w:rPr>
              <w:t xml:space="preserve">(mm)</w:t>
            </w:r>
            <w:r>
              <w:rPr>
                <w:rStyle w:val="968"/>
                <w:rFonts w:hint="default"/>
                <w:color w:val="auto"/>
                <w:highlight w:val="none"/>
                <w:lang w:bidi="ar"/>
              </w:rPr>
              <w:t xml:space="preserve">：</w:t>
            </w:r>
            <w:r>
              <w:rPr>
                <w:rStyle w:val="968"/>
                <w:rFonts w:hint="eastAsia"/>
                <w:color w:val="auto"/>
                <w:highlight w:val="none"/>
                <w:lang w:val="en-US" w:eastAsia="zh-CN" w:bidi="ar"/>
              </w:rPr>
              <w:t xml:space="preserve">≥</w:t>
            </w:r>
            <w:r>
              <w:rPr>
                <w:rStyle w:val="970"/>
                <w:color w:val="auto"/>
                <w:highlight w:val="none"/>
                <w:lang w:bidi="ar"/>
              </w:rPr>
              <w:t xml:space="preserve">485*370*155mm</w:t>
            </w:r>
            <w:r>
              <w:rPr>
                <w:rStyle w:val="970"/>
                <w:color w:val="auto"/>
                <w:highlight w:val="none"/>
                <w:lang w:bidi="ar"/>
              </w:rPr>
              <w:br/>
            </w:r>
            <w:r>
              <w:rPr>
                <w:rStyle w:val="968"/>
                <w:rFonts w:hint="default"/>
                <w:color w:val="auto"/>
                <w:highlight w:val="none"/>
                <w:lang w:bidi="ar"/>
              </w:rPr>
              <w:t xml:space="preserve">箱体材料：高密度工程塑料（聚丙烯）</w:t>
            </w:r>
            <w:r>
              <w:rPr>
                <w:rStyle w:val="968"/>
                <w:rFonts w:hint="eastAsia"/>
                <w:color w:val="auto"/>
                <w:highlight w:val="none"/>
                <w:lang w:eastAsia="zh-CN" w:bidi="ar"/>
              </w:rPr>
              <w:t xml:space="preserve">。</w:t>
            </w:r>
            <w:r>
              <w:rPr>
                <w:rStyle w:val="968"/>
                <w:rFonts w:hint="default"/>
                <w:color w:val="auto"/>
                <w:highlight w:val="none"/>
                <w:lang w:bidi="ar"/>
              </w:rPr>
              <w:t xml:space="preserve">箱体内部零件固定体：采用高发泡隔离填充材料</w:t>
            </w:r>
            <w:r>
              <w:rPr>
                <w:rStyle w:val="968"/>
                <w:rFonts w:hint="eastAsia"/>
                <w:color w:val="auto"/>
                <w:highlight w:val="none"/>
                <w:lang w:eastAsia="zh-CN" w:bidi="ar"/>
              </w:rPr>
              <w:t xml:space="preserve">。</w:t>
            </w:r>
            <w:r>
              <w:rPr>
                <w:rStyle w:val="968"/>
                <w:rFonts w:hint="default"/>
                <w:color w:val="auto"/>
                <w:highlight w:val="none"/>
                <w:lang w:bidi="ar"/>
              </w:rPr>
              <w:t xml:space="preserve">零件固定体按零件形状数控雕刻成型，每种实验器材有相对应插槽，每种实验器材设有固定位置。</w:t>
            </w:r>
            <w:r>
              <w:rPr>
                <w:rStyle w:val="968"/>
                <w:rFonts w:hint="default"/>
                <w:color w:val="auto"/>
                <w:highlight w:val="none"/>
                <w:lang w:bidi="ar"/>
              </w:rPr>
              <w:br/>
            </w:r>
            <w:r>
              <w:rPr>
                <w:rStyle w:val="968"/>
                <w:rFonts w:hint="default"/>
                <w:color w:val="auto"/>
                <w:highlight w:val="none"/>
                <w:lang w:bidi="ar"/>
              </w:rPr>
              <w:t xml:space="preserve">实验器材：电子天平、升降台、试管架、</w:t>
            </w:r>
            <w:r>
              <w:rPr>
                <w:rStyle w:val="968"/>
                <w:rFonts w:hint="default"/>
                <w:color w:val="auto"/>
                <w:lang w:bidi="ar"/>
              </w:rPr>
              <w:t xml:space="preserve">铁架台底座、铁架台支杆、通用夹、铁三环等。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离心力铁环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1、物理实验演示弹性圆环在离心力的作用下变扁的物理现象；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2、由电机、转台、铁环、转轴组成。材质；镀锌钢板。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1、仪器组成：塑料槽一个、铜电极一个、锌电极一个、辅助电极二个、发光二极管一只、导线二极；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2、塑料水槽内共分两格，并由1个塑料板隔起来。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燃烧管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φ25mm×300mm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通电平行直导线相互作用演示器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产品由底座、支杆、上支架、直导线铜管、接插线等组成。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试管夹</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1、产品为木质或竹质材料制成；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2、所用木材要求脱脂干燥处理，无裂纹，光滑，锯端面无毛刺，无刺手感；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3、试管夹所附毡块应粘接牢固，不得脱落；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4、管夹弹簧应有足够弹性，并作防锈处理。夹口张、合松劲强度适宜，便于试管夹持和拿取。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实验规范操作和安全要求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净化板隔断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钢板EPS氧指数30，50MM厚夹心硅岩净化板，双面贴膜，企口白灰色，表面喷塑密封，净化防尘防菌处理。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离心沉淀器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1、产品为组合式，主要由齿轮变速箱1套，转台1套，试管4个组成；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2、齿轮变速箱：金属制作，变速齿轮比例1:2、下部有固定装置，上部有转轴，正面有手摇装置；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3、转台用金属制作，螺钉固定；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4、等分均匀分布试管环，试管环能360°转动，表面镀锌防锈处理。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PCR仪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1、容量：≥30管；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2、电源输入220±20V，控温范围0℃-99.9℃，最大功率120W，重量2.0kg，使用试管0.2ml。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1、瓷，60mm；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顶装主体架外壳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采用多模块化舱体式结构；外壳左右采用铝合金模具挤压型材，舱体前、尾端采用阻燃ABS注塑模具一次成型堵头封盖，舱体外壳左右中腰部镶铝合金装饰条；舱体外壳下部边缘设有LED照明灯条，所有的金属件表面经环氧树脂粉末喷涂高温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外壳左右为铝合金挤压型材，采用标准化模块组.模组规格：≥1200mm*525mm*240mm。模块组合成连体吊装，外壳表面经环氧树脂粉末喷涂高温固化处理，具有阻燃性强和耐酸碱、耐腐蚀，光泽度好，美观大方。</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软胶塞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1、产品用天然橡胶制造，白色；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2、每包软胶塞由0～10号的胶塞组成，要求搭配合理。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迷你离心机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流线型设计，体积小；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超静音技术，超低噪音运行，安全可靠；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外形精致小巧，一机多用，满足多种实验需求；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独特的转子卡扣设计，方便转子更换和取放；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开盖即停，当盖子打开，转头立即停止运行，可避免因旋转而可能发生的伤害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最高转速4000r/min，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运行噪音低，性能稳定；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按钮控制，无刷电机，开盖即停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由磁力搅拌器、搅拌子（含30mm和20mm的搅拌子各一个）、电源适配器构成。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磁力搅拌器最大搅拌量：2L；转速范围：200转/分钟~2000转/分钟，调节最小幅度为10转/分钟；额定功率10W。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磁力搅拌器的工作台面上设有转速显示屏，正面设有调速旋钮，顺时针旋转转速增大，逆时针旋转转速减小；按下旋钮可实现启动或停止搅拌，背面设有电源接口；磁力搅拌器运转过程中，也可随时进行调节转速，调节完成后，会发出“滴”声提示音。用于各类生化实验，转速快，能快速将溶液搅拌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适用于生化实验过程中搅拌低粘稠度的液体或固液混合物，如酸碱中和滴定、探究溶液中离子反应的实质等实验。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消音器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1、≥φ400*1000mm，PP材质，内置隔音棉等隔音装置，确保通风室外噪音≤50分贝。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威尔逊云雾室</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杠杆式，整体尺寸205*180*165mm。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实验室水电</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1、含实验室内全部用电器负荷,点位设计；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2、含墙面,顶部,地面电路铺设安装,调试；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3、优质PPR及管件,远东国标铜芯线和阻燃管铺设；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4、不含水电、强弱电引入现场。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数字化光电效应实验器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光电效应实验器由电路展示板、电压传感器（-30V～30V）、光电流传感器（-200μA～200μA）、电压数据显示模块、光电流数据显示模块、光源模块、光电管模块、数据线、电源适配器构成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1.用于光的粒子性实验，探究光电效应现象。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面板印有实验电路图，便于学生理解实验。内置电压、光电流传感器，无需采集器，可直接显示数据，也可连接传感器进行数据显示或无线连接电脑等设备，可实现数据连续记录并以数值、图像等多种形式并在Windows、安卓、iOS终端上实时呈现，解决了传统实验中光电流难以测量的问题，方便演示，大大提升了课堂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3.内置分压式电路，通过旋钮可调节电压大小，探究光电流随电压增加而增加，达到饱和电流的现象。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 光源模块内置调光器，通过旋钮可调节光强大小，探究光强越大，饱和电流越大的现象。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5.配备3种颜色滤光片，定位卡槽设计，安装方便，可以探究不同频率的光照射下的光电流与电压的关系。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6.电源方向可调整，可根据实验调节电压的正反方向，探究遏止电压。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 光电管模块采用黑色外壳设计，有效避免其他杂光影响，实验误差小。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药匙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1、供中学化学实验和小学教学实验用；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2、药匙材质：塑料。</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教学信号发生器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1、445kHz～1700kHz，误差±5%；中频465kHz，±2%；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2、低频正弦波、方波、锯齿波信号。</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PCR扩增实验试剂盒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1、包含所有PCR扩增过程中使用的组分：TagDNA聚合酶、10XPCR缓冲液(含镁离子)、dNIPs、正向引物、正向引物、模板DNA和无菌水。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2、PCR 结束后可进行琼脂糖凝胶电泳，使用方便。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3、规格：20 次</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整流电路实验器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半波整流电路，半波整流电容滤波电路，半波整流π型，滤波电路，全波桥式整流电路。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活动尖嘴砂带机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1.额定电压(V~):220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2.额定频率(HZ): 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3.额定输入功率(W):500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4.砂带速度(M/MIN):300-1680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5.砂带尺寸(MM):9X533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6.净重(KG):2.1</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载玻片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2、通过计量认证。边缘进行打磨处理边缘光滑、无尖角；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3、产品执行JB/T8230.3《载玻片》的标准。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2、规格：双球；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3、口部翻边圆整，不得呈波浪形，斗管焊接牢固，不得有内壁缩小现象；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实验室地面</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2.0mm厚度塑胶地板，耐磨、耐腐蚀，水泥自流平打底，专用胶粘接，焊接封口，铲平，不得有气泡，含安装。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3、口部翻边圆整，不得呈波浪形，斗管焊接牢固，不得有内壁缩小现象；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无线路由器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无线连接器定制1台：适用频段：2.4GHz；5GHz；2.4GHz+5GHz；传输标准：IEEE 802.11n；IEEE 802.11g；IEEE 802.11b；IEEE 802.11.ac；IEEE 802.11.a；IEEE 802.3；IEEE 802.3u；IEEE 802.3ab网络协议：TCP/IP协议传输率：2184Mbps无线协议：802.11ac支持无线桥接，Qos限速，WPS,防蹭网等功能；无外置天线吸顶式AP；POE/DC供电。包含机器安装调试费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适配头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用途：用于不同规格接口、轴径、器材之间的转换连接，实现工具、配件、设备间的配套使用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常见类型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螺纹适配头（M6/M8/M10/M14 等互转）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孔径变径套（钻夹头、砂轮机、打磨机用）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快换接头、转接套筒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气动 / 电动工具转接头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精度高、配合紧密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安装牢固，不打滑、不晃动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高中物理必修模块多媒体互动教学配套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实验和相应教材配套，覆盖高中物理必修模块内容，DVD光盘;1碟装。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盖玻片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2、通过计量认证。0.1mm1/400mm²；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3、产品执行JB/T8230.3《盖玻片》的标准。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1、规格：50mL；塑料制成；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晶体和非晶体样品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石英晶体，食盐晶体，云母片，明矾晶体，硫酸铜晶体；玻璃，松香，蜂蜡，沥青，橡胶。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电磁跳环演示实验</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一、整机规格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1.外形尺寸：200×250×500mm（长×宽×高）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2.整机重量：5.8kg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3.安装方式：台式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4.机箱材质：Q235优质镀锌钢板，板厚：1.2mm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5.表面前处理：磷化处理，喷涂：环氧树脂静电粉末喷涂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工艺：280℃恒温，固化防护性能：防潮、防盐雾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二、核心组件规格：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线圈类型：多层密绕螺线管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线圈材质：大线径无氧铜漆包线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线圈匝数：1500±30匝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线圈内径：100mm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骨架材质：高强度尼龙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骨架颜色：工程黑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三、对比实验：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金属环材质：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铝合金环（非磁性材料）1只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铜合金环（良导体）1只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不锈钢环（弱磁性材料）1只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尼龙毛刷轮 粗毛</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直径50mm  中等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手轮平移式快开结构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安全联锁装置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液晶显示工作状态，触摸式按键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自动排放冷空气，灭菌结束自动排放蒸汽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超温、超压自动保护功能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断水保护控制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自涨式密封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灭菌终了蜂鸣器提醒自动停机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操作简单，安全可靠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配有双层网篮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灭菌室有效容积：50L（φ340×525mm）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额定工作压力：0.22Mpa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额定工作温度：134℃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工作压力：0.22Mpa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热均匀度：≤±1℃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计时选择范围：0-9999min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温度选择范围：50-134℃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功率/电源电压：3.5KW/AC220V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运输体积（mm）：570×570×1300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毛重/净重：64Kg/58Kg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1、量程：0～5N；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2、分度值为量程的1／50，零点平均示差不大于1／4分度，任一点的平均示差不大于1个分度，任一点的重复称量的最大示差不大于1／2分度。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细胞的结构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Style w:val="968"/>
                <w:rFonts w:hint="eastAsia"/>
                <w:color w:val="auto"/>
                <w:highlight w:val="none"/>
                <w:lang w:eastAsia="zh-CN" w:bidi="ar"/>
              </w:rPr>
            </w:pPr>
            <w:r>
              <w:rPr>
                <w:rStyle w:val="968"/>
                <w:rFonts w:hint="default"/>
                <w:color w:val="auto"/>
                <w:lang w:bidi="ar"/>
              </w:rPr>
              <w:t xml:space="preserve">以《普通高中生物学教学装备配置标准（</w:t>
            </w:r>
            <w:r>
              <w:rPr>
                <w:rStyle w:val="970"/>
                <w:color w:val="auto"/>
                <w:lang w:bidi="ar"/>
              </w:rPr>
              <w:t xml:space="preserve">2021</w:t>
            </w:r>
            <w:r>
              <w:rPr>
                <w:rStyle w:val="968"/>
                <w:rFonts w:hint="default"/>
                <w:color w:val="auto"/>
                <w:lang w:bidi="ar"/>
              </w:rPr>
              <w:t xml:space="preserve">年版）》为依据，结合各大版本高中生物课程教材，满足高中生物课程的大部分实验。此箱是专为教师及学生完成教材要求的实验而设计，采用高度集成的方法将</w:t>
            </w:r>
            <w:r>
              <w:rPr>
                <w:rStyle w:val="972"/>
                <w:color w:val="auto"/>
                <w:lang w:bidi="ar"/>
              </w:rPr>
              <w:t xml:space="preserve">“</w:t>
            </w:r>
            <w:r>
              <w:rPr>
                <w:rStyle w:val="968"/>
                <w:rFonts w:hint="default"/>
                <w:color w:val="auto"/>
                <w:lang w:bidi="ar"/>
              </w:rPr>
              <w:t xml:space="preserve">细胞的结构</w:t>
            </w:r>
            <w:r>
              <w:rPr>
                <w:rStyle w:val="972"/>
                <w:color w:val="auto"/>
                <w:lang w:bidi="ar"/>
              </w:rPr>
              <w:t xml:space="preserve">”</w:t>
            </w:r>
            <w:r>
              <w:rPr>
                <w:rStyle w:val="968"/>
                <w:rFonts w:hint="default"/>
                <w:color w:val="auto"/>
                <w:lang w:bidi="ar"/>
              </w:rPr>
              <w:t xml:space="preserve">这一知识模</w:t>
            </w:r>
            <w:r>
              <w:rPr>
                <w:rStyle w:val="968"/>
                <w:rFonts w:hint="default"/>
                <w:color w:val="auto"/>
                <w:highlight w:val="none"/>
                <w:lang w:bidi="ar"/>
              </w:rPr>
              <w:t xml:space="preserve">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color w:val="auto"/>
                <w:highlight w:val="none"/>
                <w:lang w:bidi="ar"/>
              </w:rPr>
              <w:br/>
            </w:r>
            <w:r>
              <w:rPr>
                <w:rStyle w:val="968"/>
                <w:rFonts w:hint="default"/>
                <w:color w:val="auto"/>
                <w:highlight w:val="none"/>
                <w:lang w:bidi="ar"/>
              </w:rPr>
              <w:t xml:space="preserve">外观尺寸</w:t>
            </w:r>
            <w:r>
              <w:rPr>
                <w:rStyle w:val="970"/>
                <w:color w:val="auto"/>
                <w:highlight w:val="none"/>
                <w:lang w:bidi="ar"/>
              </w:rPr>
              <w:t xml:space="preserve">(mm)</w:t>
            </w:r>
            <w:r>
              <w:rPr>
                <w:rStyle w:val="968"/>
                <w:rFonts w:hint="default"/>
                <w:color w:val="auto"/>
                <w:highlight w:val="none"/>
                <w:lang w:bidi="ar"/>
              </w:rPr>
              <w:t xml:space="preserve">：</w:t>
            </w:r>
            <w:r>
              <w:rPr>
                <w:rStyle w:val="968"/>
                <w:rFonts w:hint="eastAsia"/>
                <w:color w:val="auto"/>
                <w:highlight w:val="none"/>
                <w:lang w:val="en-US" w:eastAsia="zh-CN" w:bidi="ar"/>
              </w:rPr>
              <w:t xml:space="preserve">≥</w:t>
            </w:r>
            <w:r>
              <w:rPr>
                <w:rStyle w:val="970"/>
                <w:color w:val="auto"/>
                <w:highlight w:val="none"/>
                <w:lang w:bidi="ar"/>
              </w:rPr>
              <w:t xml:space="preserve">485*370*155mm</w:t>
            </w:r>
            <w:r>
              <w:rPr>
                <w:rStyle w:val="970"/>
                <w:color w:val="auto"/>
                <w:highlight w:val="none"/>
                <w:lang w:bidi="ar"/>
              </w:rPr>
              <w:br/>
            </w:r>
            <w:r>
              <w:rPr>
                <w:rStyle w:val="968"/>
                <w:rFonts w:hint="default"/>
                <w:color w:val="auto"/>
                <w:highlight w:val="none"/>
                <w:lang w:bidi="ar"/>
              </w:rPr>
              <w:t xml:space="preserve">箱体材料：高密度工程塑料（聚丙烯）</w:t>
            </w:r>
            <w:r>
              <w:rPr>
                <w:rStyle w:val="968"/>
                <w:rFonts w:hint="eastAsia"/>
                <w:color w:val="auto"/>
                <w:highlight w:val="none"/>
                <w:lang w:eastAsia="zh-CN" w:bidi="ar"/>
              </w:rPr>
              <w:t xml:space="preserve">。</w:t>
            </w:r>
            <w:r/>
          </w:p>
          <w:p>
            <w:pPr>
              <w:jc w:val="left"/>
              <w:spacing w:line="360" w:lineRule="auto"/>
              <w:widowControl/>
              <w:rPr>
                <w:rFonts w:ascii="宋体" w:hAnsi="宋体" w:cs="宋体"/>
                <w:color w:val="000000"/>
                <w:sz w:val="20"/>
                <w:szCs w:val="20"/>
              </w:rPr>
            </w:pPr>
            <w:r>
              <w:rPr>
                <w:rStyle w:val="968"/>
                <w:rFonts w:hint="default"/>
                <w:color w:val="auto"/>
                <w:highlight w:val="none"/>
                <w:lang w:bidi="ar"/>
              </w:rPr>
              <w:t xml:space="preserve">箱体内部零件固定体：采用高发</w:t>
            </w:r>
            <w:r>
              <w:rPr>
                <w:rStyle w:val="968"/>
                <w:rFonts w:hint="default"/>
                <w:color w:val="auto"/>
                <w:lang w:bidi="ar"/>
              </w:rPr>
              <w:t xml:space="preserve">泡隔离填充材料</w:t>
            </w:r>
            <w:r>
              <w:rPr>
                <w:rStyle w:val="968"/>
                <w:rFonts w:hint="eastAsia"/>
                <w:color w:val="auto"/>
                <w:lang w:eastAsia="zh-CN" w:bidi="ar"/>
              </w:rPr>
              <w:t xml:space="preserve">，</w:t>
            </w:r>
            <w:r>
              <w:rPr>
                <w:rStyle w:val="968"/>
                <w:rFonts w:hint="default"/>
                <w:color w:val="auto"/>
                <w:lang w:bidi="ar"/>
              </w:rPr>
              <w:t xml:space="preserve">零件固定体按零件形状数控雕刻成型，每种实验器材有相对应插槽，每种实验器材设有固定位置。</w:t>
            </w:r>
            <w:r>
              <w:rPr>
                <w:rStyle w:val="968"/>
                <w:rFonts w:hint="default"/>
                <w:color w:val="auto"/>
                <w:lang w:bidi="ar"/>
              </w:rPr>
              <w:br/>
            </w:r>
            <w:r>
              <w:rPr>
                <w:rStyle w:val="968"/>
                <w:rFonts w:hint="default"/>
                <w:color w:val="auto"/>
                <w:lang w:bidi="ar"/>
              </w:rPr>
              <w:t xml:space="preserve">实验器材：玻片标本（</w:t>
            </w:r>
            <w:r>
              <w:rPr>
                <w:rStyle w:val="970"/>
                <w:color w:val="auto"/>
                <w:lang w:bidi="ar"/>
              </w:rPr>
              <w:t xml:space="preserve">100</w:t>
            </w:r>
            <w:r>
              <w:rPr>
                <w:rStyle w:val="968"/>
                <w:rFonts w:hint="default"/>
                <w:color w:val="auto"/>
                <w:lang w:bidi="ar"/>
              </w:rPr>
              <w:t xml:space="preserve">片</w:t>
            </w:r>
            <w:r>
              <w:rPr>
                <w:rStyle w:val="970"/>
                <w:color w:val="auto"/>
                <w:lang w:bidi="ar"/>
              </w:rPr>
              <w:t xml:space="preserve">/</w:t>
            </w:r>
            <w:r>
              <w:rPr>
                <w:rStyle w:val="968"/>
                <w:rFonts w:hint="default"/>
                <w:color w:val="auto"/>
                <w:lang w:bidi="ar"/>
              </w:rPr>
              <w:t xml:space="preserve">盒）、载玻片、盖玻片（</w:t>
            </w:r>
            <w:r>
              <w:rPr>
                <w:rStyle w:val="970"/>
                <w:color w:val="auto"/>
                <w:lang w:bidi="ar"/>
              </w:rPr>
              <w:t xml:space="preserve">100</w:t>
            </w:r>
            <w:r>
              <w:rPr>
                <w:rStyle w:val="968"/>
                <w:rFonts w:hint="default"/>
                <w:color w:val="auto"/>
                <w:lang w:bidi="ar"/>
              </w:rPr>
              <w:t xml:space="preserve">片</w:t>
            </w:r>
            <w:r>
              <w:rPr>
                <w:rStyle w:val="970"/>
                <w:color w:val="auto"/>
                <w:lang w:bidi="ar"/>
              </w:rPr>
              <w:t xml:space="preserve">/</w:t>
            </w:r>
            <w:r>
              <w:rPr>
                <w:rStyle w:val="968"/>
                <w:rFonts w:hint="default"/>
                <w:color w:val="auto"/>
                <w:lang w:bidi="ar"/>
              </w:rPr>
              <w:t xml:space="preserve">盒）、</w:t>
            </w:r>
            <w:r>
              <w:rPr>
                <w:rStyle w:val="970"/>
                <w:color w:val="auto"/>
                <w:lang w:bidi="ar"/>
              </w:rPr>
              <w:t xml:space="preserve">100mL</w:t>
            </w:r>
            <w:r>
              <w:rPr>
                <w:rStyle w:val="968"/>
                <w:rFonts w:hint="default"/>
                <w:color w:val="auto"/>
                <w:lang w:bidi="ar"/>
              </w:rPr>
              <w:t xml:space="preserve">烧杯、镊子、酒精灯、解剖剪刀、解剖针等。</w:t>
            </w:r>
            <w:r>
              <w:rPr>
                <w:rStyle w:val="968"/>
                <w:rFonts w:hint="default"/>
                <w:color w:val="auto"/>
                <w:lang w:bidi="ar"/>
              </w:rPr>
              <w:br/>
            </w:r>
            <w:r>
              <w:rPr>
                <w:rStyle w:val="968"/>
                <w:rFonts w:hint="default"/>
                <w:color w:val="auto"/>
                <w:lang w:bidi="ar"/>
              </w:rPr>
              <w:t xml:space="preserve">可做实验：</w:t>
            </w:r>
            <w:r>
              <w:rPr>
                <w:rStyle w:val="970"/>
                <w:color w:val="auto"/>
                <w:lang w:bidi="ar"/>
              </w:rPr>
              <w:t xml:space="preserve">1</w:t>
            </w:r>
            <w:r>
              <w:rPr>
                <w:rStyle w:val="968"/>
                <w:rFonts w:hint="default"/>
                <w:color w:val="auto"/>
                <w:lang w:bidi="ar"/>
              </w:rPr>
              <w:t xml:space="preserve">、实验</w:t>
            </w:r>
            <w:r>
              <w:rPr>
                <w:rStyle w:val="970"/>
                <w:color w:val="auto"/>
                <w:lang w:bidi="ar"/>
              </w:rPr>
              <w:t xml:space="preserve"> </w:t>
            </w:r>
            <w:r>
              <w:rPr>
                <w:rStyle w:val="968"/>
                <w:rFonts w:hint="default"/>
                <w:color w:val="auto"/>
                <w:lang w:bidi="ar"/>
              </w:rPr>
              <w:t xml:space="preserve">使用高倍显微镜观察几种细胞；</w:t>
            </w:r>
            <w:r>
              <w:rPr>
                <w:rStyle w:val="970"/>
                <w:color w:val="auto"/>
                <w:lang w:bidi="ar"/>
              </w:rPr>
              <w:t xml:space="preserve">2</w:t>
            </w:r>
            <w:r>
              <w:rPr>
                <w:rStyle w:val="968"/>
                <w:rFonts w:hint="default"/>
                <w:color w:val="auto"/>
                <w:lang w:bidi="ar"/>
              </w:rPr>
              <w:t xml:space="preserve">、实验</w:t>
            </w:r>
            <w:r>
              <w:rPr>
                <w:rStyle w:val="970"/>
                <w:color w:val="auto"/>
                <w:lang w:bidi="ar"/>
              </w:rPr>
              <w:t xml:space="preserve"> </w:t>
            </w:r>
            <w:r>
              <w:rPr>
                <w:rStyle w:val="968"/>
                <w:rFonts w:hint="default"/>
                <w:color w:val="auto"/>
                <w:lang w:bidi="ar"/>
              </w:rPr>
              <w:t xml:space="preserve">用高倍显微镜观察叶绿体和细胞质的流动；</w:t>
            </w:r>
            <w:r>
              <w:rPr>
                <w:rStyle w:val="970"/>
                <w:color w:val="auto"/>
                <w:lang w:bidi="ar"/>
              </w:rPr>
              <w:t xml:space="preserve">3</w:t>
            </w:r>
            <w:r>
              <w:rPr>
                <w:rStyle w:val="968"/>
                <w:rFonts w:hint="default"/>
                <w:color w:val="auto"/>
                <w:lang w:bidi="ar"/>
              </w:rPr>
              <w:t xml:space="preserve">、探究</w:t>
            </w:r>
            <w:r>
              <w:rPr>
                <w:rStyle w:val="970"/>
                <w:color w:val="auto"/>
                <w:lang w:bidi="ar"/>
              </w:rPr>
              <w:t xml:space="preserve"> </w:t>
            </w:r>
            <w:r>
              <w:rPr>
                <w:rStyle w:val="968"/>
                <w:rFonts w:hint="default"/>
                <w:color w:val="auto"/>
                <w:lang w:bidi="ar"/>
              </w:rPr>
              <w:t xml:space="preserve">细胞的观察和测量等。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2、底板用塑料制作，开关闸刀与接线柱及垫片均为铁件镀铬；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3、接线柱直径为φ4mm；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4、开关的绝缘强度应能承受1200V，漏电流为5mA，频率50Hz的正弦交流（绿色）。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1、技术规格：电阻50Ω；额定电流1.5A；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2、电阻值误差应小于10％；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3、滑动变阻器绕线应紧密排齐、平整；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4、电阻线绝缘层承受不低于1.5kV的电压不被击穿；滑动变阻器承受1.5kV的电压试验，不应出现飞弧或击穿现象；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8、滑动头与电阻线、滑杆保持良好的弹性接触，触头应圆滑，压力均匀，滑动应顺畅；滑动头在电阻线上滑动时，电阻值应均匀变化，不得有间断跳跃现象。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1、工作电源：AC220V50Hz；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2、额定功率：1000W；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3、有恒温控制，炉面温度自动控制在330℃～400℃。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高音扩音喇叭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1、大功率≥50W强音扩音喇叭；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无线数显二氧化碳传感器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1.用于测量待测气体中二氧化碳的含量；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2.性能：测量范围：0 mL/m3～100000mL/m3，分度：1mL/m3；准确度：≤±150mL/m3（0mL/m3~1000mL/m3）；±15%（1000mL/m3~10000mL/m3）；最大采样率：5KHz；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3.技术指标：工作温度-10℃～50℃，存储温度-10℃～50℃，工作湿度0～95%RH（无冷凝），响应时间(T90)＜30秒；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平板式，亚克力材料，5个位置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精密台钳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最大开口:64mm，钳座夹厚:62mm，重：1.8kg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2、酸式，25mL，内应力消除：在偏光仪下呈紫色；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3、刻度标示清晰、均匀。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电气线路耗材及安装（地面以上部分）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线采用≥3*4²铜芯线接到教师电源上，学生端分支采用≥3*2.5mm²铜芯线和≥2*1.5mm²铜芯线，穿入≥φ25mmPVC电线管中，配合直接、管卡、电工胶布等。每个电源接口位置预留电线长度约1000mm，使每个学生桌之间串联起来接入学生电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玻璃大视窗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净化全铝型材，5mm白玻1200mm*1000mm。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无线采音器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声音采集器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1、智能通信技术架构，超高频段通信：采用 UHF 专业级无线传输频段，构建全域抗干扰通信链路，支持单话筒与任意接收机智能配对，实现无障碍 50 米超距稳定传输与40cm 超广拾音半径，满足多场景复杂环境下的音频采集需求；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2、能效优化与续航，低功耗能源管理：内置≥600mAH 高密度锂聚合物电池，搭载 OLED 量子节能显示屏，结合动态功率调节算法，实现6 小时以上连续作业续航，满足全天候高强度使用需求，构建高效能无线音频生态；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3、专业级音质处理模块，89dB 高信噪比音频链路：构建纯净信号传输通道，有效隔离环境底噪，85dB 宽动态范围采集：精准捕捉声音细节，还原全频段音频动态，64KHz 超高清采样率：实现 CD 级无损音质采集，满足广电级音频处理标准；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4、人体工学佩戴，集成磁吸式智能背夹，支持领夹式、手持握、头戴麦外接及胸前悬挂四种佩戴模式，采用航空级铝合金磁吸配件，实现 0.3 秒快速拆装，兼容各类服装面料的无痕佩戴需求，人体工学弧形设计，单设备重量≤35g，确保长时间使用的无感佩戴体验；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5、双重音频防护，AGC 动态增益控制：搭载自适应音量调节芯片，实时监测输入信号强度，自动维持 85-90dB 安全听音区间，守护用户听力健康，智能反馈抑制算法：集成波束成形抗啸叫技术，通过 200 次 / 秒的声纹识别运算，有效消除 10KHz 以上高频反馈，实现 99.7% 的啸叫抑制率；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6、具有人声还原度处理功能及主动动态反馈抑制功能,最大限度还原人声及有效防止啸叫;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接收器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1、UHF 频段设计：采用 UHF 频段，精准避开最新手机工作频率，有效降低信号干扰，保障传输稳定性；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2、频率响应：具备 20Hz-20KHz 宽广频率响应范围，完整覆盖人耳可听声域，呈现高保真音质；​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3、输出方式：支持模拟、数字可配置音频输出方式，适配不同音频设备与场景需求。​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4、接口支持：配备 3.5mm 音频输出接口，满足常见音频设备连接， USB 接口输出，适配多样安装形式，USB 接口可按需预置为供电 + 模拟音频或标准 USB 音频输出，免驱动即插即用（此项提供具有CNAS、MA标识检测报告扫描件）；​​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5、OLED 显示屏：配备 OLED 显示屏，清晰显示频道、对频状态、电量及信号强度等信息；​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6、外接显示：支持外接数码管，实现频道信息的拓展显示，满足多方位查看需求。​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7、按键控制：配备两个可设置接收频道的按键，便于快速切换和设置常用频道。​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8、供电方式：采用 Type-C 接口供电，插拔便捷，性能稳定耐用，广泛兼容各类充电器与移动电源；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光导纤维应用演示器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1、高中物理教学演示光导纤维具有传光、传声、传像功能；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2、仪器由机座、控制面板、传声光纤束、传像光纤束、电源线等组成。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1、噪音：J2126型不大于65dB，J2126-1型不大于70dB；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2、温升：连续工作90分钟后外壳温升应不大于35℃；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3、绝缘电阻：电机绕组与外壳绝缘电阻不小于1MΩ；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4、绝缘强度：电机绕组与外壳间应能承受50Hz、1kV的正弦电压（有效值）历时1分钟而不击穿；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5、出气孔：J2126型内径不小于36mm，外径40mm。J2126—1型内径不小于26mm，外径30mm；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6、送气波纹管的长度为1500mm。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黑体辐射与吸收演示仪套组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知识点：黑体的辐射规律与吸收规律。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1.外观尺寸：约30cm×15cm×55cm；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2.机身材质：Q235优质镀锌钢板 标准板厚1mm；工艺：恒温280℃喷塑、粉末（防潮、盐雾试验）、等待30分钟凝固而成；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3.一组两件，分别演示辐射和吸收；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4.配有高温辐射热源、黑白两色接收物以及可开关玻璃质连通器；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5.辐射与吸收的反应时间不大于2分钟、对比红色液柱高度差不小于 10cm；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6.恒温加热盒温度150℃，功率450W。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实验室专用水槽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1、采用PP一体化成型水槽，易清洁，耐腐蚀特点。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2、实验室专用水槽技术要求满足：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(1)、垂直冲击试验要求：检测条件高度:300mm次数:500 次，a,零部件无断裂、无豁裂;b,零部件未出现严重影响使用功能的磨损和变形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(2)、密度检测结果符合GB/T1033.1-2008方法A，检测条件：(23+2)℃，(50±5)%RH，24h浸渍液；水浸渍液密度:1.0165g'cm3浸渍液温度 22.3℃块状试样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阴极射线管：密封玻璃管（真空度 10⁻⁴~10⁻⁶ Pa，或低气压惰性气体以显光束），含电子枪（加热灯丝 + 阴极 + 控制栅极 + 聚焦 / 加速阳极）、偏转部件（静电偏转板 / 磁偏转线圈）、荧光屏（撞击发光显示轨迹）</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1、产品为组装式，5N；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2、产品必配部件:壳体1个；弹簧1个；面板1块；带钩指针1个；提手1个；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3、壳体由塑料制作；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4、弹簧：由金属制成，表面防锈处理；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5、面板：由金属制成，防锈处理。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生化传感器收纳箱</w:t>
            </w:r>
            <w:r/>
          </w:p>
        </w:tc>
        <w:tc>
          <w:tcPr>
            <w:tcBorders>
              <w:top w:val="single" w:color="000000" w:sz="4" w:space="0"/>
              <w:left w:val="single" w:color="000000" w:sz="4" w:space="0"/>
              <w:bottom w:val="single" w:color="000000" w:sz="4" w:space="0"/>
              <w:right w:val="single" w:color="000000" w:sz="4" w:space="0"/>
            </w:tcBorders>
            <w:tcW w:w="6953" w:type="dxa"/>
            <w:vAlign w:val="bottom"/>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尺寸：410*282*180（mm），由铝合金主架、铝塑板面构成，内设隔断海棉内衬，用于收纳传感器和小的实验配件。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频闪光源25Hz、50Hz，可实时观测运动物体图像。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铣床精密L</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1、电压：220V/50Hz，功率：≥450W；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2、主轴驱动采用两档变速装置，低速档转速L档0-1000rpm，高速挡转速H档0-2500rpm，使用直流电机和同步带传动，具有主轴转速显示器、触摸开关；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3、X轴(横向行程)：≥250mm；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4、Y轴(纵向行程)：≥140mm；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5、Z轴（主轴到工作台距离） 220-300mm；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6、主轴到立柱距离：≥160mm；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7、最大钻孔直径：13mm；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8、端面铣容量：≥16mm；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9、表面铣容量：≥30mm；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10、主轴锥度：MT3；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11、工作台尺寸：≥480*110mm；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12、T型槽尺寸：≥3*12mm；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13、净重60kg；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14、标配铣夹头以及钻夹头，配套夹持套件以及铣刀2把。</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机械虎钳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钳口宽度：100mm，夹持范围：115mm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大回转轮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1、由回转轮、悬线、支柱、横梁和底座组成；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2、回转轮面红、白相间数等分色格，轮轴上两个穿线孔。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一般材料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普通吊顶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矿棉板吊顶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使用高磁能积磁体，由磁极、开关、电源指示灯、电位器、电源插座、插头线夹、单匝线圈、换向器、底座等组成。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发射器频率225MHz～250MHz,等幅、调幅；接收器有声、光、电显示。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注液器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1、规格：5mL；塑料制成；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2、密封性好，滑动灵活；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3、刻度标线规整、清晰。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鼓风干燥箱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产品特点: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1.产品外壳采用优质冷板加工成型，表面经喷涂工艺处理。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2.工作室为不锈钢加工制造。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3.具有开门断电防过冲保护装置功能，温度定时触发采集记录，具有支持温度记录表格查询及温度数据曲线图展示。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4.4.3寸嵌入式液晶彩色触摸屏控制，具有定时、超温报警指示、温度偏差修正、控温自整定等功能。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5.超大双层钢化玻璃观察窗，具有预约加热功能，可提前开启加热节约实验准备时间。。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6.采用新型合成硅胶密封胶条，外形美观，能长期高温运行，使用寿命更长。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7.热风循环采用低噪音自散热风机，确保风机使用寿命更长，箱内温度更均匀。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8.设备配有风机调速开关，三档加热（慢、中、快)，风速20档可调。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温度范围 ：RT+10-300℃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温度分辨率 ：0.1℃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温度波动度 ：±1℃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内胆尺寸（长*宽*高）：500mm×530mm×572mm（±20mm）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渗透研究实验器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U型连通器（含L型管*2、底座  ）、导气配件*2、半透膜*6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1.用于初中生物、高中生物研究渗透实验。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应用U型管连通原理，贴合教学需要，配合压强传感器、离子类传感器（如氯离子传感器）、电导率传感器使用，可探究渗透过程中半透膜两侧产生的压力变化或渗透过程中膜两侧离子浓度的变化，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3.装置隔膜位置配有发泡硅胶板及4个梅花手紧螺丝，有效保证密封性，实验环境搭建简单，易操作。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4.可自由更换半透膜种类，根据教学要求拓展探究实验的深度和广度。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5.U型连通器两侧设有刻度标贴，可以观察液面高度的变化。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6.配套专用实验预设模板，以曲线形式自动记录数据变化情况，实验结果更直观明显。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观察渗透现象、测量渗透压等实验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安装辅件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1、含固定支架、连接管、耗材等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1、外包装采用防潮、防尘的硬纸盒包装，盒面与盒体采用纽扣式联接。数据可精确到0.1s；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2、秒表计时带有简易计时、分段计时、两段时间显示，带暂停按钮；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3、秒表具有每小时报时，每日定时响闹及自动重响功能，可显示时间，12及24小时制式，日历、星期、防水，防震结构等功能。符合QB/T1908-93《电子停表》中表1规定的技术要求。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渗析实验器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高中化学实验中电渗析实验膜分离法实验仪器。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精密手虎钳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 钳口宽约100mm,开口约75mm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自组式光学综合实验装置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学生可以不收约束地自由设计、探索光学实验，自己挑选相应的光学元件，完成预定的实验，并且可方便地通过增加模块，来拓展、升级实验内容，是一款真正适合竞赛的光学实验设备。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可完成的实验不少于：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1、用自准法测薄凸透镜焦距；2、用贝塞耳法（两次成像法）测薄凸透镜焦距；3、由物象放大率测目镜焦距；4、由物距－像</w:t>
            </w:r>
            <w:r>
              <w:rPr>
                <w:rFonts w:hint="eastAsia" w:ascii="宋体" w:hAnsi="宋体" w:cs="宋体"/>
                <w:color w:val="000000"/>
                <w:sz w:val="20"/>
                <w:szCs w:val="20"/>
                <w:lang w:bidi="ar"/>
              </w:rPr>
              <w:t xml:space="preserve">距法测凹透镜焦距；5、透镜组节点和焦距的测定；6、自组投影仪；7、测自组望远镜的放大率；8、自组带正像棱镜的望远镜；9、测自组显微镜的放大率；10、杨氏双缝实验；11、菲涅耳双棱镜干涉；12、菲涅耳双镜干涉；13、劳埃德镜干涉；14、牛顿环；15、用干涉法测定空气折射率；16、夫琅禾费单缝衍射；17、夫琅禾费圆孔衍射；18、菲涅耳单缝和圆孔衍射；19、直边菲涅耳衍射；20、光栅衍射；21、光栅单色仪；22、偏振光的产生和检验；23、全息照相；24、制做全息光栅；25、阿贝成像原理和空间滤波；26、θ调制。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包含完成以上实验的所有部件、光学元件、配件、光源等；包含但不限于：二维、三维平移底座，升降座，通用底座，二维调节架，干板架，载物台，光源二维架，节点架，多孔架，可调狭缝，测微目镜架，白屏，物屏，透镜，目镜，平面镜，全息干版，激光器架，分束器，各种光栅，偏振片，半波片，三棱镜，分划板，双棱镜，菲涅尔双镜，劳埃德镜，多缝板，可调圆孔光阑，θ调制板，白光源，汞钠灯光源，氦氖激光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2、含抗振式落地型光学，尺寸不小于1500X900X800mm，平面粗糙度：﹤0.8um，平面度：﹤0.05mm/㎡，隔 振频率：﹤5Hz，振幅：﹤5um，安装方阵：25X25mm，M6螺纹孔；安装方阵：25X25mm，M6螺纹孔；蜂窝结构隔振层面，固有频率低，隔振性能好。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3、含智能光环识别与干涉条纹识别功能，自动计数。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1、产品为沸腾焙烧炉的缩小模型，装置于底座上，外壳可局部剖开，能看清其内部结构；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2、炉体上侧有炉气出口，下部两侧分别为加料室和出渣口，炉体外侧示水箱；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3、空气分布板位于炉内下部，板上均匀装有若干个风帽，应正确显示风帽与分布板的结构关系。底座上另置一放大的风帽，示其内部结构；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4、空气分布室呈倒锥形，其底部侧面有空气进口；加料室内空气分布板上部有加料口，下面有空气进口；炉壁剖面示炉壳和耐火砖内衬；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5、模型高度的最小尺寸500mm，放大风帽的最小尺寸120mm；产品的主要结构应用标签注明，标注应准确、清晰、牢固；各部件应比例适当，位置正确，连接牢固，不得因正常震动、碰触而开裂、松脱。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化学实验装饰挂画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1.墙布：油画布打印，尺寸长7.3m，高2m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觉文化展示模块：运用CDR/AI/PS等设计软件根据学校设计要求制定图文排版，主要采用透明背胶、UV印刷等方式。另外还要看安装现场以设计为基础计算每个字的大小、字型、颜色，进行搜字。设计内容要求符合现代中小学生基本审美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核能利用的研究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部件：显示终端、控制终端等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能是一种有重要利用价值的新能源，在电力工业中有重要的位置。在中学阶段有关核能的知识虽有介绍，但不作为重点知识，且只在理论上作一些知识性介绍，又无法进行实验，对学生来说是非常抽象的。利用虚拟实验室与众不同的条件，将难以接近的核能原理在软件中充分演示出来，让学生可能用实验的方法改变模拟变量，了解和探究核能是如何产生与被利用的，以及对核能的控制但是如何实现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3、操作说明：观众触摸显示屏的核能相关实验，了解核能的基本知识及其可能的相关应用；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备用电热丝卷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规格：长度 30 m，直径 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材质：镍铬合金（Ni-Cr）或铁铬铝合金</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卷</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智能实验教学录播</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4K高清摄像机(老师)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1.有效像素：≥800万像素；分辨率：≥4K@30fps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2.内置教师图像跟踪算法，单镜头可输出全景和特写两个景别；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3.支持特写和全景同时RTSP推流；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4.支持≥1路RJ45接口，支持POE供电及信号传输，支持同时输出多路画面；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5.视频压缩：H.264、H.265；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6.音频压缩：AAC，音频接口：≥1路LINE IN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7.网络协议：支持RTSP、RTMP、SRT、ONVIF等协议；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8.支持≥1路USB接口；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9.为便于操作，支持一键式启动跟踪停止跟踪。支持预置点位调用、设置、支持参数设置，白平衡设置；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10.为防止讲台区域干扰，保证跟踪效果有效性，支持≥4种屏蔽区域、≥4种辅助学生检测区域数字化模块显示设置；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11.支持≥3种跟踪模式设置(包括但不限于实时跟踪模式、电影模式、区域跟踪模式)；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12.支持跟踪调节支持≥2种动作（教师板书动作）调节、方向调节；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13.支持身高自适应与上下讲台检测功能，导播规则使用功能，支持通讯协议自定义切换(包括但不限于UDP、TCP、RS232协议)。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4K高清摄像机（学生）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1.有效像素：≥800万像素；分辨率：≥4K@30fps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2.内置学生图像跟踪算法，单镜头可输出全景和特写两个景别；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3.支持特写和全景同时RTSP推流；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4.支持≥1路RJ45接口，支持POE供电及信号传输，支持同时输出多路画面；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5.视频压缩：H.264、H.265；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6.音频压缩：AAC，音频接口：≥1路LINE IN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7.网络协议：支持RTSP、RTMP、SRT、ONVIF等协议；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8.支持≥1路USB接口；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9.为便于操作，支持一键式启动跟踪停止跟踪；支持预置点位调用、设置、支持参数设置，白平衡设置；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10.为防止学生区域干扰，保证跟踪效果有效性，支持≥10种学生检测区域数字化模块显示设置；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11.支持跟踪参数设置，支持前排与后排学生跟踪滑动调节；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12.支持单目标及多目标跟踪动作调节，支持灵敏度检测;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多功能教学终端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1.设备采用嵌入式1U标准设计。支持 7*24 小时工作；支持录制、直播、视频会议、导播管理、存储、中控管理、视音频编码等功能，内置≥1T硬盘；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2.视频接口：支持≥2路HDMI输入接口；支持≥2路HDMI输出接口，分辨率支持1080P及向下兼容；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3.通讯接口：支持≥1路USB接口，用于外接USB设备，支持≥6路RJ45网口，为方便布线，其中≥4路网口支持POE功能；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多功能教学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1.支持Web远程管理功能，支持录制编码设置、多模式智能导播、视频会议控制、物联管控等功能；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2.支持录制文件管理功能，录制完成可及时查看教学课件回放，可进行批量上传、删除等功能；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3.支持远程画面采集，采集教师客户端画面、支持采集屏幕码流和帧率、支持捕获区域选择；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4.支持录制后的视频直接在本地磁盘文件访问；老师插入U盘可直接对硬盘内的课件进行拷贝；支持教师远程共享下载视频课件；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5.可同时支持≥4路高清1080P 视频信号+≥1路VGA/HDMI电脑信号输入，支持电影模式、电影+资源模式同时录制，支持4路及以上高清1080p视频文件录制，以满足后期多样化编辑；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6.备播通道图像加载包括但不限于4路摄像机画面和电脑课件画面、教师笔记本、片头、片尾、图片、过场视频动画、互动主流、互动辅流等；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7.支持视频编码设置，码流支持：500kbps～16000kbps 可调，支持TCP/UDP/RTSP/RTMP/H.323/SIP等流媒体协议；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8.支持手动导播与自动导播的无缝切换，支持手动录制。支持自定义导播策略，如触发事件、触发动作等丰富的规则配置，实现导播画面自动切换；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9.为保证视频画面衔接流畅，支持≥8种特效切换功能，支持≥5种多视频叠加模式，可以将多个视频自由叠加在同一个视频窗体中，支持对话模式、画中画、三分屏、四分屏多画面模式等；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10.支持多通道直播，可实现主、子码流直播功能；支持标准RTMP流媒体协议的高清直播和标清直播功能；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11.支持软件调音台功能，支持语音降噪力度门限调节、支持自动增益噪声底线信噪比增益值调节、支持回声抑制噪声调节、支持滤波频率调节；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12.支持视频会议功能，可根据网络情况选择多种分辨率及码流进行互动，支持SIP 协议，H.323协议，支持主动呼叫和被动接听功能；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13.支持网络测试功能，测试网络通讯情况，包括上下行丢包率数据、带宽数据等。支持路由器跟踪测试，用于确定IP数据访问目标设备所经的路径；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15.支持教室物联网管控功能，可以控制麦克风、音箱音量大/小，电动窗帘，多媒体管理等；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16.支持中控管理功能，支持自定义中控的按键名称、按键命令码、按键的位置、按键的跳转页面；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17.支持自动修复功能；课程录制过程中，支持对设备异常断电造成的视频文件损坏进行自动修复；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18.支持自动缓存与教学平台对应的课表数据，支持与教学平台断开连接时也能按照缓存的课表自动录制，待恢复后可自动上传录制的课件资源。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屏幕采集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1.屏幕采集要能够实现对教师授课电脑的单屏幕采集，双屏幕采集和双屏分开同时采集功能。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对于PPT等电脑视频图像画面的录制应该能够根据教师教学习惯（方法）的不同，采用不同的应对策略，须采用软件采集方式采集教师电脑PPT画面，不管教师是操作电脑或者播放动态视频，都能如实获得带有运行轨迹的教学画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3.支持软件采集老师计算机屏幕内容，采集方式支持支持1920x1080分辨率及以上，最大支持3840x1200分辨率，采集帧率达到30帧每秒，最终生成课件老师计算机屏幕部分达到高清，无失真现象。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全向麦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1.内嵌自适应回声消除、自适应噪声抑制和智能混音等数字音频算法；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2.支持2路麦克风级联输入；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3.支持1路立体声回声抑制参考信号输入，采用3.5mm标准音频接口；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4.支持2路立体声线性输出，采用3.5mm标准音频接口；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5.支持全频带全双工自适应回声消除技术；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6.全频带动态自适应降噪技术，降噪电平最高≥18dB；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7.智能混音和话筒优选技术；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8.采样率48kHz，A/D和D/A、24-bit；</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9.输入、输出独立的音量调节旋钮；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10.指向性： 360度全向拾音，拾音半径≥8米。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多功能控制屏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1.整机采用≥9英寸液晶触控屏，支持与录播联动功能。触控屏支持≥3英寸实时导播界面；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2.支持直录播的开启与关闭，教室画面预监跟踪，远程视频互动管理等；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3.支持教师图像、学生图像、教学内容等导播通道快速切换功能；图像显示界面可根据应用习惯进行方向移动；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4.支持≥2路USB接口；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5.支持≥1路网络接口，支持POE供电和网络通讯功能；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6.支持有线网络连接及5GHZ无线网络，支持网络速度自适应；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7.支持≥8G本地存储功能；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8.支持高级配置功能，自定义新建命令按键、按键名称、桌面背景图片等功能；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9.支持可视化界面管理功能，支持普通模式、录播模式、网络课堂呼叫模式；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10.支持功能区内嵌设备管控模块，联动多功能教学终端可对教室内的物联设备进行控制，包括（灯光、空调、窗帘、幕布、音频、投影、大屏等）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设备进行控制；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11.支持教学场景一键式触摸式开始录制，停止录制功能。在录制模式下，支持对投影、幕布、音量大小、师生自动跟踪的控制；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12.支持互动权限功能，通过显示界面，支持互动连接开启关闭功能；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13.支持以一间教室为主讲教室，与多间远程听课教室进行互动，第一次互动连接成功后，无需重新设置教室信息；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14.支持视频会议的发起、管控及关闭等功能。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15.支持微信扫描功能，通过微信扫码可自动把录制课件与老师信息关联上传。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智慧课堂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一、录播管理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1.录播计划：为方便用户对录播计划进行管理，支持列表模式和课表模式的录播计划创建与展示；支持列表模式下编辑、删除等操作；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2.录播设置：支持查看每个录播计划的扫码签到、课堂报告、操作日志等功能；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3.录播通知：支持通过公众号提醒或短信提醒等方式在录播计划开启后向师生推送上课通知；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4.课程检索：支持按照学科、学期进行录播课程分类；支持按照时间、主讲教师、课程标题进行录播课程资源查看；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5.录播管理：支持教师视频、学生视频、屏幕视频、全景视频链接管理，支持按教室名称查询，支持批量录播管理；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6.录播设置：支持根据个人需求，灵活定制课程录制策略，支持是否开启录制、录制画面选择（教师画面、学生画面、屏幕画面、全景画面），可设定视频评论是否开启，支持课程加密；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7.课时目录：支持显示任课教师的课时目录，可选择同一学期不同课时、不同章节目录进行多课程快速跳转；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二、直播管理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1.直播课程检索：支持精准查询直播课程，可以按照时间、标题、全部课程查找直播课程进行观看；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2.直播课程排序：支持按照多种维度进行直播课程排序与筛选，如：正在直播、即将开始、直播回放、最热直播课、最新直播课等；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3.直播分享：支持通过二维码、QQ、微博或微信等多种方式一键分享；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4.直播观看：支持多路视频观看模式，可自由切换四分屏、三分屏、两分屏、单画面模式，可根据观看习惯通过鼠标拖拽画面的方式自定义调整布局；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5.直播互动：支持弹幕功能，支持观看人数的统计，支持在线签到、查看在线学生名单、在线答题等互动功能；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直播设置：支持自动直播开启功能，可以通过设置课表对某一个教室到时间自动开始直播，同时支持扫描二维码手动开启直播录制，并可设置标题、时长、选择教室、选择录制路数、直播路数等；同一间教室可设置直播视频源不少于3路（老师视频、学生视频、PPT视频），支持高清、标清不同码流直播；直播权限可设置是否公开、是否登录可见、是否发布，可以添加直播密码，并可设置校内直播和云直播，可以设置观看人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7.支持根据服务器承载能力或活动需求设定在线观看直播的最大人数；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三、资源管理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1.资源排序：支持按照时间、点击量、文件大小、时长等维度进行排序；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2.资源属性：为提高资源的有效利用和检索便利性，支持按照教学资源的不同属性进行精细化分类，包括但不限于名师讲座、安全教育、公共课程、精品课程等；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3.状态修改：支持对资源状态进行修改，如公开、不公开等；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4.资源检索：支持按照标题、学期、组织机构、教室、课程、主讲、时间等维度进行查询；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5.视频资源编辑：支持对视频资源进行灵活处理和优化，可进行在线编辑制作，支持剪切、删除、合成、添加片头片尾等功能；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6.文档上传：支持上传txt、doc、docx、xls、xlsx、ppt、zip、rar、wav、jpg、jpeg、png、gif、bmp、mp4、pdf、xml、mp3等格式教学文档，并支持关联对应的视频资源；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7.视频上传：支持上传本地视频、上传第三方视频的地址，支持自动提取视频地址中的资源；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8.上传进度：支持在线查看资源的上传进度；可查看上传失败的资源，支持重新上传；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9.存储阈值：为确保资源在有限存储空间内高效保存，支持设置存储上限阈值，达到设定阈值后自动删除时间最早的视频资源，也可设置定期删除机制；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10.资源下载：可将已公开的视频进行在线下载；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四、组织管理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1.角色管理：支持学校管理员创建本校的角色，并为角色进行权限设定；包含功能操作权限和数据范围权限；支持方便查询角色下的用户列表；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2.用户管理：支持修改用户角色，不同的用户支持不同的权限；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3.教师管理：支持对教师信息的管理维护，如基本信息、登录密码、所属班级、学科、组织结构等信息填写，支持通过Excel导入教师信息；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4.学生管理：支持对学生信息的管理维护，包含基本信息、登录密码、所属年级、班级、院系等信息填写，支持通过Excel导入学生信息；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5.教室管理：支持对教室信息的管理与维护，包含教室名称、所属教学楼及楼层等；支持教室信息的导入功能；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6.班级管理：支持新建班级，包含班级所属年级、院系以及班级的学生名单；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7.节次管理：维护学校节次名称及开始和结束时间；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8.校区管理：支持新建校区信息，并支持创建所属校区的教学楼，便于按校区管理教室及设备；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9.组织机构管理：支持对院系专业等部门信息创建、修改、编辑、删除等操作；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10.课程管理：支持课程的信息管理维护，包含填写课程名称、年级、课程属性、课程状态等；支持课程封面上传；支持填写课程简介；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11.存储管理：视频资源储存地址信息，对存储的资源进行统一管理，实时查看存储空间剩余容量；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12.评课管理：支持评课权限管理，支持教师评分类别管理；支持学生评分类别管理；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13.公告管理：支持发布公告；创建公告类别，编写公告内容；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14.存储管理：支持存储空间的新建与删除功能，支持将已有的存储服务器进行绑定，可设置存储服务器共享功能；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五、个人空间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1.教师个人空间：为集中呈现教师的教学过程，支持教师个人主页功能，支持查看教师所在的学校、职称、简介、课程、上传的资料、学生信息等相关数据；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课程画像：支持查看每学期不同课程的详细报告，支持查看访问总人数、直录播课程建设、课程完成度统计，支持查看单个学科的师生精准出勤详情、师生行为分析数据、学情分析数据与课程评价统计数据，并以折线图、饼状图、柱状图的形式进行数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3.课表信息：支持查看本学期所有课表信息；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4.班级信息：支持查看班级学生名单，支持统计单个学生本学期的直录播观看时长、 考勤次数、互动详情（测验次数、答题次数、讨论数量、弹幕数量）等信息；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成绩设置：能够根据学生在各方面的表现自动核算其综合成绩，支持自动记录和计算每个学生的考勤、直录播课程的完成度，互动详情等数据；教师可根据课程特点与教学目标，自定义设定各项考核指标（如考勤、直录播观看、互动等）在总评成绩中的权重比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6.历史记录：支持按照每学期、标题、课程、主讲等多种维度查看每个学生直录播课程的首次观看时间、最后观看时间、观看进度、总观看时长、观看次数等历史记录；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六、数据统计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1.直播点播统计：支持查看每个直播、点播观看详情、观看名单、状态时长、观看量等，并支持导出全部统计数据；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2.平台访问统计：支持查看平台访问日志，访问账号、IP、时间等，并且可以导出全部统计数据；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3.教室运行状态：支持显示所有教室的运行状态，支持查看每个教室的直录播时长；支持实时检测教师画面、学生画面、屏幕画面、全景画面的录制状态；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访问统计：支持按照不同时间段查看用户访问的具体数据，包括但不限于登录ID、姓名、IP地址、访问设备类型、每次访问的具体时间与时长等详细信息；所有数据支持以表格形式导出，方便进行进一步的数据分析、存档和报告制作；支持统计用户累计登录次数，以及当日登录次数的数据展示，帮助管理者了解用户活跃度及使用习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5.巡课统计：支持查看教师的累次巡课次数、累计巡课时长、当日巡课次数、当日巡课时长、所用巡课终端等信息；支持查看单个教师的巡课日志；支持导出巡课记录；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6.评课统计：支持按课时、课程、主讲、院系、评课教师、评课学生等不同维度查看评课数据；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7.院系画像：支持统计不同院系的所有教学数据，并以折线图、雷达图等形式展示直录播课程、课堂互动等数据，以便教师与管理者更直观的查看分析结果；；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8.数据推送：为方便教师及时获取和管理教学数据，支持将各类教学数据通过邮箱、公众号等渠道周期性推送至教师，教师可以随时获取最新的教学数据，有效提升教学质量与效率；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七、数字化数据统计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1.考勤统计：支持按照课时、课程不同维度以视图表的方式显示每节课师生考勤分析内容；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生考勤：为便于教务人员精准了解学生出勤动态，支持按课表查看学生考勤详情，支持根据课程的应到人数、出勤率、迟到、请假、缺勤等多维度的数据维度进行课程的排序；支持查看单节课的考勤详情；支持以报表的形式导出考勤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3.教师考勤：为便于学校对教师的日常表现进行量化评价，支持查看每个课程的考勤详情，支持查看教师正常出勤次数、迟到次数、早退次数、未考勤次数等；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4.教学异常预警：支持查看所有教师的出勤状态与得分，支持实时显示每个课程的早退时长与迟到时长；为保证数据的准确性与公正性，支持对课堂进行全程录像存储，并支持便捷的课堂回放功能；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考勤详情；支持多种方式统计学生出勤状态，如：扫码考勤、人脸识别、APP签到、刷卡签到、线上签到、手动签到等方式，考勤结束支持查看学生个人考勤准确时间；人脸识别考勤支持按学生证件图片进行人脸比对；为保证数据公正性，支持留存学生人脸抓拍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6.学情统计：支持以视图表的方式显示每节课学情分析内容或占比，并且可以导出报表；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学情显示：支持显示每个课程的学生应到人数、实到人数、出勤率、前排就座率、课堂抓拍等信息；学情分析结果支持以折线图形式显示，可显示每个时间节点中实到人数和抬头人数统计；支持查看每个时间节点课堂抓拍图片，管理者能够结合图表数据，深入剖析学生在不同时间段的专注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8.行为搜索：支持按照时间、教室、标题等关键字检索不同课程的行为分析结果；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行为分析结果显示：支持统计并呈现学生的行为数据，包括但不限于举手、站立、趴桌子、向后看、玩手机等；支持统计并呈现教师的行为数据，包括点不限于就坐、站立、走动、板书、巡视、互动操作等；所有课程均支持课程回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10.行为统计：支持以视图表的方式显示每节课行为分析内容或占比，并支持导出报表；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八、数据看板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1.整体数据概况需汇聚全方位的教学与运行统计数据：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1)开课数据统计模块，支持实时显示课时总数，对直播、录制、互动课时占比进行动态分析；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2)支持查看当日课时数据实时监控，展示课程使用高峰时教室占比情况；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3)教学内容统计涉及教学资料数量（PPT、Word、图片等）及存储占用容量的实时变化分析；教学实时运行数据，实时计算教师与学生出勤率、学生抬头率、前排就座率占比；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4)平台访问量统计，支持提供当日学生访问量、总访问量占比分析及访问趋势图；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5)支持校级基础数据统计，包括院系数、教师数、学生数及课表总数统计；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6)所有统计结果支持以Excel或文本格式导出；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2.教学考勤：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1)数据对接与录入：支持与各类整合，支持批量导入教师和学生信息；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2)考勤方式多样性：支持教室考勤二维码，学生可通过小程序扫码签到；支持基于人脸识别技术的快速考勤功能；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3)考勤数据同步：支持显示详细的课堂考勤明细，包括应到、实到、缺勤名单；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4)智能统计分析：支持对学生和教师出勤率进行实时统计与趋势分析，提供按课程、院系、全校范围内的出勤率排行；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5)查询与预警：支持师生通过课表查询考勤记录，并支持缺勤异常预警功能，实时监测课堂出勤状态；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6)数据汇总管理：全面整合全校考勤数据，并支持将各类统计结果以Excel或文本格式导出；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3.学情分析模块：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1)学情动态分析：支持统计并分析最近一周及当日学生抬头率、前排就座率、自习室空座率及其占比变化；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2)空座率监控：针对教学楼内各教室进行空座位数量统计分析，了解教室资源使用情况；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3)抬头率趋势：支持追踪学生上课注意力集中程度，提供抬头率的趋势性数据分析；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4)就座率走势：支持统计一周及当日前排就座率变化趋势，反映学生听课位置偏好及积极性；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5)教师授课互动度：支持对一周及当日教师授课过程中的抬头率进行排名统计；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6)数据导出：所有统计结果均支持以Excel或文本格式导出；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4.互动统计：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1)互动课堂占比：支持累计统计互动课堂与未互动课堂的总体比例，并提供近期课堂互动状况占比变化详情；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2)互动课堂：支持量化统计师生在线人数、互动签到人次，以及课堂内的截图数、连麦次数、测验题量等关键指标，并产出详细的课堂报告；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3)教师教学偏好可视化：依据讨论、签到、测验等活动数据，以日期曲线图展现不同教师的教学偏好模式；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4)学生学习偏好五角图展示：基于弹幕、讨论、连麦等互动记录，通过五角图形式呈现学生群体的学习偏好特征；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5)热词排行：根据课堂弹幕互动频次，生成弹幕高频词汇排名列表；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6)学生课堂互动得分排行：支持统计课堂互动得分，公布前几名优秀及后几名待改进的学生互动得分排名；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7)教师课堂互动活跃度排行：支持根据教师在课堂教学中的互动数据表现，列出前几名最活跃与后几名相对较低活跃度的教师排名；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5.巡课与评课综合统计：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1)巡课统计：全面记录巡课人数、总课时数，分别分析网页端与移动端巡课占比情况；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2)评课统计：包括评课专家及学生参与人数统计，支持呈现两者的评课人数占比分布；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3)专家评课排行：提供校级专家评课评分排行榜；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4)学生评课排行：支持学生评课分数的排行榜统计；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5)课程资源点评：支持教师对课程资源进行文字评论，为教师提供课后教学改进意见；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6)测评总结与统计：支持汇总教师和学生的评课总成绩，并统计学校课程总量、课时总数、参与评课教师数、教师测评课时数、学生测评课时数等关键指标，展示测评总平均分及趋势图表；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7)数据导出：所有统计结果均可支持以Excel或文本格式导出；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6.资源统计：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1)开课统计：支持分析直播、互动及完成课时在总课时中的占比；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2)新增资源统计：支持统计资源总数并细分直播、录制和课表资源各自占比；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3)资源建设统计：支持按周和日维度，分析各类资源建设的占比；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4)资源状态统计：支持总计课时数，并按公开、发布、冻结状态统计其占比；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5)文档资源统计：支持统计校级资料库总量，专门分析教学文档资源；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6)学生观看统计：分析学生观看教育资源的热门排行；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7)资源排行：分别统计录播和直播资源的观看次数、点赞情况、收藏数量等维度排行；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7.教室设备运行管理：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1)教室运行统计：支持实时分析有课与无课教室状况；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2)设备总数统计：支持实时统计摄像机、录播设备、服务器等前端教室设备数量；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3)教室运行时段分析：支持根据课程安排分析教室使用时段趋势；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4)设备预警统计：支持监测并分析录播、中控、服务器等设备的预警状况；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5)环境数据监控：支持采集并展示教室的温湿度、PM2.5、甲醛、湿度等环境数据；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6)存储预警监控：支持分析数据资源存储的使用及剩余存储空间；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7)记录分析：支持实时查看设备操作记录和保修记录；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8)设备统一管理：支持远程监测设备运行状态，支持设备列表查询、详细信息展示，以及运行、离线设备管理；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9)资源预警监测：支持实时检测硬盘存储空间并显示数据；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8.线上教学数据分析：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1)教学趋势分析：支持按日期生成直播节数的趋势图表，呈现教学活动变化；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2)开课率统计：支持实时计算学校总课时数及其完成情况；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3)视频数据汇总：支持追踪直播观看总量、当日与昨日对比，包括观看人数、直播场次、直播总时长对比；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4)直播互动概览：支持收集并分析弹幕、评论的数量，以及累计观看人数和活跃度指数；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5)出勤与观看排行：支持分别按今日和历史数据对学生出勤率及观看时长进行排名统计；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教室动态统计：支持统计学校所有教室的上课状态，支持查看每间教室位置信息、开课状态、实时课堂人数等数据；所有楼层教室运行状态支持数据滚动显示，支持统计教室数量并以多种状态显示数据占比（包括但不限于上课教室、空闲教室、自修教室等）；支持实时显示所有教室上课总人数，并支持数据滚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为保证各模块之间良好兼容性，所有模块均由同厂家生产。</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1、ABS工程塑料制品；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2、托盘质量应保证不易老化，变脆和开裂等；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3、托盘厚度≥2mm，四周及底面有加强筋，应满足承重要求。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绝缘耐受电压不小于120kV。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滴水起电机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工作电压：1.5V左右需配箔片验电器使用。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1、误差等级2.5级，量程0.6A、3A；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2、标度盘：标度盘正面为无光白色，色调柔和，刻度线条平直不间断，清晰鲜明，色差明显；表面清洁平整；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3、指针：指针应挺直，涂色与标度盘颜色的色差要明显。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1、多路输入档。一路为毫伏级，低阻抗输入，放大倍数约一千倍；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2、两路用于传感器，分别为电流型放大输出和电压型放大输出。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升降台由上面板、下底板、旋转轴、手轮和升降架组成。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实验桌3</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1、规格：2400*1200*760mm±10mm。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2、台面：采用12mm±1mm实芯理化板台面，四周修边倒角处理，边缘光滑无锐角。整体美观协调。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3、台身结构：新型塑铝结构，整体为1200*600*760四张桌架拼接而成。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7、桌腿配有PP脚套装饰盖。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1、标本在100×和400×生物显微镜下观察血液中血胞的形态；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2、能看清有核的红细胞；</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3、标本取材于蛙的新鲜血液；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4、血膜应涂布均匀、无污物，血细胞不重叠、无变形和自溶现象；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5、用苏木精、曙红双重染色；染色要均匀血浆不着色。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易燃品储存柜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双向测力计</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1、产品主要由具有测量性能的耐疲劳弹簧、指针、调节器、分度板等组成；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2、使用时指针在所测力的方向上（无负荷时）必要时对准零位；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3、不在零位时，只要旋动两端的调节器，可使指针移向零位；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口罩</w:t>
            </w:r>
            <w:r/>
          </w:p>
        </w:tc>
        <w:tc>
          <w:tcPr>
            <w:tcBorders>
              <w:top w:val="none" w:color="000000" w:sz="4" w:space="0"/>
              <w:left w:val="none" w:color="000000" w:sz="4" w:space="0"/>
              <w:bottom w:val="none" w:color="000000" w:sz="4" w:space="0"/>
              <w:right w:val="none" w:color="000000" w:sz="4" w:space="0"/>
            </w:tcBorders>
            <w:tcW w:w="6953" w:type="dxa"/>
            <w:vAlign w:val="top"/>
            <w:textDirection w:val="lrTb"/>
            <w:noWrap w:val="false"/>
          </w:tcPr>
          <w:p>
            <w:pPr>
              <w:jc w:val="left"/>
              <w:spacing w:line="360" w:lineRule="auto"/>
              <w:widowControl/>
              <w:rPr>
                <w:rFonts w:hint="eastAsia" w:ascii="宋体" w:hAnsi="宋体" w:eastAsia="宋体" w:cs="宋体"/>
                <w:color w:val="auto"/>
                <w:sz w:val="20"/>
                <w:szCs w:val="20"/>
                <w:lang w:bidi="ar"/>
              </w:rPr>
            </w:pPr>
            <w:r>
              <w:rPr>
                <w:rFonts w:hint="eastAsia" w:ascii="宋体" w:hAnsi="宋体" w:eastAsia="宋体" w:cs="宋体"/>
                <w:color w:val="auto"/>
                <w:sz w:val="20"/>
                <w:szCs w:val="20"/>
                <w:lang w:bidi="ar"/>
              </w:rPr>
              <w:t xml:space="preserve">产品类型：一次性防护口罩</w:t>
            </w:r>
            <w:r/>
          </w:p>
          <w:p>
            <w:pPr>
              <w:jc w:val="left"/>
              <w:rPr>
                <w:rFonts w:ascii="宋体" w:hAnsi="宋体" w:cs="宋体"/>
                <w:color w:val="000000"/>
                <w:sz w:val="20"/>
                <w:szCs w:val="20"/>
              </w:rPr>
            </w:pPr>
            <w:r>
              <w:rPr>
                <w:rFonts w:hint="eastAsia" w:ascii="宋体" w:hAnsi="宋体" w:eastAsia="宋体" w:cs="宋体"/>
                <w:color w:val="auto"/>
                <w:sz w:val="20"/>
                <w:szCs w:val="20"/>
                <w:lang w:bidi="ar"/>
              </w:rPr>
              <w:t xml:space="preserve">规格尺寸：尺寸 175mm×95mm，；内置可塑鼻梁条</w:t>
            </w:r>
            <w:r>
              <w:rPr>
                <w:rFonts w:hint="eastAsia" w:ascii="宋体" w:hAnsi="宋体" w:eastAsia="宋体" w:cs="宋体"/>
                <w:color w:val="auto"/>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教师数码显微镜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1、放大倍数：40X-1000X。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2、光学部件：无限远色差校正光学部件。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3、目镜：高眼点平场目镜WF10X/22mm，带视度调节。显微镜目镜放大率准确度不超过±1.48%。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观察筒：铰链式双目观察筒，30°倾斜；瞳距调节范围48-75mm。具有铰链组360°旋转功能，眼点高度375-428.5mm。左右两部件放大率差≤0.05%，双目部件左右两像面光谱色一致，明暗差≤14.3%；双目部件左右部件像面方位差≤25；双目部件左右视场中心偏差:上下≤0.12mm、左右外侧≤0.16mm、左右内侧≤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5、显微镜机身内置一体的内倾式五孔编码物镜转盘，可实现物镜照明记忆功能，自动记忆上次观察的亮度并在下次使用该物镜时自动调出。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6、转换器稳定性≤0.012mm。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7、聚光镜：阿贝式聚光镜，数值孔径N.A.1.25，齿轮齿条垂直升降，带可变孔径光栏，带暗场、相差附件插口。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载物台：双层机械移动平台，采用石墨工艺、强度强、耐腐蚀。低手位X、Y方向同轴调节，线轨传动，X方向无齿条伸出。载物台面积≥200mmX140mm，片夹可同时夹持两块切片，方便对比观察。平台行程≥76mmX50mm，精度≤0.1mm。载物台侧向受5N水平方向作用力的最大位移≤0.016mm， 载物台侧向受5N水平方向作用力的不重复性≤0.004mm。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9、调焦机构：粗微调同轴，粗调行程22mm，微调精度2um，全金属齿轮齿条调焦机构，带可调式平台上限位装置。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10、物镜：物镜放大准确度不超过±1.54%；4X/0.10，W.D.15.5mm；10X/0.25,W.D.7.0mm；20X/0.4; 40X/0.65（弹簧），W.D.0.71mm；100X/1.25（弹簧/油镜）,W.D.0.14mm。成像清晰圆直径：4X成像清晰圆直径≥14.5mm；10X成像清晰圆直径≥15mm，20X成像清晰圆直径≥15mm；40X时成像清晰圆直径≥14.5mm；100X时成像清晰圆直径≥14.5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11、物镜齐焦：10→20X，不超过±0.025mm，10→40X，不超过±0.014mm，40→100X，不超过±0.008mm。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12、照明：3W LED光源，亮度可调；稳定性10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50%。灯的响应时间为纳秒级，光照明亮，色度均匀，色温接近自然光。亮度连续可调，在任何亮度下无屏闪，可满足不同色温的标本观察需要，带有光源的仪器操作部位温度与室温之差不超过11.5度。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13、成像：≥800万像素。传感器尺寸：≥1/1.8”。最大帧率及最大分辨率：≥30fps@3072x2048，逐行扫描，具有自动曝光、自动白平衡功能；USB3.0线纯数码输出。 </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1、透明钠钙玻璃材质，由磨口瓶和毛玻璃片组成；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2、规格：500ml；磨砂密合性：盖板与瓶口充分湿润密合后，倒提瓶体，盖板附瓶口上应保持30秒不掉；瓶身光洁圆整，不得有扁瘪现象，瓶底平稳，不允许有旋转缩径和磨光的小缺口；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1、高硼硅玻璃材质，由瓶体和瓶塞组成；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2、规格：1000mL。内应力消除：在偏光仪下呈紫色；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3、刻度线清晰耐久，粗细均匀，平行于瓶底平面；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4、瓶口与瓶塞密合性好。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2、规格：棕色，3000mL；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实验服</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白色,棉布大褂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测量范围：-50℃～+200℃，仪器直径140mm，数字显示 尺寸80*26mm。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滴定实验装置</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由滴定计数器、专用滴定管、支架、转接器和螺栓组成，用于统计液滴数量、测量液滴体积，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可完成酸碱中和滴定、冰醋酸稀释等实验。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1、445kHz～1700kHz，误差±5%；中频465kHz，±2%；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2、低频500Hz、1kHz、1.5kHz、2kHz、2.5kHz。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30mm，试管高200mm；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2、电机转速：无极调速，产品有机箱、电机、调速器等组成。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激光光学演示仪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激光波长：632.8 nm（He-Ne）</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演示屏带角度刻度，精度 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导轨行程与组件接口统一，方便快速更换光学件。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显示对应间隔时间的平均速度、加速度、碰撞计时四个平均速度；电磁铁可调释放延时补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向测力计2个、压簧2只、量角器1只、加长杆4支、销钉6只、接线叉2支、接插头2支、接钩2只、力矩盘1个、、车钩4只、大滑轮2只、小滑轮4只、惯性块2块、重锤1只、双向插头2只、滑轮联杆2支、滑轮挂钩2支、调节杆2支、钢丝挂钩10支、钢丝卡环4只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台虎钳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主体：高强度灰铸铁或铸钢，刚性强、抗震；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钳口：淬火硬化钢，带齿纹防滑；常配可更换软钳口保护精密工件；部分带 V 型槽可夹圆棒 / 管材；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钳口宽度：100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最大开口：100～140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钳口高度 / 夹紧深度：50～84 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台式平面刨床</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1.额定电压:220V~50HZ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2.空载转速:12000r/min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3.额定功率:1800 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4.刨削宽度:150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5.刨削深度:0-3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6.产品重量:10.2 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7.台面尺寸:580x155 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1、标本在400×生物显微镜下观察植物细胞的胞间连丝形态；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2、能看清胚乳的多边形厚壁贮藏细胞，认出细胞壁、胞间层和细胞腔；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3、能看清许多细小的胞间连丝将两个相邻细胞的原生质体连在一起；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4、标本取材于秋、冬季节的柿或黑枣的种子；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5、切片厚度不超过20μm。材料面积不小于1.5mm²，细胞不倾斜；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6、标本用能显示胞间连丝的方法染色。胞间连丝着色应明显，细胞界限清楚，胞质色淡；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7、有50%以上细胞能显示胞间连丝；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8、材料四周剪切整齐，无染液的沉淀物；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10、产品应符合JY235－87《胞间连丝切片》的要求。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2、规格：T形；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3、灯工焊接牢固，焊接处玻管内径以不少于芯孔直径；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4、管口烘光不得有缺损块口；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5、活塞芯孔径应与活塞壳孔对正，出现的偏差不得超过有效孔径的1/3为准；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6、活塞芯手柄不得有割手合缝线，尾部磨平，不得有4mm以上的缺口；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7、活塞芯与活塞壳磨合后，芯、肩应与壳肩齐平，其伸出或缩入最大偏差不得超过1mm为准；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1、仪器外形结构由底座电源装置，带刻度的U形管、电极插座和开关等组成；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2、主要技术参数：输入电压：AC12V；输出电压大于120V；输出电流80mA。</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棉线团</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2mm粗200米/团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团</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水槽台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规格：4500*650*800mm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1、台面：采用12.7mm厚实芯理化板制作，切割处正反面去毛刺切口打磨平整。表面有良好的耐腐蚀性及具有良好的承重性能。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2、柜体：全钢结构，采用1.0mm高强度镀锌钢板，切割折弯成型焊接打磨平整，表面经环氧树脂喷涂处理。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3、门板：采用双层结构，组装式设计，保证单层钢板双面都喷涂处理，门板中间填充隔音材料，减少关门时产生的噪音。防撞胶垫：门板内侧，减缓碰撞，保护柜体。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4、拉手：采用一字拉手。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5、不锈钢防腐铰链：采用优质不锈钢模具一体成型。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6、固定桌脚：采用柜体内置可调ABS调整脚，保证调整脚前后都可以调节高低。</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透明，最大容积1L，具水封及气泡限速装置，可进行气泡观察计数。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高频信号发生器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0.4MHz～130MHz分段连续可调，误差±5%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化学晶体展示橱窗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规格：3m*1.5m（定制）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部件：84种矿物标本、按钮及控制器等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这是一组矿物标本展示柜，以简洁而专业的设计，构建起地质科普的微观窗口，成为传播矿物知识与地球科学的生动载体。展示柜采用金属框架搭配通透玻璃的结构，冷峻的金属线条勾勒出规整秩序，透明玻璃则消除了观赏阻隔，让矿物之美毫无保留地呈现。内部层板有序划分空间，每组展柜如一个独立的地质小世界，承载着形态各异、色泽斑斓的矿物标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进入体验区，根据指示牌操作，进行科普互动学习。</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动物剥制标本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动物剥制标本,50种左</w:t>
            </w:r>
            <w:r>
              <w:rPr>
                <w:rFonts w:hint="eastAsia" w:ascii="宋体" w:hAnsi="宋体" w:cs="宋体"/>
                <w:color w:val="000000"/>
                <w:sz w:val="20"/>
                <w:szCs w:val="20"/>
                <w:lang w:bidi="ar"/>
              </w:rPr>
              <w:t xml:space="preserve">右，1:1比例自然大，动物形态自然，美观，配套专业标签，显示动物名称、科属等相关信息。包含大不限于八哥、鹌鹑、白颈乌鸦、棕背伯劳、白鹭、白头短脚鹎、斑鸠、虎皮鹦鹉、伯劳、仓鼠、玄凤鹦鹉、刺猬、戴胜、鸡、文鸟、鳄龟、骨顶鸡、玉米蛇、贵妃鸡、荷兰猪、黑卷尾、黑水鸡、噪鹃、黑喜鹊、红嘴蓝鹊、环颈雉-公、环颈雉-母、黄鹂、麻雀、黄雀、灰椋鸟、灰喜鹊、鹧鸪-母、家鼠、小鸭子、金花松鼠、兔子、鹧鸪-公、珍珠鸡、緑头鸭、緑头鸭-公、緑头鸭-母、珍珠鸟、帽子鸡、魔王松鼠、母鸡、牡丹鹦鹉、牛蛙、七彩文鸟、青蛙、岩鸽、山麻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电冰箱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1、适用范围适用于实验室设备，制取低温物品，保存生化制剂；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2、双门有效容积不小于200L。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实验室演示控制器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1.CPU：双核心、双线程、1.8GHZ、三级缓存 2MB；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2.RAM：8G；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3.内置存储：128G，可扩充到3TB。</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4.影音接口：1路HDMI输入接口、1路HDMI输出接口、LineIn*1、 LineOut*1。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5.I/O接口：3个USB接口并支持扩展，3个10/100/1000Mbps以太网RJ45接口；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6.视频输出：最大支持4K高清视频，支持30FPS帧率。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7.扩展：具有“录制”按钮，可一键式录制课程。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8.内置无线AP功能/WiFi支持：智能云盒内置无线AP模块，工作频段：支持2.4G和5G。 支持协议： 802.11 a/b/g/n/ac多种协议模式。最大工作速率： 1300Mbps。网络工作模式支持：无线路由器、无线交换机、终端模式。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产品功能界面应满足：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屏幕工具条：主要是指对设备进行控制操作的功能按钮区域，用户可直接在触控显示屏上触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持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3.支持三大类公有传输协议投屏：支持Air Play、Miracast、WIDI投射协议投屏，能够将iOS设备、macOS设备、Android设备、Windows设备不安装任何APP或者插件的前提下直接无线接入智能云盒进行投屏。通过外接USB发射器、扫码、安装App等方式投屏，均不符合要求。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4.音频输入输出接口：设备支持3.5mm音频输入和3.5mm音频输出功能，可实现无线或有线3.5mm音频输入到设备中，通过3.5mm输出给功放、音响等设备。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投屏终端选择与切换：自动对有线接入设备和网络摄像机、无线接入设备、各小组的设备、U盘、手写板等设备分类。支持拖拽选择投屏设备的画面，支持对已连接的设备强行从列表中移除、重命名，并可设置常用设备置顶显示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8.支持画面截屏：通过截屏功能，可一键截取当前显示的内容画面，支持通过遥控器APP分享到微信、微博、QQ等第三方应用程序，并支持存储在U盘或本地硬盘上。</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帕斯卡球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1、产品主要由圆管、空心球、活塞、活塞杆、手柄组成；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2、圆管选用金属无缝钢管，端应有连接，空白球的螺纹，另一端有拧盖螺纹、螺纹连接部分应牢靠、表面防锈处理；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3、空心球用不锈钢制作。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无线智能氧化还原传感器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功能模块：用于测量溶液氧化还原电位的数据；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性能：测量范围：-500mV~+1200mV，分度：1mV；准确度：≤±20mV；最大采样率：5KHz；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技术指标：适用温度5-70℃；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结构：使用BNC连接器方式与电极连接，铂金片外径5mm，露出管口12mm，电极全长150mm。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力矩盘</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圆盘直径≥265mm，圆盘有四个同心圆，均匀分布若干个小孔。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带光源和锌板，由高压电源、微电流放大器、锌板和铜丝网，紫外光源等组成。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玻璃，长约为160mm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充电式烙铁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焊接工具一应俱全，内含电烙铁、烙铁架、斜口钳、吸锡器、剥线钳、防静电镊子、焊锡丝、松香、高温海绵、防静电垫、清洁工具等。不仅是工具包，更是可移动的电子焊接实验室，质量好，能满足学生所有焊接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2、材质：具有海绵定位外包装。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柴油机模型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1、工作电压：直流1.5V～2V；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2、模型应示柴油机的汽缸体、进汽阀、排汽阀、汽阀弹簧、进汽道、排汽道、活塞、活塞环、连杆、曲轴、飞轮、火花塞、凸轮、水套。</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粗、细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记忆式，移动距离不小于1.5m，超重、失重加速度可调，灵敏测力计示数可见。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碳化硅砂带#180</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粒度：180 目（P180）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磨料：碳化硅（绿色 / 黑色）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磨粒直径：约 83 μm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基材：树脂布基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各种陀螺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圆周运动、离心运动。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APP吊装控制设备</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1、注册后进入，方便用户找回忘记的密码，升级方便。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APP可控制总电源的开关；可控制学生实验用低压直流电源（0-30V），学生也可自己调节；可显示当前温度、相对湿度及当前时间；同时还可控制水/电/风/灯的开启与关闭等。3、APP移动设备与智能控制设备可以同步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2、规格：125mL；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3、磨砂密合性：瓶身光洁圆整，不得有扁瘪现象，瓶底平稳，不允许有旋转缩径和磨光的小缺口；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1、规格：2100mm*750mm*780mm±1%。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2、台面：采用≥12.7mm厚实芯理化板，耐高温、耐腐蚀；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3、整柜体说明：外壳采用≥1.0mm优质冷轧钢板在数控加工中心、剪裁、定位打孔、折弯焊接后成型，酸洗磷化处理后喷涂环氧树脂粉末高温烘烤固化。附着力高、表面硬度耐腐蚀性极强，预留有两个位置。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4、铰链：阻尼铰链；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5、调整脚说明：采用直径≥φ10mm注塑调整脚，防震、防潮、耐腐蚀，可根据室内地坪适当调整柜体高度，最大调节为0-30mm。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6、工艺说明：所有钢板焊接经环氧树脂粉喷图后，目视平整无焊点。所有水、电、气路要求安全、适用，并隐藏式安装。在柜体后背板设维修孔。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7、下部柜体，门板：采用≥1.0mm冷轧钢板（双层），无焊连接，可拆卸带减震垫。经数控加工、剪裁、定位打孔、折弯焊接成型，酸洗磷化后喷涂环氧树脂粉末，高温烘烤固化。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1、标本在80×和200×学生显微镜下观察水绵营养时期的结构；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2、能看清丝状体内圆柱形的营养细胞，位于中央的胞核，呈星芒状的原生质、平立的细胞横壁，作螺旋盘绕的叶绿体呈带状，以及纵列于叶绿体上的蛋白核等；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3、应取材于营养时期的水绵材料，细胞不收缩，藻丝不严重堆集或缠绕（不影响观察）；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4、标本为铁苏木精与固绿双重染色，标本应清洁无污物，不混有其他藻类；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5、应符合JY67－82《生物玻片标本通用技术条件》的规定。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小永磁体、干簧管、74LS14、2.2kΩ电阻、蜂鸣器(YMD或HMB)</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规格：250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材质：高硼硅玻璃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用途：装填干燥剂（无水氯化钙、碱石灰、硅胶等），对气体进行干燥、除杂、净化；常用于化学实验气体制备、洗气、尾气处理装置。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1、产品放大约一千倍的细胞膜结构局部纵切模型。本产品应采用硬塑料或符合材料，不应采用软塑料。环保塑料制品；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2、产品应能适应气温-25℃和40℃的环境条件下运输和贮存；产品应能在距地面1m高处自由下落，不得破裂和变形。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2、规格：φ5mm～φ6mm；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3、理化性能：耐水等级：1级，耐碱等级：1级，耐酸等级：2级；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4、应力：在偏光仪中呈蓝色；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6、玻璃棒要圆、直径均匀、不能粗细不匀，无气泡、无节瘤、无结石。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2、外径：Φ5mm～Φ6mm；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3、理化性能：耐水等级：4级，耐碱等级：1～3级，耐酸等级：2～3级；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4、应力：紫红色或扩散状淡蓝；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5、色泽：无色透明，允许微带黄绿色；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6、玻管厚薄均匀，不能出现大小头。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万向吸风罩</w:t>
            </w:r>
            <w:r/>
          </w:p>
        </w:tc>
        <w:tc>
          <w:tcPr>
            <w:tcBorders>
              <w:top w:val="none" w:color="000000" w:sz="4" w:space="0"/>
              <w:left w:val="none" w:color="000000" w:sz="4" w:space="0"/>
              <w:bottom w:val="none" w:color="000000" w:sz="4" w:space="0"/>
              <w:right w:val="non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1、关节：高密度PP材质表面磨砂，优化了视觉美感和手握触感可360°旋转调节方向。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2、关节密封圈：不易老化之高密度橡胶。在关节之间随着旋钮压力加大而产生阻尼效果。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3、关节连接杆：304不锈钢双头锁杆。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4、关节盖：高密度PP材质表面磨砂。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5、关节松紧选钮：高密度PP材质，内置微形平面推力不锈钢轴承，与关节连接杆锁合。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6、拱形集气罩：直径≥260mm，高密度PC制成。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7、伸缩导管：4节直径≥63mm的专业抗氧化抗腐蚀的镁硅铝合金，表面做特氟龙表面处理，耐酸、耐碱、耐划痕。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8、扭簧：使用90度的≥4mm专用弹簧钢抗氧化处理，防止吸风罩整体滑下。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9、安装后可根据使用需要达到三维360度任意转停，集气罩吸气角度360度任意转停。整体美观大方，吻合高水准专业实验室。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833</w:t>
            </w:r>
            <w:r/>
          </w:p>
        </w:tc>
        <w:tc>
          <w:tcPr>
            <w:tcBorders>
              <w:top w:val="single" w:color="000000" w:sz="8" w:space="0"/>
              <w:left w:val="single" w:color="000000" w:sz="8" w:space="0"/>
              <w:bottom w:val="single" w:color="000000" w:sz="8" w:space="0"/>
              <w:right w:val="single" w:color="000000" w:sz="8"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磁性V型铁</w:t>
            </w:r>
            <w:r/>
          </w:p>
        </w:tc>
        <w:tc>
          <w:tcPr>
            <w:tcBorders>
              <w:top w:val="single" w:color="000000" w:sz="8" w:space="0"/>
              <w:left w:val="none" w:color="000000" w:sz="4" w:space="0"/>
              <w:bottom w:val="single" w:color="000000" w:sz="8" w:space="0"/>
              <w:right w:val="single" w:color="000000" w:sz="8"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适用于机床台面，铸铁台，划线台表面配套测量、60KG 磁力</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手持电动工具的保护装置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塑料制，最大可用工具直径22mm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标本展示橱窗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规格：尺寸长28.6m*高2.2m*深0.6m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整墙定制标本橱窗采用 “环保基材 + 超白玻璃 + led照明”的一体化工艺打造：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柜体以多层板为基层，表面经自动化汽车烤漆工艺处理，形成匀净洁白、耐磨损且抗黄变的高光饰面，长期使用仍能保持洁净光泽；展示面选用超白钢化玻璃 ，实现通透无界的视觉效果，同时钢化玻璃的高强度特性，保障标本展示安全；内部 边缘隐藏式 LED 线性灯带提供全域柔和漫射光，弱化阴影以完整呈现标本形态。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小号试管刷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1、产品由金属丝和绞合在其上的猪鬃毛制成，制成的试管刷要求不散、不脱毛；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2、整体应平整、美观，猪鬃毛长度均匀。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烧瓶刷</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1、供中学化学实验和小学教学实验用；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2、本品由猪鬃及铁丝两部分组成，猪鬃被铁丝牢牢的夹紧在上面。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钠的吸收光谱演示器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产品由钠管、钠管加热炉、防护散热罩、光源、立柱、底盘等组成。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小型阶梯夹组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夹持能力：最大夹持厚度 35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碳钢淬火；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不锈钢；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铝合金阳极氧化；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整理箱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矮型，储存及分发药品用，高度要适中。</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不小于180mm,采用3CR-13硬质钢材料制造,刃部硬度大于52HRC,采用胶质手柄,坚固耐磨，其他符合QB/T2208标准。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学生数码显微镜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1、光学部件：独立色差校正光学部件，光学放大倍数：40-1000X。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2、数码观察镜筒：30°倾斜，铰链三目观察头，带目镜锁紧机构，含标准C型接口。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3、双目部件左右两像面光谱色一致，明暗差≤1.1%，双目部件左右视场像面方位差≤15′；双目部件左右视场中心偏差：上下≤0.15㎜、左右外侧≤0、左右内侧≤0.12㎜。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4、目镜：大视野平场目镜WF10X/18mm，带指针；双目倾斜，可以360°旋转，当镜筒做360度旋转时，目镜焦平面上像中心的位移≤0.3mm。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5、物镜：消色差物镜4倍、10倍、40倍，100倍,40X，100X物镜采用弹簧镜头，各物镜齐焦；物镜清晰圆直径：4X物镜≥14.5㎜、10X物镜≥15㎜、40X物镜≥14.8㎜、100X物镜≥14.2㎜。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6、显微镜物镜放大率准确度不超过-0.5%， 显微镜目镜放大率准确度不超过1.08%。</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7、齐焦性：10→4倍≤±0.103㎜、10→40倍≤±0.035㎜、40→100倍≤±0.018mm；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8、转换器：内倾式四孔转换器；转换器稳定性≤0.010mm；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9、物镜变换后像面中心位移：不应该越出现场；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10、机架组：低手位粗微动同轴，微调精度 0.002mm，带松紧调节装置，机械式上限位机构；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11、照明：1 W LED 照明，亮度连续可调，含可充电电池，可在不接通电源线的情况下开机使用；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12、载物台：双层复合式机械移动平台，阿贝聚光镜，数值孔径N.A.=1.25；带可变光阑；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13、智能终端：≥10.5英寸平板，2GB+32GB，WIFI版，分辨率：1920X1200，≥800万像素，支持各种移动终端设备，支持Android、IOS、Windows兼容主流平板电脑配图像分析软件，包含图像采集功能；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14、数据接口：HDMI高清投屏/U盘/Bluetooth蓝牙传输/Wi-Fi无线/RJ45 LAN有线网络；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15、组网功能：显微镜采用WIFI无线网络组网模式和RJ45有线网卡双模式，可以通过无线投屏到笔记本电脑、一体机等智慧终端设备上显示图像，也可以通过RJ45有线网卡组网。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15、图像分析需具有以下主要功能: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15.1.软件可以根据用户需求可以对图像参数做相应设置：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15.1.1、自动曝光：提供手动设置和自动设置两种模式，默认自动模式。15.1.2、白平衡：提供自动和一键两种模式，默认自动模式。（一键模式是在标准色温下镜头对着标准灯光或是白纸后点一键按钮，相机将根据当前状态自动加载参数，达到白平衡准确的目的）15.1.3、曝光:根据需要调节相机的曝光时间 15.1.4、对比度：根据需要调节图像对比度 15.1.5、饱和度：根据需要调节图像饱和度15.1.6、亮度：根据需要调节图像亮度15.1.7、锐度：根据需要调节图像锐度15.1.8、色温：根据需要调节图像色温。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15.2.标定设置：提供标定模式，按线标定或圆标定两种标定模式可选，点线标定图标后，预览界面会直接显示线段，根据标定尺的位置和长度，鼠标将线段移至标定尺上方与相应刻度重合即可，设置名称、单位、精度、最后点保存图标即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15.3.测量模式：点坐标、直线、折线（鼠标右键结束）、画圆等操作、径画圆、三点画圆、同心圆、圆心距等操作等；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15.4.拍照、录像功能：内置一键拍照、一键开始录像功能。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1、产品由始祖鸟化石模型及复原模型组成，分别置于底座上，模型应采用硬塑料或复合材料制作；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2、始祖鸟化石模型，示头骨、脊柱、肋骨、附肢骨和羽毛印迹，各部形态正确清晰，并显示化石裂缝；</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3、骨化石与石块的颜色应有区别。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4、符合JY0313-1991《始祖鸟化石模型及复原模型》的有关规定。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金工工具箱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55件套，含26种必备常用工具，工具箱内定点定位，方便使用和管理。工具包括：钢丝钳，1把，7"，45#钢；尖嘴钳，1把，6"，45#钢；钢直尺，1把，300mm钢直尺；扁锉刀，1把，200mm尖头；半圆锉刀，1把，200mm半圆；三角锉，1把，200mm三角；圆锉刀，1把，200mm圆锉；划针，1把，200mm；划规，1把，150mm划规；样冲，1把，GP100C-2ΦD2mm，L100mm；什锦锉，6件/</w:t>
            </w:r>
            <w:r>
              <w:rPr>
                <w:rFonts w:hint="eastAsia" w:ascii="宋体" w:hAnsi="宋体" w:cs="宋体"/>
                <w:color w:val="000000"/>
                <w:sz w:val="20"/>
                <w:szCs w:val="20"/>
                <w:lang w:bidi="ar"/>
              </w:rPr>
              <w:t xml:space="preserve">套（轴承钢，半圆锉、三角锉、方锉、圆锉、尖头扁锉、齐头扁锉）；钳工锤，1把，300g木柄；圆头锤，1把，0.45kg木柄圆头；丝锤、扳牙扳手，12件/套；钢卷尺，1把，3m*12.5mmABS；两用扳手，4件/套；内六角扳手，9件/套，1.5-10mm；三叉扳手，1套；螺丝刀，2把，6*100mm+-PH2；螺丝刀，2把，5*75mm+-PH1；活动扳手，1把，8”；钢丝刷，1把，6排木柄；钢锯架，1把，铁皮活动钢锯架；铁皮剪，1把，8”美式铁皮剪；自行车钢丝扳手，1把；三角尺，1把，20*40mm不锈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寒暑表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1、由木质(或塑料)材料镶嵌玻璃棒芯组成；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2、面板标有：摄氏-30℃～50℃；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3、玻璃棒芯感温液，正面放大玻璃液读数；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4、温度准确度：±1℃（0℃～30℃）。</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1、产品的造型为密封的T型玻璃瓶；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2、玻璃瓶用95号玻璃制成。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3、玻璃瓶应光洁透明，无波纹和疵病，密封完好无裂缝、砂眼。</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1、离心轨道供中学物理演示物体在竖直的环形轨道上的运动；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2、离心轨道由两个球体（钢球和塑料球）和两根钢丝构成的环形轨道组成；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3、底座无裂缝，无明显翘曲，放置平稳。表面平整光洁，无脱漆漏漆现象；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4、轨道成形规则圆滑。焊接牢固。表面镀铬应光洁，无锈蚀。无松动现象；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5、当球体在轨道上运动时不得有阻滞、跳动或出轨；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6、球体应圆滑，表面光洁无麻点，钢球镀铬无锈蚀和剥落。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2、规格：250mL，单头；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化工生产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以《普通高中化学课程标准（</w:t>
            </w:r>
            <w:r>
              <w:rPr>
                <w:rStyle w:val="970"/>
                <w:lang w:bidi="ar"/>
              </w:rPr>
              <w:t xml:space="preserve">2017</w:t>
            </w:r>
            <w:r>
              <w:rPr>
                <w:rStyle w:val="968"/>
                <w:rFonts w:hint="default"/>
                <w:lang w:bidi="ar"/>
              </w:rPr>
              <w:t xml:space="preserve">年版</w:t>
            </w:r>
            <w:r>
              <w:rPr>
                <w:rStyle w:val="970"/>
                <w:lang w:bidi="ar"/>
              </w:rPr>
              <w:t xml:space="preserve">2020</w:t>
            </w:r>
            <w:r>
              <w:rPr>
                <w:rStyle w:val="968"/>
                <w:rFonts w:hint="default"/>
                <w:lang w:bidi="ar"/>
              </w:rPr>
              <w:t xml:space="preserve">年修订）》为依据，结合各大版本高中化学课程教材，满足高中化学课程的所有实验。此箱是专为教师及学生完成教材要求的实验而设计，采用高度集成的方法将能完成以化工生产为主题的创新实验所使用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绿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实验器材：试管（大）、短直角玻璃管、长直角玻璃管、酒精灯、广口瓶、玻璃导管、试管、硬质玻璃管、药匙、胶头滴管、</w:t>
            </w:r>
            <w:r>
              <w:rPr>
                <w:rStyle w:val="970"/>
                <w:lang w:bidi="ar"/>
              </w:rPr>
              <w:t xml:space="preserve">U</w:t>
            </w:r>
            <w:r>
              <w:rPr>
                <w:rStyle w:val="968"/>
                <w:rFonts w:hint="default"/>
                <w:lang w:bidi="ar"/>
              </w:rPr>
              <w:t xml:space="preserve">形管、</w:t>
            </w:r>
            <w:r>
              <w:rPr>
                <w:rStyle w:val="970"/>
                <w:lang w:bidi="ar"/>
              </w:rPr>
              <w:t xml:space="preserve">250mL</w:t>
            </w:r>
            <w:r>
              <w:rPr>
                <w:rStyle w:val="968"/>
                <w:rFonts w:hint="default"/>
                <w:lang w:bidi="ar"/>
              </w:rPr>
              <w:t xml:space="preserve">烧杯、玻璃棒、</w:t>
            </w:r>
            <w:r>
              <w:rPr>
                <w:rStyle w:val="970"/>
                <w:lang w:bidi="ar"/>
              </w:rPr>
              <w:t xml:space="preserve">250mL</w:t>
            </w:r>
            <w:r>
              <w:rPr>
                <w:rStyle w:val="968"/>
                <w:rFonts w:hint="default"/>
                <w:lang w:bidi="ar"/>
              </w:rPr>
              <w:t xml:space="preserve">锥形瓶、</w:t>
            </w:r>
            <w:r>
              <w:rPr>
                <w:rStyle w:val="970"/>
                <w:lang w:bidi="ar"/>
              </w:rPr>
              <w:t xml:space="preserve">100mL</w:t>
            </w:r>
            <w:r>
              <w:rPr>
                <w:rStyle w:val="968"/>
                <w:rFonts w:hint="default"/>
                <w:lang w:bidi="ar"/>
              </w:rPr>
              <w:t xml:space="preserve">锥形瓶、球型分液漏斗、</w:t>
            </w:r>
            <w:r>
              <w:rPr>
                <w:rStyle w:val="970"/>
                <w:lang w:bidi="ar"/>
              </w:rPr>
              <w:t xml:space="preserve">φ60mm</w:t>
            </w:r>
            <w:r>
              <w:rPr>
                <w:rStyle w:val="968"/>
                <w:rFonts w:hint="default"/>
                <w:lang w:bidi="ar"/>
              </w:rPr>
              <w:t xml:space="preserve">漏斗、表面皿等。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、实验</w:t>
            </w:r>
            <w:r>
              <w:rPr>
                <w:rStyle w:val="970"/>
                <w:lang w:bidi="ar"/>
              </w:rPr>
              <w:t xml:space="preserve"> </w:t>
            </w:r>
            <w:r>
              <w:rPr>
                <w:rStyle w:val="968"/>
                <w:rFonts w:hint="default"/>
                <w:lang w:bidi="ar"/>
              </w:rPr>
              <w:t xml:space="preserve">实验室模拟工业合成氨；</w:t>
            </w:r>
            <w:r>
              <w:rPr>
                <w:rStyle w:val="970"/>
                <w:lang w:bidi="ar"/>
              </w:rPr>
              <w:t xml:space="preserve">2</w:t>
            </w:r>
            <w:r>
              <w:rPr>
                <w:rStyle w:val="968"/>
                <w:rFonts w:hint="default"/>
                <w:lang w:bidi="ar"/>
              </w:rPr>
              <w:t xml:space="preserve">、实验</w:t>
            </w:r>
            <w:r>
              <w:rPr>
                <w:rStyle w:val="970"/>
                <w:lang w:bidi="ar"/>
              </w:rPr>
              <w:t xml:space="preserve"> </w:t>
            </w:r>
            <w:r>
              <w:rPr>
                <w:rStyle w:val="968"/>
                <w:rFonts w:hint="default"/>
                <w:lang w:bidi="ar"/>
              </w:rPr>
              <w:t xml:space="preserve">实验室模拟工业制硫酸（接触法）；</w:t>
            </w:r>
            <w:r>
              <w:rPr>
                <w:rStyle w:val="970"/>
                <w:lang w:bidi="ar"/>
              </w:rPr>
              <w:t xml:space="preserve">3</w:t>
            </w:r>
            <w:r>
              <w:rPr>
                <w:rStyle w:val="968"/>
                <w:rFonts w:hint="default"/>
                <w:lang w:bidi="ar"/>
              </w:rPr>
              <w:t xml:space="preserve">、实验</w:t>
            </w:r>
            <w:r>
              <w:rPr>
                <w:rStyle w:val="970"/>
                <w:lang w:bidi="ar"/>
              </w:rPr>
              <w:t xml:space="preserve"> </w:t>
            </w:r>
            <w:r>
              <w:rPr>
                <w:rStyle w:val="968"/>
                <w:rFonts w:hint="default"/>
                <w:lang w:bidi="ar"/>
              </w:rPr>
              <w:t xml:space="preserve">实验室模拟工业制硝酸（氨氧化法）等。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传递窗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外600mm，304嵌入式中空玻璃传递窗（微电脑互锁）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下口瓶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瓶体：主流为高硼硅 3.3 玻璃（透明 / 棕色避光款），耐温、耐酸碱腐蚀（氢氟酸除外）；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上口：磨砂口配玻璃塞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下口与龙头：瓶身近底处设侧口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容量：标准 5000ml，带刻度便于观察余量。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烙铁架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铸铁座子。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台式厚度刨机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1.电压:220-240V~50/60Hz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2.空载转速:10000R/min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3.刨削宽度:330mm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4.单次刨厚:0-3mm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5.单次刨高:10-160mm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6.包装尺寸:575X390X470mm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高硼硅玻璃，1mL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1、聚碳酸脂注塑成型；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2、凝胶托盘带有荧光标尺；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3、具有开盖断电功能，100V。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钳工工作台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1、桌面板采用防火板，加防静电皮，易于清洁，具有阻燃、耐磨等特点，黑色皮条封边，质感好耐磨性好，耐磨耐烫不变形，主架采用无缝优质方管；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2、支架采用优质无缝优制钢管，表面经过除锈、磷化、静电喷塑、高温固化等工序；具有防水、耐磨、耐高温功能；桌脚配有防护套，防止噪音和地板刮伤；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3、产品具有耐冲击、抗老化、抗氧化等特点，方便清洁、色调鲜明，符合国际环保要求。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平抛、斜抛、验证向心力、单摆运动图像。高压脉冲频率：20Hz、50Hz、100Hz。</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铝合金箱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由铝合金主架、铝塑板面构成，内设隔断海棉内衬，用于收纳传感器和小的实验配件。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可开启实验室所有瓶塞瓶盖。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1、感温物质：红液；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2、全长：290mm；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3、测量范围：0－100℃；最小分度值：1℃；允许误差±1℃；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4、玻管要直，不得弯曲，不得崩损缺口，红液不得断线。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增加调压变压器功能，供中学物理演示实验中作变压器原理的定量演示用。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纤维素分解菌培养及鉴别培养基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用途：用于土壤等样品中纤维素分解菌的富集、分离与鉴别，依据刚果红染色法筛选产纤维素酶菌株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核心成分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纤维素粉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无机盐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琼脂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刚果红指示剂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磁悬浮灯泡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部件：有机玻璃、灯泡、6V低压安全防水按钮等。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为什么灯泡可以悬浮在空中，并隔空点亮？本展品主要向观众展示磁悬浮及无线输电技术。通过新奇、直观的展示效果，使观众在操作、观察中产生兴趣、提出问题、引发思考。展项由环形支架和磁悬浮灯泡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观众按下启动按钮，手动悬浮灯泡，观看演示效果。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通风控制辅材及安装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1、三相电缆、含线路管道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1、开关的最高工作电压36V，额定工作电流6A；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2、开关闸刀与接线柱及垫片均为铁件镀铬；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3、开关通额定电流，导电部分允许温升不大于35℃，操作手柄允许温升不大于25℃。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望远镜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1、双筒，规格：7×35，可调焦；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2、倍率：7倍（真实倍率），视角：8度，物镜：35mm，视野范围：1000米处为167米；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3、材质：望远镜专用工程材料，手感细腻、舒适，外观典雅，做工精细；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4、镜片镀膜：完全镀膜；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5、望远镜配有背带和皮夹包，配有说明书。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物理十大经典实验挂图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规格：1*0.55m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部件：实物模型/样品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材质：采用环保性好、易加工、耐腐蚀、防火性能好的雪弗板、亚克力等材料，以及PVCUV侧面烤漆，色彩均衡现象，展示效果好。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十大经典物理实验：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（1）埃拉托色尼实验：测量了地球圆周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（2）伽利略的自由落体实验：证明了在同一地点，一切自由下落运动的快慢相同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（3）伽利略的加速度实验：证明了存在重力加速度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（4）牛顿的棱镜分解太阳光实验：证明了光谱的存在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（5）托马斯·杨的光干涉实验：证明了光具有波动性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（6）让·傅科钟摆实验：证明了地球围绕地轴旋转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（7）罗伯特·密立根油滴实验：证明了最小电荷值就是单个电子的带电量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（8）α粒子散射实验：证明原子的正电荷和质量联系在一起均匀连续分布于原子范围，电子镶嵌在其中，可以在其平衡位置作微小振动，为建立现代原子核理论打下了基础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（9）托马斯·杨的双缝演示实验：证明了微粒也有波的效应</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（10）卡文迪许扭秤实验：测出了万有引力恒量</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1、观察头：铰链式双目观察筒，瞳距调节范围50-75mm。零视度时，左右的目镜端面位置差≤0.08mm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2、目镜：带视度补偿，大视场高眼点目镜PL10X，视场18mm。目镜放大率准确度≤±0.43%，左右视场中心偏差：上下≤0.03mm，左右内侧≤0.02mm，双目左右光轴平行度：水平发散≤8，垂直交叉≤6。</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3、消色差物镜：4倍，成像清晰圆直径≥18.5mm,；10倍，成像清晰圆直径≥18.4mm，10倍物镜景深范围内像面的偏摆≤0.01mm ；40倍（弹簧） 成像清晰圆直径≥18.5mm。100倍（弹簧、油）成像清晰圆直径≥18.3mm，物镜放大率准确度≤±0.5%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4、转换器：四孔物镜转换器，转换器稳定性≤0.002mm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6、聚光镜：阿贝式聚光镜N.A1.25（带光栏），粗微调同轴调节，粗调行程≥25mm微调最小读数值0.002mm，微调空回≤0.003mm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7、电源：宽电压超高亮度3WLED光源，寿命长、功耗小、热量低、亮度强、色温高、操作安全；照明与观察光轴应一致，照明均匀，无一边亮一边暗现象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1、标准温度20℃，温度范围10～70℃；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2、密度范围：0.700～1.000g/cm³；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3、在液体中倾斜度不大于0.2分度值；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4、密度计各部位无严重内应力集中现象，无影响强度及密度测量的玻璃缺陷。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1、≥110W 轴流风机。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1、256HZ,产品由音叉、共鸣箱、音叉槌组成；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音叉用钢或合金铝加工制造，发音部分呈“U”形，“U”形下方的叉柄能插入并紧固在共鸣箱上。当敲击音叉时，音叉不能松动。音叉表面平整光滑，叉股内侧平面与底部圆弧光滑相切。每支音叉配共鸣箱一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移动距离不小于1.5m，超重、失重加速度可调，灵敏测力计示数可见。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2、规格：锥(梨)形，100mL；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可燃液体防火安全柜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1、尺寸：≥1650mm*1090mm*460mm；门类型：双开门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2、防火安全柜外壳体全部采用≥1.2mm的冷轧钢板，柜体底座采用≥2.0mm的冷轧钢板,内外表面经酸洗磷化环氧树脂粉末喷涂，烘热固化处理。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3、防火安全柜整体为双层防火钢板构造，两层钢板之间间隔≥40mm空气绝缘层，防火性能优越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4、柜中部配有≥2块独有的镀锌层板，防腐蚀，防液漏，最大可承托400lbs的钢制安全罐。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6、三点联动式门锁，轻松自如启闭≥180度的柜门配有双钥匙。标有三种语言的高可见度标签，耐腐蚀。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8、两个可带有防火装置的通风口，分别位于柜身的两侧。可调节垫片若干，确保柜体稳固。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9、配备接地装置实现完全接地。</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化学科学家资料查询装置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融合了包括国务院、生态环境部、公安部、应急管理部、教育部等相关方有关实验室安全、合规、健康在内的法律法规及标准规范。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（1）语音智能问答，危险化学品危害查询、防护、存储，应急处理等，实验项目查询，危险性查询；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（2）实验室安全警示教育资源在线播放；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（3）防护装备穿戴引导、监督；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（4）固废物处置引导、监督；</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1、本品为整流系，轴尖轴承支承式、指针式电表；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2、准确度等级：直流电流、电压、电阻测量档均为2.5级；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3、电压灵敏度：直流为20kΩ/V，交流为9kΩ/V；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4、阻尼时间：不超过4s；绝缘电阻不小于20MΩ；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5、转换开关各档位定位正确，无错位，转动时手感好；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7、电表指针挺直，机械调零时可在零刻度左右移动；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8、产品所附测量表笔及电池应完好有效。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备用刨刀片 2片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长度：82mm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化学分子展示模块</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规格：3m*1.5m（定制）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部件：球棍模型、亚克力材料等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标准化球棍模型体系，将抽象的分子结构转化为直观的三维实体，实现化学微观世界的“可视化”教学。采用模块化钣金橱窗设计，集中呈现从基础到前沿的分子结构图谱。系统排列经典有机分子（烷烃/烯烃/醇/羧酸/胺类等），构建结构化知识网络。“让键角诉说反应机理，用空间解码化学语言——从碳原子到生命密码的立体之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进入体验区，根据指示牌操作，进行科普互动学习。</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砂光片 </w:t>
            </w:r>
            <w:r/>
          </w:p>
        </w:tc>
        <w:tc>
          <w:tcPr>
            <w:tcBorders>
              <w:top w:val="non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智能灯光照明装置</w:t>
            </w:r>
            <w:r/>
          </w:p>
        </w:tc>
        <w:tc>
          <w:tcPr>
            <w:tcBorders>
              <w:top w:val="single" w:color="000000" w:sz="4" w:space="0"/>
              <w:left w:val="non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1、智能照明灯光模块；规格：≥1200*72mm，每组内置2条LED灯带，外罩由铝合金挤压型材，表面经环氧树脂粉末喷涂高温固化处理。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灯板采用PC光扩散板，扩大了发光面，使光线变的柔和，达到匀光而又透光，同时满足各种雾度值和透光率的需求。及在保证高透光率，降低光衰的情况下，有着良好的光源遮蔽性效果，符合视觉工效学原则及室内工作场所照明。模块化安装，维修便捷。所有灯光模组由独立控制软件控制，可以根据实际照明需求进行2个模组单个关闭及开启功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表面皿</w:t>
            </w:r>
            <w:r/>
          </w:p>
        </w:tc>
        <w:tc>
          <w:tcPr>
            <w:tcBorders>
              <w:top w:val="single" w:color="000000" w:sz="4" w:space="0"/>
              <w:left w:val="none" w:color="000000" w:sz="4" w:space="0"/>
              <w:bottom w:val="non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1、LCD液晶显示,交直流两用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2、全量程去皮、计数、单位转换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3、最小起称量可调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4、过载报警、故障报警、水平指示器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5、最大称重：3100g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6、精度：0.01g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7、稳定时间≤2s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8、秤盘尺寸130mm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9、重复性：±0.02g，线性±0.03g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10、外形尺寸：270x195x85mm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11、重量：3kg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平滑肌分离装片</w:t>
            </w:r>
            <w:r/>
          </w:p>
        </w:tc>
        <w:tc>
          <w:tcPr>
            <w:tcBorders>
              <w:top w:val="none" w:color="000000" w:sz="4" w:space="0"/>
              <w:left w:val="none" w:color="000000" w:sz="4" w:space="0"/>
              <w:bottom w:val="non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1、标本在80×和200×学生显微镜下观察平滑肌细胞的形态；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2、能看清大部分被分离成单个的长棱形平滑肌细胞，在细胞中部有被染成深色杆状或椭圆状的细胞核；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3、标本取材于两栖动物或哺乳动物消化道的肌层，去掉粘膜及粘膜下层后作分离处理；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4、细胞应分离适中、形态正常；材料内不得有污物。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翻转环实验器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1、由底座、支架、金属环、塑料球等组成；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2、材质；不锈钢材质。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3、通过转动金属环科观察统一高度的钢球到达金属环质点的时间，以及金属环上下不同高度上的钢球到达底部时间的现象。证明能的守恒和转化、动能和势能的转化。</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塑料制品5孔。</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2、规格：直径Φ7－8mm；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3、灯工焊接牢固，口部平整熔光处理；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无线数显温度传感器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显示/无线/存储模块：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8.支持Android、iOS 、Windows、鸿蒙操作；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1.用于测量待测物体或溶液的温度；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2.性能：测量范围：-50℃~+200℃；分度：0.1℃；准确度：0.5℃；最大采样率：5KHz；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结构：由传感器数据处理电路和不锈钢探针构成，通过3.5mm同轴音频插头连接，不锈钢部分：长度为10.5厘米，直径为3.0毫米；探头把手：长度为9.5厘米，直径为1.23厘米。与传感器连接部分采用黑色两芯线，线长75厘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4.传感器由高强度塑料外壳封装，采用注塑工艺，材质为蓝色透明PC。外壳设计M5螺丝孔位，可将传感器固定在多种操作和装置上；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8.可应用于Windows、Android、iOS、麒麟、统信、鸿蒙操作；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全室排水管路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1、技术要求：具有防酸、防碱、耐腐蚀功能，全室给水全部模块化设计，每组模块间采用活接式连接，方便安装、检修。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2、排水管：UPVC材质排水管为≥Ф50mm，排水管接头要求螺纹口、PVC胶水等，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可放置5支移液器。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微型木工车床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1、采用定制超静音高速内置风扇电机；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2、机床主要部件采用电镀工艺或喷墨阳极氧化双工序处理；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3、采用欧标铝材T型内槽；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4、马达转速：12000转/分钟；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5、输入电压/电流/功率：≥12V/5A/60W，开关电源的转入电压为110V - 240V；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6、变压器具有过电流，过压，过热保护；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7、车床加工材料最大直径：50mm；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8、车床加工材料长度：150mm；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9、X轴滑块行程：150mm；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10、夹头：1-6mm；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11、尾座手轮采用3/4半圆结构，具有0.02mm精度的刻度线（刻度线为模具一次成型，非粘贴），增加机床加工工件的精确度；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12、中心高25mm，中心距150mm；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13、机床尺寸：310mm*100mm*150mm，底板尺寸：315mm*200mm*17mm。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14、用锣刀进行车削加工，加工范围：木料、软金属（铜、铝等）、有机玻璃、塑胶等；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15、机床的夹头采用六角螺母固定设计，增加夹紧刀具（比如钻头、铣刀、木车床驱动器）的紧固度；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16、防止孔内螺丝滑动，连接块使用四方螺母，提高连接块的稳定性和使用寿命；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17、连接块采用燕尾型结构，与机床零件的每个槽位相匹配，提高机床的稳定性和加工精度；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18、主轴箱（主轴箱后面有协助紧固孔）及马达箱为金属结构、手轮、齿轮、小滑块、刀架、连接块、皮带保护盖、尾架等都采用全金属结构、机身无塑料件；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19、机床采用安全圆角处理技术，预防金属件划伤皮肤。</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1、材料：优质钢，铁皮剪刀——规格为10寸（250mm长）；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2、手柄为沾塑手柄，防滑性好。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2、规格：茶色，60mL；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1、标本在50×和100×生物显微镜下，观察草履虫分裂时的形态；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2、能分别认出：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a、未分裂草履虫的形态；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b、大核变长，小核分裂为二；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c、虫体中部出现缢痕，大核中间变细或断开，小核远离；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d、虫体沿中部横裂变细，尚未断开，大核缩短；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3、标本取材为人工培养的处于分裂时期的大草履虫（ParameciumCauda-tum）；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4、标本为整体装片，每张玻片上应按1.2条的要求，依次排列成一行，并在50×镜下的同一视野内观察到各期的形态；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5、标本用洋红或苏木精染色，分色适当；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6、虫体形态正常，无收缩，膨胀、压碎、断裂等现象；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7、应符合JY67－82《生物玻片标本通用技术条件》的规定；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8、产品应符合JY255－87《草履虫分裂生殖装片》的要求。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滚动的方轮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本仪器有金属喷塑制成，内有弧形轨道，方轮支架组成。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燃烧匙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1、产品由半圆面和金属丝结合制成；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2、半圆面为铜材制造，直径Φ为20mm左右。要求光滑无毛剌、圆润；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3、金属丝用Φ2㎜的钢丝制造，长度为200mm左右；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4、半圆面与金属丝结合应牢固可靠，耐高温。</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2、规格：棕色，250mL；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传感器器材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各种温度传感器(双金属片、热电偶、铂电阻、铜电阻、热敏电阻、半导体、感温铁氧体)、光敏电阻、硅光电池、光电二极管、湿敏电阻、干簧管、霍尔元件、气体压强传感器、酒精气体传感器等。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电解电容器、云母电容器、陶瓷电容器、薄膜电容器、贴片电容器、微调电容器、可变电容器等。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防腐耐酸碱通风设备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1、材料：PP板材料。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2、电机功率：三相≥5.5KW。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3、技术要求：风量:≥12700m³/h；全压:≥800Pa；功率：≥5.5kW；转速：≥1440r/min，噪声符合国家标准。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铁的吸氧腐蚀实验器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平口圆底试管 、橡胶塞、宝塔头、硅胶堵头*2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1.用于铁的吸氧腐蚀实验的探究，通过测量反应过程中温度、压强、氧气含量的变化，探究铁的吸氧腐蚀现象。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2.实验器具有匹配不同传感器探头的孔径，密封性良好，配合温度传感器、 绝对压强传感器测量铁在吸氧腐蚀过程中温度、氧气含量、压强的变化，并在Windows、安卓、iOS终端上实时呈现数据。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3.试管体积足够大，增加反应物的接触面积，能使反应物在试管内部充分反应，实验效果明显。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4.透明瓶体设计，便于观察实验现象，可从多维度了解实验。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5.与传感器适配性好，轻松搭建密封的实验环境，可拓展完成多种化学实验。减轻准备器材的负担，轻松满足演示及分组实验，让课堂教学更高效。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探究铁的吸氧腐蚀现象等实验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1、平面锉刀，规格为150mm长，单支装，沾塑手柄；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2、其他符合GB/T13321-1991检验标准。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赫兹实验演示器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符合教学实验要求，由感应圈立杆、带电球、发射天线杆、感应圈（自备）、接收支杆、氖泡、接收天线杆、底座等组成。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两用气筒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两用气筒（手持式）、管用工程塑料材质制成，直径28mm,长335mm。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科学巨匠挂图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规格：1*0.55m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材质：采用环保性好、易加工、耐腐蚀、防火性能好的雪弗板、亚克力等材料，以及PVCUV侧面烤漆，色彩均衡现象，展示效果好。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世界十大最著名的物理学家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（1）伽利略·伽利雷，1564年～1642年，意大利天文学家、物理学家和工程师、欧洲近代自然科学的创始人。伽利略被称为“观测天文学之父”、“现代物理学之父”、“科学方法之父”、“现代科学之父”。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（2）艾萨克·牛顿，1643年—1727年，英国皇家学会会长、英国著名的物理学家，被誉为“物理学之父”。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（3）阿尔伯特·爱因斯坦，1879年—1955年，现代最著名的物理学家，开创了现代科学技术新纪元，被公认为是继伽利略、牛顿之后最伟大的物理学家。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（4）詹姆斯·克拉克·麦克斯韦，18311879，英国物理学家、数学家。经典电动力学的创始人，被普遍认为是对物理学最有影响力的物理学家之一，统计物理学的奠基人之一。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（5）马克斯·卡尔·恩斯特·路德维希·普朗克1858年—1947年，德国著名物理学家、量子力学的重要创始人之一。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（6）理查德·菲利普斯·费曼，1918年—1988年，美籍犹太裔物理学家，1965年诺贝尔物理奖得主，被认为是爱因斯坦之后最睿智的理论物理学家，也是第一位提出纳米概念的人。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（7）尼尔斯·亨利克·戴维·玻尔，1885年—1962年，丹麦物理学家，丹麦皇家科学院院士，1922年获得诺贝尔物理学奖。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迈克尔·法拉第，1791年～1867年，英国物理学家、化学家，也是著名的自学成才的科学家。他作出了关于电力场的关键性突破，永远改变了人类文明。由于他在电磁学方面做出了伟大贡献，被称为“电学之父”和“交流电之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杨振宁，1922年生于安徽合肥，世界上著名物的理学家，中国科学院院士、美国国家科学院外籍院士、英国皇家学会外籍院士、台湾“中央研究院”院士、香港科学院荣誉院士、俄罗斯科学院院士，1957年获诺贝尔物理学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（10）保罗·狄拉克，1902年－1984年，英国理论物理学家，量子力学的奠基者之一，并对量子电动力学早期的发展作出重要贡献。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智能机械能</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底座总成（含底座、回收装置及3只M5×12mm塑帽螺栓）、智能刻度板（含释放与收纳装置、控制电路）、智能挡光片（含触摸键及指示灯电路）、立柱、光电门传感器、摆锤、摆杆、固定螺栓构成；分度：2μs；精度：±20us；采样率不低于：20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2.记录摆锤从高处落下过程中不同位置的动能、重力势能数据；从最高点到最低点最少有15个智能挡光片（含触摸键及指示灯电路）及位置；软件对动能、势能、机械能进行展示、分析，以验证机械能守恒定律。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3.能够自动识别挡光片的安装位置并记入软件，不需要手动输入或人工选择挡光片竖直高度位置；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4.智能挡光片上的感应装置可与软件交互联动，通过触摸挡光片即可关联对应数据，直观观察机械能转化过程，实现数据实时分析与动态演示；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5.摆锤内置光电门传感器，固定装置内置数据采集电路，可通过USB数据线直接接入计算机进行通讯，支持蓝牙无线数据传输；至少支持Windows、Android、iOS、麒麟、统信、鸿蒙操作；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坩埚</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规格：30 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常见材质：瓷质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玻意耳定律演示器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有带刻度气室，压力表，放气阀，底座组成，符合教学实验要求。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1、512Hz,产品由音叉、共鸣箱、音叉槌组成；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音叉用钢或合金铝加工制造，发音部分呈“U”形，“U”形下方的叉柄能插入并紧固在共鸣箱上。当敲击音叉时，音叉不能松动。音叉表面平整光滑，叉股内侧平面与底部圆弧光滑相切。每支音叉配共鸣箱一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1、产品为炼铁高炉缩小模型，装置于底座上，模型高度的最小尺寸：620mm；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2、模型应能正确显示高炉“腰粗、喉细”的整体特征，并应显示炉喉、炉身、炉腰、炉腹、炉缸等各部分结构；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4、产品的主要结构应用标签注明，标注应准确、清晰、牢固；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5、各部件应比例适当，位置正确，连接牢固，不得因正常震动、碰触而开裂、松脱。</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元素周期表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1、全开，布制，带轴；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5、适用于《全日制义务教育化学课程标准》。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密立根油滴仪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平均相对误差：≤3%；板极电压：0~900VDC；电子分划板刻度：油滴下落距离2mm。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纵横波演示器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满足教学实验用，既可以演示横波的形成和传播，又可以演示纵波的形成和传播，演示仪采用金属支杆悬挂弹簧形式。由机架、连接杆、吊弹簧、小铁圈、反光白布、固定橡筋、乒乓球。</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1、基本要求25Hz，50Hz，100Hz，精度（+/-）2%；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2、建议配备新型数码连续可调0～9999Hz，LED光源；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3、连续工作时间：25Hz、50Hz小于1秒，其他允许大于2秒；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4、同步开关输入本机提供二个（并联）常开触点输入（触点闭合时间即为闪光时间）。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1、透明盛液筒体用聚苯乙烯压制而成，透明度良好、不易损坏；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2、筒的外经Φ≥100mm，高度≥300mm；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3、筒体表面用丝网漏印法印制表示深度的标尺和刻度标志，呈红色或蓝色；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4、筒体底部安放平稳、牢固，造型美观；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5、产品口部圆正，底部平整，表面无凹凸不平现象，无擦伤、划痕、裂缝等缺陷。</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手电钻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1、此产品输入功率不小于:320W；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2、具有调速正反转功能，可装卸螺丝螺母，适用于线路板、金属和木材等钻孔作业，其他符合GB/T5580-1999《电钻》标准。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PP药品柜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1、规格：≥1000mm*500mm*2050mm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2、材质：PP材质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3、柜体：侧板，顶板及底板采用增强型PP材质，一次注塑成型。表面做磨砂处理，结构紧密，耐腐蚀性强。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4、上柜门：采用增强型PP材质一次注塑成型，外嵌≥4mm厚钢化烤漆玻璃，中间烤漆镂空制作透明可视。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5、下柜门：采用增强型PP材质一次注塑成型，外嵌≥4mm钢化烤漆玻璃。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6、层板：配三块活动层板（上柜二块，下柜一块），每块层板尺寸为增强型PP材质一次注塑成型，承重不低于20公斤。层板可以抽取，自由组合各层空间。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7、门铰链：用增强型PP材质一次注塑成型，内嵌隐藏安装方便，耐腐蚀。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8、柜体预留通风孔，可以与通风管路连接。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多普勒效应及声速综合演示仪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知识点：声波的多普勒效应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1.台式；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2.导轨材质：铸铝；长度 ：100cm；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3.专用信号源；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4.频率计；测频范围：100～6000 Hz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5.步进电机驱动；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6.定量数显；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7.配双通道数字示波器模拟带宽：50Msa/s，单次采样率 500MSa/s；7英寸显示终端、分辨率800×480p、1600万色；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8.可观察多普勒效应、可显示声速</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木工锯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材质：锰钢，长度不小于500mm，锯路宽4mm。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钨钢齿圆锯片 80mm 36齿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210MM*30*2.6，锯片齿数:36齿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安培力实验器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由底座，力传感器固定架，矩形线圈 连接固定杆组成,连接力传感器使用，也可接入电流传感器。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吹动式，有机玻璃制作。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投影式，由主机箱电源变压器屏幕折射镜有机玻璃制做。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1、9孔，0.7mL×9，井穴的孔穴容积为0.7mL；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2、采用能耐酸、碱、盐的塑料制成。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法拉第电笼</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需求：导体壳带电时的电荷分布、静电屏蔽及其原理、特斯拉线圈演示高压放电、模拟雷电。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1.落地式；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2.硬件配置：由特斯拉线圈、控制台、屏蔽笼三部分组成。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3.屏蔽笼为半圆柱型全封闭金属笼，高度不低于260cm，直径不小于160cm，进深不小于80cm， 笼体骨架壁厚不小于1.6mm，笼网壁丝径不小于0.6mm；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4.特斯拉线圈外观尺寸不小于80×80×176cm；；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5.控制台外观尺寸不小于40×50×120cm，材质： 镀锌钢板 标准板≥1.2mm；工艺：恒温280℃喷塑、粉末（防潮、盐雾试验）、等待30分钟凝固而成；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6.最大电压约150KV AC，电弧长度不小于50cm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7.环境要求：实验室高度不低于 2.9 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8.配备安全围栏，高度约1 米，栏杆座间用可伸缩尼龙带连接，尼龙带总长度不小于 5 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9.仪器外侧注有高压危险标识。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生物实验装置背景板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1.75型轻钢龙骨、3*3*2.5mm方管加固，双侧15mm阻燃版+9.5mm石膏,2道腻子+基膜，5CM高铝合金踢脚线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2.16m2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1、标本在200X和400X生物显微镜下，观察46条人染色体;每组两片，男性、女性各1片；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2、应能认出每条染色体含有两条染色单体，借着一个着丝粒彼此连接；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3、能认出着丝粒向两端伸展的染色体臂以及区别长臂与短臂，并在此基础上认出中央着丝粒、亚中着丝粒、近端着丝粒染色体；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4、标本取材于人工培养的正常淋巴；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5、吉姆萨（Giemsa）染液或醋酸洋红染色。</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高中物理系列1选修模块教学挂图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1、6幅；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微型热风枪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1、规格;700w,30-400℃无极调温，气流量50-300L/min，含20根pp焊条；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2、材质：镍铬丝发热芯，加厚防烫把手。</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1、产品为手持式打孔器，要求用优质钢材制造，刀刃硬度不低于HRC55；四件套；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2、空心结构，一端带柄，一端有刃，刃口平整、锋利；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3、空管与手柄焊接牢固，使用中不得脱柄。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玻璃砖</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1、玻璃砖为非等腰梯形，两底角分别为60°和45°；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2、玻璃砖用光学玻璃或普通玻璃磨制，其折射率应在1.0～1.55范围内；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3、可以用脱脂棉、纱布清洁。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1、模型由黑色塑料球60个和管状塑料单键和管状塑料Φ5双键（绿色）组成，演示用；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2、球与键的表面应光滑无划痕；键与球的结合应松紧恰当。</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演示用，由14个Φ29mm绿色塑料球与15个Φ20mm灰色塑料球组成。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1、演示原副线圈由原线圈、副线圈、软铁芯三部分组成。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2、演示原副线圈骨架用黑色塑料制成，表面光洁，演示副线因底座平整，直立于平面时不应晃动。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9件套金工套装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1.2000-1005 数显卡尺 0-150mm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2.4111-8105 千分尺 0-25mm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3.9111-1115 90°角尺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4.1012-1005 工业分角器 80*120mm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5.1501-1024 24片 螺纹规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6.1351-0005 R规 17 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7.1820-0100 20片 塞尺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8.2875-4005 划线尺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9.9000-3100 钢直尺 150mm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高中物理系列2选修模块教学挂图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给排水耗材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给水主管采用≥φ20mm热熔PPR管,给水支、立管管采用≥φ20mm热熔PPR管每个出水口配有≥φ15mm铜质阀门1个并配有≥φ15mm外丝接头，排水管采用直径≥50mmU-PVC排水专用管,给排水管需预留长度高出地面≥300mm，安装完后需高出地面≥300mm，配合弯头、直接、三通、外丝管套、生料带、PVC管胶水等完成布线。</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1、规格：650mm*400mm*900mm±10mm。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2、仪器车应分为2层，层间距不小于300mm。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3、车架用直径不小于20*20mm方管制成、壁厚不小于0.5mm的不锈钢管制成，架高不低于800mm。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4、车架脚安装有不小于φ50mm、厚≥15mm转动灵活的万向轮。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5、车隔板为不薄于0.5mm的不锈钢制成。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6、整车安装好后应载重≥50Kg，应运行平稳，不得变形、摇晃、松动。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辆</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电极材料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石墨、铜、锌、镁、铁、锡等电极。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鱼洗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规格:中号盆外直径≥26cm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双缝干涉实验仪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1、主要部件有遮光管、照明、双缝、观察筒及测量头。照明包括光源灯泡、透镜、遮光板、光源单缝及滤色片；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2、双缝有两块，观察筒由筒体、毛玻璃屏及目镜组成。测量头上有游标尺、分划板、滑座、滑块、目镜、手轮等；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3、光源的供电电压12伏，功率为15～24瓦。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模拟环形回旋加速器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实验目的：模拟环形回旋加速。</w:t>
            </w:r>
            <w:r>
              <w:rPr>
                <w:rStyle w:val="968"/>
                <w:rFonts w:hint="default"/>
                <w:lang w:bidi="ar"/>
              </w:rPr>
              <w:br/>
            </w:r>
            <w:r>
              <w:rPr>
                <w:rStyle w:val="968"/>
                <w:rFonts w:hint="default"/>
                <w:lang w:bidi="ar"/>
              </w:rPr>
              <w:t xml:space="preserve">实验器材：环形回旋加速器(由底座、线圈、铁球、钢球轨道等组成)、 教学电源、导线。</w:t>
            </w:r>
            <w:r>
              <w:rPr>
                <w:rStyle w:val="968"/>
                <w:rFonts w:hint="default"/>
                <w:lang w:bidi="ar"/>
              </w:rPr>
              <w:br/>
            </w:r>
            <w:r>
              <w:rPr>
                <w:rStyle w:val="968"/>
                <w:rFonts w:hint="default"/>
                <w:lang w:bidi="ar"/>
              </w:rPr>
              <w:t xml:space="preserve">实验原理：在线圈的一端有红外感应器，当感应器感应到小球按近 线圈时，线圈立刻通电，通电线圈具有磁场，对钢球具有吸引力。被 吸引的钢球穿过线圈，当穿过线圈后立刻断电，铁球因为惯性滚向 下一个线圈。这样周而复始循环加速，速度会越来越快，线圈越多就 会加速越快，直到一个饱和速度。</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1.将仪器水平放置，并接上12V的电源，打开仪器开关。 2.将钢球置于轨道上，使钢球滚动起来。</w:t>
            </w:r>
            <w:r>
              <w:rPr>
                <w:rStyle w:val="968"/>
                <w:rFonts w:hint="default"/>
                <w:lang w:bidi="ar"/>
              </w:rPr>
              <w:br/>
            </w:r>
            <w:r>
              <w:rPr>
                <w:rStyle w:val="968"/>
                <w:rFonts w:hint="default"/>
                <w:lang w:bidi="ar"/>
              </w:rPr>
              <w:t xml:space="preserve">3.钢球在磁力的吸引下做加速运动，直到达到饱和速度。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自粘式三角砂光纸  25片装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液压机模型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1、由大缸体、小缸体、角式截止阀、底座和压力弹簧构成。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2、产品应符合JY43-79《液压机模型》的要求.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高中物理系列3选修多媒体互动教学配套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实验和相应教材配套，覆盖高中物理系列3选修模块内容，DVD光盘;1碟装。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偏心夹紧装置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偏心行程 1.5 mm。钳口宽 70 毫米。钳口高度 15 毫米。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1、高硼硅玻璃材质，硬质；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2、规格：外径Φ15mm，长150mm；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2、旋杆材料采用45#钢，工作部长度内硬度HRC48～54；手柄采用绝缘材质，外形根据人体工程学设计，手感舒适；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3、旋杆应经镀铬防锈处理；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4、旋柄为硬质塑料制成，表面光洁无毛刺，无缩迹，与旋杆接合牢固；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5、其它技术要求按GB10635的规定执行。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接种器具灭菌器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1.本产品适用组培、微生物实验中镊子、剪刀、涂布棒灭菌消毒,清洁卫生，安全、方便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2.工作时不消耗氧，可以用于厌氧室中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3.灭菌彻底，膛内温度可达到近200℃；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4.仪器主体全部采用不锈钢，美观、易清洁, 体积小，重量轻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5.先进的智能化控温技术，控温精度高，避免加热元件满负荷工作，使用寿命长，节能安全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1、铸铝内胆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2、自动恒温，带开关及指示灯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3、消毒腔体:≥φ45mm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5、外型尺寸：约160mm*160mm*130mm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6、加热温度：0-200°C</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 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8、额定功率:100W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9、重量：600g</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电磁感应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电源：无需用电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部件：线圈、磁铁等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电磁感应现象是指放在变化磁通量中的导体，会产生电动势。此电动势称为感应电动势或感生电动势，若将此导体闭合成一回路，则该电动势会驱使电子流动，形成感应电流（感生电流）。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观众推动磁铁装置，观看演示效果。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1、车拖纸带打点式，打点有效距离不小于600mm；2、轨道采用铝合金型材制作；3、符合JY0001-2003《教学仪器产品一般质量要求》中相关规定。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带网强化切断砂轮片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尺寸标注为 外径 50 mm、厚度 1 mm、内孔 10 mm；带网强化结构，防止高速切割时碎裂飞溅。</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1、气垫导轨由导轨、滑行器及有关实验附件组成；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2、轨身采用五边形空心铝合金器材，导轨工作面：长度1200mm。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贮气装置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1、产品为组合式，主要由出水管、注水室、导气阀、贮气室、底座、乳胶管组成。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2、贮气装置用优质透明塑料和ABS工程塑料注塑成型、表面清晰、无划痕、气泡、飞边等现象。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3、各焊接部位应焊接牢固、密封、无漏气现象。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演示用，氢原子球直径不小于23mm，其他原子球直径不小于30mm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产品选用聚丙烯塑料注塑而成，无毒、环保、性能好。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1、多用滴管架由支架2个，横杆3根组成；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2、支架为塑料制作；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3、横杆为塑料制作；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4、支架与横杆插装后应摆放平稳。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2、规格：U形，具支，Φ15mm×150mm；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3、U形管弯度圆正，不得过分扁瘪歪斜，两管成水平，其高低差不大于5mm；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2、规格：φ60mm；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观察电子束在磁场中的偏转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仪器采用亥姆霍兹线圈产生的磁场，控制洛仑兹力管中电子的运动，测定电子比荷的；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由洛仑兹力管、亥姆霍兹线圈、供电电源和读数标尺等部分组成，整个安装在木制暗箱内，便于观察、测量、携带和贮存；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洛仑兹力管（又称威尔尼管）直径153mm，充惰性气体，转动角度&gt;180º,有刻度指示；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亥姆霍兹线圈 等效半径0.14m，单个线圈140匝；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阳极电压 0～250V连续可调，电压值数字电压表显示；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带输出接口，便于用更高精度电流表准确测量；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线圈电流 0～2A连续可调，电流值指数字电压表显示，有指示灯指示电流方向；</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带输出接口，便于用更高精度电流表准确测量；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电子荷质比测量误差优于5%</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突发事件应急演练预警分机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1、分机采用≥3.5寸LED显示屏触摸控制以及显示，屏幕上分区域显示当前工作模式、设备编号、防区位置、时间以及联动报警信息；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2、功能按键：≥5个按键，分别为暴力、火灾、地震、空袭、取消报警；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3、12V电源输出：1路12V/1A的直流电源输出；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4、后备电池：待机时间≥10小时，工作时间≥10分钟；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5、通讯：局域网通讯，通讯距离不受限制，内置天线；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6、报警响应时间：≤3秒；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7、电源：AC220V±10%；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8、功耗：≤72W；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9、整机尺寸：≥220*220*60mm；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10、工作温度：-20～60℃(主电工作)；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11、存储温度：-40～80℃；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12、相对湿度：5～95%RH，无凝露；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13、具有“暴力、火灾、地震、空袭”四大突发事件报警功能，可通过对应的功能按键触发警报，支持与突发事件接警云对接。</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14、分机触发火灾警报按钮及警示语音提示：火灾警报声+（语音：“发生火灾，大家不要惊慌，请捂鼻猫腰，迅速按演习路线有序疏</w:t>
            </w:r>
            <w:r>
              <w:rPr>
                <w:rFonts w:hint="eastAsia" w:ascii="宋体" w:hAnsi="宋体" w:cs="宋体"/>
                <w:color w:val="000000"/>
                <w:sz w:val="20"/>
                <w:szCs w:val="20"/>
                <w:lang w:bidi="ar"/>
              </w:rPr>
              <w:t xml:space="preserve">散到安全区域，不要推挤踩踏”）+火灾警报声；分机触发暴力袭击警报按钮及警示语音提示：110警报声+（语音：“发生暴力袭击，大家不要惊慌，请关好门窗躲避到安全区域．安保人员紧急到岗处理”）+110警报声；分机触发地震警报按钮及警示语音提示：地震警报声+（语音：“地震警报”，大家不要惊慌，请先实施紧急避险，再按演习路线有序疏散到安全区域不要推挤踩踏”）+地震警报声；分机触发空袭警报按钮及警示语音提示：空袭警报声+（语音：“空袭警报”，大家不要惊慌，迅速按演习路线有序疏散到安全区域．不要推挤踩踏”）+空袭警报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15、分机可通过屏幕设置当前防区信息，分机可接收并响应主机设置的报警模式；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16、分机可接收并响应主机和其他分机触发的突发事件报警；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17、可联动声光报警器进行联动报警输出；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18、可联动多功能智慧语言提示屏进行联动报警输出；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19、具有警报声、语音疏散引导、文字显示警情和上报地点等警示功能；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20、具有消音复位功能，可通过触摸“取消报警”键复位并消除当前的警报信息；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21、支持智慧烟感探测终端联动报警输入，可触发警报并显示报警信息和位置，可选择自动触发火灾报警；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22、具有备电功能，支持停电运行；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23、具有内置扬声器；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24、具有音频功放输出，可外接大功率扬声器；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25、具有12V直流电源输出，可驱动外部警报设备；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26、具有设备自检、定期巡检功能，保障设备正常运行；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27、突发事件应急演练预警分机频率容限：≤20ppm、频率范围：2400-2483.5MHz、发射功率：≤20dBm(EIRP)、占用带宽：≤40MHz、杂散发射限制：≤-30dBm；主机通过中国国家无线电管理委员会(SRRC)强制认证，型号符合中华人民共和国无线电管理规定和技术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28、突发事件应急演练预警分机符合GB/T26125-2011《电子电气产品六种限用物质(铅、汞、镉、六价铬、多溴联苯和多溴二苯醚)》、GB/T26572-2011《电子电气产品中限用物质的限量要求》、《电器电子产品有害物质限制使用自愿性认证实施规则》、《达标管理目录限用物质应用例外清单》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29、突发事件应急演练预警分机符合下列要求：GB/T30148-2013《安全防范报警)设备电磁兼容抗扰度要求和试验方法》，电源电压暂降和短时中断抗扰度、静电放电抗扰度、射频电磁场辐射抗扰度、射频场感应的传导骚扰抗扰度、电快速瞬变脉冲群抗扰度、浪涌(冲击)抗扰度</w:t>
            </w:r>
            <w:r>
              <w:rPr>
                <w:rFonts w:hint="eastAsia" w:ascii="宋体" w:hAnsi="宋体" w:cs="宋体"/>
                <w:color w:val="000000"/>
                <w:sz w:val="20"/>
                <w:szCs w:val="20"/>
                <w:lang w:bidi="ar"/>
              </w:rPr>
              <w:t xml:space="preserve">；工频磁场；GB/T2423.1-2008《电子电工产品环境试验第2部分:试验方法项A:低温试验》，耐低温性能；GB/T2423.2-2008《电工电子产品环境试验第2部分:试验方法项B:高温》，耐高温性能；GB/T2423.3-2016《环境试验第2部分:试验方法试验Cab:恒定湿热项》，耐湿热工作性能；GB/T2423.10-2019《环境试验第2部分:试验方法 试验Fc:振动(正弦)》；GB/T2423.7-2018《环境试验 第2部分:试验方法 试验Ec:粗率操作造成的冲击（主要用于设备型样品）》。</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集成电路实验板(面包板)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1、尺寸：16*11mm；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2、间距：0.65mm；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3、材质：FR-4表面处理：双面喷锡。</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以微型玻璃为主，能完成氧气、氢气、二氧化碳、一氧化碳、氯气、氨气、二氧化硫、硫化氢、一氧化氮、二氧化氮等十几种气体的制备和性质实验，反应容器一般不超过30mL。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风机配件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风机减震器：功能：离心风机弹簧减震器，弹簧材料为不低于60Si2Mn弹簧钢线，耐疲劳，强度高，承载力大，使用寿命长等特点。可直接将ZD型减振器置放于设备的机座下。工作环境：在-40℃-110℃环境下正常工作，上下座分别设有螺栓与地基螺栓孔，可上下固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2、风机消音器：规格：外径≥Ф600mm，内径≥Ф400mm、高度≥1000mm，圆形。材料：PP材质，内置隔音棉等隔音装置。技术要求：消声频率30-60（Hz），耐温特性≥60（℃），防腐蚀、耐酸碱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风机进出口软连接：进风口：采用PVC柔性材料制作，规格：Ф600-Ф400mm，因风机震动引起的消除震音传递和消除微量错位对风机的影响。出风口：材料PP，规格方转圆地方风机接口；技术要求：抗撞强度≥500（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4、风机出风口接头：出风口：材料PP，规格方转圆地方风机接口。技术要求：抗撞强度≥500（MPa）；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5、风机出风口防雨帽：≥Ф600mm伞型结构。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备用微尘过滤纸袋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连接口45mm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废水自动排水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1、废水储水箱：规格≥450*280*165mm，采用材料PE聚乙烯，注塑模具一次成型，无臭无毒、耐强酸碱、抗老化。废水储存箱配有内置防臭芯，防止废气与废水倒灌。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2、废水箱内装防腐水位控制器液位开关，传感器检测到放水水位是会自动开启排水功能。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耐酸碱环保增压水泵：外壳材料：PPS+PA66，功率≥40W，工作电压24V，流量≥10L/MIN，最大静态扬程≥8M；噪音≤40dB；无毒、无味、无重金属，符合饮用水标准，具有缺水保护、空转保护、堵转保护、卡死保护、防漏电、防腐蚀、防空转，自带止回阀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4、自动冲洗：为防止污水桶在长期使用后，内部产生沉淀和污垢附中，可由教师自行设置是否开启自动冲洗模式，开启后可延长设备的使用寿命。</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分组用，球棍模型，直径不小于15mm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三联高低位龙头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鹅颈式实验室专用优质化验水嘴：主体采用铜质，表面环氧树脂喷涂。阀芯采用陶瓷阀芯，配置一个高位水龙头，两个低位水龙头，便于多用途使用。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可投影，产品主要由上下盖板各1块，多孔板1块。条形磁铁1个及铁针组成。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1、本品为整流系，轴尖轴承支承式、指针式电表；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2、准确度等级：直流电流、电压、电阻测量档均为2.5级，交流电压测量档、直流电压0～2500V为5.0级；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3、电压灵敏度：直流为20kΩ/V，交流为9kΩ/V；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4、阻尼时间：不超过4s；绝缘电阻不小于20MΩ；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5、转换开关各档位定位正确，无错位，转动时手感好；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7、电表指针挺直，机械调零时可在零刻度左右移动；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8、产品所附测量表笔及电池应完好有效。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集成温度传感器，-50C~+140°C,分辨率0.1°C</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二连球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由橡皮手捏充气球和橡皮贮气球及橡胶导气管相连接而成。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1、规格：150mm，0.01mm（误差±0.03mm）；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2、具有测量内径、外径等功能；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3、采用不锈钢或优质碳素钢材料；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4、产品符合GB/T21389标准，数字直读，清晰方便，主尺、尺框整体热处理，测量面淬硬。</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智慧环境监测管理模块</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1、可对监测设备总数统计，包括设备在线率、设备总数、在线设备、离线设备、报警设备、预警数量以及监测时长等数据展示。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2、设备在线列表：可展示监测设备所在空间名称、设备编号、设备名称、设备在线/离线状态以及上一次在线时间等信息。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3、可采用云服务器部署方式，支持广域网操作和管理，学校用户支持通过电脑端或手机端完成所有的管理操作，方便学校进行账户管理；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4、学校基础数据管理：应可以对学校、组织机构、监测楼栋以及监测空间进行管理操作功能。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用户权限管理：应可以刷新、新增、修改、删除以及查询用户等相应的操作，并给指定的用户赋予不同的角色，也可以给用户直接赋予不同的功能授权，支持自定义角色与权限，满足学校多样化的管理需求，学校可自行分配角色给校内教职工对设备进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监测参数管理：应可以刷新，新增、修改、删除以及查询设备可监测的监测参数，监测参数内容包含参数编号、参数名称、单位、监测计算公式、排序码、监测展示图标以及四级预警参数值，其他联动预警的作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7、监测设备管理：应可以刷新，新增、修改、删除以及查询监测设备数据，并可以配置每个监测设备的通道监测参数。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8、监测历史数据：应可以按照空间字段、参数字段、时间字段分类查询，查询出来的数据以列表和曲线的方式进行呈现。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9、24小时监测分析：应可以按照空间进行统计分析所有的监测参数、温湿度24小时变化趋势、温湿度分布比例区间以及各个环境参数24小时趋势图；</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监测统计数据：应可以按照空间字段、参数字段、时间字段进行分类查询，可按照小时统计查询最大监测值、最小监测值、平均监测值以及按照日统计查询最大监测值、最小监测值、平均监测值，查询统计出来的数据以列表和曲线的方式进行呈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11、监测预警数据查询：应可以按照空间字段、时间字段进行分类查询，可查询当前监测空间内的监测参数预警值；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12、独立报警设置：可对环境监测设备独立报警进行管理，设置环境监测设备报警的报警推送次数、报警时间、推送的方式、推送人。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13、联动报警配置：可联动应急突发事件联动报警配置进行设置，选择设置报警推送次数、报警时间、推送的方式、推送人。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14、报警联系人：可对报警联系人进行管理，包含添加、编辑联系人邮箱/微信，实现报警推送功能。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15、多报警输出：可实现短信、大屏联动报警输出。</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2、规格：直径Φ7－8mm，直通管长度100mm，垂直管长度50mm；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3、灯工焊接牢固，口部平整熔光处理；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Y形管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1、采用透明玻璃制造，全长100±5mm，支长50±5mm，直径7-8mm，壁厚1.5mm；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2、产品应符合GB/T12414-1995《药用玻璃管》的标准。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1、高硼硅玻璃材质；</w:t>
            </w:r>
            <w:r>
              <w:rPr>
                <w:rStyle w:val="968"/>
                <w:rFonts w:hint="default"/>
                <w:lang w:bidi="ar"/>
              </w:rPr>
              <w:br/>
            </w:r>
            <w:r>
              <w:rPr>
                <w:rStyle w:val="968"/>
                <w:rFonts w:hint="default"/>
                <w:lang w:bidi="ar"/>
              </w:rPr>
              <w:t xml:space="preserve">2、厚薄均匀，不得有刺手现象；规格：试管外径</w:t>
            </w:r>
            <w:r>
              <w:rPr>
                <w:rStyle w:val="971"/>
                <w:lang w:bidi="ar"/>
              </w:rPr>
              <w:t xml:space="preserve">Φ</w:t>
            </w:r>
            <w:r>
              <w:rPr>
                <w:rStyle w:val="968"/>
                <w:rFonts w:hint="default"/>
                <w:lang w:bidi="ar"/>
              </w:rPr>
              <w:t xml:space="preserve">18mm，试管高180mm；</w:t>
            </w:r>
            <w:r>
              <w:rPr>
                <w:rStyle w:val="968"/>
                <w:rFonts w:hint="default"/>
                <w:lang w:bidi="ar"/>
              </w:rPr>
              <w:br/>
            </w:r>
            <w:r>
              <w:rPr>
                <w:rStyle w:val="968"/>
                <w:rFonts w:hint="default"/>
                <w:lang w:bidi="ar"/>
              </w:rPr>
              <w:t xml:space="preserve">3、截面应为适度的圆形；试管口部是熔光的平口；</w:t>
            </w:r>
            <w:r>
              <w:rPr>
                <w:rStyle w:val="968"/>
                <w:rFonts w:hint="default"/>
                <w:lang w:bidi="ar"/>
              </w:rPr>
              <w:br/>
            </w:r>
            <w:r>
              <w:rPr>
                <w:rStyle w:val="968"/>
                <w:rFonts w:hint="default"/>
                <w:lang w:bidi="ar"/>
              </w:rPr>
              <w:t xml:space="preserve">4、管口应平整、光滑，不得有裂口、裂纹存在；试管的底部应基本为半球形。</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1、适用于小学科学教学观察；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2、标本取材为两栖动物的表皮，四周剪切整齐，标本应平铺装片染色；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3、标本在80×和200×显微镜下可观察到形状不很规则的呈多角形的细胞膜和着色较深的细胞核。</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橡胶管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1、产品用优质天然橡胶制造；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2、产品内径为7～8mm，壁厚1mm；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3、产品应符合国标GB1189～81《胶管外观质量》的规定。</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千克</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教师低背椅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1、尺寸：W440mm*D440mm*H550mm±1%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2、结构：工字形钢架，科学支撑，钢架前端有踏脚垫，磨砂界面；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3、座面规格：采用PP塑料一体注塑成型，椅背提手设计，提拉方便。人性化圆角设计（坐垫、钢架），有效防止磕碰撞伤。座椅底部可悬挂功能设计，不用时，可悬挂桌面之上，方便打扫，节省空间。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4、材质：座椅面有内弧造型，表面防滑不发光，座椅面镶嵌TPR灰色软性材料，并采用包胶工艺与凳面组合，且表面平整、无凹凸，注塑包胶成型。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5、工艺：钢管直径≥18mm，壁厚≥1.5mm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6、脚垫：有效防滑，防刮伤，脚垫材质为PP塑料材质。</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1、透明钠钙玻璃材质，由灯座、灯塞、灯盖、灯芯组成；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2、规格：250mL，双头；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3、玻璃仪器，正视应无色；或仅有玻璃本身的微浅黄绿色；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4、玻璃仪器的口部都应经圆口（熔光）、卷边或磨砂处理；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5、应力：应力仪观察下呈紫红色或部分扩散状兰色；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6、厚薄均匀，玻璃仪器的底部应平整，放在上不应旋转或摇晃；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7、酒精灯塞子塞不紧是正常的，塞紧了是危险的。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小灯座</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1、仪器由底板、冷冲接插件、接线柱组成；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2、接线柱为螺丝式；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3、底板用优质PVC工程塑料制作。</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光的干涉衍射偏振演示器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光源单缝缝宽a=0.025,a=0.11,牛顿环直径32mm，偏振片直径32mm，投影透镜直径30mm,符合教学实验要求。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结晶皿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植物种子标本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玻璃瓶装种子标本，瓶身直径3cm，高度5cm，瓶子容量20ml，配套种子名称，不少于100个品种。</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1．本机两个电刷放在</w:t>
            </w:r>
            <w:r>
              <w:rPr>
                <w:rFonts w:hint="eastAsia" w:ascii="宋体" w:hAnsi="宋体" w:cs="宋体"/>
                <w:color w:val="000000"/>
                <w:sz w:val="20"/>
                <w:szCs w:val="20"/>
                <w:lang w:bidi="ar"/>
              </w:rPr>
              <w:t xml:space="preserve">整流子两端时，输出为交流电，放在整流子中间时，输出为直流电。2．转子线圈用Ф0.47～0.49mm高强度漆包线，平绕440匝，误差±5%，转子外表刷绝缘清漆。3．磁铁两极应有明确的表示色,红色为N极,蓝色为S极。4．电枢转轴,由元钢制成,电枢支架上两轴孔的不同轴度≤0.1mm,转手与极靴的距离≤1.5mm,无碰撞和磨擦。5.本机底座平面无变形,裂缝,四脚平放,不晃动,漆面应光洁,均匀,美观大方。6.底板上各紧固件不得松动,转动部分应灵活,均匀,杂音小。7.产品应符合JY21－79《手摇交直流发电机》的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红、绿、蓝</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2、规格：3000mL；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滴定台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产品由底座、立杆及附件组成。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1、支架由大理石制成；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2、立杆表面镀铬，立杆与方座组装后应垂直；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3、滴定夹的高度应能方便调整且紧固可靠；</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4、整套产品有足够的平稳度，底座耐碱。采用钢材，防锈处理及表面环保油漆涂层精制而成。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发酵技术的应用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以《普通高中生物学教学装备配置标准（</w:t>
            </w:r>
            <w:r>
              <w:rPr>
                <w:rStyle w:val="970"/>
                <w:lang w:bidi="ar"/>
              </w:rPr>
              <w:t xml:space="preserve">2021</w:t>
            </w:r>
            <w:r>
              <w:rPr>
                <w:rStyle w:val="968"/>
                <w:rFonts w:hint="default"/>
                <w:lang w:bidi="ar"/>
              </w:rPr>
              <w:t xml:space="preserve">年版）》为依据，结合各大版本高中生物课程教材，满足高中生物课程的大部分实验。此箱是专为教师及学生完成教材要求的实验而设计，采用高度集成的方法将</w:t>
            </w:r>
            <w:r>
              <w:rPr>
                <w:rStyle w:val="972"/>
                <w:lang w:bidi="ar"/>
              </w:rPr>
              <w:t xml:space="preserve">“</w:t>
            </w:r>
            <w:r>
              <w:rPr>
                <w:rStyle w:val="968"/>
                <w:rFonts w:hint="default"/>
                <w:lang w:bidi="ar"/>
              </w:rPr>
              <w:t xml:space="preserve">发酵技术的应用</w:t>
            </w:r>
            <w:r>
              <w:rPr>
                <w:rStyle w:val="972"/>
                <w:lang w:bidi="ar"/>
              </w:rPr>
              <w:t xml:space="preserve">”</w:t>
            </w:r>
            <w:r>
              <w:rPr>
                <w:rStyle w:val="968"/>
                <w:rFonts w:hint="default"/>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lang w:bidi="ar"/>
              </w:rPr>
              <w:br/>
            </w:r>
            <w:r>
              <w:rPr>
                <w:rStyle w:val="968"/>
                <w:rFonts w:hint="default"/>
                <w:lang w:bidi="ar"/>
              </w:rPr>
              <w:t xml:space="preserve">外观尺寸</w:t>
            </w:r>
            <w:r>
              <w:rPr>
                <w:rStyle w:val="970"/>
                <w:lang w:bidi="ar"/>
              </w:rPr>
              <w:t xml:space="preserve">(mm)</w:t>
            </w:r>
            <w:r>
              <w:rPr>
                <w:rStyle w:val="968"/>
                <w:rFonts w:hint="default"/>
                <w:lang w:bidi="ar"/>
              </w:rPr>
              <w:t xml:space="preserve">：</w:t>
            </w:r>
            <w:r>
              <w:rPr>
                <w:rStyle w:val="970"/>
                <w:lang w:bidi="ar"/>
              </w:rPr>
              <w:t xml:space="preserve">485*370*155mm</w:t>
            </w:r>
            <w:r>
              <w:rPr>
                <w:rStyle w:val="970"/>
                <w:lang w:bidi="ar"/>
              </w:rPr>
              <w:br/>
            </w:r>
            <w:r>
              <w:rPr>
                <w:rStyle w:val="968"/>
                <w:rFonts w:hint="default"/>
                <w:lang w:bidi="ar"/>
              </w:rPr>
              <w:t xml:space="preserve">箱体颜色：灰色</w:t>
            </w:r>
            <w:r>
              <w:rPr>
                <w:rStyle w:val="968"/>
                <w:rFonts w:hint="default"/>
                <w:lang w:bidi="ar"/>
              </w:rPr>
              <w:br/>
            </w:r>
            <w:r>
              <w:rPr>
                <w:rStyle w:val="968"/>
                <w:rFonts w:hint="default"/>
                <w:lang w:bidi="ar"/>
              </w:rPr>
              <w:t xml:space="preserve">箱体材料：高密度工程塑料（聚丙烯），使用</w:t>
            </w:r>
            <w:r>
              <w:rPr>
                <w:rStyle w:val="970"/>
                <w:lang w:bidi="ar"/>
              </w:rPr>
              <w:t xml:space="preserve">0.5mm</w:t>
            </w:r>
            <w:r>
              <w:rPr>
                <w:rStyle w:val="968"/>
                <w:rFonts w:hint="default"/>
                <w:lang w:bidi="ar"/>
              </w:rPr>
              <w:t xml:space="preserve">厚的</w:t>
            </w:r>
            <w:r>
              <w:rPr>
                <w:rStyle w:val="970"/>
                <w:lang w:bidi="ar"/>
              </w:rPr>
              <w:t xml:space="preserve">PVC</w:t>
            </w:r>
            <w:r>
              <w:rPr>
                <w:rStyle w:val="968"/>
                <w:rFonts w:hint="default"/>
                <w:lang w:bidi="ar"/>
              </w:rPr>
              <w:t xml:space="preserve">背胶板印刷全套（</w:t>
            </w:r>
            <w:r>
              <w:rPr>
                <w:rStyle w:val="970"/>
                <w:lang w:bidi="ar"/>
              </w:rPr>
              <w:t xml:space="preserve">4</w:t>
            </w:r>
            <w:r>
              <w:rPr>
                <w:rStyle w:val="968"/>
                <w:rFonts w:hint="default"/>
                <w:lang w:bidi="ar"/>
              </w:rPr>
              <w:t xml:space="preserve">张）铭牌，不起皱，不脱落。</w:t>
            </w:r>
            <w:r>
              <w:rPr>
                <w:rStyle w:val="968"/>
                <w:rFonts w:hint="default"/>
                <w:lang w:bidi="ar"/>
              </w:rPr>
              <w:br/>
            </w:r>
            <w:r>
              <w:rPr>
                <w:rStyle w:val="968"/>
                <w:rFonts w:hint="default"/>
                <w:lang w:bidi="ar"/>
              </w:rPr>
              <w:t xml:space="preserve">箱体内部零件固定体：采用高发泡隔离填充材料，内部零件固定体采用双层双色工艺制作，更能凸显零件的立体效果，上层红色下层黑色，使用不同颜色的材质制造更容易找到相应器材。零件固定体按零件形状数控雕刻成型，每种实验器材有相对应插槽，每种实验器材设有固定位置。</w:t>
            </w:r>
            <w:r>
              <w:rPr>
                <w:rStyle w:val="968"/>
                <w:rFonts w:hint="default"/>
                <w:lang w:bidi="ar"/>
              </w:rPr>
              <w:br/>
            </w:r>
            <w:r>
              <w:rPr>
                <w:rStyle w:val="968"/>
                <w:rFonts w:hint="default"/>
                <w:lang w:bidi="ar"/>
              </w:rPr>
              <w:t xml:space="preserve">实验器材：</w:t>
            </w:r>
            <w:r>
              <w:rPr>
                <w:rStyle w:val="970"/>
                <w:lang w:bidi="ar"/>
              </w:rPr>
              <w:t xml:space="preserve">250mL</w:t>
            </w:r>
            <w:r>
              <w:rPr>
                <w:rStyle w:val="968"/>
                <w:rFonts w:hint="default"/>
                <w:lang w:bidi="ar"/>
              </w:rPr>
              <w:t xml:space="preserve">锥形瓶、</w:t>
            </w:r>
            <w:r>
              <w:rPr>
                <w:rStyle w:val="970"/>
                <w:lang w:bidi="ar"/>
              </w:rPr>
              <w:t xml:space="preserve">250ml</w:t>
            </w:r>
            <w:r>
              <w:rPr>
                <w:rStyle w:val="968"/>
                <w:rFonts w:hint="default"/>
                <w:lang w:bidi="ar"/>
              </w:rPr>
              <w:t xml:space="preserve">烧杯、电子秤、载玻片、盖玻片（</w:t>
            </w:r>
            <w:r>
              <w:rPr>
                <w:rStyle w:val="970"/>
                <w:lang w:bidi="ar"/>
              </w:rPr>
              <w:t xml:space="preserve">100</w:t>
            </w:r>
            <w:r>
              <w:rPr>
                <w:rStyle w:val="968"/>
                <w:rFonts w:hint="default"/>
                <w:lang w:bidi="ar"/>
              </w:rPr>
              <w:t xml:space="preserve">片</w:t>
            </w:r>
            <w:r>
              <w:rPr>
                <w:rStyle w:val="970"/>
                <w:lang w:bidi="ar"/>
              </w:rPr>
              <w:t xml:space="preserve">/</w:t>
            </w:r>
            <w:r>
              <w:rPr>
                <w:rStyle w:val="968"/>
                <w:rFonts w:hint="default"/>
                <w:lang w:bidi="ar"/>
              </w:rPr>
              <w:t xml:space="preserve">盒）、</w:t>
            </w:r>
            <w:r>
              <w:rPr>
                <w:rStyle w:val="970"/>
                <w:lang w:bidi="ar"/>
              </w:rPr>
              <w:t xml:space="preserve">150mm</w:t>
            </w:r>
            <w:r>
              <w:rPr>
                <w:rStyle w:val="968"/>
                <w:rFonts w:hint="default"/>
                <w:lang w:bidi="ar"/>
              </w:rPr>
              <w:t xml:space="preserve">试管、</w:t>
            </w:r>
            <w:r>
              <w:rPr>
                <w:rStyle w:val="970"/>
                <w:lang w:bidi="ar"/>
              </w:rPr>
              <w:t xml:space="preserve">200mm</w:t>
            </w:r>
            <w:r>
              <w:rPr>
                <w:rStyle w:val="968"/>
                <w:rFonts w:hint="default"/>
                <w:lang w:bidi="ar"/>
              </w:rPr>
              <w:t xml:space="preserve">玻璃棒、直角玻璃管（</w:t>
            </w:r>
            <w:r>
              <w:rPr>
                <w:rStyle w:val="970"/>
                <w:lang w:bidi="ar"/>
              </w:rPr>
              <w:t xml:space="preserve">50*100mm</w:t>
            </w:r>
            <w:r>
              <w:rPr>
                <w:rStyle w:val="968"/>
                <w:rFonts w:hint="default"/>
                <w:lang w:bidi="ar"/>
              </w:rPr>
              <w:t xml:space="preserve">）、直角玻璃管（</w:t>
            </w:r>
            <w:r>
              <w:rPr>
                <w:rStyle w:val="970"/>
                <w:lang w:bidi="ar"/>
              </w:rPr>
              <w:t xml:space="preserve">50*200mm</w:t>
            </w:r>
            <w:r>
              <w:rPr>
                <w:rStyle w:val="968"/>
                <w:rFonts w:hint="default"/>
                <w:lang w:bidi="ar"/>
              </w:rPr>
              <w:t xml:space="preserve">）等。</w:t>
            </w:r>
            <w:r>
              <w:rPr>
                <w:rStyle w:val="968"/>
                <w:rFonts w:hint="default"/>
                <w:lang w:bidi="ar"/>
              </w:rPr>
              <w:br/>
            </w:r>
            <w:r>
              <w:rPr>
                <w:rStyle w:val="968"/>
                <w:rFonts w:hint="default"/>
                <w:lang w:bidi="ar"/>
              </w:rPr>
              <w:t xml:space="preserve">可做实验：</w:t>
            </w:r>
            <w:r>
              <w:rPr>
                <w:rStyle w:val="970"/>
                <w:lang w:bidi="ar"/>
              </w:rPr>
              <w:t xml:space="preserve">1</w:t>
            </w:r>
            <w:r>
              <w:rPr>
                <w:rStyle w:val="968"/>
                <w:rFonts w:hint="default"/>
                <w:lang w:bidi="ar"/>
              </w:rPr>
              <w:t xml:space="preserve">、实验</w:t>
            </w:r>
            <w:r>
              <w:rPr>
                <w:rStyle w:val="970"/>
                <w:lang w:bidi="ar"/>
              </w:rPr>
              <w:t xml:space="preserve"> </w:t>
            </w:r>
            <w:r>
              <w:rPr>
                <w:rStyle w:val="968"/>
                <w:rFonts w:hint="default"/>
                <w:lang w:bidi="ar"/>
              </w:rPr>
              <w:t xml:space="preserve">制作传统发酵食品；</w:t>
            </w:r>
            <w:r>
              <w:rPr>
                <w:rStyle w:val="970"/>
                <w:lang w:bidi="ar"/>
              </w:rPr>
              <w:t xml:space="preserve">2</w:t>
            </w:r>
            <w:r>
              <w:rPr>
                <w:rStyle w:val="968"/>
                <w:rFonts w:hint="default"/>
                <w:lang w:bidi="ar"/>
              </w:rPr>
              <w:t xml:space="preserve">、探究</w:t>
            </w:r>
            <w:r>
              <w:rPr>
                <w:rStyle w:val="970"/>
                <w:lang w:bidi="ar"/>
              </w:rPr>
              <w:t xml:space="preserve"> </w:t>
            </w:r>
            <w:r>
              <w:rPr>
                <w:rStyle w:val="968"/>
                <w:rFonts w:hint="default"/>
                <w:lang w:bidi="ar"/>
              </w:rPr>
              <w:t xml:space="preserve">腐乳的制作等。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带锯机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1、规格：≥680*375*252mm；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2、功率：≥550W；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3、切高89mm可调；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4、锯条周长≥1511mm，宽6-13mm；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5、空载≥1400转；</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6、喉深≥232mm；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7、LED照明，激光对刀；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8、可切割：木材、铝型材、硬泡沫、亚克力。</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32孔，铝合金制作，Φ16mm孔径，三层结构。</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化学实验室安全守则</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1、1幅，对开开本,纸张不低于105克铜版纸；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3、图形：教学挂图应图像清晰，色泽自然鲜明；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4、图片印刷套印准确，层次分明，轮廓实，电分制版无浮雕印；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5、网点清晰饱满，小点不秃，大点光洁不糊，质感好；墨色均匀厚实，色彩鲜有光泽，肤色正、接版准确，色调深浅一致；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聚碳酸酯镜片</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简明化学发展史挂图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1、2幅，对开开本,纸张不低于105克铜版纸；</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3、图形：教学挂图应图像清晰，色泽自然鲜明；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4、图片印刷套印准确，层次分明，轮廓实，电分制版无浮雕印；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2、规格：茶色，30mL；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产品为组合，有由支座、支块、滑道、等块组成。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砂带1</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180目</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模拟电场中带电粒子加速、偏转</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1、主体：高度≥320mm，不低于加厚H59铜质,符合YS/T910-2013黄铜中铜量的测定碘量法,铜含量；铜含量≥59.3%。</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2、涂层：高亮度超厚电镀层，耐腐蚀、耐热，防紫外线辐射；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3、洗眼头：模注一体成型，软性橡胶并带有缓冲滤网，出水经缓压处理呈泡沫柱状，可持续均匀柔和,去除水中杂质，避免水束冲伤眼睛流量≥11.4升/分钟并维持冲洗至少15分钟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4、防尘盖：PP材质，设置防尘盖,使用时自动被水冲开；</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5、开关：采用杠杆结构，铜质按压阀通过塑料手柄操作，水流在1秒钟内快速启动，启闭方便；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6、控水阀：止逆阀，其阀门可自动关闭；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7、软管：供水软管长度≥1.4米，软性PVC管外覆不锈钢网,外层包裹PE管，有效防止生锈、磨损、划手；</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1、不锈钢，圆嘴；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2、符合GB4747.1—1989《医用镊通用技术条件》的有关规定。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模型组成：氯原子、铯原子、塑料杆组成，球直径不小于29mm。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简明物理学史挂图</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2、纸张规格：纸张不低于105克铜版纸，覆膜；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3、印刷：四色彩色胶印；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4、图形：教学挂图应图像清晰，色泽自然鲜明，位置准确；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图片印刷套印准确，层次分明，轮廓实，电分制版无浮雕印；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6、印刷标准：符合GB7705-87《平版装潢印刷品标准》；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7、适用于《全日制义务教育物理课程标准》。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电磁感应演示器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1、主要由微电流放大器、磁针、直导体、滚动导体、连接导线、蹄形磁钢、底座、水平支架等组成；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2、微电流放大器电源电压：DC6V，放大倍数：≥600倍，输入电流：0.5～10uA；磁针采用长140mm，宽8mm的翼形磁针。</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1、底座、镜臂、齿条、物镜和目镜等制成；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2、总放大倍数：20-40倍；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3、目镜:WF10X；</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4、物镜：变倍筒物镜:2X-4X分档变倍物镜组；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5、调焦范围: 40mm；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6、行程范围:90mm；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7、照明：自然光；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8、符合GB/T2985-1995《生物显微镜》。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1、标称容量：50mL；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2、透明钠钙玻璃材质；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3、底座和口部边缘应做熔光处理，口边应与量筒的轴线垂直；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4、量杯放在上，不应摇晃；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5、当从量杯向外倾倒液体时，液体呈一束细流流出，不应外溢，不应沿壁外流；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6、外表面和内表面不应有破皮气泡和薄皮气泡、密集小气泡和积水条纹存在。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1µL～10µL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1、仪器主要由专用铝合金型材制成轨道；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2、工程塑料制造小车，设计巧妙的同步释放及暂停装置，以及上下配置的轨道结构；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仪器还设有小车浮获装置、定位标尺等等，使实验极为方便、直观、可靠/轨道长度：2×1000mm/轨度间距：140mm（上、下配置）/小车质量：200±10g/轨道可倾斜方向：前、后、左、右；4、表面光洁度：轮廓平均算术偏差值≤3、2μm/配备块：10g，50g/工作环境：温度：0～40℃/相对湿度：≤85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接种环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1、产品由镍铬丝和金属棒杆、塑料柄等组成；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2、金属棒杆直径约Φ4mm，一端开口配有透孔紧固螺母，另一端有塑料手柄；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3、配有Φ0.5mm镍铬丝。</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砂带2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120目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1、可做匀速-匀速、匀速-匀加速运动合成；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2、由小车、画板、画笔、X向传动装置，Y向传动装置，控制部分。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抽气筒</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1、供中学物理实验中作抽气、打气使用；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2、极限抽气压力≤6.7×103Pa（50mmHg）；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3、最低打气压力≥2.9×105Pa；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4、气筒长200mm，内径Φ22.5mm；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5、活塞碗要求材质挺实，碗外表面较柔软，耐磨密封性良好。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白金丝</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φ0.5mm×50mm；具金属柄，可拆卸。</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1019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准备台</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1、规格：3000mm*1200mm*760mm±1%。</w:t>
            </w:r>
            <w:r>
              <w:rPr>
                <w:rStyle w:val="968"/>
                <w:rFonts w:hint="default"/>
                <w:lang w:bidi="ar"/>
              </w:rPr>
              <w:br/>
            </w:r>
            <w:r>
              <w:rPr>
                <w:rStyle w:val="968"/>
                <w:rFonts w:hint="default"/>
                <w:lang w:bidi="ar"/>
              </w:rPr>
              <w:t xml:space="preserve">2、台面：采用≥12.7mm厚实芯理化板，耐高温、耐腐蚀；</w:t>
            </w:r>
            <w:r>
              <w:rPr>
                <w:rStyle w:val="968"/>
                <w:rFonts w:hint="default"/>
                <w:lang w:bidi="ar"/>
              </w:rPr>
              <w:br/>
            </w:r>
            <w:r>
              <w:rPr>
                <w:rStyle w:val="968"/>
                <w:rFonts w:hint="default"/>
                <w:lang w:bidi="ar"/>
              </w:rPr>
              <w:t xml:space="preserve">3、整柜体说明：外壳采用≥1.0mm优质冷轧钢板在数控加工中心、剪裁、定位打孔、折弯焊接后成型，酸洗磷化处理后喷涂环氧树脂粉末高温烘烤固化。附着力高、表面硬度耐腐蚀性极强，预留有两个位置。</w:t>
            </w:r>
            <w:r>
              <w:rPr>
                <w:rStyle w:val="968"/>
                <w:rFonts w:hint="default"/>
                <w:lang w:bidi="ar"/>
              </w:rPr>
              <w:br/>
            </w:r>
            <w:r>
              <w:rPr>
                <w:rStyle w:val="968"/>
                <w:rFonts w:hint="default"/>
                <w:lang w:bidi="ar"/>
              </w:rPr>
              <w:t xml:space="preserve">4、铰链：阻尼铰链；</w:t>
            </w:r>
            <w:r>
              <w:rPr>
                <w:rStyle w:val="968"/>
                <w:rFonts w:hint="default"/>
                <w:lang w:bidi="ar"/>
              </w:rPr>
              <w:br/>
            </w:r>
            <w:r>
              <w:rPr>
                <w:rStyle w:val="968"/>
                <w:rFonts w:hint="default"/>
                <w:lang w:bidi="ar"/>
              </w:rPr>
              <w:t xml:space="preserve">5、调整脚说明：采用直径≥</w:t>
            </w:r>
            <w:r>
              <w:rPr>
                <w:rStyle w:val="971"/>
                <w:lang w:bidi="ar"/>
              </w:rPr>
              <w:t xml:space="preserve">φ</w:t>
            </w:r>
            <w:r>
              <w:rPr>
                <w:rStyle w:val="968"/>
                <w:rFonts w:hint="default"/>
                <w:lang w:bidi="ar"/>
              </w:rPr>
              <w:t xml:space="preserve">10mm注塑调整脚，防震、防潮、耐腐蚀，可根据室内地坪适当调整柜体高度，最大调节为0-30mm。</w:t>
            </w:r>
            <w:r>
              <w:rPr>
                <w:rStyle w:val="968"/>
                <w:rFonts w:hint="default"/>
                <w:lang w:bidi="ar"/>
              </w:rPr>
              <w:br/>
            </w:r>
            <w:r>
              <w:rPr>
                <w:rStyle w:val="968"/>
                <w:rFonts w:hint="default"/>
                <w:lang w:bidi="ar"/>
              </w:rPr>
              <w:t xml:space="preserve">6、工艺说明：所有钢板焊接经环氧树脂粉喷图后，目视平整无焊点。所有水、电、气路要求安全、适用，并隐藏式安装。在柜体后背板设维修孔。</w:t>
            </w:r>
            <w:r>
              <w:rPr>
                <w:rStyle w:val="968"/>
                <w:rFonts w:hint="default"/>
                <w:lang w:bidi="ar"/>
              </w:rPr>
              <w:br/>
            </w:r>
            <w:r>
              <w:rPr>
                <w:rStyle w:val="968"/>
                <w:rFonts w:hint="default"/>
                <w:lang w:bidi="ar"/>
              </w:rPr>
              <w:t xml:space="preserve">7、下部柜体，门板：采用≥1.0mm冷轧钢板（双层），无焊连接，可拆卸带减震垫。经数控加工、剪裁、定位打孔、折弯焊接成型，酸洗磷化后喷涂环氧树脂粉末，高温烘烤固化。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钻头组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柄径：0.3-0.5-0.8-1.0-1.2-1.5-2.0-2.5-3.0-3.2mm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植物半包埋标本</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1.规格：约400x500mm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2.主要工艺：标本植物主要取材于常见植物。采用冻干保色技术 对标本进行专业处理后加专业 UV 打 印背板进行树脂包埋胶进行包膜固 定，保证标本的颜色、根茎花果等 特征。原木色实木相框裱装。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3.配套：专业标签注解。</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100µL～1000µL</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1、技术规格：电阻200Ω；额定电流1.25A；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3、滑动变阻器要有4个接线端；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4、电阻线绝缘层承受不低于1.5KV的电压不被击穿；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5、在额定电流下工作时，温升不应超过300℃，试验后绕线无松动，绝缘层无破损现象；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6、瓷管表面上釉，光滑平整，无裂纹；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7、常温常湿条件下绝缘电阻应大于20MΩ。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2、规格：50mL，烧杯上标志应清晰、耐久，造型规范、薄厚均匀、无明显偏斜，底部不允许有结石、节瘤存在；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3、放在上不应旋转或摇晃；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4、当向外倾倒液体时，液体呈一束细流流出，不应外溢，不应沿壁外流。</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自粘圆盘树脂金刚砂纸</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250mm #320（5片）</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组合式支架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支座2个、滑道2根、滑块6个、金属杆3根、万向夹1个、烧瓶类1个、铁环1个、托盘1个、托盘支杆1根、吊钩4个、绝缘环2个、定滑轮1个。</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电烙铁</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60W，20W，橡胶线。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静电乒乓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部件：有机玻璃罩、不锈钢球、高压线路、6V低压安全防水按钮等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2、功能描述：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静电发生装置产生高压静电，由于静电感应，吊挂的金属球被感应上电荷，当电荷积累到一定量时，带有电荷的极板就与金属球发生作用，首先异性电荷相吸引。这时金属球被吸引到极板上，电荷中和、释放，金属球又被感应上电荷与另一个极板上的电荷相排斥，金属球被推过去，如此金属球左右摆动，并能发出乒乓、乒乓的声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3、操作说明：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观众按下启动按钮，观众即可看到小球来回摆动。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1029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电动波源带同步频闪光源，直投式，水槽升降杆振动源盒频闪光源盒。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化学实验操作规范和安全要求</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1、2幅，对开开本,纸张不低于</w:t>
            </w:r>
            <w:r>
              <w:rPr>
                <w:rFonts w:hint="eastAsia" w:ascii="宋体" w:hAnsi="宋体" w:cs="宋体"/>
                <w:color w:val="000000"/>
                <w:sz w:val="20"/>
                <w:szCs w:val="20"/>
                <w:lang w:bidi="ar"/>
              </w:rPr>
              <w:t xml:space="preserve">105克铜版纸；2、印刷：四色彩色胶印；3、图形：教学挂图应图像清晰，色泽自然鲜明；4、图片印刷套印准确，层次分明，轮廓实，电分制版无浮雕印；5、网点清晰饱满，小点不秃，大点光洁不糊，质感好；墨色均匀厚实，色彩鲜有光泽，肤色正、接版准确，色调深浅一致；文字印刷压力适度，全图前后轻重一致；全图前后墨色一致，浓淡适度符合要求；版面端正，正反套印准确；文字、标点清晰，笔锋挺秀，无缺笔断划，标题黑实不花，小字不糊不瞎；无脏污、破损；无野墨；成品裁切方正，无明显刀花，无连接页、折角、破头；耐碱折正，书面平服，无皱折。</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学生凳</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1、学生凳面：采用环保型ABS改性塑料一次性注塑成型，面板直径295mm±5mm，表面细纹咬花，防滑不发光。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2、脚钢架：椭圆形无缝钢管，脚钢架尺寸：≥16mm*32mm*1.2mm，焊接完成，结构牢固，经高温粉体烤漆处理，长时间使用也不会产生表面烤漆剥落现象。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3、脚垫：材质：采用PP加耐磨纤维质塑料，实心倒勾式一体射出成型。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4、凳子可通过旋转螺杆来升降凳子高度。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1316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备用刨刀片2片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长度82mm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1、适用于小学科学课显微镜观察用；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2、标本在50×和100×显微镜下观察线粒体结构；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3、符合JY/T0067-2011《生物玻片标本通用要求》的规定。</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电泳仪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1、四组输出，输出电压：2V～200V；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2、输出电流：2mA～200mA，额定输出功率（1-40W)；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3、静约3.2kg；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4、环境温度：5℃-40℃，输入功率，约85VA。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1．产品由左夹板、右夹板、螺钉及紧固蝴蝶螺母等组成。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2．产品长250mm，宽40mm。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3．左、右夹板应由木质制成。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4．上夹板有直径为6mm、8mm、10mm、12mm直穿孔4个。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5．紧固螺钉与下夹板坚固为一体，紧固螺钉长度60mm。上夹板上下高度可调，由蝴蝶螺母定位。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6．上夹板、下夹板厚度12mm，具有足够强度。</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耐腐蚀品储存柜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1、尺寸：≥1840mm*900mm*510mm；门类型：双开门；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2、易燃品毒害品储存柜外壳体全部采用≥1.2mm的冷轧钢板，柜体底座采用2.0mm的冷轧钢板,内外表面经酸洗磷化环氧树脂粉末喷涂，烘热固化处理。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易燃品毒害品储存柜体内胆（上，下、左、右内衬板）均采用PP（聚丙烯树脂）板，厚度4mm；柜底部设置≥90*50*145mm进风口，进风口底部有PP（聚丙烯树脂）旋转式可调风阀；柜体的底板中部有≥Φ10mm漏液孔，漏液孔上面盖上不低于60目304*不锈钢网；柜体底部设不低于h=160mm黄沙(防倒）挡板，柜体内部最下层留有可以存放不少于120mm厚黄沙的填埋腔，用于埋放金属钠、黄磷（白磷）等的易燃物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4、柜底装有四个移动尼龙轮，便于易燃品毒害品储存柜移动；前轮后有≥2个手动调节罗杆，方便危化品储存柜定位。</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柜中部有≥3个一次成型聚丙烯活动层板，层板四周边缘厚度平均值不小于4.0mm;每层阶梯板外延边有积液槽，积液槽高度平均值不小于3.0mm，最大可能防止液体外溢；每个搁板靠背板处有一排导风口，阶梯高度不小于50mm（包括积液盘的高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柜顶部中间开有≥φ160mm的出风口，柜顶风口内置一个AC220V50HZ0.18A轴流风机，最大风量≥326m³/h，转速≥2550转/min,环境温度（-10-+70）摄氏度，无火花静电，控制开关设置柜体顶部的右上角，当风机开机前要把柜门下面中间的进风口推置打开状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密封件：柜体门与柜体之间应安装防火膨胀密封件，密封件应符合国家相关标准的要求。（柜体门与柜体之间应安装环保热膨胀密封条。当温度为150℃~180℃时密封条局部膨胀，温度达到200℃时密封条全部膨胀，膨胀比例为1:5，以保证储存药品的安全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8、陶瓷纤维棉：柜体应填充具有保温隔热作用的陶瓷纤维棉，陶瓷纤维棉应符合GB/T21114-2019的要求，（密度≥130㎏/m³，厚度:≥40mm）。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9、铰链：铰链应为钢琴式铰链，确保门能开≥180度。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10、电子密码锁：柜体配备电子密码锁和机械锁，实现双人双锁管理，同时锁具具有开锁记录查询功能及隐码功能；天地锁锁舌选用坚韧且有弹性的高分子合成塑料制成，耐磨且抗腐蚀性能极强。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11、环保性能：室内甲醛含量≤0.8mg/m³；苯含量≤0.09mg/m³，甲醛及苯含量符合国家标准要求。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12、电源：符合国家相关标准的要求。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13、通风控制装置：柜体底部应设置进风口及可调风阀，可调风阀旋转灵活，并能控制风量大小。通风管道口径宜采用≥Φ160mm，通风管应耐高温、阻燃、耐腐蚀，符合JGJ/T141-2017的要求。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14、配备接地装置实现完全接地。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15、装箱时柜内外的说明标识：《易燃品毒害品储存柜使用说明书》，《合格证》，《安全储存说明书》，柜门上贴有反光警示标签。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棱镜分光镜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结构：三棱镜色散型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棱镜材质：光学玻璃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适用波段：可见光区 400～760 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载物台调节：3 个调平螺丝，可放置棱镜、光栅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刻度盘：360° 圆周刻度，带游标读数</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灯光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1、外壳材料：工程塑料。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2、功率：≥7W。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3、灯管：LED发光。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4、投射角度：≥180度。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5、额定功率：AC 220V。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1039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教师电源监测管理模块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1、电源配置教师电源监测管理云，用于教师端对教师电源进行设备管理，实验数据监测管理，异常信息监测管理。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2、用户管理：应可以刷新、新增、修改、删除以及查询用户等相应的操作，并给指定的用户赋予不同的角色，也可以给用户直接赋予不同的功能授权。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3、角色管理：应可以刷新、新增、修改、删除以及查询角色等相应的操作，并给不同的角色赋予不同的功能授权。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4、空间管理：应可以刷新、新增学校区域、修改学校区域、删除学校区域以及搜索学校区域等相应的操作。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5、主控电源管理：应可以刷新，新增、修改、删除以及查询主控电源数据。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6、异常告警管理：应可以查看主控电源异常情况（短路或者过载），并支持Excel数据导出。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7、操作日志管理：应可以查看教师在实验教学过程中的操作过程，便于数据异常的操作追溯，并支持Excel数据导出。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8、教师电源数据管理：应可以查看实验教学过程中的教学电源数据（教师电流和电压），便于实验教学数据的整理，并支持Excel数据导出。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钢卷尺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1、由尺带、尺盒组成；量程为0mm～5000mm；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2、最小刻度值为1mm，每厘米处的刻线是毫米刻线长的2倍并标有相应数字；刻线均匀、清晰；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3、1m长示值允差±0.8mm，0.001m长示值允差±0.3nm；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4、尺带由不锈钢制成，弹性适宜，进出灵活，有止动装置；尺盒可为塑料制成；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5、符合QB/T2443-1999《钢卷尺》。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避雷针原理、静电屏蔽、静电除尘、静电植绒、静电乒乓、静电转轮等。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磁感应强度≥0.8T</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手术剪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12.5cm 直尖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实验桌2</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1、规格：1200*1200*760mm±10mm。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2、台面：采用一体化12mm±1mm实芯理化板台面，耐强酸碱、耐腐蚀、耐有机溶剂，抗菌、抗污染、防水、防火，并经精密加工、倒角、打磨，呈光滑半圆形，注重人性化设计，美观实用。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3、台身结构：新型塑铝结构，整体尺寸为≥1200*600*760mm，两张桌架拼接而成。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书包斗：整体尺寸≥480*290*150mm,壁厚≥3.0mm，采用环保型ABS塑料工程一次性注塑成型，在书包斗的前端中心位置注塑出螺孔，通过螺钉将书包斗与中间横梁固定相接，可拆卸易于组装。中间设置内凹圆槽挂凳卡槽，便于收纳、放置实验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5、桌腿：采用工字型压铸铝一次成型，材料表面经高压静电喷涂环氧树脂防护层，耐酸碱，耐腐蚀处理。上腿规格：长≥585mm宽≥56mm高≥90mm，壁厚≥3.0mm。下腿规格：长≥540mm宽≥51mm高≥80mm，壁厚≥3.0mm。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立柱：采用≥41×95mm，壁厚≥1.8mm。前横梁采用≥36×25mm，壁厚≥1.3mm。中横梁采用≥34×25mm，壁厚≥1.3mm。后横梁：采用≥43×26mm，壁厚≥1.3mm。加强横支撑件：采用≥30×60mm椭圆管，壁厚≥1.5mm。材料表面经高压静电喷涂环氧树脂防护层，耐酸碱，耐腐蚀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7、下腿：下腿设有孔位，可通过螺丝与地面固定。桌脚配有PP脚套装饰盖。</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1、双路0V～12V稳压连续可调，1.5A，两路可串联使用，过载保护；</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2、交流一路，0V～15V，3A，连续可调正弦波。带不低于2.5级电压表，过载保护。</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1、用于测量各种电机、电缆、变压器、电讯元器件、家用电器和其他电气设备的绝缘电阻；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2、额定电压：500V，允差±10%；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3、准确度：10级。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单摆组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由5个大小不一的摆球组成。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电源适配器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最大电流2A</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1049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砂光片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80目</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包</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室外风管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1、室外风管采用直径为≥400mm，PVC管路或者采用PP焊接管路</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跳舞的回形针</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1、设备参数：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规格：0.9×0.6×1.2m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电源：AC220V/50Hz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功率：500W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采用新型复合材料，经高温模铸压工艺成型。具备优良的电气绝缘性、耐腐蚀性、环保无毒、优异的耐紫外线抗老化性能，阻燃性可达到FVO级，使用寿命长，永不变色的特性。简约时尚的蛋壳造型展台，在满足展示载体的同时，让原本厚重的展台变得更加灵动。场景百搭是它展陈的核心优势，其独特的外观能更好的融入于各种场景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台面：康贝特板，厚度≧10mm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展台固定脚：碳钢表面电镀钢板厚度≧2mm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3.线圈直径60cm，高度20cm，3800匝，磁场强度可调，音乐可以自由变换。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4.FZ8421编程板，12组控制端子，自动变换。安全电压供电12伏，电流30A。56型标准音乐播放版，内存2G,自动切换。透明防护罩，厚度10毫米，高度260毫米。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回形针舞台之下其实暗藏着电磁线圈，线圈通电时产生磁场。当线圈两端随着音乐节奏不断变化时，磁场的强弱也随之变化。而回形针是含有原磁体的铁制成的，处于磁场中就会被磁化，使得回形针直接能够互相吸引。于是，多个回形针相连站立起来，并随着音乐节奏跳起舞来。</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类型：静电偏转型阴极射线管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偏转方式：两对垂直静电偏转板</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1、等级指数2.5级，量程3V、15V；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2、标度盘：标度盘正面为无光白色，色调柔和，刻度线条平直不间断，清晰鲜明，色差明显；表面清洁平整；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3、指针：指针应挺直，涂色与标度盘颜色的色差要明显。</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电工工具箱</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专用配套工具箱34件套，含22种必备常用工具，工具箱内定点定位，方便使用和管理。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工具包括：电工胶布，1卷，5mPVC电工胶布；芝麻柄螺丝批，2把，6*100mmPH2# 十字一字各一支；芝麻柄螺丝批，2把，5*75mmPH1#，十字一字各一支；芝麻柄螺丝批，2把，3*150mmPH0# 十字一字各一支；钢卷尺，1把，3m*12.5mm公制白色涂脂尺带；吸锡</w:t>
            </w:r>
            <w:r>
              <w:rPr>
                <w:rFonts w:hint="eastAsia" w:ascii="宋体" w:hAnsi="宋体" w:cs="宋体"/>
                <w:color w:val="000000"/>
                <w:sz w:val="20"/>
                <w:szCs w:val="20"/>
                <w:lang w:bidi="ar"/>
              </w:rPr>
              <w:t xml:space="preserve">器，1个，铝塑吸锡泵；剥线钳，1把，磨齿剥线钳、剥线经0.6-2.6mm、后面切线功能；刷子，1把，软毛刷；焊锡丝，1卷，1.0mm FLNX 2.0%；小钢锯，1把，配一根锯条；测电笔，1支，氖管；活动扳手，1把，8”；羊角锤，1把，0.25KG钢管柄；钢丝钳，1把，7”；尖嘴钳，1把，6"；斜口钳，1把，7"；数显万用表，1台，T830B数字；精密螺丝批，6把/套，PH00 PH0 -3.0 -2.0 -1.2；电烙铁，1把，220V50Hz60W；美工刀，1把，单发包胶；烙铁架，1付，内六角扳手1套。</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1、产品组成：电磁打点计时器由计时器主机、固定G形夹、重锤、纸带、复写纸片等组成；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2、6V50HZ黑色塑料材质。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7mm钻头</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φ7mm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物理实验装饰挂画</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1.墙布：油画布打印，尺寸长5.9m，高2m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视觉文化展示模块：运用CDR/AI/PS等设计软件根据学校设计要求制定图文排版，主要采用透明背胶、UV印刷等方式。另外还要看安装现场以设计为基础计算每个字的大小、字型、颜色，进行搜字。设计内容要求符合现代中小学生基本审美标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绳波演示器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横波、行波、驻波、模拟偏振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工作电源：AC 220V / 50Hz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振动频率：1～10Hz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驱动方式：电动偏心轮 / 电磁振动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绳长：约 1.5～2.0 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振幅调节：0～20mm 可调</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1059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元素及其化合物</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Style w:val="968"/>
                <w:rFonts w:hint="eastAsia" w:eastAsia="宋体"/>
                <w:color w:val="auto"/>
                <w:highlight w:val="none"/>
                <w:lang w:eastAsia="zh-CN" w:bidi="ar"/>
              </w:rPr>
            </w:pPr>
            <w:r>
              <w:rPr>
                <w:rStyle w:val="968"/>
                <w:rFonts w:hint="default"/>
                <w:color w:val="auto"/>
                <w:highlight w:val="none"/>
                <w:lang w:bidi="ar"/>
              </w:rPr>
              <w:t xml:space="preserve">以《普通高中化学课程标准（</w:t>
            </w:r>
            <w:r>
              <w:rPr>
                <w:rStyle w:val="970"/>
                <w:color w:val="auto"/>
                <w:highlight w:val="none"/>
                <w:lang w:bidi="ar"/>
              </w:rPr>
              <w:t xml:space="preserve">2017</w:t>
            </w:r>
            <w:r>
              <w:rPr>
                <w:rStyle w:val="968"/>
                <w:rFonts w:hint="default"/>
                <w:color w:val="auto"/>
                <w:highlight w:val="none"/>
                <w:lang w:bidi="ar"/>
              </w:rPr>
              <w:t xml:space="preserve">年版</w:t>
            </w:r>
            <w:r>
              <w:rPr>
                <w:rStyle w:val="970"/>
                <w:color w:val="auto"/>
                <w:highlight w:val="none"/>
                <w:lang w:bidi="ar"/>
              </w:rPr>
              <w:t xml:space="preserve">2020</w:t>
            </w:r>
            <w:r>
              <w:rPr>
                <w:rStyle w:val="968"/>
                <w:rFonts w:hint="default"/>
                <w:color w:val="auto"/>
                <w:highlight w:val="none"/>
                <w:lang w:bidi="ar"/>
              </w:rPr>
              <w:t xml:space="preserve">年修订）》为依据，结合各大版本高中化学课程教材，满足高中化学课程的所有实验。此箱是专为教师及学生完成教材要求的实验而设计，采用高度集成的方法将</w:t>
            </w:r>
            <w:r>
              <w:rPr>
                <w:rStyle w:val="970"/>
                <w:color w:val="auto"/>
                <w:highlight w:val="none"/>
                <w:lang w:bidi="ar"/>
              </w:rPr>
              <w:t xml:space="preserve">“</w:t>
            </w:r>
            <w:r>
              <w:rPr>
                <w:rStyle w:val="968"/>
                <w:rFonts w:hint="default"/>
                <w:color w:val="auto"/>
                <w:highlight w:val="none"/>
                <w:lang w:bidi="ar"/>
              </w:rPr>
              <w:t xml:space="preserve">元素及其化合物</w:t>
            </w:r>
            <w:r>
              <w:rPr>
                <w:rStyle w:val="970"/>
                <w:color w:val="auto"/>
                <w:highlight w:val="none"/>
                <w:lang w:bidi="ar"/>
              </w:rPr>
              <w:t xml:space="preserve">”</w:t>
            </w:r>
            <w:r>
              <w:rPr>
                <w:rStyle w:val="968"/>
                <w:rFonts w:hint="default"/>
                <w:color w:val="auto"/>
                <w:highlight w:val="none"/>
                <w:lang w:bidi="ar"/>
              </w:rPr>
              <w:t xml:space="preserve">这一知识模块对应的实验需要用到的仪器分块放置在实验箱里，准备简单，管理方便。每款仪器的配置均符合教材上要求的所有实验，充分提高了实验课堂的授课水平和学习质量。对部分实验仪器做了改进和分类，使实验操作更加方便、快捷。</w:t>
            </w:r>
            <w:r>
              <w:rPr>
                <w:rStyle w:val="968"/>
                <w:rFonts w:hint="default"/>
                <w:color w:val="auto"/>
                <w:highlight w:val="none"/>
                <w:lang w:bidi="ar"/>
              </w:rPr>
              <w:br/>
            </w:r>
            <w:r>
              <w:rPr>
                <w:rStyle w:val="968"/>
                <w:rFonts w:hint="default"/>
                <w:color w:val="auto"/>
                <w:highlight w:val="none"/>
                <w:lang w:bidi="ar"/>
              </w:rPr>
              <w:t xml:space="preserve">外观尺寸</w:t>
            </w:r>
            <w:r>
              <w:rPr>
                <w:rStyle w:val="970"/>
                <w:color w:val="auto"/>
                <w:highlight w:val="none"/>
                <w:lang w:bidi="ar"/>
              </w:rPr>
              <w:t xml:space="preserve">(mm)</w:t>
            </w:r>
            <w:r>
              <w:rPr>
                <w:rStyle w:val="968"/>
                <w:rFonts w:hint="default"/>
                <w:color w:val="auto"/>
                <w:highlight w:val="none"/>
                <w:lang w:bidi="ar"/>
              </w:rPr>
              <w:t xml:space="preserve">：</w:t>
            </w:r>
            <w:r>
              <w:rPr>
                <w:rStyle w:val="968"/>
                <w:rFonts w:hint="eastAsia"/>
                <w:color w:val="auto"/>
                <w:highlight w:val="none"/>
                <w:lang w:val="en-US" w:eastAsia="zh-CN" w:bidi="ar"/>
              </w:rPr>
              <w:t xml:space="preserve">≥</w:t>
            </w:r>
            <w:r>
              <w:rPr>
                <w:rStyle w:val="970"/>
                <w:color w:val="auto"/>
                <w:highlight w:val="none"/>
                <w:lang w:bidi="ar"/>
              </w:rPr>
              <w:t xml:space="preserve">485*370*155mm</w:t>
            </w:r>
            <w:r>
              <w:rPr>
                <w:rStyle w:val="970"/>
                <w:color w:val="auto"/>
                <w:highlight w:val="none"/>
                <w:lang w:bidi="ar"/>
              </w:rPr>
              <w:br/>
            </w:r>
            <w:r>
              <w:rPr>
                <w:rStyle w:val="968"/>
                <w:rFonts w:hint="default"/>
                <w:color w:val="auto"/>
                <w:highlight w:val="none"/>
                <w:lang w:bidi="ar"/>
              </w:rPr>
              <w:t xml:space="preserve">箱体材料：高密度工程塑料（聚丙烯）</w:t>
            </w:r>
            <w:r>
              <w:rPr>
                <w:rStyle w:val="968"/>
                <w:rFonts w:hint="eastAsia"/>
                <w:color w:val="auto"/>
                <w:highlight w:val="none"/>
                <w:lang w:eastAsia="zh-CN" w:bidi="ar"/>
              </w:rPr>
              <w:t xml:space="preserve">。</w:t>
            </w:r>
            <w:r/>
          </w:p>
          <w:p>
            <w:pPr>
              <w:jc w:val="left"/>
              <w:spacing w:line="360" w:lineRule="auto"/>
              <w:widowControl/>
              <w:rPr>
                <w:rFonts w:ascii="宋体" w:hAnsi="宋体" w:cs="宋体"/>
                <w:color w:val="000000"/>
                <w:sz w:val="20"/>
                <w:szCs w:val="20"/>
              </w:rPr>
            </w:pPr>
            <w:r>
              <w:rPr>
                <w:rStyle w:val="968"/>
                <w:rFonts w:hint="default"/>
                <w:color w:val="auto"/>
                <w:highlight w:val="none"/>
                <w:lang w:bidi="ar"/>
              </w:rPr>
              <w:t xml:space="preserve">箱体内部零件固定体：采用高发泡隔离填充材料。零件固定体按零件形状数控雕刻成型，每种实验器材有相对应插槽，每种实验器材设有固定位置。</w:t>
            </w:r>
            <w:r>
              <w:rPr>
                <w:rStyle w:val="968"/>
                <w:rFonts w:hint="default"/>
                <w:color w:val="auto"/>
                <w:highlight w:val="none"/>
                <w:lang w:bidi="ar"/>
              </w:rPr>
              <w:br/>
            </w:r>
            <w:r>
              <w:rPr>
                <w:rStyle w:val="968"/>
                <w:rFonts w:hint="default"/>
                <w:color w:val="auto"/>
                <w:highlight w:val="none"/>
                <w:lang w:bidi="ar"/>
              </w:rPr>
              <w:t xml:space="preserve">实验器材：镊子、表面皿、泥三角、坩埚、酒精灯、</w:t>
            </w:r>
            <w:r>
              <w:rPr>
                <w:rStyle w:val="970"/>
                <w:color w:val="auto"/>
                <w:highlight w:val="none"/>
                <w:lang w:bidi="ar"/>
              </w:rPr>
              <w:t xml:space="preserve">250mL</w:t>
            </w:r>
            <w:r>
              <w:rPr>
                <w:rStyle w:val="968"/>
                <w:rFonts w:hint="default"/>
                <w:color w:val="auto"/>
                <w:highlight w:val="none"/>
                <w:lang w:bidi="ar"/>
              </w:rPr>
              <w:t xml:space="preserve">烧杯、</w:t>
            </w:r>
            <w:r>
              <w:rPr>
                <w:rStyle w:val="970"/>
                <w:color w:val="auto"/>
                <w:highlight w:val="none"/>
                <w:lang w:bidi="ar"/>
              </w:rPr>
              <w:t xml:space="preserve">100mL</w:t>
            </w:r>
            <w:r>
              <w:rPr>
                <w:rStyle w:val="968"/>
                <w:rFonts w:hint="default"/>
                <w:color w:val="auto"/>
                <w:highlight w:val="none"/>
                <w:lang w:bidi="ar"/>
              </w:rPr>
              <w:t xml:space="preserve">烧杯、胶头滴管、试管（小）、玻璃棒、药匙、红液温度计、试管夹、试管（大）、</w:t>
            </w:r>
            <w:r>
              <w:rPr>
                <w:rStyle w:val="970"/>
                <w:color w:val="auto"/>
                <w:highlight w:val="none"/>
                <w:lang w:bidi="ar"/>
              </w:rPr>
              <w:t xml:space="preserve">120°</w:t>
            </w:r>
            <w:r>
              <w:rPr>
                <w:rStyle w:val="968"/>
                <w:rFonts w:hint="default"/>
                <w:color w:val="auto"/>
                <w:highlight w:val="none"/>
                <w:lang w:bidi="ar"/>
              </w:rPr>
              <w:t xml:space="preserve">弯管、长直角玻璃管、口部具支试管、短直角玻璃管、止水皮管夹、玻璃导管、圆底烧瓶、</w:t>
            </w:r>
            <w:r>
              <w:rPr>
                <w:rStyle w:val="970"/>
                <w:color w:val="auto"/>
                <w:highlight w:val="none"/>
                <w:lang w:bidi="ar"/>
              </w:rPr>
              <w:t xml:space="preserve">10mL</w:t>
            </w:r>
            <w:r>
              <w:rPr>
                <w:rStyle w:val="968"/>
                <w:rFonts w:hint="default"/>
                <w:color w:val="auto"/>
                <w:highlight w:val="none"/>
                <w:lang w:bidi="ar"/>
              </w:rPr>
              <w:t xml:space="preserve">量筒、石棉网、漏斗、蒸发皿、坩埚钳等。</w:t>
            </w:r>
            <w:r>
              <w:rPr>
                <w:rStyle w:val="968"/>
                <w:rFonts w:hint="default"/>
                <w:color w:val="auto"/>
                <w:highlight w:val="none"/>
                <w:lang w:bidi="ar"/>
              </w:rPr>
              <w:br/>
            </w:r>
            <w:r>
              <w:rPr>
                <w:rStyle w:val="968"/>
                <w:rFonts w:hint="default"/>
                <w:color w:val="auto"/>
                <w:highlight w:val="none"/>
                <w:lang w:bidi="ar"/>
              </w:rPr>
              <w:t xml:space="preserve">可做实验：</w:t>
            </w:r>
            <w:r>
              <w:rPr>
                <w:rStyle w:val="970"/>
                <w:color w:val="auto"/>
                <w:highlight w:val="none"/>
                <w:lang w:bidi="ar"/>
              </w:rPr>
              <w:t xml:space="preserve">1</w:t>
            </w:r>
            <w:r>
              <w:rPr>
                <w:rStyle w:val="968"/>
                <w:rFonts w:hint="default"/>
                <w:color w:val="auto"/>
                <w:highlight w:val="none"/>
                <w:lang w:bidi="ar"/>
              </w:rPr>
              <w:t xml:space="preserve">、观察钠；</w:t>
            </w:r>
            <w:r>
              <w:rPr>
                <w:rStyle w:val="970"/>
                <w:color w:val="auto"/>
                <w:highlight w:val="none"/>
                <w:lang w:bidi="ar"/>
              </w:rPr>
              <w:t xml:space="preserve">2</w:t>
            </w:r>
            <w:r>
              <w:rPr>
                <w:rStyle w:val="968"/>
                <w:rFonts w:hint="default"/>
                <w:color w:val="auto"/>
                <w:highlight w:val="none"/>
                <w:lang w:bidi="ar"/>
              </w:rPr>
              <w:t xml:space="preserve">、钠在空气中加热；</w:t>
            </w:r>
            <w:r>
              <w:rPr>
                <w:rStyle w:val="970"/>
                <w:color w:val="auto"/>
                <w:highlight w:val="none"/>
                <w:lang w:bidi="ar"/>
              </w:rPr>
              <w:t xml:space="preserve">3</w:t>
            </w:r>
            <w:r>
              <w:rPr>
                <w:rStyle w:val="968"/>
                <w:rFonts w:hint="default"/>
                <w:color w:val="auto"/>
                <w:highlight w:val="none"/>
                <w:lang w:bidi="ar"/>
              </w:rPr>
              <w:t xml:space="preserve">、钠与水的反应；</w:t>
            </w:r>
            <w:r>
              <w:rPr>
                <w:rStyle w:val="970"/>
                <w:color w:val="auto"/>
                <w:highlight w:val="none"/>
                <w:lang w:bidi="ar"/>
              </w:rPr>
              <w:t xml:space="preserve">4</w:t>
            </w:r>
            <w:r>
              <w:rPr>
                <w:rStyle w:val="968"/>
                <w:rFonts w:hint="default"/>
                <w:color w:val="auto"/>
                <w:highlight w:val="none"/>
                <w:lang w:bidi="ar"/>
              </w:rPr>
              <w:t xml:space="preserve">、过氧化钠与水的反应；</w:t>
            </w:r>
            <w:r>
              <w:rPr>
                <w:rStyle w:val="970"/>
                <w:color w:val="auto"/>
                <w:highlight w:val="none"/>
                <w:lang w:bidi="ar"/>
              </w:rPr>
              <w:t xml:space="preserve">5</w:t>
            </w:r>
            <w:r>
              <w:rPr>
                <w:rStyle w:val="968"/>
                <w:rFonts w:hint="default"/>
                <w:color w:val="auto"/>
                <w:highlight w:val="none"/>
                <w:lang w:bidi="ar"/>
              </w:rPr>
              <w:t xml:space="preserve">、观察碳酸钠和碳酸氢钠；</w:t>
            </w:r>
            <w:r>
              <w:rPr>
                <w:rStyle w:val="970"/>
                <w:color w:val="auto"/>
                <w:highlight w:val="none"/>
                <w:lang w:bidi="ar"/>
              </w:rPr>
              <w:t xml:space="preserve">6</w:t>
            </w:r>
            <w:r>
              <w:rPr>
                <w:rStyle w:val="968"/>
                <w:rFonts w:hint="default"/>
                <w:color w:val="auto"/>
                <w:highlight w:val="none"/>
                <w:lang w:bidi="ar"/>
              </w:rPr>
              <w:t xml:space="preserve">、加热碳酸钠和碳酸氢钠；</w:t>
            </w:r>
            <w:r>
              <w:rPr>
                <w:rStyle w:val="970"/>
                <w:color w:val="auto"/>
                <w:highlight w:val="none"/>
                <w:lang w:bidi="ar"/>
              </w:rPr>
              <w:t xml:space="preserve">7</w:t>
            </w:r>
            <w:r>
              <w:rPr>
                <w:rStyle w:val="968"/>
                <w:rFonts w:hint="default"/>
                <w:color w:val="auto"/>
                <w:highlight w:val="none"/>
                <w:lang w:bidi="ar"/>
              </w:rPr>
              <w:t xml:space="preserve">、氢气在氯气中燃烧；</w:t>
            </w:r>
            <w:r>
              <w:rPr>
                <w:rStyle w:val="970"/>
                <w:color w:val="auto"/>
                <w:highlight w:val="none"/>
                <w:lang w:bidi="ar"/>
              </w:rPr>
              <w:t xml:space="preserve">8</w:t>
            </w:r>
            <w:r>
              <w:rPr>
                <w:rStyle w:val="968"/>
                <w:rFonts w:hint="default"/>
                <w:color w:val="auto"/>
                <w:highlight w:val="none"/>
                <w:lang w:bidi="ar"/>
              </w:rPr>
              <w:t xml:space="preserve">、探究次氯酸的漂白性；</w:t>
            </w:r>
            <w:r>
              <w:rPr>
                <w:rStyle w:val="970"/>
                <w:color w:val="auto"/>
                <w:highlight w:val="none"/>
                <w:lang w:bidi="ar"/>
              </w:rPr>
              <w:t xml:space="preserve">9</w:t>
            </w:r>
            <w:r>
              <w:rPr>
                <w:rStyle w:val="968"/>
                <w:rFonts w:hint="default"/>
                <w:color w:val="auto"/>
                <w:highlight w:val="none"/>
                <w:lang w:bidi="ar"/>
              </w:rPr>
              <w:t xml:space="preserve">、氯离子的检验；</w:t>
            </w:r>
            <w:r>
              <w:rPr>
                <w:rStyle w:val="970"/>
                <w:color w:val="auto"/>
                <w:highlight w:val="none"/>
                <w:lang w:bidi="ar"/>
              </w:rPr>
              <w:t xml:space="preserve">10</w:t>
            </w:r>
            <w:r>
              <w:rPr>
                <w:rStyle w:val="968"/>
                <w:rFonts w:hint="default"/>
                <w:color w:val="auto"/>
                <w:highlight w:val="none"/>
                <w:lang w:bidi="ar"/>
              </w:rPr>
              <w:t xml:space="preserve">、探究氢氧化铁和氢氧化亚铁的性质；</w:t>
            </w:r>
            <w:r>
              <w:rPr>
                <w:rStyle w:val="970"/>
                <w:color w:val="auto"/>
                <w:highlight w:val="none"/>
                <w:lang w:bidi="ar"/>
              </w:rPr>
              <w:t xml:space="preserve">11</w:t>
            </w:r>
            <w:r>
              <w:rPr>
                <w:rStyle w:val="968"/>
                <w:rFonts w:hint="default"/>
                <w:color w:val="auto"/>
                <w:highlight w:val="none"/>
                <w:lang w:bidi="ar"/>
              </w:rPr>
              <w:t xml:space="preserve">、铁离子的检验；</w:t>
            </w:r>
            <w:r>
              <w:rPr>
                <w:rStyle w:val="970"/>
                <w:color w:val="auto"/>
                <w:highlight w:val="none"/>
                <w:lang w:bidi="ar"/>
              </w:rPr>
              <w:t xml:space="preserve">12</w:t>
            </w:r>
            <w:r>
              <w:rPr>
                <w:rStyle w:val="968"/>
                <w:rFonts w:hint="default"/>
                <w:color w:val="auto"/>
                <w:highlight w:val="none"/>
                <w:lang w:bidi="ar"/>
              </w:rPr>
              <w:t xml:space="preserve">、铁离子与亚铁离子之间的相互转化；</w:t>
            </w:r>
            <w:r>
              <w:rPr>
                <w:rStyle w:val="970"/>
                <w:color w:val="auto"/>
                <w:highlight w:val="none"/>
                <w:lang w:bidi="ar"/>
              </w:rPr>
              <w:t xml:space="preserve">13</w:t>
            </w:r>
            <w:r>
              <w:rPr>
                <w:rStyle w:val="968"/>
                <w:rFonts w:hint="default"/>
                <w:color w:val="auto"/>
                <w:highlight w:val="none"/>
                <w:lang w:bidi="ar"/>
              </w:rPr>
              <w:t xml:space="preserve">、利用覆铜板制作图案；</w:t>
            </w:r>
            <w:r>
              <w:rPr>
                <w:rStyle w:val="970"/>
                <w:color w:val="auto"/>
                <w:highlight w:val="none"/>
                <w:lang w:bidi="ar"/>
              </w:rPr>
              <w:t xml:space="preserve">14</w:t>
            </w:r>
            <w:r>
              <w:rPr>
                <w:rStyle w:val="968"/>
                <w:rFonts w:hint="default"/>
                <w:color w:val="auto"/>
                <w:highlight w:val="none"/>
                <w:lang w:bidi="ar"/>
              </w:rPr>
              <w:t xml:space="preserve">、检验食品中的铁元素等。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电磁定位设备</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一、组成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1.电磁定位板由支架、电磁定位板、纵横向保护槽、信号源、弹射器、附件组成。定位范围：578mm×330mm。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2.材质：铝合金+亚克力</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3.工艺：表面亚光黑色氧化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二、功能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1.最高采样频率：200Hz/s；</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2.定位精度：≤1mm。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3.通过实时定位，检测跟踪信号源在定位板上的位置，研究物体在二维平面内运动规律。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三、实验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标配实验配件为三速弹射器，用于抛射信号源，可完成平抛运动/斜抛运动的相关实验研究。可以选配其它实验配件，完成单摆、自由落体运动、机械能守恒定律、阻尼振动、离心运动、运动的合成、圆周运动物体的投影及速度方向等十几个相关实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移液器</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1、五种规格为一套，量程分别为：0.5-10μL、10-100μL、20-200μL、100-1000μL、1000-5000μL。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2.轻触式吸头脱卸与调数锁定装置一体化集成，避免误操作及手部疲劳。</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3.4位大数字显示，更加精确易读。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4.颜色识别：方便快速识别量程和适配吸头。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5.采用张力钢琴弹簧技术，按压力轻。</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6.内置密度调节装置，可根据不同液体密度进行微调，提高移液器准确性和精确性。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7.TRTG数码轮微调装置，可以单手独立操作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8.移液杆可高温高压灭菌和紫外线灭菌，操作更安全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9.小量程移液器活塞功能增强设计，确保强吹出能力。</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1、透明钠钙玻璃材质，由磨口瓶和玻片组成；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2、规格：250mL；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3、磨砂密合性：盖板与瓶口充分湿润密合后，倒提瓶体，盖板附瓶口上应保持30秒不掉；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4、瓶身光洁圆整，不得有扁瘪现象，瓶底平稳，不允许有旋转缩径和磨光的小缺口；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虎钳固定块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螺纹规格：M6×1 细牙 / 标准牙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定位 / 重复精度：≤0.02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夹紧方式：单向 / 双向斜楔式（OK 夹具），静电 / 机械锁紧</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日常备用包</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尼龙包、绷带、弹性绷带、纸胶带、安全剐针、剪刀、口对口人工呼吸器、止血铁、湿巾纸、纱布、刨口贴。</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专业钻磨机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转速：6,000 ~ 34,000 rpm,电压：220V,功率400W,长度：268mm,重量：约980g,夹紧范围：0.6~6.5mm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材质：优质厚玻璃制成；0.01MM，1\400MM2。</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学生多功能电源模块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2、学生电源采用耐磨、耐腐蚀、耐高温的PC亮光薄膜面板，学生电源的控制采用按钮式按键，可以随意设置电压，贴片元件生产技术，微电脑控制，采用大于4寸液晶显示电源学生交直流电压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3、学生交流电源通过上下键0～30V电压，最小调节单元可达1V,额定电流2.5A；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4、学生直流电源也是通过上下键选取，调节范围为0V～30V，分辨率可达0.1V,额定电流2A。                                                                          5、一个吊舱有2个网络接口，方便随时能上网。</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可固定试管、试剂瓶等仪器，木质成型,厚度不小于1cm,配备提手，提手高度不小于38cm。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1069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电动木工雕刻刀 </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1.夹持范围：0.5-3.2mm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2.功率：72W</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3.转速范围：8000-30000r/min</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4.输入电压：220V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5.机身尺寸：162x47mm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1、0r/min～1200r/min，无级调速；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2、最大容量：1L；210*260*430mm；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3、工作电压为220V。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炼苗架</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1、占地尺寸（长*宽*高）124*44*180CM，尺寸偏差偏差±2cm；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2、冷压钢板喷塑架，产品层板为采用冷压钢板，暗式布线，特别适合教学组培使用；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3、铝合金厚度：≥0.7mm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4、光照层共4层，每层配3根植物生长灯灯管，采用高亮LED光源，高透光阻燃PC灯罩，18W/根，配国标线缆；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5、带有微电脑独立控时装置，独立编程控时，每天最高可达12组开关模式，适用于-30℃-50℃，记时误±0.5秒/天；</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1、采用磁电系表头，适于做低压交流电流的测量，电表采取半波整流及滤波，表身为光亮黑色有机玻璃壳，设有防震装置和磁短路片；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2、测量范围：单刻度：双量程、100MA和500MA；</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3、准确度等级：2.5级；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4、工作位置：表面与合面成45度角；</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5、阻尼时间：不大于4秒。</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波动演示器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外形尺寸：约 1000×400×80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单杆长度：约 280～320 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摆动幅度：±30° 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驱动方式：手动摇柄 / 电动同步驱动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演示波形：横波、纵波、驻波、波的反射、干涉、衍射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材质：金属连杆 + 塑料摆片，底座钢制</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冲子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规格范围：直径 φ2mm – φ20mm，按整数尺寸分级配备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材质：高碳钢 / 铬钒合金钢，整体淬火处理</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无线数显钾离子传感器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功能模块用于测量溶液中钾离子的含量；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性能：测量范围：0～1mol/L；分度：10-5mol/L；最大采样率：5KHz；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技术指标：pH范围：2～12，温度范围：0～50℃，电极电阻：10～20MΩ，再现性：±2%；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结构：使用BNC连接器方式与电极连接，电极长度155mm，壳体直径12mm，帽盖直径16mm，导线长度100cm；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传感器尺寸：80*40*25(mm)，由高强度塑料外壳封装，采用注塑工艺，材质为蓝色透明PC。外壳设计M5螺丝孔位，可将传感器固定在多种操作和装置上；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模块化、可热插拔设计，支持有线通讯、无线通讯和屏幕数据显示三种工作方式；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可应用于Windows、Android、iOS、麒麟、统信、鸿蒙操作。</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6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高中物理系列2选修多媒体互动教学配套</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实验和相应教材配套，覆盖高中物理系列2选修模块内容，DVD光盘;1碟装。</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1、高硼硅玻璃材质；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2、规格：锥形，100mL；</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3、底部不允许有结石、节瘤存在；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4、产品应符合《玻璃仪器通用技术要求》。</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观察材料：黑藻幼嫩叶片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观察结构：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细胞质流动（胞质环流）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叶绿体形态与分布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叶片表皮细胞结构</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1079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电子温度计</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1、测量温度范围：32.00～42.00℃；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2、分辨力：0.01℃；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3、精度：0.05℃。</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磁性参数实验仪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主要实验内容：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1、学习磁滞回线的物理概念和测量原理，用示波器观察动态磁滞回线；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2、测量动态磁滞回线，并计算Br、Bs、Hc等值；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3、不同频率的动态磁滞回线的区别。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主要技术参数：</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1、内置专用低阻信号源：幅度0～2Vrms连续可调；频率25～200Hz连续可调，不受市电影响，磁滞回线的图形稳定、准确；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2、两种磁性材料：罗兰环铁氧体、EI型硅钢片；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3、四位频率表：测量范围20～1000Hz，最小分辨率：0.01Hz；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4、可调标准RC元件：测量H电阻R1：0～2Ω可调，测量B电阻R2：1K～110KΩ可调，精度0.5%；标准电容C：0.1μF、1μF、20μF，精度0.5%；可用示波器直接测量出一定频率下的Br、Bs、Hc等值，无需定标。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5、含100MHz双踪数字示波器</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学生端图像分析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1、可以根据用户需求可以对参数做相应设置：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1）自动曝光：提供手动设置和自动设置两种模式，默认自动模式。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2）白平衡：提供自动和一键两种模式，默认自动模式。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3）曝光:根据需要调节曝光时间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4）对比度：根据需要调节图像对比度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5）饱和度：根据需要调节图像饱和度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6）亮度：根据需要调节图像亮度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7）锐度：根据需要调节图像锐度</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8）色温：根据需要调节图像色温</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标定设置：提供标定模式，按线标定或圆标定两种标定模式可选，点线标定图标后，预览界面会直接显示线段，根据标定尺的位置和长度，鼠标将线段移至标定尺上方与相应刻度重合即可，设置名称、单位、精度、最后点保存图标即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3、测量模式：点坐标、直线、折线（鼠标右键结束）、画圆等操作、径画圆、三点画圆、同心圆、圆心距等操作等；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4、拍照、录像功能：内置一键拍照、一键开始录像功能。</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1、全长不小于152mm，由测电头、绝缘手柄组成，测量范围：交流12V-220V；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2、刀杆材料选用优质CR-V钢，全硬热处理，达到CE标准；手柄绝缘性能良好；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3、安全、结构、外观应符合JY0001第5、6、7的有关要求执行。</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支</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智能分光光度</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1.硬件包含智能分光光度计主机1台、比色皿10个、数据线1条、充电头1个；器材尺寸：150×90×60mm。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2.主机包含标有序号的4个比色皿卡槽，可同时放入4个比色皿，内置传动装置，可自动切换4个样品，通过软件选择任意一个需要测量的样品，进行吸光据测量。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3.可输出8个波段（8个波段分别为405nm-425nm、435nm-455nm、470nm-490nm、505nm-525nm、545nm-565nm、580nm-600nm、620nm-640nm、670nm-690nm。）的测量数据；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4.主机有电源开关按键、充电指示灯、USB数据通讯指示灯、蓝牙通讯指示灯、type-c数据和充电二合一接口；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5.测量透射率范围0~100%，分度0.1%；</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6.主机充电中和充满后有指示灯反馈；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7.可通过蓝牙无线或者有线方式与计算机通讯；可应用于Windows，安卓，Linux、ios、麒麟、统信、鸿蒙。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8.蓝牙无线通讯时，蓝牙指示灯会亮起；有线通讯时，USB数据通讯指示灯会亮起；</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9.包含原理介绍，能够借助硬件和软件自动联动，同时呈现出仪器的工作过程和实验数据。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10.产品经过高低温试验（产品经低温-20℃、高温55℃贮存72小时后，能正常工作）、恒定湿热试验（产品经温度50℃、湿度90%RH，贮存72小时后，能正常工作。）合格。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1、最大称量100g，分度值0.1g；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2、称量允许误差为±0.5d(分度值)；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3、砝码组合的总质量（包括标尺计量值）应不小于天平的最大秤量；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4、冲压件及铸件表面应光洁平整，不应有毛刺、锋棱、裂纹和显见砂眼。</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1、非紫外光源，观察凝胶面积＞100mm×100mm；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2、工作电流0.6A，输出电压220V，工作电压12V。</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带柄铣刀组 2-5mm (4支组)</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铣刀直径2-3-4-5mm</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盒</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錾子</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规格为20mmx12mmx200mm，优质全锋钢刀口，火头硬，可用作錾铁，钢筋，水泥等。</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小型医疗箱</w:t>
            </w:r>
            <w:r/>
          </w:p>
        </w:tc>
        <w:tc>
          <w:tcPr>
            <w:tcBorders>
              <w:top w:val="single" w:color="000000" w:sz="4" w:space="0"/>
              <w:left w:val="single" w:color="000000" w:sz="4" w:space="0"/>
              <w:bottom w:val="single" w:color="000000" w:sz="4" w:space="0"/>
              <w:right w:val="single" w:color="000000" w:sz="4" w:space="0"/>
            </w:tcBorders>
            <w:tcW w:w="6953" w:type="dxa"/>
            <w:vAlign w:val="top"/>
            <w:textDirection w:val="lrTb"/>
            <w:noWrap w:val="false"/>
          </w:tcPr>
          <w:p>
            <w:pPr>
              <w:jc w:val="left"/>
              <w:rPr>
                <w:rFonts w:ascii="宋体" w:hAnsi="宋体" w:cs="宋体"/>
                <w:color w:val="000000"/>
                <w:sz w:val="20"/>
                <w:szCs w:val="20"/>
              </w:rPr>
            </w:pPr>
            <w:r>
              <w:rPr>
                <w:rFonts w:hint="eastAsia" w:ascii="宋体" w:hAnsi="宋体" w:cs="宋体"/>
                <w:color w:val="auto"/>
                <w:sz w:val="20"/>
                <w:szCs w:val="20"/>
                <w:lang w:bidi="ar"/>
              </w:rPr>
              <w:t xml:space="preserve">外部尺寸： 350mm×220mm×200mm；整体方正小巧，便于手提、车载、工位存放、便携转运，铝合金箱体，包含消毒用品、包扎辅料、防护用品及裁剪器材。</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1089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下水装置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1、规格:直径≥35mm*长度≥500mm水槽专配型排水管，不锈钢卡扣连接，安装方便不渗漏</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观察通电导线周围的磁场分布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Style w:val="968"/>
                <w:rFonts w:hint="default"/>
                <w:lang w:bidi="ar"/>
              </w:rPr>
              <w:t xml:space="preserve">一、整体规格：</w:t>
            </w:r>
            <w:r>
              <w:rPr>
                <w:rStyle w:val="968"/>
                <w:rFonts w:hint="default"/>
                <w:lang w:bidi="ar"/>
              </w:rPr>
              <w:br/>
            </w:r>
            <w:r>
              <w:rPr>
                <w:rStyle w:val="968"/>
                <w:rFonts w:hint="default"/>
                <w:lang w:bidi="ar"/>
              </w:rPr>
              <w:t xml:space="preserve">1.安装方式：台式</w:t>
            </w:r>
            <w:r>
              <w:rPr>
                <w:rStyle w:val="968"/>
                <w:rFonts w:hint="default"/>
                <w:lang w:bidi="ar"/>
              </w:rPr>
              <w:br/>
            </w:r>
            <w:r>
              <w:rPr>
                <w:rStyle w:val="968"/>
                <w:rFonts w:hint="default"/>
                <w:lang w:bidi="ar"/>
              </w:rPr>
              <w:t xml:space="preserve">2.外观尺寸：300×200×300mm(长×宽×高)</w:t>
            </w:r>
            <w:r>
              <w:rPr>
                <w:rStyle w:val="968"/>
                <w:rFonts w:hint="default"/>
                <w:lang w:bidi="ar"/>
              </w:rPr>
              <w:br/>
            </w:r>
            <w:r>
              <w:rPr>
                <w:rStyle w:val="968"/>
                <w:rFonts w:hint="default"/>
                <w:lang w:bidi="ar"/>
              </w:rPr>
              <w:t xml:space="preserve">3.机身材质：Q235优质镀锌钢板，标准板厚1mm；经恒温280℃喷塑处理，涂层坚固，防潮、防腐蚀，并通过盐雾试验，确保长期耐用。</w:t>
            </w:r>
            <w:r>
              <w:rPr>
                <w:rStyle w:val="968"/>
                <w:rFonts w:hint="default"/>
                <w:lang w:bidi="ar"/>
              </w:rPr>
              <w:br/>
            </w:r>
            <w:r>
              <w:rPr>
                <w:rStyle w:val="968"/>
                <w:rFonts w:hint="default"/>
                <w:lang w:bidi="ar"/>
              </w:rPr>
              <w:t xml:space="preserve">二、线圈：</w:t>
            </w:r>
            <w:r>
              <w:rPr>
                <w:rStyle w:val="968"/>
                <w:rFonts w:hint="default"/>
                <w:lang w:bidi="ar"/>
              </w:rPr>
              <w:br/>
            </w:r>
            <w:r>
              <w:rPr>
                <w:rStyle w:val="968"/>
                <w:rFonts w:hint="default"/>
                <w:lang w:bidi="ar"/>
              </w:rPr>
              <w:t xml:space="preserve">1.骨架：高透明度亚克力材质，尺寸为外径</w:t>
            </w:r>
            <w:r>
              <w:rPr>
                <w:rStyle w:val="971"/>
                <w:lang w:bidi="ar"/>
              </w:rPr>
              <w:t xml:space="preserve">φ</w:t>
            </w:r>
            <w:r>
              <w:rPr>
                <w:rStyle w:val="968"/>
                <w:rFonts w:hint="default"/>
                <w:lang w:bidi="ar"/>
              </w:rPr>
              <w:t xml:space="preserve">180mm×厚度20mm，便于观察线圈绕向与结构。</w:t>
            </w:r>
            <w:r>
              <w:rPr>
                <w:rStyle w:val="968"/>
                <w:rFonts w:hint="default"/>
                <w:lang w:bidi="ar"/>
              </w:rPr>
              <w:br/>
            </w:r>
            <w:r>
              <w:rPr>
                <w:rStyle w:val="968"/>
                <w:rFonts w:hint="default"/>
                <w:lang w:bidi="ar"/>
              </w:rPr>
              <w:t xml:space="preserve">2.线圈：采用大线径漆包线绕制，匝数精确匹配，确保通入大电流时能产生足够强的磁场和相互作用力，现象明显。</w:t>
            </w:r>
            <w:r>
              <w:rPr>
                <w:rStyle w:val="968"/>
                <w:rFonts w:hint="default"/>
                <w:lang w:bidi="ar"/>
              </w:rPr>
              <w:br/>
            </w:r>
            <w:r>
              <w:rPr>
                <w:rStyle w:val="968"/>
                <w:rFonts w:hint="default"/>
                <w:lang w:bidi="ar"/>
              </w:rPr>
              <w:t xml:space="preserve">3.接线方式： 配备4根带彩色橡胶插头的优质导线（红黑各两根），插接牢固，并可方便地交换正负极，从而改变线圈中的电流方向，演示不同的力（吸引/排斥）。</w:t>
            </w:r>
            <w:r>
              <w:rPr>
                <w:rStyle w:val="968"/>
                <w:rFonts w:hint="default"/>
                <w:lang w:bidi="ar"/>
              </w:rPr>
              <w:br/>
            </w:r>
            <w:r>
              <w:rPr>
                <w:rStyle w:val="968"/>
                <w:rFonts w:hint="default"/>
                <w:lang w:bidi="ar"/>
              </w:rPr>
              <w:t xml:space="preserve">三、环形电源变压器参数：</w:t>
            </w:r>
            <w:r>
              <w:rPr>
                <w:rStyle w:val="968"/>
                <w:rFonts w:hint="default"/>
                <w:lang w:bidi="ar"/>
              </w:rPr>
              <w:br/>
            </w:r>
            <w:r>
              <w:rPr>
                <w:rStyle w:val="968"/>
                <w:rFonts w:hint="default"/>
                <w:lang w:bidi="ar"/>
              </w:rPr>
              <w:t xml:space="preserve">线圈：优质纯铜线绕制，双层绝缘，确保大电流下的安全与稳定性。</w:t>
            </w:r>
            <w:r>
              <w:rPr>
                <w:rStyle w:val="968"/>
                <w:rFonts w:hint="default"/>
                <w:lang w:bidi="ar"/>
              </w:rPr>
              <w:br/>
            </w:r>
            <w:r>
              <w:rPr>
                <w:rStyle w:val="968"/>
                <w:rFonts w:hint="default"/>
                <w:lang w:bidi="ar"/>
              </w:rPr>
              <w:t xml:space="preserve">铁芯：优质高磁导率硅钢片，损耗低，效率高。</w:t>
            </w:r>
            <w:r>
              <w:rPr>
                <w:rStyle w:val="968"/>
                <w:rFonts w:hint="default"/>
                <w:lang w:bidi="ar"/>
              </w:rPr>
              <w:br/>
            </w:r>
            <w:r>
              <w:rPr>
                <w:rStyle w:val="968"/>
                <w:rFonts w:hint="default"/>
                <w:lang w:bidi="ar"/>
              </w:rPr>
              <w:t xml:space="preserve">功率：200VA，能提供强大的瞬时电流，保证演示的震撼效果。</w:t>
            </w:r>
            <w:r>
              <w:rPr>
                <w:rStyle w:val="968"/>
                <w:rFonts w:hint="default"/>
                <w:lang w:bidi="ar"/>
              </w:rPr>
              <w:br/>
            </w:r>
            <w:r>
              <w:rPr>
                <w:rStyle w:val="968"/>
                <w:rFonts w:hint="default"/>
                <w:lang w:bidi="ar"/>
              </w:rPr>
              <w:t xml:space="preserve">输入：AC 220V / 50Hz</w:t>
            </w:r>
            <w:r>
              <w:rPr>
                <w:rStyle w:val="968"/>
                <w:rFonts w:hint="default"/>
                <w:lang w:bidi="ar"/>
              </w:rPr>
              <w:br/>
            </w:r>
            <w:r>
              <w:rPr>
                <w:rStyle w:val="968"/>
                <w:rFonts w:hint="default"/>
                <w:lang w:bidi="ar"/>
              </w:rPr>
              <w:t xml:space="preserve">输出：低电压、大电流交流输出。</w:t>
            </w:r>
            <w:r/>
          </w:p>
        </w:tc>
        <w:tc>
          <w:tcPr>
            <w:tcBorders>
              <w:top w:val="single" w:color="000000" w:sz="4" w:space="0"/>
              <w:left w:val="single" w:color="000000" w:sz="4" w:space="0"/>
              <w:bottom w:val="single" w:color="000000" w:sz="4" w:space="0"/>
              <w:right w:val="non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模拟常见电场的电场线分布</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Style w:val="968"/>
                <w:rFonts w:hint="default"/>
                <w:lang w:bidi="ar"/>
              </w:rPr>
            </w:pPr>
            <w:r>
              <w:rPr>
                <w:rStyle w:val="968"/>
                <w:rFonts w:hint="default"/>
                <w:lang w:bidi="ar"/>
              </w:rPr>
              <w:t xml:space="preserve">规格：460*360*90mm</w:t>
            </w:r>
            <w:r>
              <w:rPr>
                <w:rStyle w:val="968"/>
                <w:rFonts w:hint="default"/>
                <w:lang w:bidi="ar"/>
              </w:rPr>
              <w:br/>
            </w:r>
            <w:r>
              <w:rPr>
                <w:rStyle w:val="968"/>
                <w:rFonts w:hint="default"/>
                <w:lang w:bidi="ar"/>
              </w:rPr>
              <w:t xml:space="preserve">实验目的： 演示常见电场的电场线分布。</w:t>
            </w:r>
            <w:r>
              <w:rPr>
                <w:rStyle w:val="968"/>
                <w:rFonts w:hint="default"/>
                <w:lang w:bidi="ar"/>
              </w:rPr>
              <w:br/>
            </w:r>
            <w:r>
              <w:rPr>
                <w:rStyle w:val="968"/>
                <w:rFonts w:hint="default"/>
                <w:lang w:bidi="ar"/>
              </w:rPr>
              <w:t xml:space="preserve">实验器材： 电场线演示器、起电机、导线。</w:t>
            </w:r>
            <w:r>
              <w:rPr>
                <w:rStyle w:val="968"/>
                <w:rFonts w:hint="default"/>
                <w:lang w:bidi="ar"/>
              </w:rPr>
              <w:br/>
            </w:r>
            <w:r>
              <w:rPr>
                <w:rStyle w:val="968"/>
                <w:rFonts w:hint="default"/>
                <w:lang w:bidi="ar"/>
              </w:rPr>
              <w:t xml:space="preserve">实验内容：</w:t>
            </w:r>
            <w:r>
              <w:rPr>
                <w:rStyle w:val="968"/>
                <w:rFonts w:hint="default"/>
                <w:lang w:bidi="ar"/>
              </w:rPr>
              <w:br/>
            </w:r>
            <w:r>
              <w:rPr>
                <w:rStyle w:val="968"/>
                <w:rFonts w:hint="default"/>
                <w:lang w:bidi="ar"/>
              </w:rPr>
              <w:t xml:space="preserve">摇换演示器，使发屑均匀分布，然后把演示器平放在桌面上，用导线 将电极与起电机的放电球连接，让起电机起电，即可得到电力线的形状。</w:t>
            </w:r>
            <w:r>
              <w:rPr>
                <w:rStyle w:val="968"/>
                <w:rFonts w:hint="default"/>
                <w:lang w:bidi="ar"/>
              </w:rPr>
              <w:br/>
            </w:r>
            <w:r>
              <w:rPr>
                <w:rStyle w:val="968"/>
                <w:rFonts w:hint="default"/>
                <w:lang w:bidi="ar"/>
              </w:rPr>
              <w:t xml:space="preserve">1.一个点电极的电场。</w:t>
            </w:r>
            <w:r>
              <w:rPr>
                <w:rStyle w:val="968"/>
                <w:rFonts w:hint="default"/>
                <w:lang w:bidi="ar"/>
              </w:rPr>
              <w:br/>
            </w:r>
            <w:r>
              <w:rPr>
                <w:rStyle w:val="968"/>
                <w:rFonts w:hint="default"/>
                <w:lang w:bidi="ar"/>
              </w:rPr>
              <w:t xml:space="preserve">2.两个异性点电极的电场。</w:t>
            </w:r>
            <w:r/>
          </w:p>
          <w:p>
            <w:pPr>
              <w:numPr>
                <w:ilvl w:val="0"/>
                <w:numId w:val="6"/>
              </w:numPr>
              <w:jc w:val="left"/>
              <w:spacing w:line="360" w:lineRule="auto"/>
              <w:widowControl/>
              <w:rPr>
                <w:rStyle w:val="968"/>
                <w:rFonts w:hint="default"/>
                <w:lang w:bidi="ar"/>
              </w:rPr>
            </w:pPr>
            <w:r>
              <w:rPr>
                <w:rStyle w:val="968"/>
                <w:rFonts w:hint="default"/>
                <w:lang w:bidi="ar"/>
              </w:rPr>
              <w:t xml:space="preserve">两个同性点电极的电场。 </w:t>
            </w:r>
            <w:r/>
          </w:p>
          <w:p>
            <w:pPr>
              <w:numPr>
                <w:ilvl w:val="0"/>
                <w:numId w:val="6"/>
              </w:numPr>
              <w:jc w:val="left"/>
              <w:spacing w:line="360" w:lineRule="auto"/>
              <w:widowControl/>
              <w:rPr>
                <w:rFonts w:ascii="宋体" w:hAnsi="宋体" w:cs="宋体"/>
                <w:color w:val="000000"/>
                <w:sz w:val="20"/>
                <w:szCs w:val="20"/>
              </w:rPr>
            </w:pPr>
            <w:r>
              <w:rPr>
                <w:rStyle w:val="968"/>
                <w:rFonts w:hint="default"/>
                <w:lang w:bidi="ar"/>
              </w:rPr>
              <w:t xml:space="preserve">平行板间的匀强电场。</w:t>
            </w:r>
            <w:r>
              <w:rPr>
                <w:rStyle w:val="968"/>
                <w:rFonts w:hint="default"/>
                <w:lang w:bidi="ar"/>
              </w:rPr>
              <w:br/>
            </w:r>
            <w:r>
              <w:rPr>
                <w:rStyle w:val="968"/>
                <w:rFonts w:hint="default"/>
                <w:lang w:bidi="ar"/>
              </w:rPr>
              <w:t xml:space="preserve">5.金属环不接地时，受环内电场的感应，环内外均有电力线。 </w:t>
            </w:r>
            <w:r/>
          </w:p>
          <w:p>
            <w:pPr>
              <w:jc w:val="left"/>
              <w:spacing w:line="360" w:lineRule="auto"/>
              <w:widowControl/>
              <w:rPr>
                <w:rFonts w:ascii="宋体" w:hAnsi="宋体" w:cs="宋体"/>
                <w:color w:val="000000"/>
                <w:sz w:val="20"/>
                <w:szCs w:val="20"/>
              </w:rPr>
            </w:pPr>
            <w:r>
              <w:rPr>
                <w:rStyle w:val="968"/>
                <w:rFonts w:hint="default"/>
                <w:lang w:bidi="ar"/>
              </w:rPr>
              <w:t xml:space="preserve">6.金属环接地后，只在环内有电力线，表明有屏蔽作用。</w:t>
            </w:r>
            <w:r>
              <w:rPr>
                <w:rStyle w:val="968"/>
                <w:rFonts w:hint="default"/>
                <w:lang w:bidi="ar"/>
              </w:rPr>
              <w:br/>
            </w:r>
            <w:r>
              <w:rPr>
                <w:rStyle w:val="968"/>
                <w:rFonts w:hint="default"/>
                <w:lang w:bidi="ar"/>
              </w:rPr>
              <w:t xml:space="preserve">7.用尖形导体当电极时，导体外的电力线的分布受曲率影响，曲率越大 的地方分布越密。</w:t>
            </w:r>
            <w:r>
              <w:rPr>
                <w:rStyle w:val="968"/>
                <w:rFonts w:hint="default"/>
                <w:lang w:bidi="ar"/>
              </w:rPr>
              <w:br/>
            </w:r>
            <w:r>
              <w:rPr>
                <w:rStyle w:val="968"/>
                <w:rFonts w:hint="default"/>
                <w:lang w:bidi="ar"/>
              </w:rPr>
              <w:t xml:space="preserve">实验原理： 当演示器的电极上加高压静电时，电 极周围的空间中将形成电场。在真空中，电场强 度越大，在某些油之类的电介质中，电场强度要 比真空中的小。处于油中的发屑本身也是一种电 介质，它在电场中将发生极化现象，使发屑两端  出现等量异种电荷。其在电场中将受到电场力， 电场力使发屑沿电力线的方向分布，由此展现出 电场中的电力线的形状。</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件</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1、标本在100×和400×生物显微镜下观察动物细胞有丝分裂的各期形态；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2、能看清细胞分裂过程中的三个时期：前期、中期和后期或中期、后期和末期；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3、能看清分裂前的细胞核和分裂各期的中心体（中期和后期显著）、染色体以及卵壳、子宫壁等，纺锤体隐约可见；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4、标本取材于马蛔虫子宫，作子宫的纵切片，材料长度不小于10mm，每张玻片横放材料一片；也可作子宫的横切片，每张玻片放不同部位的横切片2～4片，以保证观察到细胞分裂的各个时期；</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5、切片厚度为6～8um；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6、卵和卵壳基本呈圆形，子宫内卵应饱满，卵不得脱出卵壳外，胞核、染色体、中心体着色明显，子官壁完整。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片</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硅原子、氧原子、连接杆组成，球直径不小于25mm。</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演示电桥</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主要结构条件：电阻丝、刻度尺、滑键、支架。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工作条件：环境温度-10～+40°C，相对湿度不大于85%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使用本电桥测电阻阻值误差≤2%</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无线数显多量程电压传感器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显示/蓝牙/存储功能：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独立模块化结构，与各种传感器组合使用，具备独立数据显示、数据存储、数据上传功能。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接入后自动识别传感器，实时显示传感器测量数据，支持多值传感器数据显示及存储，数据显示屏刷新频率10Hz；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1.77寸（±0.1寸）彩屏，采用智能接口与传感器连接，接口具有方向性和自锁功能，可以防止传感器在使用过程中脱落，保证数据传输稳定；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屏幕可显示二维码，通过移动终端设备扫描二维码进行无线连接，采用蓝牙4.0传输协议，可将传感器测量数据实时传输到APP。</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设有按键开关，工作状态下，可通过调动按键开关切换数据显示和二维码界面；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通过移动终端设备可设置数据显示精度以及数据调零，可对数据进行描点绘图处理。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可将模块存储的测量数据导出至计算机进行数据分析（兼充电）；</w:t>
            </w:r>
            <w:r>
              <w:rPr>
                <w:rFonts w:hint="eastAsia" w:ascii="宋体" w:hAnsi="宋体" w:cs="宋体"/>
                <w:color w:val="000000"/>
                <w:sz w:val="20"/>
                <w:szCs w:val="20"/>
                <w:lang w:bidi="ar"/>
              </w:rPr>
              <w:br/>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采用充电锂电供电，电池电压3.7V，容量1100mAh，待机时间10小时，采用microUSB充电接口；</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数据存储频率5Hz，存储容量最大262,144个数据点。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注：续航时间和连接的传感器有关，差别较大。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传感器尺寸：77*41*25（mm）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功能模块：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用于测量电路中的电压数据。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性能：测量范围：-20V~+20V；分度：0.01V；测量范围：-2V~+2V；分度：0.001V；测量范围：-0.2V~+0.2V；分度：0.1mV；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准确度：±20V档：≤±0.04V；±2.0V档：≤±0.01V；±0.2V档：≤±1.5mV；最大采样率：5KHz；</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原理：输入电压U，经过电路放大和转换，输出相应的电压值。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技术指标：容抗：202pF，阻抗：1MΩ；</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结构：带AVR0.75平的红黑鳄鱼夹线，长度0.6m。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传感器由高强度塑料外壳封装，外壳设有M5螺丝孔位，可将传感器固定在多种操作和实验装置上；</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采用智能接口，输出数字信号，接口具有方向性和自锁功能，可以防止传感器在使用过程中脱落，保证数据传输稳定；</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模块化、可热插拔设计，支持有线通讯、无线通讯和屏幕数据显示，可支持蓝牙无线数据传输；</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设有调零按键，支持硬件数据调零和软件数据调零；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设有量程切换按键，支持硬件切换传感器量程；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可应用于Windows、Android、iOS、麒麟、统信、鸿蒙。</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材质：金属,塑料</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单体长度：20cm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连接杆长度：30厘米左右</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类型：手持直视棱镜分光镜）</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适用波段：可见光区 400～760 nm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观测方式：直视观测，无需转动角度</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工作电源：直流 3～12 V，交流 6～12 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面板材质：阻燃绝缘环氧板</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连接方式：香蕉插头式接线柱</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串、并联电路</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欧姆定律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闭合电路欧姆定律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电功、电热</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电磁感应等高中电路实验</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1099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半导体致冷器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致冷、发电两用，半导体制冷片1片，散热片1只。</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剪刀</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1、产品表面处理为电镀剪；</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2、剪刀刃口硬度不低于HRC52；</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3、两片刃口对应点硬度差不大于HRC4；</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4、全长不小于150mm。剪刀性能应手感轻松、均匀、剪布锋利、不咬口、崩口、变形；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5、其它应符合《QB/T1966-1994民用剪刀》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1101</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器材架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1、整体规格：L2000mm*D600mm*H2000mm±10mm（节/组的尺寸），≥4层双面存取。每层架间距离可均匀调整。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2、材料：层板由优质钢板折弯冲压制成，立柱为货架专用C型钢材，尺寸：≥40mm*60mm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3、生产工艺：喷塑前经脱脂、酸洗、磷化。表面喷涂环保塑粉。喷塑冲击力≥4N/m，附着力不低于2级要求。载荷；搁板每层承重≥200Kg，每架≥800Kg，层距可调。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4、整体要求：组件连接紧密牢固，无松动摇晃，边缘光滑，无毛刺，书架底脚无尖锐棱角，表面喷涂均匀。</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1102</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圆柱切割附件</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加工圆柱规格：Ø min = 20mm; Ø max = 250mm; 高度max = 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加工圆锥规格：Ø min = 22mm; Ø max = 250mm; 高度max = 80mm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进给齿轮比：1:3</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1103</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类型：偏振片观察器（起偏器 + 检偏器组合）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主要元件：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起偏镜：偏振片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检偏镜：可旋转偏振片，带角度刻度盘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刻度范围：0°～360°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最小刻度：5° 或 10°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旋转方式：检偏器可 360° 自由旋转</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1104</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工作电源：DC 0～12V 连续可调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演示方式：静电场模拟式，采用导电纸模拟静电场分布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探测部件：高灵敏度探测针、等势点探针、电压表显示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显示方式：指针式直流电压表显示电势高低</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电极配置：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点电荷电极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等量异种电荷电极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等量同种电荷电极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平行板电容器电极</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演示内容：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静电场中等势面与电场线分布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电势高低比较</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等势点寻找与等势面描绘</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1105</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顶装摇臂动力装置</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结构参数：顶装摇臂动力装置底座采用铝合金材料，经压铸一次成型。底座连接推杆电机，推杆行程端配有轴承，扣装在传动机构上，带动升降臂杆。动力机构在接收到控制信号后开始工作，升降驱动静音工作、运行稳定、牢固耐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技术要求：推杆动力电源，24V直流低压稳定运作。升降臂杆采用铝合金型材，管内水、电隔离设计。臂杆表面和管内经环氧树脂粉末静电喷涂，高效节能、环保耐用、防腐耐磨。摇臂联动学生多功能电源盒，实现二者同时升降，亦可收纳进吊装舱体内。摇臂具有防夹功能，在升降过程中，若受到外部持续性阻力，摇臂将自动结束当前升降动作，需等待教师二次检查。</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1106</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1、最大称量200g，感量0.02g；</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2、制动机构的支承螺钉、托架，应能保证升降平稳，以保持横梁的再现性；天平开启或停动后，吊耳悬挂不得倾斜、晃动；梁体不得有扭动，指针不得有前后跳针和带针现象；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3、横梁应具有足够的刚性和硬度，表面应进行防腐蚀处理，但不允许涂调和漆。</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1107</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共振演示器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1、弹簧振子，电动机驱动，由弹簧振子、受偏心负载的变速箱装置；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2、能摆动的有机玻璃面板、画板、画笔以及底座、导轨控制等部分组成。</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1108</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台式电热丝切割机</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1、整体规格：≥385mm×270mm；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2、组成部分： L 型电热丝固定架；电热丝盘固定旋钮；电热丝；电热丝固定器；电热丝锁紧钮；调压旋钮；电源开关；电压表；电热丝倾角锁紧钮；电热丝角度刻度板；摆臂；弹簧导线（带绝缘橡胶套）；横梁；电热丝盘；电源插座；底座；电源线。整机采用塑料定位包装，可切割各类可塑性发泡材料(聚苯乙烯泡沫塑料、EPS 发泡塑料、海绵、芙蓉板等),切割方式有直线切割、45 度切割、任意形状切割；</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3、供电电压 220V。</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1109</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什锦锉</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六件套什锦锉，包含（半圆锉/平头扁锉/尖头扁锉/三角锉/方锉/圆锉）。</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38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1110</w:t>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小型变压器</w:t>
            </w:r>
            <w:r/>
          </w:p>
        </w:tc>
        <w:tc>
          <w:tcPr>
            <w:tcBorders>
              <w:top w:val="single" w:color="000000" w:sz="4" w:space="0"/>
              <w:left w:val="single" w:color="000000" w:sz="4" w:space="0"/>
              <w:bottom w:val="single" w:color="000000" w:sz="4" w:space="0"/>
              <w:right w:val="single" w:color="000000" w:sz="4" w:space="0"/>
            </w:tcBorders>
            <w:tcW w:w="6953" w:type="dxa"/>
            <w:vAlign w:val="center"/>
            <w:textDirection w:val="lrTb"/>
            <w:noWrap w:val="false"/>
          </w:tcPr>
          <w:p>
            <w:pPr>
              <w:jc w:val="left"/>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1、额定功率：0.5W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2、输入电压：220V；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3、输出电压：9V；</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4、频率特性：50-60赫兹；</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5、防潮方式：开放式；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6、冷却方式：自然冷却。</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spacing w:line="360" w:lineRule="auto"/>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bl>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1"/>
      <w:r/>
      <w:bookmarkStart w:id="192" w:name="OLE_LINK2"/>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360" w:lineRule="auto"/>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39"/>
        <w:ind w:firstLine="602"/>
        <w:spacing w:before="0" w:after="0" w:line="360" w:lineRule="auto"/>
        <w:rPr>
          <w:rFonts w:hint="eastAsia" w:cs="Arial"/>
          <w:b/>
          <w:sz w:val="30"/>
          <w:szCs w:val="30"/>
        </w:rPr>
      </w:pPr>
      <w:r>
        <w:rPr>
          <w:rFonts w:hint="eastAsia" w:cs="Arial"/>
          <w:b/>
          <w:sz w:val="30"/>
          <w:szCs w:val="30"/>
        </w:rPr>
        <w:t xml:space="preserve">第一部分  评标方法</w:t>
      </w:r>
      <w:r/>
    </w:p>
    <w:p>
      <w:pPr>
        <w:pStyle w:val="939"/>
        <w:spacing w:before="0" w:after="0" w:line="360" w:lineRule="auto"/>
        <w:rPr>
          <w:rFonts w:hint="eastAsia" w:cs="Arial"/>
        </w:rPr>
      </w:pPr>
      <w:r>
        <w:rPr>
          <w:rFonts w:hint="eastAsia" w:cs="Arial"/>
        </w:rPr>
        <w:t xml:space="preserve">投标人通过初审的，方可进入比较与评价程序。</w:t>
      </w:r>
      <w:r/>
    </w:p>
    <w:p>
      <w:pPr>
        <w:pStyle w:val="939"/>
        <w:spacing w:before="0" w:after="0" w:line="360" w:lineRule="auto"/>
        <w:rPr>
          <w:rFonts w:hint="eastAsia" w:cs="Arial"/>
        </w:rPr>
      </w:pPr>
      <w:r>
        <w:rPr>
          <w:rFonts w:hint="eastAsia" w:cs="Arial"/>
        </w:rPr>
        <w:t xml:space="preserve">比较与评价采用综合评分法。</w:t>
      </w:r>
      <w:r/>
    </w:p>
    <w:p>
      <w:pPr>
        <w:pStyle w:val="939"/>
        <w:spacing w:before="0" w:after="0" w:line="360" w:lineRule="auto"/>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39"/>
        <w:spacing w:before="0" w:after="0" w:line="360" w:lineRule="auto"/>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39"/>
        <w:spacing w:before="0" w:after="0" w:line="360" w:lineRule="auto"/>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39"/>
        <w:ind w:firstLine="562"/>
        <w:spacing w:before="0" w:after="0" w:line="360" w:lineRule="auto"/>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2.对本国产品的支持政策：根据</w:t>
      </w:r>
      <w:r>
        <w:rPr>
          <w:rFonts w:hint="eastAsia" w:ascii="宋体"/>
          <w:b/>
          <w:bCs/>
          <w:color w:val="000000" w:themeColor="text1"/>
          <w:sz w:val="24"/>
          <w:szCs w:val="24"/>
          <w:highlight w:val="none"/>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rPr>
        <w:t xml:space="preserve">对于仅有本国产品参与竞争的政府采购项目或采购包，本国产品不享受价格扣除评审优惠。</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2.2注意事项</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（1）提供本国产品进行投标（报价）的供应商需在其投</w:t>
      </w:r>
      <w:r>
        <w:rPr>
          <w:rFonts w:hint="eastAsia" w:ascii="宋体" w:hAnsi="宋体"/>
          <w:bCs/>
          <w:color w:val="000000" w:themeColor="text1"/>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rPr>
        <w:t xml:space="preserve">货物成本之和</w:t>
      </w:r>
      <w:r>
        <w:rPr>
          <w:rFonts w:hint="eastAsia" w:ascii="宋体" w:hAnsi="宋体"/>
          <w:bCs/>
          <w:color w:val="000000" w:themeColor="text1"/>
          <w:sz w:val="24"/>
          <w:szCs w:val="24"/>
          <w:highlight w:val="none"/>
        </w:rPr>
        <w:t xml:space="preserve">；“全部产品成本之和”是指货物或服务项目（或者采购包）中包含的</w:t>
      </w:r>
      <w:r>
        <w:rPr>
          <w:rFonts w:hint="eastAsia" w:ascii="宋体" w:hAnsi="宋体"/>
          <w:b/>
          <w:bCs/>
          <w:color w:val="000000" w:themeColor="text1"/>
          <w:sz w:val="24"/>
          <w:szCs w:val="24"/>
          <w:highlight w:val="none"/>
        </w:rPr>
        <w:t xml:space="preserve">全部货物、服务产品的成本之和</w:t>
      </w:r>
      <w:r>
        <w:rPr>
          <w:rFonts w:hint="eastAsia" w:ascii="宋体" w:hAnsi="宋体"/>
          <w:bCs/>
          <w:color w:val="000000" w:themeColor="text1"/>
          <w:sz w:val="24"/>
          <w:szCs w:val="24"/>
          <w:highlight w:val="none"/>
        </w:rPr>
        <w:t xml:space="preserve">。</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即，当小微型企业价格扣除政策和本国产品价格扣除政策同时享受时，按以下计算方式进行计算：</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供应商参与评审的报价=供应商投标总报价×[1-（小微型企业价格扣除+本国产品价格扣除）]</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color w:val="000000" w:themeColor="text1"/>
          <w:highlight w:val="none"/>
        </w:rPr>
      </w:pPr>
      <w:r>
        <w:rPr>
          <w:rFonts w:hint="eastAsia" w:ascii="宋体" w:hAnsi="宋体"/>
          <w:bCs/>
          <w:color w:val="000000" w:themeColor="text1"/>
          <w:sz w:val="24"/>
          <w:szCs w:val="24"/>
          <w:highlight w:val="none"/>
        </w:rPr>
        <w:t xml:space="preserve">1000000×[1-（10%+20%）]=700000元</w:t>
      </w:r>
      <w:r/>
    </w:p>
    <w:p>
      <w:pPr>
        <w:pStyle w:val="939"/>
        <w:numPr>
          <w:ilvl w:val="0"/>
          <w:numId w:val="8"/>
        </w:numPr>
        <w:ind w:firstLine="360"/>
        <w:spacing w:before="0" w:after="0" w:line="360" w:lineRule="auto"/>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pStyle w:val="939"/>
        <w:numPr>
          <w:ilvl w:val="0"/>
          <w:numId w:val="0"/>
        </w:numPr>
        <w:spacing w:before="0" w:after="0" w:line="360" w:lineRule="auto"/>
        <w:rPr>
          <w:rFonts w:hint="eastAsia" w:ascii="宋体" w:hAnsi="宋体"/>
          <w:b/>
          <w:sz w:val="28"/>
          <w:szCs w:val="28"/>
          <w:highlight w:val="none"/>
        </w:rPr>
      </w:pPr>
      <w:r>
        <w:rPr>
          <w:rFonts w:hint="eastAsia" w:ascii="宋体" w:hAnsi="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bookmarkEnd w:id="194"/>
      <w:r/>
      <w:r/>
    </w:p>
    <w:p>
      <w:pPr>
        <w:spacing w:line="360" w:lineRule="auto"/>
        <w:rPr>
          <w:rFonts w:ascii="宋体" w:hAnsi="宋体" w:cs="宋体"/>
          <w:sz w:val="24"/>
        </w:rPr>
      </w:pPr>
      <w:r>
        <w:rPr>
          <w:rFonts w:hint="eastAsia" w:ascii="宋体" w:hAnsi="宋体" w:cs="宋体"/>
          <w:b/>
          <w:bCs/>
          <w:sz w:val="24"/>
        </w:rPr>
        <w:t xml:space="preserve"> 一、商务部分</w:t>
      </w:r>
      <w:r/>
    </w:p>
    <w:p>
      <w:pPr>
        <w:ind w:firstLine="718"/>
        <w:spacing w:line="360" w:lineRule="auto"/>
        <w:rPr>
          <w:rFonts w:ascii="宋体" w:hAnsi="宋体" w:cs="宋体"/>
          <w:b/>
          <w:sz w:val="24"/>
        </w:rPr>
      </w:pPr>
      <w:r>
        <w:rPr>
          <w:rFonts w:hint="eastAsia" w:ascii="宋体" w:hAnsi="宋体" w:cs="宋体"/>
          <w:b/>
          <w:sz w:val="24"/>
        </w:rPr>
        <w:t xml:space="preserve">1、报价                        30分</w:t>
      </w:r>
      <w:r/>
    </w:p>
    <w:p>
      <w:pPr>
        <w:ind w:firstLine="723"/>
        <w:spacing w:line="360" w:lineRule="auto"/>
        <w:rPr>
          <w:rFonts w:ascii="宋体" w:hAnsi="宋体" w:cs="宋体"/>
          <w:b/>
          <w:sz w:val="24"/>
        </w:rPr>
        <w:outlineLvl w:val="0"/>
      </w:pPr>
      <w:r>
        <w:rPr>
          <w:rFonts w:hint="eastAsia" w:ascii="宋体" w:hAnsi="宋体" w:cs="宋体"/>
          <w:b/>
          <w:sz w:val="24"/>
        </w:rPr>
        <w:t xml:space="preserve">2、投标供应商综合评价           </w:t>
      </w:r>
      <w:r>
        <w:rPr>
          <w:rFonts w:hint="eastAsia" w:ascii="宋体" w:hAnsi="宋体" w:cs="宋体"/>
          <w:b/>
          <w:sz w:val="24"/>
          <w:lang w:val="en-US" w:eastAsia="zh-CN"/>
        </w:rPr>
        <w:t xml:space="preserve">6</w:t>
      </w:r>
      <w:r>
        <w:rPr>
          <w:rFonts w:hint="eastAsia" w:ascii="宋体" w:hAnsi="宋体" w:cs="宋体"/>
          <w:b/>
          <w:sz w:val="24"/>
        </w:rPr>
        <w:t xml:space="preserve">分</w:t>
      </w:r>
      <w:r/>
    </w:p>
    <w:p>
      <w:pPr>
        <w:ind w:firstLine="718"/>
        <w:spacing w:line="360" w:lineRule="auto"/>
        <w:rPr>
          <w:rFonts w:ascii="宋体" w:hAnsi="宋体" w:cs="宋体"/>
          <w:b/>
          <w:sz w:val="24"/>
        </w:rPr>
      </w:pPr>
      <w:r>
        <w:rPr>
          <w:rFonts w:hint="eastAsia" w:ascii="宋体" w:hAnsi="宋体" w:cs="宋体"/>
          <w:b/>
          <w:sz w:val="24"/>
        </w:rPr>
        <w:t xml:space="preserve">3、</w:t>
      </w:r>
      <w:r>
        <w:rPr>
          <w:rFonts w:hint="eastAsia" w:ascii="宋体" w:hAnsi="宋体" w:cs="宋体"/>
          <w:b/>
          <w:sz w:val="24"/>
          <w:szCs w:val="24"/>
        </w:rPr>
        <w:t xml:space="preserve">技术配置                    13</w:t>
      </w:r>
      <w:r>
        <w:rPr>
          <w:rFonts w:hint="eastAsia" w:ascii="宋体" w:hAnsi="宋体" w:cs="宋体"/>
          <w:b/>
          <w:bCs/>
          <w:sz w:val="24"/>
        </w:rPr>
        <w:t xml:space="preserve">分</w:t>
      </w:r>
      <w:r/>
    </w:p>
    <w:p>
      <w:pPr>
        <w:ind w:firstLine="718"/>
        <w:spacing w:line="360" w:lineRule="auto"/>
        <w:rPr>
          <w:rFonts w:ascii="宋体" w:hAnsi="宋体" w:cs="宋体"/>
          <w:b/>
          <w:sz w:val="24"/>
        </w:rPr>
      </w:pPr>
      <w:r>
        <w:rPr>
          <w:rFonts w:hint="eastAsia" w:ascii="宋体" w:hAnsi="宋体" w:cs="宋体"/>
          <w:b/>
          <w:sz w:val="24"/>
        </w:rPr>
        <w:t xml:space="preserve">4、演示                        10分</w:t>
      </w:r>
      <w:r/>
    </w:p>
    <w:p>
      <w:pPr>
        <w:ind w:firstLine="718"/>
        <w:spacing w:line="360" w:lineRule="auto"/>
        <w:rPr>
          <w:rFonts w:ascii="宋体" w:hAnsi="宋体" w:cs="宋体"/>
          <w:b/>
          <w:sz w:val="24"/>
        </w:rPr>
      </w:pPr>
      <w:r>
        <w:rPr>
          <w:rFonts w:hint="eastAsia" w:ascii="宋体" w:hAnsi="宋体" w:cs="宋体"/>
          <w:b/>
          <w:sz w:val="24"/>
        </w:rPr>
        <w:t xml:space="preserve">5、</w:t>
      </w:r>
      <w:r>
        <w:rPr>
          <w:rFonts w:hint="eastAsia" w:ascii="宋体" w:hAnsi="宋体"/>
          <w:b/>
          <w:bCs/>
          <w:sz w:val="24"/>
        </w:rPr>
        <w:t xml:space="preserve">节能环保                     1分</w:t>
      </w:r>
      <w:r/>
    </w:p>
    <w:p>
      <w:pPr>
        <w:ind w:firstLine="718"/>
        <w:spacing w:line="360" w:lineRule="auto"/>
        <w:rPr>
          <w:rFonts w:ascii="宋体" w:hAnsi="宋体" w:cs="宋体"/>
          <w:b/>
          <w:sz w:val="24"/>
        </w:rPr>
      </w:pPr>
      <w:r>
        <w:rPr>
          <w:rFonts w:hint="eastAsia" w:ascii="宋体" w:hAnsi="宋体" w:cs="宋体"/>
          <w:b/>
          <w:sz w:val="24"/>
        </w:rPr>
        <w:t xml:space="preserve">二、暗标部分</w:t>
      </w:r>
      <w:r/>
    </w:p>
    <w:p>
      <w:pPr>
        <w:ind w:firstLine="718"/>
        <w:spacing w:line="360" w:lineRule="auto"/>
        <w:rPr>
          <w:rFonts w:ascii="宋体" w:hAnsi="宋体" w:cs="宋体"/>
          <w:b/>
          <w:sz w:val="24"/>
        </w:rPr>
      </w:pPr>
      <w:r>
        <w:rPr>
          <w:rFonts w:hint="eastAsia" w:ascii="宋体" w:hAnsi="宋体" w:cs="宋体"/>
          <w:b/>
          <w:sz w:val="24"/>
        </w:rPr>
        <w:t xml:space="preserve">6、</w:t>
      </w:r>
      <w:r>
        <w:rPr>
          <w:rFonts w:hint="eastAsia" w:ascii="宋体" w:hAnsi="宋体" w:cs="宋体"/>
          <w:b/>
          <w:sz w:val="24"/>
          <w:szCs w:val="24"/>
        </w:rPr>
        <w:t xml:space="preserve">服务方案                    </w:t>
      </w:r>
      <w:r>
        <w:rPr>
          <w:rFonts w:hint="eastAsia" w:ascii="宋体" w:hAnsi="宋体" w:cs="宋体"/>
          <w:b/>
          <w:sz w:val="24"/>
          <w:szCs w:val="24"/>
          <w:lang w:val="en-US" w:eastAsia="zh-CN"/>
        </w:rPr>
        <w:t xml:space="preserve">40</w:t>
      </w:r>
      <w:r>
        <w:rPr>
          <w:rFonts w:hint="eastAsia" w:ascii="宋体" w:hAnsi="宋体"/>
          <w:b/>
          <w:bCs/>
          <w:sz w:val="24"/>
        </w:rPr>
        <w:t xml:space="preserve">分</w:t>
      </w:r>
      <w:r/>
    </w:p>
    <w:p>
      <w:pPr>
        <w:ind w:firstLine="240"/>
        <w:spacing w:line="360" w:lineRule="auto"/>
        <w:rPr>
          <w:rFonts w:hint="eastAsia" w:ascii="Arial" w:hAnsi="Arial" w:cs="宋体"/>
          <w:sz w:val="24"/>
        </w:rPr>
      </w:pPr>
      <w:r>
        <w:rPr>
          <w:rFonts w:hint="eastAsia" w:ascii="Arial" w:hAnsi="Arial" w:cs="宋体"/>
          <w:sz w:val="24"/>
        </w:rPr>
        <w:t xml:space="preserve">（二）各项目评分标准</w:t>
      </w:r>
      <w:r/>
    </w:p>
    <w:p>
      <w:pPr>
        <w:pStyle w:val="939"/>
        <w:ind w:firstLine="422"/>
        <w:spacing w:before="0" w:after="0" w:line="360" w:lineRule="auto"/>
        <w:rPr>
          <w:rFonts w:hint="eastAsia" w:cs="宋体"/>
        </w:rPr>
      </w:pPr>
      <w:r>
        <w:rPr>
          <w:rFonts w:hint="eastAsia" w:ascii="宋体" w:hAnsi="宋体"/>
          <w:b/>
          <w:sz w:val="28"/>
          <w:szCs w:val="28"/>
        </w:rPr>
        <w:t xml:space="preserve">（一）商务部分（ 6</w:t>
      </w:r>
      <w:r>
        <w:rPr>
          <w:rFonts w:hint="eastAsia" w:ascii="宋体" w:hAnsi="宋体"/>
          <w:b/>
          <w:sz w:val="28"/>
          <w:szCs w:val="28"/>
          <w:lang w:val="en-US" w:eastAsia="zh-CN"/>
        </w:rPr>
        <w:t xml:space="preserve">0</w:t>
      </w:r>
      <w:r>
        <w:rPr>
          <w:rFonts w:hint="eastAsia" w:ascii="宋体" w:hAnsi="宋体"/>
          <w:b/>
          <w:sz w:val="28"/>
          <w:szCs w:val="28"/>
        </w:rPr>
        <w:t xml:space="preserve">分）</w:t>
      </w:r>
      <w:r/>
    </w:p>
    <w:p>
      <w:pPr>
        <w:numPr>
          <w:ilvl w:val="4"/>
          <w:numId w:val="0"/>
        </w:numPr>
        <w:ind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1、价格（30分）：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（一）政府采购评审中出现下列情形之一的，评审委员会应当启动异常低价投标（响应）审查程序：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1.投标（响应）报价低于全部通过符合性审查供应商投标（响应）报价平均值50%的，即投标（响应）报价〈全部通过符合性审查供应商投标（响应）报价平均值×50%；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2.投标（响应）报价低于通过符合性审查的次低报价供应商投标（响应）报价50%的，即投标（响应）报价〈通过符合性审查的次低报价供应商投标（响应）报价×50%；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3.投标（响应）报价低于采购项目最高限价45%的，即投标（响应）报价〈采购项目最高限价×45%； </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4.评审委员会基于专业判断，认为供应商报价过低，有可能影响产品质量或者不能诚信履约的其他情形。</w:t>
      </w:r>
      <w:r/>
    </w:p>
    <w:p>
      <w:pPr>
        <w:pStyle w:val="684"/>
        <w:spacing w:line="360" w:lineRule="auto"/>
        <w:rPr>
          <w:rFonts w:ascii="宋体" w:hAnsi="宋体" w:cs="宋体"/>
          <w:spacing w:val="-1"/>
          <w:sz w:val="24"/>
          <w:szCs w:val="24"/>
        </w:rPr>
      </w:pPr>
      <w:r>
        <w:rPr>
          <w:rFonts w:hint="eastAsia" w:ascii="宋体" w:hAnsi="宋体" w:cs="宋体"/>
          <w:spacing w:val="-1"/>
          <w:sz w:val="24"/>
          <w:szCs w:val="24"/>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b/>
          <w:bCs/>
          <w:spacing w:val="-1"/>
          <w:sz w:val="24"/>
          <w:szCs w:val="24"/>
        </w:rPr>
        <w:t xml:space="preserve">2、投标供应商综合评价（</w:t>
      </w:r>
      <w:r>
        <w:rPr>
          <w:rFonts w:hint="eastAsia" w:ascii="宋体" w:hAnsi="宋体" w:cs="宋体"/>
          <w:b/>
          <w:bCs/>
          <w:spacing w:val="-1"/>
          <w:sz w:val="24"/>
          <w:szCs w:val="24"/>
          <w:lang w:val="en-US" w:eastAsia="zh-CN"/>
        </w:rPr>
        <w:t xml:space="preserve">6</w:t>
      </w:r>
      <w:r>
        <w:rPr>
          <w:rFonts w:hint="eastAsia" w:ascii="宋体" w:hAnsi="宋体" w:cs="宋体"/>
          <w:b/>
          <w:bCs/>
          <w:spacing w:val="-1"/>
          <w:sz w:val="24"/>
          <w:szCs w:val="24"/>
        </w:rPr>
        <w:t xml:space="preserve">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2.1投标人业绩（</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投标人自2023年1月1日以来（以合同签订日期为准）具有与本项目同类的案例，每提供一份有效合同得</w:t>
      </w:r>
      <w:r>
        <w:rPr>
          <w:rFonts w:hint="eastAsia" w:ascii="宋体" w:hAnsi="宋体" w:cs="宋体"/>
          <w:spacing w:val="-1"/>
          <w:sz w:val="24"/>
          <w:szCs w:val="24"/>
          <w:lang w:val="en-US" w:eastAsia="zh-CN"/>
        </w:rPr>
        <w:t xml:space="preserve">0.5</w:t>
      </w:r>
      <w:r>
        <w:rPr>
          <w:rFonts w:hint="eastAsia" w:ascii="宋体" w:hAnsi="宋体" w:cs="宋体"/>
          <w:spacing w:val="-1"/>
          <w:sz w:val="24"/>
          <w:szCs w:val="24"/>
        </w:rPr>
        <w:t xml:space="preserve">分，本项最高得</w:t>
      </w:r>
      <w:r>
        <w:rPr>
          <w:rFonts w:hint="eastAsia" w:ascii="宋体" w:hAnsi="宋体" w:cs="宋体"/>
          <w:spacing w:val="-1"/>
          <w:sz w:val="24"/>
          <w:szCs w:val="24"/>
          <w:lang w:val="en-US" w:eastAsia="zh-CN"/>
        </w:rPr>
        <w:t xml:space="preserve">1</w:t>
      </w:r>
      <w:r>
        <w:rPr>
          <w:rFonts w:hint="eastAsia" w:ascii="宋体" w:hAnsi="宋体" w:cs="宋体"/>
          <w:spacing w:val="-1"/>
          <w:sz w:val="24"/>
          <w:szCs w:val="24"/>
        </w:rPr>
        <w:t xml:space="preserve">分。（投标时须提供有效合同原件扫描件并加盖投标人公章上传至投标系统，不提供不得分）。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2.2人员资质（5分）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项目负责人（3分）：投标人为本项目配备一名项目负责人，该项目负责人具有：高级工程师证书的得1分、具有建筑电工证书的得1分、具有中级注册安全工程师（其他安全）证书的得1分，本项最高得3分。（投标时须提供相应有效证书扫描件及投标人为其缴纳的近六个月的社保证明并加盖投标人公章上传至投标系统，不提供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技术负责人（2分）：投标人为本项目配备一名技术负责人（与项目负责人不能是同一人），该技术负责人具有：特种作业操作证（低压电工）的得1分、工程师证书的得1分，本项最高得2分（投标时须提供相应有效证书扫描件及投标人为其缴纳的近六个月的社保证明并加盖投标人公章上传至投标系统，不提供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b/>
          <w:bCs/>
          <w:spacing w:val="-1"/>
          <w:sz w:val="24"/>
          <w:szCs w:val="24"/>
        </w:rPr>
        <w:t xml:space="preserve">3、技术配置（13分）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3.1 所投“水槽柜”（1分）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水槽柜依据GB/T 24820-2024《实验室家具通用技术条件》标准，力学性能强度和耐久性、稳定性符合以下规定:</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a)活动实验台底柜不应移动；</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b)零部件应无断裂或豁裂；</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c)应为牢固的部件应无永久性松动；</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d)应无严重影响使用功能的磨损或变形；</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e)活动部件的活动应灵活；</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f)主体结构和底架位移值应小于15mm；</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g) 顶板和底板持续加载试验时,顶板和底板的最大变形量不应超过搁板跨度的0.55%；</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h) 搁板弯曲试验时,搁板的最大变形量不应超过搁板跨度的0.55%；</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i) 挂衣棍强度试验时,挂衣棍的最大变形量不应超过挂衣棍跨度的0.4%；</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j) 固定储物柜进行活动部件、搁板支撑件、顶板和底板试验,静载荷试验和侧向分离试验时,应保持与建筑物墙/天花板)相连,并承载试验载荷；</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k) 固定储物柜进行脱离试验和侧向分离试验时，不应分离和脱落；</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l) 稳定性试验时,不应倾翻。</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lang w:val="en-US" w:eastAsia="zh-CN"/>
        </w:rPr>
        <w:t xml:space="preserve">以上</w:t>
      </w:r>
      <w:r>
        <w:rPr>
          <w:rFonts w:hint="eastAsia" w:ascii="宋体" w:hAnsi="宋体" w:cs="宋体"/>
          <w:spacing w:val="-1"/>
          <w:sz w:val="24"/>
          <w:szCs w:val="24"/>
        </w:rPr>
        <w:t xml:space="preserve">检测合格的得1分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3.2所投“教师演示台”（1分）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教师演示台台面表面耐污染性能要求：符合第三方检测机构耐污染性能测试，至少通过45项化学试剂测试，检验结果均为无明显变化，分级结果为“5级”。检测：1、盐酸（37%）；2、硝酸（65%）；3、氢氧化钠（40%）；4、硫酸（98%）；5、氢氟酸（40%）；6、氨水（28%）；7、甲醛（37%）；8、双氧水（3%）；9、苯酚；10、四氯化碳等45种及以上试剂</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检测合格的得1分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3.3所投“实验无线示教仪”（2分）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自带2个13</w:t>
      </w:r>
      <w:r>
        <w:rPr>
          <w:rFonts w:hint="eastAsia" w:ascii="宋体" w:hAnsi="宋体" w:cs="宋体"/>
          <w:spacing w:val="-1"/>
          <w:sz w:val="24"/>
          <w:szCs w:val="24"/>
        </w:rPr>
        <w:t xml:space="preserve">00万像素自动对焦摄像头。摄像头在调整高度和角度后会自动对焦1次。轻触底座上的转90°按键，即可在摄像头横向展示与竖向展示的场景间灵活切换。设备背面带有Type-C充电口，可边充边使用，支持电量指示灯。配备2个大容量可拆卸电池。配移动快充电池仓，双电池位，带屏指示功能，有电池电量符号与电量百分比、电流模式显示，内置独立的充电控制系统，可自动识别电池电压，并进行智能控制充电，防止过充，为设备持续运行保驾护航。得2分（投标时须提供能体现此功能的实物图片及带有CMA标识的检测报告并加盖投标人公章，不全部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3.4所投“无线采音器”（3分）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①声音采集器具有精准对频与抗干扰设计，主动式 NFC 近场耦合技术：创新集成智能近场感应配对系统，通过毫米级距离识别算法，确保 100% 杜绝跨区域信号串扰，实现0.5 秒极速无感对频，为多设备协同场景提供零差错的信号匹配保障。支持先进的 "一发多收" 分布式工作架构，单话筒可同步连接≥32 台接收机（需定制扩展），构建全方位音频覆盖网络，适用于大型会议、舞台演出等多终端协同场景。得2分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②接收器集成 PPT 翻页接收模块功能，免驱动设计，轻松适配主流翻页笔，为会议、教学演示提供便利。得1分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3.5所投“实验室演示控制器”（2分）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软件遥控器：互动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8张照片或录制多达8段短视频上传至屏幕显示，亦可将遥控器（手机/平板/电脑端）本地的多达8个文件，上传至屏幕分屏显示。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（投标时须提供能体现此功能的实物图片或功能截图并加盖投标人公章上传至投标系统，不提供不得分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②多种画面布局显示：支持不少于16个投屏设备同时接入智能云盒，不少</w:t>
      </w:r>
      <w:r>
        <w:rPr>
          <w:rFonts w:hint="eastAsia" w:ascii="宋体" w:hAnsi="宋体" w:cs="宋体"/>
          <w:spacing w:val="-1"/>
          <w:sz w:val="24"/>
          <w:szCs w:val="24"/>
        </w:rPr>
        <w:t xml:space="preserve">于同时8个画面显示，且支持Auto（自适应）画面、1画面、2画面、3画面、4画面、6画面、8画面切换模式，不少于8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清除副屏等功能按钮的选择。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（投标时须提供能体现此功能的实物图片或功能截图并加盖投标人公章上传至投标系统，不提供不得分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3.6所投“智能实验教学录播”（4分）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①多功能教学终端模块音频接口：支持≥8路MIC-IN输入，支持48V幻象供电和≥2路3.5mm LINE-IN线性输入</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支持≥2路LINE-OUT输出，可根据系统功能模式自由混音输出</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得1分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②多功能教学终端模块控制接口：为方便控制教室设备及后续扩展需求，支持外接控制面板、云台摄像机、电子时钟等设备，支持≥8路本地RS232接口，≥1路GPIO接口</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支持＞10路备播通道图像加载</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得2分（投标时须提供带有CMA标识的检测报告扫描件并加盖投标人公章上传至投标系统，不提供不得分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智慧课堂云平台模块数据看板多维度对比：支持多个教师、课程、院系、学生之间进行数据的多维度对比，支持同个课程不同师生之间的课堂数据对比，课堂数据包括但不限于直播录制节次、教学资源、师生出勤率、师生课堂行为分析、教师信息化应用统计等数据</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所有数据支持导出</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得1分（投标时须提供带有CMA标识的检测报告扫描件并加盖投标人公章上传至投标系统，不提供不得分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highlight w:val="none"/>
        </w:rPr>
        <w:t xml:space="preserve">产品技术配置加分项中所涉及到的证明材料，中标供应商须在中标后三日内提供原件及实物样品给采购人</w:t>
      </w:r>
      <w:r>
        <w:rPr>
          <w:rFonts w:hint="eastAsia" w:ascii="宋体" w:hAnsi="宋体" w:cs="宋体"/>
          <w:spacing w:val="-1"/>
          <w:sz w:val="24"/>
          <w:szCs w:val="24"/>
        </w:rPr>
        <w:t xml:space="preserve">审核，无误后方可签订合同。</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中标单位于中标后3日内向使用单位提供部分产品的样品进行测试，具体测试产品清单由使用单位抽取，若产品测试不合格，采购人有权取消该中标单位中标资格。</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b/>
          <w:bCs/>
          <w:spacing w:val="-1"/>
          <w:sz w:val="24"/>
          <w:szCs w:val="24"/>
        </w:rPr>
      </w:pPr>
      <w:r>
        <w:rPr>
          <w:rFonts w:hint="eastAsia" w:ascii="宋体" w:hAnsi="宋体" w:cs="宋体"/>
          <w:b/>
          <w:bCs/>
          <w:spacing w:val="-1"/>
          <w:sz w:val="24"/>
          <w:szCs w:val="24"/>
        </w:rPr>
        <w:t xml:space="preserve">4、演示（10分）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投标人需对“智能实验记录本”，“风洞实验套装”，“力学综合实验平台套装”，“实验室物联控制套装”功能进行演示并制作成演示视频上</w:t>
      </w:r>
      <w:r>
        <w:rPr>
          <w:rFonts w:hint="eastAsia" w:ascii="宋体" w:hAnsi="宋体" w:cs="宋体"/>
          <w:spacing w:val="-1"/>
          <w:sz w:val="24"/>
          <w:szCs w:val="24"/>
        </w:rPr>
        <w:t xml:space="preserve">传至投标系统中。视频文件的格式为*.mp4或*.avi，投标供应商须将视频文件分段压缩为*.zip文件上传（单个文件不得大于50M，所有文件总共不得大于300M）。文件上传方式见《操作手册》规定，上传的演示视频将作为投标文件的组成部分，视频时长总计不超过15分钟。根据投标供应商视频演示情况和以下功能得分点进行打分，投标人每组视频录制时必须采用一镜到底的方式，不允许剪辑，否则不得分。未按要求进行演示视频或使用其他方式（如软件Demo、PPT 演示、图片原型或方案等）演示不得分。中标供应商与采购人签订合同前，需</w:t>
      </w:r>
      <w:r>
        <w:rPr>
          <w:rFonts w:hint="eastAsia" w:ascii="宋体" w:hAnsi="宋体" w:cs="宋体"/>
          <w:spacing w:val="-1"/>
          <w:sz w:val="24"/>
          <w:szCs w:val="24"/>
          <w:lang w:val="en-US" w:eastAsia="zh-CN"/>
        </w:rPr>
        <w:t xml:space="preserve">到</w:t>
      </w:r>
      <w:r>
        <w:rPr>
          <w:rFonts w:hint="eastAsia" w:ascii="宋体" w:hAnsi="宋体" w:cs="宋体"/>
          <w:spacing w:val="-1"/>
          <w:sz w:val="24"/>
          <w:szCs w:val="24"/>
        </w:rPr>
        <w:t xml:space="preserve">采购人实际使用现场演示确认。具体要求如下：</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4.1所投“智能实验记录本”  （3.5分）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①演示书写介质为普通纸张，不能是特定的专用的纸张；纸张上留下笔迹，保持原有手写习惯且笔迹书写同步显示在电脑端，笔芯可更换。得1分。（演示成功得对应分值，不演示或者演示失败不得分）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②演示所投智能实验记录本具有蓝牙连接状态、电池电量状态显示屏。得1分（演示成功得对应分值，不演示或者演示失败不得分）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③演示引用教学资源录课方式，将已经制作好的ppt 、word、pdf、图片等文档导入到微课录制界面，使用电磁笔在纸上进行批注书写且笔迹书写同步显示在电脑端。得0.5分（演示成功得对应分值，不演示或者演示失败不得分）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④演示微课录制完成后，并且可以实现微课的回放和预览，便于教师查看微课录制效果，支持本地以MP4格式导出微课视频。得0.5分（演示成功得对应分值，不演示或者演示失败不得分）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⑤演示成品微课，通用的流媒体格式文件，系统采用矢量笔迹轨迹的记录方式。得0.5分（演示成功得对应分值，不演示或者演示失败不得分）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4.2所投“风洞实验套装”（1分）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数据记录仪里带有嵌入式软件，可以链接电脑后，不用安装程序，直接执行自带软件。得1分。（演示成功得对应分值，不演示或者演示失败不得分）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4.3所投“力学综合实验套装”（1分）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无线运动滑块内含气浮装置，形成气垫，提供移动无摩擦环境，可在移动中打点。配备控制器，可设置打点时间间隔。得1分。（演示成功得对应分值，不演示或者演示失败不得分）</w:t>
      </w:r>
      <w:r/>
    </w:p>
    <w:p>
      <w:pPr>
        <w:ind w:left="482"/>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4.4所投“实验室物联控制套装”（4.5分）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①集成语音广播音频硬解码模块，无需另加其他设备，在不开启智能融合信息终端情况下接收服务器预设的MP3格式音频进行自动播放，可以对教室实现实时语音广播、定时广播以及手动广播接收与播放功能，语音广播支持0-99级广播级别和强制接受选择。得1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②内置配置界面，支持本地配置网络时钟参数、录播配置、电脑配置、音频参数等。得0.5分。（演示成功得对应分值，不演示或者演示失败不得分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③支持集中管理软件及微信小程序远程对灯光的控制进行手动、定时集控管理（如禁用，灯光通电、断电等）。得0.5分。（演示成功得对应分值，不演示或者演示失败不得分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④支持集中管理软件及微信小程序远程对空调的控制进行手动、定时集控管理。得0.5分。（演示成功得对应分值，不演示或者演示失败不得分）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⑤支持集中管理软件及微信小程序远程对电脑电源的控制进行手动、定时集控管理。得0.5分。（演示成功得对应分值，不演示或者演示失败不得分）</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⑥支持集中管理软件对于电子班牌的参数配置。得0.5分。（演示成功得对应分值，不演示或者演示失败不得分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⑦支持集中管理软件及微信小程序远程对教学一体机的控制进行手动、定时集控管理。得0.5分。（演示成功得对应分值，不演示或者演示失败不得分</w:t>
      </w:r>
      <w:r>
        <w:rPr>
          <w:rFonts w:hint="eastAsia" w:ascii="宋体" w:hAnsi="宋体" w:cs="宋体"/>
          <w:spacing w:val="-1"/>
          <w:sz w:val="24"/>
          <w:szCs w:val="24"/>
          <w:lang w:eastAsia="zh-CN"/>
        </w:rPr>
        <w:t xml:space="preserve">。</w:t>
      </w:r>
      <w:r>
        <w:rPr>
          <w:rFonts w:hint="eastAsia" w:ascii="宋体" w:hAnsi="宋体" w:cs="宋体"/>
          <w:spacing w:val="-1"/>
          <w:sz w:val="24"/>
          <w:szCs w:val="24"/>
        </w:rPr>
        <w:t xml:space="preserve">）</w:t>
      </w:r>
      <w:r/>
    </w:p>
    <w:p>
      <w:pPr>
        <w:ind w:firstLine="476"/>
        <w:spacing w:line="360" w:lineRule="auto"/>
        <w:tabs>
          <w:tab w:val="left" w:pos="525" w:leader="none"/>
          <w:tab w:val="left" w:pos="945" w:leader="none"/>
          <w:tab w:val="left" w:pos="1155" w:leader="none"/>
          <w:tab w:val="left" w:pos="3823" w:leader="none"/>
        </w:tabs>
        <w:rPr>
          <w:rFonts w:hint="eastAsia" w:ascii="宋体" w:hAnsi="宋体" w:cs="宋体"/>
          <w:spacing w:val="-1"/>
          <w:sz w:val="24"/>
          <w:szCs w:val="24"/>
        </w:rPr>
      </w:pPr>
      <w:r>
        <w:rPr>
          <w:rFonts w:hint="eastAsia" w:ascii="宋体" w:hAnsi="宋体" w:cs="宋体"/>
          <w:spacing w:val="-1"/>
          <w:sz w:val="24"/>
          <w:szCs w:val="24"/>
        </w:rPr>
        <w:t xml:space="preserve">⑧支持集中管理软件及微信小程序远程对窗帘的控制进行手动、定时集控管理。得0.5分。（演示成功得对应分值，不演示或者演示失败不得分）</w:t>
      </w:r>
      <w:r/>
    </w:p>
    <w:p>
      <w:pPr>
        <w:numPr>
          <w:ilvl w:val="0"/>
          <w:numId w:val="5"/>
        </w:numPr>
        <w:ind w:left="420"/>
        <w:spacing w:line="360" w:lineRule="auto"/>
        <w:tabs>
          <w:tab w:val="left" w:pos="525" w:leader="none"/>
          <w:tab w:val="left" w:pos="945" w:leader="none"/>
          <w:tab w:val="left" w:pos="1155" w:leader="none"/>
          <w:tab w:val="left" w:pos="3823" w:leader="none"/>
        </w:tabs>
        <w:rPr>
          <w:rFonts w:hint="eastAsia" w:ascii="宋体" w:hAnsi="宋体"/>
          <w:color w:val="000000"/>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lang w:val="en-US" w:eastAsia="zh-CN"/>
        </w:rPr>
        <w:t xml:space="preserve">1</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szCs w:val="24"/>
        </w:rPr>
        <w:t xml:space="preserve">依据财政部、发展改革委发布的《节能产品政府采</w:t>
      </w:r>
      <w:r/>
    </w:p>
    <w:p>
      <w:pPr>
        <w:numPr>
          <w:ilvl w:val="0"/>
          <w:numId w:val="0"/>
        </w:numPr>
        <w:ind w:left="0"/>
        <w:spacing w:line="360" w:lineRule="auto"/>
        <w:tabs>
          <w:tab w:val="left" w:pos="525" w:leader="none"/>
          <w:tab w:val="left" w:pos="945" w:leader="none"/>
          <w:tab w:val="left" w:pos="1155" w:leader="none"/>
          <w:tab w:val="left" w:pos="3823" w:leader="none"/>
        </w:tabs>
        <w:rPr>
          <w:rFonts w:hint="eastAsia" w:ascii="宋体" w:hAnsi="宋体"/>
          <w:b/>
          <w:sz w:val="24"/>
          <w:szCs w:val="24"/>
        </w:rPr>
      </w:pPr>
      <w:r>
        <w:rPr>
          <w:rFonts w:hint="eastAsia" w:ascii="宋体" w:hAnsi="宋体"/>
          <w:color w:val="000000"/>
          <w:sz w:val="24"/>
          <w:szCs w:val="24"/>
        </w:rPr>
        <w:t xml:space="preserve">购品目清单》和财政部、生态环境部发布的《</w:t>
      </w:r>
      <w:r>
        <w:rPr>
          <w:rFonts w:ascii="宋体" w:hAnsi="宋体"/>
          <w:color w:val="000000"/>
          <w:sz w:val="24"/>
          <w:szCs w:val="24"/>
        </w:rPr>
        <w:t xml:space="preserve">环境标志产品政府采购品目清单</w:t>
      </w:r>
      <w:r>
        <w:rPr>
          <w:rFonts w:hint="eastAsia" w:ascii="宋体" w:hAnsi="宋体"/>
          <w:color w:val="000000"/>
          <w:sz w:val="24"/>
          <w:szCs w:val="24"/>
        </w:rPr>
        <w:t xml:space="preserve">》，投标人能够提供所投产品为政府采购节能（政府强制采购节能产品除外）产品的得</w:t>
      </w:r>
      <w:r>
        <w:rPr>
          <w:rFonts w:hint="eastAsia" w:ascii="宋体" w:hAnsi="宋体"/>
          <w:color w:val="000000"/>
          <w:sz w:val="24"/>
          <w:szCs w:val="24"/>
          <w:lang w:val="en-US" w:eastAsia="zh-CN"/>
        </w:rPr>
        <w:t xml:space="preserve">0.5</w:t>
      </w:r>
      <w:r>
        <w:rPr>
          <w:rFonts w:hint="eastAsia" w:ascii="宋体" w:hAnsi="宋体"/>
          <w:color w:val="000000"/>
          <w:sz w:val="24"/>
          <w:szCs w:val="24"/>
        </w:rPr>
        <w:t xml:space="preserve">分、能够提供所投产品为环保产品的得</w:t>
      </w:r>
      <w:r>
        <w:rPr>
          <w:rFonts w:hint="eastAsia" w:ascii="宋体" w:hAnsi="宋体"/>
          <w:color w:val="000000"/>
          <w:sz w:val="24"/>
          <w:szCs w:val="24"/>
          <w:lang w:val="en-US" w:eastAsia="zh-CN"/>
        </w:rPr>
        <w:t xml:space="preserve">0.5</w:t>
      </w:r>
      <w:r>
        <w:rPr>
          <w:rFonts w:hint="eastAsia" w:ascii="宋体" w:hAnsi="宋体"/>
          <w:color w:val="000000"/>
          <w:sz w:val="24"/>
          <w:szCs w:val="24"/>
        </w:rPr>
        <w:t xml:space="preserve">分，本项最高</w:t>
      </w:r>
      <w:r>
        <w:rPr>
          <w:rFonts w:hint="eastAsia" w:ascii="宋体" w:hAnsi="宋体"/>
          <w:color w:val="000000"/>
          <w:sz w:val="24"/>
          <w:szCs w:val="24"/>
          <w:lang w:val="en-US" w:eastAsia="zh-CN"/>
        </w:rPr>
        <w:t xml:space="preserve">得1</w:t>
      </w:r>
      <w:r>
        <w:rPr>
          <w:rFonts w:hint="eastAsia" w:ascii="宋体" w:hAnsi="宋体"/>
          <w:color w:val="000000"/>
          <w:sz w:val="24"/>
          <w:szCs w:val="24"/>
        </w:rPr>
        <w:t xml:space="preserve">分。（投标时须提供所投产品由国家确定的认证机构出具的、处于有效期之内的节能产品认证证书复印件、环境标志产品认证证书原件扫描并上传，否则不得分</w:t>
      </w:r>
      <w:r>
        <w:rPr>
          <w:rFonts w:ascii="宋体" w:hAnsi="宋体"/>
          <w:color w:val="000000"/>
          <w:sz w:val="24"/>
          <w:szCs w:val="24"/>
        </w:rPr>
        <w:t xml:space="preserve">）</w:t>
      </w:r>
      <w:r>
        <w:rPr>
          <w:rFonts w:hint="eastAsia" w:ascii="宋体" w:hAnsi="宋体"/>
          <w:color w:val="000000"/>
          <w:sz w:val="24"/>
          <w:szCs w:val="24"/>
        </w:rPr>
        <w:t xml:space="preserve">。</w:t>
      </w:r>
      <w:r/>
    </w:p>
    <w:p>
      <w:pPr>
        <w:pStyle w:val="939"/>
        <w:ind w:firstLine="360"/>
        <w:spacing w:before="0" w:after="0" w:line="360" w:lineRule="auto"/>
        <w:rPr>
          <w:rFonts w:ascii="宋体" w:hAnsi="宋体"/>
          <w:b/>
          <w:sz w:val="28"/>
          <w:szCs w:val="28"/>
        </w:rPr>
      </w:pPr>
      <w:r>
        <w:rPr>
          <w:rFonts w:hint="eastAsia" w:ascii="宋体" w:hAnsi="宋体"/>
          <w:b/>
          <w:sz w:val="28"/>
          <w:szCs w:val="28"/>
        </w:rPr>
        <w:t xml:space="preserve">（二）技术部分（ </w:t>
      </w:r>
      <w:r>
        <w:rPr>
          <w:rFonts w:hint="eastAsia" w:ascii="宋体" w:hAnsi="宋体"/>
          <w:b/>
          <w:sz w:val="28"/>
          <w:szCs w:val="28"/>
          <w:lang w:val="en-US" w:eastAsia="zh-CN"/>
        </w:rPr>
        <w:t xml:space="preserve">40</w:t>
      </w:r>
      <w:r>
        <w:rPr>
          <w:rFonts w:hint="eastAsia" w:ascii="宋体" w:hAnsi="宋体"/>
          <w:b/>
          <w:sz w:val="28"/>
          <w:szCs w:val="28"/>
        </w:rPr>
        <w:t xml:space="preserve">分）</w:t>
      </w:r>
      <w:r/>
    </w:p>
    <w:p>
      <w:pPr>
        <w:pStyle w:val="939"/>
        <w:ind w:firstLine="422"/>
        <w:spacing w:before="0" w:after="0" w:line="360" w:lineRule="auto"/>
        <w:rPr>
          <w:rFonts w:ascii="宋体" w:hAnsi="宋体"/>
          <w:b/>
          <w:u w:val="single"/>
        </w:rPr>
      </w:pPr>
      <w:r>
        <w:rPr>
          <w:rFonts w:hint="eastAsia" w:ascii="宋体" w:hAnsi="宋体"/>
          <w:b/>
          <w:u w:val="single"/>
        </w:rPr>
        <w:t xml:space="preserve">注：技术部分属于暗标，投标人在制作技术部分相关内容时不得有体现投标人身份的内容，否则投标无效。</w:t>
      </w:r>
      <w:r/>
    </w:p>
    <w:p>
      <w:pPr>
        <w:numPr>
          <w:ilvl w:val="0"/>
          <w:numId w:val="5"/>
        </w:numPr>
        <w:ind w:left="420"/>
        <w:jc w:val="left"/>
        <w:spacing w:line="360" w:lineRule="auto"/>
        <w:tabs>
          <w:tab w:val="left" w:pos="1440" w:leader="none"/>
        </w:tabs>
        <w:rPr>
          <w:rFonts w:hint="eastAsia" w:ascii="宋体" w:hAnsi="宋体"/>
          <w:b/>
          <w:bCs/>
          <w:color w:val="000000"/>
          <w:sz w:val="24"/>
          <w:szCs w:val="24"/>
        </w:rPr>
        <w:outlineLvl w:val="0"/>
      </w:pPr>
      <w:r>
        <w:rPr>
          <w:rFonts w:hint="eastAsia" w:ascii="宋体" w:hAnsi="宋体"/>
          <w:b/>
          <w:bCs/>
          <w:color w:val="000000"/>
          <w:sz w:val="24"/>
          <w:szCs w:val="24"/>
        </w:rPr>
        <w:t xml:space="preserve">服务方案</w:t>
      </w:r>
      <w:r/>
    </w:p>
    <w:p>
      <w:pPr>
        <w:pStyle w:val="973"/>
        <w:ind w:firstLine="482"/>
        <w:spacing w:line="360" w:lineRule="auto"/>
        <w:rPr>
          <w:rFonts w:hAnsi="宋体" w:cs="宋体"/>
          <w:szCs w:val="24"/>
        </w:rPr>
      </w:pPr>
      <w:r>
        <w:rPr>
          <w:rFonts w:hint="eastAsia" w:hAnsi="宋体" w:cs="宋体"/>
          <w:b/>
          <w:bCs/>
          <w:szCs w:val="24"/>
          <w:lang w:val="en-US" w:eastAsia="zh-CN"/>
        </w:rPr>
        <w:t xml:space="preserve">6</w:t>
      </w:r>
      <w:r>
        <w:rPr>
          <w:rFonts w:hint="eastAsia" w:hAnsi="宋体" w:cs="宋体"/>
          <w:b/>
          <w:bCs/>
          <w:szCs w:val="24"/>
        </w:rPr>
        <w:t xml:space="preserve">.1、安装调试方案（12分）</w:t>
      </w:r>
      <w:r>
        <w:rPr>
          <w:rFonts w:hint="eastAsia" w:hAnsi="宋体" w:cs="宋体"/>
          <w:szCs w:val="24"/>
        </w:rPr>
        <w:t xml:space="preserve">：内容包括①安装调试整体规划；②人员组织方案；③供货方案；④安装方案；⑤调试方案；⑥质量保证方案。</w:t>
      </w:r>
      <w:r/>
    </w:p>
    <w:p>
      <w:pPr>
        <w:ind w:firstLine="480"/>
        <w:spacing w:line="360" w:lineRule="auto"/>
        <w:rPr>
          <w:rFonts w:ascii="宋体" w:hAnsi="宋体" w:cs="宋体"/>
          <w:sz w:val="24"/>
          <w:szCs w:val="24"/>
        </w:rPr>
      </w:pPr>
      <w:r>
        <w:rPr>
          <w:rFonts w:hint="eastAsia" w:ascii="宋体" w:hAnsi="宋体" w:cs="宋体"/>
          <w:sz w:val="24"/>
          <w:szCs w:val="24"/>
        </w:rPr>
        <w:t xml:space="preserve">每项方案完整，科学合理，设计清晰详细，完全符合本项目需求，得2分；方案完整性一般，科学合理性一般，设计清晰详细程度一般，能够符合本项目需求，得1分；方案完整性、科学合理性、设计的清晰详细程度等只能基本满足要求的，得0.5分。</w:t>
      </w:r>
      <w:r/>
    </w:p>
    <w:p>
      <w:pPr>
        <w:ind w:firstLine="482"/>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.2、培训服务方案（8分）：</w:t>
      </w:r>
      <w:r>
        <w:rPr>
          <w:rFonts w:hint="eastAsia" w:ascii="宋体" w:hAnsi="宋体" w:cs="宋体"/>
          <w:sz w:val="24"/>
          <w:szCs w:val="24"/>
        </w:rPr>
        <w:t xml:space="preserve">内容包括①培训内容整体方案；②质保期后服务保障方案及售后服务方案整体规划；③应急维修服务保障方案；④维护保养具体实施方案。</w:t>
      </w:r>
      <w:r/>
    </w:p>
    <w:p>
      <w:pPr>
        <w:spacing w:line="360" w:lineRule="auto"/>
        <w:rPr>
          <w:rFonts w:ascii="宋体" w:hAnsi="宋体" w:cs="宋体"/>
          <w:sz w:val="24"/>
          <w:szCs w:val="24"/>
        </w:rPr>
      </w:pPr>
      <w:r>
        <w:rPr>
          <w:rFonts w:hint="eastAsia" w:ascii="宋体" w:hAnsi="宋体" w:cs="宋体"/>
          <w:sz w:val="24"/>
          <w:szCs w:val="24"/>
        </w:rPr>
        <w:t xml:space="preserve">每项方案完整，科学合理，设计清晰详细，完全符合本项目需求，得2分；方案完整性一般，科学合理性一般，设计清晰详细程度一般，能够符合本项目需求，得1分；方案完整性、科学合理性、设计的清晰详细程度等只能基本满足要求的，得0.5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.3、整体设计方案（9分）：</w:t>
      </w:r>
      <w:r>
        <w:rPr>
          <w:rFonts w:hint="eastAsia" w:ascii="宋体" w:hAnsi="宋体" w:cs="宋体"/>
          <w:sz w:val="24"/>
          <w:szCs w:val="24"/>
        </w:rPr>
        <w:t xml:space="preserve">为保证本项目实验室建设的精准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①物理实验室及准备室的整体设计及深化图纸；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②化学实验室及准备室的整体设计及深化图纸；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③生物实验室及准备室的整体设计及深化图纸。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括至少1张平面布置图(含桌椅、水槽、通风柜精确排布)、3张不同视角效果图、对应教室的现场实景拍摄照片(须体现拍摄时间及经纬度水印，或带有项目特征标志)，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每种实验室设计方案完整详细，整体设计思路清晰，科学合理，图纸专业、高清美观、符合实验室功能定位，贴合项目实际工况、满足专业实验室使用及施工验收要求，设计落地性强的，得3分。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每种实验室设计方案基本完整，整体设计思路基本可行，图纸基本齐全，设计符合规范，能基本落地的，得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spacing w:line="360" w:lineRule="auto"/>
        <w:rPr>
          <w:rFonts w:ascii="宋体" w:hAnsi="宋体" w:cs="宋体"/>
          <w:sz w:val="24"/>
          <w:szCs w:val="24"/>
        </w:rPr>
      </w:pP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.4、给排水系统设计（</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分）：</w:t>
      </w:r>
      <w:r>
        <w:rPr>
          <w:rFonts w:hint="eastAsia" w:ascii="宋体" w:hAnsi="宋体" w:cs="宋体"/>
          <w:sz w:val="24"/>
          <w:szCs w:val="24"/>
        </w:rPr>
        <w:t xml:space="preserve">为保证本项目实验室建设的给排水系统专业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①生物实验室给排水系统详细设计及深化图纸；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②化学实验室给排水系统详细设计及深化图纸。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水路设计说明与图例、给水平面布置图、排水平面布置图、节点大样图内容、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每种实验室给排水系统设计方案完整详细，整体设计思路清晰，科学合理，图纸专业、高清、符合实验室功能定位，贴合项目实际工况、满足专业实验室使用及施工验收要求，设计落地性强的，得</w:t>
      </w:r>
      <w:r>
        <w:rPr>
          <w:rFonts w:hint="eastAsia" w:ascii="宋体" w:hAnsi="宋体" w:cs="宋体"/>
          <w:sz w:val="24"/>
          <w:szCs w:val="24"/>
          <w:lang w:val="en-US" w:eastAsia="zh-CN"/>
        </w:rPr>
        <w:t xml:space="preserve">2.5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lang w:val="en-US" w:eastAsia="zh-CN"/>
        </w:rPr>
        <w:t xml:space="preserve">每种实验室排水系统设计</w:t>
      </w:r>
      <w:r>
        <w:rPr>
          <w:rFonts w:hint="eastAsia" w:ascii="宋体" w:hAnsi="宋体" w:cs="宋体"/>
          <w:sz w:val="24"/>
          <w:szCs w:val="24"/>
        </w:rPr>
        <w:t xml:space="preserve">方案基本完整，整体设计思路</w:t>
      </w:r>
      <w:r>
        <w:rPr>
          <w:rFonts w:hint="eastAsia" w:ascii="宋体" w:hAnsi="宋体" w:cs="宋体"/>
          <w:sz w:val="24"/>
          <w:szCs w:val="24"/>
          <w:lang w:val="en-US" w:eastAsia="zh-CN"/>
        </w:rPr>
        <w:t xml:space="preserve">一般</w:t>
      </w:r>
      <w:r>
        <w:rPr>
          <w:rFonts w:hint="eastAsia" w:ascii="宋体" w:hAnsi="宋体" w:cs="宋体"/>
          <w:sz w:val="24"/>
          <w:szCs w:val="24"/>
        </w:rPr>
        <w:t xml:space="preserve">，科学合理一般，图纸专业、高清、符合实验室功能定位一般，贴合项目实际工况、满足专业实验室使用及施工验收要求一般，设计落地性一般的，得</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每种实验室给排水系统设计方案完整</w:t>
      </w:r>
      <w:r>
        <w:rPr>
          <w:rFonts w:hint="eastAsia" w:ascii="宋体" w:hAnsi="宋体" w:cs="宋体"/>
          <w:sz w:val="24"/>
          <w:szCs w:val="24"/>
          <w:lang w:val="en-US" w:eastAsia="zh-CN"/>
        </w:rPr>
        <w:t xml:space="preserve">性不够</w:t>
      </w:r>
      <w:r>
        <w:rPr>
          <w:rFonts w:hint="eastAsia" w:ascii="宋体" w:hAnsi="宋体" w:cs="宋体"/>
          <w:sz w:val="24"/>
          <w:szCs w:val="24"/>
        </w:rPr>
        <w:t xml:space="preserve">，整体设计思路可行</w:t>
      </w:r>
      <w:r>
        <w:rPr>
          <w:rFonts w:hint="eastAsia" w:ascii="宋体" w:hAnsi="宋体" w:cs="宋体"/>
          <w:sz w:val="24"/>
          <w:szCs w:val="24"/>
          <w:lang w:val="en-US" w:eastAsia="zh-CN"/>
        </w:rPr>
        <w:t xml:space="preserve">性一般</w:t>
      </w:r>
      <w:r>
        <w:rPr>
          <w:rFonts w:hint="eastAsia" w:ascii="宋体" w:hAnsi="宋体" w:cs="宋体"/>
          <w:sz w:val="24"/>
          <w:szCs w:val="24"/>
        </w:rPr>
        <w:t xml:space="preserve">，图纸基本齐全，设计符合规</w:t>
      </w:r>
      <w:r>
        <w:rPr>
          <w:rFonts w:hint="eastAsia" w:ascii="宋体" w:hAnsi="宋体" w:cs="宋体"/>
          <w:sz w:val="24"/>
          <w:szCs w:val="24"/>
          <w:lang w:val="en-US" w:eastAsia="zh-CN"/>
        </w:rPr>
        <w:t xml:space="preserve">一般</w:t>
      </w:r>
      <w:r>
        <w:rPr>
          <w:rFonts w:hint="eastAsia" w:ascii="宋体" w:hAnsi="宋体" w:cs="宋体"/>
          <w:sz w:val="24"/>
          <w:szCs w:val="24"/>
        </w:rPr>
        <w:t xml:space="preserve">范，基本落地</w:t>
      </w:r>
      <w:r>
        <w:rPr>
          <w:rFonts w:hint="eastAsia" w:ascii="宋体" w:hAnsi="宋体" w:cs="宋体"/>
          <w:sz w:val="24"/>
          <w:szCs w:val="24"/>
          <w:lang w:val="en-US" w:eastAsia="zh-CN"/>
        </w:rPr>
        <w:t xml:space="preserve">性差</w:t>
      </w:r>
      <w:r>
        <w:rPr>
          <w:rFonts w:hint="eastAsia" w:ascii="宋体" w:hAnsi="宋体" w:cs="宋体"/>
          <w:sz w:val="24"/>
          <w:szCs w:val="24"/>
        </w:rPr>
        <w:t xml:space="preserve">，得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图纸不全或使用与本项目实验室建设无关的通用图纸，不符合采购要求的，得0分。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.5、供电系统设计（3分）：</w:t>
      </w:r>
      <w:r>
        <w:rPr>
          <w:rFonts w:hint="eastAsia" w:ascii="宋体" w:hAnsi="宋体" w:cs="宋体"/>
          <w:sz w:val="24"/>
          <w:szCs w:val="24"/>
        </w:rPr>
        <w:t xml:space="preserve">为保证本项目实验室建设的给供电系统安全性、专业性与落地效果，本方案应提供与本项目实际教室完全匹配的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①物理实验室供电系统详细设计及深化图纸；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②化学实验室供电系统详细设计及深化图纸；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③生物实验室供电系统详细设计及深化图纸。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其中深化图纸包含电路设计说明、</w:t>
      </w:r>
      <w:r>
        <w:rPr>
          <w:rFonts w:ascii="宋体" w:hAnsi="宋体" w:cs="宋体"/>
          <w:sz w:val="24"/>
          <w:szCs w:val="24"/>
        </w:rPr>
        <w:t xml:space="preserve">强电</w:t>
      </w:r>
      <w:r>
        <w:rPr>
          <w:rFonts w:hint="eastAsia" w:ascii="宋体" w:hAnsi="宋体" w:cs="宋体"/>
          <w:sz w:val="24"/>
          <w:szCs w:val="24"/>
        </w:rPr>
        <w:t xml:space="preserve">布线</w:t>
      </w:r>
      <w:r>
        <w:rPr>
          <w:rFonts w:ascii="宋体" w:hAnsi="宋体" w:cs="宋体"/>
          <w:sz w:val="24"/>
          <w:szCs w:val="24"/>
        </w:rPr>
        <w:t xml:space="preserve">平面图</w:t>
      </w:r>
      <w:r>
        <w:rPr>
          <w:rFonts w:hint="eastAsia" w:ascii="宋体" w:hAnsi="宋体" w:cs="宋体"/>
          <w:sz w:val="24"/>
          <w:szCs w:val="24"/>
        </w:rPr>
        <w:t xml:space="preserve">、现场实景拍摄照片(须体现拍摄时间及经纬度水印且图纸布局须与现场照片中的建筑结构、立柱、窗户等硬性特征相对应)。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每种实验室供电系统设计方案完整详细，整体设计思路清晰，科学合理，图纸专业、高清、符合实验室功能定位，贴合项目实际工况、满足专业实验室使用及施工验收要求，设计落地性强的，得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每种实验室供电系统设计方案基本完整，整体设计思路基本可行，图纸基本齐全，设计符合规范，能基本落地的，得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每种实验室供电系统设计方案完整</w:t>
      </w:r>
      <w:r>
        <w:rPr>
          <w:rFonts w:hint="eastAsia" w:ascii="宋体" w:hAnsi="宋体" w:cs="宋体"/>
          <w:sz w:val="24"/>
          <w:szCs w:val="24"/>
          <w:lang w:val="en-US" w:eastAsia="zh-CN"/>
        </w:rPr>
        <w:t xml:space="preserve">性不够</w:t>
      </w:r>
      <w:r>
        <w:rPr>
          <w:rFonts w:hint="eastAsia" w:ascii="宋体" w:hAnsi="宋体" w:cs="宋体"/>
          <w:sz w:val="24"/>
          <w:szCs w:val="24"/>
        </w:rPr>
        <w:t xml:space="preserve">，整体设计思路</w:t>
      </w:r>
      <w:r>
        <w:rPr>
          <w:rFonts w:hint="eastAsia" w:ascii="宋体" w:hAnsi="宋体" w:cs="宋体"/>
          <w:sz w:val="24"/>
          <w:szCs w:val="24"/>
          <w:lang w:val="en-US" w:eastAsia="zh-CN"/>
        </w:rPr>
        <w:t xml:space="preserve">缺乏基本依据</w:t>
      </w:r>
      <w:r>
        <w:rPr>
          <w:rFonts w:hint="eastAsia" w:ascii="宋体" w:hAnsi="宋体" w:cs="宋体"/>
          <w:sz w:val="24"/>
          <w:szCs w:val="24"/>
        </w:rPr>
        <w:t xml:space="preserve">，图纸基本齐全</w:t>
      </w:r>
      <w:r>
        <w:rPr>
          <w:rFonts w:hint="eastAsia" w:ascii="宋体" w:hAnsi="宋体" w:cs="宋体"/>
          <w:sz w:val="24"/>
          <w:szCs w:val="24"/>
          <w:lang w:val="en-US" w:eastAsia="zh-CN"/>
        </w:rPr>
        <w:t xml:space="preserve">性不够</w:t>
      </w:r>
      <w:r>
        <w:rPr>
          <w:rFonts w:hint="eastAsia" w:ascii="宋体" w:hAnsi="宋体" w:cs="宋体"/>
          <w:sz w:val="24"/>
          <w:szCs w:val="24"/>
        </w:rPr>
        <w:t xml:space="preserve">，设计符合规范</w:t>
      </w:r>
      <w:r>
        <w:rPr>
          <w:rFonts w:hint="eastAsia" w:ascii="宋体" w:hAnsi="宋体" w:cs="宋体"/>
          <w:sz w:val="24"/>
          <w:szCs w:val="24"/>
          <w:lang w:val="en-US" w:eastAsia="zh-CN"/>
        </w:rPr>
        <w:t xml:space="preserve">性一般</w:t>
      </w:r>
      <w:r>
        <w:rPr>
          <w:rFonts w:hint="eastAsia" w:ascii="宋体" w:hAnsi="宋体" w:cs="宋体"/>
          <w:sz w:val="24"/>
          <w:szCs w:val="24"/>
        </w:rPr>
        <w:t xml:space="preserve">，基本落地</w:t>
      </w:r>
      <w:r>
        <w:rPr>
          <w:rFonts w:hint="eastAsia" w:ascii="宋体" w:hAnsi="宋体" w:cs="宋体"/>
          <w:sz w:val="24"/>
          <w:szCs w:val="24"/>
          <w:lang w:val="en-US" w:eastAsia="zh-CN"/>
        </w:rPr>
        <w:t xml:space="preserve">性差</w:t>
      </w:r>
      <w:r>
        <w:rPr>
          <w:rFonts w:hint="eastAsia" w:ascii="宋体" w:hAnsi="宋体" w:cs="宋体"/>
          <w:sz w:val="24"/>
          <w:szCs w:val="24"/>
        </w:rPr>
        <w:t xml:space="preserve">的，得</w:t>
      </w:r>
      <w:r>
        <w:rPr>
          <w:rFonts w:hint="eastAsia" w:ascii="宋体" w:hAnsi="宋体" w:cs="宋体"/>
          <w:sz w:val="24"/>
          <w:szCs w:val="24"/>
          <w:lang w:val="en-US" w:eastAsia="zh-CN"/>
        </w:rPr>
        <w:t xml:space="preserve">0.2</w:t>
      </w:r>
      <w:r>
        <w:rPr>
          <w:rFonts w:hint="eastAsia" w:ascii="宋体" w:hAnsi="宋体" w:cs="宋体"/>
          <w:sz w:val="24"/>
          <w:szCs w:val="24"/>
        </w:rPr>
        <w:t xml:space="preserve">分。</w:t>
      </w:r>
      <w:r/>
    </w:p>
    <w:p>
      <w:pPr>
        <w:ind w:firstLine="420"/>
        <w:spacing w:line="360" w:lineRule="auto"/>
        <w:rPr>
          <w:rFonts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图纸不全或使用与本项目实验室建设无关的通用图纸，不符合采购要求的，得0分。</w:t>
      </w:r>
      <w:r/>
    </w:p>
    <w:p>
      <w:pPr>
        <w:ind w:firstLine="420"/>
        <w:spacing w:line="360" w:lineRule="auto"/>
        <w:rPr>
          <w:rFonts w:hint="eastAsia" w:ascii="宋体" w:hAnsi="宋体" w:cs="宋体"/>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.6、通风系统设计（3分）：</w:t>
      </w:r>
      <w:r>
        <w:rPr>
          <w:rFonts w:hint="eastAsia" w:ascii="宋体" w:hAnsi="宋体" w:cs="宋体"/>
          <w:sz w:val="24"/>
          <w:szCs w:val="24"/>
        </w:rPr>
        <w:t xml:space="preserve">为保证本项目化学实验室建设的安全性、专业性与落地效果，本方案应提供与本项目实际教室完全匹配的通风系统设计方案及深化设计图纸。图纸须基于投标人自行踏勘现场后获得的实际建筑尺寸、柱网结构、管线定位及门窗位置等核心数据进行绘制。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①化学实验室通风系统详细设计及深化图纸。</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其中深化图纸包含包含通风风管设计说明（含图例、设备材料表）、风管平面布置图、屋顶设备大样图、现场实景拍摄照片(须体现拍摄时间及经纬度水印且图纸布局须与现场照片中的建筑结构、立柱、窗户等硬性特征相对应)。</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化学实验室通风系统设计方案完整详细，整体设计思路清晰，科学合理，全套专业图纸专业、高清、符合实验室功能定位，贴合项目实际工况、满足专业实验室使用及施工验收要求，设计落地性强的，得3分。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w:t>
      </w:r>
      <w:r>
        <w:rPr>
          <w:rFonts w:hint="eastAsia" w:ascii="宋体" w:hAnsi="宋体" w:cs="宋体"/>
          <w:sz w:val="24"/>
          <w:szCs w:val="24"/>
          <w:lang w:val="en-US" w:eastAsia="zh-CN"/>
        </w:rPr>
        <w:t xml:space="preserve">基本</w:t>
      </w:r>
      <w:r>
        <w:rPr>
          <w:rFonts w:hint="eastAsia" w:ascii="宋体" w:hAnsi="宋体" w:cs="宋体"/>
          <w:sz w:val="24"/>
          <w:szCs w:val="24"/>
        </w:rPr>
        <w:t xml:space="preserve">完整详细，整体设计</w:t>
      </w:r>
      <w:r>
        <w:rPr>
          <w:rFonts w:hint="eastAsia" w:ascii="宋体" w:hAnsi="宋体" w:cs="宋体"/>
          <w:sz w:val="24"/>
          <w:szCs w:val="24"/>
          <w:lang w:val="en-US" w:eastAsia="zh-CN"/>
        </w:rPr>
        <w:t xml:space="preserve">基本</w:t>
      </w:r>
      <w:r>
        <w:rPr>
          <w:rFonts w:hint="eastAsia" w:ascii="宋体" w:hAnsi="宋体" w:cs="宋体"/>
          <w:sz w:val="24"/>
          <w:szCs w:val="24"/>
        </w:rPr>
        <w:t xml:space="preserve">思路清晰，科学合理</w:t>
      </w:r>
      <w:r>
        <w:rPr>
          <w:rFonts w:hint="eastAsia" w:ascii="宋体" w:hAnsi="宋体" w:cs="宋体"/>
          <w:sz w:val="24"/>
          <w:szCs w:val="24"/>
          <w:lang w:val="en-US" w:eastAsia="zh-CN"/>
        </w:rPr>
        <w:t xml:space="preserve">一般</w:t>
      </w:r>
      <w:r>
        <w:rPr>
          <w:rFonts w:hint="eastAsia" w:ascii="宋体" w:hAnsi="宋体" w:cs="宋体"/>
          <w:sz w:val="24"/>
          <w:szCs w:val="24"/>
        </w:rPr>
        <w:t xml:space="preserve">，全套专业图纸专业、高清、符合实验室功能定位</w:t>
      </w:r>
      <w:r>
        <w:rPr>
          <w:rFonts w:hint="eastAsia" w:ascii="宋体" w:hAnsi="宋体" w:cs="宋体"/>
          <w:sz w:val="24"/>
          <w:szCs w:val="24"/>
          <w:lang w:val="en-US" w:eastAsia="zh-CN"/>
        </w:rPr>
        <w:t xml:space="preserve">一般</w:t>
      </w:r>
      <w:r>
        <w:rPr>
          <w:rFonts w:hint="eastAsia" w:ascii="宋体" w:hAnsi="宋体" w:cs="宋体"/>
          <w:sz w:val="24"/>
          <w:szCs w:val="24"/>
        </w:rPr>
        <w:t xml:space="preserve">，贴合项目实际工况、满足专业实验室使用及施工验收要求</w:t>
      </w:r>
      <w:r>
        <w:rPr>
          <w:rFonts w:hint="eastAsia" w:ascii="宋体" w:hAnsi="宋体" w:cs="宋体"/>
          <w:sz w:val="24"/>
          <w:szCs w:val="24"/>
          <w:lang w:val="en-US" w:eastAsia="zh-CN"/>
        </w:rPr>
        <w:t xml:space="preserve">一般</w:t>
      </w:r>
      <w:r>
        <w:rPr>
          <w:rFonts w:hint="eastAsia" w:ascii="宋体" w:hAnsi="宋体" w:cs="宋体"/>
          <w:sz w:val="24"/>
          <w:szCs w:val="24"/>
        </w:rPr>
        <w:t xml:space="preserve">，设计落地性</w:t>
      </w:r>
      <w:r>
        <w:rPr>
          <w:rFonts w:hint="eastAsia" w:ascii="宋体" w:hAnsi="宋体" w:cs="宋体"/>
          <w:sz w:val="24"/>
          <w:szCs w:val="24"/>
          <w:lang w:val="en-US" w:eastAsia="zh-CN"/>
        </w:rPr>
        <w:t xml:space="preserve">一般</w:t>
      </w:r>
      <w:r>
        <w:rPr>
          <w:rFonts w:hint="eastAsia" w:ascii="宋体" w:hAnsi="宋体" w:cs="宋体"/>
          <w:sz w:val="24"/>
          <w:szCs w:val="24"/>
        </w:rPr>
        <w:t xml:space="preserve">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化学实验室通风系统设计方案完整</w:t>
      </w:r>
      <w:r>
        <w:rPr>
          <w:rFonts w:hint="eastAsia" w:ascii="宋体" w:hAnsi="宋体" w:cs="宋体"/>
          <w:sz w:val="24"/>
          <w:szCs w:val="24"/>
          <w:lang w:val="en-US" w:eastAsia="zh-CN"/>
        </w:rPr>
        <w:t xml:space="preserve">性欠缺</w:t>
      </w:r>
      <w:r>
        <w:rPr>
          <w:rFonts w:hint="eastAsia" w:ascii="宋体" w:hAnsi="宋体" w:cs="宋体"/>
          <w:sz w:val="24"/>
          <w:szCs w:val="24"/>
        </w:rPr>
        <w:t xml:space="preserve">，整体设计思路基本可行</w:t>
      </w:r>
      <w:r>
        <w:rPr>
          <w:rFonts w:hint="eastAsia" w:ascii="宋体" w:hAnsi="宋体" w:cs="宋体"/>
          <w:sz w:val="24"/>
          <w:szCs w:val="24"/>
          <w:lang w:val="en-US" w:eastAsia="zh-CN"/>
        </w:rPr>
        <w:t xml:space="preserve">性缺乏</w:t>
      </w:r>
      <w:r>
        <w:rPr>
          <w:rFonts w:hint="eastAsia" w:ascii="宋体" w:hAnsi="宋体" w:cs="宋体"/>
          <w:sz w:val="24"/>
          <w:szCs w:val="24"/>
        </w:rPr>
        <w:t xml:space="preserve">，图纸基本齐全</w:t>
      </w:r>
      <w:r>
        <w:rPr>
          <w:rFonts w:hint="eastAsia" w:ascii="宋体" w:hAnsi="宋体" w:cs="宋体"/>
          <w:sz w:val="24"/>
          <w:szCs w:val="24"/>
          <w:lang w:val="en-US" w:eastAsia="zh-CN"/>
        </w:rPr>
        <w:t xml:space="preserve">性不够</w:t>
      </w:r>
      <w:r>
        <w:rPr>
          <w:rFonts w:hint="eastAsia" w:ascii="宋体" w:hAnsi="宋体" w:cs="宋体"/>
          <w:sz w:val="24"/>
          <w:szCs w:val="24"/>
        </w:rPr>
        <w:t xml:space="preserve">，设计符合规范</w:t>
      </w:r>
      <w:r>
        <w:rPr>
          <w:rFonts w:hint="eastAsia" w:ascii="宋体" w:hAnsi="宋体" w:cs="宋体"/>
          <w:sz w:val="24"/>
          <w:szCs w:val="24"/>
          <w:lang w:val="en-US" w:eastAsia="zh-CN"/>
        </w:rPr>
        <w:t xml:space="preserve">一般</w:t>
      </w:r>
      <w:r>
        <w:rPr>
          <w:rFonts w:hint="eastAsia" w:ascii="宋体" w:hAnsi="宋体" w:cs="宋体"/>
          <w:sz w:val="24"/>
          <w:szCs w:val="24"/>
        </w:rPr>
        <w:t xml:space="preserve">，基本落地</w:t>
      </w:r>
      <w:r>
        <w:rPr>
          <w:rFonts w:hint="eastAsia" w:ascii="宋体" w:hAnsi="宋体" w:cs="宋体"/>
          <w:sz w:val="24"/>
          <w:szCs w:val="24"/>
          <w:lang w:val="en-US" w:eastAsia="zh-CN"/>
        </w:rPr>
        <w:t xml:space="preserve">性缺乏完善的依据的</w:t>
      </w:r>
      <w:r>
        <w:rPr>
          <w:rFonts w:hint="eastAsia" w:ascii="宋体" w:hAnsi="宋体" w:cs="宋体"/>
          <w:sz w:val="24"/>
          <w:szCs w:val="24"/>
        </w:rPr>
        <w:t xml:space="preserve">，得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图纸不全或使用与本项目实验室建设无关的通用图纸，不符合采购要求的，得0分。</w:t>
      </w:r>
      <w:r/>
    </w:p>
    <w:p>
      <w:pPr>
        <w:ind w:firstLine="720"/>
        <w:jc w:val="left"/>
        <w:spacing w:line="360" w:lineRule="auto"/>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rPr>
          <w:rFonts w:hint="eastAsia" w:ascii="黑体" w:hAnsi="黑体" w:eastAsia="黑体"/>
          <w:sz w:val="36"/>
          <w:szCs w:val="36"/>
        </w:rPr>
        <w:outlineLvl w:val="0"/>
      </w:pPr>
      <w:r>
        <w:rPr>
          <w:rFonts w:hint="eastAsia" w:ascii="黑体" w:hAnsi="黑体" w:eastAsia="黑体"/>
          <w:sz w:val="36"/>
          <w:szCs w:val="36"/>
          <w:highlight w:val="none"/>
        </w:rPr>
        <w:br w:type="page" w:clear="all"/>
      </w:r>
      <w:r/>
    </w:p>
    <w:p>
      <w:pPr>
        <w:ind w:firstLine="720"/>
        <w:jc w:val="left"/>
        <w:spacing w:line="360" w:lineRule="auto"/>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39"/>
        <w:ind w:firstLine="602"/>
        <w:spacing w:before="0" w:after="0" w:line="360" w:lineRule="auto"/>
        <w:rPr>
          <w:rFonts w:hint="eastAsia" w:cs="Arial"/>
          <w:b/>
          <w:sz w:val="30"/>
          <w:szCs w:val="30"/>
        </w:rPr>
      </w:pPr>
      <w:r/>
      <w:bookmarkStart w:id="195" w:name="_Hlt26671244"/>
      <w:r/>
      <w:bookmarkEnd w:id="195"/>
      <w:r/>
      <w:bookmarkStart w:id="196" w:name="_Hlt26955039"/>
      <w:r/>
      <w:bookmarkEnd w:id="196"/>
      <w:r/>
      <w:bookmarkStart w:id="197" w:name="_Toc120614282"/>
      <w:r/>
      <w:bookmarkStart w:id="198" w:name="_Toc49090576"/>
      <w:r/>
      <w:bookmarkStart w:id="199" w:name="_Toc26554094"/>
      <w:r>
        <w:rPr>
          <w:rFonts w:hint="eastAsia" w:cs="Arial"/>
          <w:b/>
          <w:sz w:val="30"/>
          <w:szCs w:val="30"/>
        </w:rPr>
        <w:t xml:space="preserve">第一部分  投标文件内容</w:t>
      </w:r>
      <w:r/>
    </w:p>
    <w:p>
      <w:pPr>
        <w:pStyle w:val="939"/>
        <w:ind w:firstLine="0"/>
        <w:spacing w:before="0" w:after="0" w:line="360" w:lineRule="auto"/>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39"/>
              <w:ind w:firstLine="0"/>
              <w:jc w:val="center"/>
              <w:spacing w:before="0" w:after="0" w:line="36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39"/>
              <w:jc w:val="center"/>
              <w:spacing w:before="0" w:after="0" w:line="36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39"/>
              <w:ind w:firstLine="0"/>
              <w:jc w:val="center"/>
              <w:spacing w:before="0" w:after="0" w:line="36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39"/>
              <w:ind w:firstLine="0"/>
              <w:spacing w:before="0" w:after="0" w:line="36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8"/>
                <w:rFonts w:hint="eastAsia" w:ascii="宋体" w:hAnsi="宋体" w:cs="宋体"/>
                <w:sz w:val="24"/>
                <w:szCs w:val="24"/>
              </w:rPr>
              <w:t xml:space="preserve">。</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3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39"/>
              <w:ind w:firstLine="0"/>
              <w:jc w:val="center"/>
              <w:spacing w:before="0" w:after="0" w:line="36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39"/>
              <w:ind w:firstLine="0"/>
              <w:spacing w:before="0" w:after="0" w:line="36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39"/>
              <w:ind w:firstLine="0"/>
              <w:spacing w:before="0" w:after="0" w:line="36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39"/>
              <w:ind w:firstLine="0"/>
              <w:jc w:val="center"/>
              <w:spacing w:before="0" w:after="0" w:line="36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39"/>
              <w:ind w:firstLine="0"/>
              <w:jc w:val="both"/>
              <w:spacing w:before="0" w:after="0" w:line="36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39"/>
              <w:ind w:firstLine="0"/>
              <w:spacing w:before="0" w:after="0" w:line="36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39"/>
              <w:ind w:firstLine="0"/>
              <w:jc w:val="center"/>
              <w:spacing w:before="0" w:after="0" w:line="36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39"/>
              <w:ind w:firstLine="0"/>
              <w:spacing w:before="0" w:after="0" w:line="36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360" w:lineRule="auto"/>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360" w:lineRule="auto"/>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360" w:lineRule="auto"/>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spacing w:line="360" w:lineRule="auto"/>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spacing w:line="360" w:lineRule="auto"/>
        <w:rPr>
          <w:b/>
          <w:sz w:val="28"/>
          <w:szCs w:val="28"/>
        </w:rPr>
      </w:pPr>
      <w:r>
        <w:rPr>
          <w:rFonts w:hint="eastAsia"/>
          <w:b/>
          <w:sz w:val="28"/>
          <w:szCs w:val="28"/>
        </w:rPr>
        <w:t xml:space="preserve">（一）符合性证明文件</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39"/>
              <w:ind w:firstLine="0"/>
              <w:jc w:val="center"/>
              <w:spacing w:before="0" w:after="0" w:line="36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39"/>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39"/>
              <w:ind w:firstLine="0"/>
              <w:jc w:val="center"/>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39"/>
              <w:ind w:firstLine="0"/>
              <w:jc w:val="both"/>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39"/>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39"/>
              <w:ind w:firstLine="0"/>
              <w:jc w:val="both"/>
              <w:spacing w:before="0" w:after="0" w:line="36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39"/>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39"/>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39"/>
              <w:ind w:firstLine="0"/>
              <w:jc w:val="both"/>
              <w:spacing w:before="0" w:after="0" w:line="36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39"/>
              <w:ind w:firstLine="0"/>
              <w:jc w:val="center"/>
              <w:spacing w:before="0" w:after="0" w:line="240" w:lineRule="auto"/>
              <w:rPr>
                <w:rFonts w:hint="eastAsia" w:cs="Arial"/>
              </w:rPr>
            </w:pPr>
            <w:r>
              <w:rPr>
                <w:rFonts w:hint="eastAsia" w:cs="Arial"/>
              </w:rPr>
            </w:r>
            <w:r/>
          </w:p>
        </w:tc>
      </w:tr>
    </w:tbl>
    <w:p>
      <w:pPr>
        <w:ind w:firstLine="480"/>
        <w:spacing w:line="360" w:lineRule="auto"/>
        <w:rPr>
          <w:rFonts w:hint="eastAsia" w:ascii="宋体" w:hAnsi="宋体"/>
          <w:sz w:val="24"/>
          <w:szCs w:val="24"/>
        </w:rPr>
      </w:pPr>
      <w:r>
        <w:rPr>
          <w:rFonts w:hint="eastAsia" w:ascii="宋体" w:hAnsi="宋体"/>
          <w:color w:val="000000" w:themeColor="text1"/>
          <w:sz w:val="24"/>
          <w:szCs w:val="24"/>
          <w:highlight w:val="none"/>
        </w:rPr>
        <w:t xml:space="preserve">说明：</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w:t>
      </w:r>
      <w:r>
        <w:rPr>
          <w:rFonts w:hint="eastAsia" w:ascii="宋体" w:hAnsi="宋体" w:cs="Arial"/>
          <w:sz w:val="24"/>
          <w:szCs w:val="24"/>
          <w:lang w:val="en-US" w:eastAsia="zh-CN"/>
        </w:rPr>
        <w:t xml:space="preserve">7</w:t>
      </w:r>
      <w:r>
        <w:rPr>
          <w:rFonts w:hint="eastAsia" w:ascii="宋体" w:hAnsi="宋体" w:cs="Arial"/>
          <w:sz w:val="24"/>
          <w:szCs w:val="24"/>
        </w:rPr>
        <w:t xml:space="preserve">项，《采购需求》中如有要求提供证明材料的，须按要求提供，否则投标文件无效。</w:t>
      </w:r>
      <w:r/>
    </w:p>
    <w:p>
      <w:pPr>
        <w:numPr>
          <w:ilvl w:val="0"/>
          <w:numId w:val="10"/>
        </w:numPr>
        <w:ind w:firstLine="480"/>
        <w:spacing w:line="360" w:lineRule="auto"/>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w:t>
      </w:r>
      <w:r>
        <w:rPr>
          <w:rFonts w:hint="eastAsia" w:ascii="宋体" w:hAnsi="宋体" w:cs="宋体"/>
          <w:sz w:val="24"/>
          <w:szCs w:val="24"/>
          <w:lang w:val="en-US" w:eastAsia="zh-CN"/>
        </w:rPr>
        <w:t xml:space="preserve">6</w:t>
      </w:r>
      <w:r>
        <w:rPr>
          <w:rFonts w:hint="eastAsia" w:ascii="宋体" w:hAnsi="宋体" w:cs="宋体"/>
          <w:sz w:val="24"/>
          <w:szCs w:val="24"/>
        </w:rPr>
        <w:t xml:space="preserve">项可由联合体主体单位（即联合体牵头人）代表联合体提供。第6项按《采购需求》中的相应要求（如有）进行提供。</w:t>
      </w:r>
      <w:r/>
    </w:p>
    <w:p>
      <w:pPr>
        <w:spacing w:line="360" w:lineRule="auto"/>
        <w:rPr>
          <w:rFonts w:hint="eastAsia"/>
          <w:b/>
          <w:color w:val="ff0000"/>
          <w:sz w:val="28"/>
          <w:szCs w:val="28"/>
        </w:rPr>
      </w:pPr>
      <w:r>
        <w:rPr>
          <w:rFonts w:hint="eastAsia"/>
          <w:b/>
          <w:color w:val="ff0000"/>
          <w:sz w:val="28"/>
          <w:szCs w:val="28"/>
        </w:rPr>
      </w:r>
      <w:r/>
    </w:p>
    <w:p>
      <w:pPr>
        <w:spacing w:line="360" w:lineRule="auto"/>
        <w:rPr>
          <w:rFonts w:hint="eastAsia"/>
          <w:b/>
          <w:sz w:val="28"/>
          <w:szCs w:val="28"/>
        </w:rPr>
      </w:pPr>
      <w:r>
        <w:rPr>
          <w:rFonts w:hint="eastAsia"/>
          <w:b/>
          <w:sz w:val="28"/>
          <w:szCs w:val="28"/>
        </w:rPr>
        <w:t xml:space="preserve">（二）其他证明文件</w:t>
      </w:r>
      <w:r/>
    </w:p>
    <w:p>
      <w:pPr>
        <w:ind w:left="480"/>
        <w:spacing w:line="360" w:lineRule="auto"/>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360" w:lineRule="auto"/>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spacing w:line="360" w:lineRule="auto"/>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39"/>
        <w:ind w:firstLine="0"/>
        <w:spacing w:before="0" w:after="0" w:line="360" w:lineRule="auto"/>
        <w:rPr>
          <w:rFonts w:cs="Arial"/>
          <w:b/>
          <w:sz w:val="28"/>
          <w:szCs w:val="28"/>
        </w:rPr>
      </w:pPr>
      <w:r>
        <w:rPr>
          <w:rFonts w:hint="eastAsia" w:cs="Arial"/>
          <w:b/>
          <w:sz w:val="28"/>
          <w:szCs w:val="28"/>
        </w:rPr>
        <w:t xml:space="preserve">一、封面格式（参考格式）：</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jc w:val="center"/>
        <w:spacing w:line="360" w:lineRule="auto"/>
        <w:rPr>
          <w:rFonts w:hint="eastAsia" w:ascii="宋体" w:hAnsi="宋体"/>
          <w:b/>
          <w:sz w:val="72"/>
          <w:shd w:val="clear" w:color="ffffff" w:fill="d9d9d9"/>
        </w:rPr>
      </w:pPr>
      <w:r>
        <w:rPr>
          <w:rFonts w:hint="eastAsia" w:ascii="宋体" w:hAnsi="宋体"/>
          <w:b/>
          <w:sz w:val="72"/>
          <w:shd w:val="clear" w:color="ffffff" w:fill="d9d9d9"/>
        </w:rPr>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spacing w:line="360" w:lineRule="auto"/>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spacing w:line="360" w:lineRule="auto"/>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360" w:lineRule="auto"/>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37"/>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37"/>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37"/>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37"/>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37"/>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37"/>
        <w:ind w:firstLine="480"/>
        <w:spacing w:line="360" w:lineRule="auto"/>
        <w:rPr>
          <w:rFonts w:hint="eastAsia"/>
          <w:sz w:val="24"/>
          <w:szCs w:val="24"/>
        </w:rPr>
      </w:pPr>
      <w:r>
        <w:rPr>
          <w:rFonts w:hint="eastAsia"/>
          <w:sz w:val="24"/>
          <w:szCs w:val="24"/>
        </w:rPr>
        <w:t xml:space="preserve">特此授权委托。</w:t>
      </w:r>
      <w:r/>
    </w:p>
    <w:p>
      <w:pPr>
        <w:pStyle w:val="937"/>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37"/>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37"/>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7"/>
        <w:ind w:firstLine="0"/>
        <w:spacing w:line="360" w:lineRule="auto"/>
        <w:rPr>
          <w:rFonts w:hint="eastAsia"/>
          <w:sz w:val="21"/>
          <w:szCs w:val="21"/>
        </w:rPr>
      </w:pPr>
      <w:r>
        <w:rPr>
          <w:rFonts w:hint="eastAsia"/>
          <w:sz w:val="21"/>
          <w:szCs w:val="21"/>
        </w:rPr>
      </w:r>
      <w:r/>
    </w:p>
    <w:p>
      <w:pPr>
        <w:pStyle w:val="937"/>
        <w:ind w:firstLine="0"/>
        <w:spacing w:line="360" w:lineRule="auto"/>
        <w:rPr>
          <w:rFonts w:hint="eastAsia"/>
          <w:sz w:val="21"/>
          <w:szCs w:val="21"/>
        </w:rPr>
      </w:pPr>
      <w:r>
        <w:rPr>
          <w:rFonts w:hint="eastAsia"/>
          <w:sz w:val="21"/>
          <w:szCs w:val="21"/>
        </w:rPr>
        <w:t xml:space="preserve">说明：</w:t>
      </w:r>
      <w:r/>
    </w:p>
    <w:p>
      <w:pPr>
        <w:pStyle w:val="937"/>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37"/>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37"/>
        <w:ind w:firstLine="0"/>
        <w:spacing w:line="360" w:lineRule="auto"/>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spacing w:line="360" w:lineRule="auto"/>
        <w:rPr>
          <w:rFonts w:ascii="黑体" w:eastAsia="黑体"/>
          <w:bCs/>
          <w:color w:val="000000"/>
          <w:sz w:val="28"/>
          <w:szCs w:val="28"/>
        </w:rPr>
        <w:outlineLvl w:val="0"/>
      </w:pPr>
      <w:r/>
      <w:bookmarkStart w:id="200" w:name="报价方关于资格的声明函（格式）"/>
      <w:r/>
      <w:bookmarkEnd w:id="200"/>
      <w:r>
        <w:rPr>
          <w:rFonts w:hint="eastAsia" w:ascii="黑体" w:eastAsia="黑体"/>
          <w:bCs/>
          <w:color w:val="000000"/>
          <w:sz w:val="28"/>
          <w:szCs w:val="28"/>
        </w:rPr>
        <w:t xml:space="preserve">资格声明函</w:t>
      </w:r>
      <w:r/>
    </w:p>
    <w:p>
      <w:pPr>
        <w:jc w:val="cente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highlight w:val="none"/>
        </w:rPr>
      </w:pPr>
      <w:r>
        <w:rPr>
          <w:highlight w:val="none"/>
        </w:rPr>
      </w:r>
      <w:r/>
    </w:p>
    <w:p>
      <w:pPr>
        <w:ind w:firstLine="560"/>
        <w:jc w:val="center"/>
        <w:spacing w:line="360" w:lineRule="auto"/>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关于符合本国产品标准的声明函</w:t>
      </w:r>
      <w:r/>
    </w:p>
    <w:p>
      <w:pPr>
        <w:ind w:firstLine="420"/>
        <w:spacing w:line="360" w:lineRule="auto"/>
        <w:rPr>
          <w:color w:val="000000" w:themeColor="text1"/>
          <w:highlight w:val="none"/>
        </w:rPr>
      </w:pPr>
      <w:r>
        <w:rPr>
          <w:color w:val="000000" w:themeColor="text1"/>
          <w:highlight w:val="none"/>
        </w:rPr>
        <w:t xml:space="preserve"> </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1.（产品名称1）</w:t>
      </w:r>
      <w:r>
        <w:rPr>
          <w:rFonts w:hint="eastAsia" w:ascii="宋体" w:hAnsi="宋体"/>
          <w:bCs/>
          <w:color w:val="000000" w:themeColor="text1"/>
          <w:sz w:val="24"/>
          <w:szCs w:val="24"/>
          <w:highlight w:val="none"/>
          <w:vertAlign w:val="superscript"/>
        </w:rPr>
        <w:t xml:space="preserve">1</w:t>
      </w:r>
      <w:r>
        <w:rPr>
          <w:rFonts w:hint="eastAsia" w:ascii="宋体" w:hAnsi="宋体"/>
          <w:bCs/>
          <w:color w:val="000000" w:themeColor="text1"/>
          <w:sz w:val="24"/>
          <w:szCs w:val="24"/>
          <w:highlight w:val="none"/>
        </w:rPr>
        <w:t xml:space="preserve">，生产厂为（厂名）</w:t>
      </w:r>
      <w:r>
        <w:rPr>
          <w:rFonts w:hint="eastAsia" w:ascii="宋体" w:hAnsi="宋体"/>
          <w:bCs/>
          <w:color w:val="000000" w:themeColor="text1"/>
          <w:sz w:val="24"/>
          <w:szCs w:val="24"/>
          <w:highlight w:val="none"/>
          <w:vertAlign w:val="superscript"/>
        </w:rPr>
        <w:t xml:space="preserve">2</w:t>
      </w:r>
      <w:r>
        <w:rPr>
          <w:rFonts w:hint="eastAsia" w:ascii="宋体" w:hAnsi="宋体"/>
          <w:bCs/>
          <w:color w:val="000000" w:themeColor="text1"/>
          <w:sz w:val="24"/>
          <w:szCs w:val="24"/>
          <w:highlight w:val="none"/>
        </w:rPr>
        <w:t xml:space="preserve">，厂址为（生产厂址）。（</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3</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4</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产品名称1</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vertAlign w:val="superscript"/>
        </w:rPr>
        <w:t xml:space="preserve">5</w:t>
      </w:r>
      <w:r>
        <w:rPr>
          <w:rFonts w:hint="eastAsia" w:ascii="宋体" w:hAnsi="宋体"/>
          <w:bCs/>
          <w:color w:val="000000" w:themeColor="text1"/>
          <w:sz w:val="24"/>
          <w:szCs w:val="24"/>
          <w:highlight w:val="none"/>
        </w:rPr>
        <w:t xml:space="preserve">在中国境内完成。</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2.（产品名称2），生产厂为（厂名），厂址为（生产厂址）。（</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）的中国境内生产的组件成本占比≥（</w:t>
      </w:r>
      <w:r>
        <w:rPr>
          <w:rFonts w:hint="eastAsia" w:ascii="宋体" w:hAnsi="宋体"/>
          <w:bCs/>
          <w:strike/>
          <w:color w:val="000000" w:themeColor="text1"/>
          <w:sz w:val="24"/>
          <w:szCs w:val="24"/>
          <w:highlight w:val="none"/>
        </w:rPr>
        <w:t xml:space="preserve">规定比例</w:t>
      </w:r>
      <w:r>
        <w:rPr>
          <w:rFonts w:hint="eastAsia" w:ascii="宋体" w:hAnsi="宋体"/>
          <w:bCs/>
          <w:color w:val="000000" w:themeColor="text1"/>
          <w:sz w:val="24"/>
          <w:szCs w:val="24"/>
          <w:highlight w:val="none"/>
        </w:rPr>
        <w:t xml:space="preserve">）。（</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关键组件</w:t>
      </w:r>
      <w:r>
        <w:rPr>
          <w:rFonts w:hint="eastAsia" w:ascii="宋体" w:hAnsi="宋体"/>
          <w:bCs/>
          <w:color w:val="000000" w:themeColor="text1"/>
          <w:sz w:val="24"/>
          <w:szCs w:val="24"/>
          <w:highlight w:val="none"/>
        </w:rPr>
        <w:t xml:space="preserve">）在中国境内生产。（</w:t>
      </w:r>
      <w:r>
        <w:rPr>
          <w:rFonts w:hint="eastAsia" w:ascii="宋体" w:hAnsi="宋体"/>
          <w:bCs/>
          <w:strike/>
          <w:color w:val="000000" w:themeColor="text1"/>
          <w:sz w:val="24"/>
          <w:szCs w:val="24"/>
          <w:highlight w:val="none"/>
        </w:rPr>
        <w:t xml:space="preserve">产品名称2</w:t>
      </w:r>
      <w:r>
        <w:rPr>
          <w:rFonts w:hint="eastAsia" w:ascii="宋体" w:hAnsi="宋体"/>
          <w:bCs/>
          <w:color w:val="000000" w:themeColor="text1"/>
          <w:sz w:val="24"/>
          <w:szCs w:val="24"/>
          <w:highlight w:val="none"/>
        </w:rPr>
        <w:t xml:space="preserve">）的（</w:t>
      </w:r>
      <w:r>
        <w:rPr>
          <w:rFonts w:hint="eastAsia" w:ascii="宋体" w:hAnsi="宋体"/>
          <w:bCs/>
          <w:strike/>
          <w:color w:val="000000" w:themeColor="text1"/>
          <w:sz w:val="24"/>
          <w:szCs w:val="24"/>
          <w:highlight w:val="none"/>
        </w:rPr>
        <w:t xml:space="preserve">关键工序</w:t>
      </w:r>
      <w:r>
        <w:rPr>
          <w:rFonts w:hint="eastAsia" w:ascii="宋体" w:hAnsi="宋体"/>
          <w:bCs/>
          <w:color w:val="000000" w:themeColor="text1"/>
          <w:sz w:val="24"/>
          <w:szCs w:val="24"/>
          <w:highlight w:val="none"/>
        </w:rPr>
        <w:t xml:space="preserve">）在中国境内完成。</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 </w:t>
      </w:r>
      <w:r/>
    </w:p>
    <w:p>
      <w:pPr>
        <w:ind w:firstLine="480"/>
        <w:jc w:val="righ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公司（单位）名称（盖章）：          </w:t>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日期：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年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月　</w:t>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日          </w:t>
      </w:r>
      <w:r/>
    </w:p>
    <w:p>
      <w:pPr>
        <w:jc w:val="left"/>
        <w:spacing w:before="25" w:after="25" w:line="360" w:lineRule="auto"/>
        <w:shd w:val="clear" w:color="auto" w:fill="ffffff"/>
        <w:widowControl/>
        <w:rPr>
          <w:rFonts w:hint="eastAsia" w:ascii="inherit" w:hAnsi="inherit" w:eastAsia="仿宋" w:cs="宋体"/>
          <w:color w:val="000000" w:themeColor="text1"/>
          <w:sz w:val="28"/>
          <w:szCs w:val="28"/>
          <w:highlight w:val="none"/>
        </w:rPr>
      </w:pPr>
      <w:r>
        <w:rPr>
          <w:rFonts w:ascii="inherit" w:hAnsi="inherit" w:eastAsia="仿宋" w:cs="宋体"/>
          <w:color w:val="000000" w:themeColor="text1"/>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rPr>
      </w:pPr>
      <w:r>
        <w:rPr>
          <w:rFonts w:ascii="宋体" w:hAnsi="宋体" w:cs="宋体"/>
          <w:color w:val="000000" w:themeColor="text1"/>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none"/>
        </w:rPr>
      </w:pPr>
      <w:r>
        <w:rPr>
          <w:rFonts w:hint="eastAsia" w:ascii="宋体" w:hAnsi="宋体" w:cs="宋体"/>
          <w:b/>
          <w:color w:val="000000" w:themeColor="text1"/>
          <w:sz w:val="18"/>
          <w:szCs w:val="18"/>
          <w:highlight w:val="none"/>
        </w:rPr>
        <w:t xml:space="preserve">注：划删除线的地方无需填写。</w:t>
      </w:r>
      <w:r/>
    </w:p>
    <w:p>
      <w:pPr>
        <w:spacing w:line="360" w:lineRule="auto"/>
        <w:rPr>
          <w:rFonts w:hint="eastAsia" w:ascii="宋体" w:hAnsi="宋体" w:cs="宋体"/>
          <w:b/>
          <w:sz w:val="28"/>
          <w:szCs w:val="28"/>
        </w:rPr>
      </w:pPr>
      <w:r>
        <w:rPr>
          <w:highlight w:val="none"/>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p>
    <w:p>
      <w:pPr>
        <w:spacing w:line="360" w:lineRule="auto"/>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26"/>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360" w:lineRule="auto"/>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spacing w:line="360" w:lineRule="auto"/>
        <w:rPr>
          <w:rFonts w:hint="eastAsia" w:ascii="黑体" w:eastAsia="黑体"/>
          <w:bCs/>
          <w:sz w:val="28"/>
          <w:szCs w:val="28"/>
        </w:rPr>
      </w:pPr>
      <w:r>
        <w:rPr>
          <w:rFonts w:hint="eastAsia" w:ascii="黑体" w:eastAsia="黑体"/>
          <w:bCs/>
          <w:sz w:val="28"/>
          <w:szCs w:val="28"/>
        </w:rPr>
        <w:t xml:space="preserve">承诺书</w:t>
      </w:r>
      <w:r/>
    </w:p>
    <w:p>
      <w:pPr>
        <w:spacing w:line="36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36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36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hint="eastAsia" w:ascii="宋体"/>
          <w:bCs/>
          <w:color w:val="ff0000"/>
          <w:sz w:val="24"/>
          <w:szCs w:val="24"/>
        </w:rPr>
      </w:pPr>
      <w:r>
        <w:rPr>
          <w:rFonts w:hint="eastAsia" w:ascii="宋体"/>
          <w:bCs/>
          <w:color w:val="ff0000"/>
          <w:sz w:val="24"/>
          <w:szCs w:val="24"/>
        </w:rPr>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3720"/>
        <w:spacing w:line="36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360" w:lineRule="auto"/>
        <w:rPr>
          <w:rFonts w:hint="eastAsia" w:ascii="Arial" w:hAnsi="Arial"/>
          <w:b/>
          <w:sz w:val="24"/>
        </w:rPr>
      </w:pPr>
      <w:r>
        <w:rPr>
          <w:rFonts w:hint="eastAsia" w:ascii="Arial" w:hAnsi="Arial"/>
          <w:b/>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7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965"/>
              <w:jc w:val="center"/>
              <w:spacing w:line="360" w:lineRule="auto"/>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965"/>
              <w:jc w:val="center"/>
              <w:spacing w:line="360" w:lineRule="auto"/>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spacing w:line="360" w:lineRule="auto"/>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tbl>
      <w:tblPr>
        <w:tblStyle w:val="679"/>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line="360" w:lineRule="auto"/>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line="360" w:lineRule="auto"/>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line="360" w:lineRule="auto"/>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line="360" w:lineRule="auto"/>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line="360" w:lineRule="auto"/>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line="360" w:lineRule="auto"/>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line="360" w:lineRule="auto"/>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line="360" w:lineRule="auto"/>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line="360" w:lineRule="auto"/>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99"/>
              <w:spacing w:before="5" w:line="360" w:lineRule="auto"/>
              <w:tabs>
                <w:tab w:val="clear" w:pos="4153" w:leader="none"/>
                <w:tab w:val="clear" w:pos="8306" w:leader="none"/>
              </w:tabs>
              <w:rPr>
                <w:rFonts w:ascii="宋体"/>
                <w:color w:val="000000"/>
                <w:highlight w:val="none"/>
                <w:lang w:val="en-US" w:eastAsia="zh-CN"/>
              </w:rPr>
              <w:pBdr>
                <w:bottom w:val="none" w:color="000000" w:sz="0" w:space="0"/>
              </w:pBdr>
            </w:pPr>
            <w:r>
              <w:rPr>
                <w:rFonts w:hint="eastAsia" w:ascii="宋体"/>
                <w:color w:val="000000"/>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spacing w:line="360" w:lineRule="auto"/>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spacing w:line="360" w:lineRule="auto"/>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899"/>
              <w:spacing w:line="360" w:lineRule="auto"/>
              <w:tabs>
                <w:tab w:val="clear" w:pos="4153" w:leader="none"/>
                <w:tab w:val="clear" w:pos="8306" w:leader="none"/>
              </w:tabs>
              <w:rPr>
                <w:rFonts w:ascii="宋体"/>
                <w:bCs/>
                <w:color w:val="000000"/>
                <w:highlight w:val="none"/>
                <w:lang w:val="en-US" w:eastAsia="zh-CN"/>
              </w:rPr>
              <w:pBdr>
                <w:bottom w:val="none" w:color="000000" w:sz="0" w:space="0"/>
              </w:pBdr>
            </w:pPr>
            <w:r>
              <w:rPr>
                <w:rFonts w:ascii="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spacing w:line="360" w:lineRule="auto"/>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spacing w:line="360" w:lineRule="auto"/>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spacing w:line="360" w:lineRule="auto"/>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360" w:lineRule="auto"/>
              <w:rPr>
                <w:rFonts w:hint="eastAsia" w:ascii="楷体" w:hAnsi="楷体" w:eastAsia="楷体"/>
                <w:bCs/>
                <w:color w:val="000000" w:themeColor="text1"/>
                <w:sz w:val="28"/>
                <w:szCs w:val="28"/>
                <w:highlight w:val="none"/>
              </w:rPr>
            </w:pPr>
            <w:r>
              <w:rPr>
                <w:rFonts w:hint="eastAsia" w:ascii="楷体" w:hAnsi="楷体" w:eastAsia="楷体"/>
                <w:bCs/>
                <w:color w:val="000000" w:themeColor="text1"/>
                <w:sz w:val="28"/>
                <w:szCs w:val="28"/>
                <w:highlight w:val="none"/>
              </w:rPr>
              <w:t xml:space="preserve">投标人承诺：</w:t>
            </w:r>
            <w:r/>
          </w:p>
          <w:p>
            <w:pPr>
              <w:jc w:val="both"/>
              <w:spacing w:line="360" w:lineRule="auto"/>
              <w:rPr>
                <w:rFonts w:ascii="黑体" w:hAnsi="宋体" w:eastAsia="黑体"/>
                <w:b/>
                <w:bCs/>
                <w:color w:val="000000"/>
                <w:sz w:val="24"/>
                <w:szCs w:val="24"/>
                <w:highlight w:val="none"/>
              </w:rPr>
            </w:pPr>
            <w:r>
              <w:rPr>
                <w:rFonts w:hint="eastAsia" w:ascii="楷体" w:hAnsi="楷体" w:eastAsia="楷体"/>
                <w:bCs/>
                <w:color w:val="000000" w:themeColor="text1"/>
                <w:sz w:val="28"/>
                <w:szCs w:val="28"/>
                <w:highlight w:val="none"/>
              </w:rPr>
              <w:t xml:space="preserve">本采购项目或采购包中提供的符合本国产品标准的产品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占提供的全部产品</w:t>
            </w:r>
            <w:r>
              <w:rPr>
                <w:rFonts w:hint="eastAsia" w:ascii="楷体" w:hAnsi="楷体" w:eastAsia="楷体"/>
                <w:b/>
                <w:bCs/>
                <w:color w:val="000000" w:themeColor="text1"/>
                <w:sz w:val="28"/>
                <w:szCs w:val="28"/>
                <w:highlight w:val="none"/>
              </w:rPr>
              <w:t xml:space="preserve">成本之和</w:t>
            </w:r>
            <w:r>
              <w:rPr>
                <w:rFonts w:hint="eastAsia" w:ascii="楷体" w:hAnsi="楷体" w:eastAsia="楷体"/>
                <w:bCs/>
                <w:color w:val="000000" w:themeColor="text1"/>
                <w:sz w:val="28"/>
                <w:szCs w:val="28"/>
                <w:highlight w:val="none"/>
              </w:rPr>
              <w:t xml:space="preserve">的比例：</w:t>
            </w:r>
            <w:r>
              <w:rPr>
                <w:rFonts w:hint="eastAsia" w:ascii="楷体" w:hAnsi="楷体" w:eastAsia="楷体"/>
                <w:bCs/>
                <w:color w:val="000000" w:themeColor="text1"/>
                <w:sz w:val="28"/>
                <w:szCs w:val="28"/>
                <w:highlight w:val="none"/>
                <w:u w:val="single"/>
              </w:rPr>
              <w:t xml:space="preserve">      </w:t>
            </w:r>
            <w:r>
              <w:rPr>
                <w:rFonts w:hint="eastAsia" w:ascii="楷体" w:hAnsi="楷体" w:eastAsia="楷体"/>
                <w:bCs/>
                <w:color w:val="000000" w:themeColor="text1"/>
                <w:sz w:val="28"/>
                <w:szCs w:val="28"/>
                <w:highlight w:val="none"/>
              </w:rPr>
              <w:t xml:space="preserve">%</w:t>
            </w:r>
            <w:r/>
          </w:p>
        </w:tc>
      </w:tr>
    </w:tbl>
    <w:p>
      <w:pPr>
        <w:spacing w:before="5" w:line="360" w:lineRule="auto"/>
        <w:rPr>
          <w:b/>
          <w:bCs/>
          <w:color w:val="000000"/>
          <w:sz w:val="24"/>
          <w:szCs w:val="24"/>
          <w:highlight w:val="none"/>
        </w:rPr>
      </w:pPr>
      <w:r>
        <w:rPr>
          <w:rFonts w:hint="eastAsia"/>
          <w:b/>
          <w:bCs/>
          <w:color w:val="000000"/>
          <w:sz w:val="24"/>
          <w:szCs w:val="24"/>
          <w:highlight w:val="none"/>
        </w:rPr>
        <w:t xml:space="preserve">投标人名称（盖章）：</w:t>
      </w:r>
      <w:bookmarkEnd w:id="197"/>
      <w:bookmarkEnd w:id="198"/>
      <w:bookmarkEnd w:id="199"/>
      <w:r/>
    </w:p>
    <w:p>
      <w:pPr>
        <w:spacing w:line="360" w:lineRule="auto"/>
        <w:rPr>
          <w:rFonts w:hint="eastAsia" w:ascii="宋体" w:hAnsi="宋体"/>
          <w:b/>
          <w:color w:val="000000"/>
          <w:highlight w:val="none"/>
        </w:rPr>
        <w:outlineLvl w:val="0"/>
      </w:pPr>
      <w:r>
        <w:rPr>
          <w:rFonts w:hint="eastAsia" w:ascii="宋体" w:hAnsi="宋体"/>
          <w:b/>
          <w:color w:val="000000"/>
          <w:highlight w:val="none"/>
        </w:rPr>
      </w:r>
      <w:r/>
    </w:p>
    <w:p>
      <w:pPr>
        <w:spacing w:line="360" w:lineRule="auto"/>
        <w:rPr>
          <w:rFonts w:ascii="宋体"/>
          <w:bCs/>
          <w:color w:val="000000" w:themeColor="text1"/>
          <w:highlight w:val="none"/>
        </w:rPr>
        <w:outlineLvl w:val="0"/>
      </w:pPr>
      <w:r/>
      <w:bookmarkStart w:id="201" w:name="_Toc120614284"/>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rPr>
        <w:t xml:space="preserve">无锡市滨湖区公共资源交易中心</w:t>
      </w:r>
      <w:r>
        <w:rPr>
          <w:rFonts w:hint="eastAsia" w:ascii="宋体"/>
          <w:bCs/>
          <w:color w:val="000000" w:themeColor="text1"/>
          <w:highlight w:val="none"/>
        </w:rPr>
        <w:t xml:space="preserve">有权将相关内容进行公示。</w:t>
      </w:r>
      <w:r/>
    </w:p>
    <w:p>
      <w:pPr>
        <w:ind w:firstLine="315"/>
        <w:spacing w:line="360" w:lineRule="auto"/>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）投标人应当根据“采购需求”的内容在上表中详细填写。</w:t>
      </w:r>
      <w:r/>
    </w:p>
    <w:p>
      <w:pPr>
        <w:ind w:firstLine="315"/>
        <w:spacing w:line="360" w:lineRule="auto"/>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p>
    <w:p>
      <w:pPr>
        <w:ind w:firstLine="315"/>
        <w:spacing w:line="360" w:lineRule="auto"/>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（4）</w:t>
      </w:r>
      <w:r>
        <w:rPr>
          <w:rFonts w:hint="eastAsia" w:ascii="宋体" w:hAnsi="宋体"/>
          <w:bCs/>
          <w:color w:val="000000" w:themeColor="text1"/>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360" w:lineRule="auto"/>
        <w:rPr>
          <w:rFonts w:hint="eastAsia" w:ascii="宋体" w:hAnsi="宋体"/>
          <w:bCs/>
          <w:color w:val="000000" w:themeColor="text1"/>
          <w:highlight w:val="none"/>
          <w:u w:val="single"/>
        </w:rPr>
        <w:outlineLvl w:val="0"/>
      </w:pPr>
      <w:r>
        <w:rPr>
          <w:rFonts w:hint="eastAsia" w:ascii="宋体" w:hAnsi="宋体"/>
          <w:bCs/>
          <w:color w:val="000000" w:themeColor="text1"/>
          <w:highlight w:val="none"/>
          <w:u w:val="single"/>
        </w:rPr>
        <w:t xml:space="preserve">特别注意！！“符合本国产品标准的产品成本之和”是指本项目或采购包中符合本国产品标准的</w:t>
      </w:r>
      <w:r>
        <w:rPr>
          <w:rFonts w:hint="eastAsia" w:ascii="宋体" w:hAnsi="宋体"/>
          <w:b/>
          <w:bCs/>
          <w:color w:val="000000" w:themeColor="text1"/>
          <w:highlight w:val="none"/>
          <w:u w:val="single"/>
        </w:rPr>
        <w:t xml:space="preserve">货物成本之和</w:t>
      </w:r>
      <w:r>
        <w:rPr>
          <w:rFonts w:hint="eastAsia" w:ascii="宋体" w:hAnsi="宋体"/>
          <w:bCs/>
          <w:color w:val="000000" w:themeColor="text1"/>
          <w:highlight w:val="none"/>
          <w:u w:val="single"/>
        </w:rPr>
        <w:t xml:space="preserve">；“全部产品成本之和”是指货物或服务项目（或者采购包）中包含的</w:t>
      </w:r>
      <w:r>
        <w:rPr>
          <w:rFonts w:hint="eastAsia" w:ascii="宋体" w:hAnsi="宋体"/>
          <w:b/>
          <w:bCs/>
          <w:color w:val="000000" w:themeColor="text1"/>
          <w:highlight w:val="none"/>
          <w:u w:val="single"/>
        </w:rPr>
        <w:t xml:space="preserve">全部货物、服务产品的成本之和</w:t>
      </w:r>
      <w:r>
        <w:rPr>
          <w:rFonts w:hint="eastAsia" w:ascii="宋体" w:hAnsi="宋体"/>
          <w:bCs/>
          <w:color w:val="000000" w:themeColor="text1"/>
          <w:highlight w:val="none"/>
          <w:u w:val="single"/>
        </w:rPr>
        <w:t xml:space="preserve">。</w:t>
      </w:r>
      <w:r/>
    </w:p>
    <w:p>
      <w:pPr>
        <w:spacing w:line="360" w:lineRule="auto"/>
        <w:rPr>
          <w:rFonts w:hint="eastAsia"/>
          <w:b/>
          <w:sz w:val="28"/>
          <w:szCs w:val="28"/>
        </w:rPr>
      </w:pPr>
      <w:r>
        <w:rPr>
          <w:rFonts w:hint="eastAsia" w:ascii="宋体" w:hAnsi="宋体"/>
          <w:bCs/>
          <w:color w:val="000000"/>
          <w:highlight w:val="none"/>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67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rPr>
            </w:pPr>
            <w:r>
              <w:rPr>
                <w:rFonts w:ascii="宋体"/>
                <w:bCs/>
                <w:color w:val="000000"/>
              </w:rPr>
            </w:r>
            <w:r/>
          </w:p>
        </w:tc>
      </w:tr>
    </w:tbl>
    <w:p>
      <w:pPr>
        <w:spacing w:line="360" w:lineRule="auto"/>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spacing w:line="360" w:lineRule="auto"/>
        <w:rPr>
          <w:rFonts w:ascii="宋体"/>
          <w:bCs/>
          <w:color w:val="000000"/>
          <w:sz w:val="30"/>
        </w:rPr>
      </w:pPr>
      <w:r>
        <w:rPr>
          <w:rFonts w:ascii="宋体"/>
          <w:bCs/>
          <w:color w:val="000000"/>
          <w:sz w:val="30"/>
        </w:rPr>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1"/>
      <w:r/>
      <w:bookmarkStart w:id="202" w:name="_Hlt26955066"/>
      <w:r/>
      <w:bookmarkEnd w:id="202"/>
      <w:r/>
      <w:bookmarkStart w:id="203" w:name="_Hlt26609389"/>
      <w:r/>
      <w:bookmarkEnd w:id="203"/>
      <w:r/>
      <w:bookmarkStart w:id="204" w:name="_格式2__法定代表人授权书"/>
      <w:r/>
      <w:bookmarkEnd w:id="204"/>
      <w:r/>
      <w:bookmarkStart w:id="205" w:name="_Hlt26671374"/>
      <w:r/>
      <w:bookmarkEnd w:id="205"/>
      <w:r/>
      <w:r/>
    </w:p>
    <w:p>
      <w:pPr>
        <w:ind w:firstLine="420"/>
        <w:spacing w:line="360" w:lineRule="auto"/>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360" w:lineRule="auto"/>
        <w:rPr>
          <w:rFonts w:ascii="黑体" w:eastAsia="黑体"/>
          <w:bCs/>
          <w:color w:val="000000"/>
          <w:sz w:val="28"/>
          <w:szCs w:val="28"/>
        </w:rPr>
      </w:pPr>
      <w:r>
        <w:rPr>
          <w:rFonts w:ascii="黑体" w:eastAsia="黑体"/>
          <w:bCs/>
          <w:color w:val="000000"/>
          <w:sz w:val="28"/>
          <w:szCs w:val="28"/>
        </w:rPr>
      </w:r>
      <w:r/>
    </w:p>
    <w:p>
      <w:pPr>
        <w:jc w:val="center"/>
        <w:spacing w:line="360" w:lineRule="auto"/>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spacing w:line="360" w:lineRule="auto"/>
              <w:rPr>
                <w:b/>
                <w:color w:val="000000"/>
                <w:sz w:val="24"/>
              </w:rPr>
            </w:pPr>
            <w:r>
              <w:rPr>
                <w:rFonts w:hint="eastAsia"/>
                <w:b/>
                <w:color w:val="000000"/>
                <w:sz w:val="24"/>
              </w:rPr>
              <w:t xml:space="preserve">序号</w:t>
            </w:r>
            <w:r/>
          </w:p>
        </w:tc>
        <w:tc>
          <w:tcPr>
            <w:tcW w:w="1476" w:type="dxa"/>
            <w:vAlign w:val="center"/>
            <w:textDirection w:val="lrTb"/>
            <w:noWrap w:val="false"/>
          </w:tcPr>
          <w:p>
            <w:pPr>
              <w:jc w:val="center"/>
              <w:spacing w:line="360" w:lineRule="auto"/>
              <w:rPr>
                <w:b/>
                <w:color w:val="000000"/>
                <w:sz w:val="24"/>
              </w:rPr>
            </w:pPr>
            <w:r>
              <w:rPr>
                <w:rFonts w:hint="eastAsia"/>
                <w:b/>
                <w:color w:val="000000"/>
                <w:sz w:val="24"/>
              </w:rPr>
              <w:t xml:space="preserve">姓名</w:t>
            </w:r>
            <w:r/>
          </w:p>
        </w:tc>
        <w:tc>
          <w:tcPr>
            <w:tcW w:w="720" w:type="dxa"/>
            <w:vAlign w:val="center"/>
            <w:textDirection w:val="lrTb"/>
            <w:noWrap w:val="false"/>
          </w:tcPr>
          <w:p>
            <w:pPr>
              <w:jc w:val="center"/>
              <w:spacing w:line="360" w:lineRule="auto"/>
              <w:rPr>
                <w:b/>
                <w:color w:val="000000"/>
                <w:sz w:val="24"/>
              </w:rPr>
            </w:pPr>
            <w:r>
              <w:rPr>
                <w:rFonts w:hint="eastAsia"/>
                <w:b/>
                <w:color w:val="000000"/>
                <w:sz w:val="24"/>
              </w:rPr>
              <w:t xml:space="preserve">年龄</w:t>
            </w:r>
            <w:r/>
          </w:p>
        </w:tc>
        <w:tc>
          <w:tcPr>
            <w:tcW w:w="2520" w:type="dxa"/>
            <w:vAlign w:val="center"/>
            <w:textDirection w:val="lrTb"/>
            <w:noWrap w:val="false"/>
          </w:tcPr>
          <w:p>
            <w:pPr>
              <w:jc w:val="center"/>
              <w:spacing w:line="360" w:lineRule="auto"/>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spacing w:line="360" w:lineRule="auto"/>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r>
    </w:tbl>
    <w:p>
      <w:pPr>
        <w:spacing w:line="360" w:lineRule="auto"/>
        <w:rPr>
          <w:b/>
          <w:bCs/>
          <w:sz w:val="24"/>
          <w:szCs w:val="24"/>
        </w:rPr>
      </w:pPr>
      <w:r>
        <w:rPr>
          <w:rFonts w:hint="eastAsia" w:ascii="黑体" w:eastAsia="黑体"/>
          <w:bCs/>
          <w:sz w:val="24"/>
          <w:szCs w:val="24"/>
          <w:highlight w:val="none"/>
        </w:rPr>
      </w:r>
      <w:r>
        <w:rPr>
          <w:rFonts w:hint="eastAsia" w:ascii="黑体" w:eastAsia="黑体"/>
          <w:bCs/>
          <w:sz w:val="24"/>
          <w:szCs w:val="24"/>
          <w:highlight w:val="none"/>
        </w:rPr>
      </w:r>
    </w:p>
    <w:p>
      <w:pPr>
        <w:spacing w:line="360" w:lineRule="auto"/>
        <w:rPr>
          <w:rFonts w:hint="eastAsia" w:ascii="黑体" w:eastAsia="黑体"/>
          <w:sz w:val="24"/>
          <w:szCs w:val="24"/>
          <w:highlight w:val="none"/>
        </w:rPr>
      </w:pPr>
      <w:r>
        <w:rPr>
          <w:rFonts w:hint="eastAsia" w:ascii="黑体" w:eastAsia="黑体"/>
          <w:bCs/>
          <w:sz w:val="24"/>
          <w:szCs w:val="24"/>
          <w:highlight w:val="none"/>
        </w:rPr>
      </w:r>
      <w:r>
        <w:rPr>
          <w:rFonts w:hint="eastAsia" w:ascii="黑体" w:eastAsia="黑体"/>
          <w:bCs/>
          <w:sz w:val="24"/>
          <w:szCs w:val="24"/>
          <w:highlight w:val="none"/>
        </w:rPr>
      </w:r>
    </w:p>
    <w:p>
      <w:pPr>
        <w:spacing w:line="360" w:lineRule="auto"/>
        <w:rPr>
          <w:rFonts w:hint="eastAsia" w:ascii="黑体" w:eastAsia="黑体"/>
          <w:sz w:val="24"/>
          <w:szCs w:val="24"/>
          <w:highlight w:val="none"/>
        </w:rPr>
      </w:pPr>
      <w:r>
        <w:rPr>
          <w:rFonts w:hint="eastAsia" w:ascii="黑体" w:eastAsia="黑体"/>
          <w:bCs/>
          <w:sz w:val="24"/>
          <w:szCs w:val="24"/>
        </w:rPr>
        <w:t xml:space="preserve">投标人名称（盖章）</w:t>
      </w:r>
      <w:r/>
    </w:p>
    <w:p>
      <w:pPr>
        <w:spacing w:line="360" w:lineRule="auto"/>
        <w:rPr>
          <w:rFonts w:hint="eastAsia" w:ascii="宋体" w:hAnsi="宋体"/>
          <w:bCs/>
          <w:color w:val="000000"/>
        </w:rPr>
      </w:pPr>
      <w:r>
        <w:rPr>
          <w:rFonts w:hint="eastAsia" w:ascii="宋体" w:hAnsi="宋体"/>
          <w:bCs/>
          <w:color w:val="000000"/>
        </w:rPr>
      </w:r>
      <w:r/>
    </w:p>
    <w:p>
      <w:pPr>
        <w:spacing w:line="360" w:lineRule="auto"/>
        <w:rPr>
          <w:rFonts w:ascii="宋体" w:hAnsi="宋体"/>
          <w:bCs/>
          <w:color w:val="000000"/>
          <w:highlight w:val="none"/>
        </w:rPr>
      </w:pPr>
      <w:r>
        <w:rPr>
          <w:rFonts w:hint="eastAsia" w:ascii="宋体" w:hAnsi="宋体"/>
          <w:bCs/>
          <w:color w:val="000000"/>
          <w:highlight w:val="none"/>
        </w:rPr>
        <w:t xml:space="preserve">注：1. 表格不够可自行延长。</w:t>
      </w:r>
      <w:r/>
    </w:p>
    <w:p>
      <w:pPr>
        <w:ind w:firstLine="420"/>
        <w:spacing w:line="360" w:lineRule="auto"/>
        <w:rPr>
          <w:highlight w:val="none"/>
        </w:rPr>
      </w:pPr>
      <w:r>
        <w:rPr>
          <w:rFonts w:hint="eastAsia" w:ascii="宋体" w:hAnsi="宋体"/>
          <w:bCs/>
          <w:color w:val="000000"/>
          <w:highlight w:val="none"/>
        </w:rPr>
        <w:t xml:space="preserve">2.上表内容须提供投标人近一年中任意一个月份</w:t>
      </w:r>
      <w:r>
        <w:rPr>
          <w:rFonts w:hint="eastAsia" w:ascii="宋体" w:hAnsi="宋体"/>
          <w:bCs/>
          <w:color w:val="000000"/>
          <w:highlight w:val="none"/>
          <w:lang w:eastAsia="zh-CN"/>
        </w:rPr>
        <w:t xml:space="preserve">（</w:t>
      </w:r>
      <w:r>
        <w:rPr>
          <w:rFonts w:hint="eastAsia" w:ascii="宋体" w:hAnsi="宋体"/>
          <w:bCs/>
          <w:color w:val="000000"/>
          <w:highlight w:val="none"/>
        </w:rPr>
        <w:t xml:space="preserve">不含投标当月</w:t>
      </w:r>
      <w:r>
        <w:rPr>
          <w:rFonts w:hint="eastAsia" w:ascii="宋体" w:hAnsi="宋体"/>
          <w:bCs/>
          <w:color w:val="000000"/>
          <w:highlight w:val="none"/>
          <w:lang w:eastAsia="zh-CN"/>
        </w:rPr>
        <w:t xml:space="preserve">）</w:t>
      </w:r>
      <w:r>
        <w:rPr>
          <w:rFonts w:hint="eastAsia" w:ascii="宋体" w:hAnsi="宋体"/>
          <w:bCs/>
          <w:color w:val="000000"/>
          <w:highlight w:val="none"/>
        </w:rPr>
        <w:t xml:space="preserve">经社保部门确认的社保缴纳名单复印件（标注各人员所处位置）和相关证书复印件作为填列证明材料，证明材料请附在本表之后。</w:t>
      </w:r>
      <w:r/>
    </w:p>
    <w:p>
      <w:pPr>
        <w:spacing w:line="360" w:lineRule="auto"/>
        <w:rPr>
          <w:rFonts w:ascii="宋体" w:hAnsi="宋体"/>
          <w:bCs/>
          <w:color w:val="000000"/>
          <w:sz w:val="24"/>
          <w:szCs w:val="24"/>
          <w:highlight w:val="yellow"/>
        </w:rPr>
        <w:outlineLvl w:val="0"/>
      </w:pPr>
      <w:r>
        <w:rPr>
          <w:rFonts w:ascii="宋体" w:hAnsi="宋体"/>
          <w:bCs/>
          <w:color w:val="000000"/>
          <w:sz w:val="24"/>
          <w:szCs w:val="24"/>
          <w:highlight w:val="yellow"/>
        </w:rPr>
      </w:r>
      <w:r/>
    </w:p>
    <w:p>
      <w:pPr>
        <w:spacing w:line="360" w:lineRule="auto"/>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Fonts w:ascii="宋体" w:hAnsi="宋体"/>
      </w:rPr>
      <w:framePr w:wrap="around" w:vAnchor="text" w:hAnchor="margin" w:xAlign="center" w:y="1"/>
    </w:pPr>
    <w:r>
      <w:rPr>
        <w:rFonts w:ascii="宋体" w:hAnsi="宋体"/>
      </w:rPr>
      <w:fldChar w:fldCharType="begin"/>
    </w:r>
    <w:r>
      <w:rPr>
        <w:rStyle w:val="924"/>
        <w:rFonts w:ascii="宋体" w:hAnsi="宋体"/>
      </w:rPr>
      <w:instrText xml:space="preserve">PAGE  </w:instrText>
    </w:r>
    <w:r>
      <w:rPr>
        <w:rFonts w:ascii="宋体" w:hAnsi="宋体"/>
      </w:rPr>
      <w:fldChar w:fldCharType="separate"/>
    </w:r>
    <w:r>
      <w:rPr>
        <w:rStyle w:val="924"/>
        <w:rFonts w:ascii="宋体" w:hAnsi="宋体"/>
      </w:rPr>
      <w:t xml:space="preserve">３４</w:t>
    </w:r>
    <w:r>
      <w:rPr>
        <w:rFonts w:ascii="宋体" w:hAnsi="宋体"/>
      </w:rPr>
      <w:fldChar w:fldCharType="end"/>
    </w:r>
    <w:r/>
  </w:p>
  <w:p>
    <w:pPr>
      <w:pStyle w:val="89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7"/>
      <w:isLgl w:val="false"/>
      <w:suff w:val="nothing"/>
      <w:lvlText w:val=""/>
      <w:lvlJc w:val="left"/>
      <w:pPr>
        <w:ind w:left="0" w:firstLine="0"/>
      </w:pPr>
      <w:rPr>
        <w:rFonts w:hint="eastAsia"/>
      </w:rPr>
    </w:lvl>
    <w:lvl w:ilvl="6">
      <w:start w:val="1"/>
      <w:numFmt w:val="decimal"/>
      <w:pStyle w:val="858"/>
      <w:isLgl w:val="false"/>
      <w:suff w:val="nothing"/>
      <w:lvlText w:val=""/>
      <w:lvlJc w:val="left"/>
      <w:pPr>
        <w:ind w:left="0" w:firstLine="0"/>
      </w:pPr>
      <w:rPr>
        <w:rFonts w:hint="eastAsia"/>
      </w:rPr>
    </w:lvl>
    <w:lvl w:ilvl="7">
      <w:start w:val="1"/>
      <w:numFmt w:val="decimal"/>
      <w:pStyle w:val="859"/>
      <w:isLgl w:val="false"/>
      <w:suff w:val="nothing"/>
      <w:lvlText w:val=""/>
      <w:lvlJc w:val="left"/>
      <w:pPr>
        <w:ind w:left="0" w:firstLine="0"/>
      </w:pPr>
      <w:rPr>
        <w:rFonts w:hint="eastAsia"/>
      </w:rPr>
    </w:lvl>
    <w:lvl w:ilvl="8">
      <w:start w:val="1"/>
      <w:numFmt w:val="decimal"/>
      <w:pStyle w:val="860"/>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4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link w:val="92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9">
    <w:name w:val="Heading 1"/>
    <w:basedOn w:val="668"/>
    <w:next w:val="668"/>
    <w:link w:val="703"/>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04"/>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05"/>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06"/>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07"/>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08"/>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0"/>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1"/>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Caption"/>
    <w:basedOn w:val="668"/>
    <w:next w:val="668"/>
    <w:uiPriority w:val="35"/>
    <w:semiHidden/>
    <w:unhideWhenUsed/>
    <w:qFormat/>
    <w:pPr>
      <w:spacing w:line="276" w:lineRule="auto"/>
    </w:pPr>
    <w:rPr>
      <w:b/>
      <w:bCs/>
      <w:color w:val="4f81bd" w:themeColor="accent1"/>
      <w:sz w:val="18"/>
      <w:szCs w:val="18"/>
    </w:rPr>
  </w:style>
  <w:style w:type="paragraph" w:styleId="682">
    <w:name w:val="Body Text"/>
    <w:basedOn w:val="668"/>
    <w:next w:val="683"/>
    <w:uiPriority w:val="0"/>
    <w:qFormat/>
    <w:rPr>
      <w:rFonts w:ascii="楷体_GB2312" w:hAnsi="Arial" w:eastAsia="楷体_GB2312"/>
      <w:sz w:val="28"/>
      <w:szCs w:val="28"/>
      <w:lang w:eastAsia="en-US"/>
    </w:rPr>
  </w:style>
  <w:style w:type="paragraph" w:styleId="683">
    <w:name w:val="Subtitle"/>
    <w:basedOn w:val="668"/>
    <w:next w:val="668"/>
    <w:link w:val="715"/>
    <w:uiPriority w:val="11"/>
    <w:qFormat/>
    <w:pPr>
      <w:spacing w:before="200" w:after="200"/>
    </w:pPr>
    <w:rPr>
      <w:sz w:val="24"/>
      <w:szCs w:val="24"/>
    </w:rPr>
  </w:style>
  <w:style w:type="paragraph" w:styleId="684">
    <w:name w:val="Body Text Indent"/>
    <w:basedOn w:val="668"/>
    <w:uiPriority w:val="0"/>
    <w:qFormat/>
    <w:pPr>
      <w:ind w:firstLine="576"/>
    </w:pPr>
    <w:rPr>
      <w:b/>
      <w:sz w:val="30"/>
    </w:rPr>
  </w:style>
  <w:style w:type="paragraph" w:styleId="685">
    <w:name w:val="toc 5"/>
    <w:basedOn w:val="668"/>
    <w:next w:val="668"/>
    <w:uiPriority w:val="39"/>
    <w:unhideWhenUsed/>
    <w:qFormat/>
    <w:pPr>
      <w:ind w:left="1134" w:right="0" w:firstLine="0"/>
      <w:spacing w:after="57"/>
    </w:pPr>
  </w:style>
  <w:style w:type="paragraph" w:styleId="686">
    <w:name w:val="toc 3"/>
    <w:basedOn w:val="668"/>
    <w:next w:val="668"/>
    <w:uiPriority w:val="39"/>
    <w:unhideWhenUsed/>
    <w:qFormat/>
    <w:pPr>
      <w:ind w:left="567" w:right="0" w:firstLine="0"/>
      <w:spacing w:after="57"/>
    </w:p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49"/>
    <w:uiPriority w:val="99"/>
    <w:semiHidden/>
    <w:unhideWhenUsed/>
    <w:qFormat/>
    <w:pPr>
      <w:spacing w:after="0" w:line="240" w:lineRule="auto"/>
    </w:pPr>
    <w:rPr>
      <w:sz w:val="20"/>
    </w:rPr>
  </w:style>
  <w:style w:type="paragraph" w:styleId="689">
    <w:name w:val="Footer"/>
    <w:basedOn w:val="668"/>
    <w:link w:val="722"/>
    <w:uiPriority w:val="99"/>
    <w:unhideWhenUsed/>
    <w:qFormat/>
    <w:pPr>
      <w:spacing w:after="0" w:line="240" w:lineRule="auto"/>
      <w:tabs>
        <w:tab w:val="center" w:pos="7143" w:leader="none"/>
        <w:tab w:val="right" w:pos="14287" w:leader="none"/>
      </w:tabs>
    </w:pPr>
  </w:style>
  <w:style w:type="paragraph" w:styleId="690">
    <w:name w:val="Header"/>
    <w:basedOn w:val="668"/>
    <w:link w:val="720"/>
    <w:uiPriority w:val="99"/>
    <w:unhideWhenUsed/>
    <w:qFormat/>
    <w:pPr>
      <w:spacing w:after="0" w:line="240" w:lineRule="auto"/>
      <w:tabs>
        <w:tab w:val="center" w:pos="7143" w:leader="none"/>
        <w:tab w:val="right" w:pos="14287" w:leader="none"/>
      </w:tabs>
    </w:pPr>
  </w:style>
  <w:style w:type="paragraph" w:styleId="691">
    <w:name w:val="toc 1"/>
    <w:basedOn w:val="668"/>
    <w:next w:val="668"/>
    <w:uiPriority w:val="39"/>
    <w:unhideWhenUsed/>
    <w:qFormat/>
    <w:pPr>
      <w:ind w:left="0" w:right="0" w:firstLine="0"/>
      <w:spacing w:after="57"/>
    </w:pPr>
  </w:style>
  <w:style w:type="paragraph" w:styleId="692">
    <w:name w:val="toc 4"/>
    <w:basedOn w:val="668"/>
    <w:next w:val="668"/>
    <w:uiPriority w:val="39"/>
    <w:unhideWhenUsed/>
    <w:qFormat/>
    <w:pPr>
      <w:ind w:left="850" w:right="0" w:firstLine="0"/>
      <w:spacing w:after="57"/>
    </w:pPr>
  </w:style>
  <w:style w:type="paragraph" w:styleId="693">
    <w:name w:val="footnote text"/>
    <w:basedOn w:val="668"/>
    <w:link w:val="848"/>
    <w:uiPriority w:val="99"/>
    <w:semiHidden/>
    <w:unhideWhenUsed/>
    <w:qFormat/>
    <w:pPr>
      <w:spacing w:after="40" w:line="240" w:lineRule="auto"/>
    </w:pPr>
    <w:rPr>
      <w:sz w:val="18"/>
    </w:rPr>
  </w:style>
  <w:style w:type="paragraph" w:styleId="694">
    <w:name w:val="toc 6"/>
    <w:basedOn w:val="668"/>
    <w:next w:val="668"/>
    <w:uiPriority w:val="39"/>
    <w:unhideWhenUsed/>
    <w:qFormat/>
    <w:pPr>
      <w:ind w:left="1417" w:right="0" w:firstLine="0"/>
      <w:spacing w:after="57"/>
    </w:pPr>
  </w:style>
  <w:style w:type="paragraph" w:styleId="695">
    <w:name w:val="table of figures"/>
    <w:basedOn w:val="668"/>
    <w:next w:val="668"/>
    <w:uiPriority w:val="99"/>
    <w:unhideWhenUsed/>
    <w:qFormat/>
    <w:pPr>
      <w:spacing w:after="0" w:afterAutospacing="0"/>
    </w:pPr>
  </w:style>
  <w:style w:type="paragraph" w:styleId="696">
    <w:name w:val="toc 2"/>
    <w:basedOn w:val="668"/>
    <w:next w:val="668"/>
    <w:uiPriority w:val="39"/>
    <w:unhideWhenUsed/>
    <w:qFormat/>
    <w:pPr>
      <w:ind w:left="283" w:right="0" w:firstLine="0"/>
      <w:spacing w:after="57"/>
    </w:pPr>
  </w:style>
  <w:style w:type="paragraph" w:styleId="697">
    <w:name w:val="toc 9"/>
    <w:basedOn w:val="668"/>
    <w:next w:val="668"/>
    <w:uiPriority w:val="39"/>
    <w:unhideWhenUsed/>
    <w:qFormat/>
    <w:pPr>
      <w:ind w:left="2268" w:right="0" w:firstLine="0"/>
      <w:spacing w:after="57"/>
    </w:pPr>
  </w:style>
  <w:style w:type="paragraph" w:styleId="698">
    <w:name w:val="Title"/>
    <w:basedOn w:val="668"/>
    <w:next w:val="668"/>
    <w:link w:val="714"/>
    <w:uiPriority w:val="10"/>
    <w:qFormat/>
    <w:pPr>
      <w:contextualSpacing/>
      <w:spacing w:before="300" w:after="200"/>
    </w:pPr>
    <w:rPr>
      <w:sz w:val="48"/>
      <w:szCs w:val="48"/>
    </w:r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rPr>
  </w:style>
  <w:style w:type="character" w:styleId="702">
    <w:name w:val="footnote reference"/>
    <w:uiPriority w:val="99"/>
    <w:unhideWhenUsed/>
    <w:qFormat/>
    <w:rPr>
      <w:vertAlign w:val="superscript"/>
    </w:rPr>
  </w:style>
  <w:style w:type="character" w:styleId="703" w:customStyle="1">
    <w:name w:val="Heading 1 Char"/>
    <w:link w:val="669"/>
    <w:uiPriority w:val="9"/>
    <w:qFormat/>
    <w:rPr>
      <w:rFonts w:ascii="Arial" w:hAnsi="Arial" w:eastAsia="Arial" w:cs="Arial"/>
      <w:sz w:val="40"/>
      <w:szCs w:val="40"/>
    </w:rPr>
  </w:style>
  <w:style w:type="character" w:styleId="704" w:customStyle="1">
    <w:name w:val="Heading 2 Char"/>
    <w:link w:val="670"/>
    <w:uiPriority w:val="9"/>
    <w:qFormat/>
    <w:rPr>
      <w:rFonts w:ascii="Arial" w:hAnsi="Arial" w:eastAsia="Arial" w:cs="Arial"/>
      <w:sz w:val="34"/>
    </w:rPr>
  </w:style>
  <w:style w:type="character" w:styleId="705" w:customStyle="1">
    <w:name w:val="Heading 3 Char"/>
    <w:link w:val="671"/>
    <w:uiPriority w:val="9"/>
    <w:qFormat/>
    <w:rPr>
      <w:rFonts w:ascii="Arial" w:hAnsi="Arial" w:eastAsia="Arial" w:cs="Arial"/>
      <w:sz w:val="30"/>
      <w:szCs w:val="30"/>
    </w:rPr>
  </w:style>
  <w:style w:type="character" w:styleId="706" w:customStyle="1">
    <w:name w:val="Heading 4 Char"/>
    <w:link w:val="672"/>
    <w:uiPriority w:val="9"/>
    <w:qFormat/>
    <w:rPr>
      <w:rFonts w:ascii="Arial" w:hAnsi="Arial" w:eastAsia="Arial" w:cs="Arial"/>
      <w:b/>
      <w:bCs/>
      <w:sz w:val="26"/>
      <w:szCs w:val="26"/>
    </w:rPr>
  </w:style>
  <w:style w:type="character" w:styleId="707" w:customStyle="1">
    <w:name w:val="Heading 5 Char"/>
    <w:link w:val="673"/>
    <w:uiPriority w:val="9"/>
    <w:qFormat/>
    <w:rPr>
      <w:rFonts w:ascii="Arial" w:hAnsi="Arial" w:eastAsia="Arial" w:cs="Arial"/>
      <w:b/>
      <w:bCs/>
      <w:sz w:val="24"/>
      <w:szCs w:val="24"/>
    </w:rPr>
  </w:style>
  <w:style w:type="character" w:styleId="708" w:customStyle="1">
    <w:name w:val="Heading 6 Char"/>
    <w:link w:val="674"/>
    <w:uiPriority w:val="9"/>
    <w:qFormat/>
    <w:rPr>
      <w:rFonts w:ascii="Arial" w:hAnsi="Arial" w:eastAsia="Arial" w:cs="Arial"/>
      <w:b/>
      <w:bCs/>
      <w:sz w:val="22"/>
      <w:szCs w:val="22"/>
    </w:rPr>
  </w:style>
  <w:style w:type="character" w:styleId="709" w:customStyle="1">
    <w:name w:val="Heading 7 Char"/>
    <w:link w:val="675"/>
    <w:uiPriority w:val="9"/>
    <w:qFormat/>
    <w:rPr>
      <w:rFonts w:ascii="Arial" w:hAnsi="Arial" w:eastAsia="Arial" w:cs="Arial"/>
      <w:b/>
      <w:bCs/>
      <w:i/>
      <w:iCs/>
      <w:sz w:val="22"/>
      <w:szCs w:val="22"/>
    </w:rPr>
  </w:style>
  <w:style w:type="character" w:styleId="710" w:customStyle="1">
    <w:name w:val="Heading 8 Char"/>
    <w:link w:val="676"/>
    <w:uiPriority w:val="9"/>
    <w:qFormat/>
    <w:rPr>
      <w:rFonts w:ascii="Arial" w:hAnsi="Arial" w:eastAsia="Arial" w:cs="Arial"/>
      <w:i/>
      <w:iCs/>
      <w:sz w:val="22"/>
      <w:szCs w:val="22"/>
    </w:rPr>
  </w:style>
  <w:style w:type="character" w:styleId="711" w:customStyle="1">
    <w:name w:val="Heading 9 Char"/>
    <w:link w:val="677"/>
    <w:uiPriority w:val="9"/>
    <w:qFormat/>
    <w:rPr>
      <w:rFonts w:ascii="Arial" w:hAnsi="Arial" w:eastAsia="Arial" w:cs="Arial"/>
      <w:i/>
      <w:iCs/>
      <w:sz w:val="21"/>
      <w:szCs w:val="21"/>
    </w:rPr>
  </w:style>
  <w:style w:type="paragraph" w:styleId="712">
    <w:name w:val="List Paragraph"/>
    <w:basedOn w:val="668"/>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8"/>
    <w:uiPriority w:val="10"/>
    <w:qFormat/>
    <w:rPr>
      <w:sz w:val="48"/>
      <w:szCs w:val="48"/>
    </w:rPr>
  </w:style>
  <w:style w:type="character" w:styleId="715" w:customStyle="1">
    <w:name w:val="Subtitle Char"/>
    <w:link w:val="683"/>
    <w:uiPriority w:val="11"/>
    <w:qFormat/>
    <w:rPr>
      <w:sz w:val="24"/>
      <w:szCs w:val="24"/>
    </w:rPr>
  </w:style>
  <w:style w:type="paragraph" w:styleId="716">
    <w:name w:val="Quote"/>
    <w:basedOn w:val="668"/>
    <w:next w:val="668"/>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8"/>
    <w:next w:val="6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90"/>
    <w:uiPriority w:val="99"/>
    <w:qFormat/>
  </w:style>
  <w:style w:type="character" w:styleId="721" w:customStyle="1">
    <w:name w:val="Footer Char"/>
    <w:link w:val="689"/>
    <w:uiPriority w:val="99"/>
    <w:qFormat/>
  </w:style>
  <w:style w:type="character" w:styleId="722" w:customStyle="1">
    <w:name w:val="Caption Char"/>
    <w:link w:val="689"/>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93"/>
    <w:uiPriority w:val="99"/>
    <w:qFormat/>
    <w:rPr>
      <w:sz w:val="18"/>
    </w:rPr>
  </w:style>
  <w:style w:type="character" w:styleId="849" w:customStyle="1">
    <w:name w:val="Endnote Text Char"/>
    <w:link w:val="688"/>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11"/>
    <w:basedOn w:val="668"/>
    <w:next w:val="668"/>
    <w:link w:val="863"/>
    <w:uiPriority w:val="0"/>
    <w:qFormat/>
    <w:pPr>
      <w:jc w:val="center"/>
      <w:keepNext/>
      <w:outlineLvl w:val="0"/>
    </w:pPr>
    <w:rPr>
      <w:rFonts w:ascii="楷体_GB2312" w:eastAsia="楷体_GB2312"/>
      <w:sz w:val="28"/>
      <w:szCs w:val="28"/>
    </w:rPr>
  </w:style>
  <w:style w:type="paragraph" w:styleId="852" w:customStyle="1">
    <w:name w:val="标题 21"/>
    <w:basedOn w:val="668"/>
    <w:next w:val="85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3" w:customStyle="1">
    <w:name w:val="正文缩进1"/>
    <w:basedOn w:val="668"/>
    <w:link w:val="865"/>
    <w:uiPriority w:val="0"/>
    <w:qFormat/>
    <w:pPr>
      <w:ind w:firstLine="420"/>
    </w:pPr>
    <w:rPr>
      <w:sz w:val="20"/>
    </w:rPr>
  </w:style>
  <w:style w:type="paragraph" w:styleId="854" w:customStyle="1">
    <w:name w:val="标题 31"/>
    <w:basedOn w:val="668"/>
    <w:next w:val="853"/>
    <w:link w:val="866"/>
    <w:uiPriority w:val="0"/>
    <w:qFormat/>
    <w:pPr>
      <w:keepLines/>
      <w:keepNext/>
      <w:spacing w:before="260" w:after="260" w:line="416" w:lineRule="auto"/>
      <w:outlineLvl w:val="2"/>
    </w:pPr>
    <w:rPr>
      <w:b/>
      <w:bCs/>
      <w:sz w:val="32"/>
      <w:szCs w:val="32"/>
    </w:rPr>
  </w:style>
  <w:style w:type="paragraph" w:styleId="855" w:customStyle="1">
    <w:name w:val="标题 41"/>
    <w:basedOn w:val="668"/>
    <w:next w:val="85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标题 51"/>
    <w:basedOn w:val="668"/>
    <w:next w:val="853"/>
    <w:link w:val="868"/>
    <w:uiPriority w:val="0"/>
    <w:qFormat/>
    <w:pPr>
      <w:keepNext/>
      <w:outlineLvl w:val="4"/>
    </w:pPr>
    <w:rPr>
      <w:rFonts w:ascii="宋体"/>
      <w:color w:val="000000"/>
      <w:sz w:val="28"/>
      <w:szCs w:val="28"/>
    </w:rPr>
  </w:style>
  <w:style w:type="paragraph" w:styleId="857" w:customStyle="1">
    <w:name w:val="标题 61"/>
    <w:basedOn w:val="668"/>
    <w:next w:val="668"/>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标题 71"/>
    <w:basedOn w:val="668"/>
    <w:next w:val="668"/>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标题 81"/>
    <w:basedOn w:val="668"/>
    <w:next w:val="668"/>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标题 91"/>
    <w:basedOn w:val="668"/>
    <w:next w:val="668"/>
    <w:link w:val="872"/>
    <w:uiPriority w:val="0"/>
    <w:qFormat/>
    <w:pPr>
      <w:numPr>
        <w:ilvl w:val="8"/>
        <w:numId w:val="1"/>
      </w:numPr>
      <w:keepLines/>
      <w:keepNext/>
      <w:spacing w:before="240" w:after="64" w:line="320" w:lineRule="auto"/>
      <w:outlineLvl w:val="8"/>
    </w:pPr>
    <w:rPr>
      <w:rFonts w:ascii="Arial" w:hAnsi="Arial" w:eastAsia="黑体"/>
      <w:sz w:val="20"/>
    </w:rPr>
  </w:style>
  <w:style w:type="character" w:styleId="861" w:customStyle="1">
    <w:name w:val="默认段落字体1"/>
    <w:link w:val="668"/>
    <w:uiPriority w:val="1"/>
    <w:unhideWhenUsed/>
    <w:qFormat/>
  </w:style>
  <w:style w:type="table" w:styleId="862" w:customStyle="1">
    <w:name w:val="普通表格1"/>
    <w:uiPriority w:val="99"/>
    <w:unhideWhenUsed/>
    <w:qFormat/>
    <w:tblPr/>
  </w:style>
  <w:style w:type="character" w:styleId="863" w:customStyle="1">
    <w:name w:val="标题 1 Char"/>
    <w:link w:val="851"/>
    <w:uiPriority w:val="0"/>
    <w:qFormat/>
    <w:rPr>
      <w:rFonts w:ascii="楷体_GB2312" w:hAnsi="Times New Roman" w:eastAsia="楷体_GB2312" w:cs="Times New Roman"/>
      <w:sz w:val="28"/>
      <w:szCs w:val="28"/>
    </w:rPr>
  </w:style>
  <w:style w:type="character" w:styleId="864" w:customStyle="1">
    <w:name w:val="标题 2 Char"/>
    <w:link w:val="852"/>
    <w:uiPriority w:val="0"/>
    <w:qFormat/>
    <w:rPr>
      <w:rFonts w:ascii="Arial" w:hAnsi="Arial" w:eastAsia="幼圆" w:cs="Arial"/>
      <w:b/>
      <w:bCs/>
      <w:sz w:val="44"/>
      <w:szCs w:val="44"/>
    </w:rPr>
  </w:style>
  <w:style w:type="character" w:styleId="865" w:customStyle="1">
    <w:name w:val="正文缩进 Char"/>
    <w:link w:val="853"/>
    <w:uiPriority w:val="0"/>
    <w:qFormat/>
    <w:rPr>
      <w:rFonts w:ascii="Times New Roman" w:hAnsi="Times New Roman" w:eastAsia="宋体" w:cs="Times New Roman"/>
      <w:szCs w:val="21"/>
    </w:rPr>
  </w:style>
  <w:style w:type="character" w:styleId="866" w:customStyle="1">
    <w:name w:val="标题 3 Char"/>
    <w:link w:val="854"/>
    <w:uiPriority w:val="0"/>
    <w:qFormat/>
    <w:rPr>
      <w:rFonts w:ascii="Times New Roman" w:hAnsi="Times New Roman" w:eastAsia="宋体" w:cs="Times New Roman"/>
      <w:b/>
      <w:bCs/>
      <w:sz w:val="32"/>
      <w:szCs w:val="32"/>
    </w:rPr>
  </w:style>
  <w:style w:type="character" w:styleId="867" w:customStyle="1">
    <w:name w:val="标题 4 Char"/>
    <w:link w:val="855"/>
    <w:uiPriority w:val="0"/>
    <w:qFormat/>
    <w:rPr>
      <w:rFonts w:ascii="Arial" w:hAnsi="Arial" w:eastAsia="黑体" w:cs="Arial"/>
      <w:b/>
      <w:bCs/>
      <w:sz w:val="28"/>
      <w:szCs w:val="28"/>
    </w:rPr>
  </w:style>
  <w:style w:type="character" w:styleId="868" w:customStyle="1">
    <w:name w:val="标题 5 Char"/>
    <w:link w:val="856"/>
    <w:uiPriority w:val="0"/>
    <w:qFormat/>
    <w:rPr>
      <w:rFonts w:ascii="宋体" w:hAnsi="Times New Roman" w:eastAsia="宋体" w:cs="Times New Roman"/>
      <w:color w:val="000000"/>
      <w:sz w:val="28"/>
      <w:szCs w:val="28"/>
    </w:rPr>
  </w:style>
  <w:style w:type="character" w:styleId="869" w:customStyle="1">
    <w:name w:val="标题 6 Char"/>
    <w:link w:val="857"/>
    <w:uiPriority w:val="0"/>
    <w:qFormat/>
    <w:rPr>
      <w:rFonts w:ascii="Arial" w:hAnsi="Arial" w:eastAsia="黑体" w:cs="Times New Roman"/>
      <w:b/>
      <w:bCs/>
      <w:sz w:val="24"/>
      <w:szCs w:val="24"/>
    </w:rPr>
  </w:style>
  <w:style w:type="character" w:styleId="870" w:customStyle="1">
    <w:name w:val="标题 7 Char"/>
    <w:link w:val="858"/>
    <w:uiPriority w:val="0"/>
    <w:qFormat/>
    <w:rPr>
      <w:rFonts w:ascii="Times New Roman" w:hAnsi="Times New Roman" w:eastAsia="宋体" w:cs="Times New Roman"/>
      <w:b/>
      <w:bCs/>
      <w:sz w:val="24"/>
      <w:szCs w:val="24"/>
    </w:rPr>
  </w:style>
  <w:style w:type="character" w:styleId="871" w:customStyle="1">
    <w:name w:val="标题 8 Char"/>
    <w:link w:val="859"/>
    <w:uiPriority w:val="0"/>
    <w:qFormat/>
    <w:rPr>
      <w:rFonts w:ascii="Arial" w:hAnsi="Arial" w:eastAsia="黑体" w:cs="Times New Roman"/>
      <w:sz w:val="24"/>
      <w:szCs w:val="24"/>
    </w:rPr>
  </w:style>
  <w:style w:type="character" w:styleId="872" w:customStyle="1">
    <w:name w:val="标题 9 Char"/>
    <w:link w:val="860"/>
    <w:uiPriority w:val="0"/>
    <w:qFormat/>
    <w:rPr>
      <w:rFonts w:ascii="Arial" w:hAnsi="Arial" w:eastAsia="黑体" w:cs="Times New Roman"/>
      <w:szCs w:val="21"/>
    </w:rPr>
  </w:style>
  <w:style w:type="paragraph" w:styleId="873" w:customStyle="1">
    <w:name w:val="列表 31"/>
    <w:basedOn w:val="668"/>
    <w:uiPriority w:val="0"/>
    <w:qFormat/>
    <w:pPr>
      <w:ind w:left="100" w:hanging="200"/>
    </w:pPr>
  </w:style>
  <w:style w:type="paragraph" w:styleId="874" w:customStyle="1">
    <w:name w:val="目录 71"/>
    <w:basedOn w:val="668"/>
    <w:next w:val="668"/>
    <w:uiPriority w:val="0"/>
    <w:semiHidden/>
    <w:qFormat/>
    <w:pPr>
      <w:ind w:left="1260"/>
      <w:jc w:val="left"/>
    </w:pPr>
  </w:style>
  <w:style w:type="paragraph" w:styleId="875" w:customStyle="1">
    <w:name w:val="文档结构图1"/>
    <w:basedOn w:val="668"/>
    <w:link w:val="876"/>
    <w:uiPriority w:val="0"/>
    <w:semiHidden/>
    <w:qFormat/>
    <w:pPr>
      <w:shd w:val="clear" w:color="auto" w:fill="000080"/>
    </w:pPr>
    <w:rPr>
      <w:sz w:val="20"/>
    </w:rPr>
  </w:style>
  <w:style w:type="character" w:styleId="876" w:customStyle="1">
    <w:name w:val="文档结构图 Char"/>
    <w:link w:val="875"/>
    <w:uiPriority w:val="0"/>
    <w:semiHidden/>
    <w:qFormat/>
    <w:rPr>
      <w:rFonts w:ascii="Times New Roman" w:hAnsi="Times New Roman" w:eastAsia="宋体" w:cs="Times New Roman"/>
      <w:szCs w:val="21"/>
      <w:shd w:val="clear" w:color="auto" w:fill="000080"/>
    </w:rPr>
  </w:style>
  <w:style w:type="paragraph" w:styleId="877" w:customStyle="1">
    <w:name w:val="批注文字1"/>
    <w:basedOn w:val="668"/>
    <w:link w:val="878"/>
    <w:uiPriority w:val="0"/>
    <w:semiHidden/>
    <w:qFormat/>
    <w:pPr>
      <w:jc w:val="left"/>
    </w:pPr>
    <w:rPr>
      <w:sz w:val="20"/>
    </w:rPr>
  </w:style>
  <w:style w:type="character" w:styleId="878" w:customStyle="1">
    <w:name w:val="批注文字 Char"/>
    <w:link w:val="877"/>
    <w:uiPriority w:val="0"/>
    <w:semiHidden/>
    <w:qFormat/>
    <w:rPr>
      <w:rFonts w:ascii="Times New Roman" w:hAnsi="Times New Roman" w:eastAsia="宋体" w:cs="Times New Roman"/>
      <w:szCs w:val="21"/>
    </w:rPr>
  </w:style>
  <w:style w:type="paragraph" w:styleId="879" w:customStyle="1">
    <w:name w:val="正文文本 31"/>
    <w:basedOn w:val="668"/>
    <w:link w:val="880"/>
    <w:uiPriority w:val="0"/>
    <w:qFormat/>
    <w:rPr>
      <w:rFonts w:ascii="仿宋_GB2312" w:hAnsi="Arial" w:eastAsia="仿宋_GB2312"/>
      <w:sz w:val="32"/>
      <w:szCs w:val="32"/>
    </w:rPr>
  </w:style>
  <w:style w:type="character" w:styleId="880" w:customStyle="1">
    <w:name w:val="正文文本 3 Char"/>
    <w:link w:val="879"/>
    <w:uiPriority w:val="0"/>
    <w:qFormat/>
    <w:rPr>
      <w:rFonts w:ascii="仿宋_GB2312" w:hAnsi="Arial" w:eastAsia="仿宋_GB2312" w:cs="Times New Roman"/>
      <w:sz w:val="32"/>
      <w:szCs w:val="32"/>
    </w:rPr>
  </w:style>
  <w:style w:type="paragraph" w:styleId="881" w:customStyle="1">
    <w:name w:val="正文文本1"/>
    <w:basedOn w:val="668"/>
    <w:link w:val="882"/>
    <w:uiPriority w:val="0"/>
    <w:qFormat/>
    <w:rPr>
      <w:rFonts w:ascii="楷体_GB2312" w:hAnsi="Arial" w:eastAsia="楷体_GB2312"/>
      <w:sz w:val="28"/>
      <w:szCs w:val="28"/>
    </w:rPr>
  </w:style>
  <w:style w:type="character" w:styleId="882" w:customStyle="1">
    <w:name w:val="正文文本 Char"/>
    <w:link w:val="881"/>
    <w:uiPriority w:val="0"/>
    <w:qFormat/>
    <w:rPr>
      <w:rFonts w:ascii="楷体_GB2312" w:hAnsi="Arial" w:eastAsia="楷体_GB2312" w:cs="Times New Roman"/>
      <w:sz w:val="28"/>
      <w:szCs w:val="28"/>
    </w:rPr>
  </w:style>
  <w:style w:type="paragraph" w:styleId="883" w:customStyle="1">
    <w:name w:val="正文文本缩进1"/>
    <w:basedOn w:val="668"/>
    <w:link w:val="884"/>
    <w:uiPriority w:val="0"/>
    <w:qFormat/>
    <w:pPr>
      <w:ind w:firstLine="645"/>
    </w:pPr>
    <w:rPr>
      <w:rFonts w:ascii="楷体_GB2312" w:eastAsia="楷体_GB2312"/>
      <w:sz w:val="32"/>
      <w:szCs w:val="32"/>
    </w:rPr>
  </w:style>
  <w:style w:type="character" w:styleId="884" w:customStyle="1">
    <w:name w:val="正文文本缩进 Char"/>
    <w:link w:val="883"/>
    <w:uiPriority w:val="0"/>
    <w:qFormat/>
    <w:rPr>
      <w:rFonts w:ascii="楷体_GB2312" w:hAnsi="Times New Roman" w:eastAsia="楷体_GB2312" w:cs="Times New Roman"/>
      <w:sz w:val="32"/>
      <w:szCs w:val="32"/>
    </w:rPr>
  </w:style>
  <w:style w:type="paragraph" w:styleId="885" w:customStyle="1">
    <w:name w:val="列表 21"/>
    <w:basedOn w:val="668"/>
    <w:uiPriority w:val="0"/>
    <w:qFormat/>
    <w:pPr>
      <w:ind w:left="100" w:hanging="200"/>
    </w:pPr>
  </w:style>
  <w:style w:type="paragraph" w:styleId="886" w:customStyle="1">
    <w:name w:val="目录 51"/>
    <w:basedOn w:val="668"/>
    <w:next w:val="668"/>
    <w:uiPriority w:val="0"/>
    <w:semiHidden/>
    <w:qFormat/>
    <w:pPr>
      <w:ind w:left="840"/>
      <w:jc w:val="left"/>
    </w:pPr>
  </w:style>
  <w:style w:type="paragraph" w:styleId="887" w:customStyle="1">
    <w:name w:val="目录 31"/>
    <w:basedOn w:val="668"/>
    <w:next w:val="668"/>
    <w:uiPriority w:val="0"/>
    <w:semiHidden/>
    <w:qFormat/>
    <w:pPr>
      <w:ind w:left="420"/>
      <w:jc w:val="left"/>
    </w:pPr>
    <w:rPr>
      <w:i/>
      <w:iCs/>
      <w:szCs w:val="24"/>
    </w:rPr>
  </w:style>
  <w:style w:type="paragraph" w:styleId="888" w:customStyle="1">
    <w:name w:val="纯文本1"/>
    <w:basedOn w:val="668"/>
    <w:link w:val="889"/>
    <w:uiPriority w:val="0"/>
    <w:qFormat/>
    <w:rPr>
      <w:rFonts w:ascii="宋体" w:hAnsi="Courier New"/>
      <w:sz w:val="20"/>
    </w:rPr>
  </w:style>
  <w:style w:type="character" w:styleId="889" w:customStyle="1">
    <w:name w:val="纯文本 Char"/>
    <w:link w:val="888"/>
    <w:uiPriority w:val="0"/>
    <w:qFormat/>
    <w:rPr>
      <w:rFonts w:ascii="宋体" w:hAnsi="Courier New" w:eastAsia="宋体" w:cs="Courier New"/>
      <w:szCs w:val="21"/>
    </w:rPr>
  </w:style>
  <w:style w:type="paragraph" w:styleId="890" w:customStyle="1">
    <w:name w:val="目录 81"/>
    <w:basedOn w:val="668"/>
    <w:next w:val="668"/>
    <w:uiPriority w:val="0"/>
    <w:semiHidden/>
    <w:qFormat/>
    <w:pPr>
      <w:ind w:left="1470"/>
      <w:jc w:val="left"/>
    </w:pPr>
  </w:style>
  <w:style w:type="paragraph" w:styleId="891" w:customStyle="1">
    <w:name w:val="日期1"/>
    <w:basedOn w:val="668"/>
    <w:next w:val="668"/>
    <w:link w:val="892"/>
    <w:uiPriority w:val="0"/>
    <w:qFormat/>
    <w:rPr>
      <w:sz w:val="24"/>
      <w:szCs w:val="24"/>
    </w:rPr>
  </w:style>
  <w:style w:type="character" w:styleId="892" w:customStyle="1">
    <w:name w:val="日期 Char"/>
    <w:link w:val="891"/>
    <w:uiPriority w:val="0"/>
    <w:qFormat/>
    <w:rPr>
      <w:rFonts w:ascii="Times New Roman" w:hAnsi="Times New Roman" w:eastAsia="宋体" w:cs="Times New Roman"/>
      <w:sz w:val="24"/>
      <w:szCs w:val="24"/>
    </w:rPr>
  </w:style>
  <w:style w:type="paragraph" w:styleId="893" w:customStyle="1">
    <w:name w:val="正文文本缩进 21"/>
    <w:basedOn w:val="668"/>
    <w:link w:val="894"/>
    <w:uiPriority w:val="0"/>
    <w:qFormat/>
    <w:pPr>
      <w:ind w:left="630" w:firstLine="645"/>
    </w:pPr>
    <w:rPr>
      <w:rFonts w:ascii="Arial" w:hAnsi="Arial" w:eastAsia="仿宋_GB2312"/>
      <w:sz w:val="32"/>
      <w:szCs w:val="32"/>
    </w:rPr>
  </w:style>
  <w:style w:type="character" w:styleId="894" w:customStyle="1">
    <w:name w:val="正文文本缩进 2 Char"/>
    <w:link w:val="893"/>
    <w:uiPriority w:val="0"/>
    <w:qFormat/>
    <w:rPr>
      <w:rFonts w:ascii="Arial" w:hAnsi="Arial" w:eastAsia="仿宋_GB2312" w:cs="Arial"/>
      <w:sz w:val="32"/>
      <w:szCs w:val="32"/>
    </w:rPr>
  </w:style>
  <w:style w:type="paragraph" w:styleId="895" w:customStyle="1">
    <w:name w:val="批注框文本1"/>
    <w:basedOn w:val="668"/>
    <w:link w:val="896"/>
    <w:uiPriority w:val="0"/>
    <w:semiHidden/>
    <w:qFormat/>
    <w:rPr>
      <w:sz w:val="18"/>
      <w:szCs w:val="18"/>
    </w:rPr>
  </w:style>
  <w:style w:type="character" w:styleId="896" w:customStyle="1">
    <w:name w:val="批注框文本 Char"/>
    <w:link w:val="895"/>
    <w:uiPriority w:val="0"/>
    <w:semiHidden/>
    <w:qFormat/>
    <w:rPr>
      <w:rFonts w:ascii="Times New Roman" w:hAnsi="Times New Roman" w:eastAsia="宋体" w:cs="Times New Roman"/>
      <w:sz w:val="18"/>
      <w:szCs w:val="18"/>
    </w:rPr>
  </w:style>
  <w:style w:type="paragraph" w:styleId="897" w:customStyle="1">
    <w:name w:val="页脚1"/>
    <w:basedOn w:val="668"/>
    <w:link w:val="898"/>
    <w:uiPriority w:val="0"/>
    <w:qFormat/>
    <w:pPr>
      <w:jc w:val="left"/>
      <w:tabs>
        <w:tab w:val="center" w:pos="4153" w:leader="none"/>
        <w:tab w:val="right" w:pos="8306" w:leader="none"/>
      </w:tabs>
    </w:pPr>
    <w:rPr>
      <w:sz w:val="18"/>
      <w:szCs w:val="18"/>
    </w:rPr>
  </w:style>
  <w:style w:type="character" w:styleId="898" w:customStyle="1">
    <w:name w:val="页脚 Char"/>
    <w:link w:val="897"/>
    <w:uiPriority w:val="0"/>
    <w:qFormat/>
    <w:rPr>
      <w:rFonts w:ascii="Times New Roman" w:hAnsi="Times New Roman" w:eastAsia="宋体" w:cs="Times New Roman"/>
      <w:sz w:val="18"/>
      <w:szCs w:val="18"/>
    </w:rPr>
  </w:style>
  <w:style w:type="paragraph" w:styleId="899" w:customStyle="1">
    <w:name w:val="页眉1"/>
    <w:basedOn w:val="668"/>
    <w:link w:val="900"/>
    <w:uiPriority w:val="99"/>
    <w:qFormat/>
    <w:pPr>
      <w:jc w:val="center"/>
      <w:tabs>
        <w:tab w:val="center" w:pos="4153" w:leader="none"/>
        <w:tab w:val="right" w:pos="8306" w:leader="none"/>
      </w:tabs>
      <w:pBdr>
        <w:bottom w:val="single" w:color="000000" w:sz="6" w:space="1"/>
      </w:pBdr>
    </w:pPr>
    <w:rPr>
      <w:sz w:val="18"/>
      <w:szCs w:val="18"/>
    </w:rPr>
  </w:style>
  <w:style w:type="character" w:styleId="900" w:customStyle="1">
    <w:name w:val="页眉 Char"/>
    <w:link w:val="899"/>
    <w:uiPriority w:val="99"/>
    <w:qFormat/>
    <w:rPr>
      <w:rFonts w:ascii="Times New Roman" w:hAnsi="Times New Roman" w:eastAsia="宋体" w:cs="Times New Roman"/>
      <w:sz w:val="18"/>
      <w:szCs w:val="18"/>
    </w:rPr>
  </w:style>
  <w:style w:type="paragraph" w:styleId="901" w:customStyle="1">
    <w:name w:val="目录 1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902" w:customStyle="1">
    <w:name w:val="目录 41"/>
    <w:basedOn w:val="668"/>
    <w:next w:val="668"/>
    <w:uiPriority w:val="0"/>
    <w:semiHidden/>
    <w:qFormat/>
    <w:pPr>
      <w:ind w:left="630"/>
      <w:jc w:val="left"/>
    </w:pPr>
  </w:style>
  <w:style w:type="paragraph" w:styleId="903" w:customStyle="1">
    <w:name w:val="列表1"/>
    <w:basedOn w:val="668"/>
    <w:uiPriority w:val="0"/>
    <w:qFormat/>
    <w:pPr>
      <w:ind w:left="200" w:hanging="200"/>
    </w:pPr>
  </w:style>
  <w:style w:type="paragraph" w:styleId="904" w:customStyle="1">
    <w:name w:val="目录 61"/>
    <w:basedOn w:val="668"/>
    <w:next w:val="668"/>
    <w:uiPriority w:val="0"/>
    <w:semiHidden/>
    <w:qFormat/>
    <w:pPr>
      <w:ind w:left="1050"/>
      <w:jc w:val="left"/>
    </w:pPr>
  </w:style>
  <w:style w:type="paragraph" w:styleId="905" w:customStyle="1">
    <w:name w:val="正文文本缩进 31"/>
    <w:basedOn w:val="668"/>
    <w:link w:val="906"/>
    <w:uiPriority w:val="0"/>
    <w:qFormat/>
    <w:pPr>
      <w:ind w:left="645" w:firstLine="645"/>
    </w:pPr>
    <w:rPr>
      <w:rFonts w:ascii="Arial" w:hAnsi="Arial" w:eastAsia="仿宋_GB2312"/>
      <w:color w:val="ffff00"/>
      <w:sz w:val="32"/>
      <w:szCs w:val="32"/>
    </w:rPr>
  </w:style>
  <w:style w:type="character" w:styleId="906" w:customStyle="1">
    <w:name w:val="正文文本缩进 3 Char"/>
    <w:link w:val="905"/>
    <w:uiPriority w:val="0"/>
    <w:qFormat/>
    <w:rPr>
      <w:rFonts w:ascii="Arial" w:hAnsi="Arial" w:eastAsia="仿宋_GB2312" w:cs="Arial"/>
      <w:color w:val="ffff00"/>
      <w:sz w:val="32"/>
      <w:szCs w:val="32"/>
    </w:rPr>
  </w:style>
  <w:style w:type="paragraph" w:styleId="907" w:customStyle="1">
    <w:name w:val="图表目录1"/>
    <w:basedOn w:val="668"/>
    <w:next w:val="668"/>
    <w:uiPriority w:val="0"/>
    <w:semiHidden/>
    <w:qFormat/>
    <w:pPr>
      <w:ind w:left="840" w:hanging="420"/>
    </w:pPr>
  </w:style>
  <w:style w:type="paragraph" w:styleId="908" w:customStyle="1">
    <w:name w:val="目录 21"/>
    <w:basedOn w:val="668"/>
    <w:next w:val="668"/>
    <w:uiPriority w:val="0"/>
    <w:semiHidden/>
    <w:qFormat/>
    <w:pPr>
      <w:ind w:left="210"/>
      <w:jc w:val="left"/>
    </w:pPr>
    <w:rPr>
      <w:smallCaps/>
      <w:szCs w:val="24"/>
    </w:rPr>
  </w:style>
  <w:style w:type="paragraph" w:styleId="909" w:customStyle="1">
    <w:name w:val="目录 91"/>
    <w:basedOn w:val="668"/>
    <w:next w:val="668"/>
    <w:uiPriority w:val="0"/>
    <w:semiHidden/>
    <w:qFormat/>
    <w:pPr>
      <w:ind w:left="1680"/>
      <w:jc w:val="left"/>
    </w:pPr>
  </w:style>
  <w:style w:type="paragraph" w:styleId="910" w:customStyle="1">
    <w:name w:val="正文文本 21"/>
    <w:basedOn w:val="668"/>
    <w:link w:val="911"/>
    <w:uiPriority w:val="0"/>
    <w:qFormat/>
    <w:pPr>
      <w:jc w:val="center"/>
      <w:widowControl/>
    </w:pPr>
    <w:rPr>
      <w:rFonts w:ascii="楷体_GB2312" w:eastAsia="楷体_GB2312"/>
      <w:sz w:val="28"/>
      <w:szCs w:val="28"/>
    </w:rPr>
  </w:style>
  <w:style w:type="character" w:styleId="911" w:customStyle="1">
    <w:name w:val="正文文本 2 Char"/>
    <w:link w:val="910"/>
    <w:uiPriority w:val="0"/>
    <w:qFormat/>
    <w:rPr>
      <w:rFonts w:ascii="楷体_GB2312" w:hAnsi="Times New Roman" w:eastAsia="楷体_GB2312" w:cs="Times New Roman"/>
      <w:sz w:val="28"/>
      <w:szCs w:val="28"/>
    </w:rPr>
  </w:style>
  <w:style w:type="paragraph" w:styleId="912" w:customStyle="1">
    <w:name w:val="HTML 预设格式1"/>
    <w:basedOn w:val="668"/>
    <w:link w:val="9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13" w:customStyle="1">
    <w:name w:val="HTML 预设格式 Char"/>
    <w:basedOn w:val="861"/>
    <w:link w:val="912"/>
    <w:uiPriority w:val="99"/>
    <w:semiHidden/>
    <w:qFormat/>
    <w:rPr>
      <w:rFonts w:ascii="宋体" w:hAnsi="宋体" w:cs="宋体"/>
      <w:sz w:val="24"/>
      <w:szCs w:val="24"/>
    </w:rPr>
  </w:style>
  <w:style w:type="paragraph" w:styleId="914" w:customStyle="1">
    <w:name w:val="普通(网站)1"/>
    <w:basedOn w:val="668"/>
    <w:uiPriority w:val="99"/>
    <w:qFormat/>
    <w:pPr>
      <w:jc w:val="left"/>
      <w:spacing w:before="100" w:beforeAutospacing="1" w:after="100" w:afterAutospacing="1"/>
      <w:widowControl/>
    </w:pPr>
    <w:rPr>
      <w:rFonts w:ascii="宋体" w:hAnsi="宋体" w:cs="宋体"/>
      <w:sz w:val="24"/>
      <w:szCs w:val="24"/>
    </w:rPr>
  </w:style>
  <w:style w:type="paragraph" w:styleId="915" w:customStyle="1">
    <w:name w:val="索引 11"/>
    <w:basedOn w:val="668"/>
    <w:next w:val="668"/>
    <w:uiPriority w:val="0"/>
    <w:semiHidden/>
    <w:qFormat/>
    <w:pPr>
      <w:spacing w:line="240" w:lineRule="atLeast"/>
    </w:pPr>
    <w:rPr>
      <w:b/>
      <w:bCs/>
    </w:rPr>
  </w:style>
  <w:style w:type="paragraph" w:styleId="916" w:customStyle="1">
    <w:name w:val="批注主题1"/>
    <w:basedOn w:val="877"/>
    <w:next w:val="877"/>
    <w:link w:val="917"/>
    <w:uiPriority w:val="0"/>
    <w:semiHidden/>
    <w:qFormat/>
    <w:rPr>
      <w:b/>
      <w:bCs/>
    </w:rPr>
  </w:style>
  <w:style w:type="character" w:styleId="917" w:customStyle="1">
    <w:name w:val="批注主题 Char"/>
    <w:link w:val="916"/>
    <w:uiPriority w:val="0"/>
    <w:semiHidden/>
    <w:qFormat/>
    <w:rPr>
      <w:rFonts w:ascii="Times New Roman" w:hAnsi="Times New Roman" w:eastAsia="宋体" w:cs="Times New Roman"/>
      <w:b/>
      <w:bCs/>
      <w:szCs w:val="21"/>
    </w:rPr>
  </w:style>
  <w:style w:type="paragraph" w:styleId="918" w:customStyle="1">
    <w:name w:val="正文首行缩进1"/>
    <w:basedOn w:val="668"/>
    <w:link w:val="919"/>
    <w:uiPriority w:val="0"/>
    <w:qFormat/>
    <w:pPr>
      <w:ind w:firstLine="200"/>
      <w:spacing w:line="360" w:lineRule="auto"/>
    </w:pPr>
    <w:rPr>
      <w:rFonts w:ascii="仿宋_GB2312" w:eastAsia="仿宋_GB2312"/>
      <w:sz w:val="30"/>
      <w:szCs w:val="30"/>
    </w:rPr>
  </w:style>
  <w:style w:type="character" w:styleId="919" w:customStyle="1">
    <w:name w:val="正文首行缩进 Char"/>
    <w:link w:val="918"/>
    <w:uiPriority w:val="0"/>
    <w:qFormat/>
    <w:rPr>
      <w:rFonts w:ascii="仿宋_GB2312" w:hAnsi="Times New Roman" w:eastAsia="仿宋_GB2312" w:cs="Times New Roman"/>
      <w:sz w:val="30"/>
      <w:szCs w:val="30"/>
    </w:rPr>
  </w:style>
  <w:style w:type="paragraph" w:styleId="920" w:customStyle="1">
    <w:name w:val="正文首行缩进 21"/>
    <w:basedOn w:val="883"/>
    <w:link w:val="921"/>
    <w:uiPriority w:val="0"/>
    <w:qFormat/>
    <w:pPr>
      <w:ind w:firstLine="420"/>
      <w:spacing w:line="360" w:lineRule="auto"/>
    </w:pPr>
    <w:rPr>
      <w:rFonts w:ascii="宋体" w:hAnsi="宋体" w:eastAsia="宋体"/>
      <w:szCs w:val="20"/>
    </w:rPr>
  </w:style>
  <w:style w:type="character" w:styleId="921" w:customStyle="1">
    <w:name w:val="正文首行缩进 2 Char"/>
    <w:link w:val="920"/>
    <w:uiPriority w:val="0"/>
    <w:qFormat/>
    <w:rPr>
      <w:rFonts w:ascii="宋体" w:hAnsi="宋体" w:eastAsia="宋体" w:cs="Times New Roman"/>
      <w:sz w:val="32"/>
      <w:szCs w:val="20"/>
    </w:rPr>
  </w:style>
  <w:style w:type="table" w:styleId="922" w:customStyle="1">
    <w:name w:val="网格型1"/>
    <w:basedOn w:val="862"/>
    <w:uiPriority w:val="0"/>
    <w:qFormat/>
    <w:pPr>
      <w:jc w:val="both"/>
      <w:widowControl w:val="off"/>
    </w:pPr>
    <w:rPr>
      <w:rFonts w:ascii="Times New Roman" w:hAnsi="Times New Roman" w:eastAsia="宋体" w:cs="Times New Roman"/>
      <w:sz w:val="20"/>
      <w:szCs w:val="20"/>
    </w:rPr>
    <w:tblPr/>
  </w:style>
  <w:style w:type="character" w:styleId="923" w:customStyle="1">
    <w:name w:val="要点1"/>
    <w:link w:val="668"/>
    <w:uiPriority w:val="0"/>
    <w:qFormat/>
    <w:rPr>
      <w:b/>
      <w:bCs/>
    </w:rPr>
  </w:style>
  <w:style w:type="character" w:styleId="924" w:customStyle="1">
    <w:name w:val="页码1"/>
    <w:link w:val="668"/>
    <w:uiPriority w:val="0"/>
    <w:qFormat/>
  </w:style>
  <w:style w:type="character" w:styleId="925" w:customStyle="1">
    <w:name w:val="已访问的超链接1"/>
    <w:link w:val="668"/>
    <w:uiPriority w:val="0"/>
    <w:qFormat/>
    <w:rPr>
      <w:color w:val="800080"/>
      <w:u w:val="single"/>
    </w:rPr>
  </w:style>
  <w:style w:type="character" w:styleId="926" w:customStyle="1">
    <w:name w:val="HTML 打字机1"/>
    <w:link w:val="668"/>
    <w:uiPriority w:val="99"/>
    <w:qFormat/>
    <w:rPr>
      <w:rFonts w:ascii="宋体" w:hAnsi="宋体" w:eastAsia="宋体" w:cs="宋体"/>
      <w:sz w:val="24"/>
      <w:szCs w:val="24"/>
    </w:rPr>
  </w:style>
  <w:style w:type="character" w:styleId="927" w:customStyle="1">
    <w:name w:val="超链接1"/>
    <w:link w:val="668"/>
    <w:uiPriority w:val="0"/>
    <w:qFormat/>
    <w:rPr>
      <w:color w:val="0000ff"/>
      <w:u w:val="single"/>
    </w:rPr>
  </w:style>
  <w:style w:type="character" w:styleId="928" w:customStyle="1">
    <w:name w:val="批注引用1"/>
    <w:link w:val="668"/>
    <w:uiPriority w:val="0"/>
    <w:semiHidden/>
    <w:qFormat/>
    <w:rPr>
      <w:sz w:val="21"/>
      <w:szCs w:val="21"/>
    </w:rPr>
  </w:style>
  <w:style w:type="character" w:styleId="929" w:customStyle="1">
    <w:name w:val="font5 Char"/>
    <w:link w:val="668"/>
    <w:uiPriority w:val="0"/>
    <w:qFormat/>
    <w:rPr>
      <w:rFonts w:ascii="宋体" w:hAnsi="宋体" w:eastAsia="宋体"/>
      <w:sz w:val="28"/>
      <w:szCs w:val="28"/>
      <w:lang w:val="en-US" w:eastAsia="zh-CN" w:bidi="ar-SA"/>
    </w:rPr>
  </w:style>
  <w:style w:type="character" w:styleId="930" w:customStyle="1">
    <w:name w:val="二级目录 Char"/>
    <w:link w:val="931"/>
    <w:uiPriority w:val="0"/>
    <w:qFormat/>
    <w:rPr>
      <w:b/>
      <w:sz w:val="30"/>
      <w:szCs w:val="28"/>
      <w:lang w:val="en-US" w:eastAsia="zh-CN" w:bidi="ar-SA"/>
    </w:rPr>
  </w:style>
  <w:style w:type="paragraph" w:styleId="931" w:customStyle="1">
    <w:name w:val="二级目录"/>
    <w:next w:val="668"/>
    <w:link w:val="93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2" w:customStyle="1">
    <w:name w:val="列出段落 Char"/>
    <w:link w:val="933"/>
    <w:uiPriority w:val="0"/>
    <w:qFormat/>
    <w:rPr>
      <w:rFonts w:ascii="Calibri" w:hAnsi="Calibri"/>
      <w:sz w:val="24"/>
      <w:szCs w:val="24"/>
      <w:lang w:eastAsia="en-US" w:bidi="en-US"/>
    </w:rPr>
  </w:style>
  <w:style w:type="paragraph" w:styleId="933" w:customStyle="1">
    <w:name w:val="列出段落1"/>
    <w:basedOn w:val="668"/>
    <w:link w:val="932"/>
    <w:uiPriority w:val="0"/>
    <w:qFormat/>
    <w:pPr>
      <w:contextualSpacing/>
      <w:ind w:left="720"/>
      <w:jc w:val="left"/>
      <w:widowControl/>
    </w:pPr>
    <w:rPr>
      <w:rFonts w:ascii="Calibri" w:hAnsi="Calibri"/>
      <w:sz w:val="24"/>
      <w:szCs w:val="24"/>
      <w:lang w:eastAsia="en-US" w:bidi="en-US"/>
    </w:rPr>
  </w:style>
  <w:style w:type="paragraph" w:styleId="934" w:customStyle="1">
    <w:name w:val="Body Text(ch)"/>
    <w:basedOn w:val="668"/>
    <w:next w:val="881"/>
    <w:uiPriority w:val="0"/>
    <w:qFormat/>
    <w:pPr>
      <w:spacing w:after="120"/>
    </w:pPr>
    <w:rPr>
      <w:rFonts w:ascii="宋体" w:hAnsi="Arial"/>
      <w:bCs/>
      <w:iCs/>
      <w:szCs w:val="24"/>
    </w:rPr>
  </w:style>
  <w:style w:type="paragraph" w:styleId="935"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7" w:customStyle="1">
    <w:name w:val="Char"/>
    <w:basedOn w:val="668"/>
    <w:uiPriority w:val="0"/>
    <w:qFormat/>
    <w:pPr>
      <w:ind w:firstLine="200"/>
      <w:tabs>
        <w:tab w:val="left" w:pos="360" w:leader="none"/>
      </w:tabs>
    </w:pPr>
    <w:rPr>
      <w:sz w:val="28"/>
      <w:szCs w:val="30"/>
    </w:rPr>
  </w:style>
  <w:style w:type="paragraph" w:styleId="938" w:customStyle="1">
    <w:name w:val=" Char"/>
    <w:basedOn w:val="875"/>
    <w:uiPriority w:val="0"/>
    <w:qFormat/>
    <w:rPr>
      <w:rFonts w:ascii="Tahoma" w:hAnsi="Tahoma"/>
      <w:sz w:val="24"/>
      <w:szCs w:val="24"/>
    </w:rPr>
  </w:style>
  <w:style w:type="paragraph" w:styleId="939"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940" w:customStyle="1">
    <w:name w:val="table_lines"/>
    <w:basedOn w:val="668"/>
    <w:uiPriority w:val="0"/>
    <w:qFormat/>
    <w:pPr>
      <w:jc w:val="left"/>
      <w:widowControl/>
    </w:pPr>
    <w:rPr>
      <w:sz w:val="20"/>
      <w:szCs w:val="20"/>
      <w:lang w:val="de-DE" w:eastAsia="de-DE"/>
    </w:rPr>
  </w:style>
  <w:style w:type="paragraph" w:styleId="94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2"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943" w:customStyle="1">
    <w:name w:val=" Char Char Char Char"/>
    <w:basedOn w:val="875"/>
    <w:uiPriority w:val="0"/>
    <w:qFormat/>
    <w:pPr>
      <w:spacing w:line="360" w:lineRule="auto"/>
    </w:pPr>
    <w:rPr>
      <w:rFonts w:ascii="Tahoma" w:hAnsi="Tahoma"/>
      <w:sz w:val="24"/>
      <w:szCs w:val="24"/>
    </w:rPr>
  </w:style>
  <w:style w:type="paragraph" w:styleId="944" w:customStyle="1">
    <w:name w:val="列出段落"/>
    <w:basedOn w:val="668"/>
    <w:uiPriority w:val="99"/>
    <w:qFormat/>
    <w:pPr>
      <w:contextualSpacing/>
      <w:ind w:left="720"/>
      <w:jc w:val="left"/>
      <w:widowControl/>
    </w:pPr>
    <w:rPr>
      <w:rFonts w:ascii="Calibri" w:hAnsi="Calibri"/>
      <w:sz w:val="24"/>
      <w:szCs w:val="24"/>
      <w:lang w:eastAsia="en-US" w:bidi="en-US"/>
    </w:rPr>
  </w:style>
  <w:style w:type="paragraph" w:styleId="945" w:customStyle="1">
    <w:name w:val="4"/>
    <w:basedOn w:val="668"/>
    <w:next w:val="905"/>
    <w:uiPriority w:val="0"/>
    <w:qFormat/>
    <w:pPr>
      <w:ind w:firstLine="420"/>
      <w:spacing w:line="360" w:lineRule="auto"/>
    </w:pPr>
    <w:rPr>
      <w:color w:val="ff0000"/>
      <w:sz w:val="24"/>
      <w:szCs w:val="24"/>
    </w:rPr>
  </w:style>
  <w:style w:type="paragraph" w:styleId="946"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947" w:customStyle="1">
    <w:name w:val=" Char Char Char Char Char Char Char Char Char Char"/>
    <w:basedOn w:val="668"/>
    <w:uiPriority w:val="0"/>
    <w:qFormat/>
    <w:pPr>
      <w:spacing w:line="360" w:lineRule="auto"/>
    </w:pPr>
    <w:rPr>
      <w:sz w:val="24"/>
      <w:szCs w:val="20"/>
    </w:rPr>
  </w:style>
  <w:style w:type="paragraph" w:styleId="948" w:customStyle="1">
    <w:name w:val="样式1"/>
    <w:basedOn w:val="668"/>
    <w:uiPriority w:val="0"/>
    <w:qFormat/>
    <w:pPr>
      <w:numPr>
        <w:ilvl w:val="0"/>
        <w:numId w:val="3"/>
      </w:numPr>
    </w:pPr>
    <w:rPr>
      <w:rFonts w:ascii="宋体" w:hAnsi="宋体"/>
    </w:rPr>
  </w:style>
  <w:style w:type="paragraph" w:styleId="949"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950"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1"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2"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953"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5"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6"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958"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959" w:customStyle="1">
    <w:name w:val="Char Char Char Char"/>
    <w:basedOn w:val="875"/>
    <w:uiPriority w:val="0"/>
    <w:qFormat/>
    <w:pPr>
      <w:spacing w:line="360" w:lineRule="auto"/>
    </w:pPr>
    <w:rPr>
      <w:rFonts w:ascii="Tahoma" w:hAnsi="Tahoma"/>
      <w:sz w:val="24"/>
      <w:szCs w:val="24"/>
    </w:rPr>
  </w:style>
  <w:style w:type="paragraph" w:styleId="960" w:customStyle="1">
    <w:name w:val="table_1stline"/>
    <w:basedOn w:val="668"/>
    <w:uiPriority w:val="0"/>
    <w:qFormat/>
    <w:pPr>
      <w:jc w:val="left"/>
      <w:spacing w:before="120"/>
      <w:widowControl/>
    </w:pPr>
    <w:rPr>
      <w:bCs/>
      <w:sz w:val="20"/>
      <w:szCs w:val="20"/>
      <w:lang w:val="de-DE" w:eastAsia="de-DE"/>
    </w:rPr>
  </w:style>
  <w:style w:type="paragraph" w:styleId="961"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962"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5" w:customStyle="1">
    <w:name w:val="普通文字"/>
    <w:basedOn w:val="668"/>
    <w:next w:val="668"/>
    <w:uiPriority w:val="99"/>
    <w:qFormat/>
    <w:rPr>
      <w:rFonts w:ascii="宋体" w:hAnsi="Times New Roman" w:eastAsia="宋体" w:cs="Times New Roman"/>
      <w:sz w:val="24"/>
      <w:szCs w:val="20"/>
      <w:u w:val="none"/>
    </w:rPr>
  </w:style>
  <w:style w:type="paragraph" w:styleId="966"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table" w:styleId="967" w:customStyle="1">
    <w:name w:val="Table Normal"/>
    <w:uiPriority w:val="0"/>
    <w:unhideWhenUsed/>
    <w:qFormat/>
    <w:tblPr/>
  </w:style>
  <w:style w:type="character" w:styleId="968" w:customStyle="1">
    <w:name w:val="font13"/>
    <w:uiPriority w:val="0"/>
    <w:qFormat/>
    <w:rPr>
      <w:rFonts w:hint="eastAsia" w:ascii="宋体" w:hAnsi="宋体" w:eastAsia="宋体" w:cs="宋体"/>
      <w:color w:val="000000"/>
      <w:sz w:val="20"/>
      <w:szCs w:val="20"/>
      <w:u w:val="none"/>
    </w:rPr>
  </w:style>
  <w:style w:type="character" w:styleId="969" w:customStyle="1">
    <w:name w:val="font141"/>
    <w:uiPriority w:val="0"/>
    <w:qFormat/>
    <w:rPr>
      <w:rFonts w:hint="eastAsia" w:ascii="宋体" w:hAnsi="宋体" w:eastAsia="宋体" w:cs="宋体"/>
      <w:color w:val="000000"/>
      <w:sz w:val="20"/>
      <w:szCs w:val="20"/>
      <w:u w:val="none"/>
      <w:vertAlign w:val="subscript"/>
    </w:rPr>
  </w:style>
  <w:style w:type="character" w:styleId="970" w:customStyle="1">
    <w:name w:val="font151"/>
    <w:uiPriority w:val="0"/>
    <w:qFormat/>
    <w:rPr>
      <w:rFonts w:hint="default" w:ascii="Times New Roman" w:hAnsi="Times New Roman" w:cs="Times New Roman"/>
      <w:color w:val="000000"/>
      <w:sz w:val="20"/>
      <w:szCs w:val="20"/>
      <w:u w:val="none"/>
    </w:rPr>
  </w:style>
  <w:style w:type="character" w:styleId="971" w:customStyle="1">
    <w:name w:val="font161"/>
    <w:uiPriority w:val="0"/>
    <w:qFormat/>
    <w:rPr>
      <w:rFonts w:ascii="Calibri" w:hAnsi="Calibri" w:cs="Calibri"/>
      <w:color w:val="000000"/>
      <w:sz w:val="20"/>
      <w:szCs w:val="20"/>
      <w:u w:val="none"/>
    </w:rPr>
  </w:style>
  <w:style w:type="character" w:styleId="972" w:customStyle="1">
    <w:name w:val="font171"/>
    <w:uiPriority w:val="0"/>
    <w:qFormat/>
    <w:rPr>
      <w:rFonts w:ascii="微软雅黑" w:hAnsi="微软雅黑" w:eastAsia="微软雅黑" w:cs="微软雅黑"/>
      <w:color w:val="000000"/>
      <w:sz w:val="20"/>
      <w:szCs w:val="20"/>
      <w:u w:val="none"/>
    </w:rPr>
  </w:style>
  <w:style w:type="paragraph" w:styleId="973" w:customStyle="1">
    <w:name w:val="BodyText1I"/>
    <w:basedOn w:val="974"/>
    <w:uiPriority w:val="0"/>
    <w:qFormat/>
    <w:pPr>
      <w:ind w:firstLine="420"/>
      <w:spacing w:after="120" w:line="440" w:lineRule="exact"/>
    </w:pPr>
    <w:rPr>
      <w:rFonts w:ascii="宋体"/>
      <w:sz w:val="24"/>
      <w:szCs w:val="28"/>
    </w:rPr>
  </w:style>
  <w:style w:type="paragraph" w:styleId="974" w:customStyle="1">
    <w:name w:val="BodyText"/>
    <w:basedOn w:val="668"/>
    <w:uiPriority w:val="0"/>
    <w:qFormat/>
    <w:rPr>
      <w:sz w:val="20"/>
    </w:rPr>
  </w:style>
  <w:style w:type="numbering" w:styleId="72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71</cp:revision>
  <dcterms:created xsi:type="dcterms:W3CDTF">2023-03-16T02:16:00Z</dcterms:created>
  <dcterms:modified xsi:type="dcterms:W3CDTF">2026-08-03T07:52:42Z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eyJoZGlkIjoiM2FiMmY2ODU5NjUzYTBiNTEzNzM2ZDlkZmM2YjYyY2MiLCJ1c2VySWQiOiIyOTAyMTM2MCJ9</vt:lpwstr>
  </property>
  <property fmtid="{D5CDD505-2E9C-101B-9397-08002B2CF9AE}" pid="3" name="KSOProductBuildVer">
    <vt:lpwstr>2052-12.1.0.26895</vt:lpwstr>
  </property>
  <property fmtid="{D5CDD505-2E9C-101B-9397-08002B2CF9AE}" pid="4" name="ICV">
    <vt:lpwstr>AA31BEA1A89F4E189E3DAFB174FD1A93_13</vt:lpwstr>
  </property>
</Properties>
</file>