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48"/>
          <w:szCs w:val="48"/>
          <w:highlight w:val="none"/>
        </w:rPr>
      </w:pPr>
      <w:r>
        <w:rPr>
          <w:rFonts w:hint="eastAsia" w:ascii="Arial" w:hAnsi="Arial" w:eastAsia="黑体"/>
          <w:b/>
          <w:bCs/>
          <w:color w:val="auto"/>
          <w:sz w:val="48"/>
          <w:szCs w:val="48"/>
          <w:highlight w:val="none"/>
        </w:rPr>
      </w:r>
      <w:r/>
    </w:p>
    <w:p>
      <w:pPr>
        <w:jc w:val="left"/>
        <w:spacing w:before="120" w:after="120" w:line="360" w:lineRule="auto"/>
        <w:rPr>
          <w:rFonts w:hint="eastAsia" w:ascii="Arial" w:hAnsi="Arial" w:eastAsia="黑体"/>
          <w:b/>
          <w:bCs/>
          <w:color w:val="auto"/>
          <w:sz w:val="48"/>
          <w:szCs w:val="48"/>
          <w:highlight w:val="none"/>
        </w:rPr>
      </w:pPr>
      <w:r>
        <w:rPr>
          <w:rFonts w:hint="eastAsia" w:ascii="Arial" w:hAnsi="Arial" w:eastAsia="黑体"/>
          <w:b/>
          <w:bCs/>
          <w:color w:val="auto"/>
          <w:sz w:val="48"/>
          <w:szCs w:val="48"/>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lang w:eastAsia="zh-CN"/>
        </w:rPr>
        <w:t xml:space="preserve">采</w:t>
      </w:r>
      <w:r>
        <w:rPr>
          <w:rFonts w:hint="eastAsia" w:ascii="Arial" w:hAnsi="Arial" w:eastAsia="黑体"/>
          <w:b/>
          <w:bCs/>
          <w:color w:val="auto"/>
          <w:sz w:val="84"/>
          <w:szCs w:val="24"/>
          <w:highlight w:val="none"/>
          <w:lang w:val="en-US" w:eastAsia="zh-CN"/>
        </w:rPr>
        <w:t xml:space="preserve">  </w:t>
      </w:r>
      <w:r>
        <w:rPr>
          <w:rFonts w:hint="eastAsia" w:ascii="Arial" w:hAnsi="Arial" w:eastAsia="黑体"/>
          <w:b/>
          <w:bCs/>
          <w:color w:val="auto"/>
          <w:sz w:val="84"/>
          <w:szCs w:val="24"/>
          <w:highlight w:val="none"/>
          <w:lang w:eastAsia="zh-CN"/>
        </w:rPr>
        <w:t xml:space="preserve">购</w:t>
      </w:r>
      <w:r>
        <w:rPr>
          <w:rFonts w:hint="eastAsia" w:ascii="Arial" w:hAnsi="Arial" w:eastAsia="黑体"/>
          <w:b/>
          <w:bCs/>
          <w:color w:val="auto"/>
          <w:sz w:val="84"/>
          <w:szCs w:val="24"/>
          <w:highlight w:val="none"/>
        </w:rPr>
        <w:t xml:space="preserve">　文　件</w:t>
      </w:r>
      <w:r/>
    </w:p>
    <w:p>
      <w:pPr>
        <w:ind w:firstLine="2240"/>
        <w:jc w:val="left"/>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rPr>
      </w:r>
      <w:r/>
    </w:p>
    <w:p>
      <w:pPr>
        <w:ind w:left="630" w:firstLine="0"/>
        <w:jc w:val="left"/>
        <w:keepLines w:val="0"/>
        <w:keepNext w:val="0"/>
        <w:pageBreakBefore w:val="0"/>
        <w:spacing w:before="120" w:after="120" w:line="360" w:lineRule="auto"/>
        <w:widowControl w:val="off"/>
        <w:rPr>
          <w:rFonts w:hint="eastAsia" w:ascii="Arial" w:hAnsi="Arial" w:eastAsia="宋体" w:cs="Times New Roman"/>
          <w:b/>
          <w:bCs/>
          <w:color w:val="auto"/>
          <w:sz w:val="32"/>
          <w:szCs w:val="24"/>
          <w:highlight w:val="none"/>
        </w:rPr>
      </w:pPr>
      <w:r>
        <w:rPr>
          <w:rFonts w:hint="eastAsia" w:ascii="Arial" w:hAnsi="Arial"/>
          <w:b/>
          <w:bCs/>
          <w:color w:val="auto"/>
          <w:sz w:val="32"/>
          <w:szCs w:val="24"/>
          <w:highlight w:val="none"/>
        </w:rPr>
        <w:t xml:space="preserve">项目名称：</w:t>
      </w:r>
      <w:r>
        <w:rPr>
          <w:rFonts w:hint="eastAsia" w:ascii="Arial" w:hAnsi="Arial" w:eastAsia="宋体" w:cs="Times New Roman"/>
          <w:b/>
          <w:bCs/>
          <w:color w:val="auto"/>
          <w:sz w:val="32"/>
          <w:szCs w:val="24"/>
          <w:highlight w:val="none"/>
          <w:lang w:eastAsia="zh-CN"/>
        </w:rPr>
        <w:t xml:space="preserve">连云港市除雪除冰机械设备配置项目（饱和盐水制造机）</w:t>
      </w:r>
      <w:r/>
    </w:p>
    <w:p>
      <w:pPr>
        <w:ind w:left="630" w:firstLine="0"/>
        <w:keepLines w:val="0"/>
        <w:keepNext w:val="0"/>
        <w:pageBreakBefore w:val="0"/>
        <w:spacing w:before="120" w:after="120" w:line="360" w:lineRule="auto"/>
        <w:widowControl w:val="off"/>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JSZC-320700-HCCG-G2026-0030</w:t>
      </w:r>
      <w:r/>
    </w:p>
    <w:p>
      <w:pPr>
        <w:ind w:left="2800" w:hanging="2800"/>
        <w:rPr>
          <w:b/>
          <w:color w:val="auto"/>
          <w:sz w:val="28"/>
          <w:szCs w:val="28"/>
          <w:highlight w:val="none"/>
        </w:rPr>
      </w:pPr>
      <w:r>
        <w:rPr>
          <w:rFonts w:hint="eastAsia"/>
          <w:color w:val="auto"/>
          <w:sz w:val="28"/>
          <w:szCs w:val="28"/>
          <w:highlight w:val="none"/>
        </w:rPr>
        <w:t xml:space="preserve">       </w:t>
      </w:r>
      <w:r>
        <w:rPr>
          <w:rFonts w:hint="eastAsia"/>
          <w:b/>
          <w:color w:val="auto"/>
          <w:sz w:val="28"/>
          <w:szCs w:val="28"/>
          <w:highlight w:val="none"/>
        </w:rPr>
        <w:t xml:space="preserve"> </w:t>
      </w:r>
      <w:r/>
    </w:p>
    <w:p>
      <w:pPr>
        <w:rPr>
          <w:rFonts w:hint="eastAsia"/>
          <w:b/>
          <w:color w:val="auto"/>
          <w:sz w:val="24"/>
          <w:szCs w:val="24"/>
          <w:highlight w:val="none"/>
        </w:rPr>
      </w:pPr>
      <w:r>
        <w:rPr>
          <w:rFonts w:hint="eastAsia"/>
          <w:b/>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630"/>
        <w:jc w:val="both"/>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采   购   人：</w:t>
      </w:r>
      <w:r>
        <w:rPr>
          <w:rFonts w:hint="eastAsia" w:ascii="Arial" w:hAnsi="Arial"/>
          <w:b/>
          <w:bCs/>
          <w:color w:val="auto"/>
          <w:sz w:val="32"/>
          <w:szCs w:val="24"/>
          <w:highlight w:val="none"/>
          <w:lang w:eastAsia="zh-CN"/>
        </w:rPr>
        <w:t xml:space="preserve">连云港市公路事业发展中心</w:t>
      </w:r>
      <w:r/>
    </w:p>
    <w:p>
      <w:pPr>
        <w:ind w:left="630"/>
        <w:jc w:val="both"/>
        <w:keepLines w:val="0"/>
        <w:keepNext w:val="0"/>
        <w:pageBreakBefore w:val="0"/>
        <w:spacing w:line="360" w:lineRule="auto"/>
        <w:widowControl w:val="off"/>
        <w:rPr>
          <w:rFonts w:hint="eastAsia" w:ascii="Arial" w:hAnsi="Arial"/>
          <w:b/>
          <w:bCs/>
          <w:color w:val="auto"/>
          <w:sz w:val="32"/>
          <w:szCs w:val="24"/>
          <w:highlight w:val="none"/>
        </w:rPr>
      </w:pPr>
      <w:r>
        <w:rPr>
          <w:rFonts w:hint="eastAsia" w:ascii="Arial" w:hAnsi="Arial"/>
          <w:b/>
          <w:bCs/>
          <w:color w:val="auto"/>
          <w:sz w:val="32"/>
          <w:szCs w:val="24"/>
          <w:highlight w:val="none"/>
        </w:rPr>
        <w:t xml:space="preserve">采购代理机构：江苏鸿成工程项目管理有限公司</w:t>
      </w:r>
      <w:r/>
    </w:p>
    <w:p>
      <w:pPr>
        <w:jc w:val="center"/>
        <w:spacing w:before="120" w:after="120" w:line="360" w:lineRule="auto"/>
        <w:rPr>
          <w:rFonts w:hint="eastAsia" w:ascii="Arial" w:hAnsi="Arial"/>
          <w:b/>
          <w:bCs/>
          <w:color w:val="auto"/>
          <w:sz w:val="32"/>
          <w:szCs w:val="24"/>
          <w:highlight w:val="none"/>
        </w:rPr>
      </w:pPr>
      <w:r>
        <w:rPr>
          <w:rFonts w:hint="eastAsia" w:ascii="Arial" w:hAnsi="Arial"/>
          <w:b/>
          <w:bCs/>
          <w:color w:val="auto"/>
          <w:sz w:val="32"/>
          <w:szCs w:val="24"/>
          <w:highlight w:val="none"/>
          <w:u w:val="single"/>
          <w:lang w:val="en-US" w:eastAsia="zh-CN"/>
        </w:rPr>
        <w:t xml:space="preserve">2026</w:t>
      </w:r>
      <w:r>
        <w:rPr>
          <w:rFonts w:hint="eastAsia" w:ascii="Arial" w:hAnsi="Arial"/>
          <w:b/>
          <w:bCs/>
          <w:color w:val="auto"/>
          <w:sz w:val="32"/>
          <w:szCs w:val="24"/>
          <w:highlight w:val="none"/>
        </w:rPr>
        <w:t xml:space="preserve">年</w:t>
      </w:r>
      <w:r>
        <w:rPr>
          <w:rFonts w:hint="eastAsia" w:ascii="Arial" w:hAnsi="Arial"/>
          <w:b/>
          <w:bCs/>
          <w:color w:val="auto"/>
          <w:sz w:val="32"/>
          <w:szCs w:val="24"/>
          <w:highlight w:val="none"/>
          <w:u w:val="single"/>
          <w:lang w:val="en-US" w:eastAsia="zh-CN"/>
        </w:rPr>
        <w:t xml:space="preserve"> 6</w:t>
      </w:r>
      <w:r>
        <w:rPr>
          <w:rFonts w:hint="eastAsia" w:ascii="Arial" w:hAnsi="Arial"/>
          <w:b/>
          <w:bCs/>
          <w:color w:val="auto"/>
          <w:sz w:val="32"/>
          <w:szCs w:val="24"/>
          <w:highlight w:val="none"/>
        </w:rPr>
        <w:t xml:space="preserve">月</w:t>
      </w:r>
      <w:r>
        <w:rPr>
          <w:rFonts w:hint="eastAsia" w:ascii="Arial" w:hAnsi="Arial"/>
          <w:b/>
          <w:bCs/>
          <w:color w:val="auto"/>
          <w:sz w:val="32"/>
          <w:szCs w:val="24"/>
          <w:highlight w:val="none"/>
          <w:u w:val="single"/>
          <w:lang w:val="en-US" w:eastAsia="zh-CN"/>
        </w:rPr>
        <w:t xml:space="preserve"> 29</w:t>
      </w:r>
      <w:r>
        <w:rPr>
          <w:rFonts w:hint="eastAsia" w:ascii="Arial" w:hAnsi="Arial"/>
          <w:b/>
          <w:bCs/>
          <w:color w:val="auto"/>
          <w:sz w:val="32"/>
          <w:szCs w:val="24"/>
          <w:highlight w:val="none"/>
        </w:rPr>
        <w:t xml:space="preserve">日</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仿宋_GB2312" w:hAnsi="Arial" w:eastAsia="仿宋_GB2312"/>
          <w:b/>
          <w:color w:val="auto"/>
          <w:sz w:val="28"/>
          <w:szCs w:val="21"/>
          <w:highlight w:val="none"/>
        </w:rPr>
        <w:outlineLvl w:val="9"/>
      </w:pPr>
      <w:r>
        <w:rPr>
          <w:color w:val="auto"/>
          <w:szCs w:val="21"/>
          <w:highlight w:val="none"/>
        </w:rPr>
        <w:br w:type="page" w:clear="all"/>
      </w:r>
      <w:bookmarkStart w:id="0" w:name="_Toc21945"/>
      <w:r/>
      <w:bookmarkStart w:id="1" w:name="_Toc120614210"/>
      <w:r/>
      <w:bookmarkStart w:id="2" w:name="_Toc523127445"/>
      <w:r/>
      <w:bookmarkStart w:id="3" w:name="_Toc513029200"/>
      <w:r/>
      <w:bookmarkStart w:id="4" w:name="_Toc20823272"/>
      <w:r/>
      <w:bookmarkStart w:id="5" w:name="_Toc479757206"/>
      <w:r/>
      <w:bookmarkStart w:id="6" w:name="_Toc16938516"/>
      <w:r>
        <w:rPr>
          <w:rFonts w:hint="eastAsia" w:ascii="黑体" w:hAnsi="Arial" w:eastAsia="黑体"/>
          <w:b/>
          <w:color w:val="auto"/>
          <w:sz w:val="44"/>
          <w:szCs w:val="21"/>
          <w:highlight w:val="none"/>
        </w:rPr>
        <w:t xml:space="preserve">总  目  录</w:t>
      </w:r>
      <w:bookmarkEnd w:id="0"/>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TOC \o "1-1" \h \u </w:instrText>
      </w:r>
      <w:r>
        <w:rPr>
          <w:rFonts w:hint="eastAsia"/>
          <w:color w:val="auto"/>
          <w:szCs w:val="21"/>
          <w:highlight w:val="none"/>
        </w:rPr>
        <w:fldChar w:fldCharType="separate"/>
      </w:r>
      <w:r>
        <w:rPr>
          <w:rFonts w:hint="eastAsia"/>
          <w:color w:val="auto"/>
          <w:szCs w:val="21"/>
          <w:highlight w:val="none"/>
        </w:rPr>
        <w:fldChar w:fldCharType="begin"/>
      </w:r>
      <w:r>
        <w:rPr>
          <w:rFonts w:hint="eastAsia"/>
          <w:color w:val="auto"/>
          <w:szCs w:val="21"/>
          <w:highlight w:val="none"/>
        </w:rPr>
        <w:instrText xml:space="preserve"> HYPERLINK \l _Toc29210 </w:instrText>
      </w:r>
      <w:r>
        <w:rPr>
          <w:rFonts w:hint="eastAsia"/>
          <w:color w:val="auto"/>
          <w:szCs w:val="21"/>
          <w:highlight w:val="none"/>
        </w:rPr>
        <w:fldChar w:fldCharType="separate"/>
      </w:r>
      <w:r>
        <w:rPr>
          <w:rFonts w:hint="eastAsia" w:ascii="黑体" w:eastAsia="黑体"/>
          <w:color w:val="auto"/>
          <w:szCs w:val="44"/>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_Toc29210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color w:val="auto"/>
          <w:szCs w:val="21"/>
          <w:highlight w:val="none"/>
        </w:rPr>
        <w:fldChar w:fldCharType="end"/>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_Toc22712 </w:instrText>
      </w:r>
      <w:r>
        <w:rPr>
          <w:rFonts w:hint="eastAsia"/>
          <w:color w:val="auto"/>
          <w:szCs w:val="21"/>
          <w:highlight w:val="none"/>
        </w:rPr>
        <w:fldChar w:fldCharType="separate"/>
      </w:r>
      <w:r>
        <w:rPr>
          <w:rFonts w:hint="eastAsia" w:ascii="黑体" w:hAnsi="Arial" w:eastAsia="黑体" w:cs="Arial"/>
          <w:bCs/>
          <w:color w:val="auto"/>
          <w:szCs w:val="44"/>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_Toc22712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color w:val="auto"/>
          <w:szCs w:val="21"/>
          <w:highlight w:val="none"/>
        </w:rPr>
        <w:fldChar w:fldCharType="end"/>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_Toc29687 </w:instrText>
      </w:r>
      <w:r>
        <w:rPr>
          <w:rFonts w:hint="eastAsia"/>
          <w:color w:val="auto"/>
          <w:szCs w:val="21"/>
          <w:highlight w:val="none"/>
        </w:rPr>
        <w:fldChar w:fldCharType="separate"/>
      </w:r>
      <w:r>
        <w:rPr>
          <w:rFonts w:hint="eastAsia" w:ascii="黑体" w:eastAsia="黑体"/>
          <w:bCs/>
          <w:color w:val="auto"/>
          <w:szCs w:val="28"/>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_Toc29687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color w:val="auto"/>
          <w:szCs w:val="21"/>
          <w:highlight w:val="none"/>
        </w:rPr>
        <w:fldChar w:fldCharType="end"/>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_Toc28426 </w:instrText>
      </w:r>
      <w:r>
        <w:rPr>
          <w:rFonts w:hint="eastAsia"/>
          <w:color w:val="auto"/>
          <w:szCs w:val="21"/>
          <w:highlight w:val="none"/>
        </w:rPr>
        <w:fldChar w:fldCharType="separate"/>
      </w:r>
      <w:r>
        <w:rPr>
          <w:rFonts w:hint="eastAsia" w:ascii="黑体" w:hAnsi="Courier New" w:eastAsia="黑体" w:cs="Courier New"/>
          <w:bCs/>
          <w:color w:val="auto"/>
          <w:szCs w:val="21"/>
          <w:highlight w:val="none"/>
        </w:rPr>
        <w:t xml:space="preserve">第四章 </w:t>
      </w:r>
      <w:r>
        <w:rPr>
          <w:rFonts w:hint="eastAsia" w:ascii="黑体" w:hAnsi="Courier New" w:eastAsia="黑体" w:cs="Courier New"/>
          <w:bCs/>
          <w:color w:val="auto"/>
          <w:szCs w:val="21"/>
          <w:highlight w:val="none"/>
          <w:lang w:val="en-US" w:eastAsia="zh-CN"/>
        </w:rPr>
        <w:t xml:space="preserve"> </w:t>
      </w:r>
      <w:r>
        <w:rPr>
          <w:rFonts w:hint="eastAsia" w:ascii="黑体" w:hAnsi="Courier New" w:eastAsia="黑体" w:cs="Courier New"/>
          <w:bCs/>
          <w:color w:val="auto"/>
          <w:szCs w:val="21"/>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_Toc28426 \h </w:instrText>
      </w:r>
      <w:r>
        <w:rPr>
          <w:color w:val="auto"/>
          <w:highlight w:val="none"/>
        </w:rPr>
        <w:fldChar w:fldCharType="separate"/>
      </w:r>
      <w:r>
        <w:rPr>
          <w:color w:val="auto"/>
          <w:highlight w:val="none"/>
        </w:rPr>
        <w:t xml:space="preserve">38</w:t>
      </w:r>
      <w:r>
        <w:rPr>
          <w:color w:val="auto"/>
          <w:highlight w:val="none"/>
        </w:rPr>
        <w:fldChar w:fldCharType="end"/>
      </w:r>
      <w:r>
        <w:rPr>
          <w:rFonts w:hint="eastAsia"/>
          <w:color w:val="auto"/>
          <w:szCs w:val="21"/>
          <w:highlight w:val="none"/>
        </w:rPr>
        <w:fldChar w:fldCharType="end"/>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_Toc32371 </w:instrText>
      </w:r>
      <w:r>
        <w:rPr>
          <w:rFonts w:hint="eastAsia"/>
          <w:color w:val="auto"/>
          <w:szCs w:val="21"/>
          <w:highlight w:val="none"/>
        </w:rPr>
        <w:fldChar w:fldCharType="separate"/>
      </w:r>
      <w:r>
        <w:rPr>
          <w:rFonts w:hint="eastAsia" w:ascii="黑体" w:eastAsia="黑体"/>
          <w:bCs/>
          <w:color w:val="auto"/>
          <w:szCs w:val="28"/>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_Toc32371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color w:val="auto"/>
          <w:szCs w:val="21"/>
          <w:highlight w:val="none"/>
        </w:rPr>
        <w:fldChar w:fldCharType="end"/>
      </w:r>
      <w:r/>
    </w:p>
    <w:p>
      <w:pPr>
        <w:pStyle w:val="700"/>
        <w:tabs>
          <w:tab w:val="right" w:pos="8312" w:leader="dot"/>
          <w:tab w:val="clear" w:pos="8720" w:leader="none"/>
        </w:tabs>
        <w:rPr>
          <w:color w:val="auto"/>
          <w:highlight w:val="none"/>
        </w:rPr>
      </w:pPr>
      <w:r>
        <w:rPr>
          <w:rFonts w:hint="eastAsia"/>
          <w:color w:val="auto"/>
          <w:szCs w:val="21"/>
          <w:highlight w:val="none"/>
        </w:rPr>
        <w:fldChar w:fldCharType="begin"/>
      </w:r>
      <w:r>
        <w:rPr>
          <w:rFonts w:hint="eastAsia"/>
          <w:color w:val="auto"/>
          <w:szCs w:val="21"/>
          <w:highlight w:val="none"/>
        </w:rPr>
        <w:instrText xml:space="preserve"> HYPERLINK \l _Toc14437 </w:instrText>
      </w:r>
      <w:r>
        <w:rPr>
          <w:rFonts w:hint="eastAsia"/>
          <w:color w:val="auto"/>
          <w:szCs w:val="21"/>
          <w:highlight w:val="none"/>
        </w:rPr>
        <w:fldChar w:fldCharType="separate"/>
      </w:r>
      <w:r>
        <w:rPr>
          <w:rFonts w:hint="eastAsia" w:ascii="黑体" w:eastAsia="黑体"/>
          <w:bCs/>
          <w:color w:val="auto"/>
          <w:szCs w:val="28"/>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_Toc14437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color w:val="auto"/>
          <w:szCs w:val="21"/>
          <w:highlight w:val="none"/>
        </w:rPr>
        <w:fldChar w:fldCharType="end"/>
      </w:r>
      <w:r/>
    </w:p>
    <w:p>
      <w:pPr>
        <w:rPr>
          <w:rFonts w:hint="eastAsia"/>
          <w:color w:val="auto"/>
          <w:szCs w:val="21"/>
          <w:highlight w:val="none"/>
        </w:rPr>
      </w:pPr>
      <w:r>
        <w:rPr>
          <w:rFonts w:hint="eastAsia"/>
          <w:color w:val="auto"/>
          <w:szCs w:val="21"/>
          <w:highlight w:val="none"/>
        </w:rPr>
        <w:fldChar w:fldCharType="end"/>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bookmarkStart w:id="7" w:name="_Toc6208"/>
      <w:r/>
      <w:bookmarkStart w:id="8" w:name="_Toc29210"/>
      <w:r>
        <w:rPr>
          <w:rFonts w:hint="eastAsia" w:ascii="黑体" w:eastAsia="黑体"/>
          <w:color w:val="auto"/>
          <w:sz w:val="44"/>
          <w:szCs w:val="44"/>
          <w:highlight w:val="none"/>
        </w:rPr>
        <w:t xml:space="preserve">第一章  </w:t>
      </w:r>
      <w:bookmarkEnd w:id="1"/>
      <w:r>
        <w:rPr>
          <w:rFonts w:hint="eastAsia" w:ascii="黑体" w:eastAsia="黑体"/>
          <w:color w:val="auto"/>
          <w:sz w:val="44"/>
          <w:szCs w:val="44"/>
          <w:highlight w:val="none"/>
        </w:rPr>
        <w:t xml:space="preserve">投标邀请</w:t>
      </w:r>
      <w:bookmarkEnd w:id="7"/>
      <w:r/>
      <w:bookmarkEnd w:id="8"/>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连云港市公路事业发展中心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江苏鸿成工程项目管理有限公司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连云港市除雪除冰机械设备配置项目（饱和盐水制造机）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JSZC-320700-HCCG-G2026-0030</w:t>
      </w:r>
      <w:r>
        <w:rPr>
          <w:rFonts w:hint="eastAsia" w:ascii="宋体" w:hAnsi="宋体"/>
          <w:color w:val="auto"/>
          <w:sz w:val="24"/>
          <w:szCs w:val="24"/>
          <w:highlight w:val="none"/>
        </w:rPr>
        <w:t xml:space="preserve">〕)项目进行公开招标采购，欢迎符合条件的供应商投标。</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00" w:lineRule="exact"/>
        <w:rPr>
          <w:rFonts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连云港市除雪除冰机械设备配置项目（饱和盐水制造机）</w:t>
      </w:r>
      <w:r>
        <w:rPr>
          <w:rFonts w:ascii="宋体" w:hAnsi="宋体"/>
          <w:color w:val="auto"/>
          <w:sz w:val="24"/>
          <w:szCs w:val="24"/>
          <w:highlight w:val="none"/>
          <w:u w:val="single"/>
        </w:rPr>
        <w:t xml:space="preserve">)</w:t>
      </w:r>
      <w:r>
        <w:rPr>
          <w:rFonts w:hint="eastAsia" w:ascii="宋体" w:hAnsi="宋体"/>
          <w:color w:val="auto"/>
          <w:sz w:val="24"/>
          <w:szCs w:val="24"/>
          <w:highlight w:val="none"/>
        </w:rPr>
        <w:t xml:space="preserve"> 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0000ff"/>
          <w:sz w:val="24"/>
          <w:szCs w:val="24"/>
          <w:highlight w:val="none"/>
          <w:u w:val="single"/>
          <w:lang w:val="en-US" w:eastAsia="zh-CN"/>
        </w:rPr>
        <w:t xml:space="preserve">2026</w:t>
      </w:r>
      <w:r>
        <w:rPr>
          <w:rFonts w:ascii="宋体" w:hAnsi="宋体"/>
          <w:color w:val="0000ff"/>
          <w:sz w:val="24"/>
          <w:szCs w:val="24"/>
          <w:highlight w:val="none"/>
          <w:u w:val="single"/>
        </w:rPr>
        <w:t xml:space="preserve">年</w:t>
      </w:r>
      <w:r>
        <w:rPr>
          <w:rFonts w:hint="eastAsia" w:ascii="宋体" w:hAnsi="宋体"/>
          <w:color w:val="0000ff"/>
          <w:sz w:val="24"/>
          <w:szCs w:val="24"/>
          <w:highlight w:val="none"/>
          <w:u w:val="single"/>
          <w:lang w:val="en-US" w:eastAsia="zh-CN"/>
        </w:rPr>
        <w:t xml:space="preserve">8</w:t>
      </w:r>
      <w:r>
        <w:rPr>
          <w:rFonts w:hint="eastAsia" w:ascii="宋体" w:hAnsi="宋体"/>
          <w:bCs/>
          <w:color w:val="0000ff"/>
          <w:sz w:val="24"/>
          <w:szCs w:val="24"/>
          <w:highlight w:val="none"/>
          <w:u w:val="single"/>
        </w:rPr>
        <w:t xml:space="preserve">年 </w:t>
      </w:r>
      <w:r>
        <w:rPr>
          <w:rFonts w:hint="eastAsia" w:ascii="宋体" w:hAnsi="宋体"/>
          <w:bCs/>
          <w:color w:val="0000ff"/>
          <w:sz w:val="24"/>
          <w:szCs w:val="24"/>
          <w:highlight w:val="none"/>
          <w:u w:val="single"/>
          <w:lang w:val="en-US" w:eastAsia="zh-CN"/>
        </w:rPr>
        <w:t xml:space="preserve"> </w:t>
      </w:r>
      <w:r>
        <w:rPr>
          <w:rFonts w:hint="eastAsia" w:ascii="宋体" w:hAnsi="宋体"/>
          <w:bCs/>
          <w:color w:val="0000ff"/>
          <w:sz w:val="24"/>
          <w:szCs w:val="24"/>
          <w:highlight w:val="none"/>
          <w:u w:val="single"/>
        </w:rPr>
        <w:t xml:space="preserve"> 月</w:t>
      </w:r>
      <w:r>
        <w:rPr>
          <w:rFonts w:hint="eastAsia" w:ascii="宋体" w:hAnsi="宋体"/>
          <w:bCs/>
          <w:color w:val="0000ff"/>
          <w:sz w:val="24"/>
          <w:szCs w:val="24"/>
          <w:highlight w:val="none"/>
          <w:u w:val="single"/>
          <w:lang w:val="en-US" w:eastAsia="zh-CN"/>
        </w:rPr>
        <w:t xml:space="preserve">3</w:t>
      </w:r>
      <w:r>
        <w:rPr>
          <w:rFonts w:hint="eastAsia" w:ascii="宋体" w:hAnsi="宋体"/>
          <w:bCs/>
          <w:color w:val="0000ff"/>
          <w:sz w:val="24"/>
          <w:szCs w:val="24"/>
          <w:highlight w:val="none"/>
          <w:u w:val="single"/>
        </w:rPr>
        <w:t xml:space="preserve">日</w:t>
      </w:r>
      <w:r>
        <w:rPr>
          <w:rFonts w:hint="eastAsia" w:ascii="宋体" w:hAnsi="宋体"/>
          <w:bCs/>
          <w:color w:val="0000ff"/>
          <w:sz w:val="24"/>
          <w:szCs w:val="24"/>
          <w:highlight w:val="none"/>
          <w:u w:val="single"/>
          <w:lang w:val="en-US" w:eastAsia="zh-CN"/>
        </w:rPr>
        <w:t xml:space="preserve">09</w:t>
      </w:r>
      <w:r>
        <w:rPr>
          <w:rFonts w:hint="eastAsia" w:ascii="宋体" w:hAnsi="宋体"/>
          <w:bCs/>
          <w:color w:val="0000ff"/>
          <w:sz w:val="24"/>
          <w:szCs w:val="24"/>
          <w:highlight w:val="none"/>
          <w:u w:val="single"/>
        </w:rPr>
        <w:t xml:space="preserve">点</w:t>
      </w:r>
      <w:r>
        <w:rPr>
          <w:rFonts w:hint="eastAsia" w:ascii="宋体" w:hAnsi="宋体"/>
          <w:bCs/>
          <w:color w:val="0000ff"/>
          <w:sz w:val="24"/>
          <w:szCs w:val="24"/>
          <w:highlight w:val="none"/>
          <w:u w:val="single"/>
          <w:lang w:val="en-US" w:eastAsia="zh-CN"/>
        </w:rPr>
        <w:t xml:space="preserve">00</w:t>
      </w:r>
      <w:r>
        <w:rPr>
          <w:rFonts w:hint="eastAsia" w:ascii="宋体" w:hAnsi="宋体"/>
          <w:bCs/>
          <w:color w:val="0000ff"/>
          <w:sz w:val="24"/>
          <w:szCs w:val="24"/>
          <w:highlight w:val="none"/>
          <w:u w:val="single"/>
        </w:rPr>
        <w:t xml:space="preserve">分</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北京时间）前</w:t>
      </w:r>
      <w:r>
        <w:rPr>
          <w:rFonts w:hint="eastAsia" w:ascii="宋体" w:hAnsi="宋体"/>
          <w:bCs/>
          <w:color w:val="auto"/>
          <w:sz w:val="24"/>
          <w:szCs w:val="24"/>
          <w:highlight w:val="none"/>
          <w:lang w:eastAsia="zh-CN"/>
        </w:rPr>
        <w:t xml:space="preserve">上传</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6"/>
        <w:keepLines/>
        <w:keepNext/>
        <w:spacing w:before="156" w:after="156" w:line="400" w:lineRule="exact"/>
        <w:rPr>
          <w:b/>
          <w:bCs/>
          <w:color w:val="auto"/>
          <w:sz w:val="32"/>
          <w:szCs w:val="32"/>
          <w:highlight w:val="none"/>
        </w:rPr>
        <w:outlineLvl w:val="0"/>
      </w:pPr>
      <w:r/>
      <w:bookmarkStart w:id="9" w:name="_Toc21278"/>
      <w:r/>
      <w:bookmarkStart w:id="10" w:name="_Toc28359002"/>
      <w:r/>
      <w:bookmarkStart w:id="11" w:name="_Toc38985263"/>
      <w:r/>
      <w:bookmarkStart w:id="12" w:name="_Toc35393790"/>
      <w:r/>
      <w:bookmarkStart w:id="13" w:name="_Toc35393621"/>
      <w:r/>
      <w:bookmarkStart w:id="14" w:name="_Toc28359079"/>
      <w:r/>
      <w:bookmarkStart w:id="15" w:name="_Hlk24379207"/>
      <w:r>
        <w:rPr>
          <w:rFonts w:hint="eastAsia"/>
          <w:b/>
          <w:bCs/>
          <w:color w:val="auto"/>
          <w:sz w:val="32"/>
          <w:szCs w:val="32"/>
          <w:highlight w:val="none"/>
        </w:rPr>
        <w:t xml:space="preserve">一、项目基本情况</w:t>
      </w:r>
      <w:bookmarkEnd w:id="9"/>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JSZC-320700-HCCG-G2026-0030</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连云港市除雪除冰机械设备配置项目（饱和盐水制造机）</w:t>
      </w:r>
      <w:bookmarkEnd w:id="15"/>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3.预算金额</w:t>
      </w:r>
      <w:r/>
    </w:p>
    <w:tbl>
      <w:tblPr>
        <w:tblStyle w:val="687"/>
        <w:tblW w:w="0" w:type="auto"/>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5641"/>
      </w:tblGrid>
      <w:tr>
        <w:trPr/>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包号</w:t>
            </w:r>
            <w:r/>
          </w:p>
        </w:tc>
        <w:tc>
          <w:tcPr>
            <w:tcW w:w="56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（人民币：万元）</w:t>
            </w:r>
            <w:r/>
          </w:p>
        </w:tc>
      </w:tr>
      <w:tr>
        <w:trPr/>
        <w:tc>
          <w:tcPr>
            <w:tcW w:w="113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564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260</w:t>
            </w:r>
            <w:r/>
          </w:p>
        </w:tc>
      </w:tr>
    </w:tbl>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4.最高</w:t>
      </w:r>
      <w:r>
        <w:rPr>
          <w:rFonts w:ascii="宋体" w:hAnsi="宋体"/>
          <w:color w:val="auto"/>
          <w:sz w:val="24"/>
          <w:szCs w:val="24"/>
          <w:highlight w:val="none"/>
        </w:rPr>
        <w:t xml:space="preserve">限价</w:t>
      </w:r>
      <w:r/>
    </w:p>
    <w:tbl>
      <w:tblPr>
        <w:tblStyle w:val="687"/>
        <w:tblW w:w="6766"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617"/>
        <w:gridCol w:w="3016"/>
      </w:tblGrid>
      <w:tr>
        <w:trPr>
          <w:trHeight w:val="0"/>
          <w:tblHeader/>
        </w:trPr>
        <w:tc>
          <w:tcPr>
            <w:tcW w:w="113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p>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包号</w:t>
            </w:r>
            <w:r/>
          </w:p>
        </w:tc>
        <w:tc>
          <w:tcPr>
            <w:tcW w:w="26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是否设定最高限价（是/否）</w:t>
            </w:r>
            <w:r/>
          </w:p>
        </w:tc>
        <w:tc>
          <w:tcPr>
            <w:tcW w:w="301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最高限价（人民币：万元）</w:t>
            </w:r>
            <w:r/>
          </w:p>
        </w:tc>
      </w:tr>
      <w:tr>
        <w:trPr>
          <w:trHeight w:val="634"/>
        </w:trPr>
        <w:tc>
          <w:tcPr>
            <w:tcW w:w="113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是</w:t>
            </w:r>
            <w:r/>
          </w:p>
        </w:tc>
        <w:tc>
          <w:tcPr>
            <w:tcW w:w="301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260</w:t>
            </w:r>
            <w:r/>
          </w:p>
        </w:tc>
      </w:tr>
    </w:tbl>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拟采购饱和盐水制造机2台</w:t>
      </w:r>
      <w:r>
        <w:rPr>
          <w:rFonts w:hint="eastAsia" w:ascii="宋体" w:hAnsi="宋体"/>
          <w:color w:val="auto"/>
          <w:sz w:val="24"/>
          <w:szCs w:val="24"/>
          <w:highlight w:val="none"/>
        </w:rPr>
        <w:t xml:space="preserve">，具体要求详见第四章采购需求</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b/>
          <w:bCs/>
          <w:color w:val="auto"/>
          <w:sz w:val="24"/>
          <w:szCs w:val="24"/>
          <w:highlight w:val="none"/>
          <w:lang w:eastAsia="zh-CN"/>
        </w:rPr>
      </w:pPr>
      <w:r>
        <w:rPr>
          <w:rFonts w:hint="eastAsia" w:ascii="宋体" w:hAnsi="宋体"/>
          <w:b/>
          <w:bCs/>
          <w:color w:val="auto"/>
          <w:sz w:val="24"/>
          <w:szCs w:val="24"/>
          <w:highlight w:val="none"/>
        </w:rPr>
        <w:t xml:space="preserve">对项目采购需求部分的询问、质疑请与采购人联系，由采购人负责答复</w:t>
      </w:r>
      <w:r>
        <w:rPr>
          <w:rFonts w:hint="eastAsia" w:ascii="宋体" w:hAnsi="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6.合同履行期限：合同签订后</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天完成</w:t>
      </w:r>
      <w:r>
        <w:rPr>
          <w:rFonts w:hint="eastAsia" w:ascii="宋体" w:hAnsi="宋体"/>
          <w:color w:val="auto"/>
          <w:sz w:val="24"/>
          <w:szCs w:val="24"/>
          <w:highlight w:val="none"/>
          <w:lang w:val="en-US" w:eastAsia="zh-CN"/>
        </w:rPr>
        <w:t xml:space="preserve">供货、</w:t>
      </w:r>
      <w:r>
        <w:rPr>
          <w:rFonts w:hint="eastAsia" w:ascii="宋体" w:hAnsi="宋体"/>
          <w:color w:val="auto"/>
          <w:sz w:val="24"/>
          <w:szCs w:val="24"/>
          <w:highlight w:val="none"/>
        </w:rPr>
        <w:t xml:space="preserve">安装调试，</w:t>
      </w:r>
      <w:r>
        <w:rPr>
          <w:rFonts w:hint="eastAsia" w:ascii="宋体" w:hAnsi="宋体"/>
          <w:color w:val="auto"/>
          <w:sz w:val="24"/>
          <w:szCs w:val="24"/>
          <w:highlight w:val="none"/>
          <w:lang w:val="en-US" w:eastAsia="zh-CN"/>
        </w:rPr>
        <w:t xml:space="preserve">并交付正常使用（质保期为设备运抵采购人项目现场并调试验收合格后三年）。</w:t>
      </w:r>
      <w:r/>
    </w:p>
    <w:p>
      <w:pPr>
        <w:ind w:firstLine="496"/>
        <w:keepLines/>
        <w:keepNext/>
        <w:pageBreakBefore w:val="0"/>
        <w:spacing w:line="360" w:lineRule="auto"/>
        <w:rPr>
          <w:b/>
          <w:bCs/>
          <w:color w:val="auto"/>
          <w:sz w:val="32"/>
          <w:szCs w:val="32"/>
          <w:highlight w:val="none"/>
        </w:rPr>
        <w:outlineLvl w:val="0"/>
      </w:pPr>
      <w:r/>
      <w:bookmarkStart w:id="16" w:name="_Toc28359080"/>
      <w:r/>
      <w:bookmarkStart w:id="17" w:name="_Toc35393791"/>
      <w:r/>
      <w:bookmarkStart w:id="18" w:name="_Toc35393622"/>
      <w:r/>
      <w:bookmarkStart w:id="19" w:name="_Toc10775"/>
      <w:r/>
      <w:bookmarkStart w:id="20" w:name="_Toc38985264"/>
      <w:r/>
      <w:bookmarkStart w:id="21" w:name="_Toc28359003"/>
      <w:r>
        <w:rPr>
          <w:rFonts w:hint="eastAsia"/>
          <w:b/>
          <w:bCs/>
          <w:color w:val="auto"/>
          <w:sz w:val="32"/>
          <w:szCs w:val="32"/>
          <w:highlight w:val="none"/>
        </w:rPr>
        <w:t xml:space="preserve">二、申请人的资格要求</w:t>
      </w:r>
      <w:bookmarkEnd w:id="16"/>
      <w:r/>
      <w:bookmarkEnd w:id="17"/>
      <w:r/>
      <w:bookmarkEnd w:id="18"/>
      <w:r/>
      <w:bookmarkEnd w:id="19"/>
      <w:r/>
      <w:bookmarkEnd w:id="20"/>
      <w:r/>
      <w:bookmarkEnd w:id="21"/>
      <w:r/>
      <w:r/>
    </w:p>
    <w:p>
      <w:pPr>
        <w:ind w:firstLine="560"/>
        <w:pageBreakBefore w:val="0"/>
        <w:spacing w:line="360" w:lineRule="auto"/>
        <w:rPr>
          <w:rFonts w:hint="eastAsia" w:ascii="宋体" w:hAnsi="宋体"/>
          <w:color w:val="auto"/>
          <w:sz w:val="28"/>
          <w:szCs w:val="28"/>
          <w:highlight w:val="none"/>
        </w:rPr>
        <w:outlineLvl w:val="1"/>
      </w:pPr>
      <w:r/>
      <w:bookmarkStart w:id="22" w:name="_Toc35393623"/>
      <w:r/>
      <w:bookmarkStart w:id="23" w:name="_Toc38985265"/>
      <w:r/>
      <w:bookmarkStart w:id="24" w:name="_Toc35393792"/>
      <w:r/>
      <w:bookmarkStart w:id="25" w:name="_Toc28359004"/>
      <w:r/>
      <w:bookmarkStart w:id="26" w:name="_Toc28359081"/>
      <w:r>
        <w:rPr>
          <w:rFonts w:hint="eastAsia" w:ascii="宋体" w:hAnsi="宋体"/>
          <w:color w:val="auto"/>
          <w:sz w:val="28"/>
          <w:szCs w:val="28"/>
          <w:highlight w:val="none"/>
        </w:rPr>
        <w:t xml:space="preserve">（一</w:t>
      </w:r>
      <w:r>
        <w:rPr>
          <w:rFonts w:ascii="宋体" w:hAnsi="宋体"/>
          <w:color w:val="auto"/>
          <w:sz w:val="28"/>
          <w:szCs w:val="28"/>
          <w:highlight w:val="none"/>
        </w:rPr>
        <w:t xml:space="preserve">）</w:t>
      </w:r>
      <w:r>
        <w:rPr>
          <w:rFonts w:hint="eastAsia" w:ascii="宋体" w:hAnsi="宋体"/>
          <w:color w:val="auto"/>
          <w:sz w:val="28"/>
          <w:szCs w:val="28"/>
          <w:highlight w:val="none"/>
        </w:rPr>
        <w:t xml:space="preserve">通用</w:t>
      </w:r>
      <w:r>
        <w:rPr>
          <w:rFonts w:ascii="宋体" w:hAnsi="宋体"/>
          <w:color w:val="auto"/>
          <w:sz w:val="28"/>
          <w:szCs w:val="28"/>
          <w:highlight w:val="none"/>
        </w:rPr>
        <w:t xml:space="preserve">资格要求</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rPr>
          <w:rFonts w:hint="eastAsia" w:ascii="宋体" w:hAnsi="宋体"/>
          <w:color w:val="auto"/>
          <w:sz w:val="24"/>
          <w:szCs w:val="24"/>
          <w:highlight w:val="none"/>
          <w:lang w:eastAsia="zh-CN"/>
        </w:rPr>
        <w:t xml:space="preserve">及证明材料</w:t>
      </w:r>
      <w:r>
        <w:rPr>
          <w:rFonts w:hint="eastAsia" w:ascii="宋体" w:hAnsi="宋体"/>
          <w:color w:val="auto"/>
          <w:sz w:val="24"/>
          <w:szCs w:val="24"/>
          <w:highlight w:val="none"/>
        </w:rPr>
        <w:t xml:space="preserve">；</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根据连财购〔2023〕4号、连财购（2023）9号文件精神，</w:t>
      </w:r>
      <w:r>
        <w:rPr>
          <w:rFonts w:hint="eastAsia" w:ascii="宋体" w:hAnsi="宋体"/>
          <w:b/>
          <w:bCs/>
          <w:color w:val="auto"/>
          <w:sz w:val="24"/>
          <w:szCs w:val="24"/>
          <w:highlight w:val="none"/>
          <w:lang w:val="en-US" w:eastAsia="zh-CN"/>
        </w:rPr>
        <w:t xml:space="preserve">第1.2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1.3</w:t>
      </w:r>
      <w:r>
        <w:rPr>
          <w:rFonts w:hint="eastAsia" w:ascii="宋体" w:hAnsi="宋体"/>
          <w:b/>
          <w:bCs/>
          <w:color w:val="auto"/>
          <w:sz w:val="24"/>
          <w:szCs w:val="24"/>
          <w:highlight w:val="none"/>
        </w:rPr>
        <w:t xml:space="preserve">项可以提供《财务状况报告及税收、社会保障资金缴纳情况承诺函》，不再要求投标人提供相关财务状况、缴纳税收和社会保障资金等证明材料，具体格式详见招标文件第六章投标文件格式。</w:t>
      </w:r>
      <w:r/>
    </w:p>
    <w:p>
      <w:pPr>
        <w:ind w:firstLine="480"/>
        <w:pageBreakBefore w:val="0"/>
        <w:spacing w:line="360" w:lineRule="auto"/>
        <w:rPr>
          <w:rFonts w:hint="eastAsia" w:ascii="华文新魏" w:hAnsi="宋体" w:eastAsia="华文新魏"/>
          <w:color w:val="auto"/>
          <w:sz w:val="24"/>
          <w:szCs w:val="24"/>
          <w:highlight w:val="none"/>
        </w:rPr>
      </w:pPr>
      <w:r>
        <w:rPr>
          <w:rFonts w:hint="eastAsia" w:ascii="宋体" w:hAnsi="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3.落实政府采购政策需满足的资格要求：</w:t>
      </w:r>
      <w:r>
        <w:rPr>
          <w:rFonts w:hint="eastAsia" w:ascii="宋体" w:hAnsi="宋体"/>
          <w:b/>
          <w:bCs/>
          <w:color w:val="auto"/>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b/>
          <w:bCs/>
          <w:color w:val="auto"/>
          <w:sz w:val="24"/>
          <w:szCs w:val="24"/>
          <w:highlight w:val="none"/>
          <w:lang w:eastAsia="zh-CN"/>
        </w:rPr>
        <w:t xml:space="preserve">。</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4.联合</w:t>
      </w:r>
      <w:r>
        <w:rPr>
          <w:rFonts w:ascii="宋体" w:hAnsi="宋体"/>
          <w:color w:val="auto"/>
          <w:sz w:val="24"/>
          <w:szCs w:val="24"/>
          <w:highlight w:val="none"/>
        </w:rPr>
        <w:t xml:space="preserve">体投标</w:t>
      </w:r>
      <w:r/>
    </w:p>
    <w:tbl>
      <w:tblPr>
        <w:tblStyle w:val="68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2774"/>
        <w:gridCol w:w="2967"/>
      </w:tblGrid>
      <w:tr>
        <w:trPr/>
        <w:tc>
          <w:tcPr>
            <w:tcW w:w="13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w:t>
            </w:r>
            <w:r/>
          </w:p>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包号</w:t>
            </w:r>
            <w:r/>
          </w:p>
        </w:tc>
        <w:tc>
          <w:tcPr>
            <w:tcW w:w="2774"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是否接受联合体</w:t>
            </w:r>
            <w:r>
              <w:rPr>
                <w:rFonts w:ascii="宋体" w:hAnsi="宋体"/>
                <w:color w:val="auto"/>
                <w:sz w:val="24"/>
                <w:szCs w:val="24"/>
                <w:highlight w:val="none"/>
              </w:rPr>
              <w:t xml:space="preserve">投标</w:t>
            </w:r>
            <w:r/>
          </w:p>
          <w:p>
            <w:pPr>
              <w:jc w:val="center"/>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是/否</w:t>
            </w:r>
            <w:r>
              <w:rPr>
                <w:rFonts w:ascii="宋体" w:hAnsi="宋体"/>
                <w:color w:val="auto"/>
                <w:sz w:val="24"/>
                <w:szCs w:val="24"/>
                <w:highlight w:val="none"/>
              </w:rPr>
              <w:t xml:space="preserve">）</w:t>
            </w:r>
            <w:r/>
          </w:p>
        </w:tc>
        <w:tc>
          <w:tcPr>
            <w:tcW w:w="2967"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该采购包中</w:t>
            </w:r>
            <w:r>
              <w:rPr>
                <w:rFonts w:ascii="宋体" w:hAnsi="宋体"/>
                <w:color w:val="auto"/>
                <w:sz w:val="24"/>
                <w:szCs w:val="24"/>
                <w:highlight w:val="none"/>
              </w:rPr>
              <w:t xml:space="preserve">联合体成员数量</w:t>
            </w:r>
            <w:r>
              <w:rPr>
                <w:rFonts w:hint="eastAsia" w:ascii="宋体" w:hAnsi="宋体"/>
                <w:color w:val="auto"/>
                <w:sz w:val="24"/>
                <w:szCs w:val="24"/>
                <w:highlight w:val="none"/>
              </w:rPr>
              <w:t xml:space="preserve">上限</w:t>
            </w:r>
            <w:r/>
          </w:p>
        </w:tc>
      </w:tr>
      <w:tr>
        <w:trPr/>
        <w:tc>
          <w:tcPr>
            <w:tcW w:w="13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774"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否</w:t>
            </w:r>
            <w:r/>
          </w:p>
        </w:tc>
        <w:tc>
          <w:tcPr>
            <w:tcW w:w="2967"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w:t>
            </w:r>
            <w:r/>
          </w:p>
        </w:tc>
      </w:tr>
    </w:tbl>
    <w:p>
      <w:pPr>
        <w:ind w:firstLine="560"/>
        <w:pageBreakBefore w:val="0"/>
        <w:spacing w:line="360" w:lineRule="auto"/>
        <w:rPr>
          <w:rFonts w:ascii="宋体" w:hAnsi="宋体"/>
          <w:color w:val="auto"/>
          <w:sz w:val="28"/>
          <w:szCs w:val="28"/>
          <w:highlight w:val="none"/>
        </w:rPr>
        <w:outlineLvl w:val="1"/>
      </w:pPr>
      <w:r>
        <w:rPr>
          <w:rFonts w:hint="eastAsia" w:ascii="宋体" w:hAnsi="宋体"/>
          <w:color w:val="auto"/>
          <w:sz w:val="28"/>
          <w:szCs w:val="28"/>
          <w:highlight w:val="none"/>
        </w:rPr>
        <w:t xml:space="preserve">（二）本项目的特定资格要求</w:t>
      </w:r>
      <w:r/>
    </w:p>
    <w:tbl>
      <w:tblPr>
        <w:tblStyle w:val="68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2"/>
        <w:gridCol w:w="5427"/>
      </w:tblGrid>
      <w:tr>
        <w:trPr/>
        <w:tc>
          <w:tcPr>
            <w:tcW w:w="164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c>
        <w:tc>
          <w:tcPr>
            <w:tcW w:w="5427"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特定</w:t>
            </w:r>
            <w:r>
              <w:rPr>
                <w:rFonts w:ascii="宋体" w:hAnsi="宋体"/>
                <w:color w:val="auto"/>
                <w:sz w:val="24"/>
                <w:szCs w:val="24"/>
                <w:highlight w:val="none"/>
              </w:rPr>
              <w:t xml:space="preserve">资格要求</w:t>
            </w:r>
            <w:r/>
          </w:p>
        </w:tc>
      </w:tr>
      <w:tr>
        <w:trPr/>
        <w:tc>
          <w:tcPr>
            <w:tcW w:w="1642" w:type="dxa"/>
            <w:vAlign w:val="top"/>
            <w:textDirection w:val="lrTb"/>
            <w:noWrap w:val="false"/>
          </w:tcPr>
          <w:p>
            <w:pPr>
              <w:jc w:val="cente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5427" w:type="dxa"/>
            <w:vAlign w:val="top"/>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无</w:t>
            </w:r>
            <w:r/>
          </w:p>
        </w:tc>
      </w:tr>
    </w:tbl>
    <w:p>
      <w:pPr>
        <w:ind w:firstLine="496"/>
        <w:keepLines/>
        <w:keepNext/>
        <w:pageBreakBefore w:val="0"/>
        <w:spacing w:line="360" w:lineRule="auto"/>
        <w:rPr>
          <w:b/>
          <w:bCs/>
          <w:color w:val="auto"/>
          <w:sz w:val="32"/>
          <w:szCs w:val="32"/>
          <w:highlight w:val="none"/>
        </w:rPr>
        <w:outlineLvl w:val="0"/>
      </w:pPr>
      <w:r/>
      <w:bookmarkStart w:id="27" w:name="_Toc24208"/>
      <w:r>
        <w:rPr>
          <w:rFonts w:hint="eastAsia"/>
          <w:b/>
          <w:bCs/>
          <w:color w:val="auto"/>
          <w:sz w:val="32"/>
          <w:szCs w:val="32"/>
          <w:highlight w:val="none"/>
        </w:rPr>
        <w:t xml:space="preserve">三、获取招标文件</w:t>
      </w:r>
      <w:bookmarkEnd w:id="27"/>
      <w:r/>
      <w:r/>
    </w:p>
    <w:p>
      <w:pPr>
        <w:ind w:firstLine="480"/>
        <w:pageBreakBefore w:val="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1.时间：自招标文件公告发布之日起5个工作日。</w:t>
      </w:r>
      <w:r/>
    </w:p>
    <w:p>
      <w:pPr>
        <w:ind w:firstLine="480"/>
        <w:keepLines w:val="0"/>
        <w:keepNext w:val="0"/>
        <w:pageBreakBefore w:val="0"/>
        <w:spacing w:line="36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2.方式：在“江苏政府采购网”自行免费下载招标文件</w:t>
      </w:r>
      <w:bookmarkEnd w:id="22"/>
      <w:r/>
      <w:bookmarkEnd w:id="23"/>
      <w:r/>
      <w:bookmarkEnd w:id="24"/>
      <w:r/>
      <w:bookmarkEnd w:id="25"/>
      <w:r/>
      <w:bookmarkEnd w:id="26"/>
      <w:r/>
      <w:r/>
    </w:p>
    <w:p>
      <w:pPr>
        <w:ind w:firstLine="496"/>
        <w:keepLines/>
        <w:keepNext/>
        <w:pageBreakBefore w:val="0"/>
        <w:spacing w:line="360" w:lineRule="auto"/>
        <w:rPr>
          <w:b/>
          <w:bCs/>
          <w:color w:val="auto"/>
          <w:sz w:val="32"/>
          <w:szCs w:val="32"/>
          <w:highlight w:val="none"/>
        </w:rPr>
        <w:outlineLvl w:val="0"/>
      </w:pPr>
      <w:r/>
      <w:bookmarkStart w:id="28" w:name="_Toc28359082"/>
      <w:r/>
      <w:bookmarkStart w:id="29" w:name="_Toc28359005"/>
      <w:r/>
      <w:bookmarkStart w:id="30" w:name="_Toc35393793"/>
      <w:r/>
      <w:bookmarkStart w:id="31" w:name="_Toc38985266"/>
      <w:r/>
      <w:bookmarkStart w:id="32" w:name="_Toc24226"/>
      <w:r/>
      <w:bookmarkStart w:id="33" w:name="_Toc35393624"/>
      <w:r>
        <w:rPr>
          <w:rFonts w:hint="eastAsia"/>
          <w:b/>
          <w:bCs/>
          <w:color w:val="auto"/>
          <w:sz w:val="32"/>
          <w:szCs w:val="32"/>
          <w:highlight w:val="none"/>
        </w:rPr>
        <w:t xml:space="preserve">四、提交投标文件</w:t>
      </w:r>
      <w:bookmarkEnd w:id="28"/>
      <w:r/>
      <w:bookmarkEnd w:id="29"/>
      <w:r>
        <w:rPr>
          <w:rFonts w:hint="eastAsia"/>
          <w:b/>
          <w:bCs/>
          <w:color w:val="auto"/>
          <w:sz w:val="32"/>
          <w:szCs w:val="32"/>
          <w:highlight w:val="none"/>
        </w:rPr>
        <w:t xml:space="preserve">截止时间、开标时间和地点</w:t>
      </w:r>
      <w:bookmarkEnd w:id="30"/>
      <w:r/>
      <w:bookmarkEnd w:id="31"/>
      <w:r/>
      <w:bookmarkEnd w:id="32"/>
      <w:r/>
      <w:bookmarkEnd w:id="33"/>
      <w:r/>
      <w:r/>
    </w:p>
    <w:p>
      <w:pPr>
        <w:ind w:firstLine="480"/>
        <w:pageBreakBefore w:val="0"/>
        <w:spacing w:line="360" w:lineRule="auto"/>
        <w:rPr>
          <w:rFonts w:hint="eastAsia" w:ascii="宋体" w:hAnsi="宋体"/>
          <w:bCs/>
          <w:color w:val="0000ff"/>
          <w:sz w:val="24"/>
          <w:szCs w:val="24"/>
          <w:highlight w:val="none"/>
        </w:rPr>
      </w:pPr>
      <w:r>
        <w:rPr>
          <w:rFonts w:hint="eastAsia" w:ascii="宋体" w:hAnsi="宋体"/>
          <w:bCs/>
          <w:color w:val="0000ff"/>
          <w:sz w:val="24"/>
          <w:szCs w:val="24"/>
          <w:highlight w:val="none"/>
        </w:rPr>
        <w:t xml:space="preserve">1.</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u w:val="single"/>
          <w:lang w:val="en-US" w:eastAsia="zh-CN"/>
        </w:rPr>
        <w:t xml:space="preserve">2026</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rPr>
        <w:t xml:space="preserve">年</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u w:val="single"/>
          <w:lang w:val="en-US" w:eastAsia="zh-CN"/>
        </w:rPr>
        <w:t xml:space="preserve">8 </w:t>
      </w:r>
      <w:r>
        <w:rPr>
          <w:rFonts w:hint="eastAsia" w:ascii="宋体" w:hAnsi="宋体"/>
          <w:bCs/>
          <w:color w:val="0000ff"/>
          <w:sz w:val="24"/>
          <w:szCs w:val="24"/>
          <w:highlight w:val="none"/>
        </w:rPr>
        <w:t xml:space="preserve">月</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u w:val="single"/>
          <w:lang w:val="en-US" w:eastAsia="zh-CN"/>
        </w:rPr>
        <w:t xml:space="preserve">3 </w:t>
      </w:r>
      <w:r>
        <w:rPr>
          <w:rFonts w:hint="eastAsia" w:ascii="宋体" w:hAnsi="宋体"/>
          <w:bCs/>
          <w:color w:val="0000ff"/>
          <w:sz w:val="24"/>
          <w:szCs w:val="24"/>
          <w:highlight w:val="none"/>
        </w:rPr>
        <w:t xml:space="preserve">日</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u w:val="single"/>
          <w:lang w:val="en-US" w:eastAsia="zh-CN"/>
        </w:rPr>
        <w:t xml:space="preserve">09</w:t>
      </w:r>
      <w:r>
        <w:rPr>
          <w:rFonts w:hint="eastAsia" w:ascii="宋体" w:hAnsi="宋体"/>
          <w:bCs/>
          <w:color w:val="0000ff"/>
          <w:sz w:val="24"/>
          <w:szCs w:val="24"/>
          <w:highlight w:val="none"/>
        </w:rPr>
        <w:t xml:space="preserve">点</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u w:val="single"/>
          <w:lang w:val="en-US" w:eastAsia="zh-CN"/>
        </w:rPr>
        <w:t xml:space="preserve">00</w:t>
      </w:r>
      <w:r>
        <w:rPr>
          <w:rFonts w:hint="eastAsia" w:ascii="宋体" w:hAnsi="宋体"/>
          <w:bCs/>
          <w:color w:val="0000ff"/>
          <w:sz w:val="24"/>
          <w:szCs w:val="24"/>
          <w:highlight w:val="none"/>
          <w:u w:val="single"/>
        </w:rPr>
        <w:t xml:space="preserve"> </w:t>
      </w:r>
      <w:r>
        <w:rPr>
          <w:rFonts w:hint="eastAsia" w:ascii="宋体" w:hAnsi="宋体"/>
          <w:bCs/>
          <w:color w:val="0000ff"/>
          <w:sz w:val="24"/>
          <w:szCs w:val="24"/>
          <w:highlight w:val="none"/>
        </w:rPr>
        <w:t xml:space="preserve">分（北京时间）。</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2.地点：“苏采云”政府采购交易系统。</w:t>
      </w:r>
      <w:r/>
    </w:p>
    <w:p>
      <w:pPr>
        <w:ind w:firstLine="496"/>
        <w:keepLines/>
        <w:keepNext/>
        <w:pageBreakBefore w:val="0"/>
        <w:spacing w:line="360" w:lineRule="auto"/>
        <w:rPr>
          <w:b/>
          <w:bCs/>
          <w:color w:val="auto"/>
          <w:sz w:val="32"/>
          <w:szCs w:val="32"/>
          <w:highlight w:val="none"/>
        </w:rPr>
        <w:outlineLvl w:val="0"/>
      </w:pPr>
      <w:r/>
      <w:bookmarkStart w:id="34" w:name="_Toc38985267"/>
      <w:r/>
      <w:bookmarkStart w:id="35" w:name="_Toc28359007"/>
      <w:r/>
      <w:bookmarkStart w:id="36" w:name="_Toc26857"/>
      <w:r/>
      <w:bookmarkStart w:id="37" w:name="_Toc35393794"/>
      <w:r/>
      <w:bookmarkStart w:id="38" w:name="_Toc35393625"/>
      <w:r/>
      <w:bookmarkStart w:id="39" w:name="_Toc28359084"/>
      <w:r>
        <w:rPr>
          <w:rFonts w:hint="eastAsia"/>
          <w:b/>
          <w:bCs/>
          <w:color w:val="auto"/>
          <w:sz w:val="32"/>
          <w:szCs w:val="32"/>
          <w:highlight w:val="none"/>
        </w:rPr>
        <w:t xml:space="preserve">五、公告期限</w:t>
      </w:r>
      <w:bookmarkEnd w:id="34"/>
      <w:r/>
      <w:bookmarkEnd w:id="35"/>
      <w:r/>
      <w:bookmarkEnd w:id="36"/>
      <w:r/>
      <w:bookmarkEnd w:id="37"/>
      <w:r/>
      <w:bookmarkEnd w:id="38"/>
      <w:r/>
      <w:bookmarkEnd w:id="39"/>
      <w:r/>
      <w:r/>
    </w:p>
    <w:p>
      <w:pPr>
        <w:ind w:firstLine="48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招标公告及招标文件公告期限为自本公告发布之日起5个工作日。</w:t>
      </w:r>
      <w:r/>
    </w:p>
    <w:p>
      <w:pPr>
        <w:ind w:firstLine="496"/>
        <w:keepLines/>
        <w:keepNext/>
        <w:pageBreakBefore w:val="0"/>
        <w:spacing w:line="360" w:lineRule="auto"/>
        <w:rPr>
          <w:b/>
          <w:bCs/>
          <w:color w:val="auto"/>
          <w:sz w:val="32"/>
          <w:szCs w:val="32"/>
          <w:highlight w:val="none"/>
        </w:rPr>
        <w:outlineLvl w:val="0"/>
      </w:pPr>
      <w:r/>
      <w:bookmarkStart w:id="40" w:name="_Toc16846"/>
      <w:r/>
      <w:bookmarkStart w:id="41" w:name="_Toc35393626"/>
      <w:r/>
      <w:bookmarkStart w:id="42" w:name="_Toc38985268"/>
      <w:r/>
      <w:bookmarkStart w:id="43" w:name="_Toc35393795"/>
      <w:r>
        <w:rPr>
          <w:rFonts w:hint="eastAsia"/>
          <w:b/>
          <w:bCs/>
          <w:color w:val="auto"/>
          <w:sz w:val="32"/>
          <w:szCs w:val="32"/>
          <w:highlight w:val="none"/>
        </w:rPr>
        <w:t xml:space="preserve">六、其他补充事宜</w:t>
      </w:r>
      <w:bookmarkEnd w:id="40"/>
      <w:r/>
      <w:bookmarkEnd w:id="41"/>
      <w:r/>
      <w:bookmarkEnd w:id="42"/>
      <w:r/>
      <w:bookmarkEnd w:id="43"/>
      <w:r/>
      <w:r/>
    </w:p>
    <w:p>
      <w:pPr>
        <w:ind w:firstLine="480"/>
        <w:spacing w:line="360" w:lineRule="auto"/>
        <w:rPr>
          <w:rFonts w:ascii="宋体" w:hAnsi="宋体" w:cs="宋体"/>
          <w:color w:val="auto"/>
          <w:sz w:val="24"/>
          <w:szCs w:val="24"/>
          <w:highlight w:val="none"/>
        </w:rPr>
      </w:pPr>
      <w:r/>
      <w:bookmarkStart w:id="44" w:name="_Toc38985269"/>
      <w:r/>
      <w:bookmarkStart w:id="45" w:name="_Toc35393627"/>
      <w:r/>
      <w:bookmarkStart w:id="46" w:name="_Toc19036"/>
      <w:r/>
      <w:bookmarkStart w:id="47" w:name="_Toc28359008"/>
      <w:r/>
      <w:bookmarkStart w:id="48" w:name="_Toc35393796"/>
      <w:r/>
      <w:bookmarkStart w:id="49" w:name="_Toc28359085"/>
      <w:r>
        <w:rPr>
          <w:rFonts w:hint="eastAsia" w:ascii="宋体" w:hAnsi="宋体" w:cs="宋体"/>
          <w:color w:val="auto"/>
          <w:sz w:val="24"/>
          <w:szCs w:val="24"/>
          <w:highlight w:val="none"/>
        </w:rPr>
        <w:t xml:space="preserve">1.本招标文件中标注</w:t>
      </w:r>
      <w:r>
        <w:rPr>
          <w:rFonts w:hint="eastAsia" w:ascii="宋体" w:hAnsi="宋体" w:cs="宋体"/>
          <w:b/>
          <w:bCs/>
          <w:i/>
          <w:iCs/>
          <w:color w:val="auto"/>
          <w:sz w:val="24"/>
          <w:szCs w:val="24"/>
          <w:highlight w:val="none"/>
          <w:u w:val="single"/>
        </w:rPr>
        <w:t xml:space="preserve">斜体且有下划线部分</w:t>
      </w:r>
      <w:r>
        <w:rPr>
          <w:rFonts w:hint="eastAsia" w:ascii="宋体" w:hAnsi="宋体" w:cs="宋体"/>
          <w:color w:val="auto"/>
          <w:sz w:val="24"/>
          <w:szCs w:val="24"/>
          <w:highlight w:val="none"/>
        </w:rPr>
        <w:t xml:space="preserve">的款项为实质性响应要求和条件，如不满足将按无效响应处理。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color w:val="auto"/>
          <w:sz w:val="24"/>
          <w:szCs w:val="24"/>
          <w:highlight w:val="none"/>
        </w:rPr>
        <w:t xml:space="preserve">江苏政府采购网</w:t>
      </w:r>
      <w:r>
        <w:rPr>
          <w:rFonts w:hint="eastAsia" w:ascii="宋体" w:hAnsi="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6"/>
        <w:keepLines/>
        <w:keepNext/>
        <w:pageBreakBefore w:val="0"/>
        <w:spacing w:line="360" w:lineRule="auto"/>
        <w:rPr>
          <w:b/>
          <w:bCs/>
          <w:color w:val="auto"/>
          <w:sz w:val="32"/>
          <w:szCs w:val="32"/>
          <w:highlight w:val="none"/>
        </w:rPr>
        <w:outlineLvl w:val="0"/>
      </w:pPr>
      <w:r>
        <w:rPr>
          <w:rFonts w:hint="eastAsia"/>
          <w:b/>
          <w:bCs/>
          <w:color w:val="auto"/>
          <w:sz w:val="32"/>
          <w:szCs w:val="32"/>
          <w:highlight w:val="none"/>
        </w:rPr>
        <w:t xml:space="preserve">七、本次招标联系方式</w:t>
      </w:r>
      <w:bookmarkEnd w:id="44"/>
      <w:r/>
      <w:bookmarkEnd w:id="45"/>
      <w:r/>
      <w:bookmarkEnd w:id="46"/>
      <w:r/>
      <w:bookmarkEnd w:id="47"/>
      <w:r/>
      <w:bookmarkEnd w:id="48"/>
      <w:r/>
      <w:bookmarkEnd w:id="49"/>
      <w:r/>
      <w:r/>
    </w:p>
    <w:p>
      <w:pPr>
        <w:jc w:val="left"/>
        <w:pageBreakBefore w:val="0"/>
        <w:spacing w:line="360" w:lineRule="auto"/>
        <w:widowControl/>
        <w:rPr>
          <w:rFonts w:ascii="宋体" w:hAnsi="宋体"/>
          <w:color w:val="auto"/>
          <w:sz w:val="24"/>
          <w:szCs w:val="24"/>
          <w:highlight w:val="none"/>
        </w:rPr>
        <w:outlineLvl w:val="1"/>
      </w:pPr>
      <w:r>
        <w:rPr>
          <w:rFonts w:hint="eastAsia" w:ascii="仿宋" w:hAnsi="仿宋" w:eastAsia="仿宋" w:cs="宋体"/>
          <w:color w:val="auto"/>
          <w:sz w:val="28"/>
          <w:szCs w:val="28"/>
          <w:highlight w:val="none"/>
        </w:rPr>
        <w:t xml:space="preserve">　　</w:t>
      </w:r>
      <w:r>
        <w:rPr>
          <w:rFonts w:hint="eastAsia" w:ascii="宋体" w:hAnsi="宋体" w:cs="宋体"/>
          <w:color w:val="auto"/>
          <w:sz w:val="24"/>
          <w:szCs w:val="24"/>
          <w:highlight w:val="none"/>
        </w:rPr>
        <w:t xml:space="preserve">1.采购人信息</w:t>
      </w:r>
      <w:r/>
    </w:p>
    <w:p>
      <w:pPr>
        <w:ind w:firstLine="480"/>
        <w:jc w:val="left"/>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u w:val="single"/>
          <w:lang w:eastAsia="zh-CN"/>
        </w:rPr>
        <w:t xml:space="preserve">连云港市公路事业发展中心</w:t>
      </w:r>
      <w:r/>
    </w:p>
    <w:p>
      <w:pPr>
        <w:ind w:firstLine="480"/>
        <w:jc w:val="left"/>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eastAsia="zh-CN"/>
        </w:rPr>
        <w:t xml:space="preserve">连云港市海州区苍梧路36-6</w:t>
      </w:r>
      <w:r/>
    </w:p>
    <w:p>
      <w:pPr>
        <w:ind w:firstLine="480"/>
        <w:jc w:val="left"/>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盛工</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r>
      <w:r/>
    </w:p>
    <w:p>
      <w:pPr>
        <w:ind w:firstLine="480"/>
        <w:jc w:val="left"/>
        <w:pageBreakBefore w:val="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0518-85512826</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bookmarkStart w:id="50" w:name="_Toc28359086"/>
      <w:r/>
      <w:bookmarkStart w:id="51" w:name="_Toc28359009"/>
      <w:r/>
      <w:r/>
    </w:p>
    <w:p>
      <w:pPr>
        <w:ind w:firstLine="480"/>
        <w:jc w:val="left"/>
        <w:pageBreakBefore w:val="0"/>
        <w:spacing w:line="360" w:lineRule="auto"/>
        <w:rPr>
          <w:rFonts w:ascii="宋体" w:hAnsi="宋体"/>
          <w:color w:val="auto"/>
          <w:sz w:val="24"/>
          <w:szCs w:val="24"/>
          <w:highlight w:val="none"/>
        </w:rPr>
        <w:outlineLvl w:val="1"/>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采购代理机构</w:t>
      </w:r>
      <w:r>
        <w:rPr>
          <w:rFonts w:hint="eastAsia" w:ascii="宋体" w:hAnsi="宋体" w:cs="宋体"/>
          <w:color w:val="auto"/>
          <w:sz w:val="24"/>
          <w:szCs w:val="24"/>
          <w:highlight w:val="none"/>
        </w:rPr>
        <w:t xml:space="preserve">信息</w:t>
      </w:r>
      <w:bookmarkEnd w:id="50"/>
      <w:r/>
      <w:bookmarkEnd w:id="51"/>
      <w:r/>
      <w:r/>
    </w:p>
    <w:p>
      <w:pPr>
        <w:ind w:firstLine="480"/>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名称：</w:t>
      </w:r>
      <w:r>
        <w:rPr>
          <w:rFonts w:hint="eastAsia" w:ascii="宋体" w:hAnsi="宋体"/>
          <w:color w:val="auto"/>
          <w:sz w:val="24"/>
          <w:szCs w:val="24"/>
          <w:highlight w:val="none"/>
          <w:u w:val="single"/>
        </w:rPr>
        <w:t xml:space="preserve">江苏鸿成工程项目管理有限公司</w:t>
      </w:r>
      <w:r/>
    </w:p>
    <w:p>
      <w:pPr>
        <w:ind w:firstLine="480"/>
        <w:pageBreakBefore w:val="0"/>
        <w:spacing w:line="360" w:lineRule="auto"/>
        <w:rPr>
          <w:rFonts w:hint="eastAsia" w:ascii="宋体" w:hAnsi="宋体"/>
          <w:color w:val="auto"/>
          <w:sz w:val="24"/>
          <w:szCs w:val="24"/>
          <w:highlight w:val="none"/>
          <w:u w:val="single"/>
          <w:lang w:eastAsia="zh-CN"/>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连云港市海州区郁州北路9号瀛洲大厦209室</w:t>
      </w:r>
      <w:r/>
    </w:p>
    <w:p>
      <w:pPr>
        <w:ind w:firstLine="480"/>
        <w:pageBreakBefore w:val="0"/>
        <w:spacing w:line="360" w:lineRule="auto"/>
        <w:rPr>
          <w:rFonts w:hint="eastAsia" w:ascii="宋体" w:hAnsi="宋体"/>
          <w:color w:val="auto"/>
          <w:sz w:val="24"/>
          <w:szCs w:val="24"/>
          <w:highlight w:val="none"/>
          <w:u w:val="singl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u w:val="single"/>
          <w:lang w:val="en-US" w:eastAsia="zh-CN"/>
        </w:rPr>
        <w:t xml:space="preserve">王工</w:t>
      </w:r>
      <w:r/>
    </w:p>
    <w:p>
      <w:pPr>
        <w:ind w:firstLine="48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联系方式：</w:t>
      </w:r>
      <w:bookmarkStart w:id="52" w:name="_Toc28359010"/>
      <w:r/>
      <w:bookmarkStart w:id="53" w:name="_Toc28359087"/>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0518-81061799 </w:t>
      </w:r>
      <w:r>
        <w:rPr>
          <w:rFonts w:hint="eastAsia" w:ascii="宋体" w:hAnsi="宋体"/>
          <w:color w:val="auto"/>
          <w:sz w:val="24"/>
          <w:szCs w:val="24"/>
          <w:highlight w:val="none"/>
          <w:u w:val="single"/>
        </w:rPr>
        <w:t xml:space="preserve">　</w:t>
      </w:r>
      <w:bookmarkEnd w:id="52"/>
      <w:r/>
      <w:bookmarkEnd w:id="53"/>
      <w:r/>
      <w:r/>
    </w:p>
    <w:p>
      <w:pPr>
        <w:ind w:firstLine="496"/>
        <w:keepLines/>
        <w:keepNext/>
        <w:pageBreakBefore w:val="0"/>
        <w:spacing w:line="360" w:lineRule="auto"/>
        <w:rPr>
          <w:b/>
          <w:bCs/>
          <w:color w:val="auto"/>
          <w:sz w:val="32"/>
          <w:szCs w:val="32"/>
          <w:highlight w:val="none"/>
        </w:rPr>
        <w:outlineLvl w:val="0"/>
      </w:pPr>
      <w:r/>
      <w:bookmarkStart w:id="54" w:name="_Toc18350"/>
      <w:r>
        <w:rPr>
          <w:rFonts w:hint="eastAsia"/>
          <w:b/>
          <w:bCs/>
          <w:color w:val="auto"/>
          <w:sz w:val="32"/>
          <w:szCs w:val="32"/>
          <w:highlight w:val="none"/>
        </w:rPr>
        <w:t xml:space="preserve">八、其他</w:t>
      </w:r>
      <w:bookmarkEnd w:id="54"/>
      <w:r/>
      <w:r/>
    </w:p>
    <w:p>
      <w:pPr>
        <w:ind w:firstLine="480"/>
        <w:jc w:val="left"/>
        <w:keepLines w:val="0"/>
        <w:keepNext w:val="0"/>
        <w:pageBreakBefore w:val="0"/>
        <w:spacing w:line="360" w:lineRule="auto"/>
        <w:widowControl w:val="off"/>
        <w:tabs>
          <w:tab w:val="left" w:pos="900" w:leader="none"/>
        </w:tabs>
        <w:rPr>
          <w:rFonts w:ascii="宋体" w:hAns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根据省财政厅《关于更换全省政府采购交易系统C A数字证书和电子签章的通知》（苏财购〔2023〕101号），</w:t>
      </w:r>
      <w:r>
        <w:rPr>
          <w:rFonts w:hint="eastAsia" w:ascii="宋体" w:hAnsi="宋体"/>
          <w:color w:val="auto"/>
          <w:sz w:val="24"/>
          <w:szCs w:val="24"/>
          <w:highlight w:val="none"/>
        </w:rPr>
        <w:t xml:space="preserve">“苏采云”政府采购交易系统（以下简称苏采云系统）</w:t>
      </w:r>
      <w:r>
        <w:rPr>
          <w:rFonts w:hint="eastAsia" w:ascii="宋体" w:hAnsi="宋体"/>
          <w:bCs/>
          <w:color w:val="auto"/>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参与政府采购项目，需要更换CA数字证书和电子签章。具体办理指南和操作手册见链接：</w:t>
      </w:r>
      <w:r>
        <w:rPr>
          <w:bCs/>
          <w:color w:val="auto"/>
          <w:szCs w:val="21"/>
          <w:highlight w:val="none"/>
        </w:rPr>
        <w:t xml:space="preserve">http://www.ccgp-jiangsu.gov.cn/jiangsu/zlxz/ee/ee3a4bc5a3454aa2b0d9312230633ce9.html。</w:t>
      </w:r>
      <w:r/>
    </w:p>
    <w:p>
      <w:pPr>
        <w:ind w:firstLine="480"/>
        <w:jc w:val="left"/>
        <w:keepLines w:val="0"/>
        <w:keepNext w:val="0"/>
        <w:pageBreakBefore w:val="0"/>
        <w:spacing w:line="360" w:lineRule="auto"/>
        <w:widowControl w:val="off"/>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Cs w:val="21"/>
          <w:highlight w:val="none"/>
        </w:rPr>
        <w:t xml:space="preserve">（www.jszwfw.gov.cn）</w:t>
      </w:r>
      <w:r>
        <w:rPr>
          <w:rFonts w:hint="eastAsia" w:ascii="宋体" w:hAnsi="宋体"/>
          <w:bCs/>
          <w:color w:val="auto"/>
          <w:sz w:val="24"/>
          <w:szCs w:val="24"/>
          <w:highlight w:val="none"/>
        </w:rPr>
        <w:t xml:space="preserve">，“一企来办”专栏下“政府采购”模块详细了解关于CA办理、标书制作、开标投标指引等事宜。</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如果“江苏政府采购网”</w:t>
      </w:r>
      <w:r>
        <w:rPr>
          <w:bCs/>
          <w:color w:val="auto"/>
          <w:szCs w:val="21"/>
          <w:highlight w:val="none"/>
        </w:rPr>
        <w:t xml:space="preserve">（www.ccgp-jiangsu.gov.cn）</w:t>
      </w:r>
      <w:r>
        <w:rPr>
          <w:rFonts w:hint="eastAsia"/>
          <w:bCs/>
          <w:color w:val="auto"/>
          <w:sz w:val="24"/>
          <w:szCs w:val="24"/>
          <w:highlight w:val="none"/>
        </w:rPr>
        <w:t xml:space="preserve">信息</w:t>
      </w:r>
      <w:r>
        <w:rPr>
          <w:rFonts w:hint="eastAsia" w:ascii="宋体" w:hAnsi="宋体"/>
          <w:bCs/>
          <w:color w:val="auto"/>
          <w:sz w:val="24"/>
          <w:szCs w:val="24"/>
          <w:highlight w:val="none"/>
        </w:rPr>
        <w:t xml:space="preserve">与“江苏政务服务网” </w:t>
      </w:r>
      <w:r>
        <w:rPr>
          <w:bCs/>
          <w:color w:val="auto"/>
          <w:szCs w:val="21"/>
          <w:highlight w:val="none"/>
        </w:rPr>
        <w:t xml:space="preserve">（www.jszwfw.gov.cn）</w:t>
      </w:r>
      <w:r>
        <w:rPr>
          <w:rFonts w:hint="eastAsia" w:ascii="宋体" w:hAnsi="宋体"/>
          <w:bCs/>
          <w:color w:val="auto"/>
          <w:sz w:val="24"/>
          <w:szCs w:val="24"/>
          <w:highlight w:val="none"/>
        </w:rPr>
        <w:t xml:space="preserve">，“一企来办”专栏下“政府采购”模块中信息不一致，以“江苏政府采购网”信息为准。</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.有关本次招标的事项若存在变动或修改，敬请及时关注</w:t>
      </w:r>
      <w:r>
        <w:rPr>
          <w:rFonts w:hint="eastAsia" w:ascii="宋体" w:hAnsi="宋体"/>
          <w:bCs/>
          <w:color w:val="auto"/>
          <w:sz w:val="24"/>
          <w:szCs w:val="24"/>
          <w:highlight w:val="none"/>
          <w:lang w:eastAsia="zh-CN"/>
        </w:rPr>
        <w:t xml:space="preserve">江苏鸿成工程项目管理有限公司</w:t>
      </w:r>
      <w:r>
        <w:rPr>
          <w:rFonts w:hint="eastAsia" w:ascii="宋体" w:hAnsi="宋体"/>
          <w:bCs/>
          <w:color w:val="auto"/>
          <w:sz w:val="24"/>
          <w:szCs w:val="24"/>
          <w:highlight w:val="none"/>
        </w:rPr>
        <w:t xml:space="preserve">在“江苏政府采购网”发布的更正公告。</w:t>
      </w:r>
      <w:r/>
    </w:p>
    <w:p>
      <w:pPr>
        <w:ind w:firstLine="480"/>
        <w:jc w:val="left"/>
        <w:keepLines w:val="0"/>
        <w:keepNext w:val="0"/>
        <w:pageBreakBefore w:val="0"/>
        <w:spacing w:line="360" w:lineRule="auto"/>
        <w:widowControl w:val="off"/>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.本次招标不收取投标保证金。</w:t>
      </w:r>
      <w:r/>
    </w:p>
    <w:p>
      <w:pPr>
        <w:ind w:right="0"/>
        <w:jc w:val="center"/>
        <w:keepLines w:val="0"/>
        <w:keepNext w:val="0"/>
        <w:pageBreakBefore w:val="0"/>
        <w:spacing w:line="360" w:lineRule="auto"/>
        <w:widowControl w:val="off"/>
        <w:rPr>
          <w:rFonts w:hint="eastAsia" w:ascii="黑体" w:hAnsi="Arial" w:eastAsia="黑体" w:cs="Arial"/>
          <w:color w:val="auto"/>
          <w:sz w:val="44"/>
          <w:szCs w:val="44"/>
          <w:highlight w:val="none"/>
        </w:rPr>
      </w:pPr>
      <w:r>
        <w:rPr>
          <w:rFonts w:ascii="宋体" w:hAnsi="宋体"/>
          <w:color w:val="auto"/>
          <w:sz w:val="24"/>
          <w:szCs w:val="24"/>
          <w:highlight w:val="none"/>
        </w:rPr>
        <w:br w:type="page" w:clear="all"/>
      </w:r>
      <w:bookmarkStart w:id="55" w:name="_Toc120614211"/>
      <w:r/>
      <w:bookmarkStart w:id="56" w:name="_Toc22712"/>
      <w:r>
        <w:rPr>
          <w:rFonts w:hint="eastAsia" w:ascii="黑体" w:hAnsi="Arial" w:eastAsia="黑体" w:cs="Arial"/>
          <w:b/>
          <w:bCs/>
          <w:color w:val="auto"/>
          <w:sz w:val="44"/>
          <w:szCs w:val="44"/>
          <w:highlight w:val="none"/>
        </w:rPr>
        <w:t xml:space="preserve">第二章  </w:t>
      </w:r>
      <w:bookmarkEnd w:id="2"/>
      <w:r/>
      <w:bookmarkEnd w:id="3"/>
      <w:r/>
      <w:bookmarkEnd w:id="4"/>
      <w:r/>
      <w:bookmarkEnd w:id="5"/>
      <w:r/>
      <w:bookmarkEnd w:id="6"/>
      <w:r/>
      <w:bookmarkEnd w:id="55"/>
      <w:r/>
      <w:bookmarkStart w:id="57" w:name="_Toc120614213"/>
      <w:r/>
      <w:bookmarkStart w:id="58" w:name="_Toc16938518"/>
      <w:r/>
      <w:bookmarkStart w:id="59" w:name="_Toc20823274"/>
      <w:r/>
      <w:bookmarkStart w:id="60" w:name="_Toc513029202"/>
      <w:r>
        <w:rPr>
          <w:rFonts w:hint="eastAsia" w:ascii="黑体" w:hAnsi="Arial" w:eastAsia="黑体" w:cs="Arial"/>
          <w:b/>
          <w:bCs/>
          <w:color w:val="auto"/>
          <w:sz w:val="44"/>
          <w:szCs w:val="44"/>
          <w:highlight w:val="none"/>
        </w:rPr>
        <w:t xml:space="preserve">投标人须知</w:t>
      </w:r>
      <w:bookmarkEnd w:id="56"/>
      <w:r/>
      <w:bookmarkEnd w:id="57"/>
      <w:r/>
      <w:bookmarkEnd w:id="58"/>
      <w:r/>
      <w:bookmarkEnd w:id="59"/>
      <w:r/>
      <w:bookmarkEnd w:id="60"/>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61" w:name="_Toc120614214"/>
      <w:r/>
      <w:bookmarkStart w:id="62" w:name="_Toc24777"/>
      <w:r/>
      <w:bookmarkStart w:id="63" w:name="_Toc16938519"/>
      <w:r/>
      <w:bookmarkStart w:id="64" w:name="_Toc20823275"/>
      <w:r/>
      <w:bookmarkStart w:id="65" w:name="_Toc513029203"/>
      <w:r>
        <w:rPr>
          <w:rFonts w:hint="eastAsia"/>
          <w:b/>
          <w:bCs/>
          <w:color w:val="auto"/>
          <w:sz w:val="32"/>
          <w:szCs w:val="32"/>
          <w:highlight w:val="none"/>
        </w:rPr>
        <w:t xml:space="preserve">一、总则</w:t>
      </w:r>
      <w:bookmarkEnd w:id="61"/>
      <w:r/>
      <w:bookmarkEnd w:id="62"/>
      <w:r/>
      <w:bookmarkEnd w:id="63"/>
      <w:r/>
      <w:bookmarkEnd w:id="64"/>
      <w:r/>
      <w:bookmarkEnd w:id="65"/>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66" w:name="_Hlt16619475"/>
      <w:r/>
      <w:bookmarkEnd w:id="66"/>
      <w:r/>
      <w:bookmarkStart w:id="67" w:name="_Toc458694821"/>
      <w:r/>
      <w:bookmarkStart w:id="68" w:name="_Toc20823276"/>
      <w:r/>
      <w:bookmarkStart w:id="69" w:name="_Toc513029204"/>
      <w:r/>
      <w:bookmarkStart w:id="70" w:name="_Toc16938520"/>
      <w:r>
        <w:rPr>
          <w:rFonts w:hint="eastAsia" w:ascii="Arial" w:hAnsi="Arial" w:eastAsia="黑体" w:cs="Arial"/>
          <w:color w:val="auto"/>
          <w:sz w:val="28"/>
          <w:szCs w:val="28"/>
          <w:highlight w:val="none"/>
        </w:rPr>
        <w:t xml:space="preserve">1</w:t>
      </w:r>
      <w:bookmarkEnd w:id="67"/>
      <w:r>
        <w:rPr>
          <w:rFonts w:hint="eastAsia" w:ascii="Arial" w:hAnsi="Arial" w:eastAsia="黑体" w:cs="Arial"/>
          <w:color w:val="auto"/>
          <w:sz w:val="28"/>
          <w:szCs w:val="28"/>
          <w:highlight w:val="none"/>
        </w:rPr>
        <w:t xml:space="preserve">、招标方式</w:t>
      </w:r>
      <w:bookmarkEnd w:id="68"/>
      <w:r/>
      <w:bookmarkEnd w:id="69"/>
      <w:r/>
      <w:bookmarkEnd w:id="70"/>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1" w:name="_Toc20823277"/>
      <w:r/>
      <w:bookmarkStart w:id="72" w:name="_Toc16938521"/>
      <w:r/>
      <w:bookmarkStart w:id="73" w:name="_Toc513029205"/>
      <w:r>
        <w:rPr>
          <w:rFonts w:hint="eastAsia" w:ascii="Arial" w:hAnsi="Arial" w:eastAsia="黑体" w:cs="Arial"/>
          <w:color w:val="auto"/>
          <w:sz w:val="28"/>
          <w:szCs w:val="28"/>
          <w:highlight w:val="none"/>
        </w:rPr>
        <w:t xml:space="preserve">2、合格的投标人</w:t>
      </w:r>
      <w:bookmarkEnd w:id="71"/>
      <w:r/>
      <w:bookmarkEnd w:id="72"/>
      <w:r/>
      <w:bookmarkEnd w:id="73"/>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2.1满足招标公告中供应商的资格要求的规定。</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4" w:name="_Toc20823278"/>
      <w:r/>
      <w:bookmarkStart w:id="75" w:name="_Toc513029206"/>
      <w:r/>
      <w:bookmarkStart w:id="76" w:name="_Toc16938522"/>
      <w:r>
        <w:rPr>
          <w:rFonts w:hint="eastAsia" w:ascii="Arial" w:hAnsi="Arial" w:eastAsia="黑体" w:cs="Arial"/>
          <w:color w:val="auto"/>
          <w:sz w:val="28"/>
          <w:szCs w:val="28"/>
          <w:highlight w:val="none"/>
        </w:rPr>
        <w:t xml:space="preserve">3、适用法律</w:t>
      </w:r>
      <w:bookmarkEnd w:id="74"/>
      <w:r/>
      <w:bookmarkEnd w:id="75"/>
      <w:r/>
      <w:bookmarkEnd w:id="76"/>
      <w:r>
        <w:rPr>
          <w:rFonts w:hint="eastAsia" w:ascii="Arial" w:hAnsi="Arial" w:eastAsia="黑体" w:cs="Arial"/>
          <w:color w:val="auto"/>
          <w:sz w:val="28"/>
          <w:szCs w:val="28"/>
          <w:highlight w:val="none"/>
        </w:rPr>
        <w:t xml:space="preserve">和标准</w:t>
      </w:r>
      <w:r/>
    </w:p>
    <w:p>
      <w:pPr>
        <w:ind w:firstLine="480"/>
        <w:jc w:val="left"/>
        <w:keepLines/>
        <w:keepNext/>
        <w:pageBreakBefore w:val="0"/>
        <w:spacing w:line="360" w:lineRule="auto"/>
        <w:widowControl w:val="off"/>
        <w:rPr>
          <w:rFonts w:ascii="宋体" w:hAnsi="宋体"/>
          <w:color w:val="auto"/>
          <w:sz w:val="24"/>
          <w:szCs w:val="21"/>
          <w:highlight w:val="none"/>
        </w:rPr>
        <w:outlineLvl w:val="1"/>
      </w:pPr>
      <w:r>
        <w:rPr>
          <w:rFonts w:hint="eastAsia" w:ascii="宋体" w:hAnsi="宋体"/>
          <w:color w:val="auto"/>
          <w:sz w:val="24"/>
          <w:szCs w:val="21"/>
          <w:highlight w:val="none"/>
        </w:rPr>
        <w:t xml:space="preserve">3.1 本次招标及由此产生的合同受中华人民共和国有关的法律法规制约和保护</w:t>
      </w:r>
      <w:r>
        <w:rPr>
          <w:rFonts w:ascii="宋体" w:hAnsi="宋体"/>
          <w:color w:val="auto"/>
          <w:sz w:val="24"/>
          <w:szCs w:val="21"/>
          <w:highlight w:val="none"/>
        </w:rPr>
        <w:t xml:space="preserve">。</w:t>
      </w:r>
      <w:r/>
    </w:p>
    <w:p>
      <w:pPr>
        <w:ind w:firstLine="480"/>
        <w:jc w:val="left"/>
        <w:keepLines/>
        <w:keepNext/>
        <w:pageBreakBefore w:val="0"/>
        <w:spacing w:line="360" w:lineRule="auto"/>
        <w:widowControl w:val="off"/>
        <w:rPr>
          <w:rFonts w:hint="eastAsia" w:ascii="宋体" w:hAnsi="宋体" w:eastAsia="宋体" w:cs="Times New Roman"/>
          <w:color w:val="auto"/>
          <w:sz w:val="24"/>
          <w:szCs w:val="21"/>
          <w:highlight w:val="none"/>
        </w:rPr>
        <w:outlineLvl w:val="1"/>
      </w:pPr>
      <w:r>
        <w:rPr>
          <w:rFonts w:hint="eastAsia" w:ascii="宋体" w:hAnsi="宋体" w:eastAsia="宋体" w:cs="Times New Roman"/>
          <w:color w:val="auto"/>
          <w:sz w:val="24"/>
          <w:szCs w:val="21"/>
          <w:highlight w:val="none"/>
        </w:rPr>
        <w:t xml:space="preserve">3.2 在本项目政府采购活动过程中，如果所执行的标准有更新的，按照最新标准执行。</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77" w:name="_Toc513029207"/>
      <w:r/>
      <w:bookmarkStart w:id="78" w:name="_Toc16938523"/>
      <w:r/>
      <w:bookmarkStart w:id="79" w:name="_Toc462564067"/>
      <w:r/>
      <w:bookmarkStart w:id="80" w:name="_Toc20823279"/>
      <w:r>
        <w:rPr>
          <w:rFonts w:hint="eastAsia" w:ascii="Arial" w:hAnsi="Arial" w:eastAsia="黑体" w:cs="Arial"/>
          <w:color w:val="auto"/>
          <w:sz w:val="28"/>
          <w:szCs w:val="28"/>
          <w:highlight w:val="none"/>
        </w:rPr>
        <w:t xml:space="preserve">4、投标费用</w:t>
      </w:r>
      <w:bookmarkEnd w:id="77"/>
      <w:r/>
      <w:bookmarkEnd w:id="78"/>
      <w:r/>
      <w:bookmarkEnd w:id="79"/>
      <w:r/>
      <w:bookmarkEnd w:id="80"/>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4.1</w:t>
      </w:r>
      <w:r>
        <w:rPr>
          <w:rFonts w:hint="eastAsia" w:ascii="宋体" w:hAnsi="宋体"/>
          <w:color w:val="auto"/>
          <w:sz w:val="24"/>
          <w:szCs w:val="21"/>
          <w:highlight w:val="none"/>
        </w:rPr>
        <w:t xml:space="preserve"> 投标人应自行承担所有与参加投标有关的费用，无论投标过程中的做法和结果如何，</w:t>
      </w:r>
      <w:r>
        <w:rPr>
          <w:rFonts w:hint="eastAsia" w:ascii="宋体" w:hAnsi="宋体"/>
          <w:color w:val="auto"/>
          <w:sz w:val="24"/>
          <w:szCs w:val="21"/>
          <w:highlight w:val="none"/>
          <w:lang w:eastAsia="zh-CN"/>
        </w:rPr>
        <w:t xml:space="preserve">江苏鸿成工程项目管理有限公司</w:t>
      </w:r>
      <w:r>
        <w:rPr>
          <w:rFonts w:hint="eastAsia" w:ascii="宋体" w:hAnsi="宋体"/>
          <w:color w:val="auto"/>
          <w:sz w:val="24"/>
          <w:szCs w:val="21"/>
          <w:highlight w:val="none"/>
        </w:rPr>
        <w:t xml:space="preserve">（以下简称</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）在任何情况下均无义务和责任承担这些费用。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4.2本次招标采购代理服务费及其他：</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（1）按照《连云港市公路事业发展中心2025年度第十一批招标代理服务项目》合同附件1《招标代理服务收费标准》的72%计取；</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（2）涉及本采购项目的其他费用，按相关规定执行。</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以上费用最终由中标人在领取中标通知书时一次性支付，投标人须将此部分费用综合考虑在报价中，不得单列。</w:t>
      </w:r>
      <w:r/>
    </w:p>
    <w:p>
      <w:pPr>
        <w:ind w:firstLine="600"/>
        <w:jc w:val="left"/>
        <w:keepLines/>
        <w:keepNext/>
        <w:pageBreakBefore w:val="0"/>
        <w:spacing w:line="360" w:lineRule="auto"/>
        <w:widowControl w:val="off"/>
        <w:rPr>
          <w:rFonts w:hint="eastAsia" w:ascii="黑体" w:hAnsi="宋体" w:eastAsia="黑体" w:cs="Arial"/>
          <w:color w:val="auto"/>
          <w:sz w:val="28"/>
          <w:szCs w:val="28"/>
          <w:highlight w:val="none"/>
        </w:rPr>
        <w:outlineLvl w:val="1"/>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81" w:name="_Toc16938525"/>
      <w:r/>
      <w:bookmarkStart w:id="82" w:name="_Toc120614215"/>
      <w:r/>
      <w:bookmarkStart w:id="83" w:name="_Toc513029209"/>
      <w:r/>
      <w:bookmarkStart w:id="84" w:name="_Toc20823281"/>
      <w:r/>
      <w:bookmarkStart w:id="85" w:name="_Toc21620"/>
      <w:r>
        <w:rPr>
          <w:rFonts w:hint="eastAsia"/>
          <w:b/>
          <w:bCs/>
          <w:color w:val="auto"/>
          <w:sz w:val="32"/>
          <w:szCs w:val="32"/>
          <w:highlight w:val="none"/>
        </w:rPr>
        <w:t xml:space="preserve">二、招标文件</w:t>
      </w:r>
      <w:bookmarkEnd w:id="81"/>
      <w:r/>
      <w:bookmarkEnd w:id="82"/>
      <w:r/>
      <w:bookmarkEnd w:id="83"/>
      <w:r/>
      <w:bookmarkEnd w:id="84"/>
      <w:r/>
      <w:bookmarkEnd w:id="85"/>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86" w:name="_Toc20823282"/>
      <w:r/>
      <w:bookmarkStart w:id="87" w:name="_Toc513029210"/>
      <w:r/>
      <w:bookmarkStart w:id="88" w:name="_Toc16938526"/>
      <w:r>
        <w:rPr>
          <w:rFonts w:hint="eastAsia" w:ascii="Arial" w:hAnsi="Arial" w:eastAsia="黑体" w:cs="Arial"/>
          <w:color w:val="auto"/>
          <w:sz w:val="28"/>
          <w:szCs w:val="28"/>
          <w:highlight w:val="none"/>
        </w:rPr>
        <w:t xml:space="preserve">6、招标文件构成</w:t>
      </w:r>
      <w:bookmarkEnd w:id="86"/>
      <w:r/>
      <w:bookmarkEnd w:id="87"/>
      <w:r/>
      <w:bookmarkEnd w:id="88"/>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jc w:val="left"/>
        <w:pageBreakBefore w:val="0"/>
        <w:spacing w:line="360" w:lineRule="auto"/>
        <w:widowControl w:val="off"/>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联系解决。</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89" w:name="_Toc16938528"/>
      <w:r/>
      <w:bookmarkStart w:id="90" w:name="_Toc20823284"/>
      <w:r/>
      <w:bookmarkStart w:id="91" w:name="_Toc462564071"/>
      <w:r/>
      <w:bookmarkStart w:id="92" w:name="_Toc513029212"/>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、招标文件的修改</w:t>
      </w:r>
      <w:bookmarkEnd w:id="89"/>
      <w:r/>
      <w:bookmarkEnd w:id="90"/>
      <w:r/>
      <w:bookmarkEnd w:id="91"/>
      <w:r/>
      <w:bookmarkEnd w:id="92"/>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在投标截止时间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可以对招标文件进行修改。</w:t>
      </w:r>
      <w:r/>
    </w:p>
    <w:p>
      <w:pPr>
        <w:ind w:firstLine="480"/>
        <w:jc w:val="left"/>
        <w:pageBreakBefore w:val="0"/>
        <w:spacing w:line="360" w:lineRule="auto"/>
        <w:widowControl w:val="off"/>
        <w:rPr>
          <w:rFonts w:hint="eastAsia" w:ascii="宋体" w:hAnsi="Arial"/>
          <w:color w:val="auto"/>
          <w:sz w:val="28"/>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.2 </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93" w:name="_Toc120614216"/>
      <w:r/>
      <w:bookmarkStart w:id="94" w:name="_Toc513029213"/>
      <w:r/>
      <w:bookmarkStart w:id="95" w:name="_Toc20823285"/>
      <w:r/>
      <w:bookmarkStart w:id="96" w:name="_Toc23946"/>
      <w:r/>
      <w:bookmarkStart w:id="97" w:name="_Toc462564072"/>
      <w:r/>
      <w:bookmarkStart w:id="98" w:name="_Toc16938529"/>
      <w:r>
        <w:rPr>
          <w:rFonts w:hint="eastAsia"/>
          <w:b/>
          <w:bCs/>
          <w:color w:val="auto"/>
          <w:sz w:val="32"/>
          <w:szCs w:val="32"/>
          <w:highlight w:val="none"/>
        </w:rPr>
        <w:t xml:space="preserve">三、投标文件的编制</w:t>
      </w:r>
      <w:bookmarkEnd w:id="93"/>
      <w:r/>
      <w:bookmarkEnd w:id="94"/>
      <w:r/>
      <w:bookmarkEnd w:id="95"/>
      <w:r/>
      <w:bookmarkEnd w:id="96"/>
      <w:r/>
      <w:bookmarkEnd w:id="97"/>
      <w:r/>
      <w:bookmarkEnd w:id="98"/>
      <w:r/>
      <w:r/>
    </w:p>
    <w:p>
      <w:pPr>
        <w:ind w:firstLine="560"/>
        <w:jc w:val="left"/>
        <w:keepLines/>
        <w:keepNext/>
        <w:pageBreakBefore w:val="0"/>
        <w:spacing w:line="360" w:lineRule="auto"/>
        <w:widowControl w:val="off"/>
        <w:rPr>
          <w:rFonts w:hint="eastAsia" w:ascii="Arial" w:hAnsi="Arial" w:eastAsia="黑体" w:cs="Arial"/>
          <w:b/>
          <w:color w:val="auto"/>
          <w:sz w:val="28"/>
          <w:szCs w:val="28"/>
          <w:highlight w:val="none"/>
        </w:rPr>
        <w:outlineLvl w:val="1"/>
      </w:pPr>
      <w:r/>
      <w:bookmarkStart w:id="99" w:name="_Toc16938530"/>
      <w:r/>
      <w:bookmarkStart w:id="100" w:name="_Toc513029214"/>
      <w:r/>
      <w:bookmarkStart w:id="101" w:name="_Toc462564073"/>
      <w:r/>
      <w:bookmarkStart w:id="102" w:name="_Toc20823286"/>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、投标文件的语言及度量衡单位</w:t>
      </w:r>
      <w:bookmarkEnd w:id="99"/>
      <w:r/>
      <w:bookmarkEnd w:id="100"/>
      <w:r/>
      <w:bookmarkEnd w:id="101"/>
      <w:r/>
      <w:bookmarkEnd w:id="102"/>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投标人提交的投标文件以及投标人与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03" w:name="_Toc20823287"/>
      <w:r/>
      <w:bookmarkStart w:id="104" w:name="_Toc16938531"/>
      <w:r/>
      <w:bookmarkStart w:id="105" w:name="_Toc462564074"/>
      <w:r/>
      <w:bookmarkStart w:id="106" w:name="_Toc513029215"/>
      <w:r>
        <w:rPr>
          <w:rFonts w:ascii="Arial" w:hAnsi="Arial" w:eastAsia="黑体" w:cs="Arial"/>
          <w:color w:val="auto"/>
          <w:sz w:val="28"/>
          <w:szCs w:val="28"/>
          <w:highlight w:val="none"/>
        </w:rPr>
        <w:t xml:space="preserve">9</w:t>
      </w:r>
      <w:r>
        <w:rPr>
          <w:rFonts w:hint="eastAsia" w:ascii="Arial" w:hAnsi="Arial" w:eastAsia="黑体" w:cs="Arial"/>
          <w:color w:val="auto"/>
          <w:sz w:val="28"/>
          <w:szCs w:val="28"/>
          <w:highlight w:val="none"/>
        </w:rPr>
        <w:t xml:space="preserve">、投标文件构成</w:t>
      </w:r>
      <w:bookmarkEnd w:id="103"/>
      <w:r/>
      <w:bookmarkEnd w:id="104"/>
      <w:r/>
      <w:bookmarkEnd w:id="105"/>
      <w:r/>
      <w:bookmarkEnd w:id="106"/>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投标人编写的投标文件应包括资格证明文件、</w:t>
      </w:r>
      <w:r>
        <w:rPr>
          <w:rFonts w:hint="eastAsia" w:ascii="宋体" w:hAnsi="宋体"/>
          <w:color w:val="auto"/>
          <w:sz w:val="24"/>
          <w:szCs w:val="24"/>
          <w:highlight w:val="none"/>
        </w:rPr>
        <w:t xml:space="preserve">实质性要求响应及偏离表</w:t>
      </w:r>
      <w:r>
        <w:rPr>
          <w:rFonts w:hint="eastAsia" w:ascii="宋体" w:hAnsi="宋体"/>
          <w:color w:val="auto"/>
          <w:sz w:val="24"/>
          <w:szCs w:val="21"/>
          <w:highlight w:val="none"/>
        </w:rPr>
        <w:t xml:space="preserve">、投标分项报价表、技术要求响应及偏离表、商务要求响应及偏离表、其他证明文件、投标函、开标一览表等部分。</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.2 如标书制作工具中格式和内容与“江苏政府采购网”发布的招标文件不一致，请以“江苏政府采购网”发布的招标文件为准。</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07" w:name="_Hlt26668975"/>
      <w:r/>
      <w:bookmarkEnd w:id="107"/>
      <w:r/>
      <w:bookmarkStart w:id="108" w:name="_Hlt26954838"/>
      <w:r/>
      <w:bookmarkEnd w:id="108"/>
      <w:r/>
      <w:bookmarkStart w:id="109" w:name="_Hlt26670360"/>
      <w:r/>
      <w:bookmarkEnd w:id="109"/>
      <w:r/>
      <w:bookmarkStart w:id="110" w:name="_Toc513029219"/>
      <w:r/>
      <w:bookmarkStart w:id="111" w:name="_Toc14577354"/>
      <w:r/>
      <w:bookmarkStart w:id="112" w:name="_Toc49090509"/>
      <w:r/>
      <w:bookmarkStart w:id="113" w:name="_Toc14577357"/>
      <w:r/>
      <w:bookmarkStart w:id="114" w:name="_Toc49090507"/>
      <w:r/>
      <w:bookmarkStart w:id="115" w:name="_Toc513029216"/>
      <w:r/>
      <w:bookmarkStart w:id="116" w:name="_Toc14577355"/>
      <w:r/>
      <w:bookmarkStart w:id="117" w:name="_Toc49090508"/>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、证明投标人及投标标的符合招标文件规定的文件</w:t>
      </w:r>
      <w:bookmarkEnd w:id="110"/>
      <w:r/>
      <w:bookmarkEnd w:id="111"/>
      <w:r/>
      <w:bookmarkEnd w:id="112"/>
      <w:r/>
      <w:bookmarkEnd w:id="113"/>
      <w:r/>
      <w:bookmarkEnd w:id="114"/>
      <w:r/>
      <w:bookmarkEnd w:id="115"/>
      <w:r/>
      <w:r/>
    </w:p>
    <w:p>
      <w:pPr>
        <w:ind w:firstLine="480"/>
        <w:jc w:val="left"/>
        <w:keepLines/>
        <w:keepNext/>
        <w:pageBreakBefore w:val="0"/>
        <w:spacing w:line="360" w:lineRule="auto"/>
        <w:widowControl w:val="off"/>
        <w:rPr>
          <w:rFonts w:hint="eastAsia" w:ascii="宋体" w:hAnsi="宋体"/>
          <w:color w:val="auto"/>
          <w:sz w:val="24"/>
          <w:szCs w:val="24"/>
          <w:highlight w:val="none"/>
        </w:rPr>
        <w:outlineLvl w:val="1"/>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 投标人应按照招标文件要求提交证明文件，证明其及投标标的符合招标文件规定。</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.2招标文件对证明文件无明确形式要求的，证明文件可以以文字资料、图纸和数据等形式提交。</w:t>
      </w:r>
      <w:bookmarkEnd w:id="116"/>
      <w:r/>
      <w:bookmarkEnd w:id="117"/>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、投标分项报价表</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w:t>
      </w:r>
      <w:bookmarkStart w:id="118" w:name="_Hlt26954840"/>
      <w:r/>
      <w:bookmarkEnd w:id="118"/>
      <w:r>
        <w:rPr>
          <w:rFonts w:hint="eastAsia" w:ascii="宋体" w:hAnsi="宋体"/>
          <w:color w:val="auto"/>
          <w:sz w:val="24"/>
          <w:szCs w:val="21"/>
          <w:highlight w:val="none"/>
        </w:rPr>
        <w:t xml:space="preserve">标人按照招标文件规定格式填报投标分项报价表</w:t>
      </w:r>
      <w:bookmarkStart w:id="119" w:name="_Hlt26670399"/>
      <w:r/>
      <w:bookmarkEnd w:id="119"/>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0" w:name="_Hlt26670486"/>
      <w:r/>
      <w:bookmarkEnd w:id="120"/>
      <w:r/>
      <w:bookmarkStart w:id="121" w:name="_Hlt26670482"/>
      <w:r/>
      <w:bookmarkEnd w:id="121"/>
      <w:r/>
      <w:bookmarkStart w:id="122" w:name="_Hlt26954731"/>
      <w:r/>
      <w:bookmarkEnd w:id="122"/>
      <w:r/>
      <w:bookmarkStart w:id="123" w:name="_Hlt26954848"/>
      <w:r/>
      <w:bookmarkEnd w:id="123"/>
      <w:r/>
      <w:bookmarkStart w:id="124" w:name="_Hlt26954846"/>
      <w:r/>
      <w:bookmarkEnd w:id="124"/>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、技术要求响应及偏离表、商务要求响应及偏离表</w:t>
      </w:r>
      <w:r/>
    </w:p>
    <w:p>
      <w:pPr>
        <w:ind w:firstLine="480"/>
        <w:jc w:val="left"/>
        <w:pageBreakBefore w:val="0"/>
        <w:spacing w:line="360" w:lineRule="auto"/>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12.1</w:t>
      </w:r>
      <w:r>
        <w:rPr>
          <w:rFonts w:hint="eastAsia" w:ascii="宋体" w:hAnsi="Arial" w:cs="宋体"/>
          <w:bCs/>
          <w:color w:val="auto"/>
          <w:sz w:val="24"/>
          <w:szCs w:val="21"/>
          <w:highlight w:val="none"/>
          <w:lang w:val="zh-CN"/>
        </w:rPr>
        <w:t xml:space="preserve"> </w:t>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jc w:val="left"/>
        <w:pageBreakBefore w:val="0"/>
        <w:spacing w:line="360" w:lineRule="auto"/>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w:t>
      </w:r>
      <w:r>
        <w:rPr>
          <w:rFonts w:ascii="宋体" w:hAnsi="Arial" w:cs="宋体"/>
          <w:color w:val="auto"/>
          <w:sz w:val="24"/>
          <w:szCs w:val="21"/>
          <w:highlight w:val="none"/>
          <w:lang w:val="zh-CN"/>
        </w:rPr>
        <w:t xml:space="preserve">2</w:t>
      </w:r>
      <w:r>
        <w:rPr>
          <w:rFonts w:hint="eastAsia" w:ascii="宋体" w:hAnsi="Arial" w:cs="宋体"/>
          <w:color w:val="auto"/>
          <w:sz w:val="24"/>
          <w:szCs w:val="21"/>
          <w:highlight w:val="none"/>
          <w:lang w:val="zh-CN"/>
        </w:rPr>
        <w:t xml:space="preserve">.2 投标人需按照招标文件要求，在投标文件中提供与技术要求和商务要求相关的证明材料。</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、服务承诺、培训计划、人员安排及其他</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.1 </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 投标人需根据招标文件要求提供培训计划。</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3</w:t>
      </w:r>
      <w:r>
        <w:rPr>
          <w:rFonts w:hint="eastAsia" w:ascii="宋体" w:hAnsi="宋体"/>
          <w:color w:val="auto"/>
          <w:sz w:val="24"/>
          <w:szCs w:val="24"/>
          <w:highlight w:val="none"/>
        </w:rPr>
        <w:t xml:space="preserve">.3 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5" w:name="_Toc14577359"/>
      <w:r/>
      <w:bookmarkStart w:id="126" w:name="_Toc49090510"/>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、投标函和开标一览表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 投标人应按照招标文件中提供的格式完整、正确填写投标函、开标一览表。</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25"/>
      <w:r/>
      <w:bookmarkEnd w:id="126"/>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27" w:name="_Toc49090511"/>
      <w:r/>
      <w:bookmarkStart w:id="128" w:name="_Toc14577360"/>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、投标有效期</w:t>
      </w:r>
      <w:bookmarkEnd w:id="127"/>
      <w:r/>
      <w:bookmarkEnd w:id="128"/>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.1投标有效期为</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、投标有效期的延长</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.1在特殊情况下，</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ind w:left="0" w:firstLine="640"/>
        <w:jc w:val="left"/>
        <w:keepLines/>
        <w:keepNext/>
        <w:pageBreakBefore w:val="0"/>
        <w:spacing w:line="360" w:lineRule="auto"/>
        <w:widowControl w:val="off"/>
        <w:rPr>
          <w:rFonts w:hint="eastAsia"/>
          <w:b/>
          <w:bCs/>
          <w:color w:val="auto"/>
          <w:sz w:val="32"/>
          <w:szCs w:val="32"/>
          <w:highlight w:val="none"/>
        </w:rPr>
        <w:outlineLvl w:val="0"/>
      </w:pPr>
      <w:r/>
      <w:bookmarkStart w:id="129" w:name="_Hlt26954852"/>
      <w:r/>
      <w:bookmarkEnd w:id="129"/>
      <w:r/>
      <w:bookmarkStart w:id="130" w:name="_Hlt26954739"/>
      <w:r/>
      <w:bookmarkEnd w:id="130"/>
      <w:r/>
      <w:bookmarkStart w:id="131" w:name="_Toc20823296"/>
      <w:r/>
      <w:bookmarkStart w:id="132" w:name="_Toc513029224"/>
      <w:r/>
      <w:bookmarkStart w:id="133" w:name="_Toc16938540"/>
      <w:r/>
      <w:bookmarkStart w:id="134" w:name="_Toc120614217"/>
      <w:r/>
      <w:bookmarkStart w:id="135" w:name="_Toc16121"/>
      <w:r>
        <w:rPr>
          <w:rFonts w:hint="eastAsia"/>
          <w:b/>
          <w:bCs/>
          <w:color w:val="auto"/>
          <w:sz w:val="32"/>
          <w:szCs w:val="32"/>
          <w:highlight w:val="none"/>
        </w:rPr>
        <w:t xml:space="preserve">四、投标文件的递交</w:t>
      </w:r>
      <w:bookmarkEnd w:id="131"/>
      <w:r/>
      <w:bookmarkEnd w:id="132"/>
      <w:r/>
      <w:bookmarkEnd w:id="133"/>
      <w:r/>
      <w:bookmarkEnd w:id="134"/>
      <w:r/>
      <w:bookmarkEnd w:id="135"/>
      <w:r/>
      <w:r/>
    </w:p>
    <w:p>
      <w:pPr>
        <w:ind w:firstLine="560"/>
        <w:jc w:val="left"/>
        <w:keepLines/>
        <w:keepNext/>
        <w:pageBreakBefore w:val="0"/>
        <w:spacing w:line="360" w:lineRule="auto"/>
        <w:widowControl w:val="off"/>
        <w:rPr>
          <w:rFonts w:hint="eastAsia" w:ascii="黑体" w:hAnsi="Arial" w:eastAsia="黑体" w:cs="Arial"/>
          <w:color w:val="auto"/>
          <w:sz w:val="28"/>
          <w:szCs w:val="28"/>
          <w:highlight w:val="none"/>
        </w:rPr>
        <w:outlineLvl w:val="1"/>
      </w:pPr>
      <w:r/>
      <w:bookmarkStart w:id="136" w:name="_Toc16938541"/>
      <w:r/>
      <w:bookmarkStart w:id="137" w:name="_Toc513029225"/>
      <w:r/>
      <w:bookmarkStart w:id="138" w:name="_Toc462564084"/>
      <w:r/>
      <w:bookmarkStart w:id="139" w:name="_Toc20823297"/>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36"/>
      <w:r/>
      <w:bookmarkEnd w:id="137"/>
      <w:r/>
      <w:bookmarkEnd w:id="138"/>
      <w:r/>
      <w:bookmarkEnd w:id="139"/>
      <w:r>
        <w:rPr>
          <w:rFonts w:hint="eastAsia" w:ascii="黑体" w:hAnsi="Arial" w:eastAsia="黑体" w:cs="Arial"/>
          <w:color w:val="auto"/>
          <w:sz w:val="28"/>
          <w:szCs w:val="28"/>
          <w:highlight w:val="none"/>
        </w:rPr>
        <w:t xml:space="preserve">的递交</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.1投标人应当按照《操作手册》规定，在投标截止时间前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并上传电子投标文件。</w:t>
      </w:r>
      <w:bookmarkStart w:id="140" w:name="_Toc513029226"/>
      <w:r/>
      <w:bookmarkStart w:id="141" w:name="_Toc20823298"/>
      <w:r/>
      <w:bookmarkStart w:id="142" w:name="_Toc16938542"/>
      <w:r/>
      <w:r/>
    </w:p>
    <w:p>
      <w:pPr>
        <w:ind w:firstLine="560"/>
        <w:jc w:val="left"/>
        <w:keepLines/>
        <w:keepNext/>
        <w:pageBreakBefore w:val="0"/>
        <w:spacing w:line="360" w:lineRule="auto"/>
        <w:widowControl w:val="off"/>
        <w:rPr>
          <w:rFonts w:hint="eastAsia" w:ascii="宋体" w:hAnsi="宋体" w:eastAsia="黑体" w:cs="Arial"/>
          <w:bCs/>
          <w:color w:val="auto"/>
          <w:sz w:val="24"/>
          <w:szCs w:val="28"/>
          <w:highlight w:val="none"/>
        </w:rPr>
        <w:outlineLvl w:val="1"/>
      </w:pPr>
      <w:r>
        <w:rPr>
          <w:rFonts w:ascii="Arial" w:hAnsi="Arial" w:eastAsia="黑体" w:cs="Arial"/>
          <w:bCs/>
          <w:color w:val="auto"/>
          <w:sz w:val="28"/>
          <w:szCs w:val="28"/>
          <w:highlight w:val="none"/>
        </w:rPr>
        <w:t xml:space="preserve">18</w:t>
      </w:r>
      <w:r>
        <w:rPr>
          <w:rFonts w:hint="eastAsia" w:ascii="Arial" w:hAnsi="Arial" w:eastAsia="黑体" w:cs="Arial"/>
          <w:bCs/>
          <w:color w:val="auto"/>
          <w:sz w:val="28"/>
          <w:szCs w:val="28"/>
          <w:highlight w:val="none"/>
        </w:rPr>
        <w:t xml:space="preserve">、投标截止日期</w:t>
      </w:r>
      <w:bookmarkEnd w:id="140"/>
      <w:r/>
      <w:bookmarkEnd w:id="141"/>
      <w:r/>
      <w:bookmarkEnd w:id="142"/>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投标人上传电子投标文件的时间不得迟于招标公告中规定的投标截止时间。</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.1.2条规定做无效投标处理。</w:t>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43" w:name="_Toc16938543"/>
      <w:r/>
      <w:bookmarkStart w:id="144" w:name="_Toc513029227"/>
      <w:r/>
      <w:bookmarkStart w:id="145" w:name="_Toc20823299"/>
      <w:r>
        <w:rPr>
          <w:rFonts w:ascii="Arial" w:hAnsi="Arial" w:eastAsia="黑体" w:cs="Arial"/>
          <w:color w:val="auto"/>
          <w:sz w:val="28"/>
          <w:szCs w:val="28"/>
          <w:highlight w:val="none"/>
        </w:rPr>
        <w:t xml:space="preserve">19</w:t>
      </w:r>
      <w:r>
        <w:rPr>
          <w:rFonts w:hint="eastAsia" w:ascii="Arial" w:hAnsi="Arial" w:eastAsia="黑体" w:cs="Arial"/>
          <w:color w:val="auto"/>
          <w:sz w:val="28"/>
          <w:szCs w:val="28"/>
          <w:highlight w:val="none"/>
        </w:rPr>
        <w:t xml:space="preserve">、投标文件</w:t>
      </w:r>
      <w:bookmarkEnd w:id="143"/>
      <w:r/>
      <w:bookmarkEnd w:id="144"/>
      <w:r/>
      <w:bookmarkEnd w:id="145"/>
      <w:r>
        <w:rPr>
          <w:rFonts w:hint="eastAsia" w:ascii="Arial" w:hAnsi="Arial" w:eastAsia="黑体" w:cs="Arial"/>
          <w:color w:val="auto"/>
          <w:sz w:val="28"/>
          <w:szCs w:val="28"/>
          <w:highlight w:val="none"/>
        </w:rPr>
        <w:t xml:space="preserve">的拒收</w:t>
      </w:r>
      <w:r/>
    </w:p>
    <w:p>
      <w:pPr>
        <w:ind w:firstLine="480"/>
        <w:jc w:val="left"/>
        <w:pageBreakBefore w:val="0"/>
        <w:spacing w:line="360" w:lineRule="auto"/>
        <w:widowControl w:val="off"/>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拒绝接收在其规定的投标截止时间后上传的任何投标文件。</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46" w:name="_Toc513029228"/>
      <w:r/>
      <w:bookmarkStart w:id="147" w:name="_Toc20823300"/>
      <w:r/>
      <w:bookmarkStart w:id="148" w:name="_Toc1693854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、投标文件的撤回和修改</w:t>
      </w:r>
      <w:bookmarkEnd w:id="146"/>
      <w:r/>
      <w:bookmarkEnd w:id="147"/>
      <w:r/>
      <w:bookmarkEnd w:id="148"/>
      <w:r/>
      <w:r/>
    </w:p>
    <w:p>
      <w:pPr>
        <w:ind w:firstLine="480"/>
        <w:jc w:val="left"/>
        <w:pageBreakBefore w:val="0"/>
        <w:spacing w:line="360" w:lineRule="auto"/>
        <w:widowControl w:val="off"/>
        <w:rPr>
          <w:rFonts w:hint="eastAsia" w:ascii="宋体" w:hAnsi="宋体"/>
          <w:color w:val="auto"/>
          <w:sz w:val="24"/>
          <w:szCs w:val="21"/>
          <w:highlight w:val="none"/>
        </w:rPr>
        <w:outlineLvl w:val="2"/>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投标文件的撤回</w:t>
      </w:r>
      <w:r/>
    </w:p>
    <w:p>
      <w:pPr>
        <w:ind w:firstLine="480"/>
        <w:jc w:val="left"/>
        <w:pageBreakBefore w:val="0"/>
        <w:spacing w:line="360" w:lineRule="auto"/>
        <w:widowControl w:val="off"/>
        <w:rPr>
          <w:rFonts w:hint="eastAsia" w:ascii="宋体" w:hAnsi="宋体"/>
          <w:color w:val="auto"/>
          <w:sz w:val="24"/>
          <w:szCs w:val="21"/>
          <w:highlight w:val="none"/>
        </w:rPr>
        <w:outlineLvl w:val="3"/>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.1.1 电子投标文件的撤回</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jc w:val="left"/>
        <w:pageBreakBefore w:val="0"/>
        <w:spacing w:line="360" w:lineRule="auto"/>
        <w:widowControl w:val="off"/>
        <w:rPr>
          <w:rFonts w:hint="eastAsia" w:ascii="宋体" w:hAnsi="宋体"/>
          <w:color w:val="auto"/>
          <w:sz w:val="24"/>
          <w:szCs w:val="24"/>
          <w:highlight w:val="none"/>
        </w:rPr>
        <w:outlineLvl w:val="3"/>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jc w:val="left"/>
        <w:pageBreakBefore w:val="0"/>
        <w:spacing w:line="360" w:lineRule="auto"/>
        <w:widowControl w:val="off"/>
        <w:rPr>
          <w:rFonts w:hint="eastAsia" w:ascii="宋体" w:hAnsi="宋体"/>
          <w:color w:val="auto"/>
          <w:sz w:val="24"/>
          <w:szCs w:val="24"/>
          <w:highlight w:val="none"/>
        </w:rPr>
        <w:outlineLvl w:val="2"/>
      </w:pPr>
      <w:r>
        <w:rPr>
          <w:rFonts w:hint="eastAsia" w:ascii="宋体" w:hAnsi="宋体"/>
          <w:color w:val="auto"/>
          <w:sz w:val="24"/>
          <w:szCs w:val="24"/>
          <w:highlight w:val="none"/>
        </w:rPr>
        <w:t xml:space="preserve">2</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 投标文件的修改</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.2.1投标人可在投标截止时间前，对其电子投标文件进行修改，具体操作方法见《操作手册》。</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149" w:name="_Toc513029229"/>
      <w:r/>
      <w:bookmarkStart w:id="150" w:name="_Toc20823301"/>
      <w:r/>
      <w:bookmarkStart w:id="151" w:name="_Toc120614218"/>
      <w:r/>
      <w:bookmarkStart w:id="152" w:name="_Toc27084"/>
      <w:r/>
      <w:bookmarkStart w:id="153" w:name="_Toc16938545"/>
      <w:r>
        <w:rPr>
          <w:rFonts w:hint="eastAsia"/>
          <w:b/>
          <w:bCs/>
          <w:color w:val="auto"/>
          <w:sz w:val="32"/>
          <w:szCs w:val="32"/>
          <w:highlight w:val="none"/>
        </w:rPr>
        <w:t xml:space="preserve">五、开标与评标</w:t>
      </w:r>
      <w:bookmarkEnd w:id="149"/>
      <w:r/>
      <w:bookmarkEnd w:id="150"/>
      <w:r/>
      <w:bookmarkEnd w:id="151"/>
      <w:r/>
      <w:bookmarkEnd w:id="152"/>
      <w:r/>
      <w:bookmarkEnd w:id="153"/>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54" w:name="_Toc20823302"/>
      <w:r/>
      <w:bookmarkStart w:id="155" w:name="_Toc513029230"/>
      <w:r/>
      <w:bookmarkStart w:id="156" w:name="_Toc16938546"/>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、开标</w:t>
      </w:r>
      <w:bookmarkEnd w:id="154"/>
      <w:r/>
      <w:bookmarkEnd w:id="155"/>
      <w:r/>
      <w:bookmarkEnd w:id="156"/>
      <w:r/>
      <w:r/>
    </w:p>
    <w:p>
      <w:pPr>
        <w:ind w:firstLine="480"/>
        <w:jc w:val="left"/>
        <w:pageBreakBefore w:val="0"/>
        <w:spacing w:line="360" w:lineRule="auto"/>
        <w:widowControl w:val="off"/>
        <w:rPr>
          <w:rFonts w:hint="eastAsia"/>
          <w:color w:val="auto"/>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.2</w:t>
      </w:r>
      <w:r>
        <w:rPr>
          <w:rFonts w:hint="eastAsia" w:ascii="宋体" w:hAnsi="宋体"/>
          <w:color w:val="auto"/>
          <w:sz w:val="24"/>
          <w:szCs w:val="24"/>
          <w:highlight w:val="none"/>
        </w:rPr>
        <w:t xml:space="preserve">开标仪式由</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组织。苏采云系统将自动对</w:t>
      </w:r>
      <w:r>
        <w:rPr>
          <w:rFonts w:ascii="宋体" w:hAnsi="宋体"/>
          <w:color w:val="auto"/>
          <w:sz w:val="24"/>
          <w:szCs w:val="24"/>
          <w:highlight w:val="none"/>
        </w:rPr>
        <w:t xml:space="preserve">项目进行开标，</w:t>
      </w:r>
      <w:r>
        <w:rPr>
          <w:rFonts w:hint="eastAsia" w:ascii="宋体" w:hAnsi="宋体"/>
          <w:color w:val="auto"/>
          <w:sz w:val="24"/>
          <w:szCs w:val="24"/>
          <w:highlight w:val="none"/>
        </w:rPr>
        <w:t xml:space="preserve">并宣布各投标人名称和投标价格。</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1</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57" w:name="_Toc16938547"/>
      <w:r/>
      <w:bookmarkStart w:id="158" w:name="_Toc513029231"/>
      <w:r/>
      <w:bookmarkStart w:id="159" w:name="_Toc2082330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rPr>
        <w:t xml:space="preserve">、评标委员会</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将立即组织评标委员会（以下简称评委会）进行评标。</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 评委会由采购人代表和有关技术、经济等方面的专家组成，且人员构成符合政府采购有关规定。</w:t>
      </w:r>
      <w:r/>
    </w:p>
    <w:p>
      <w:pPr>
        <w:ind w:lef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.3评委会独立工作，负责评审所有投标文件并确定中标侯选人。</w:t>
      </w:r>
      <w:r/>
    </w:p>
    <w:p>
      <w:pPr>
        <w:ind w:firstLine="560"/>
        <w:jc w:val="left"/>
        <w:keepLines/>
        <w:keepNext/>
        <w:pageBreakBefore w:val="0"/>
        <w:spacing w:line="360" w:lineRule="auto"/>
        <w:widowControl w:val="off"/>
        <w:rPr>
          <w:rFonts w:hint="eastAsia" w:ascii="黑体" w:hAnsi="Arial" w:eastAsia="黑体" w:cs="Arial"/>
          <w:color w:val="auto"/>
          <w:sz w:val="28"/>
          <w:szCs w:val="28"/>
          <w:highlight w:val="none"/>
        </w:rPr>
        <w:outlineLvl w:val="1"/>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3</w:t>
      </w:r>
      <w:r>
        <w:rPr>
          <w:rFonts w:hint="eastAsia" w:ascii="黑体" w:hAnsi="Arial" w:eastAsia="黑体" w:cs="Arial"/>
          <w:color w:val="auto"/>
          <w:sz w:val="28"/>
          <w:szCs w:val="28"/>
          <w:highlight w:val="none"/>
        </w:rPr>
        <w:t xml:space="preserve">、评标过程的保密与公正</w:t>
      </w:r>
      <w:bookmarkEnd w:id="157"/>
      <w:r/>
      <w:bookmarkEnd w:id="158"/>
      <w:r/>
      <w:bookmarkEnd w:id="159"/>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均不得向投标人或与评标无关的其他人员透露。</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bookmarkStart w:id="160" w:name="_Toc513029232"/>
      <w:r/>
      <w:bookmarkStart w:id="161" w:name="_Toc20823304"/>
      <w:r/>
      <w:bookmarkStart w:id="162" w:name="_Toc1693854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、投标文件的澄清</w:t>
      </w:r>
      <w:bookmarkEnd w:id="160"/>
      <w:r/>
      <w:bookmarkEnd w:id="161"/>
      <w:r/>
      <w:bookmarkEnd w:id="162"/>
      <w:r/>
      <w:r/>
    </w:p>
    <w:p>
      <w:pPr>
        <w:ind w:firstLine="480"/>
        <w:jc w:val="left"/>
        <w:pageBreakBefore w:val="0"/>
        <w:spacing w:line="360" w:lineRule="auto"/>
        <w:widowControl w:val="off"/>
        <w:rPr>
          <w:rFonts w:ascii="宋体" w:hAnsi="宋体"/>
          <w:color w:val="auto"/>
          <w:sz w:val="24"/>
          <w:szCs w:val="24"/>
          <w:highlight w:val="none"/>
        </w:rPr>
      </w:pPr>
      <w:r/>
      <w:bookmarkStart w:id="163" w:name="_Toc20823305"/>
      <w:r/>
      <w:bookmarkStart w:id="164" w:name="_Toc513029233"/>
      <w:r/>
      <w:bookmarkStart w:id="165" w:name="_Toc16938549"/>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、对投标文件的初审</w:t>
      </w:r>
      <w:bookmarkEnd w:id="163"/>
      <w:r/>
      <w:bookmarkEnd w:id="164"/>
      <w:r/>
      <w:bookmarkEnd w:id="165"/>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t>
      </w:r>
      <w:r>
        <w:rPr>
          <w:bCs/>
          <w:color w:val="auto"/>
          <w:szCs w:val="21"/>
          <w:highlight w:val="none"/>
        </w:rPr>
        <w:t xml:space="preserve">（www.creditchina.gov.cn）</w:t>
      </w:r>
      <w:r>
        <w:rPr>
          <w:rFonts w:hint="eastAsia" w:ascii="宋体" w:hAnsi="宋体"/>
          <w:bCs/>
          <w:color w:val="auto"/>
          <w:sz w:val="24"/>
          <w:szCs w:val="21"/>
          <w:highlight w:val="none"/>
        </w:rPr>
        <w:t xml:space="preserve">查询投标人的信用记录，以确定投标人是否具备投标资格,查询结果留存并归档。</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bCs/>
          <w:color w:val="auto"/>
          <w:sz w:val="24"/>
          <w:szCs w:val="21"/>
          <w:highlight w:val="none"/>
        </w:rPr>
        <w:t xml:space="preserve">.1.3 未通过资格审查或符合性审查的投标人，</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w:t>
      </w:r>
      <w:r>
        <w:rPr>
          <w:rFonts w:hint="eastAsia" w:ascii="宋体" w:hAnsi="宋体"/>
          <w:bCs/>
          <w:color w:val="auto"/>
          <w:sz w:val="24"/>
          <w:szCs w:val="21"/>
          <w:highlight w:val="none"/>
          <w:lang w:eastAsia="zh-CN"/>
        </w:rPr>
        <w:t xml:space="preserve">采购代理机构</w:t>
      </w:r>
      <w:r>
        <w:rPr>
          <w:rFonts w:hint="eastAsia" w:ascii="宋体" w:hAnsi="宋体"/>
          <w:bCs/>
          <w:color w:val="auto"/>
          <w:sz w:val="24"/>
          <w:szCs w:val="21"/>
          <w:highlight w:val="none"/>
        </w:rPr>
        <w:t xml:space="preserve">将不再告知未通过资格审查或符合性审查的原因。</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jc w:val="left"/>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jc w:val="left"/>
        <w:pageBreakBefore w:val="0"/>
        <w:spacing w:line="360" w:lineRule="auto"/>
        <w:widowControl w:val="off"/>
        <w:rPr>
          <w:rFonts w:ascii="宋体" w:hAnsi="宋体"/>
          <w:color w:val="auto"/>
          <w:sz w:val="24"/>
          <w:szCs w:val="21"/>
          <w:highlight w:val="none"/>
        </w:rPr>
      </w:pPr>
      <w:r/>
      <w:bookmarkStart w:id="166" w:name="_Toc20823306"/>
      <w:r/>
      <w:bookmarkStart w:id="167" w:name="_Toc16938550"/>
      <w:r/>
      <w:bookmarkStart w:id="168"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.6</w:t>
      </w:r>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jc w:val="left"/>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r/>
    </w:p>
    <w:p>
      <w:pPr>
        <w:ind w:firstLine="480"/>
        <w:jc w:val="left"/>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80"/>
        <w:jc w:val="left"/>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5</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采购代理机构</w:t>
      </w:r>
      <w:r>
        <w:rPr>
          <w:rFonts w:hint="eastAsia" w:ascii="宋体" w:hAnsi="宋体"/>
          <w:color w:val="auto"/>
          <w:sz w:val="24"/>
          <w:szCs w:val="21"/>
          <w:highlight w:val="none"/>
        </w:rPr>
        <w:t xml:space="preserve">及评标委员会联系。</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 异常低价投标审查</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25.8.1 根据《关于推动解决政府采购异常低价问题的通知》(财库[2026]2号)文件要求</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评标过程中出现下列情形之一的，评标委员会应当启动异常低价投标审查程序：</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（3）投标（响应）报价低于采购项目最高限价45%的，即投标（响应）报价&lt;采购项目最高限价×45%；</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相关法律法规对供应商报价有规定的，从其规定</w:t>
      </w:r>
      <w:r>
        <w:rPr>
          <w:rFonts w:hint="eastAsia" w:ascii="宋体" w:hAnsi="宋体"/>
          <w:color w:val="auto"/>
          <w:sz w:val="24"/>
          <w:szCs w:val="21"/>
          <w:highlight w:val="none"/>
        </w:rPr>
        <w:t xml:space="preserve">。</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25.8.2 </w:t>
      </w:r>
      <w:r>
        <w:rPr>
          <w:rFonts w:hint="eastAsia" w:ascii="宋体" w:hAnsi="宋体"/>
          <w:color w:val="auto"/>
          <w:sz w:val="24"/>
          <w:szCs w:val="21"/>
          <w:highlight w:val="none"/>
          <w:lang w:val="en-US" w:eastAsia="zh-CN"/>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异常低价投标（响应）审查的启动原因、审查意见和审查结果在评审报告中记录，并随供应商提供的相关书面说明及证明材料，以及评审委员会有关互联网浏览、查询历史一并归档</w:t>
      </w:r>
      <w:r>
        <w:rPr>
          <w:rFonts w:hint="eastAsia" w:ascii="宋体" w:hAnsi="宋体"/>
          <w:color w:val="auto"/>
          <w:sz w:val="24"/>
          <w:szCs w:val="21"/>
          <w:highlight w:val="none"/>
        </w:rPr>
        <w:t xml:space="preserve">。</w:t>
      </w:r>
      <w:r/>
    </w:p>
    <w:p>
      <w:pPr>
        <w:ind w:firstLine="560"/>
        <w:jc w:val="left"/>
        <w:keepLines/>
        <w:keepNext/>
        <w:pageBreakBefore w:val="0"/>
        <w:spacing w:line="360" w:lineRule="auto"/>
        <w:widowControl w:val="off"/>
        <w:rPr>
          <w:rFonts w:hint="eastAsia" w:ascii="Arial" w:hAnsi="Arial" w:eastAsia="黑体" w:cs="Arial"/>
          <w:color w:val="auto"/>
          <w:sz w:val="28"/>
          <w:szCs w:val="28"/>
          <w:highlight w:val="none"/>
        </w:rPr>
        <w:outlineLvl w:val="1"/>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w:t>
      </w:r>
      <w:bookmarkEnd w:id="166"/>
      <w:r/>
      <w:bookmarkEnd w:id="167"/>
      <w:r/>
      <w:bookmarkEnd w:id="168"/>
      <w:r>
        <w:rPr>
          <w:rFonts w:hint="eastAsia" w:ascii="Arial" w:hAnsi="Arial" w:eastAsia="黑体" w:cs="Arial"/>
          <w:color w:val="auto"/>
          <w:sz w:val="28"/>
          <w:szCs w:val="28"/>
          <w:highlight w:val="none"/>
        </w:rPr>
        <w:t xml:space="preserve">无效投标条款和废标条款</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bookmarkStart w:id="169" w:name="_Toc16938551"/>
      <w:r/>
      <w:bookmarkStart w:id="170" w:name="_Toc20823307"/>
      <w:r/>
      <w:bookmarkStart w:id="171" w:name="_Toc513029235"/>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.1无效投标条款</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投标人未按照招标文件要求上传电子投标文件的。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 投标人同一</w:t>
      </w:r>
      <w:r>
        <w:rPr>
          <w:rFonts w:ascii="宋体" w:hAnsi="宋体"/>
          <w:bCs/>
          <w:color w:val="auto"/>
          <w:sz w:val="24"/>
          <w:szCs w:val="21"/>
          <w:highlight w:val="none"/>
        </w:rPr>
        <w:t xml:space="preserve">采购包</w:t>
      </w:r>
      <w:r>
        <w:rPr>
          <w:rFonts w:hint="eastAsia" w:ascii="宋体" w:hAnsi="宋体"/>
          <w:bCs/>
          <w:color w:val="auto"/>
          <w:sz w:val="24"/>
          <w:szCs w:val="21"/>
          <w:highlight w:val="none"/>
        </w:rPr>
        <w:t xml:space="preserve">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jc w:val="left"/>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480"/>
        <w:jc w:val="left"/>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不符合招标文件中规定的实质性要求的</w:t>
      </w:r>
      <w:r>
        <w:rPr>
          <w:rFonts w:hint="eastAsia" w:ascii="宋体" w:hAnsi="宋体"/>
          <w:b/>
          <w:bCs/>
          <w:color w:val="auto"/>
          <w:sz w:val="24"/>
          <w:szCs w:val="21"/>
          <w:highlight w:val="none"/>
        </w:rPr>
        <w:t xml:space="preserve">（本招标文件中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条款为实质性要求）</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  投标文件含有采购人不能接受的附加条件的。</w:t>
      </w:r>
      <w:r/>
    </w:p>
    <w:p>
      <w:pPr>
        <w:ind w:firstLine="480"/>
        <w:jc w:val="left"/>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26.1.10 评标委员会按照本招标文件规定对投标人进行异常低价投标审查后，认为投标人不能证明其报价合理性的。</w:t>
      </w:r>
      <w:r/>
    </w:p>
    <w:p>
      <w:pPr>
        <w:ind w:firstLine="480"/>
        <w:jc w:val="left"/>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投标文件未按照招标文件要求加盖CA电子公章的。</w:t>
      </w:r>
      <w:r/>
    </w:p>
    <w:p>
      <w:pPr>
        <w:ind w:firstLine="480"/>
        <w:jc w:val="left"/>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26.1.13 投标人所投标产品不符合招标文件中所列国家强制性标准的。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.1.14其他法律、法规及本招标文件规定的属无效投标的情形。</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.2废标条款 </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.2.1符合专业条件的供应商或者对招标文件作实质响应的供应商不足三</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家的。</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.2.2出现影响采购公正的违法、违规行为的。</w:t>
      </w:r>
      <w:r/>
    </w:p>
    <w:p>
      <w:pPr>
        <w:ind w:left="0"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.2.3因重大变故，采购任务取消的。</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.2.4评标委员会认定招标文件存在歧义、重大缺陷导致评审工作无法进</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行。</w:t>
      </w:r>
      <w:r/>
    </w:p>
    <w:p>
      <w:pPr>
        <w:ind w:left="0" w:firstLine="480"/>
        <w:jc w:val="left"/>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  </w:t>
      </w:r>
      <w:r/>
    </w:p>
    <w:p>
      <w:pPr>
        <w:ind w:left="0" w:firstLine="480"/>
        <w:jc w:val="left"/>
        <w:pageBreakBefore w:val="0"/>
        <w:spacing w:line="360" w:lineRule="auto"/>
        <w:widowControl w:val="off"/>
        <w:rPr>
          <w:rFonts w:hint="eastAsia" w:ascii="宋体" w:hAnsi="宋体"/>
          <w:bCs/>
          <w:color w:val="auto"/>
          <w:sz w:val="24"/>
          <w:szCs w:val="21"/>
          <w:highlight w:val="none"/>
        </w:rPr>
        <w:outlineLvl w:val="2"/>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 投标截止时间结束后参加投标的供应商不足三家的处理：</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640"/>
        <w:jc w:val="left"/>
        <w:keepLines/>
        <w:keepNext/>
        <w:pageBreakBefore w:val="0"/>
        <w:spacing w:line="360" w:lineRule="auto"/>
        <w:widowControl w:val="off"/>
        <w:rPr>
          <w:rFonts w:hint="eastAsia"/>
          <w:b/>
          <w:bCs/>
          <w:color w:val="auto"/>
          <w:sz w:val="32"/>
          <w:szCs w:val="32"/>
          <w:highlight w:val="none"/>
        </w:rPr>
        <w:outlineLvl w:val="0"/>
      </w:pPr>
      <w:r/>
      <w:bookmarkStart w:id="172" w:name="_Toc120614219"/>
      <w:r/>
      <w:bookmarkStart w:id="173" w:name="_Toc27742"/>
      <w:r>
        <w:rPr>
          <w:rFonts w:hint="eastAsia"/>
          <w:b/>
          <w:bCs/>
          <w:color w:val="auto"/>
          <w:sz w:val="32"/>
          <w:szCs w:val="32"/>
          <w:highlight w:val="none"/>
        </w:rPr>
        <w:t xml:space="preserve">六、</w:t>
      </w:r>
      <w:bookmarkEnd w:id="169"/>
      <w:r/>
      <w:bookmarkEnd w:id="170"/>
      <w:r/>
      <w:bookmarkEnd w:id="171"/>
      <w:r>
        <w:rPr>
          <w:rFonts w:hint="eastAsia"/>
          <w:b/>
          <w:bCs/>
          <w:color w:val="auto"/>
          <w:sz w:val="32"/>
          <w:szCs w:val="32"/>
          <w:highlight w:val="none"/>
        </w:rPr>
        <w:t xml:space="preserve">定标</w:t>
      </w:r>
      <w:bookmarkEnd w:id="172"/>
      <w:r/>
      <w:bookmarkEnd w:id="173"/>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bookmarkStart w:id="174" w:name="_Toc513029238"/>
      <w:r/>
      <w:bookmarkStart w:id="175" w:name="_Toc20823310"/>
      <w:r/>
      <w:bookmarkStart w:id="176" w:name="_Toc16938554"/>
      <w:r>
        <w:rPr>
          <w:rFonts w:hint="eastAsia" w:ascii="黑体" w:hAnsi="宋体" w:eastAsia="黑体"/>
          <w:bCs/>
          <w:color w:val="auto"/>
          <w:sz w:val="30"/>
          <w:szCs w:val="30"/>
          <w:highlight w:val="none"/>
        </w:rPr>
        <w:t xml:space="preserve">2</w:t>
      </w:r>
      <w:r>
        <w:rPr>
          <w:rFonts w:ascii="黑体" w:hAnsi="宋体" w:eastAsia="黑体"/>
          <w:bCs/>
          <w:color w:val="auto"/>
          <w:sz w:val="30"/>
          <w:szCs w:val="30"/>
          <w:highlight w:val="none"/>
        </w:rPr>
        <w:t xml:space="preserve">7</w:t>
      </w:r>
      <w:r>
        <w:rPr>
          <w:rFonts w:hint="eastAsia" w:ascii="黑体" w:hAnsi="宋体" w:eastAsia="黑体"/>
          <w:bCs/>
          <w:color w:val="auto"/>
          <w:sz w:val="30"/>
          <w:szCs w:val="30"/>
          <w:highlight w:val="none"/>
        </w:rPr>
        <w:t xml:space="preserve">、</w:t>
      </w:r>
      <w:bookmarkEnd w:id="174"/>
      <w:r>
        <w:rPr>
          <w:rFonts w:hint="eastAsia" w:ascii="黑体" w:hAnsi="宋体" w:eastAsia="黑体"/>
          <w:bCs/>
          <w:color w:val="auto"/>
          <w:sz w:val="30"/>
          <w:szCs w:val="30"/>
          <w:highlight w:val="none"/>
        </w:rPr>
        <w:t xml:space="preserve">确定</w:t>
      </w:r>
      <w:bookmarkEnd w:id="175"/>
      <w:r/>
      <w:bookmarkEnd w:id="176"/>
      <w:r>
        <w:rPr>
          <w:rFonts w:hint="eastAsia" w:ascii="黑体" w:hAnsi="宋体" w:eastAsia="黑体"/>
          <w:bCs/>
          <w:color w:val="auto"/>
          <w:sz w:val="30"/>
          <w:szCs w:val="30"/>
          <w:highlight w:val="none"/>
        </w:rPr>
        <w:t xml:space="preserve">中标单位</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27.1中标候选人的选取原则和数量见招标文件第五章规定。 </w:t>
      </w:r>
      <w:r/>
    </w:p>
    <w:p>
      <w:pPr>
        <w:ind w:firstLine="480"/>
        <w:jc w:val="left"/>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27.2 采购人应根据评委会推荐的中标候选人确定中标供应商。</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 若有充分证据证明，中标供应商出现下列情况之一的，一经查实，将被取消中标资格：</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行贿或者提供其他不正当利益的。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jc w:val="left"/>
        <w:pageBreakBefore w:val="0"/>
        <w:spacing w:line="360" w:lineRule="auto"/>
        <w:widowControl w:val="off"/>
        <w:rPr>
          <w:rFonts w:ascii="宋体" w:hAnsi="宋体"/>
          <w:color w:val="auto"/>
          <w:sz w:val="24"/>
          <w:szCs w:val="24"/>
          <w:highlight w:val="none"/>
        </w:rPr>
      </w:pPr>
      <w:r/>
      <w:bookmarkStart w:id="177"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ascii="黑体" w:hAnsi="宋体" w:eastAsia="黑体"/>
          <w:bCs/>
          <w:color w:val="auto"/>
          <w:sz w:val="30"/>
          <w:szCs w:val="30"/>
          <w:highlight w:val="none"/>
        </w:rPr>
        <w:t xml:space="preserve">28</w:t>
      </w:r>
      <w:r>
        <w:rPr>
          <w:rFonts w:hint="eastAsia" w:ascii="黑体" w:hAnsi="宋体" w:eastAsia="黑体"/>
          <w:bCs/>
          <w:color w:val="auto"/>
          <w:sz w:val="30"/>
          <w:szCs w:val="30"/>
          <w:highlight w:val="none"/>
        </w:rPr>
        <w:t xml:space="preserve">、质疑处理</w:t>
      </w:r>
      <w:bookmarkEnd w:id="177"/>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hAnsi="宋体" w:cs="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Ansi="宋体" w:cs="宋体"/>
          <w:color w:val="auto"/>
          <w:sz w:val="24"/>
          <w:szCs w:val="24"/>
          <w:highlight w:val="none"/>
        </w:rPr>
        <w:br/>
      </w:r>
      <w:r>
        <w:rPr>
          <w:rFonts w:ascii="宋体" w:hAnsi="宋体"/>
          <w:color w:val="auto"/>
          <w:sz w:val="24"/>
          <w:szCs w:val="24"/>
          <w:highlight w:val="none"/>
        </w:rPr>
        <w:t xml:space="preserve">28.</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Ansi="宋体" w:cs="宋体"/>
          <w:color w:val="auto"/>
          <w:sz w:val="24"/>
          <w:szCs w:val="24"/>
          <w:highlight w:val="none"/>
        </w:rPr>
        <w:br/>
      </w:r>
      <w:r>
        <w:rPr>
          <w:rFonts w:ascii="宋体" w:hAnsi="宋体"/>
          <w:color w:val="auto"/>
          <w:sz w:val="24"/>
          <w:szCs w:val="24"/>
          <w:highlight w:val="none"/>
        </w:rPr>
        <w:t xml:space="preserve">28.</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对中标或者成交结果提出质疑的，为中标或者成交结果公告期限届满之日。</w:t>
      </w:r>
      <w:r/>
    </w:p>
    <w:p>
      <w:pPr>
        <w:ind w:firstLine="480"/>
        <w:jc w:val="left"/>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auto"/>
          <w:sz w:val="24"/>
          <w:szCs w:val="24"/>
          <w:highlight w:val="none"/>
          <w:lang w:eastAsia="zh-CN"/>
        </w:rPr>
        <w:t xml:space="preserve">采购代理机构</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pageBreakBefore w:val="0"/>
        <w:spacing w:line="360" w:lineRule="auto"/>
        <w:widowControl w:val="off"/>
        <w:rPr>
          <w:rFonts w:ascii="宋体" w:hAnsi="宋体"/>
          <w:b/>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4 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评标方法与</w:t>
      </w:r>
      <w:r>
        <w:rPr>
          <w:rFonts w:ascii="宋体" w:hAnsi="宋体"/>
          <w:color w:val="auto"/>
          <w:sz w:val="24"/>
          <w:szCs w:val="24"/>
          <w:highlight w:val="none"/>
        </w:rPr>
        <w:t xml:space="preserve">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rPr>
          <w:rFonts w:hint="eastAsia" w:ascii="宋体" w:hAnsi="宋体"/>
          <w:color w:val="auto"/>
          <w:sz w:val="24"/>
          <w:szCs w:val="24"/>
          <w:highlight w:val="none"/>
        </w:rPr>
        <w:t xml:space="preserve">供应商对</w:t>
      </w:r>
      <w:r>
        <w:rPr>
          <w:rFonts w:ascii="宋体" w:hAnsi="宋体"/>
          <w:color w:val="auto"/>
          <w:sz w:val="24"/>
          <w:szCs w:val="24"/>
          <w:highlight w:val="none"/>
        </w:rPr>
        <w:t xml:space="preserve">其他事项</w:t>
      </w:r>
      <w:r>
        <w:rPr>
          <w:rFonts w:hint="eastAsia" w:ascii="宋体" w:hAnsi="宋体"/>
          <w:color w:val="auto"/>
          <w:sz w:val="24"/>
          <w:szCs w:val="24"/>
          <w:highlight w:val="none"/>
        </w:rPr>
        <w:t xml:space="preserve">的询问</w:t>
      </w:r>
      <w:r>
        <w:rPr>
          <w:rFonts w:ascii="宋体" w:hAnsi="宋体"/>
          <w:color w:val="auto"/>
          <w:sz w:val="24"/>
          <w:szCs w:val="24"/>
          <w:highlight w:val="none"/>
        </w:rPr>
        <w:t xml:space="preserve">、质疑请向采购</w:t>
      </w:r>
      <w:r>
        <w:rPr>
          <w:rFonts w:hint="eastAsia" w:ascii="宋体" w:hAnsi="宋体"/>
          <w:color w:val="auto"/>
          <w:sz w:val="24"/>
          <w:szCs w:val="24"/>
          <w:highlight w:val="none"/>
          <w:lang w:val="en-US" w:eastAsia="zh-CN"/>
        </w:rPr>
        <w:t xml:space="preserve">代理机构</w:t>
      </w:r>
      <w:r>
        <w:rPr>
          <w:rFonts w:ascii="宋体" w:hAnsi="宋体"/>
          <w:color w:val="auto"/>
          <w:sz w:val="24"/>
          <w:szCs w:val="24"/>
          <w:highlight w:val="none"/>
        </w:rPr>
        <w:t xml:space="preserve">提出，由</w:t>
      </w:r>
      <w:r>
        <w:rPr>
          <w:rFonts w:hint="eastAsia" w:ascii="宋体" w:hAnsi="宋体"/>
          <w:color w:val="auto"/>
          <w:sz w:val="24"/>
          <w:szCs w:val="24"/>
          <w:highlight w:val="none"/>
          <w:lang w:val="en-US" w:eastAsia="zh-CN"/>
        </w:rPr>
        <w:t xml:space="preserve">采购代理机构</w:t>
      </w:r>
      <w:r>
        <w:rPr>
          <w:rFonts w:hint="eastAsia" w:ascii="宋体" w:hAnsi="宋体"/>
          <w:color w:val="auto"/>
          <w:sz w:val="24"/>
          <w:szCs w:val="24"/>
          <w:highlight w:val="none"/>
        </w:rPr>
        <w:t xml:space="preserve">负责</w:t>
      </w:r>
      <w:r>
        <w:rPr>
          <w:rFonts w:ascii="宋体" w:hAnsi="宋体"/>
          <w:color w:val="auto"/>
          <w:sz w:val="24"/>
          <w:szCs w:val="24"/>
          <w:highlight w:val="none"/>
        </w:rPr>
        <w:t xml:space="preserve">答复。</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采购人及采购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只接收以纸质原件形式送达的质疑,建议供应商尽量通过邮寄方式提交质疑（采购人和采购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不接受无快递运</w:t>
      </w:r>
      <w:r>
        <w:rPr>
          <w:rFonts w:ascii="宋体" w:hAnsi="宋体"/>
          <w:color w:val="auto"/>
          <w:sz w:val="24"/>
          <w:szCs w:val="24"/>
          <w:highlight w:val="none"/>
        </w:rPr>
        <w:t xml:space="preserve">单号</w:t>
      </w:r>
      <w:r>
        <w:rPr>
          <w:rFonts w:hint="eastAsia" w:ascii="宋体" w:hAnsi="宋体"/>
          <w:color w:val="auto"/>
          <w:sz w:val="24"/>
          <w:szCs w:val="24"/>
          <w:highlight w:val="none"/>
        </w:rPr>
        <w:t xml:space="preserve">的快递）。</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质疑接收部门为</w:t>
      </w:r>
      <w:r>
        <w:rPr>
          <w:rFonts w:hint="eastAsia" w:ascii="宋体" w:hAnsi="宋体"/>
          <w:color w:val="auto"/>
          <w:sz w:val="24"/>
          <w:szCs w:val="24"/>
          <w:highlight w:val="none"/>
          <w:lang w:val="en-US" w:eastAsia="zh-CN"/>
        </w:rPr>
        <w:t xml:space="preserve">招标代理部</w:t>
      </w:r>
      <w:r>
        <w:rPr>
          <w:rFonts w:hint="eastAsia" w:ascii="宋体" w:hAnsi="宋体"/>
          <w:color w:val="auto"/>
          <w:sz w:val="24"/>
          <w:szCs w:val="24"/>
          <w:highlight w:val="none"/>
        </w:rPr>
        <w:t xml:space="preserve">（快递运单上的收件人填写“</w:t>
      </w:r>
      <w:r>
        <w:rPr>
          <w:rFonts w:hint="eastAsia" w:ascii="宋体" w:hAnsi="宋体"/>
          <w:color w:val="auto"/>
          <w:sz w:val="24"/>
          <w:szCs w:val="24"/>
          <w:highlight w:val="none"/>
          <w:lang w:val="en-US" w:eastAsia="zh-CN"/>
        </w:rPr>
        <w:t xml:space="preserve">招标代理部</w:t>
      </w:r>
      <w:r>
        <w:rPr>
          <w:rFonts w:hint="eastAsia" w:ascii="宋体" w:hAnsi="宋体"/>
          <w:color w:val="auto"/>
          <w:sz w:val="24"/>
          <w:szCs w:val="24"/>
          <w:highlight w:val="none"/>
        </w:rPr>
        <w:t xml:space="preserve">”即可），联系地址：</w:t>
      </w:r>
      <w:r>
        <w:rPr>
          <w:rFonts w:hint="eastAsia" w:ascii="宋体" w:hAnsi="宋体"/>
          <w:color w:val="auto"/>
          <w:sz w:val="24"/>
          <w:szCs w:val="24"/>
          <w:highlight w:val="none"/>
          <w:lang w:eastAsia="zh-CN"/>
        </w:rPr>
        <w:t xml:space="preserve">连云港市海州区郁洲北路9号瀛洲大厦209室</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eastAsia="zh-CN"/>
        </w:rPr>
        <w:t xml:space="preserve">0518-81061799</w:t>
      </w:r>
      <w:r>
        <w:rPr>
          <w:rFonts w:hint="eastAsia" w:ascii="宋体" w:hAnsi="宋体"/>
          <w:color w:val="auto"/>
          <w:sz w:val="24"/>
          <w:szCs w:val="24"/>
          <w:highlight w:val="none"/>
        </w:rPr>
        <w:t xml:space="preserve">。</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 以下情形的质疑不予受理</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5.1 内容不符合《政府采购质疑和投诉办法》第十二条规定的质疑。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5.2 超出政府采购法定期限的质疑。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5.3 以传真、电子邮件等方式递交的非原件形式的质疑。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6 供应商提出书面质疑必须有理、有据，不得捏造事实、提供虚假材料进行恶意质疑。否则，一经查实，</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ascii="黑体" w:hAnsi="宋体" w:eastAsia="黑体"/>
          <w:bCs/>
          <w:color w:val="auto"/>
          <w:sz w:val="30"/>
          <w:szCs w:val="30"/>
          <w:highlight w:val="none"/>
        </w:rPr>
        <w:t xml:space="preserve">29</w:t>
      </w:r>
      <w:r>
        <w:rPr>
          <w:rFonts w:hint="eastAsia" w:ascii="黑体" w:hAnsi="宋体" w:eastAsia="黑体"/>
          <w:bCs/>
          <w:color w:val="auto"/>
          <w:sz w:val="30"/>
          <w:szCs w:val="30"/>
          <w:highlight w:val="none"/>
        </w:rPr>
        <w:t xml:space="preserve">、中标通知书</w:t>
      </w:r>
      <w:r/>
    </w:p>
    <w:p>
      <w:pPr>
        <w:ind w:firstLine="480"/>
        <w:jc w:val="left"/>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l中标结果确定后，</w:t>
      </w:r>
      <w:r>
        <w:rPr>
          <w:rFonts w:hint="eastAsia" w:ascii="宋体" w:hAnsi="宋体"/>
          <w:color w:val="auto"/>
          <w:sz w:val="24"/>
          <w:szCs w:val="24"/>
          <w:highlight w:val="none"/>
          <w:lang w:eastAsia="zh-CN"/>
        </w:rPr>
        <w:t xml:space="preserve">采购代理机构</w:t>
      </w:r>
      <w:r>
        <w:rPr>
          <w:rFonts w:hint="eastAsia" w:ascii="宋体" w:hAnsi="宋体"/>
          <w:color w:val="auto"/>
          <w:sz w:val="24"/>
          <w:szCs w:val="24"/>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640"/>
        <w:jc w:val="left"/>
        <w:keepLines/>
        <w:keepNext/>
        <w:pageBreakBefore w:val="0"/>
        <w:spacing w:line="360" w:lineRule="auto"/>
        <w:widowControl w:val="off"/>
        <w:rPr>
          <w:rFonts w:hint="eastAsia"/>
          <w:b/>
          <w:bCs/>
          <w:color w:val="auto"/>
          <w:sz w:val="32"/>
          <w:szCs w:val="32"/>
          <w:highlight w:val="none"/>
        </w:rPr>
        <w:outlineLvl w:val="0"/>
      </w:pPr>
      <w:r/>
      <w:bookmarkStart w:id="178" w:name="_Toc16938552"/>
      <w:r/>
      <w:bookmarkStart w:id="179" w:name="_Toc120614220"/>
      <w:r/>
      <w:bookmarkStart w:id="180" w:name="_Toc18998"/>
      <w:r/>
      <w:bookmarkStart w:id="181" w:name="_Toc20823308"/>
      <w:r/>
      <w:bookmarkStart w:id="182" w:name="_Toc513029236"/>
      <w:r>
        <w:rPr>
          <w:rFonts w:hint="eastAsia"/>
          <w:b/>
          <w:bCs/>
          <w:color w:val="auto"/>
          <w:sz w:val="32"/>
          <w:szCs w:val="32"/>
          <w:highlight w:val="none"/>
        </w:rPr>
        <w:t xml:space="preserve">七、授予合同</w:t>
      </w:r>
      <w:bookmarkEnd w:id="178"/>
      <w:r/>
      <w:bookmarkEnd w:id="179"/>
      <w:r/>
      <w:bookmarkEnd w:id="180"/>
      <w:r/>
      <w:bookmarkEnd w:id="181"/>
      <w:r/>
      <w:bookmarkEnd w:id="182"/>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bookmarkStart w:id="183" w:name="_Toc20823309"/>
      <w:r/>
      <w:bookmarkStart w:id="184" w:name="_Toc513029237"/>
      <w:r/>
      <w:bookmarkStart w:id="185" w:name="_Toc16938553"/>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0</w:t>
      </w:r>
      <w:r>
        <w:rPr>
          <w:rFonts w:hint="eastAsia" w:ascii="黑体" w:hAnsi="宋体" w:eastAsia="黑体"/>
          <w:bCs/>
          <w:color w:val="auto"/>
          <w:sz w:val="30"/>
          <w:szCs w:val="30"/>
          <w:highlight w:val="none"/>
        </w:rPr>
        <w:t xml:space="preserve">、签订合同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l中标供应商应当在中标通知书发出之日起三十日内，按照招标文件确定的事项与采购人签订政府采购合同。</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招标文件、中标供应商的投标文件及招标过程中有关澄清、承诺文件均应作为合同附件。</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jc w:val="left"/>
        <w:keepLines/>
        <w:keepNext/>
        <w:pageBreakBefore w:val="0"/>
        <w:spacing w:line="360" w:lineRule="auto"/>
        <w:widowControl w:val="off"/>
        <w:rPr>
          <w:rFonts w:hint="eastAsia" w:ascii="黑体" w:hAnsi="宋体" w:eastAsia="黑体"/>
          <w:bCs/>
          <w:color w:val="auto"/>
          <w:sz w:val="30"/>
          <w:szCs w:val="30"/>
          <w:highlight w:val="none"/>
        </w:rPr>
        <w:outlineLvl w:val="1"/>
      </w:pPr>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1</w:t>
      </w:r>
      <w:r>
        <w:rPr>
          <w:rFonts w:hint="eastAsia" w:ascii="黑体" w:hAnsi="宋体" w:eastAsia="黑体"/>
          <w:bCs/>
          <w:color w:val="auto"/>
          <w:sz w:val="30"/>
          <w:szCs w:val="30"/>
          <w:highlight w:val="none"/>
        </w:rPr>
        <w:t xml:space="preserve">、货物（包含与货物相关的服务）的追加</w:t>
      </w:r>
      <w:r/>
    </w:p>
    <w:p>
      <w:pPr>
        <w:ind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83"/>
      <w:r/>
      <w:bookmarkEnd w:id="184"/>
      <w:r/>
      <w:bookmarkEnd w:id="185"/>
      <w:r/>
      <w:r/>
    </w:p>
    <w:p>
      <w:pPr>
        <w:ind w:firstLine="600"/>
        <w:jc w:val="left"/>
        <w:keepLines/>
        <w:keepNext/>
        <w:pageBreakBefore w:val="0"/>
        <w:spacing w:line="360" w:lineRule="auto"/>
        <w:widowControl w:val="off"/>
        <w:rPr>
          <w:rFonts w:ascii="黑体" w:hAnsi="宋体" w:eastAsia="黑体"/>
          <w:bCs/>
          <w:color w:val="auto"/>
          <w:sz w:val="30"/>
          <w:szCs w:val="30"/>
          <w:highlight w:val="none"/>
        </w:rPr>
        <w:outlineLvl w:val="1"/>
      </w:pPr>
      <w:r/>
      <w:bookmarkStart w:id="186" w:name="_Toc479757207"/>
      <w:r/>
      <w:bookmarkStart w:id="187" w:name="_Toc513029242"/>
      <w:r/>
      <w:bookmarkStart w:id="188" w:name="_Toc16938558"/>
      <w:r/>
      <w:bookmarkStart w:id="189" w:name="_Toc20823314"/>
      <w:r/>
      <w:bookmarkStart w:id="190" w:name="_Toc120614221"/>
      <w:r>
        <w:rPr>
          <w:rFonts w:hint="eastAsia" w:ascii="黑体" w:hAnsi="宋体" w:eastAsia="黑体"/>
          <w:bCs/>
          <w:color w:val="auto"/>
          <w:sz w:val="30"/>
          <w:szCs w:val="30"/>
          <w:highlight w:val="none"/>
        </w:rPr>
        <w:t xml:space="preserve">3</w:t>
      </w:r>
      <w:r>
        <w:rPr>
          <w:rFonts w:ascii="黑体" w:hAnsi="宋体" w:eastAsia="黑体"/>
          <w:bCs/>
          <w:color w:val="auto"/>
          <w:sz w:val="30"/>
          <w:szCs w:val="30"/>
          <w:highlight w:val="none"/>
        </w:rPr>
        <w:t xml:space="preserve">2</w:t>
      </w:r>
      <w:r>
        <w:rPr>
          <w:rFonts w:hint="eastAsia" w:ascii="黑体" w:hAnsi="宋体" w:eastAsia="黑体"/>
          <w:bCs/>
          <w:color w:val="auto"/>
          <w:sz w:val="30"/>
          <w:szCs w:val="30"/>
          <w:highlight w:val="none"/>
        </w:rPr>
        <w:t xml:space="preserve">、政府采购履约资金扶持政策</w:t>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2640"/>
        <w:jc w:val="left"/>
        <w:keepNext/>
        <w:rPr>
          <w:rFonts w:hint="eastAsia" w:ascii="黑体" w:eastAsia="黑体"/>
          <w:bCs/>
          <w:color w:val="auto"/>
          <w:sz w:val="44"/>
          <w:szCs w:val="28"/>
          <w:highlight w:val="none"/>
        </w:rPr>
        <w:outlineLvl w:val="0"/>
      </w:pPr>
      <w:r/>
      <w:bookmarkStart w:id="191" w:name="_Toc6737"/>
      <w:r/>
      <w:bookmarkStart w:id="192" w:name="_Toc29687"/>
      <w:r>
        <w:rPr>
          <w:rFonts w:hint="eastAsia" w:ascii="黑体" w:eastAsia="黑体"/>
          <w:bCs/>
          <w:color w:val="auto"/>
          <w:sz w:val="44"/>
          <w:szCs w:val="28"/>
          <w:highlight w:val="none"/>
        </w:rPr>
        <w:t xml:space="preserve">第三章  合同</w:t>
      </w:r>
      <w:bookmarkEnd w:id="186"/>
      <w:r/>
      <w:bookmarkEnd w:id="187"/>
      <w:r/>
      <w:bookmarkEnd w:id="188"/>
      <w:r/>
      <w:bookmarkEnd w:id="189"/>
      <w:r/>
      <w:bookmarkEnd w:id="190"/>
      <w:r>
        <w:rPr>
          <w:rFonts w:hint="eastAsia" w:ascii="黑体" w:eastAsia="黑体"/>
          <w:bCs/>
          <w:color w:val="auto"/>
          <w:sz w:val="44"/>
          <w:szCs w:val="28"/>
          <w:highlight w:val="none"/>
        </w:rPr>
        <w:t xml:space="preserve">文本</w:t>
      </w:r>
      <w:bookmarkEnd w:id="191"/>
      <w:r/>
      <w:bookmarkEnd w:id="192"/>
      <w:r/>
      <w:r/>
    </w:p>
    <w:p>
      <w:pPr>
        <w:spacing w:line="400" w:lineRule="exact"/>
        <w:rPr>
          <w:rFonts w:ascii="宋体" w:hAnsi="宋体"/>
          <w:bCs/>
          <w:color w:val="auto"/>
          <w:sz w:val="24"/>
          <w:szCs w:val="24"/>
          <w:highlight w:val="none"/>
        </w:rPr>
      </w:pPr>
      <w:r/>
      <w:bookmarkStart w:id="193" w:name="_Toc16938559"/>
      <w:r/>
      <w:bookmarkEnd w:id="193"/>
      <w:r/>
      <w:bookmarkStart w:id="194" w:name="_Toc20823315"/>
      <w:r/>
      <w:bookmarkEnd w:id="194"/>
      <w:r/>
      <w:bookmarkStart w:id="195" w:name="_Toc513029243"/>
      <w:r/>
      <w:bookmarkEnd w:id="195"/>
      <w:r/>
      <w:bookmarkStart w:id="196" w:name="_Toc3995"/>
      <w:r/>
      <w:bookmarkEnd w:id="196"/>
      <w:r/>
      <w:bookmarkStart w:id="197" w:name="_Hlt16619350"/>
      <w:r/>
      <w:bookmarkStart w:id="198" w:name="_Toc16938590"/>
      <w:r/>
      <w:bookmarkStart w:id="199" w:name="_Toc20823346"/>
      <w:r/>
      <w:bookmarkStart w:id="200" w:name="_Toc120614244"/>
      <w:r/>
      <w:bookmarkStart w:id="201" w:name="_Toc462564139"/>
      <w:r/>
      <w:bookmarkStart w:id="202" w:name="_Toc479757211"/>
      <w:r/>
      <w:r/>
    </w:p>
    <w:p>
      <w:pPr>
        <w:pStyle w:val="691"/>
        <w:jc w:val="center"/>
        <w:keepLines w:val="0"/>
        <w:keepNext w:val="0"/>
        <w:pageBreakBefore w:val="0"/>
        <w:spacing w:line="360" w:lineRule="auto"/>
        <w:widowControl w:val="off"/>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691"/>
        <w:jc w:val="center"/>
        <w:keepLines w:val="0"/>
        <w:keepNext w:val="0"/>
        <w:pageBreakBefore w:val="0"/>
        <w:spacing w:line="360" w:lineRule="auto"/>
        <w:widowControl w:val="off"/>
        <w:rPr>
          <w:rFonts w:ascii="宋体" w:hAnsi="宋体" w:eastAsia="宋体" w:cs="宋体"/>
          <w:b/>
          <w:bCs/>
          <w:color w:val="auto"/>
          <w:spacing w:val="-20"/>
          <w:sz w:val="32"/>
          <w:szCs w:val="32"/>
          <w:highlight w:val="none"/>
        </w:rPr>
      </w:pPr>
      <w:r>
        <w:rPr>
          <w:rFonts w:ascii="宋体" w:hAnsi="宋体" w:eastAsia="宋体" w:cs="宋体"/>
          <w:b/>
          <w:bCs/>
          <w:color w:val="auto"/>
          <w:spacing w:val="-20"/>
          <w:sz w:val="32"/>
          <w:szCs w:val="32"/>
          <w:highlight w:val="none"/>
        </w:rPr>
      </w:r>
      <w:r/>
    </w:p>
    <w:p>
      <w:pPr>
        <w:pStyle w:val="691"/>
        <w:jc w:val="center"/>
        <w:keepLines w:val="0"/>
        <w:keepNext w:val="0"/>
        <w:pageBreakBefore w:val="0"/>
        <w:spacing w:line="360" w:lineRule="auto"/>
        <w:widowControl w:val="off"/>
        <w:rPr>
          <w:rFonts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财政部 政府采购货物买卖合同（试行）</w:t>
      </w:r>
      <w:r/>
    </w:p>
    <w:p>
      <w:pPr>
        <w:pStyle w:val="691"/>
        <w:jc w:val="center"/>
        <w:keepLines w:val="0"/>
        <w:keepNext w:val="0"/>
        <w:pageBreakBefore w:val="0"/>
        <w:spacing w:line="360" w:lineRule="auto"/>
        <w:widowControl w:val="off"/>
        <w:rPr>
          <w:rFonts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范    本</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keepLines w:val="0"/>
        <w:keepNext w:val="0"/>
        <w:pageBreakBefore w:val="0"/>
        <w:spacing w:line="360" w:lineRule="auto"/>
        <w:widowControl w:val="off"/>
        <w:rPr>
          <w:rFonts w:ascii="仿宋_GB2312" w:hAnsi="仿宋_GB2312" w:eastAsia="仿宋_GB2312" w:cs="仿宋_GB2312"/>
          <w:color w:val="auto"/>
          <w:sz w:val="32"/>
          <w:szCs w:val="32"/>
          <w:highlight w:val="none"/>
        </w:rPr>
        <w:outlineLvl w:val="0"/>
      </w:pPr>
      <w:r/>
      <w:bookmarkStart w:id="203" w:name="_Toc4355"/>
      <w:r>
        <w:rPr>
          <w:rFonts w:hint="eastAsia" w:ascii="宋体" w:hAnsi="宋体"/>
          <w:color w:val="auto"/>
          <w:sz w:val="32"/>
          <w:szCs w:val="32"/>
          <w:highlight w:val="none"/>
        </w:rPr>
        <w:t xml:space="preserve">使 用 说 明</w:t>
      </w:r>
      <w:bookmarkEnd w:id="203"/>
      <w:r/>
      <w:r/>
    </w:p>
    <w:p>
      <w:pPr>
        <w:ind w:firstLine="560"/>
        <w:keepLines w:val="0"/>
        <w:keepNext w:val="0"/>
        <w:pageBreakBefore w:val="0"/>
        <w:spacing w:line="360" w:lineRule="auto"/>
        <w:widowControl w:val="off"/>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   </w:t>
      </w:r>
      <w:r>
        <w:rPr>
          <w:rFonts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360" w:lineRule="auto"/>
        <w:widowControl w:val="off"/>
        <w:rPr>
          <w:rFonts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44"/>
          <w:szCs w:val="44"/>
          <w:highlight w:val="none"/>
        </w:rPr>
      </w:r>
      <w:r/>
    </w:p>
    <w:p>
      <w:pPr>
        <w:pStyle w:val="678"/>
        <w:spacing w:line="400" w:lineRule="exact"/>
        <w:rPr>
          <w:rFonts w:ascii="黑体" w:hAnsi="华文中宋" w:eastAsia="黑体"/>
          <w:b w:val="0"/>
          <w:bCs w:val="0"/>
          <w:color w:val="auto"/>
          <w:sz w:val="28"/>
          <w:szCs w:val="28"/>
          <w:highlight w:val="none"/>
        </w:rPr>
        <w:outlineLvl w:val="0"/>
      </w:pPr>
      <w:r/>
      <w:bookmarkStart w:id="204" w:name="_Toc32356"/>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204"/>
      <w:r/>
      <w:r/>
    </w:p>
    <w:p>
      <w:pPr>
        <w:pStyle w:val="678"/>
        <w:spacing w:line="400" w:lineRule="exact"/>
        <w:rPr>
          <w:rFonts w:ascii="黑体" w:hAnsi="华文中宋" w:eastAsia="黑体"/>
          <w:b w:val="0"/>
          <w:bCs w:val="0"/>
          <w:color w:val="auto"/>
          <w:sz w:val="28"/>
          <w:szCs w:val="28"/>
          <w:highlight w:val="none"/>
        </w:rPr>
        <w:outlineLvl w:val="9"/>
      </w:pPr>
      <w:r>
        <w:rPr>
          <w:rFonts w:ascii="黑体" w:hAnsi="华文中宋" w:eastAsia="黑体"/>
          <w:b w:val="0"/>
          <w:bCs w:val="0"/>
          <w:color w:val="auto"/>
          <w:sz w:val="28"/>
          <w:szCs w:val="28"/>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乙方1（全称）：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乙方2（全称）：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rFonts w:ascii="宋体" w:hAnsi="宋体"/>
          <w:color w:val="auto"/>
          <w:szCs w:val="21"/>
          <w:highlight w:val="none"/>
        </w:rPr>
      </w:pPr>
      <w:r>
        <w:rPr>
          <w:rFonts w:hint="eastAsia"/>
          <w:color w:val="auto"/>
          <w:highlight w:val="none"/>
        </w:rPr>
        <w:t xml:space="preserve">乙方</w:t>
      </w:r>
      <w:r>
        <w:rPr>
          <w:rFonts w:hint="eastAsia" w:ascii="宋体" w:hAnsi="宋体"/>
          <w:color w:val="auto"/>
          <w:szCs w:val="21"/>
          <w:highlight w:val="none"/>
        </w:rPr>
        <w:t xml:space="preserve">3</w:t>
      </w:r>
      <w:r>
        <w:rPr>
          <w:rFonts w:hint="eastAsia"/>
          <w:color w:val="auto"/>
          <w:highlight w:val="none"/>
        </w:rPr>
        <w:t xml:space="preserve">（全称）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（联合体成员供应商或其他合同主体）（如有）</w:t>
      </w:r>
      <w:r/>
    </w:p>
    <w:p>
      <w:pPr>
        <w:spacing w:line="400" w:lineRule="exact"/>
        <w:rPr>
          <w:color w:val="auto"/>
          <w:highlight w:val="none"/>
        </w:rPr>
      </w:pPr>
      <w:r>
        <w:rPr>
          <w:color w:val="auto"/>
          <w:highlight w:val="none"/>
        </w:rPr>
      </w:r>
      <w:r/>
    </w:p>
    <w:p>
      <w:pPr>
        <w:pStyle w:val="6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1"/>
        </w:numPr>
        <w:ind w:firstLine="420"/>
        <w:spacing w:line="400" w:lineRule="exact"/>
        <w:rPr>
          <w:rFonts w:ascii="宋体" w:hAnsi="宋体"/>
          <w:b/>
          <w:color w:val="auto"/>
          <w:szCs w:val="21"/>
          <w:highlight w:val="none"/>
        </w:rPr>
        <w:outlineLvl w:val="0"/>
      </w:pPr>
      <w:r/>
      <w:bookmarkStart w:id="205" w:name="_Toc28256"/>
      <w:r>
        <w:rPr>
          <w:rFonts w:hint="eastAsia" w:ascii="宋体" w:hAnsi="宋体"/>
          <w:b/>
          <w:color w:val="auto"/>
          <w:szCs w:val="21"/>
          <w:highlight w:val="none"/>
        </w:rPr>
        <w:t xml:space="preserve">项目信息</w:t>
      </w:r>
      <w:bookmarkEnd w:id="205"/>
      <w:r/>
      <w:r/>
    </w:p>
    <w:p>
      <w:pPr>
        <w:pStyle w:val="692"/>
        <w:numPr>
          <w:ilvl w:val="0"/>
          <w:numId w:val="2"/>
        </w:numPr>
        <w:ind w:left="0" w:firstLine="420"/>
        <w:spacing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p>
    <w:p>
      <w:pPr>
        <w:pStyle w:val="692"/>
        <w:ind w:left="0"/>
        <w:spacing w:after="0" w:line="400" w:lineRule="exact"/>
        <w:tabs>
          <w:tab w:val="left" w:pos="999" w:leader="none"/>
        </w:tabs>
        <w:rPr>
          <w:rFonts w:ascii="宋体" w:hAnsi="宋体"/>
          <w:color w:val="auto"/>
          <w:szCs w:val="21"/>
          <w:highlight w:val="none"/>
        </w:rPr>
      </w:pPr>
      <w:r>
        <w:rPr>
          <w:rFonts w:hint="eastAsia" w:ascii="宋体" w:hAnsi="宋体"/>
          <w:color w:val="auto"/>
          <w:szCs w:val="21"/>
          <w:highlight w:val="none"/>
        </w:rPr>
        <w:t xml:space="preserve">         采购项目编号：</w:t>
      </w:r>
      <w:r>
        <w:rPr>
          <w:rFonts w:ascii="宋体" w:hAnsi="宋体"/>
          <w:color w:val="auto"/>
          <w:szCs w:val="21"/>
          <w:highlight w:val="none"/>
          <w:u w:val="single"/>
        </w:rPr>
        <w:t xml:space="preserve">                                          </w:t>
      </w:r>
      <w:r/>
    </w:p>
    <w:p>
      <w:pPr>
        <w:pStyle w:val="692"/>
        <w:ind w:left="0" w:firstLine="420"/>
        <w:spacing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p>
    <w:p>
      <w:pPr>
        <w:ind w:firstLine="945"/>
        <w:spacing w:line="400" w:lineRule="exact"/>
        <w:rPr>
          <w:rFonts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864"/>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64"/>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64"/>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64"/>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pStyle w:val="864"/>
        <w:ind w:firstLine="0"/>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分散采购</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64"/>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64"/>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ascii="宋体" w:hAnsi="宋体"/>
          <w:iCs/>
          <w:color w:val="auto"/>
          <w:szCs w:val="21"/>
          <w:highlight w:val="none"/>
        </w:rPr>
      </w:pPr>
      <w:r>
        <w:rPr>
          <w:rFonts w:hint="eastAsia"/>
          <w:color w:val="auto"/>
          <w:highlight w:val="none"/>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color w:val="auto"/>
          <w:highlight w:val="none"/>
        </w:rPr>
      </w:pPr>
      <w:r>
        <w:rPr>
          <w:rFonts w:hint="eastAsia"/>
          <w:color w:val="auto"/>
          <w:highlight w:val="none"/>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eastAsia="华文楷体"/>
          <w:color w:val="auto"/>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864"/>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ascii="宋体" w:hAnsi="宋体"/>
          <w:iCs/>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宋体" w:hAnsi="宋体"/>
          <w:iCs/>
          <w:color w:val="auto"/>
          <w:szCs w:val="21"/>
          <w:highlight w:val="none"/>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ascii="宋体" w:hAnsi="宋体"/>
          <w:color w:val="auto"/>
          <w:szCs w:val="21"/>
          <w:highlight w:val="none"/>
        </w:rPr>
      </w:pPr>
      <w:r>
        <w:rPr>
          <w:rFonts w:hint="eastAsia" w:ascii="宋体" w:hAnsi="宋体"/>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pStyle w:val="864"/>
        <w:ind w:firstLine="0"/>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864"/>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spacing w:line="400" w:lineRule="exact"/>
        <w:tabs>
          <w:tab w:val="left" w:pos="740" w:leader="none"/>
        </w:tabs>
        <w:rPr>
          <w:rFonts w:ascii="宋体" w:hAnsi="宋体"/>
          <w:iCs/>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pStyle w:val="864"/>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1"/>
        </w:numPr>
        <w:ind w:firstLine="420"/>
        <w:spacing w:line="400" w:lineRule="exact"/>
        <w:rPr>
          <w:rFonts w:ascii="宋体" w:hAnsi="宋体"/>
          <w:b/>
          <w:color w:val="auto"/>
          <w:szCs w:val="21"/>
          <w:highlight w:val="none"/>
        </w:rPr>
        <w:outlineLvl w:val="0"/>
      </w:pPr>
      <w:r/>
      <w:bookmarkStart w:id="206" w:name="_Toc9472"/>
      <w:r>
        <w:rPr>
          <w:rFonts w:hint="eastAsia" w:ascii="宋体" w:hAnsi="宋体"/>
          <w:b/>
          <w:color w:val="auto"/>
          <w:szCs w:val="21"/>
          <w:highlight w:val="none"/>
        </w:rPr>
        <w:t xml:space="preserve">合同金额</w:t>
      </w:r>
      <w:bookmarkEnd w:id="206"/>
      <w:r/>
      <w:r/>
    </w:p>
    <w:p>
      <w:pPr>
        <w:ind w:firstLine="420"/>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ascii="宋体" w:hAnsi="宋体"/>
          <w:color w:val="auto"/>
          <w:szCs w:val="21"/>
          <w:highlight w:val="none"/>
        </w:rPr>
        <w:outlineLvl w:val="1"/>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ascii="宋体" w:hAnsi="宋体"/>
          <w:color w:val="auto"/>
          <w:szCs w:val="21"/>
          <w:highlight w:val="none"/>
        </w:rPr>
      </w:pP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pStyle w:val="865"/>
        <w:ind w:left="0" w:firstLine="420"/>
        <w:spacing w:line="400" w:lineRule="exact"/>
        <w:rPr>
          <w:color w:val="auto"/>
          <w:sz w:val="21"/>
          <w:szCs w:val="21"/>
          <w:highlight w:val="none"/>
          <w:lang w:eastAsia="zh-CN"/>
        </w:rPr>
        <w:outlineLvl w:val="1"/>
      </w:pPr>
      <w:r>
        <w:rPr>
          <w:rFonts w:hint="eastAsia" w:ascii="宋体" w:hAnsi="宋体"/>
          <w:color w:val="auto"/>
          <w:sz w:val="21"/>
          <w:szCs w:val="21"/>
          <w:highlight w:val="none"/>
          <w:lang w:eastAsia="zh-CN"/>
        </w:rPr>
        <w:t xml:space="preserve">（3）付款方式（按项目实际勾选填写）：</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1"/>
        </w:numPr>
        <w:ind w:firstLine="420"/>
        <w:spacing w:line="400" w:lineRule="exact"/>
        <w:rPr>
          <w:rFonts w:ascii="宋体" w:hAnsi="宋体"/>
          <w:b/>
          <w:color w:val="auto"/>
          <w:szCs w:val="21"/>
          <w:highlight w:val="none"/>
          <w:u w:val="single"/>
        </w:rPr>
        <w:outlineLvl w:val="0"/>
      </w:pPr>
      <w:r/>
      <w:bookmarkStart w:id="207" w:name="_Toc8342"/>
      <w:r>
        <w:rPr>
          <w:rFonts w:hint="eastAsia" w:ascii="宋体" w:hAnsi="宋体"/>
          <w:b/>
          <w:color w:val="auto"/>
          <w:szCs w:val="21"/>
          <w:highlight w:val="none"/>
        </w:rPr>
        <w:t xml:space="preserve">合同履行</w:t>
      </w:r>
      <w:bookmarkEnd w:id="207"/>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864"/>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收取履约保证金形式：</w:t>
      </w:r>
      <w:r>
        <w:rPr>
          <w:rFonts w:hint="eastAsia" w:ascii="宋体" w:hAnsi="宋体" w:eastAsia="宋体" w:cs="宋体"/>
          <w:bCs/>
          <w:color w:val="auto"/>
          <w:sz w:val="21"/>
          <w:highlight w:val="none"/>
          <w:u w:val="single"/>
        </w:rPr>
        <w:t xml:space="preserve">                            </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400" w:lineRule="exact"/>
        <w:rPr>
          <w:rFonts w:ascii="宋体" w:hAnsi="宋体" w:cs="宋体"/>
          <w:color w:val="auto"/>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outlineLvl w:val="0"/>
      </w:pPr>
      <w:r/>
      <w:bookmarkStart w:id="208" w:name="_Toc30176"/>
      <w:r>
        <w:rPr>
          <w:rFonts w:hint="eastAsia" w:ascii="宋体" w:hAnsi="宋体"/>
          <w:b/>
          <w:color w:val="auto"/>
          <w:szCs w:val="21"/>
          <w:highlight w:val="none"/>
        </w:rPr>
        <w:t xml:space="preserve">合同验收</w:t>
      </w:r>
      <w:bookmarkEnd w:id="208"/>
      <w:r/>
      <w:r/>
    </w:p>
    <w:p>
      <w:pPr>
        <w:numPr>
          <w:ilvl w:val="0"/>
          <w:numId w:val="3"/>
        </w:num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甲方</w:t>
      </w:r>
      <w:r>
        <w:rPr>
          <w:rFonts w:hint="eastAsia" w:ascii="宋体" w:hAnsi="宋体"/>
          <w:bCs/>
          <w:color w:val="auto"/>
          <w:szCs w:val="21"/>
          <w:highlight w:val="none"/>
          <w:u w:val="single"/>
        </w:rPr>
        <w:t xml:space="preserve">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0000ff"/>
          <w:szCs w:val="21"/>
          <w:highlight w:val="none"/>
        </w:rPr>
      </w:pPr>
      <w:r>
        <w:rPr>
          <w:rFonts w:hint="eastAsia" w:ascii="宋体" w:hAnsi="宋体"/>
          <w:bCs/>
          <w:color w:val="0000ff"/>
          <w:szCs w:val="21"/>
          <w:highlight w:val="none"/>
        </w:rPr>
        <w:t xml:space="preserve">是否邀请专家参加验收：</w:t>
      </w:r>
      <w:r>
        <w:rPr>
          <w:rFonts w:ascii="Wingdings" w:hAnsi="Wingdings" w:eastAsia="Wingdings" w:cs="Wingdings"/>
          <w:color w:val="0000ff"/>
          <w:szCs w:val="21"/>
          <w:highlight w:val="none"/>
        </w:rPr>
        <w:t xml:space="preserve">¨</w:t>
      </w:r>
      <w:r>
        <w:rPr>
          <w:rFonts w:hint="eastAsia" w:ascii="宋体" w:hAnsi="宋体"/>
          <w:bCs/>
          <w:color w:val="0000ff"/>
          <w:szCs w:val="21"/>
          <w:highlight w:val="none"/>
        </w:rPr>
        <w:t xml:space="preserve">是  </w:t>
      </w:r>
      <w:r>
        <w:rPr>
          <w:rFonts w:ascii="Wingdings" w:hAnsi="Wingdings" w:eastAsia="Wingdings" w:cs="Wingdings"/>
          <w:color w:val="0000ff"/>
          <w:szCs w:val="21"/>
          <w:highlight w:val="none"/>
        </w:rPr>
        <w:t xml:space="preserve">þ</w:t>
      </w:r>
      <w:r>
        <w:rPr>
          <w:rFonts w:hint="eastAsia" w:ascii="宋体" w:hAnsi="宋体"/>
          <w:bCs/>
          <w:color w:val="0000ff"/>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0000ff"/>
          <w:szCs w:val="21"/>
          <w:highlight w:val="none"/>
        </w:rPr>
      </w:pPr>
      <w:r>
        <w:rPr>
          <w:rFonts w:hint="eastAsia" w:ascii="宋体" w:hAnsi="宋体"/>
          <w:bCs/>
          <w:color w:val="0000ff"/>
          <w:szCs w:val="21"/>
          <w:highlight w:val="none"/>
        </w:rPr>
        <w:t xml:space="preserve">是否邀请第三方检测机构参加验收：</w:t>
      </w:r>
      <w:r>
        <w:rPr>
          <w:rFonts w:ascii="Wingdings" w:hAnsi="Wingdings" w:eastAsia="Wingdings" w:cs="Wingdings"/>
          <w:color w:val="0000ff"/>
          <w:szCs w:val="21"/>
          <w:highlight w:val="none"/>
        </w:rPr>
        <w:t xml:space="preserve">þ</w:t>
      </w:r>
      <w:r>
        <w:rPr>
          <w:rFonts w:hint="eastAsia" w:ascii="宋体" w:hAnsi="宋体"/>
          <w:bCs/>
          <w:color w:val="0000ff"/>
          <w:szCs w:val="21"/>
          <w:highlight w:val="none"/>
        </w:rPr>
        <w:t xml:space="preserve">是  </w:t>
      </w:r>
      <w:r>
        <w:rPr>
          <w:rFonts w:ascii="Wingdings" w:hAnsi="Wingdings" w:eastAsia="Wingdings" w:cs="Wingdings"/>
          <w:color w:val="0000ff"/>
          <w:szCs w:val="21"/>
          <w:highlight w:val="none"/>
        </w:rPr>
        <w:t xml:space="preserve">¨</w:t>
      </w:r>
      <w:r>
        <w:rPr>
          <w:rFonts w:hint="eastAsia" w:ascii="宋体" w:hAnsi="宋体"/>
          <w:bCs/>
          <w:color w:val="0000ff"/>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0000ff"/>
          <w:szCs w:val="21"/>
          <w:highlight w:val="none"/>
        </w:rPr>
        <w:t xml:space="preserve">是否进行抽查检测：</w:t>
      </w:r>
      <w:r>
        <w:rPr>
          <w:rFonts w:ascii="Wingdings" w:hAnsi="Wingdings" w:eastAsia="Wingdings" w:cs="Wingdings"/>
          <w:color w:val="0000ff"/>
          <w:szCs w:val="21"/>
          <w:highlight w:val="none"/>
        </w:rPr>
        <w:t xml:space="preserve">þ</w:t>
      </w:r>
      <w:r>
        <w:rPr>
          <w:rFonts w:hint="eastAsia" w:ascii="宋体" w:hAnsi="宋体"/>
          <w:bCs/>
          <w:color w:val="0000ff"/>
          <w:szCs w:val="21"/>
          <w:highlight w:val="none"/>
        </w:rPr>
        <w:t xml:space="preserve">是，抽查比例：</w:t>
      </w:r>
      <w:r>
        <w:rPr>
          <w:rFonts w:hint="eastAsia" w:ascii="宋体" w:hAnsi="宋体"/>
          <w:bCs/>
          <w:color w:val="0000ff"/>
          <w:szCs w:val="21"/>
          <w:highlight w:val="none"/>
          <w:u w:val="single"/>
        </w:rPr>
        <w:t xml:space="preserve">  </w:t>
      </w:r>
      <w:r>
        <w:rPr>
          <w:rFonts w:hint="eastAsia" w:ascii="宋体" w:hAnsi="宋体"/>
          <w:bCs/>
          <w:color w:val="0000ff"/>
          <w:szCs w:val="21"/>
          <w:highlight w:val="none"/>
          <w:u w:val="single"/>
          <w:lang w:val="en-US" w:eastAsia="zh-CN"/>
        </w:rPr>
        <w:t xml:space="preserve">50%</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 xml:space="preserve"> </w:t>
      </w:r>
      <w:r>
        <w:rPr>
          <w:rFonts w:ascii="Wingdings" w:hAnsi="Wingdings" w:eastAsia="Wingdings" w:cs="Wingdings"/>
          <w:color w:val="0000ff"/>
          <w:szCs w:val="21"/>
          <w:highlight w:val="none"/>
        </w:rPr>
        <w:t xml:space="preserve">þ</w:t>
      </w:r>
      <w:r>
        <w:rPr>
          <w:rFonts w:hint="eastAsia" w:ascii="宋体" w:hAnsi="宋体"/>
          <w:bCs/>
          <w:color w:val="0000ff"/>
          <w:szCs w:val="21"/>
          <w:highlight w:val="none"/>
        </w:rPr>
        <w:t xml:space="preserve">否</w:t>
      </w:r>
      <w:r/>
    </w:p>
    <w:p>
      <w:pPr>
        <w:ind w:firstLine="525"/>
        <w:spacing w:line="400" w:lineRule="exact"/>
        <w:rPr>
          <w:rFonts w:ascii="宋体" w:hAnsi="宋体"/>
          <w:bCs/>
          <w:color w:val="auto"/>
          <w:szCs w:val="21"/>
          <w:highlight w:val="none"/>
        </w:rPr>
      </w:pPr>
      <w:r>
        <w:rPr>
          <w:rFonts w:hint="eastAsia" w:ascii="宋体" w:hAnsi="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否</w:t>
      </w:r>
      <w:r/>
    </w:p>
    <w:p>
      <w:pPr>
        <w:ind w:firstLine="525"/>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无</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w:t>
      </w:r>
      <w:r>
        <w:rPr>
          <w:rFonts w:hint="eastAsia" w:ascii="宋体" w:hAnsi="宋体"/>
          <w:bCs/>
          <w:color w:val="auto"/>
          <w:szCs w:val="21"/>
          <w:highlight w:val="none"/>
          <w:u w:val="single"/>
          <w:lang w:val="en-US" w:eastAsia="zh-CN"/>
        </w:rPr>
        <w:t xml:space="preserve">60</w:t>
      </w:r>
      <w:r>
        <w:rPr>
          <w:rFonts w:hint="eastAsia" w:ascii="宋体" w:hAnsi="宋体"/>
          <w:bCs/>
          <w:color w:val="auto"/>
          <w:szCs w:val="21"/>
          <w:highlight w:val="none"/>
          <w:u w:val="single"/>
        </w:rPr>
        <w:t xml:space="preserve"> 日内组织验收） </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Cs w:val="21"/>
          <w:highlight w:val="none"/>
        </w:rPr>
        <w:t xml:space="preserve">þ</w:t>
      </w:r>
      <w:r>
        <w:rPr>
          <w:rFonts w:hint="eastAsia" w:ascii="宋体" w:hAnsi="宋体"/>
          <w:bCs/>
          <w:color w:val="auto"/>
          <w:szCs w:val="21"/>
          <w:highlight w:val="none"/>
        </w:rPr>
        <w:t xml:space="preserve">一次性验收         </w:t>
      </w:r>
      <w:r/>
    </w:p>
    <w:p>
      <w:pPr>
        <w:spacing w:line="400" w:lineRule="exact"/>
        <w:rPr>
          <w:rFonts w:ascii="宋体" w:hAnsi="宋体"/>
          <w:bCs/>
          <w:color w:val="auto"/>
          <w:szCs w:val="21"/>
          <w:highlight w:val="none"/>
        </w:rPr>
      </w:pPr>
      <w:r>
        <w:rPr>
          <w:rFonts w:hint="eastAsia" w:ascii="宋体" w:hAnsi="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启动验收-成立验收小组-开展验收活动-出具验收意见</w:t>
      </w:r>
      <w:r/>
    </w:p>
    <w:p>
      <w:pPr>
        <w:ind w:firstLine="420"/>
        <w:spacing w:line="40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u w:val="single"/>
        </w:rPr>
        <w:t xml:space="preserve">-确认验收结果-资料归档</w:t>
      </w:r>
      <w:r>
        <w:rPr>
          <w:rFonts w:hint="eastAsia" w:ascii="宋体" w:hAnsi="宋体"/>
          <w:bCs/>
          <w:color w:val="0000ff"/>
          <w:szCs w:val="21"/>
          <w:highlight w:val="none"/>
          <w:u w:val="none"/>
          <w:lang w:eastAsia="zh-CN"/>
        </w:rPr>
        <w:t xml:space="preserve">。</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应当包括每一项技术和商务要求的履约情况</w:t>
      </w:r>
      <w:r>
        <w:rPr>
          <w:rFonts w:hint="eastAsia" w:ascii="宋体" w:hAnsi="宋体"/>
          <w:bCs/>
          <w:color w:val="auto"/>
          <w:szCs w:val="21"/>
          <w:highlight w:val="none"/>
          <w:u w:val="none"/>
        </w:rPr>
        <w:t xml:space="preserve">                </w:t>
      </w:r>
      <w:r>
        <w:rPr>
          <w:rFonts w:hint="eastAsia" w:ascii="宋体" w:hAnsi="宋体"/>
          <w:bCs/>
          <w:color w:val="auto"/>
          <w:szCs w:val="21"/>
          <w:highlight w:val="none"/>
          <w:u w:val="single"/>
        </w:rPr>
        <w:t xml:space="preserve">                  </w:t>
      </w:r>
      <w:r/>
    </w:p>
    <w:p>
      <w:pPr>
        <w:ind w:firstLine="420"/>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需符合采购合同和招投标文件中约定的品牌、型号、规格、数量、质量标准、技术参数等，同时满足国家强制性标准、行业标准或采购文件规定的其他要求</w:t>
      </w:r>
      <w:r>
        <w:rPr>
          <w:rFonts w:hint="eastAsia" w:ascii="宋体" w:hAnsi="宋体"/>
          <w:bCs/>
          <w:color w:val="auto"/>
          <w:szCs w:val="21"/>
          <w:highlight w:val="none"/>
          <w:u w:val="none"/>
        </w:rPr>
        <w:t xml:space="preserve">。                                        </w:t>
      </w:r>
      <w:r/>
    </w:p>
    <w:p>
      <w:pPr>
        <w:pStyle w:val="864"/>
        <w:ind w:firstLine="420"/>
        <w:rPr>
          <w:rFonts w:ascii="宋体" w:hAnsi="宋体" w:eastAsia="宋体" w:cs="宋体"/>
          <w:color w:val="0000ff"/>
          <w:sz w:val="21"/>
          <w:highlight w:val="none"/>
        </w:rPr>
      </w:pPr>
      <w:r>
        <w:rPr>
          <w:rFonts w:hint="eastAsia" w:ascii="宋体" w:hAnsi="宋体" w:eastAsia="宋体" w:cs="宋体"/>
          <w:bCs/>
          <w:color w:val="0000ff"/>
          <w:sz w:val="21"/>
          <w:highlight w:val="none"/>
        </w:rPr>
        <w:t xml:space="preserve">（7）是否以采购活动中供应商提供的样品作为参考：</w:t>
      </w:r>
      <w:r>
        <w:rPr>
          <w:rFonts w:ascii="Wingdings" w:hAnsi="Wingdings" w:eastAsia="Wingdings" w:cs="Wingdings"/>
          <w:color w:val="0000ff"/>
          <w:sz w:val="21"/>
          <w:highlight w:val="none"/>
        </w:rPr>
        <w:t xml:space="preserve">¨</w:t>
      </w:r>
      <w:r>
        <w:rPr>
          <w:rFonts w:hint="eastAsia" w:ascii="宋体" w:hAnsi="宋体" w:eastAsia="宋体" w:cs="宋体"/>
          <w:bCs/>
          <w:color w:val="0000ff"/>
          <w:sz w:val="21"/>
          <w:highlight w:val="none"/>
        </w:rPr>
        <w:t xml:space="preserve">是  </w:t>
      </w:r>
      <w:r>
        <w:rPr>
          <w:rFonts w:ascii="Wingdings" w:hAnsi="Wingdings" w:eastAsia="Wingdings" w:cs="Wingdings"/>
          <w:color w:val="0000ff"/>
          <w:sz w:val="21"/>
          <w:highlight w:val="none"/>
        </w:rPr>
        <w:t xml:space="preserve">þ</w:t>
      </w:r>
      <w:r>
        <w:rPr>
          <w:rFonts w:hint="eastAsia" w:ascii="宋体" w:hAnsi="宋体" w:eastAsia="宋体" w:cs="宋体"/>
          <w:bCs/>
          <w:color w:val="0000ff"/>
          <w:sz w:val="21"/>
          <w:highlight w:val="none"/>
        </w:rPr>
        <w:t xml:space="preserve">否</w:t>
      </w:r>
      <w:r/>
    </w:p>
    <w:p>
      <w:pPr>
        <w:ind w:firstLine="420"/>
        <w:spacing w:line="400" w:lineRule="exact"/>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eastAsia="zh-CN"/>
        </w:rPr>
        <w:t xml:space="preserve">无</w:t>
      </w:r>
      <w:r>
        <w:rPr>
          <w:rFonts w:hint="eastAsia" w:ascii="宋体" w:hAnsi="宋体" w:cs="宋体"/>
          <w:bCs/>
          <w:color w:val="auto"/>
          <w:szCs w:val="21"/>
          <w:highlight w:val="none"/>
          <w:u w:val="single"/>
        </w:rPr>
        <w:t xml:space="preserve">        </w:t>
      </w:r>
      <w:r/>
    </w:p>
    <w:p>
      <w:pPr>
        <w:numPr>
          <w:ilvl w:val="0"/>
          <w:numId w:val="1"/>
        </w:numPr>
        <w:ind w:firstLine="420"/>
        <w:spacing w:line="400" w:lineRule="exact"/>
        <w:rPr>
          <w:rFonts w:ascii="宋体" w:hAnsi="宋体"/>
          <w:b/>
          <w:color w:val="auto"/>
          <w:szCs w:val="21"/>
          <w:highlight w:val="none"/>
        </w:rPr>
        <w:outlineLvl w:val="0"/>
      </w:pPr>
      <w:r/>
      <w:bookmarkStart w:id="209" w:name="_Toc27280"/>
      <w:r>
        <w:rPr>
          <w:rFonts w:hint="eastAsia" w:ascii="宋体" w:hAnsi="宋体"/>
          <w:b/>
          <w:color w:val="auto"/>
          <w:szCs w:val="21"/>
          <w:highlight w:val="none"/>
        </w:rPr>
        <w:t xml:space="preserve">组成合同的文件</w:t>
      </w:r>
      <w:bookmarkEnd w:id="209"/>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（7）有关技术文件，图纸</w:t>
      </w:r>
      <w:r>
        <w:rPr>
          <w:rFonts w:hint="eastAsia" w:ascii="宋体" w:hAnsi="宋体"/>
          <w:color w:val="auto"/>
          <w:szCs w:val="21"/>
          <w:highlight w:val="none"/>
          <w:lang w:val="en-US" w:eastAsia="zh-CN"/>
        </w:rPr>
        <w:t xml:space="preserve"> </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1"/>
        </w:numPr>
        <w:ind w:firstLine="420"/>
        <w:spacing w:line="400" w:lineRule="exact"/>
        <w:rPr>
          <w:rFonts w:ascii="宋体" w:hAnsi="宋体"/>
          <w:b/>
          <w:color w:val="auto"/>
          <w:szCs w:val="21"/>
          <w:highlight w:val="none"/>
        </w:rPr>
        <w:outlineLvl w:val="0"/>
      </w:pPr>
      <w:r/>
      <w:bookmarkStart w:id="210" w:name="_Toc2247"/>
      <w:r>
        <w:rPr>
          <w:rFonts w:hint="eastAsia" w:ascii="宋体" w:hAnsi="宋体"/>
          <w:b/>
          <w:color w:val="auto"/>
          <w:szCs w:val="21"/>
          <w:highlight w:val="none"/>
        </w:rPr>
        <w:t xml:space="preserve">合同生效</w:t>
      </w:r>
      <w:bookmarkEnd w:id="210"/>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1"/>
        </w:numPr>
        <w:ind w:firstLine="420"/>
        <w:spacing w:line="400" w:lineRule="exact"/>
        <w:rPr>
          <w:rFonts w:ascii="宋体" w:hAnsi="宋体"/>
          <w:b/>
          <w:color w:val="auto"/>
          <w:szCs w:val="21"/>
          <w:highlight w:val="none"/>
        </w:rPr>
        <w:outlineLvl w:val="0"/>
      </w:pPr>
      <w:r/>
      <w:bookmarkStart w:id="211" w:name="_Toc27517"/>
      <w:r>
        <w:rPr>
          <w:rFonts w:hint="eastAsia" w:ascii="宋体" w:hAnsi="宋体"/>
          <w:b/>
          <w:color w:val="auto"/>
          <w:szCs w:val="21"/>
          <w:highlight w:val="none"/>
        </w:rPr>
        <w:t xml:space="preserve">合同份数</w:t>
      </w:r>
      <w:bookmarkEnd w:id="211"/>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ascii="宋体" w:hAnsi="宋体"/>
          <w:b/>
          <w:bCs/>
          <w:color w:val="auto"/>
          <w:szCs w:val="21"/>
          <w:highlight w:val="none"/>
        </w:rPr>
        <w:outlineLvl w:val="0"/>
      </w:pPr>
      <w:r/>
      <w:bookmarkStart w:id="212" w:name="_Toc13495"/>
      <w:r>
        <w:rPr>
          <w:rFonts w:hint="eastAsia" w:ascii="宋体" w:hAnsi="宋体"/>
          <w:color w:val="auto"/>
          <w:szCs w:val="21"/>
          <w:highlight w:val="none"/>
        </w:rPr>
        <w:t xml:space="preserve">附件：具体标的及其技术要求和商务要求、联合协议、分包意向协议等</w:t>
      </w:r>
      <w:bookmarkEnd w:id="212"/>
      <w:r>
        <w:rPr>
          <w:color w:val="auto"/>
          <w:highlight w:val="none"/>
          <w:lang w:val="en"/>
        </w:rPr>
        <w:t xml:space="preserve">   </w:t>
      </w:r>
      <w:r/>
    </w:p>
    <w:p>
      <w:pPr>
        <w:pStyle w:val="865"/>
        <w:rPr>
          <w:color w:val="auto"/>
          <w:highlight w:val="none"/>
          <w:lang w:eastAsia="zh-CN"/>
        </w:rPr>
      </w:pPr>
      <w:r>
        <w:rPr>
          <w:color w:val="auto"/>
          <w:highlight w:val="none"/>
          <w:lang w:eastAsia="zh-CN"/>
        </w:rPr>
      </w:r>
      <w:r/>
    </w:p>
    <w:tbl>
      <w:tblPr>
        <w:tblStyle w:val="687"/>
        <w:tblW w:w="4926"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692"/>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pStyle w:val="678"/>
        <w:spacing w:before="156"/>
        <w:rPr>
          <w:rFonts w:ascii="黑体" w:hAnsi="黑体" w:eastAsia="黑体"/>
          <w:color w:val="auto"/>
          <w:sz w:val="28"/>
          <w:szCs w:val="28"/>
          <w:highlight w:val="none"/>
        </w:rPr>
        <w:outlineLvl w:val="0"/>
      </w:pPr>
      <w:r>
        <w:rPr>
          <w:rFonts w:ascii="宋体" w:hAnsi="宋体"/>
          <w:color w:val="auto"/>
          <w:sz w:val="21"/>
          <w:szCs w:val="21"/>
          <w:highlight w:val="none"/>
          <w:u w:val="single"/>
        </w:rPr>
        <w:br w:type="page" w:clear="all"/>
      </w:r>
      <w:bookmarkStart w:id="213" w:name="_Toc18595"/>
      <w:r>
        <w:rPr>
          <w:rFonts w:hint="eastAsia" w:ascii="黑体" w:hAnsi="黑体" w:eastAsia="黑体"/>
          <w:b w:val="0"/>
          <w:bCs w:val="0"/>
          <w:color w:val="auto"/>
          <w:sz w:val="28"/>
          <w:szCs w:val="28"/>
          <w:highlight w:val="none"/>
        </w:rPr>
        <w:t xml:space="preserve">第二节 政府采购合同通用条款</w:t>
      </w:r>
      <w:bookmarkEnd w:id="213"/>
      <w:r/>
      <w:r/>
    </w:p>
    <w:p>
      <w:pPr>
        <w:jc w:val="left"/>
        <w:spacing w:line="400" w:lineRule="exact"/>
        <w:tabs>
          <w:tab w:val="left" w:pos="8820" w:leader="none"/>
          <w:tab w:val="left" w:pos="9345" w:leader="none"/>
          <w:tab w:val="left" w:pos="9765" w:leader="none"/>
        </w:tabs>
        <w:rPr>
          <w:rFonts w:ascii="宋体" w:hAnsi="宋体"/>
          <w:b/>
          <w:bCs/>
          <w:color w:val="auto"/>
          <w:sz w:val="24"/>
          <w:highlight w:val="none"/>
        </w:rPr>
        <w:outlineLvl w:val="0"/>
      </w:pPr>
      <w:r/>
      <w:bookmarkStart w:id="214" w:name="_Toc13063"/>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bookmarkEnd w:id="214"/>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1.1合同当事人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outlineLvl w:val="1"/>
      </w:pPr>
      <w:r>
        <w:rPr>
          <w:rFonts w:hint="eastAsia" w:ascii="宋体" w:hAnsi="宋体"/>
          <w:color w:val="auto"/>
          <w:szCs w:val="21"/>
          <w:highlight w:val="none"/>
        </w:rPr>
        <w:t xml:space="preserve">1.2本合同下列术语应解释为：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
        </w:numPr>
        <w:jc w:val="left"/>
        <w:spacing w:line="400" w:lineRule="exact"/>
        <w:rPr>
          <w:rFonts w:ascii="宋体" w:hAnsi="宋体"/>
          <w:b/>
          <w:bCs/>
          <w:color w:val="auto"/>
          <w:sz w:val="24"/>
          <w:highlight w:val="none"/>
        </w:rPr>
        <w:outlineLvl w:val="0"/>
      </w:pPr>
      <w:r/>
      <w:bookmarkStart w:id="215" w:name="_Toc25238"/>
      <w:r>
        <w:rPr>
          <w:rFonts w:hint="eastAsia" w:ascii="宋体" w:hAnsi="宋体"/>
          <w:b/>
          <w:color w:val="auto"/>
          <w:sz w:val="24"/>
          <w:highlight w:val="none"/>
        </w:rPr>
        <w:t xml:space="preserve">合同标的及金额</w:t>
      </w:r>
      <w:bookmarkEnd w:id="215"/>
      <w:r/>
      <w:r/>
    </w:p>
    <w:p>
      <w:pPr>
        <w:ind w:firstLine="420"/>
        <w:jc w:val="left"/>
        <w:spacing w:line="400" w:lineRule="exact"/>
        <w:rPr>
          <w:rFonts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ascii="宋体" w:hAnsi="宋体"/>
          <w:b/>
          <w:color w:val="auto"/>
          <w:sz w:val="24"/>
          <w:highlight w:val="none"/>
        </w:rPr>
        <w:outlineLvl w:val="0"/>
      </w:pPr>
      <w:r/>
      <w:bookmarkStart w:id="216" w:name="_Toc9252"/>
      <w:r>
        <w:rPr>
          <w:rFonts w:hint="eastAsia" w:ascii="宋体" w:hAnsi="宋体"/>
          <w:b/>
          <w:color w:val="auto"/>
          <w:sz w:val="24"/>
          <w:highlight w:val="none"/>
        </w:rPr>
        <w:t xml:space="preserve">3. 履行合同的时间、地点和方式</w:t>
      </w:r>
      <w:bookmarkEnd w:id="216"/>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ascii="宋体" w:hAnsi="宋体"/>
          <w:b/>
          <w:bCs/>
          <w:color w:val="auto"/>
          <w:sz w:val="24"/>
          <w:highlight w:val="none"/>
        </w:rPr>
        <w:outlineLvl w:val="0"/>
      </w:pPr>
      <w:r/>
      <w:bookmarkStart w:id="217" w:name="_Toc22906"/>
      <w:r>
        <w:rPr>
          <w:rFonts w:hint="eastAsia" w:ascii="宋体" w:hAnsi="宋体"/>
          <w:b/>
          <w:bCs/>
          <w:color w:val="auto"/>
          <w:sz w:val="24"/>
          <w:highlight w:val="none"/>
        </w:rPr>
        <w:t xml:space="preserve">4. 甲方的权利和义务</w:t>
      </w:r>
      <w:bookmarkEnd w:id="217"/>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highlight w:val="none"/>
        </w:rPr>
      </w:pPr>
      <w:r>
        <w:rPr>
          <w:rFonts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ascii="宋体" w:hAnsi="宋体"/>
          <w:b/>
          <w:bCs/>
          <w:color w:val="auto"/>
          <w:sz w:val="24"/>
          <w:highlight w:val="none"/>
        </w:rPr>
        <w:outlineLvl w:val="0"/>
      </w:pPr>
      <w:r/>
      <w:bookmarkStart w:id="218" w:name="_Toc19305"/>
      <w:r>
        <w:rPr>
          <w:rFonts w:hint="eastAsia" w:ascii="宋体" w:hAnsi="宋体"/>
          <w:b/>
          <w:bCs/>
          <w:color w:val="auto"/>
          <w:sz w:val="24"/>
          <w:highlight w:val="none"/>
        </w:rPr>
        <w:t xml:space="preserve">5. 乙方的权利和义务</w:t>
      </w:r>
      <w:bookmarkEnd w:id="218"/>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ascii="宋体" w:hAnsi="宋体"/>
          <w:color w:val="auto"/>
          <w:szCs w:val="21"/>
          <w:highlight w:val="none"/>
        </w:rPr>
        <w:t xml:space="preserve">，负责与本合同有关的事务。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ascii="宋体" w:hAnsi="宋体"/>
          <w:color w:val="auto"/>
          <w:szCs w:val="21"/>
          <w:highlight w:val="none"/>
        </w:rPr>
        <w:t xml:space="preserve">负责项目实施过程中的所有协调工作。</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5"/>
        </w:numPr>
        <w:jc w:val="left"/>
        <w:spacing w:line="400" w:lineRule="exact"/>
        <w:rPr>
          <w:rFonts w:ascii="宋体" w:hAnsi="宋体"/>
          <w:b/>
          <w:bCs/>
          <w:color w:val="auto"/>
          <w:sz w:val="24"/>
          <w:highlight w:val="none"/>
        </w:rPr>
        <w:outlineLvl w:val="0"/>
      </w:pPr>
      <w:r/>
      <w:bookmarkStart w:id="219" w:name="_Toc32757"/>
      <w:r>
        <w:rPr>
          <w:rFonts w:hint="eastAsia" w:ascii="宋体" w:hAnsi="宋体"/>
          <w:b/>
          <w:bCs/>
          <w:color w:val="auto"/>
          <w:sz w:val="24"/>
          <w:highlight w:val="none"/>
        </w:rPr>
        <w:t xml:space="preserve">合同履行</w:t>
      </w:r>
      <w:bookmarkEnd w:id="219"/>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outlineLvl w:val="0"/>
      </w:pPr>
      <w:r/>
      <w:bookmarkStart w:id="220" w:name="_Toc17079"/>
      <w:r>
        <w:rPr>
          <w:rFonts w:hint="eastAsia" w:ascii="宋体" w:hAnsi="宋体"/>
          <w:b/>
          <w:bCs/>
          <w:color w:val="auto"/>
          <w:sz w:val="24"/>
          <w:highlight w:val="none"/>
        </w:rPr>
        <w:t xml:space="preserve">7. 货物包装、运输、保险和交付要求</w:t>
      </w:r>
      <w:bookmarkEnd w:id="220"/>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4"/>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highlight w:val="none"/>
        </w:rPr>
        <w:outlineLvl w:val="0"/>
      </w:pPr>
      <w:r/>
      <w:bookmarkStart w:id="221" w:name="_Toc6899"/>
      <w:r>
        <w:rPr>
          <w:rFonts w:hint="eastAsia" w:ascii="宋体" w:hAnsi="宋体"/>
          <w:b/>
          <w:color w:val="auto"/>
          <w:sz w:val="24"/>
          <w:highlight w:val="none"/>
        </w:rPr>
        <w:t xml:space="preserve">8. 质量标准和保证</w:t>
      </w:r>
      <w:bookmarkEnd w:id="221"/>
      <w:r/>
      <w:r/>
    </w:p>
    <w:p>
      <w:pPr>
        <w:pStyle w:val="695"/>
        <w:ind w:firstLine="420"/>
        <w:jc w:val="left"/>
        <w:spacing w:line="400" w:lineRule="exact"/>
        <w:rPr>
          <w:rFonts w:hAnsi="宋体"/>
          <w:b/>
          <w:color w:val="auto"/>
          <w:highlight w:val="none"/>
        </w:rPr>
        <w:outlineLvl w:val="1"/>
      </w:pPr>
      <w:r>
        <w:rPr>
          <w:rFonts w:hint="eastAsia" w:hAnsi="宋体"/>
          <w:color w:val="auto"/>
          <w:highlight w:val="none"/>
        </w:rPr>
        <w:t xml:space="preserve">8.1 质量标准</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95"/>
        <w:ind w:firstLine="420"/>
        <w:jc w:val="left"/>
        <w:spacing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8.2 保证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outlineLvl w:val="0"/>
      </w:pPr>
      <w:r/>
      <w:bookmarkStart w:id="222" w:name="_Toc11176"/>
      <w:r>
        <w:rPr>
          <w:rFonts w:hint="eastAsia" w:ascii="宋体" w:hAnsi="宋体"/>
          <w:b/>
          <w:bCs/>
          <w:color w:val="auto"/>
          <w:sz w:val="24"/>
          <w:highlight w:val="none"/>
        </w:rPr>
        <w:t xml:space="preserve">9. 权利瑕疵担保</w:t>
      </w:r>
      <w:bookmarkEnd w:id="222"/>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ascii="宋体" w:hAnsi="宋体"/>
          <w:b/>
          <w:bCs/>
          <w:color w:val="auto"/>
          <w:sz w:val="24"/>
          <w:highlight w:val="none"/>
        </w:rPr>
        <w:outlineLvl w:val="0"/>
      </w:pPr>
      <w:r/>
      <w:bookmarkStart w:id="223" w:name="_Toc31867"/>
      <w:r>
        <w:rPr>
          <w:rFonts w:hint="eastAsia" w:ascii="宋体" w:hAnsi="宋体"/>
          <w:b/>
          <w:bCs/>
          <w:color w:val="auto"/>
          <w:sz w:val="24"/>
          <w:highlight w:val="none"/>
        </w:rPr>
        <w:t xml:space="preserve">10. 知识产权保护</w:t>
      </w:r>
      <w:bookmarkEnd w:id="223"/>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ascii="宋体" w:hAnsi="宋体"/>
          <w:b/>
          <w:bCs/>
          <w:color w:val="auto"/>
          <w:sz w:val="24"/>
          <w:highlight w:val="none"/>
        </w:rPr>
        <w:outlineLvl w:val="0"/>
      </w:pPr>
      <w:r/>
      <w:bookmarkStart w:id="224" w:name="_Toc21405"/>
      <w:r>
        <w:rPr>
          <w:rFonts w:hint="eastAsia" w:ascii="宋体" w:hAnsi="宋体"/>
          <w:b/>
          <w:bCs/>
          <w:color w:val="auto"/>
          <w:sz w:val="24"/>
          <w:highlight w:val="none"/>
        </w:rPr>
        <w:t xml:space="preserve">11. 保密义务</w:t>
      </w:r>
      <w:bookmarkEnd w:id="224"/>
      <w:r/>
      <w:r/>
    </w:p>
    <w:p>
      <w:pPr>
        <w:ind w:firstLine="420"/>
        <w:jc w:val="left"/>
        <w:spacing w:line="400" w:lineRule="exact"/>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ascii="宋体" w:hAnsi="宋体"/>
          <w:b/>
          <w:bCs/>
          <w:color w:val="auto"/>
          <w:sz w:val="24"/>
          <w:highlight w:val="none"/>
        </w:rPr>
        <w:outlineLvl w:val="0"/>
      </w:pPr>
      <w:r/>
      <w:bookmarkStart w:id="225" w:name="_Toc14872"/>
      <w:r>
        <w:rPr>
          <w:rFonts w:hint="eastAsia" w:ascii="宋体" w:hAnsi="宋体"/>
          <w:b/>
          <w:bCs/>
          <w:color w:val="auto"/>
          <w:sz w:val="24"/>
          <w:highlight w:val="none"/>
        </w:rPr>
        <w:t xml:space="preserve">12. 合同价款支付</w:t>
      </w:r>
      <w:bookmarkEnd w:id="225"/>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ascii="宋体" w:hAnsi="宋体"/>
          <w:b/>
          <w:bCs/>
          <w:color w:val="auto"/>
          <w:sz w:val="24"/>
          <w:highlight w:val="none"/>
        </w:rPr>
        <w:outlineLvl w:val="0"/>
      </w:pPr>
      <w:r/>
      <w:bookmarkStart w:id="226" w:name="_Toc10483"/>
      <w:r>
        <w:rPr>
          <w:rFonts w:hint="eastAsia" w:ascii="宋体" w:hAnsi="宋体"/>
          <w:b/>
          <w:bCs/>
          <w:color w:val="auto"/>
          <w:sz w:val="24"/>
          <w:highlight w:val="none"/>
        </w:rPr>
        <w:t xml:space="preserve">13. 履约保证金</w:t>
      </w:r>
      <w:bookmarkEnd w:id="226"/>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outlineLvl w:val="0"/>
      </w:pPr>
      <w:r/>
      <w:bookmarkStart w:id="227" w:name="_Toc938"/>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bookmarkEnd w:id="227"/>
      <w:r/>
      <w:r/>
    </w:p>
    <w:p>
      <w:pPr>
        <w:ind w:firstLine="420"/>
        <w:jc w:val="left"/>
        <w:spacing w:line="400" w:lineRule="exact"/>
        <w:rPr>
          <w:rFonts w:ascii="宋体" w:hAnsi="宋体"/>
          <w:color w:val="auto"/>
          <w:szCs w:val="21"/>
          <w:highlight w:val="none"/>
        </w:rPr>
        <w:outlineLvl w:val="9"/>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4"/>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ascii="宋体" w:hAnsi="宋体"/>
          <w:color w:val="auto"/>
          <w:szCs w:val="21"/>
          <w:highlight w:val="none"/>
        </w:rPr>
        <w:outlineLvl w:val="9"/>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ascii="宋体" w:hAnsi="宋体"/>
          <w:b/>
          <w:bCs/>
          <w:color w:val="auto"/>
          <w:sz w:val="24"/>
          <w:highlight w:val="none"/>
        </w:rPr>
        <w:outlineLvl w:val="0"/>
      </w:pPr>
      <w:r/>
      <w:bookmarkStart w:id="228" w:name="_Toc4897"/>
      <w:r>
        <w:rPr>
          <w:rFonts w:hint="eastAsia" w:ascii="宋体" w:hAnsi="宋体"/>
          <w:b/>
          <w:bCs/>
          <w:color w:val="auto"/>
          <w:sz w:val="24"/>
          <w:highlight w:val="none"/>
        </w:rPr>
        <w:t xml:space="preserve">15. 违约责任</w:t>
      </w:r>
      <w:bookmarkEnd w:id="228"/>
      <w:r/>
      <w:r/>
    </w:p>
    <w:p>
      <w:pPr>
        <w:ind w:firstLine="420"/>
        <w:jc w:val="left"/>
        <w:spacing w:line="400" w:lineRule="exact"/>
        <w:rPr>
          <w:rFonts w:ascii="宋体" w:hAnsi="宋体"/>
          <w:bCs/>
          <w:color w:val="auto"/>
          <w:szCs w:val="21"/>
          <w:highlight w:val="none"/>
        </w:rPr>
        <w:outlineLvl w:val="1"/>
      </w:pPr>
      <w:r>
        <w:rPr>
          <w:rFonts w:hint="eastAsia" w:ascii="宋体" w:hAnsi="宋体"/>
          <w:bCs/>
          <w:color w:val="auto"/>
          <w:szCs w:val="21"/>
          <w:highlight w:val="none"/>
        </w:rPr>
        <w:t xml:space="preserve">15.1质量瑕疵的违约责任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ascii="宋体" w:hAnsi="宋体"/>
          <w:bCs/>
          <w:color w:val="auto"/>
          <w:szCs w:val="21"/>
          <w:highlight w:val="none"/>
        </w:rPr>
        <w:outlineLvl w:val="1"/>
      </w:pPr>
      <w:r>
        <w:rPr>
          <w:rFonts w:hint="eastAsia" w:ascii="宋体" w:hAnsi="宋体"/>
          <w:bCs/>
          <w:color w:val="auto"/>
          <w:szCs w:val="21"/>
          <w:highlight w:val="none"/>
        </w:rPr>
        <w:t xml:space="preserve">15.2 迟延交货的违约责任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15.3 迟延支付的违约责任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ascii="宋体" w:hAnsi="宋体"/>
          <w:color w:val="auto"/>
          <w:szCs w:val="21"/>
          <w:highlight w:val="none"/>
        </w:rPr>
        <w:outlineLvl w:val="1"/>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6"/>
        </w:numPr>
        <w:jc w:val="left"/>
        <w:spacing w:line="400" w:lineRule="exact"/>
        <w:rPr>
          <w:rFonts w:ascii="宋体" w:hAnsi="宋体"/>
          <w:b/>
          <w:color w:val="auto"/>
          <w:sz w:val="24"/>
          <w:highlight w:val="none"/>
        </w:rPr>
        <w:outlineLvl w:val="0"/>
      </w:pPr>
      <w:r/>
      <w:bookmarkStart w:id="229" w:name="_Toc1431"/>
      <w:r>
        <w:rPr>
          <w:rFonts w:hint="eastAsia" w:ascii="宋体" w:hAnsi="宋体"/>
          <w:b/>
          <w:color w:val="auto"/>
          <w:sz w:val="24"/>
          <w:highlight w:val="none"/>
        </w:rPr>
        <w:t xml:space="preserve">合同变更、中止与终止</w:t>
      </w:r>
      <w:bookmarkEnd w:id="229"/>
      <w:r/>
      <w:r/>
    </w:p>
    <w:p>
      <w:pPr>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    16.1合同的变更</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16.2合同的中止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4"/>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outlineLvl w:val="1"/>
      </w:pPr>
      <w:r>
        <w:rPr>
          <w:rFonts w:hint="eastAsia" w:ascii="宋体" w:hAnsi="宋体"/>
          <w:color w:val="auto"/>
          <w:szCs w:val="21"/>
          <w:highlight w:val="none"/>
        </w:rPr>
        <w:t xml:space="preserve">16.3合同的终止</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4"/>
        <w:ind w:firstLine="440"/>
        <w:rPr>
          <w:rFonts w:ascii="宋体" w:hAnsi="宋体"/>
          <w:color w:val="auto"/>
          <w:highlight w:val="none"/>
        </w:rPr>
        <w:outlineLvl w:val="1"/>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64"/>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highlight w:val="none"/>
        </w:rPr>
        <w:outlineLvl w:val="0"/>
      </w:pPr>
      <w:r/>
      <w:bookmarkStart w:id="230" w:name="_Toc3219"/>
      <w:r>
        <w:rPr>
          <w:rFonts w:hint="eastAsia" w:ascii="宋体" w:hAnsi="宋体"/>
          <w:b/>
          <w:bCs/>
          <w:color w:val="auto"/>
          <w:sz w:val="24"/>
          <w:highlight w:val="none"/>
        </w:rPr>
        <w:t xml:space="preserve">17. 合同分包</w:t>
      </w:r>
      <w:bookmarkEnd w:id="230"/>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highlight w:val="none"/>
        </w:rPr>
        <w:outlineLvl w:val="0"/>
      </w:pPr>
      <w:r/>
      <w:bookmarkStart w:id="231" w:name="_Toc22967"/>
      <w:r>
        <w:rPr>
          <w:rFonts w:hint="eastAsia" w:ascii="宋体" w:hAnsi="宋体"/>
          <w:b/>
          <w:bCs/>
          <w:color w:val="auto"/>
          <w:sz w:val="24"/>
          <w:highlight w:val="none"/>
        </w:rPr>
        <w:t xml:space="preserve">18. 不可抗力</w:t>
      </w:r>
      <w:bookmarkEnd w:id="231"/>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highlight w:val="none"/>
        </w:rPr>
        <w:outlineLvl w:val="0"/>
      </w:pPr>
      <w:r/>
      <w:bookmarkStart w:id="232" w:name="_Toc5235"/>
      <w:r>
        <w:rPr>
          <w:rFonts w:hint="eastAsia" w:ascii="宋体" w:hAnsi="宋体"/>
          <w:b/>
          <w:bCs/>
          <w:color w:val="auto"/>
          <w:sz w:val="24"/>
          <w:highlight w:val="none"/>
        </w:rPr>
        <w:t xml:space="preserve">19. 解决争议的方法</w:t>
      </w:r>
      <w:bookmarkEnd w:id="232"/>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highlight w:val="none"/>
        </w:rPr>
        <w:outlineLvl w:val="0"/>
      </w:pPr>
      <w:r/>
      <w:bookmarkStart w:id="233" w:name="_Toc25715"/>
      <w:r>
        <w:rPr>
          <w:rFonts w:hint="eastAsia" w:ascii="宋体" w:hAnsi="宋体"/>
          <w:b/>
          <w:color w:val="auto"/>
          <w:sz w:val="24"/>
          <w:highlight w:val="none"/>
        </w:rPr>
        <w:t xml:space="preserve">20. 政府采购政策</w:t>
      </w:r>
      <w:bookmarkEnd w:id="233"/>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outlineLvl w:val="0"/>
      </w:pPr>
      <w:r/>
      <w:bookmarkStart w:id="234" w:name="_Toc32717"/>
      <w:r>
        <w:rPr>
          <w:rFonts w:hint="eastAsia" w:ascii="宋体" w:hAnsi="宋体"/>
          <w:b/>
          <w:color w:val="auto"/>
          <w:sz w:val="24"/>
          <w:highlight w:val="none"/>
        </w:rPr>
        <w:t xml:space="preserve">21. 法律适用</w:t>
      </w:r>
      <w:bookmarkEnd w:id="234"/>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highlight w:val="none"/>
        </w:rPr>
        <w:outlineLvl w:val="0"/>
      </w:pPr>
      <w:r/>
      <w:bookmarkStart w:id="235" w:name="_Toc10209"/>
      <w:r>
        <w:rPr>
          <w:rFonts w:hint="eastAsia" w:ascii="宋体" w:hAnsi="宋体"/>
          <w:b/>
          <w:color w:val="auto"/>
          <w:sz w:val="24"/>
          <w:highlight w:val="none"/>
        </w:rPr>
        <w:t xml:space="preserve">22. 通知</w:t>
      </w:r>
      <w:bookmarkEnd w:id="235"/>
      <w:r/>
      <w:r/>
    </w:p>
    <w:p>
      <w:pPr>
        <w:pStyle w:val="864"/>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4"/>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7"/>
        </w:numPr>
        <w:jc w:val="left"/>
        <w:spacing w:line="400" w:lineRule="exact"/>
        <w:rPr>
          <w:rFonts w:ascii="宋体" w:hAnsi="宋体"/>
          <w:b/>
          <w:bCs/>
          <w:color w:val="auto"/>
          <w:sz w:val="24"/>
          <w:highlight w:val="none"/>
        </w:rPr>
        <w:outlineLvl w:val="0"/>
      </w:pPr>
      <w:r/>
      <w:bookmarkStart w:id="236" w:name="_Toc11432"/>
      <w:r>
        <w:rPr>
          <w:rFonts w:hint="eastAsia" w:ascii="宋体" w:hAnsi="宋体"/>
          <w:b/>
          <w:bCs/>
          <w:color w:val="auto"/>
          <w:sz w:val="24"/>
          <w:highlight w:val="none"/>
        </w:rPr>
        <w:t xml:space="preserve">合同未尽事项</w:t>
      </w:r>
      <w:bookmarkEnd w:id="236"/>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ascii="黑体" w:hAnsi="华文中宋" w:eastAsia="黑体"/>
          <w:b/>
          <w:bCs/>
          <w:color w:val="auto"/>
          <w:sz w:val="28"/>
          <w:szCs w:val="28"/>
          <w:highlight w:val="none"/>
        </w:rPr>
        <w:outlineLvl w:val="0"/>
      </w:pPr>
      <w:r>
        <w:rPr>
          <w:rFonts w:hint="eastAsia" w:ascii="黑体" w:hAnsi="华文中宋" w:eastAsia="黑体"/>
          <w:color w:val="auto"/>
          <w:sz w:val="28"/>
          <w:szCs w:val="28"/>
          <w:highlight w:val="none"/>
        </w:rPr>
        <w:br w:type="page" w:clear="all"/>
      </w:r>
      <w:bookmarkStart w:id="237" w:name="_Toc9464"/>
      <w:r>
        <w:rPr>
          <w:rFonts w:hint="eastAsia" w:ascii="黑体" w:hAnsi="华文中宋" w:eastAsia="黑体"/>
          <w:b/>
          <w:bCs/>
          <w:color w:val="auto"/>
          <w:sz w:val="28"/>
          <w:szCs w:val="28"/>
          <w:highlight w:val="none"/>
        </w:rPr>
        <w:t xml:space="preserve">第三节 政府采购合同专用条款</w:t>
      </w:r>
      <w:bookmarkEnd w:id="237"/>
      <w:r/>
      <w:r/>
    </w:p>
    <w:tbl>
      <w:tblPr>
        <w:tblStyle w:val="687"/>
        <w:tblW w:w="88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28" w:type="dxa"/>
          <w:right w:w="108" w:type="dxa"/>
          <w:bottom w:w="28" w:type="dxa"/>
        </w:tblCellMar>
        <w:tblLook w:val="04A0" w:firstRow="1" w:lastRow="0" w:firstColumn="1" w:lastColumn="0" w:noHBand="0" w:noVBand="1"/>
      </w:tblPr>
      <w:tblGrid>
        <w:gridCol w:w="1663"/>
        <w:gridCol w:w="1803"/>
        <w:gridCol w:w="5352"/>
      </w:tblGrid>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第1.2（6）项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联合体具体要求</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本项目不接受联合体投标</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第1.2（7）项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其他术语解释</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32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第4.4款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履约验收中甲方提出异议或作出说明的期限</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第4.6款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约定甲方承担的其他义务和责任</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color w:val="auto"/>
                <w:sz w:val="24"/>
                <w:szCs w:val="24"/>
                <w:highlight w:val="none"/>
              </w:rPr>
            </w:pPr>
            <w:r>
              <w:rPr>
                <w:rFonts w:hint="eastAsia" w:ascii="宋体" w:hAnsi="宋体"/>
                <w:color w:val="auto"/>
                <w:sz w:val="24"/>
                <w:szCs w:val="24"/>
                <w:highlight w:val="none"/>
              </w:rPr>
              <w:t xml:space="preserve">第5.4款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约定乙方承担的其他义务和责任</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80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第6.1款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履行合同义务的顺序</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740"/>
        </w:trPr>
        <w:tc>
          <w:tcPr>
            <w:tcW w:w="166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包装特殊要求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740"/>
        </w:trPr>
        <w:tc>
          <w:tcPr>
            <w:tcW w:w="166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指定现场</w:t>
            </w:r>
            <w:r/>
          </w:p>
        </w:tc>
        <w:tc>
          <w:tcPr>
            <w:tcW w:w="5352"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江苏省连云港市</w:t>
            </w:r>
            <w:r/>
          </w:p>
        </w:tc>
      </w:tr>
      <w:tr>
        <w:trPr>
          <w:jc w:val="center"/>
          <w:trHeight w:val="846"/>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运输特殊要求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74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第7.3款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保险要求</w:t>
            </w:r>
            <w:r/>
          </w:p>
        </w:tc>
        <w:tc>
          <w:tcPr>
            <w:tcW w:w="5352" w:type="dxa"/>
            <w:vAlign w:val="center"/>
            <w:textDirection w:val="lrTb"/>
            <w:noWrap w:val="false"/>
          </w:tcPr>
          <w:p>
            <w:pPr>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第8.2（1）项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质量保证期</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t xml:space="preserve">设备运抵采购人项目现场并调试验收合格后三年</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第8.2（3）项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货物质量缺陷</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809"/>
        </w:trPr>
        <w:tc>
          <w:tcPr>
            <w:tcW w:w="166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第二节</w:t>
            </w:r>
            <w:r/>
          </w:p>
          <w:p>
            <w:pPr>
              <w:pStyle w:val="864"/>
              <w:ind w:firstLine="0"/>
              <w:jc w:val="center"/>
              <w:rPr>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其他应当保密的信息</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77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第12.2款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合同价款支付时间</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详见合同协议书</w:t>
            </w:r>
            <w:r/>
          </w:p>
        </w:tc>
      </w:tr>
      <w:tr>
        <w:trPr>
          <w:jc w:val="center"/>
          <w:trHeight w:val="77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第13.2款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履约保证金不予退还的情形</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本项目不收取履约保证金</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第13.3款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履约保证金退还时间及逾期退还的违约金</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第14.1（3）项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运行监督、维修期限</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第14.1（5）项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货物回收的约定</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第14.1（6）项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乙方提供的其他服务</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修理、重作、更换相关具体规定</w:t>
            </w:r>
            <w:r/>
          </w:p>
        </w:tc>
        <w:tc>
          <w:tcPr>
            <w:tcW w:w="5352" w:type="dxa"/>
            <w:vAlign w:val="center"/>
            <w:textDirection w:val="lrTb"/>
            <w:noWrap w:val="false"/>
          </w:tcPr>
          <w:p>
            <w:pPr>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详见采购需求</w:t>
            </w:r>
            <w:r/>
          </w:p>
        </w:tc>
      </w:tr>
      <w:tr>
        <w:trPr>
          <w:jc w:val="center"/>
          <w:trHeight w:val="1007"/>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第15.2（2）项</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迟延交货赔偿费</w:t>
            </w:r>
            <w:r/>
          </w:p>
        </w:tc>
        <w:tc>
          <w:tcPr>
            <w:tcW w:w="5352" w:type="dxa"/>
            <w:vAlign w:val="center"/>
            <w:textDirection w:val="lrTb"/>
            <w:noWrap w:val="false"/>
          </w:tcPr>
          <w:p>
            <w:pPr>
              <w:jc w:val="left"/>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w:t>
            </w:r>
            <w:r/>
          </w:p>
        </w:tc>
      </w:tr>
      <w:tr>
        <w:trPr>
          <w:jc w:val="center"/>
          <w:trHeight w:val="80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第15.3款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逾期付款利息</w:t>
            </w:r>
            <w:r/>
          </w:p>
        </w:tc>
        <w:tc>
          <w:tcPr>
            <w:tcW w:w="5352" w:type="dxa"/>
            <w:vAlign w:val="center"/>
            <w:textDirection w:val="lrTb"/>
            <w:noWrap w:val="false"/>
          </w:tcPr>
          <w:p>
            <w:pPr>
              <w:jc w:val="left"/>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w:t>
            </w:r>
            <w:r/>
          </w:p>
        </w:tc>
      </w:tr>
      <w:tr>
        <w:trPr>
          <w:jc w:val="center"/>
          <w:trHeight w:val="950"/>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第15.4款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其他违约责任</w:t>
            </w:r>
            <w:r/>
          </w:p>
        </w:tc>
        <w:tc>
          <w:tcPr>
            <w:tcW w:w="5352" w:type="dxa"/>
            <w:vAlign w:val="center"/>
            <w:textDirection w:val="lrTb"/>
            <w:noWrap w:val="false"/>
          </w:tcPr>
          <w:p>
            <w:pPr>
              <w:jc w:val="lef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u w:val="single"/>
                <w:lang w:val="en-US" w:eastAsia="zh-CN"/>
              </w:rPr>
              <w:t xml:space="preserve">详见采购需求</w:t>
            </w:r>
            <w:r/>
          </w:p>
        </w:tc>
      </w:tr>
      <w:tr>
        <w:trPr>
          <w:jc w:val="center"/>
          <w:trHeight w:val="198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第19.2款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解决争议的方法</w:t>
            </w:r>
            <w:r/>
          </w:p>
        </w:tc>
        <w:tc>
          <w:tcPr>
            <w:tcW w:w="5352" w:type="dxa"/>
            <w:vAlign w:val="center"/>
            <w:textDirection w:val="lrTb"/>
            <w:noWrap w:val="false"/>
          </w:tcPr>
          <w:p>
            <w:pPr>
              <w:jc w:val="left"/>
              <w:spacing w:line="400" w:lineRule="exact"/>
              <w:rPr>
                <w:rFonts w:ascii="宋体" w:hAnsi="宋体" w:cs="宋体"/>
                <w:iCs/>
                <w:color w:val="auto"/>
                <w:sz w:val="24"/>
                <w:szCs w:val="24"/>
                <w:highlight w:val="none"/>
              </w:rPr>
            </w:pPr>
            <w:r>
              <w:rPr>
                <w:rFonts w:hint="eastAsia" w:ascii="宋体" w:hAnsi="宋体" w:cs="宋体"/>
                <w:iCs/>
                <w:color w:val="auto"/>
                <w:sz w:val="24"/>
                <w:szCs w:val="24"/>
                <w:highlight w:val="none"/>
              </w:rPr>
              <w:t xml:space="preserve">因本合同及合同有关事项发生的争议，按下列第（</w:t>
            </w:r>
            <w:r>
              <w:rPr>
                <w:rFonts w:hint="eastAsia" w:ascii="宋体" w:hAnsi="宋体" w:cs="宋体"/>
                <w:iCs/>
                <w:color w:val="auto"/>
                <w:sz w:val="24"/>
                <w:szCs w:val="24"/>
                <w:highlight w:val="none"/>
                <w:lang w:val="en-US" w:eastAsia="zh-CN"/>
              </w:rPr>
              <w:t xml:space="preserve">2</w:t>
            </w:r>
            <w:r>
              <w:rPr>
                <w:rFonts w:hint="eastAsia" w:ascii="宋体" w:hAnsi="宋体" w:cs="宋体"/>
                <w:iCs/>
                <w:color w:val="auto"/>
                <w:sz w:val="24"/>
                <w:szCs w:val="24"/>
                <w:highlight w:val="none"/>
              </w:rPr>
              <w:t xml:space="preserve"> ）种方式解决：</w:t>
            </w:r>
            <w:r/>
          </w:p>
          <w:p>
            <w:pPr>
              <w:jc w:val="left"/>
              <w:spacing w:line="400" w:lineRule="exact"/>
              <w:rPr>
                <w:rFonts w:ascii="宋体" w:hAnsi="宋体" w:cs="宋体"/>
                <w:iCs/>
                <w:color w:val="auto"/>
                <w:sz w:val="24"/>
                <w:szCs w:val="24"/>
                <w:highlight w:val="none"/>
              </w:rPr>
            </w:pPr>
            <w:r>
              <w:rPr>
                <w:rFonts w:hint="eastAsia" w:ascii="宋体" w:hAnsi="宋体" w:cs="宋体"/>
                <w:iCs/>
                <w:color w:val="auto"/>
                <w:sz w:val="24"/>
                <w:szCs w:val="24"/>
                <w:highlight w:val="none"/>
              </w:rPr>
              <w:t xml:space="preserve">（1）向仲裁委员会申请仲裁，仲裁地点为</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 xml:space="preserve">连云港市</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w:t>
            </w:r>
            <w:r/>
          </w:p>
          <w:p>
            <w:pPr>
              <w:jc w:val="left"/>
              <w:rPr>
                <w:rFonts w:ascii="宋体" w:hAnsi="宋体"/>
                <w:color w:val="auto"/>
                <w:sz w:val="24"/>
                <w:szCs w:val="24"/>
                <w:highlight w:val="none"/>
                <w:u w:val="single"/>
              </w:rPr>
            </w:pPr>
            <w:r>
              <w:rPr>
                <w:rFonts w:hint="eastAsia" w:ascii="宋体" w:hAnsi="宋体" w:cs="宋体"/>
                <w:iCs/>
                <w:color w:val="auto"/>
                <w:sz w:val="24"/>
                <w:szCs w:val="24"/>
                <w:highlight w:val="none"/>
              </w:rPr>
              <w:t xml:space="preserve">（2）向</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u w:val="single"/>
                <w:lang w:val="en-US" w:eastAsia="zh-CN"/>
              </w:rPr>
              <w:t xml:space="preserve">连云港市</w:t>
            </w:r>
            <w:r>
              <w:rPr>
                <w:rFonts w:hint="eastAsia" w:ascii="宋体" w:hAnsi="宋体" w:cs="宋体"/>
                <w:iCs/>
                <w:color w:val="auto"/>
                <w:sz w:val="24"/>
                <w:szCs w:val="24"/>
                <w:highlight w:val="none"/>
                <w:u w:val="single"/>
              </w:rPr>
              <w:t xml:space="preserve"> </w:t>
            </w:r>
            <w:r>
              <w:rPr>
                <w:rFonts w:hint="eastAsia" w:ascii="宋体" w:hAnsi="宋体" w:cs="宋体"/>
                <w:iCs/>
                <w:color w:val="auto"/>
                <w:sz w:val="24"/>
                <w:szCs w:val="24"/>
                <w:highlight w:val="none"/>
              </w:rPr>
              <w:t xml:space="preserve">人民法院起诉。</w:t>
            </w:r>
            <w:r/>
          </w:p>
        </w:tc>
      </w:tr>
      <w:tr>
        <w:trPr>
          <w:jc w:val="center"/>
          <w:trHeight w:val="859"/>
        </w:trPr>
        <w:tc>
          <w:tcPr>
            <w:tcW w:w="16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第二节</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第23.1款</w:t>
            </w:r>
            <w:r/>
          </w:p>
        </w:tc>
        <w:tc>
          <w:tcPr>
            <w:tcW w:w="1803"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其他专用条款</w:t>
            </w:r>
            <w:r/>
          </w:p>
        </w:tc>
        <w:tc>
          <w:tcPr>
            <w:tcW w:w="5352" w:type="dxa"/>
            <w:vAlign w:val="center"/>
            <w:textDirection w:val="lrTb"/>
            <w:noWrap w:val="false"/>
          </w:tcPr>
          <w:p>
            <w:pPr>
              <w:jc w:val="lef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w:t>
            </w:r>
            <w:r/>
          </w:p>
        </w:tc>
      </w:tr>
    </w:tbl>
    <w:p>
      <w:pPr>
        <w:jc w:val="both"/>
        <w:spacing w:before="120" w:after="120" w:line="0" w:lineRule="atLeast"/>
        <w:rPr>
          <w:rFonts w:hint="eastAsia" w:ascii="黑体" w:hAnsi="Courier New" w:eastAsia="黑体" w:cs="Courier New"/>
          <w:bCs/>
          <w:color w:val="auto"/>
          <w:sz w:val="44"/>
          <w:szCs w:val="21"/>
          <w:highlight w:val="none"/>
        </w:rPr>
      </w:pPr>
      <w:r>
        <w:rPr>
          <w:rFonts w:hint="eastAsia" w:ascii="黑体" w:hAnsi="Courier New" w:eastAsia="黑体" w:cs="Courier New"/>
          <w:bCs/>
          <w:color w:val="auto"/>
          <w:sz w:val="44"/>
          <w:szCs w:val="21"/>
          <w:highlight w:val="none"/>
        </w:rPr>
      </w:r>
      <w:r/>
    </w:p>
    <w:p>
      <w:pPr>
        <w:jc w:val="center"/>
        <w:spacing w:before="120" w:after="120" w:line="0" w:lineRule="atLeast"/>
        <w:rPr>
          <w:rFonts w:ascii="宋体" w:hAnsi="宋体"/>
          <w:color w:val="auto"/>
          <w:sz w:val="24"/>
          <w:szCs w:val="24"/>
          <w:highlight w:val="none"/>
        </w:rPr>
        <w:outlineLvl w:val="0"/>
      </w:pPr>
      <w:r/>
      <w:bookmarkStart w:id="238" w:name="_Toc28426"/>
      <w:r>
        <w:rPr>
          <w:rFonts w:hint="eastAsia" w:ascii="黑体" w:hAnsi="Courier New" w:eastAsia="黑体" w:cs="Courier New"/>
          <w:bCs/>
          <w:color w:val="auto"/>
          <w:sz w:val="44"/>
          <w:szCs w:val="21"/>
          <w:highlight w:val="none"/>
        </w:rPr>
        <w:br w:type="page" w:clear="all"/>
      </w:r>
      <w:r>
        <w:rPr>
          <w:rFonts w:hint="eastAsia" w:ascii="黑体" w:hAnsi="Courier New" w:eastAsia="黑体" w:cs="Courier New"/>
          <w:bCs/>
          <w:color w:val="auto"/>
          <w:sz w:val="44"/>
          <w:szCs w:val="21"/>
          <w:highlight w:val="none"/>
        </w:rPr>
        <w:t xml:space="preserve">第</w:t>
      </w:r>
      <w:bookmarkEnd w:id="197"/>
      <w:r>
        <w:rPr>
          <w:rFonts w:hint="eastAsia" w:ascii="黑体" w:hAnsi="Courier New" w:eastAsia="黑体" w:cs="Courier New"/>
          <w:bCs/>
          <w:color w:val="auto"/>
          <w:sz w:val="44"/>
          <w:szCs w:val="21"/>
          <w:highlight w:val="none"/>
        </w:rPr>
        <w:t xml:space="preserve">四章 采购需求</w:t>
      </w:r>
      <w:bookmarkEnd w:id="198"/>
      <w:r/>
      <w:bookmarkEnd w:id="199"/>
      <w:r/>
      <w:bookmarkEnd w:id="200"/>
      <w:r/>
      <w:bookmarkEnd w:id="238"/>
      <w:r/>
      <w:bookmarkStart w:id="239" w:name="_Toc26554093"/>
      <w:r/>
      <w:bookmarkStart w:id="240" w:name="_Toc49090575"/>
      <w:r/>
      <w:r/>
    </w:p>
    <w:p>
      <w:pPr>
        <w:pageBreakBefore w:val="0"/>
        <w:spacing w:line="360" w:lineRule="auto"/>
        <w:widowControl w:val="off"/>
        <w:rPr>
          <w:rFonts w:ascii="宋体" w:hAnsi="宋体"/>
          <w:b/>
          <w:color w:val="auto"/>
          <w:sz w:val="24"/>
          <w:szCs w:val="24"/>
          <w:highlight w:val="none"/>
        </w:rPr>
        <w:outlineLvl w:val="0"/>
      </w:pPr>
      <w:r/>
      <w:bookmarkStart w:id="241" w:name="_Toc25346"/>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w:t>
      </w:r>
      <w:r>
        <w:rPr>
          <w:rFonts w:ascii="宋体" w:hAnsi="宋体"/>
          <w:b/>
          <w:color w:val="auto"/>
          <w:sz w:val="24"/>
          <w:szCs w:val="24"/>
          <w:highlight w:val="none"/>
        </w:rPr>
        <w:t xml:space="preserve">标的清单</w:t>
      </w:r>
      <w:bookmarkEnd w:id="241"/>
      <w:r/>
      <w:r/>
    </w:p>
    <w:tbl>
      <w:tblPr>
        <w:tblStyle w:val="687"/>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830"/>
        <w:gridCol w:w="2167"/>
        <w:gridCol w:w="1300"/>
        <w:gridCol w:w="3302"/>
      </w:tblGrid>
      <w:tr>
        <w:trPr>
          <w:cantSplit/>
          <w:jc w:val="center"/>
          <w:trHeight w:val="881"/>
        </w:trPr>
        <w:tc>
          <w:tcPr>
            <w:tcW w:w="758" w:type="dxa"/>
            <w:vAlign w:val="center"/>
            <w:textDirection w:val="lrTb"/>
            <w:noWrap w:val="false"/>
          </w:tcPr>
          <w:p>
            <w:pPr>
              <w:jc w:val="center"/>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采购包</w:t>
            </w:r>
            <w:r/>
          </w:p>
        </w:tc>
        <w:tc>
          <w:tcPr>
            <w:tcW w:w="830"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167"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标的</w:t>
            </w:r>
            <w:r/>
          </w:p>
        </w:tc>
        <w:tc>
          <w:tcPr>
            <w:tcW w:w="1300" w:type="dxa"/>
            <w:vAlign w:val="center"/>
            <w:textDirection w:val="lrTb"/>
            <w:noWrap w:val="false"/>
          </w:tcPr>
          <w:p>
            <w:pPr>
              <w:jc w:val="center"/>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3302" w:type="dxa"/>
            <w:vAlign w:val="center"/>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对应中</w:t>
            </w:r>
            <w:r>
              <w:rPr>
                <w:rFonts w:ascii="宋体" w:hAnsi="宋体"/>
                <w:color w:val="auto"/>
                <w:sz w:val="24"/>
                <w:szCs w:val="24"/>
                <w:highlight w:val="none"/>
              </w:rPr>
              <w:t xml:space="preserve">小企业划分标准所属行业</w:t>
            </w:r>
            <w:r/>
          </w:p>
        </w:tc>
      </w:tr>
      <w:tr>
        <w:trPr>
          <w:cantSplit/>
          <w:jc w:val="center"/>
          <w:trHeight w:val="454"/>
        </w:trPr>
        <w:tc>
          <w:tcPr>
            <w:tcW w:w="758" w:type="dxa"/>
            <w:vAlign w:val="top"/>
            <w:textDirection w:val="lrTb"/>
            <w:noWrap w:val="false"/>
          </w:tcPr>
          <w:p>
            <w:pPr>
              <w:jc w:val="center"/>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1</w:t>
            </w:r>
            <w:r/>
          </w:p>
        </w:tc>
        <w:tc>
          <w:tcPr>
            <w:tcW w:w="830" w:type="dxa"/>
            <w:vAlign w:val="top"/>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167" w:type="dxa"/>
            <w:vAlign w:val="top"/>
            <w:textDirection w:val="lrTb"/>
            <w:noWrap w:val="false"/>
          </w:tcPr>
          <w:p>
            <w:pPr>
              <w:jc w:val="center"/>
              <w:pageBreakBefore w:val="0"/>
              <w:spacing w:line="360" w:lineRule="auto"/>
              <w:widowControl w:val="off"/>
              <w:tabs>
                <w:tab w:val="left" w:pos="202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饱和盐水制造机</w:t>
            </w:r>
            <w:r/>
          </w:p>
        </w:tc>
        <w:tc>
          <w:tcPr>
            <w:tcW w:w="1300" w:type="dxa"/>
            <w:vAlign w:val="top"/>
            <w:textDirection w:val="lrTb"/>
            <w:noWrap w:val="false"/>
          </w:tcPr>
          <w:p>
            <w:pPr>
              <w:jc w:val="center"/>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2台</w:t>
            </w:r>
            <w:r/>
          </w:p>
        </w:tc>
        <w:tc>
          <w:tcPr>
            <w:tcW w:w="3302" w:type="dxa"/>
            <w:vAlign w:val="top"/>
            <w:textDirection w:val="lrTb"/>
            <w:noWrap w:val="false"/>
          </w:tcPr>
          <w:p>
            <w:pPr>
              <w:jc w:val="center"/>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工业</w:t>
            </w:r>
            <w:r/>
          </w:p>
        </w:tc>
      </w:tr>
    </w:tbl>
    <w:p>
      <w:pPr>
        <w:keepLines/>
        <w:keepNext/>
        <w:pageBreakBefore w:val="0"/>
        <w:spacing w:line="360" w:lineRule="auto"/>
        <w:widowControl w:val="off"/>
        <w:rPr>
          <w:rFonts w:hint="eastAsia" w:ascii="宋体" w:hAnsi="宋体" w:eastAsia="宋体" w:cs="宋体"/>
          <w:b/>
          <w:bCs w:val="0"/>
          <w:color w:val="auto"/>
          <w:sz w:val="24"/>
          <w:szCs w:val="24"/>
          <w:highlight w:val="none"/>
        </w:rPr>
        <w:outlineLvl w:val="0"/>
      </w:pPr>
      <w:r/>
      <w:bookmarkStart w:id="242" w:name="_Toc3843"/>
      <w:r>
        <w:rPr>
          <w:rFonts w:hint="eastAsia" w:ascii="宋体" w:hAnsi="宋体" w:eastAsia="宋体" w:cs="宋体"/>
          <w:b/>
          <w:bCs w:val="0"/>
          <w:color w:val="auto"/>
          <w:sz w:val="24"/>
          <w:szCs w:val="24"/>
          <w:highlight w:val="none"/>
        </w:rPr>
        <w:t xml:space="preserve">二、政府采购中实施本国产品标准及相关政策</w:t>
      </w:r>
      <w:bookmarkEnd w:id="242"/>
      <w:r/>
      <w:r/>
    </w:p>
    <w:p>
      <w:pPr>
        <w:ind w:firstLine="555"/>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1.本项目对采购本国产品给予政策支持，具体内容见招标文件“第五章 评标方法与评标标准”。</w:t>
      </w:r>
      <w:r/>
    </w:p>
    <w:p>
      <w:pPr>
        <w:ind w:firstLine="555"/>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b/>
          <w:color w:val="auto"/>
          <w:sz w:val="24"/>
          <w:szCs w:val="24"/>
          <w:highlight w:val="none"/>
        </w:rPr>
        <w:outlineLvl w:val="0"/>
      </w:pPr>
      <w:r/>
      <w:bookmarkStart w:id="243" w:name="_Toc14324"/>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、技术要求</w:t>
      </w:r>
      <w:bookmarkEnd w:id="243"/>
      <w:r/>
      <w:r/>
    </w:p>
    <w:tbl>
      <w:tblPr>
        <w:tblStyle w:val="687"/>
        <w:tblW w:w="831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57" w:type="dxa"/>
          <w:top w:w="85" w:type="dxa"/>
          <w:right w:w="0" w:type="dxa"/>
          <w:bottom w:w="0" w:type="dxa"/>
        </w:tblCellMar>
        <w:tblLook w:val="04A0" w:firstRow="1" w:lastRow="0" w:firstColumn="1" w:lastColumn="0" w:noHBand="0" w:noVBand="1"/>
      </w:tblPr>
      <w:tblGrid>
        <w:gridCol w:w="687"/>
        <w:gridCol w:w="2243"/>
        <w:gridCol w:w="5388"/>
      </w:tblGrid>
      <w:tr>
        <w:trPr>
          <w:jc w:val="center"/>
          <w:trHeight w:val="60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盐水制造仓材质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316不锈钢</w:t>
            </w:r>
            <w:r/>
          </w:p>
        </w:tc>
      </w:tr>
      <w:tr>
        <w:trPr>
          <w:jc w:val="center"/>
          <w:trHeight w:val="53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盐水制造仓容积</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≥3.5m³</w:t>
            </w:r>
            <w:r/>
          </w:p>
        </w:tc>
      </w:tr>
      <w:tr>
        <w:trPr>
          <w:jc w:val="center"/>
          <w:trHeight w:val="1606"/>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每小时饱和盐水生产量</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≥23m³/h（可连续生产精确浓度的盐水）（</w:t>
            </w:r>
            <w:r>
              <w:rPr>
                <w:rFonts w:hint="eastAsia" w:ascii="宋体" w:hAnsi="宋体"/>
                <w:b/>
                <w:bCs w:val="0"/>
                <w:i/>
                <w:iCs/>
                <w:color w:val="0000ff"/>
                <w:sz w:val="24"/>
                <w:szCs w:val="24"/>
                <w:highlight w:val="none"/>
                <w:u w:val="single"/>
                <w:lang w:val="en-US" w:eastAsia="zh-CN"/>
              </w:rPr>
              <w:t xml:space="preserve">提供国家认可的第三方检测机构出具的有效检测检验报告或所投产品的说明书或技术规格书作为评审依据</w:t>
            </w:r>
            <w:r>
              <w:rPr>
                <w:rFonts w:hint="eastAsia" w:ascii="宋体" w:hAnsi="宋体"/>
                <w:b/>
                <w:bCs w:val="0"/>
                <w:i/>
                <w:iCs/>
                <w:color w:val="auto"/>
                <w:sz w:val="24"/>
                <w:szCs w:val="24"/>
                <w:highlight w:val="none"/>
                <w:u w:val="single"/>
                <w:lang w:val="en-US" w:eastAsia="zh-CN"/>
              </w:rPr>
              <w:t xml:space="preserve">）</w:t>
            </w:r>
            <w:r/>
          </w:p>
        </w:tc>
      </w:tr>
      <w:tr>
        <w:trPr>
          <w:jc w:val="center"/>
          <w:trHeight w:val="1878"/>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饱和盐水浓度</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eastAsia="zh-CN"/>
              </w:rPr>
            </w:pPr>
            <w:r>
              <w:rPr>
                <w:rFonts w:hint="eastAsia" w:ascii="宋体" w:hAnsi="宋体"/>
                <w:b/>
                <w:bCs w:val="0"/>
                <w:i/>
                <w:iCs/>
                <w:color w:val="auto"/>
                <w:sz w:val="24"/>
                <w:szCs w:val="24"/>
                <w:highlight w:val="none"/>
                <w:u w:val="single"/>
              </w:rPr>
              <w:t xml:space="preserve">可精准生产23.3%浓度的饱和盐水</w:t>
            </w:r>
            <w:r>
              <w:rPr>
                <w:rFonts w:hint="eastAsia" w:ascii="宋体" w:hAnsi="宋体"/>
                <w:b/>
                <w:bCs w:val="0"/>
                <w:i/>
                <w:iCs/>
                <w:color w:val="auto"/>
                <w:sz w:val="24"/>
                <w:szCs w:val="24"/>
                <w:highlight w:val="none"/>
                <w:u w:val="single"/>
                <w:lang w:eastAsia="zh-CN"/>
              </w:rPr>
              <w:t xml:space="preserve">（</w:t>
            </w:r>
            <w:r>
              <w:rPr>
                <w:rFonts w:hint="eastAsia" w:ascii="宋体" w:hAnsi="宋体"/>
                <w:b/>
                <w:bCs w:val="0"/>
                <w:i/>
                <w:iCs/>
                <w:color w:val="auto"/>
                <w:sz w:val="24"/>
                <w:szCs w:val="24"/>
                <w:highlight w:val="none"/>
                <w:u w:val="single"/>
              </w:rPr>
              <w:t xml:space="preserve">LCD显示屏可显示</w:t>
            </w:r>
            <w:r>
              <w:rPr>
                <w:rFonts w:hint="eastAsia" w:ascii="宋体" w:hAnsi="宋体"/>
                <w:b/>
                <w:bCs w:val="0"/>
                <w:i/>
                <w:iCs/>
                <w:color w:val="auto"/>
                <w:sz w:val="24"/>
                <w:szCs w:val="24"/>
                <w:highlight w:val="none"/>
                <w:u w:val="single"/>
                <w:lang w:eastAsia="zh-CN"/>
              </w:rPr>
              <w:t xml:space="preserve">）（</w:t>
            </w:r>
            <w:r>
              <w:rPr>
                <w:rFonts w:hint="eastAsia" w:ascii="宋体" w:hAnsi="宋体"/>
                <w:b/>
                <w:bCs w:val="0"/>
                <w:i/>
                <w:iCs/>
                <w:color w:val="0000ff"/>
                <w:sz w:val="24"/>
                <w:szCs w:val="24"/>
                <w:highlight w:val="none"/>
                <w:u w:val="single"/>
                <w:lang w:val="en-US" w:eastAsia="zh-CN"/>
              </w:rPr>
              <w:t xml:space="preserve">提供国家认可的第三方检测机构出具的有效检测检验报告或所投产品的说明书或技术规格书作为评审依据</w:t>
            </w:r>
            <w:r>
              <w:rPr>
                <w:rFonts w:hint="eastAsia" w:ascii="宋体" w:hAnsi="宋体"/>
                <w:b/>
                <w:bCs w:val="0"/>
                <w:i/>
                <w:iCs/>
                <w:color w:val="auto"/>
                <w:sz w:val="24"/>
                <w:szCs w:val="24"/>
                <w:highlight w:val="none"/>
                <w:u w:val="single"/>
                <w:lang w:eastAsia="zh-CN"/>
              </w:rPr>
              <w:t xml:space="preserve">）</w:t>
            </w:r>
            <w:r/>
          </w:p>
        </w:tc>
      </w:tr>
      <w:tr>
        <w:trPr>
          <w:jc w:val="center"/>
          <w:trHeight w:val="235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盐水浓度传感器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≥1个，实时检测盐水浓度，盐度检测精确到0.001，带反吹功能，每年定期进行软件系统升级。（</w:t>
            </w:r>
            <w:r>
              <w:rPr>
                <w:rFonts w:hint="eastAsia" w:ascii="宋体" w:hAnsi="宋体"/>
                <w:b/>
                <w:bCs w:val="0"/>
                <w:i/>
                <w:iCs/>
                <w:color w:val="auto"/>
                <w:sz w:val="24"/>
                <w:szCs w:val="24"/>
                <w:highlight w:val="none"/>
                <w:u w:val="single"/>
              </w:rPr>
              <w:t xml:space="preserve">提供</w:t>
            </w:r>
            <w:r>
              <w:rPr>
                <w:rFonts w:hint="eastAsia" w:ascii="宋体" w:hAnsi="宋体"/>
                <w:b/>
                <w:bCs w:val="0"/>
                <w:i/>
                <w:iCs/>
                <w:color w:val="auto"/>
                <w:sz w:val="24"/>
                <w:szCs w:val="24"/>
                <w:highlight w:val="none"/>
                <w:u w:val="single"/>
                <w:lang w:val="en-US" w:eastAsia="zh-CN"/>
              </w:rPr>
              <w:t xml:space="preserve">国家认可的</w:t>
            </w:r>
            <w:r>
              <w:rPr>
                <w:rFonts w:hint="eastAsia" w:ascii="宋体" w:hAnsi="宋体"/>
                <w:b/>
                <w:bCs w:val="0"/>
                <w:i/>
                <w:iCs/>
                <w:color w:val="auto"/>
                <w:sz w:val="24"/>
                <w:szCs w:val="24"/>
                <w:highlight w:val="none"/>
                <w:u w:val="single"/>
              </w:rPr>
              <w:t xml:space="preserve">第三方检测机构出具的有效检测检验报告</w:t>
            </w:r>
            <w:r>
              <w:rPr>
                <w:rFonts w:hint="eastAsia" w:ascii="宋体" w:hAnsi="宋体"/>
                <w:b/>
                <w:bCs w:val="0"/>
                <w:i/>
                <w:iCs/>
                <w:color w:val="auto"/>
                <w:sz w:val="24"/>
                <w:szCs w:val="24"/>
                <w:highlight w:val="none"/>
                <w:u w:val="single"/>
                <w:lang w:eastAsia="zh-CN"/>
              </w:rPr>
              <w:t xml:space="preserve">或</w:t>
            </w:r>
            <w:r>
              <w:rPr>
                <w:rFonts w:hint="eastAsia" w:ascii="宋体" w:hAnsi="宋体"/>
                <w:b/>
                <w:bCs w:val="0"/>
                <w:i/>
                <w:iCs/>
                <w:color w:val="auto"/>
                <w:sz w:val="24"/>
                <w:szCs w:val="24"/>
                <w:highlight w:val="none"/>
                <w:u w:val="single"/>
                <w:lang w:val="en-US" w:eastAsia="zh-CN"/>
              </w:rPr>
              <w:t xml:space="preserve">所投产品的说明书或技术规格书</w:t>
            </w:r>
            <w:r>
              <w:rPr>
                <w:rFonts w:hint="eastAsia" w:ascii="宋体" w:hAnsi="宋体"/>
                <w:b/>
                <w:bCs w:val="0"/>
                <w:i/>
                <w:iCs/>
                <w:color w:val="auto"/>
                <w:sz w:val="24"/>
                <w:szCs w:val="24"/>
                <w:highlight w:val="none"/>
                <w:u w:val="single"/>
              </w:rPr>
              <w:t xml:space="preserve">作为评审依据</w:t>
            </w:r>
            <w:r>
              <w:rPr>
                <w:rFonts w:hint="eastAsia" w:ascii="宋体" w:hAnsi="宋体"/>
                <w:b/>
                <w:bCs w:val="0"/>
                <w:i/>
                <w:iCs/>
                <w:color w:val="auto"/>
                <w:sz w:val="24"/>
                <w:szCs w:val="24"/>
                <w:highlight w:val="none"/>
                <w:u w:val="single"/>
                <w:lang w:val="en-US" w:eastAsia="zh-CN"/>
              </w:rPr>
              <w:t xml:space="preserve">）</w:t>
            </w:r>
            <w:r/>
          </w:p>
        </w:tc>
      </w:tr>
      <w:tr>
        <w:trPr>
          <w:jc w:val="center"/>
          <w:trHeight w:val="91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盐水出口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≥2英寸软管从盐水出口阀门到洒水车、液体撒布机、盐水储存罐等。</w:t>
            </w:r>
            <w:r/>
          </w:p>
        </w:tc>
      </w:tr>
      <w:tr>
        <w:trPr>
          <w:jc w:val="center"/>
          <w:trHeight w:val="68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ind w:firstLine="480"/>
              <w:jc w:val="both"/>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淡水进口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将水源供水连接到≥2英寸的淡水进口阀门上</w:t>
            </w:r>
            <w:r/>
          </w:p>
        </w:tc>
      </w:tr>
      <w:tr>
        <w:trPr>
          <w:jc w:val="center"/>
          <w:trHeight w:val="272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浮子传感器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当上浮传感器移动到上限位置时，淡水将被自动关闭。</w:t>
            </w:r>
            <w:r/>
          </w:p>
          <w:p>
            <w:pPr>
              <w:keepLines w:val="0"/>
              <w:keepNext w:val="0"/>
              <w:pageBreakBefore w:val="0"/>
              <w:spacing w:line="360" w:lineRule="auto"/>
              <w:widowControl w:val="off"/>
              <w:rPr>
                <w:rFonts w:hint="eastAsia" w:ascii="宋体" w:hAnsi="宋体"/>
                <w:b/>
                <w:bCs w:val="0"/>
                <w:i/>
                <w:iCs/>
                <w:color w:val="auto"/>
                <w:sz w:val="24"/>
                <w:szCs w:val="24"/>
                <w:highlight w:val="none"/>
                <w:u w:val="single"/>
                <w:lang w:val="en-US" w:eastAsia="zh-CN"/>
              </w:rPr>
            </w:pPr>
            <w:r>
              <w:rPr>
                <w:rFonts w:hint="eastAsia" w:ascii="宋体" w:hAnsi="宋体"/>
                <w:b/>
                <w:bCs w:val="0"/>
                <w:i/>
                <w:iCs/>
                <w:color w:val="auto"/>
                <w:sz w:val="24"/>
                <w:szCs w:val="24"/>
                <w:highlight w:val="none"/>
                <w:u w:val="single"/>
                <w:lang w:val="en-US" w:eastAsia="zh-CN"/>
              </w:rPr>
              <w:t xml:space="preserve">当下浮传感器停留在上限位置(基于低浮计时器设置)，泵将开始重新循环盐水。浓度计将开始读取浓度，并显示在触摸屏上。</w:t>
            </w:r>
            <w:r>
              <w:rPr>
                <w:rFonts w:hint="eastAsia" w:ascii="宋体" w:hAnsi="宋体"/>
                <w:b/>
                <w:bCs w:val="0"/>
                <w:i/>
                <w:iCs/>
                <w:color w:val="auto"/>
                <w:sz w:val="24"/>
                <w:szCs w:val="24"/>
                <w:highlight w:val="none"/>
                <w:u w:val="single"/>
              </w:rPr>
              <w:t xml:space="preserve">（需提供浮子传感器及传感器接头照片）</w:t>
            </w:r>
            <w:r/>
          </w:p>
        </w:tc>
      </w:tr>
      <w:tr>
        <w:trPr>
          <w:jc w:val="center"/>
          <w:trHeight w:val="65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储槽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316不锈钢材料，采用V 形设计，增加结构强度。</w:t>
            </w:r>
            <w:r/>
          </w:p>
        </w:tc>
      </w:tr>
      <w:tr>
        <w:trPr>
          <w:jc w:val="center"/>
          <w:trHeight w:val="61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阀门</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电动</w:t>
            </w:r>
            <w:r/>
          </w:p>
        </w:tc>
      </w:tr>
      <w:tr>
        <w:trPr>
          <w:jc w:val="center"/>
          <w:trHeight w:val="642"/>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泵</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注入淡水泵≥1个、输出盐水泵≥1个。</w:t>
            </w:r>
            <w:r/>
          </w:p>
        </w:tc>
      </w:tr>
      <w:tr>
        <w:trPr>
          <w:jc w:val="center"/>
          <w:trHeight w:val="62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泵运行速率</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≥410L/min</w:t>
            </w:r>
            <w:r/>
          </w:p>
        </w:tc>
      </w:tr>
      <w:tr>
        <w:trPr>
          <w:jc w:val="center"/>
          <w:trHeight w:val="9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▲LCD 触屏显示</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≥6英寸</w:t>
            </w:r>
            <w:r>
              <w:rPr>
                <w:rFonts w:hint="eastAsia" w:ascii="宋体" w:hAnsi="宋体"/>
                <w:bCs/>
                <w:color w:val="auto"/>
                <w:sz w:val="24"/>
                <w:szCs w:val="24"/>
                <w:highlight w:val="none"/>
              </w:rPr>
              <w:t xml:space="preserve">（需提供显示</w:t>
            </w:r>
            <w:r>
              <w:rPr>
                <w:rFonts w:hint="eastAsia" w:ascii="宋体" w:hAnsi="宋体"/>
                <w:bCs/>
                <w:color w:val="auto"/>
                <w:sz w:val="24"/>
                <w:szCs w:val="24"/>
                <w:highlight w:val="none"/>
                <w:lang w:val="en-US" w:eastAsia="zh-CN"/>
              </w:rPr>
              <w:t xml:space="preserve">尺寸</w:t>
            </w:r>
            <w:r>
              <w:rPr>
                <w:rFonts w:hint="eastAsia" w:ascii="宋体" w:hAnsi="宋体"/>
                <w:bCs/>
                <w:color w:val="auto"/>
                <w:sz w:val="24"/>
                <w:szCs w:val="24"/>
                <w:highlight w:val="none"/>
              </w:rPr>
              <w:t xml:space="preserve">数据的照片）</w:t>
            </w:r>
            <w:r/>
          </w:p>
        </w:tc>
      </w:tr>
      <w:tr>
        <w:trPr>
          <w:jc w:val="center"/>
          <w:trHeight w:val="47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盐浓度控制方法</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100%自动化精确测量盐浓度，无需人工调节；后台数据系统记录；储槽液位监控；内置自诊断。</w:t>
            </w:r>
            <w:r/>
          </w:p>
        </w:tc>
      </w:tr>
      <w:tr>
        <w:trPr>
          <w:jc w:val="center"/>
          <w:trHeight w:val="81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侧流功能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输出</w:t>
            </w:r>
            <w:r>
              <w:rPr>
                <w:rFonts w:hint="eastAsia" w:ascii="宋体" w:hAnsi="宋体"/>
                <w:bCs/>
                <w:color w:val="auto"/>
                <w:sz w:val="24"/>
                <w:szCs w:val="24"/>
                <w:highlight w:val="none"/>
              </w:rPr>
              <w:t xml:space="preserve">水管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和回输管路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，保持盐水流动，无沉淀。</w:t>
            </w:r>
            <w:r/>
          </w:p>
        </w:tc>
      </w:tr>
      <w:tr>
        <w:trPr>
          <w:jc w:val="center"/>
          <w:trHeight w:val="5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溢流功能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系统双向溢流保护</w:t>
            </w:r>
            <w:r/>
          </w:p>
        </w:tc>
      </w:tr>
      <w:tr>
        <w:trPr>
          <w:jc w:val="center"/>
          <w:trHeight w:val="6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内置诊断功能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系统搭配内置故障检修软件</w:t>
            </w:r>
            <w:r/>
          </w:p>
        </w:tc>
      </w:tr>
      <w:tr>
        <w:trPr>
          <w:jc w:val="center"/>
          <w:trHeight w:val="91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盐的种类</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适用各种盐，处理过的或未处理的、干净的或有杂质的、干的或湿的。</w:t>
            </w:r>
            <w:r/>
          </w:p>
        </w:tc>
      </w:tr>
      <w:tr>
        <w:trPr>
          <w:jc w:val="center"/>
          <w:trHeight w:val="58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倾斜基底和门板</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尺寸适宜，易于清扫未溶解材料。</w:t>
            </w:r>
            <w:r/>
          </w:p>
        </w:tc>
      </w:tr>
      <w:tr>
        <w:trPr>
          <w:jc w:val="center"/>
          <w:trHeight w:val="65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倾斜基底和手动蝶阀</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尺寸适宜，便于清水冲洗粉末沉淀和操作。</w:t>
            </w:r>
            <w:r/>
          </w:p>
        </w:tc>
      </w:tr>
      <w:tr>
        <w:trPr>
          <w:jc w:val="center"/>
          <w:trHeight w:val="651"/>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主管路系统部件</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需采用双层聚乙烯管路及接头</w:t>
            </w:r>
            <w:r/>
          </w:p>
        </w:tc>
      </w:tr>
      <w:tr>
        <w:trPr>
          <w:jc w:val="center"/>
          <w:trHeight w:val="62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饱和盐水结冰温度</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r>
      <w:tr>
        <w:trPr>
          <w:jc w:val="center"/>
          <w:trHeight w:val="67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过滤</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单级或多级过滤网</w:t>
            </w:r>
            <w:r/>
          </w:p>
        </w:tc>
      </w:tr>
      <w:tr>
        <w:trPr>
          <w:jc w:val="center"/>
          <w:trHeight w:val="72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24</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杂物清除功能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维修孔≥37cmx22cm，方便清除较大杂物。</w:t>
            </w:r>
            <w:r/>
          </w:p>
        </w:tc>
      </w:tr>
      <w:tr>
        <w:trPr>
          <w:jc w:val="center"/>
          <w:trHeight w:val="163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▲盐水传感器冲洗功能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在盐水制造机停止后自动用淡水冲洗盐水传感器。冲洗在停止后≤3秒开始，冲洗≥5 秒。传感器冲洗时间需可调节。</w:t>
            </w:r>
            <w:r>
              <w:rPr>
                <w:rFonts w:hint="eastAsia" w:ascii="宋体" w:hAnsi="宋体"/>
                <w:bCs/>
                <w:color w:val="auto"/>
                <w:sz w:val="24"/>
                <w:szCs w:val="24"/>
                <w:highlight w:val="none"/>
              </w:rPr>
              <w:t xml:space="preserve">（需提供显示屏设置操作界面</w:t>
            </w:r>
            <w:r>
              <w:rPr>
                <w:rFonts w:hint="eastAsia" w:ascii="宋体" w:hAnsi="宋体"/>
                <w:bCs/>
                <w:color w:val="auto"/>
                <w:sz w:val="24"/>
                <w:szCs w:val="24"/>
                <w:highlight w:val="none"/>
                <w:lang w:val="en-US" w:eastAsia="zh-CN"/>
              </w:rPr>
              <w:t xml:space="preserve">和管路实物照片</w:t>
            </w:r>
            <w:r>
              <w:rPr>
                <w:rFonts w:hint="eastAsia" w:ascii="宋体" w:hAnsi="宋体"/>
                <w:bCs/>
                <w:color w:val="auto"/>
                <w:sz w:val="24"/>
                <w:szCs w:val="24"/>
                <w:highlight w:val="none"/>
              </w:rPr>
              <w:t xml:space="preserve">）</w:t>
            </w:r>
            <w:r/>
          </w:p>
        </w:tc>
      </w:tr>
      <w:tr>
        <w:trPr>
          <w:jc w:val="center"/>
          <w:trHeight w:val="1834"/>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26</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▲空气吹扫功能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为防止冰冻，需在盐水生产机停止后自动吹扫流向盐水生产机的淡水管道。空气吹扫将在关闭≤10 分钟后启动，吹扫≥10秒，时间需可调整。</w:t>
            </w:r>
            <w:r>
              <w:rPr>
                <w:rFonts w:hint="eastAsia" w:ascii="宋体" w:hAnsi="宋体"/>
                <w:bCs/>
                <w:color w:val="auto"/>
                <w:sz w:val="24"/>
                <w:szCs w:val="24"/>
                <w:highlight w:val="none"/>
              </w:rPr>
              <w:t xml:space="preserve">（需提供显示屏设置操作界面</w:t>
            </w:r>
            <w:r>
              <w:rPr>
                <w:rFonts w:hint="eastAsia" w:ascii="宋体" w:hAnsi="宋体"/>
                <w:bCs/>
                <w:color w:val="auto"/>
                <w:sz w:val="24"/>
                <w:szCs w:val="24"/>
                <w:highlight w:val="none"/>
                <w:lang w:val="en-US" w:eastAsia="zh-CN"/>
              </w:rPr>
              <w:t xml:space="preserve">和管路实物照片</w:t>
            </w:r>
            <w:r>
              <w:rPr>
                <w:rFonts w:hint="eastAsia" w:ascii="宋体" w:hAnsi="宋体"/>
                <w:bCs/>
                <w:color w:val="auto"/>
                <w:sz w:val="24"/>
                <w:szCs w:val="24"/>
                <w:highlight w:val="none"/>
              </w:rPr>
              <w:t xml:space="preserve">）</w:t>
            </w:r>
            <w:r/>
          </w:p>
        </w:tc>
      </w:tr>
      <w:tr>
        <w:trPr>
          <w:jc w:val="center"/>
          <w:trHeight w:val="1867"/>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27</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▲整装设计</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即插即用，含水压表、水阀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、三通阀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、稀释阀、盐度计、传感器过滤组件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聚乙烯材质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、USB接头等。</w:t>
            </w:r>
            <w:r>
              <w:rPr>
                <w:rFonts w:hint="eastAsia" w:ascii="宋体" w:hAnsi="宋体"/>
                <w:bCs/>
                <w:color w:val="auto"/>
                <w:sz w:val="24"/>
                <w:szCs w:val="24"/>
                <w:highlight w:val="none"/>
              </w:rPr>
              <w:t xml:space="preserve">（需提供</w:t>
            </w:r>
            <w:r>
              <w:rPr>
                <w:rFonts w:hint="eastAsia" w:ascii="宋体" w:hAnsi="宋体"/>
                <w:bCs/>
                <w:color w:val="auto"/>
                <w:sz w:val="24"/>
                <w:szCs w:val="24"/>
                <w:highlight w:val="none"/>
                <w:lang w:val="en-US" w:eastAsia="zh-CN"/>
              </w:rPr>
              <w:t xml:space="preserve">实物照片，便于评审，投标人可做相应内容说明</w:t>
            </w:r>
            <w:r>
              <w:rPr>
                <w:rFonts w:hint="eastAsia" w:ascii="宋体" w:hAnsi="宋体"/>
                <w:bCs/>
                <w:color w:val="auto"/>
                <w:sz w:val="24"/>
                <w:szCs w:val="24"/>
                <w:highlight w:val="none"/>
              </w:rPr>
              <w:t xml:space="preserve">）</w:t>
            </w:r>
            <w:r/>
          </w:p>
        </w:tc>
      </w:tr>
      <w:tr>
        <w:trPr>
          <w:jc w:val="center"/>
          <w:trHeight w:val="55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28</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盐水储存时间</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≥12个月</w:t>
            </w:r>
            <w:r/>
          </w:p>
        </w:tc>
      </w:tr>
      <w:tr>
        <w:trPr>
          <w:jc w:val="center"/>
          <w:trHeight w:val="613"/>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29</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盐水生产记录</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需显示日期、时间、批次大小和每批平均浓度。</w:t>
            </w:r>
            <w:r/>
          </w:p>
        </w:tc>
      </w:tr>
      <w:tr>
        <w:trPr>
          <w:jc w:val="center"/>
          <w:trHeight w:val="66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30</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定制储存罐体数量</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≥6个</w:t>
            </w:r>
            <w:r/>
          </w:p>
        </w:tc>
      </w:tr>
      <w:tr>
        <w:trPr>
          <w:jc w:val="center"/>
          <w:trHeight w:val="2399"/>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31</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▲定制储存罐体</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玻璃钢</w:t>
            </w:r>
            <w:r>
              <w:rPr>
                <w:rFonts w:hint="eastAsia" w:ascii="宋体" w:hAnsi="宋体"/>
                <w:bCs/>
                <w:color w:val="auto"/>
                <w:sz w:val="24"/>
                <w:szCs w:val="24"/>
                <w:highlight w:val="none"/>
                <w:lang w:eastAsia="zh-CN"/>
              </w:rPr>
              <w:t xml:space="preserve">罐，</w:t>
            </w:r>
            <w:r>
              <w:rPr>
                <w:rFonts w:hint="eastAsia" w:ascii="宋体" w:hAnsi="宋体"/>
                <w:bCs/>
                <w:color w:val="auto"/>
                <w:sz w:val="24"/>
                <w:szCs w:val="24"/>
                <w:highlight w:val="none"/>
                <w:lang w:val="en-US" w:eastAsia="zh-CN"/>
              </w:rPr>
              <w:t xml:space="preserve">罐体核心材料玻璃纤维增强塑料（FRP），罐体容积≥50t/个，</w:t>
            </w:r>
            <w:r>
              <w:rPr>
                <w:rFonts w:hint="eastAsia" w:ascii="宋体" w:hAnsi="宋体"/>
                <w:bCs/>
                <w:color w:val="auto"/>
                <w:sz w:val="24"/>
                <w:szCs w:val="24"/>
                <w:highlight w:val="none"/>
              </w:rPr>
              <w:t xml:space="preserve">罐体</w:t>
            </w:r>
            <w:r>
              <w:rPr>
                <w:rFonts w:hint="eastAsia" w:ascii="宋体" w:hAnsi="宋体"/>
                <w:bCs/>
                <w:color w:val="auto"/>
                <w:sz w:val="24"/>
                <w:szCs w:val="24"/>
                <w:highlight w:val="none"/>
                <w:lang w:eastAsia="zh-CN"/>
              </w:rPr>
              <w:t xml:space="preserve">壁厚</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en-US" w:eastAsia="zh-CN"/>
              </w:rPr>
              <w:t xml:space="preserve">c</w:t>
            </w:r>
            <w:r>
              <w:rPr>
                <w:rFonts w:hint="eastAsia" w:ascii="宋体" w:hAnsi="宋体"/>
                <w:bCs/>
                <w:color w:val="auto"/>
                <w:sz w:val="24"/>
                <w:szCs w:val="24"/>
                <w:highlight w:val="none"/>
              </w:rPr>
              <w:t xml:space="preserve">m</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内部保持恒温（</w:t>
            </w:r>
            <w:r>
              <w:rPr>
                <w:rFonts w:hint="eastAsia" w:ascii="宋体" w:hAnsi="宋体"/>
                <w:bCs/>
                <w:color w:val="auto"/>
                <w:sz w:val="24"/>
                <w:szCs w:val="24"/>
                <w:highlight w:val="none"/>
              </w:rPr>
              <w:t xml:space="preserve">提供</w:t>
            </w:r>
            <w:r>
              <w:rPr>
                <w:rFonts w:hint="eastAsia" w:ascii="宋体" w:hAnsi="宋体"/>
                <w:bCs/>
                <w:color w:val="auto"/>
                <w:sz w:val="24"/>
                <w:szCs w:val="24"/>
                <w:highlight w:val="none"/>
                <w:lang w:val="en-US" w:eastAsia="zh-CN"/>
              </w:rPr>
              <w:t xml:space="preserve">国家认可的</w:t>
            </w:r>
            <w:r>
              <w:rPr>
                <w:rFonts w:hint="eastAsia" w:ascii="宋体" w:hAnsi="宋体"/>
                <w:bCs/>
                <w:color w:val="auto"/>
                <w:sz w:val="24"/>
                <w:szCs w:val="24"/>
                <w:highlight w:val="none"/>
              </w:rPr>
              <w:t xml:space="preserve">第三方检测机构出具的有效检测检验报告</w:t>
            </w:r>
            <w:r>
              <w:rPr>
                <w:rFonts w:hint="eastAsia" w:ascii="宋体" w:hAnsi="宋体"/>
                <w:bCs/>
                <w:color w:val="auto"/>
                <w:sz w:val="24"/>
                <w:szCs w:val="24"/>
                <w:highlight w:val="none"/>
                <w:lang w:eastAsia="zh-CN"/>
              </w:rPr>
              <w:t xml:space="preserve">或</w:t>
            </w:r>
            <w:r>
              <w:rPr>
                <w:rFonts w:hint="eastAsia" w:ascii="宋体" w:hAnsi="宋体"/>
                <w:bCs/>
                <w:color w:val="auto"/>
                <w:sz w:val="24"/>
                <w:szCs w:val="24"/>
                <w:highlight w:val="none"/>
                <w:lang w:val="en-US" w:eastAsia="zh-CN"/>
              </w:rPr>
              <w:t xml:space="preserve">所投产品的说明书或技术规格书</w:t>
            </w:r>
            <w:r>
              <w:rPr>
                <w:rFonts w:hint="eastAsia" w:ascii="宋体" w:hAnsi="宋体"/>
                <w:bCs/>
                <w:color w:val="auto"/>
                <w:sz w:val="24"/>
                <w:szCs w:val="24"/>
                <w:highlight w:val="none"/>
              </w:rPr>
              <w:t xml:space="preserve">作为评审依据</w:t>
            </w:r>
            <w:r>
              <w:rPr>
                <w:rFonts w:hint="eastAsia" w:ascii="宋体" w:hAnsi="宋体"/>
                <w:bCs/>
                <w:color w:val="auto"/>
                <w:sz w:val="24"/>
                <w:szCs w:val="24"/>
                <w:highlight w:val="none"/>
                <w:lang w:val="en-US" w:eastAsia="zh-CN"/>
              </w:rPr>
              <w:t xml:space="preserve">）</w:t>
            </w:r>
            <w:r/>
          </w:p>
        </w:tc>
      </w:tr>
      <w:tr>
        <w:trPr>
          <w:jc w:val="center"/>
          <w:trHeight w:val="630"/>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32</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叉车插口</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预留标准叉车插口</w:t>
            </w:r>
            <w:r/>
          </w:p>
        </w:tc>
      </w:tr>
      <w:tr>
        <w:trPr>
          <w:jc w:val="center"/>
          <w:trHeight w:val="668"/>
        </w:trPr>
        <w:tc>
          <w:tcPr>
            <w:tcBorders>
              <w:top w:val="single" w:color="auto" w:sz="2" w:space="0"/>
              <w:left w:val="single" w:color="auto" w:sz="2" w:space="0"/>
              <w:bottom w:val="single" w:color="auto" w:sz="2" w:space="0"/>
              <w:right w:val="single" w:color="auto" w:sz="2" w:space="0"/>
            </w:tcBorders>
            <w:tcW w:w="687"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33</w:t>
            </w:r>
            <w:r/>
          </w:p>
        </w:tc>
        <w:tc>
          <w:tcPr>
            <w:tcBorders>
              <w:top w:val="single" w:color="auto" w:sz="2" w:space="0"/>
              <w:left w:val="single" w:color="auto" w:sz="2" w:space="0"/>
              <w:bottom w:val="single" w:color="auto" w:sz="2" w:space="0"/>
              <w:right w:val="single" w:color="auto" w:sz="2" w:space="0"/>
            </w:tcBorders>
            <w:tcW w:w="2243" w:type="dxa"/>
            <w:vAlign w:val="center"/>
            <w:textDirection w:val="lrTb"/>
            <w:noWrap w:val="false"/>
          </w:tcPr>
          <w:p>
            <w:pPr>
              <w:jc w:val="cente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叉槽</w:t>
            </w:r>
            <w:r/>
          </w:p>
        </w:tc>
        <w:tc>
          <w:tcPr>
            <w:tcBorders>
              <w:top w:val="single" w:color="auto" w:sz="2" w:space="0"/>
              <w:left w:val="single" w:color="auto" w:sz="2" w:space="0"/>
              <w:bottom w:val="single" w:color="auto" w:sz="2" w:space="0"/>
              <w:right w:val="single" w:color="auto" w:sz="2" w:space="0"/>
            </w:tcBorders>
            <w:tcW w:w="5388" w:type="dxa"/>
            <w:vAlign w:val="center"/>
            <w:textDirection w:val="lrTb"/>
            <w:noWrap w:val="false"/>
          </w:tcPr>
          <w:p>
            <w:pPr>
              <w:keepLines w:val="0"/>
              <w:keepNext w:val="0"/>
              <w:pageBreakBefore w:val="0"/>
              <w:spacing w:line="360" w:lineRule="auto"/>
              <w:widowControl w:val="off"/>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内置</w:t>
            </w:r>
            <w:r/>
          </w:p>
        </w:tc>
      </w:tr>
    </w:tbl>
    <w:p>
      <w:pPr>
        <w:ind w:firstLine="480"/>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bCs/>
          <w:i w:val="0"/>
          <w:iCs/>
          <w:color w:val="auto"/>
          <w:sz w:val="24"/>
          <w:szCs w:val="21"/>
          <w:highlight w:val="none"/>
          <w:u w:val="single"/>
          <w:lang w:val="en-US" w:eastAsia="zh-CN"/>
        </w:rPr>
        <w:t xml:space="preserve">上述要求为本项目的设备技术要求，其中</w:t>
      </w:r>
      <w:r>
        <w:rPr>
          <w:rFonts w:hint="eastAsia" w:ascii="宋体" w:hAnsi="宋体"/>
          <w:b/>
          <w:bCs/>
          <w:i w:val="0"/>
          <w:iCs/>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为实质性要求。</w:t>
      </w:r>
      <w:r/>
    </w:p>
    <w:p>
      <w:pPr>
        <w:keepLines w:val="0"/>
        <w:keepNext w:val="0"/>
        <w:pageBreakBefore w:val="0"/>
        <w:spacing w:line="360" w:lineRule="auto"/>
        <w:widowControl w:val="off"/>
        <w:rPr>
          <w:rFonts w:ascii="宋体" w:hAnsi="宋体"/>
          <w:b/>
          <w:bCs/>
          <w:color w:val="auto"/>
          <w:sz w:val="24"/>
          <w:szCs w:val="24"/>
          <w:highlight w:val="none"/>
        </w:rPr>
        <w:outlineLvl w:val="0"/>
      </w:pPr>
      <w:r/>
      <w:bookmarkStart w:id="244" w:name="_Toc10293"/>
      <w:r>
        <w:rPr>
          <w:rFonts w:hint="eastAsia" w:ascii="宋体" w:hAnsi="宋体"/>
          <w:b/>
          <w:bCs/>
          <w:color w:val="auto"/>
          <w:sz w:val="24"/>
          <w:szCs w:val="24"/>
          <w:highlight w:val="none"/>
        </w:rPr>
        <w:t xml:space="preserve">四</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w:t>
      </w:r>
      <w:r>
        <w:rPr>
          <w:rFonts w:ascii="宋体" w:hAnsi="宋体"/>
          <w:b/>
          <w:bCs/>
          <w:color w:val="auto"/>
          <w:sz w:val="24"/>
          <w:szCs w:val="24"/>
          <w:highlight w:val="none"/>
        </w:rPr>
        <w:t xml:space="preserve">要求</w:t>
      </w:r>
      <w:bookmarkEnd w:id="244"/>
      <w:r/>
      <w:r/>
    </w:p>
    <w:p>
      <w:pPr>
        <w:ind w:firstLine="480"/>
        <w:keepLines w:val="0"/>
        <w:keepNext w:val="0"/>
        <w:pageBreakBefore w:val="0"/>
        <w:spacing w:line="360" w:lineRule="auto"/>
        <w:widowControl w:val="off"/>
        <w:rPr>
          <w:rFonts w:hint="eastAsia" w:ascii="宋体" w:hAnsi="宋体"/>
          <w:b/>
          <w:bCs/>
          <w:color w:val="auto"/>
          <w:sz w:val="24"/>
          <w:szCs w:val="21"/>
          <w:highlight w:val="none"/>
        </w:rPr>
      </w:pPr>
      <w:r>
        <w:rPr>
          <w:rFonts w:hint="eastAsia" w:ascii="宋体" w:hAnsi="宋体"/>
          <w:b/>
          <w:bCs/>
          <w:i/>
          <w:iCs/>
          <w:color w:val="auto"/>
          <w:sz w:val="24"/>
          <w:szCs w:val="21"/>
          <w:highlight w:val="none"/>
          <w:u w:val="single"/>
        </w:rPr>
        <w:t xml:space="preserve">1、合同履行期限：合同签订后</w:t>
      </w:r>
      <w:r>
        <w:rPr>
          <w:rFonts w:hint="eastAsia" w:ascii="宋体" w:hAnsi="宋体"/>
          <w:b/>
          <w:bCs/>
          <w:i/>
          <w:iCs/>
          <w:color w:val="auto"/>
          <w:sz w:val="24"/>
          <w:szCs w:val="21"/>
          <w:highlight w:val="none"/>
          <w:u w:val="single"/>
          <w:lang w:val="en-US" w:eastAsia="zh-CN"/>
        </w:rPr>
        <w:t xml:space="preserve">60</w:t>
      </w:r>
      <w:r>
        <w:rPr>
          <w:rFonts w:hint="eastAsia" w:ascii="宋体" w:hAnsi="宋体"/>
          <w:b/>
          <w:bCs/>
          <w:i/>
          <w:iCs/>
          <w:color w:val="auto"/>
          <w:sz w:val="24"/>
          <w:szCs w:val="21"/>
          <w:highlight w:val="none"/>
          <w:u w:val="single"/>
        </w:rPr>
        <w:t xml:space="preserve">天完成</w:t>
      </w:r>
      <w:r>
        <w:rPr>
          <w:rFonts w:hint="eastAsia" w:ascii="宋体" w:hAnsi="宋体"/>
          <w:b/>
          <w:bCs/>
          <w:i/>
          <w:iCs/>
          <w:color w:val="auto"/>
          <w:sz w:val="24"/>
          <w:szCs w:val="21"/>
          <w:highlight w:val="none"/>
          <w:u w:val="single"/>
          <w:lang w:val="en-US" w:eastAsia="zh-CN"/>
        </w:rPr>
        <w:t xml:space="preserve">供货、</w:t>
      </w:r>
      <w:r>
        <w:rPr>
          <w:rFonts w:hint="eastAsia" w:ascii="宋体" w:hAnsi="宋体"/>
          <w:b/>
          <w:bCs/>
          <w:i/>
          <w:iCs/>
          <w:color w:val="auto"/>
          <w:sz w:val="24"/>
          <w:szCs w:val="21"/>
          <w:highlight w:val="none"/>
          <w:u w:val="single"/>
        </w:rPr>
        <w:t xml:space="preserve">安装调试，</w:t>
      </w:r>
      <w:r>
        <w:rPr>
          <w:rFonts w:hint="eastAsia" w:ascii="宋体" w:hAnsi="宋体"/>
          <w:b/>
          <w:bCs/>
          <w:i/>
          <w:iCs/>
          <w:color w:val="auto"/>
          <w:sz w:val="24"/>
          <w:szCs w:val="21"/>
          <w:highlight w:val="none"/>
          <w:u w:val="single"/>
          <w:lang w:val="en-US" w:eastAsia="zh-CN"/>
        </w:rPr>
        <w:t xml:space="preserve">并交付正常使用（质保期为设备运抵采购人项目现场并调试验收合格后三年）</w:t>
      </w:r>
      <w:r>
        <w:rPr>
          <w:rFonts w:hint="eastAsia" w:ascii="宋体" w:hAnsi="宋体"/>
          <w:b/>
          <w:bCs/>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rPr>
        <w:t xml:space="preserve">2、交货方式：上门安装。</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rPr>
        <w:t xml:space="preserve">3、交货地点：采购人指定地点。</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4、</w:t>
      </w:r>
      <w:r>
        <w:rPr>
          <w:rFonts w:hint="eastAsia" w:ascii="宋体" w:hAnsi="宋体"/>
          <w:b w:val="0"/>
          <w:bCs w:val="0"/>
          <w:color w:val="auto"/>
          <w:sz w:val="24"/>
          <w:szCs w:val="21"/>
          <w:highlight w:val="none"/>
        </w:rPr>
        <w:t xml:space="preserve">安装调试</w:t>
      </w:r>
      <w:r>
        <w:rPr>
          <w:rFonts w:hint="eastAsia" w:ascii="宋体" w:hAnsi="宋体"/>
          <w:b w:val="0"/>
          <w:bCs w:val="0"/>
          <w:color w:val="auto"/>
          <w:sz w:val="24"/>
          <w:szCs w:val="21"/>
          <w:highlight w:val="none"/>
          <w:lang w:eastAsia="zh-CN"/>
        </w:rPr>
        <w:t xml:space="preserve">：</w:t>
      </w:r>
      <w:r>
        <w:rPr>
          <w:rFonts w:hint="eastAsia" w:ascii="宋体" w:hAnsi="宋体"/>
          <w:b w:val="0"/>
          <w:bCs w:val="0"/>
          <w:color w:val="auto"/>
          <w:sz w:val="24"/>
          <w:szCs w:val="21"/>
          <w:highlight w:val="none"/>
          <w:lang w:val="en-US" w:eastAsia="zh-CN"/>
        </w:rPr>
        <w:t xml:space="preserve">招标人提供设备安装场地，</w:t>
      </w:r>
      <w:r>
        <w:rPr>
          <w:rFonts w:hint="eastAsia" w:ascii="宋体" w:hAnsi="宋体"/>
          <w:b w:val="0"/>
          <w:bCs w:val="0"/>
          <w:color w:val="auto"/>
          <w:sz w:val="24"/>
          <w:szCs w:val="21"/>
          <w:highlight w:val="none"/>
        </w:rPr>
        <w:t xml:space="preserve">中标人</w:t>
      </w:r>
      <w:r>
        <w:rPr>
          <w:rFonts w:hint="eastAsia" w:ascii="宋体" w:hAnsi="宋体"/>
          <w:b w:val="0"/>
          <w:bCs w:val="0"/>
          <w:color w:val="auto"/>
          <w:sz w:val="24"/>
          <w:szCs w:val="21"/>
          <w:highlight w:val="none"/>
          <w:lang w:val="en-US" w:eastAsia="zh-CN"/>
        </w:rPr>
        <w:t xml:space="preserve">开展设备安装总体布局、设备及储存罐基础结构、精密仪器及控制系统的操作间建筑的设计及施工，同时</w:t>
      </w:r>
      <w:r>
        <w:rPr>
          <w:rFonts w:hint="eastAsia" w:ascii="宋体" w:hAnsi="宋体"/>
          <w:b w:val="0"/>
          <w:bCs w:val="0"/>
          <w:color w:val="auto"/>
          <w:sz w:val="24"/>
          <w:szCs w:val="21"/>
          <w:highlight w:val="none"/>
        </w:rPr>
        <w:t xml:space="preserve">需提供专业安装调试</w:t>
      </w:r>
      <w:r>
        <w:rPr>
          <w:rFonts w:hint="eastAsia" w:ascii="宋体" w:hAnsi="宋体"/>
          <w:b w:val="0"/>
          <w:bCs w:val="0"/>
          <w:color w:val="auto"/>
          <w:sz w:val="24"/>
          <w:szCs w:val="21"/>
          <w:highlight w:val="none"/>
          <w:lang w:val="en-US" w:eastAsia="zh-CN"/>
        </w:rPr>
        <w:t xml:space="preserve">人员参与安装调试</w:t>
      </w:r>
      <w:r>
        <w:rPr>
          <w:rFonts w:hint="eastAsia" w:ascii="宋体" w:hAnsi="宋体"/>
          <w:b w:val="0"/>
          <w:bCs w:val="0"/>
          <w:color w:val="auto"/>
          <w:sz w:val="24"/>
          <w:szCs w:val="21"/>
          <w:highlight w:val="none"/>
        </w:rPr>
        <w:t xml:space="preserve">，团队成员涵盖精通相关技术的工程师。</w:t>
      </w:r>
      <w:r>
        <w:rPr>
          <w:rFonts w:hint="eastAsia" w:ascii="宋体" w:hAnsi="宋体"/>
          <w:b w:val="0"/>
          <w:bCs w:val="0"/>
          <w:color w:val="auto"/>
          <w:sz w:val="24"/>
          <w:szCs w:val="21"/>
          <w:highlight w:val="none"/>
          <w:lang w:val="en-US" w:eastAsia="zh-CN"/>
        </w:rPr>
        <w:t xml:space="preserve">进场安装实施人员在本项目履约期间具有人身意外伤害险；在安装实施中要严格按行业规定进行安装实施，若出现任何安全事故，责任由投标人自行承担</w:t>
      </w:r>
      <w:r>
        <w:rPr>
          <w:rFonts w:hint="eastAsia" w:ascii="宋体" w:hAnsi="宋体"/>
          <w:b w:val="0"/>
          <w:bCs w:val="0"/>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5、国家或行业相关规范标准：执行国家或行业最新标准。</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zh-CN"/>
        </w:rPr>
      </w:pPr>
      <w:r>
        <w:rPr>
          <w:rFonts w:hint="eastAsia" w:ascii="宋体" w:hAnsi="宋体"/>
          <w:b w:val="0"/>
          <w:bCs w:val="0"/>
          <w:color w:val="auto"/>
          <w:sz w:val="24"/>
          <w:szCs w:val="21"/>
          <w:highlight w:val="none"/>
          <w:lang w:val="en-US" w:eastAsia="zh-CN"/>
        </w:rPr>
        <w:t xml:space="preserve">6、人员配备要求：投标人根据</w:t>
      </w:r>
      <w:r>
        <w:rPr>
          <w:rFonts w:hint="eastAsia" w:ascii="宋体" w:hAnsi="宋体"/>
          <w:b w:val="0"/>
          <w:bCs w:val="0"/>
          <w:color w:val="auto"/>
          <w:sz w:val="24"/>
          <w:szCs w:val="21"/>
          <w:highlight w:val="none"/>
          <w:lang w:val="zh-CN" w:eastAsia="zh-CN"/>
        </w:rPr>
        <w:t xml:space="preserve">国家、</w:t>
      </w:r>
      <w:r>
        <w:rPr>
          <w:rFonts w:hint="eastAsia" w:ascii="宋体" w:hAnsi="宋体"/>
          <w:b w:val="0"/>
          <w:bCs w:val="0"/>
          <w:color w:val="auto"/>
          <w:sz w:val="24"/>
          <w:szCs w:val="21"/>
          <w:highlight w:val="none"/>
          <w:lang w:val="en-US" w:eastAsia="zh-CN"/>
        </w:rPr>
        <w:t xml:space="preserve">行业</w:t>
      </w:r>
      <w:r>
        <w:rPr>
          <w:rFonts w:hint="eastAsia" w:ascii="宋体" w:hAnsi="宋体"/>
          <w:b w:val="0"/>
          <w:bCs w:val="0"/>
          <w:color w:val="auto"/>
          <w:sz w:val="24"/>
          <w:szCs w:val="21"/>
          <w:highlight w:val="none"/>
          <w:lang w:val="zh-CN" w:eastAsia="zh-CN"/>
        </w:rPr>
        <w:t xml:space="preserve">规范及</w:t>
      </w:r>
      <w:r>
        <w:rPr>
          <w:rFonts w:hint="eastAsia" w:ascii="宋体" w:hAnsi="宋体"/>
          <w:b w:val="0"/>
          <w:bCs w:val="0"/>
          <w:color w:val="auto"/>
          <w:sz w:val="24"/>
          <w:szCs w:val="21"/>
          <w:highlight w:val="none"/>
          <w:lang w:val="en-US" w:eastAsia="zh-CN"/>
        </w:rPr>
        <w:t xml:space="preserve">设备实际情况配备</w:t>
      </w:r>
      <w:r>
        <w:rPr>
          <w:rFonts w:hint="eastAsia" w:ascii="宋体" w:hAnsi="宋体"/>
          <w:b w:val="0"/>
          <w:bCs w:val="0"/>
          <w:color w:val="auto"/>
          <w:sz w:val="24"/>
          <w:szCs w:val="21"/>
          <w:highlight w:val="none"/>
          <w:lang w:val="zh-CN" w:eastAsia="zh-CN"/>
        </w:rPr>
        <w:t xml:space="preserve">，</w:t>
      </w:r>
      <w:r>
        <w:rPr>
          <w:rFonts w:hint="eastAsia" w:ascii="宋体" w:hAnsi="宋体"/>
          <w:b w:val="0"/>
          <w:bCs w:val="0"/>
          <w:color w:val="auto"/>
          <w:sz w:val="24"/>
          <w:szCs w:val="21"/>
          <w:highlight w:val="none"/>
          <w:lang w:val="en-US" w:eastAsia="zh-CN"/>
        </w:rPr>
        <w:t xml:space="preserve">本项目拟投入人员不少于1名，负责与采购人对接工作，安装技术人员按需配备</w:t>
      </w:r>
      <w:r>
        <w:rPr>
          <w:rFonts w:hint="eastAsia" w:ascii="宋体" w:hAnsi="宋体"/>
          <w:b w:val="0"/>
          <w:bCs w:val="0"/>
          <w:color w:val="auto"/>
          <w:sz w:val="24"/>
          <w:szCs w:val="21"/>
          <w:highlight w:val="none"/>
          <w:lang w:val="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7、履约验收要求</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（1）招标人以招标文件、中标人的投标文件、承诺、合同为依据，成立验收小组，负责对项目进行全面的验收。</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2）货物的验收包括：数量、外观、质量、性能、包装等；所有设备和附（配）件应符合其规定的性能，无瑕疵和缺陷，质量为合格产品。投标人对质量问题负责包退、包换和包修，因此发生的费用由投标人自行负责。</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（4）</w:t>
      </w:r>
      <w:r>
        <w:rPr>
          <w:rFonts w:hint="eastAsia" w:ascii="宋体" w:hAnsi="宋体"/>
          <w:b w:val="0"/>
          <w:bCs w:val="0"/>
          <w:color w:val="0000ff"/>
          <w:sz w:val="24"/>
          <w:szCs w:val="21"/>
          <w:highlight w:val="none"/>
          <w:lang w:val="en-US" w:eastAsia="zh-CN"/>
        </w:rPr>
        <w:t xml:space="preserve">货物到达招标人指定地点并安装、调试工作完成后，通知招标人，由招标人根据相关部门规定的验收方案，邀请第三方检测机构对关键技术参数进行验收，并由第三方检测机构出具检测报告（验收报告），对于验收不合格的货物，甲方将拒绝接收；交付使用时要同时向招标人提供详细的技术文件、调试报告、安装记录、原厂保修卡、随机资料及配件</w:t>
      </w:r>
      <w:r>
        <w:rPr>
          <w:rFonts w:hint="eastAsia" w:ascii="宋体" w:hAnsi="宋体"/>
          <w:b w:val="0"/>
          <w:bCs w:val="0"/>
          <w:color w:val="auto"/>
          <w:sz w:val="24"/>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5）投标人按合同约定履约完成全部项目，并满足使用要求，须及时向招标人或合同签订的甲方提交验收申请。合同签订的甲方（使用者）须进行初步验收，完全达到符合采购合同约定的验收条件时，再向验收小组申请正式验收。投标人须提交规范供货承诺书、合同签订的甲方（使用者）须向验收组提交规范验货承诺书。</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rPr>
      </w:pPr>
      <w:r>
        <w:rPr>
          <w:rFonts w:hint="eastAsia" w:ascii="宋体" w:hAnsi="宋体"/>
          <w:b w:val="0"/>
          <w:bCs w:val="0"/>
          <w:color w:val="auto"/>
          <w:sz w:val="24"/>
          <w:szCs w:val="21"/>
          <w:highlight w:val="none"/>
          <w:lang w:val="en-US" w:eastAsia="zh-CN"/>
        </w:rPr>
        <w:t xml:space="preserve">8</w:t>
      </w:r>
      <w:r>
        <w:rPr>
          <w:rFonts w:hint="eastAsia" w:ascii="宋体" w:hAnsi="宋体"/>
          <w:b w:val="0"/>
          <w:bCs w:val="0"/>
          <w:color w:val="auto"/>
          <w:sz w:val="24"/>
          <w:szCs w:val="21"/>
          <w:highlight w:val="none"/>
        </w:rPr>
        <w:t xml:space="preserve">、培训要求</w:t>
      </w:r>
      <w:r>
        <w:rPr>
          <w:rFonts w:hint="eastAsia" w:ascii="宋体" w:hAnsi="宋体"/>
          <w:b w:val="0"/>
          <w:bCs w:val="0"/>
          <w:color w:val="auto"/>
          <w:sz w:val="24"/>
          <w:szCs w:val="21"/>
          <w:highlight w:val="none"/>
          <w:lang w:eastAsia="zh-CN"/>
        </w:rPr>
        <w:t xml:space="preserve">：</w:t>
      </w:r>
      <w:r>
        <w:rPr>
          <w:rFonts w:hint="eastAsia" w:ascii="宋体" w:hAnsi="宋体"/>
          <w:b w:val="0"/>
          <w:bCs w:val="0"/>
          <w:color w:val="auto"/>
          <w:sz w:val="24"/>
          <w:szCs w:val="21"/>
          <w:highlight w:val="none"/>
        </w:rPr>
        <w:t xml:space="preserve">中标人提供详细技术资料对采购人相关人员进行操作培训，确保使用人员熟练掌握使用方法、操作要领以及小故障排除办法。培训的内容、地点及频次应由双方协商制定，培训的相关费用均包含在本次投标报价中。</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9、售后服务要求</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（1）</w:t>
      </w:r>
      <w:r>
        <w:rPr>
          <w:rFonts w:hint="eastAsia" w:ascii="宋体" w:hAnsi="宋体"/>
          <w:b/>
          <w:bCs/>
          <w:i/>
          <w:iCs/>
          <w:color w:val="auto"/>
          <w:sz w:val="24"/>
          <w:szCs w:val="21"/>
          <w:highlight w:val="none"/>
          <w:u w:val="single"/>
          <w:lang w:val="en-US" w:eastAsia="zh-CN"/>
        </w:rPr>
        <w:t xml:space="preserve">质保期：本项目质保期3年，自验收合格之日起算。质保期内，如产品出现问题，中标人承担技术支持、维修、保养、检查、调换等，相关费用包含在预算内，采购方不再支付任何费用；对于采购人人为原因造成的故障，中标人只收取维保成本费用</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（2）</w:t>
      </w:r>
      <w:r>
        <w:rPr>
          <w:rFonts w:hint="eastAsia" w:ascii="宋体" w:hAnsi="宋体"/>
          <w:b/>
          <w:bCs/>
          <w:i/>
          <w:iCs/>
          <w:color w:val="auto"/>
          <w:sz w:val="24"/>
          <w:szCs w:val="21"/>
          <w:highlight w:val="none"/>
          <w:u w:val="single"/>
          <w:lang w:val="en-US" w:eastAsia="zh-CN"/>
        </w:rPr>
        <w:t xml:space="preserve">维护期：3年，自验收合格之日起算</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维护服务要求</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应向采购人提供每周7×24小时售后技术支持服务，开通热线电话接受采购人的电话技术咨询，解答用户在系统使用、维护过程中遇到的问题，30分钟内进行技术响应。如通过远程方式（电话、视频等）无法排除故障，中标人3小时内派遣工程师到达现场处理，恢复设备正常运行</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single"/>
          <w:lang w:val="en-US" w:eastAsia="zh-CN"/>
        </w:rPr>
        <w:t xml:space="preserve">中标人应根据采购人和货物使用方要求提供保养维修服务，每年至少两次检查和设备保养维修，即除雪除冰季节来临前，派专业技术人员对设备全面检查保养和技术指导，确保设备状态良好；除雪除冰季节结束后，派专业技术人员对设备全面清理、保养和维修</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color w:val="auto"/>
          <w:sz w:val="24"/>
          <w:szCs w:val="21"/>
          <w:highlight w:val="none"/>
          <w:lang w:val="en-US" w:eastAsia="zh-CN"/>
        </w:rPr>
      </w:pPr>
      <w:r>
        <w:rPr>
          <w:rFonts w:hint="eastAsia" w:ascii="宋体" w:hAnsi="宋体"/>
          <w:b/>
          <w:bCs/>
          <w:i/>
          <w:iCs/>
          <w:color w:val="auto"/>
          <w:sz w:val="24"/>
          <w:szCs w:val="21"/>
          <w:highlight w:val="none"/>
          <w:u w:val="single"/>
          <w:lang w:val="en-US" w:eastAsia="zh-CN"/>
        </w:rPr>
        <w:t xml:space="preserve">每次维护保养服务后，采购人根据维护情况进行考核验收</w:t>
      </w:r>
      <w:r>
        <w:rPr>
          <w:rFonts w:hint="eastAsia" w:ascii="宋体" w:hAnsi="宋体"/>
          <w:b/>
          <w:bCs/>
          <w:color w:val="auto"/>
          <w:sz w:val="24"/>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10、投标报价要求：报价应包含与本次采购项目有关的所有费用，包含但不限于人员、设备、场地总体布局设计、设备及储存罐基础结构、精密仪器及控制系统配套的操作间建筑、安装调试费、验收、售后服务、质保期（3年）内的维护保养费用、伴随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特别提醒投标人：工作中涉及的敏感资料、电子数据等相关信息，中标人应严格执行保密的相关规定，不得以任何方式向任何第三人披露、泄露或许可第三人使用，否则追究其相应法律责任。</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11、付款方式与履约保证金</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lang w:val="en-US" w:eastAsia="zh-CN"/>
        </w:rPr>
      </w:pPr>
      <w:r>
        <w:rPr>
          <w:rFonts w:hint="eastAsia" w:ascii="宋体" w:hAnsi="宋体"/>
          <w:b/>
          <w:bCs/>
          <w:i/>
          <w:iCs/>
          <w:color w:val="auto"/>
          <w:sz w:val="24"/>
          <w:szCs w:val="21"/>
          <w:highlight w:val="none"/>
          <w:u w:val="none"/>
          <w:lang w:val="en-US" w:eastAsia="zh-CN"/>
        </w:rPr>
        <w:t xml:space="preserve">（1）</w:t>
      </w:r>
      <w:r>
        <w:rPr>
          <w:rFonts w:hint="eastAsia" w:ascii="宋体" w:hAnsi="宋体"/>
          <w:b/>
          <w:bCs/>
          <w:i/>
          <w:iCs/>
          <w:color w:val="auto"/>
          <w:sz w:val="24"/>
          <w:szCs w:val="21"/>
          <w:highlight w:val="none"/>
          <w:u w:val="single"/>
          <w:lang w:val="en-US" w:eastAsia="zh-CN"/>
        </w:rPr>
        <w:t xml:space="preserve">付款方式</w:t>
      </w:r>
      <w:r>
        <w:rPr>
          <w:rFonts w:hint="eastAsia" w:ascii="宋体" w:hAnsi="宋体"/>
          <w:b/>
          <w:bCs/>
          <w:i/>
          <w:iCs/>
          <w:color w:val="auto"/>
          <w:sz w:val="24"/>
          <w:szCs w:val="21"/>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rPr>
      </w:pPr>
      <w:r>
        <w:rPr>
          <w:rFonts w:hint="eastAsia" w:ascii="宋体" w:hAnsi="宋体"/>
          <w:b/>
          <w:bCs/>
          <w:i/>
          <w:iCs/>
          <w:color w:val="auto"/>
          <w:sz w:val="24"/>
          <w:szCs w:val="21"/>
          <w:highlight w:val="none"/>
          <w:u w:val="single"/>
        </w:rPr>
        <w:t xml:space="preserve">货物及安装调试费用支付</w:t>
      </w:r>
      <w:r>
        <w:rPr>
          <w:rFonts w:hint="eastAsia" w:ascii="宋体" w:hAnsi="宋体"/>
          <w:b/>
          <w:bCs/>
          <w:i/>
          <w:iCs/>
          <w:color w:val="auto"/>
          <w:sz w:val="24"/>
          <w:szCs w:val="21"/>
          <w:highlight w:val="none"/>
          <w:u w:val="single"/>
          <w:lang w:eastAsia="zh-CN"/>
        </w:rPr>
        <w:t xml:space="preserve">：</w:t>
      </w:r>
      <w:r>
        <w:rPr>
          <w:rFonts w:hint="eastAsia" w:ascii="宋体" w:hAnsi="宋体"/>
          <w:b/>
          <w:bCs/>
          <w:i/>
          <w:iCs/>
          <w:color w:val="auto"/>
          <w:sz w:val="24"/>
          <w:szCs w:val="21"/>
          <w:highlight w:val="none"/>
          <w:u w:val="single"/>
        </w:rPr>
        <w:t xml:space="preserve">合同签订后，货物到达现场、安装调试完成并经验收合格后，付至合同金额的79%</w:t>
      </w:r>
      <w:r>
        <w:rPr>
          <w:rFonts w:hint="eastAsia" w:ascii="宋体" w:hAnsi="宋体"/>
          <w:b/>
          <w:bCs/>
          <w:i/>
          <w:iCs/>
          <w:color w:val="auto"/>
          <w:sz w:val="24"/>
          <w:szCs w:val="21"/>
          <w:highlight w:val="none"/>
          <w:u w:val="none"/>
        </w:rPr>
        <w:t xml:space="preserve">。</w:t>
      </w:r>
      <w:r/>
    </w:p>
    <w:p>
      <w:pPr>
        <w:ind w:firstLine="480"/>
        <w:keepLines w:val="0"/>
        <w:keepNext w:val="0"/>
        <w:pageBreakBefore w:val="0"/>
        <w:spacing w:line="360" w:lineRule="auto"/>
        <w:widowControl w:val="off"/>
        <w:rPr>
          <w:rFonts w:hint="eastAsia" w:ascii="宋体" w:hAnsi="宋体"/>
          <w:b/>
          <w:bCs/>
          <w:i/>
          <w:iCs/>
          <w:color w:val="auto"/>
          <w:sz w:val="24"/>
          <w:szCs w:val="21"/>
          <w:highlight w:val="none"/>
          <w:u w:val="single"/>
        </w:rPr>
      </w:pPr>
      <w:r>
        <w:rPr>
          <w:rFonts w:hint="eastAsia" w:ascii="宋体" w:hAnsi="宋体"/>
          <w:b/>
          <w:bCs/>
          <w:i/>
          <w:iCs/>
          <w:color w:val="auto"/>
          <w:sz w:val="24"/>
          <w:szCs w:val="21"/>
          <w:highlight w:val="none"/>
          <w:u w:val="single"/>
        </w:rPr>
        <w:t xml:space="preserve">运行维护费用支付</w:t>
      </w:r>
      <w:r>
        <w:rPr>
          <w:rFonts w:hint="eastAsia" w:ascii="宋体" w:hAnsi="宋体"/>
          <w:b/>
          <w:bCs/>
          <w:i/>
          <w:iCs/>
          <w:color w:val="auto"/>
          <w:sz w:val="24"/>
          <w:szCs w:val="21"/>
          <w:highlight w:val="none"/>
          <w:u w:val="single"/>
          <w:lang w:eastAsia="zh-CN"/>
        </w:rPr>
        <w:t xml:space="preserve">：</w:t>
      </w:r>
      <w:r>
        <w:rPr>
          <w:rFonts w:hint="eastAsia" w:ascii="宋体" w:hAnsi="宋体"/>
          <w:b/>
          <w:bCs/>
          <w:i/>
          <w:iCs/>
          <w:color w:val="auto"/>
          <w:sz w:val="24"/>
          <w:szCs w:val="21"/>
          <w:highlight w:val="none"/>
          <w:u w:val="single"/>
        </w:rPr>
        <w:t xml:space="preserve">维护费用为合同金额的21%，该部分费用根据</w:t>
      </w:r>
      <w:r>
        <w:rPr>
          <w:rFonts w:hint="eastAsia" w:ascii="宋体" w:hAnsi="宋体"/>
          <w:b/>
          <w:bCs/>
          <w:i/>
          <w:iCs/>
          <w:color w:val="auto"/>
          <w:sz w:val="24"/>
          <w:szCs w:val="21"/>
          <w:highlight w:val="none"/>
          <w:u w:val="single"/>
          <w:lang w:val="en-US" w:eastAsia="zh-CN"/>
        </w:rPr>
        <w:t xml:space="preserve">维护</w:t>
      </w:r>
      <w:r>
        <w:rPr>
          <w:rFonts w:hint="eastAsia" w:ascii="宋体" w:hAnsi="宋体"/>
          <w:b/>
          <w:bCs/>
          <w:i/>
          <w:iCs/>
          <w:color w:val="auto"/>
          <w:sz w:val="24"/>
          <w:szCs w:val="21"/>
          <w:highlight w:val="none"/>
          <w:u w:val="single"/>
        </w:rPr>
        <w:t xml:space="preserve">期限按年度平均支付，</w:t>
      </w:r>
      <w:r>
        <w:rPr>
          <w:rFonts w:hint="eastAsia" w:ascii="宋体" w:hAnsi="宋体"/>
          <w:b/>
          <w:bCs/>
          <w:i/>
          <w:iCs/>
          <w:color w:val="auto"/>
          <w:sz w:val="24"/>
          <w:szCs w:val="21"/>
          <w:highlight w:val="none"/>
          <w:u w:val="single"/>
          <w:lang w:val="en-US" w:eastAsia="zh-CN"/>
        </w:rPr>
        <w:t xml:space="preserve">维护</w:t>
      </w:r>
      <w:r>
        <w:rPr>
          <w:rFonts w:hint="eastAsia" w:ascii="宋体" w:hAnsi="宋体"/>
          <w:b/>
          <w:bCs/>
          <w:i/>
          <w:iCs/>
          <w:color w:val="auto"/>
          <w:sz w:val="24"/>
          <w:szCs w:val="21"/>
          <w:highlight w:val="none"/>
          <w:u w:val="single"/>
        </w:rPr>
        <w:t xml:space="preserve">期每满一年，经采购人确认合格后，每年底支付合同金额的7%，直至付清</w:t>
      </w:r>
      <w:r>
        <w:rPr>
          <w:rFonts w:hint="eastAsia" w:ascii="宋体" w:hAnsi="宋体"/>
          <w:b/>
          <w:bCs/>
          <w:i/>
          <w:iCs/>
          <w:color w:val="auto"/>
          <w:sz w:val="24"/>
          <w:szCs w:val="21"/>
          <w:highlight w:val="none"/>
          <w:u w:val="none"/>
        </w:rPr>
        <w:t xml:space="preserve">。</w:t>
      </w:r>
      <w:r/>
    </w:p>
    <w:p>
      <w:pPr>
        <w:ind w:firstLine="480"/>
        <w:keepLines w:val="0"/>
        <w:keepNext w:val="0"/>
        <w:pageBreakBefore w:val="0"/>
        <w:spacing w:line="360" w:lineRule="auto"/>
        <w:widowControl w:val="off"/>
        <w:rPr>
          <w:rFonts w:hint="eastAsia" w:ascii="宋体" w:hAnsi="宋体"/>
          <w:b/>
          <w:bCs/>
          <w:color w:val="auto"/>
          <w:sz w:val="24"/>
          <w:szCs w:val="21"/>
          <w:highlight w:val="none"/>
          <w:lang w:val="en-US" w:eastAsia="zh-CN"/>
        </w:rPr>
      </w:pPr>
      <w:r>
        <w:rPr>
          <w:rFonts w:hint="eastAsia" w:ascii="宋体" w:hAnsi="宋体"/>
          <w:b/>
          <w:bCs/>
          <w:i/>
          <w:iCs/>
          <w:color w:val="auto"/>
          <w:sz w:val="24"/>
          <w:szCs w:val="21"/>
          <w:highlight w:val="none"/>
          <w:u w:val="single"/>
          <w:lang w:val="en-US" w:eastAsia="zh-CN"/>
        </w:rPr>
        <w:t xml:space="preserve">采购人付款前，中标人应向采购人出具符合采购人要求的发票，否则中标人自行承担延迟付款的责任，采购人收到发票后10日内予以支付</w:t>
      </w:r>
      <w:r>
        <w:rPr>
          <w:rFonts w:hint="eastAsia" w:ascii="宋体" w:hAnsi="宋体"/>
          <w:b/>
          <w:bCs/>
          <w:color w:val="auto"/>
          <w:sz w:val="24"/>
          <w:szCs w:val="21"/>
          <w:highlight w:val="none"/>
          <w:lang w:val="en-US" w:eastAsia="zh-CN"/>
        </w:rPr>
        <w:t xml:space="preserve">。</w:t>
      </w:r>
      <w:r/>
    </w:p>
    <w:p>
      <w:pPr>
        <w:ind w:firstLine="480"/>
        <w:keepLines w:val="0"/>
        <w:keepNext w:val="0"/>
        <w:pageBreakBefore w:val="0"/>
        <w:spacing w:line="360" w:lineRule="auto"/>
        <w:widowControl w:val="off"/>
        <w:rPr>
          <w:rFonts w:hint="eastAsia"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（2）履约保证金：本项目不收取履约保证金。</w:t>
      </w:r>
      <w:r/>
    </w:p>
    <w:p>
      <w:pPr>
        <w:ind w:firstLine="480"/>
        <w:keepLines w:val="0"/>
        <w:keepNext w:val="0"/>
        <w:pageBreakBefore w:val="0"/>
        <w:spacing w:line="360" w:lineRule="auto"/>
        <w:widowControl w:val="off"/>
        <w:rPr>
          <w:rFonts w:ascii="宋体" w:hAnsi="宋体"/>
          <w:b w:val="0"/>
          <w:bCs w:val="0"/>
          <w:color w:val="auto"/>
          <w:sz w:val="24"/>
          <w:szCs w:val="24"/>
          <w:highlight w:val="none"/>
        </w:rPr>
      </w:pPr>
      <w:r>
        <w:rPr>
          <w:rFonts w:hint="eastAsia" w:ascii="宋体" w:hAnsi="宋体"/>
          <w:b w:val="0"/>
          <w:bCs w:val="0"/>
          <w:color w:val="auto"/>
          <w:sz w:val="24"/>
          <w:szCs w:val="21"/>
          <w:highlight w:val="none"/>
          <w:lang w:val="en-US" w:eastAsia="zh-CN"/>
        </w:rPr>
        <w:t xml:space="preserve">12、其他要求：</w:t>
      </w:r>
      <w:r>
        <w:rPr>
          <w:rFonts w:hint="eastAsia" w:ascii="宋体" w:hAnsi="宋体"/>
          <w:b w:val="0"/>
          <w:bCs w:val="0"/>
          <w:color w:val="auto"/>
          <w:sz w:val="24"/>
          <w:szCs w:val="21"/>
          <w:highlight w:val="non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keepLines w:val="0"/>
        <w:keepNext w:val="0"/>
        <w:pageBreakBefore w:val="0"/>
        <w:spacing w:line="360" w:lineRule="auto"/>
        <w:widowControl w:val="off"/>
        <w:rPr>
          <w:rFonts w:hint="eastAsia" w:ascii="宋体" w:hAnsi="宋体"/>
          <w:b/>
          <w:color w:val="auto"/>
          <w:sz w:val="24"/>
          <w:szCs w:val="24"/>
          <w:highlight w:val="none"/>
        </w:rPr>
        <w:outlineLvl w:val="0"/>
      </w:pPr>
      <w:r/>
      <w:bookmarkStart w:id="245" w:name="_Toc100"/>
      <w:r>
        <w:rPr>
          <w:rFonts w:hint="eastAsia" w:ascii="宋体" w:hAnsi="宋体"/>
          <w:b/>
          <w:color w:val="auto"/>
          <w:sz w:val="24"/>
          <w:szCs w:val="24"/>
          <w:highlight w:val="none"/>
        </w:rPr>
        <w:t xml:space="preserve">五</w:t>
      </w:r>
      <w:r>
        <w:rPr>
          <w:rFonts w:ascii="宋体" w:hAnsi="宋体"/>
          <w:b/>
          <w:color w:val="auto"/>
          <w:sz w:val="24"/>
          <w:szCs w:val="24"/>
          <w:highlight w:val="none"/>
        </w:rPr>
        <w:t xml:space="preserve">、其他要求</w:t>
      </w:r>
      <w:bookmarkEnd w:id="245"/>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 项目属性:货物类项目。</w:t>
      </w:r>
      <w:r/>
    </w:p>
    <w:p>
      <w:pPr>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．核心产品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w:t>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3.进口</w:t>
      </w:r>
      <w:r>
        <w:rPr>
          <w:rFonts w:ascii="宋体" w:hAnsi="宋体"/>
          <w:color w:val="auto"/>
          <w:sz w:val="24"/>
          <w:szCs w:val="24"/>
          <w:highlight w:val="none"/>
        </w:rPr>
        <w:t xml:space="preserve">产品</w:t>
      </w: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本项目不接受进口产品投标，投标人使用进口产品投标，则作无效投标处理。</w:t>
      </w:r>
      <w:r/>
    </w:p>
    <w:p>
      <w:pPr>
        <w:keepLines w:val="0"/>
        <w:keepNext w:val="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 演示要求：本项目采用上传视频演示，具体要求如下：</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4.1</w:t>
      </w:r>
      <w:r>
        <w:rPr>
          <w:rFonts w:hint="eastAsia" w:ascii="宋体" w:hAnsi="宋体"/>
          <w:color w:val="0000ff"/>
          <w:sz w:val="24"/>
          <w:szCs w:val="24"/>
          <w:highlight w:val="none"/>
          <w:lang w:val="en-US" w:eastAsia="zh-CN"/>
        </w:rPr>
        <w:t xml:space="preserve">投标人需按照招标文件规定的演示内容制作演示视频文件，视频文件的格式建议为*.mp4或*.avi，文件大小应满足苏采云系统上传要求。文件上传方式见苏采云系统《操作手册》，上传的演示视频将作为投标文件的组成部分，视频时长总计不超过15分钟。</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4.2.演示内容如下：</w:t>
      </w:r>
      <w:r/>
    </w:p>
    <w:p>
      <w:pPr>
        <w:keepLines w:val="0"/>
        <w:keepNext w:val="0"/>
        <w:pageBreakBefore w:val="0"/>
        <w:spacing w:line="360" w:lineRule="auto"/>
        <w:widowControl w:val="off"/>
        <w:rPr>
          <w:rFonts w:hint="default" w:ascii="宋体" w:hAnsi="宋体"/>
          <w:color w:val="0000ff"/>
          <w:sz w:val="24"/>
          <w:szCs w:val="24"/>
          <w:highlight w:val="none"/>
          <w:lang w:val="en-US" w:eastAsia="zh-CN"/>
        </w:rPr>
      </w:pPr>
      <w:r>
        <w:rPr>
          <w:rFonts w:hint="eastAsia" w:ascii="宋体" w:hAnsi="宋体"/>
          <w:color w:val="0000ff"/>
          <w:sz w:val="24"/>
          <w:szCs w:val="24"/>
          <w:highlight w:val="none"/>
          <w:lang w:val="en-US" w:eastAsia="zh-CN"/>
        </w:rPr>
        <w:t xml:space="preserve">（1）设备内部结构展示</w:t>
      </w:r>
      <w:r/>
    </w:p>
    <w:p>
      <w:pPr>
        <w:keepLines w:val="0"/>
        <w:keepNext w:val="0"/>
        <w:pageBreakBefore w:val="0"/>
        <w:spacing w:line="360" w:lineRule="auto"/>
        <w:widowControl w:val="off"/>
        <w:rPr>
          <w:rFonts w:hint="default" w:ascii="宋体" w:hAnsi="宋体"/>
          <w:color w:val="0000ff"/>
          <w:sz w:val="24"/>
          <w:szCs w:val="24"/>
          <w:highlight w:val="none"/>
          <w:lang w:val="en-US" w:eastAsia="zh-CN"/>
        </w:rPr>
      </w:pPr>
      <w:r>
        <w:rPr>
          <w:rFonts w:hint="eastAsia" w:ascii="宋体" w:hAnsi="宋体"/>
          <w:color w:val="0000ff"/>
          <w:sz w:val="24"/>
          <w:szCs w:val="24"/>
          <w:highlight w:val="none"/>
          <w:lang w:val="en-US" w:eastAsia="zh-CN"/>
        </w:rPr>
        <w:t xml:space="preserve">（2）主要构件及配套设施展示</w:t>
      </w:r>
      <w:r/>
    </w:p>
    <w:p>
      <w:pPr>
        <w:keepLines w:val="0"/>
        <w:keepNext w:val="0"/>
        <w:pageBreakBefore w:val="0"/>
        <w:spacing w:line="360" w:lineRule="auto"/>
        <w:widowControl w:val="off"/>
        <w:rPr>
          <w:color w:val="0000ff"/>
          <w:highlight w:val="none"/>
        </w:rPr>
      </w:pPr>
      <w:r>
        <w:rPr>
          <w:rFonts w:hint="eastAsia" w:ascii="宋体" w:hAnsi="宋体"/>
          <w:color w:val="0000ff"/>
          <w:sz w:val="24"/>
          <w:szCs w:val="24"/>
          <w:highlight w:val="none"/>
          <w:lang w:val="en-US" w:eastAsia="zh-CN"/>
        </w:rPr>
        <w:t xml:space="preserve">（3）设备操作及功能演示</w:t>
      </w:r>
      <w:r/>
    </w:p>
    <w:p>
      <w:pPr>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4.3视频演示内容作为项目验收的参考依据。</w:t>
      </w:r>
      <w:r/>
    </w:p>
    <w:p>
      <w:pPr>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val="0"/>
        <w:keepNext/>
        <w:pageBreakBefore w:val="0"/>
        <w:spacing w:line="360" w:lineRule="auto"/>
        <w:widowControl w:val="off"/>
        <w:rPr>
          <w:rFonts w:hint="eastAsia"/>
          <w:color w:val="auto"/>
          <w:szCs w:val="21"/>
          <w:highlight w:val="none"/>
        </w:rPr>
        <w:outlineLvl w:val="0"/>
      </w:pPr>
      <w:r/>
      <w:bookmarkStart w:id="246" w:name="_Toc32371"/>
      <w:r/>
      <w:bookmarkStart w:id="247" w:name="_Toc8222"/>
      <w:r/>
      <w:bookmarkStart w:id="248" w:name="_Toc120614281"/>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bookmarkEnd w:id="246"/>
      <w:r/>
      <w:bookmarkEnd w:id="247"/>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采用综合评分法的，评标结果按评审后得分由高到低顺序排列。得分相同的，按投标报价由低到高顺序排列。得分且投标报价相同的并列。</w:t>
      </w:r>
      <w:r/>
    </w:p>
    <w:tbl>
      <w:tblPr>
        <w:tblStyle w:val="687"/>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035"/>
      </w:tblGrid>
      <w:tr>
        <w:trPr/>
        <w:tc>
          <w:tcPr>
            <w:tcW w:w="1148" w:type="dxa"/>
            <w:vAlign w:val="center"/>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采购包号</w:t>
            </w:r>
            <w:r/>
          </w:p>
        </w:tc>
        <w:tc>
          <w:tcPr>
            <w:tcW w:w="1610" w:type="dxa"/>
            <w:vAlign w:val="top"/>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选取</w:t>
            </w:r>
            <w:r>
              <w:rPr>
                <w:rFonts w:ascii="宋体" w:hAnsi="宋体"/>
                <w:color w:val="auto"/>
                <w:szCs w:val="21"/>
                <w:highlight w:val="none"/>
              </w:rPr>
              <w:t xml:space="preserve">中标候选人数量</w:t>
            </w:r>
            <w:r/>
          </w:p>
        </w:tc>
        <w:tc>
          <w:tcPr>
            <w:tcW w:w="5035" w:type="dxa"/>
            <w:vAlign w:val="center"/>
            <w:textDirection w:val="lrTb"/>
            <w:noWrap w:val="false"/>
          </w:tcPr>
          <w:p>
            <w:pPr>
              <w:ind w:left="0"/>
              <w:jc w:val="center"/>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选取</w:t>
            </w:r>
            <w:r>
              <w:rPr>
                <w:rFonts w:ascii="宋体" w:hAnsi="宋体"/>
                <w:color w:val="auto"/>
                <w:szCs w:val="21"/>
                <w:highlight w:val="none"/>
              </w:rPr>
              <w:t xml:space="preserve">中标候选人的原则</w:t>
            </w:r>
            <w:r/>
          </w:p>
        </w:tc>
      </w:tr>
      <w:tr>
        <w:trPr/>
        <w:tc>
          <w:tcPr>
            <w:tcW w:w="1148" w:type="dxa"/>
            <w:vAlign w:val="center"/>
            <w:textDirection w:val="lrTb"/>
            <w:noWrap w:val="false"/>
          </w:tcPr>
          <w:p>
            <w:pPr>
              <w:ind w:left="0"/>
              <w:jc w:val="center"/>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610" w:type="dxa"/>
            <w:vAlign w:val="center"/>
            <w:textDirection w:val="lrTb"/>
            <w:noWrap w:val="false"/>
          </w:tcPr>
          <w:p>
            <w:pPr>
              <w:ind w:left="0"/>
              <w:jc w:val="center"/>
              <w:keepLines w:val="0"/>
              <w:keepNext w:val="0"/>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5035" w:type="dxa"/>
            <w:vAlign w:val="top"/>
            <w:textDirection w:val="lrTb"/>
            <w:noWrap w:val="false"/>
          </w:tcPr>
          <w:p>
            <w:pPr>
              <w:ind w:left="0"/>
              <w:jc w:val="left"/>
              <w:keepLines w:val="0"/>
              <w:keepNext w:val="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满足招标文件全部实质性要求，且按照评审因素的量化指标评审得分</w:t>
            </w:r>
            <w:r>
              <w:rPr>
                <w:rFonts w:hint="eastAsia" w:ascii="宋体" w:hAnsi="宋体"/>
                <w:color w:val="auto"/>
                <w:szCs w:val="21"/>
                <w:highlight w:val="none"/>
                <w:lang w:eastAsia="zh-CN"/>
              </w:rPr>
              <w:t xml:space="preserve">排名前三</w:t>
            </w:r>
            <w:r>
              <w:rPr>
                <w:rFonts w:hint="eastAsia" w:ascii="宋体" w:hAnsi="宋体"/>
                <w:color w:val="auto"/>
                <w:szCs w:val="21"/>
                <w:highlight w:val="none"/>
              </w:rPr>
              <w:t xml:space="preserve">的投标人为中标候选人。</w:t>
            </w:r>
            <w:r/>
          </w:p>
        </w:tc>
      </w:tr>
    </w:tbl>
    <w:p>
      <w:pPr>
        <w:ind w:left="0" w:firstLine="439"/>
        <w:jc w:val="left"/>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政府采购政策功能落实</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本项目专门面向中小微型企业采购，</w:t>
      </w:r>
      <w:r>
        <w:rPr>
          <w:rFonts w:hint="eastAsia" w:ascii="宋体" w:hAnsi="宋体" w:eastAsia="宋体" w:cs="Times New Roman"/>
          <w:b/>
          <w:color w:val="auto"/>
          <w:sz w:val="24"/>
          <w:szCs w:val="24"/>
          <w:highlight w:val="none"/>
        </w:rPr>
        <w:t xml:space="preserve">供应商不再享受小微型企业价格扣除,</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、采购本国产品的支持政策</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left="0" w:firstLine="480"/>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供应商需按照招标文件的要求提供《关于符合本国产品标准的声明函》（以下简称《声明函》），如不提供将不享受本国产品价格评审优惠。</w:t>
      </w:r>
      <w:r/>
    </w:p>
    <w:p>
      <w:pPr>
        <w:ind w:left="0"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供应商需在《声明函》中逐一、</w:t>
      </w:r>
      <w:r>
        <w:rPr>
          <w:rFonts w:ascii="宋体" w:hAnsi="宋体" w:eastAsia="宋体" w:cs="Times New Roman"/>
          <w:color w:val="auto"/>
          <w:sz w:val="24"/>
          <w:szCs w:val="24"/>
          <w:highlight w:val="none"/>
        </w:rPr>
        <w:t xml:space="preserve">准确</w:t>
      </w:r>
      <w:r>
        <w:rPr>
          <w:rFonts w:hint="eastAsia" w:ascii="宋体" w:hAnsi="宋体" w:eastAsia="宋体" w:cs="Times New Roman"/>
          <w:color w:val="auto"/>
          <w:sz w:val="24"/>
          <w:szCs w:val="24"/>
          <w:highlight w:val="none"/>
        </w:rPr>
        <w:t xml:space="preserve">填写产品名称、厂名、生产厂址三项信息（《声明函》中用斜线划除的地方无需填写），三</w:t>
      </w:r>
      <w:r>
        <w:rPr>
          <w:rFonts w:ascii="宋体" w:hAnsi="宋体" w:eastAsia="宋体" w:cs="Times New Roman"/>
          <w:color w:val="auto"/>
          <w:sz w:val="24"/>
          <w:szCs w:val="24"/>
          <w:highlight w:val="none"/>
        </w:rPr>
        <w:t xml:space="preserve">项信息中</w:t>
      </w:r>
      <w:r>
        <w:rPr>
          <w:rFonts w:hint="eastAsia" w:ascii="宋体" w:hAnsi="宋体" w:eastAsia="宋体" w:cs="Times New Roman"/>
          <w:color w:val="auto"/>
          <w:sz w:val="24"/>
          <w:szCs w:val="24"/>
          <w:highlight w:val="none"/>
        </w:rPr>
        <w:t xml:space="preserve">任意一项未填写的视为该项产品不符合本国产品标准，不享受本国产品价格评审优惠。</w:t>
      </w:r>
      <w:r/>
    </w:p>
    <w:p>
      <w:pPr>
        <w:ind w:left="0" w:firstLine="480"/>
        <w:keepLines w:val="0"/>
        <w:keepNext w:val="0"/>
        <w:pageBreakBefore w:val="0"/>
        <w:spacing w:line="360" w:lineRule="auto"/>
        <w:rPr>
          <w:rFonts w:hint="eastAsia" w:ascii="方正魏碑_GBK" w:hAnsi="方正魏碑_GBK" w:eastAsia="方正魏碑_GBK" w:cs="方正魏碑_GBK"/>
          <w:color w:val="auto"/>
          <w:sz w:val="28"/>
          <w:szCs w:val="28"/>
          <w:highlight w:val="none"/>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评标过程中，如发现供应商在《声明函》内容</w:t>
      </w:r>
      <w:r>
        <w:rPr>
          <w:rFonts w:ascii="宋体" w:hAnsi="宋体" w:eastAsia="宋体" w:cs="Times New Roman"/>
          <w:color w:val="auto"/>
          <w:sz w:val="24"/>
          <w:szCs w:val="24"/>
          <w:highlight w:val="none"/>
        </w:rPr>
        <w:t xml:space="preserve">含义不明确、同类事项与投</w:t>
      </w:r>
      <w:r>
        <w:rPr>
          <w:rFonts w:hint="eastAsia" w:ascii="宋体" w:hAnsi="宋体" w:eastAsia="宋体" w:cs="Times New Roman"/>
          <w:color w:val="auto"/>
          <w:sz w:val="24"/>
          <w:szCs w:val="24"/>
          <w:highlight w:val="none"/>
        </w:rPr>
        <w:t xml:space="preserve">标</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响应</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文件</w:t>
      </w:r>
      <w:r>
        <w:rPr>
          <w:rFonts w:ascii="宋体" w:hAnsi="宋体" w:eastAsia="宋体" w:cs="Times New Roman"/>
          <w:color w:val="auto"/>
          <w:sz w:val="24"/>
          <w:szCs w:val="24"/>
          <w:highlight w:val="none"/>
        </w:rPr>
        <w:t xml:space="preserve">表述不一致或者有</w:t>
      </w:r>
      <w:r>
        <w:rPr>
          <w:rFonts w:hint="eastAsia" w:ascii="宋体" w:hAnsi="宋体" w:eastAsia="宋体" w:cs="Times New Roman"/>
          <w:color w:val="auto"/>
          <w:sz w:val="24"/>
          <w:szCs w:val="24"/>
          <w:highlight w:val="none"/>
        </w:rPr>
        <w:t xml:space="preserve">明显</w:t>
      </w:r>
      <w:r>
        <w:rPr>
          <w:rFonts w:ascii="宋体" w:hAnsi="宋体" w:eastAsia="宋体" w:cs="Times New Roman"/>
          <w:color w:val="auto"/>
          <w:sz w:val="24"/>
          <w:szCs w:val="24"/>
          <w:highlight w:val="none"/>
        </w:rPr>
        <w:t xml:space="preserve">文字错误等情况的</w:t>
      </w:r>
      <w:r>
        <w:rPr>
          <w:rFonts w:hint="eastAsia" w:ascii="宋体" w:hAnsi="宋体" w:eastAsia="宋体" w:cs="Times New Roman"/>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both"/>
        <w:keepLines w:val="0"/>
        <w:keepNext w:val="0"/>
        <w:pageBreakBefore w:val="0"/>
        <w:spacing w:line="360" w:lineRule="auto"/>
        <w:rPr>
          <w:rFonts w:hint="eastAsia" w:ascii="宋体" w:hAnsi="宋体"/>
          <w:b/>
          <w:color w:val="auto"/>
          <w:sz w:val="24"/>
          <w:szCs w:val="24"/>
          <w:highlight w:val="none"/>
        </w:rPr>
        <w:outlineLvl w:val="9"/>
      </w:pPr>
      <w:r/>
      <w:bookmarkStart w:id="249" w:name="_Toc11300"/>
      <w:r/>
      <w:r/>
    </w:p>
    <w:p>
      <w:pPr>
        <w:ind w:left="0" w:firstLine="640"/>
        <w:jc w:val="center"/>
        <w:keepLines w:val="0"/>
        <w:keepNext w:val="0"/>
        <w:pageBreakBefore w:val="0"/>
        <w:spacing w:line="360" w:lineRule="auto"/>
        <w:rPr>
          <w:rFonts w:hint="eastAsia" w:ascii="宋体" w:hAnsi="宋体"/>
          <w:b/>
          <w:color w:val="auto"/>
          <w:sz w:val="32"/>
          <w:szCs w:val="32"/>
          <w:highlight w:val="none"/>
        </w:rPr>
        <w:outlineLvl w:val="9"/>
      </w:pPr>
      <w:r>
        <w:rPr>
          <w:rFonts w:hint="eastAsia" w:ascii="宋体" w:hAnsi="宋体"/>
          <w:b/>
          <w:color w:val="auto"/>
          <w:sz w:val="32"/>
          <w:szCs w:val="32"/>
          <w:highlight w:val="none"/>
        </w:rPr>
        <w:t xml:space="preserve">评标方法与评标标准</w:t>
      </w:r>
      <w:bookmarkEnd w:id="249"/>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一、评标方法：综合评分法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二、评标委员会构成：</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本采购项目评标委员会的评委由采购人代表和评审专家组成。</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三、评标原则：</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四、评标标准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（二）本项目评分总分为100分，按四舍五入取至小数点后两位。</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（三）总得分=价格分+商务技术分。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五、中标标准：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w:t>
      </w:r>
      <w:r>
        <w:rPr>
          <w:rFonts w:hint="eastAsia" w:ascii="宋体" w:hAnsi="宋体"/>
          <w:color w:val="auto"/>
          <w:sz w:val="24"/>
          <w:szCs w:val="24"/>
          <w:highlight w:val="none"/>
          <w:lang w:val="en-US" w:eastAsia="zh-CN"/>
        </w:rPr>
        <w:t xml:space="preserve">从高到低推荐三名</w:t>
      </w:r>
      <w:r>
        <w:rPr>
          <w:rFonts w:hint="eastAsia" w:ascii="宋体" w:hAnsi="宋体"/>
          <w:color w:val="auto"/>
          <w:sz w:val="24"/>
          <w:szCs w:val="24"/>
          <w:highlight w:val="none"/>
        </w:rPr>
        <w:t xml:space="preserve">中标候选人。</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 </w:t>
      </w:r>
      <w:r/>
    </w:p>
    <w:p>
      <w:pPr>
        <w:ind w:left="0" w:firstLine="480"/>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综合评分法</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1.价格分（30分）  </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采用低价优先法计算，即满足招标文件要求且投标价格最低的投标报价（指投标综合单价）为评标基准价，其价格分为满分。其他投标人的价格分统一按照下列公式计算：</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投标报价得分=（评标基准价/投标报价）×30分</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评标过程中，不得去掉报价中的最高报价和最低报价。</w:t>
      </w:r>
      <w:r/>
    </w:p>
    <w:p>
      <w:pPr>
        <w:ind w:left="0" w:firstLine="480"/>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2.商务技术分：</w:t>
      </w:r>
      <w:r>
        <w:rPr>
          <w:rFonts w:hint="eastAsia" w:ascii="宋体" w:hAnsi="宋体"/>
          <w:color w:val="auto"/>
          <w:sz w:val="24"/>
          <w:szCs w:val="24"/>
          <w:highlight w:val="none"/>
          <w:lang w:val="en-US" w:eastAsia="zh-CN"/>
        </w:rPr>
        <w:t xml:space="preserve">70</w:t>
      </w:r>
      <w:r>
        <w:rPr>
          <w:rFonts w:hint="eastAsia" w:ascii="宋体" w:hAnsi="宋体"/>
          <w:color w:val="auto"/>
          <w:sz w:val="24"/>
          <w:szCs w:val="24"/>
          <w:highlight w:val="none"/>
        </w:rPr>
        <w:t xml:space="preserve">分</w:t>
      </w:r>
      <w:r/>
    </w:p>
    <w:tbl>
      <w:tblPr>
        <w:tblStyle w:val="687"/>
        <w:tblW w:w="8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113" w:type="dxa"/>
          <w:right w:w="108" w:type="dxa"/>
          <w:bottom w:w="28" w:type="dxa"/>
        </w:tblCellMar>
        <w:tblLook w:val="04A0" w:firstRow="1" w:lastRow="0" w:firstColumn="1" w:lastColumn="0" w:noHBand="0" w:noVBand="1"/>
      </w:tblPr>
      <w:tblGrid>
        <w:gridCol w:w="1461"/>
        <w:gridCol w:w="6818"/>
      </w:tblGrid>
      <w:tr>
        <w:trPr>
          <w:jc w:val="center"/>
          <w:trHeight w:val="641"/>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评审因素</w:t>
            </w:r>
            <w:r/>
          </w:p>
        </w:tc>
        <w:tc>
          <w:tcPr>
            <w:tcW w:w="6818"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评审标准</w:t>
            </w:r>
            <w:r/>
          </w:p>
        </w:tc>
      </w:tr>
      <w:tr>
        <w:trPr>
          <w:jc w:val="center"/>
          <w:trHeight w:val="4735"/>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技术响应（</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投标人所投货物技术参数及功能要求完全满足招标文件第四章采购需求中的</w:t>
            </w:r>
            <w:r>
              <w:rPr>
                <w:rFonts w:hint="eastAsia" w:ascii="宋体" w:hAnsi="宋体"/>
                <w:color w:val="auto"/>
                <w:sz w:val="24"/>
                <w:szCs w:val="24"/>
                <w:highlight w:val="none"/>
                <w:lang w:eastAsia="zh-CN"/>
              </w:rPr>
              <w:t xml:space="preserve">“三、技术要求”</w:t>
            </w:r>
            <w:r>
              <w:rPr>
                <w:rFonts w:hint="eastAsia" w:ascii="宋体" w:hAnsi="宋体"/>
                <w:color w:val="auto"/>
                <w:sz w:val="24"/>
                <w:szCs w:val="24"/>
                <w:highlight w:val="none"/>
              </w:rPr>
              <w:t xml:space="preserve">的得2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分；标注“</w:t>
            </w:r>
            <w:r>
              <w:rPr>
                <w:rFonts w:hint="eastAsia" w:ascii="宋体" w:hAnsi="宋体"/>
                <w:b/>
                <w:bCs/>
                <w:i/>
                <w:iCs/>
                <w:color w:val="auto"/>
                <w:sz w:val="24"/>
                <w:szCs w:val="24"/>
                <w:highlight w:val="none"/>
                <w:u w:val="single"/>
              </w:rPr>
              <w:t xml:space="preserve">斜体且有下划线部分</w:t>
            </w:r>
            <w:r>
              <w:rPr>
                <w:rFonts w:hint="eastAsia" w:ascii="宋体" w:hAnsi="宋体"/>
                <w:color w:val="auto"/>
                <w:sz w:val="24"/>
                <w:szCs w:val="24"/>
                <w:highlight w:val="none"/>
              </w:rPr>
              <w:t xml:space="preserve">”的为实质性指标，必须满足，否则按无效投标处理；</w:t>
            </w:r>
            <w:r>
              <w:rPr>
                <w:rFonts w:hint="eastAsia" w:ascii="宋体" w:hAnsi="宋体"/>
                <w:color w:val="auto"/>
                <w:sz w:val="24"/>
                <w:szCs w:val="24"/>
                <w:highlight w:val="none"/>
                <w:lang w:val="en-US" w:eastAsia="zh-CN"/>
              </w:rPr>
              <w:t xml:space="preserve">标注▲的每有一项负偏离扣2分，未标注的每有一项负偏离扣1分，扣完为止。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outlineLvl w:val="0"/>
            </w:pPr>
            <w:r>
              <w:rPr>
                <w:rFonts w:hint="eastAsia" w:ascii="宋体" w:hAnsi="宋体"/>
                <w:color w:val="auto"/>
                <w:sz w:val="24"/>
                <w:szCs w:val="24"/>
                <w:highlight w:val="none"/>
              </w:rPr>
              <w:t xml:space="preserve">注：根据投标人提供的技术偏离表、标注“</w:t>
            </w:r>
            <w:r>
              <w:rPr>
                <w:rFonts w:hint="eastAsia" w:ascii="宋体" w:hAnsi="宋体"/>
                <w:b/>
                <w:bCs/>
                <w:i/>
                <w:iCs/>
                <w:color w:val="auto"/>
                <w:sz w:val="24"/>
                <w:szCs w:val="24"/>
                <w:highlight w:val="none"/>
                <w:u w:val="single"/>
              </w:rPr>
              <w:t xml:space="preserve">斜体且有下划线部分</w:t>
            </w:r>
            <w:r>
              <w:rPr>
                <w:rFonts w:hint="eastAsia" w:ascii="宋体" w:hAnsi="宋体"/>
                <w:color w:val="auto"/>
                <w:sz w:val="24"/>
                <w:szCs w:val="24"/>
                <w:highlight w:val="none"/>
              </w:rPr>
              <w:t xml:space="preserve">”与“▲”的指标必须提供相应的有效证明材料，以证明技术参数及功能的有效性，投标人需如实填写偏离表，需提供相应证明材料并加盖投标人公章扫描件上传至电子投标文件中，否则不得分。</w:t>
            </w:r>
            <w:r/>
          </w:p>
        </w:tc>
      </w:tr>
      <w:tr>
        <w:trPr>
          <w:jc w:val="center"/>
          <w:trHeight w:val="90"/>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业绩</w:t>
            </w:r>
            <w:r/>
          </w:p>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分）</w:t>
            </w:r>
            <w:r/>
          </w:p>
        </w:tc>
        <w:tc>
          <w:tcPr>
            <w:tcW w:w="6818" w:type="dxa"/>
            <w:vAlign w:val="center"/>
            <w:textDirection w:val="lrTb"/>
            <w:noWrap w:val="false"/>
          </w:tcPr>
          <w:p>
            <w:pPr>
              <w:keepLines w:val="0"/>
              <w:keepNext w:val="0"/>
              <w:pageBreakBefore w:val="0"/>
              <w:spacing w:line="360" w:lineRule="auto"/>
              <w:widowControl w:val="off"/>
            </w:pPr>
            <w:r>
              <w:rPr>
                <w:rFonts w:hint="eastAsia" w:ascii="宋体" w:hAnsi="宋体"/>
                <w:color w:val="auto"/>
                <w:sz w:val="24"/>
                <w:szCs w:val="24"/>
                <w:highlight w:val="none"/>
              </w:rPr>
              <w:t xml:space="preserve">自2022年1月1日（时间以合同签订日期为准）以来，投标人具有除雪除冰设备供货项目业绩（不含有饱和盐水制造机），每提供一个得2分；投标人具有除雪除冰设备供货项目业绩（含有饱和盐水制造机），每提供一个得3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本业绩项</w:t>
            </w:r>
            <w:r>
              <w:rPr>
                <w:rFonts w:hint="eastAsia" w:ascii="宋体" w:hAnsi="宋体"/>
                <w:color w:val="auto"/>
                <w:sz w:val="24"/>
                <w:szCs w:val="24"/>
                <w:highlight w:val="none"/>
                <w:lang w:val="en-US" w:eastAsia="zh-CN"/>
              </w:rPr>
              <w:t xml:space="preserve">最高得</w:t>
            </w:r>
            <w:r>
              <w:rPr>
                <w:rFonts w:hint="eastAsia" w:ascii="宋体" w:hAnsi="宋体"/>
                <w:color w:val="auto"/>
                <w:sz w:val="24"/>
                <w:szCs w:val="24"/>
                <w:highlight w:val="none"/>
              </w:rPr>
              <w:t xml:space="preserve">9分。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注：需提供合同</w:t>
            </w:r>
            <w:r>
              <w:rPr>
                <w:rFonts w:hint="eastAsia" w:ascii="宋体" w:hAnsi="宋体"/>
                <w:color w:val="auto"/>
                <w:sz w:val="24"/>
                <w:szCs w:val="24"/>
                <w:highlight w:val="none"/>
                <w:lang w:val="en-US" w:eastAsia="zh-CN"/>
              </w:rPr>
              <w:t xml:space="preserve">原件彩色</w:t>
            </w:r>
            <w:r>
              <w:rPr>
                <w:rFonts w:hint="eastAsia" w:ascii="宋体" w:hAnsi="宋体"/>
                <w:color w:val="auto"/>
                <w:sz w:val="24"/>
                <w:szCs w:val="24"/>
                <w:highlight w:val="none"/>
              </w:rPr>
              <w:t xml:space="preserve">扫描件</w:t>
            </w:r>
            <w:r>
              <w:rPr>
                <w:rFonts w:hint="eastAsia" w:ascii="宋体" w:hAnsi="宋体"/>
                <w:color w:val="auto"/>
                <w:sz w:val="24"/>
                <w:szCs w:val="24"/>
                <w:highlight w:val="none"/>
                <w:lang w:val="en-US" w:eastAsia="zh-CN"/>
              </w:rPr>
              <w:t xml:space="preserve">并</w:t>
            </w:r>
            <w:r>
              <w:rPr>
                <w:rFonts w:hint="eastAsia" w:ascii="宋体" w:hAnsi="宋体"/>
                <w:color w:val="auto"/>
                <w:sz w:val="24"/>
                <w:szCs w:val="24"/>
                <w:highlight w:val="none"/>
              </w:rPr>
              <w:t xml:space="preserve">加盖投标人公章，时间以合同签订日期为准，</w:t>
            </w:r>
            <w:r>
              <w:rPr>
                <w:rFonts w:hint="eastAsia" w:ascii="宋体" w:hAnsi="宋体"/>
                <w:color w:val="auto"/>
                <w:sz w:val="24"/>
                <w:szCs w:val="24"/>
                <w:highlight w:val="none"/>
                <w:lang w:val="en-US" w:eastAsia="zh-CN"/>
              </w:rPr>
              <w:t xml:space="preserve">设备名称不一致的由评审委员会现场统一认定，</w:t>
            </w:r>
            <w:r>
              <w:rPr>
                <w:rFonts w:hint="eastAsia" w:ascii="宋体" w:hAnsi="宋体"/>
                <w:color w:val="auto"/>
                <w:sz w:val="24"/>
                <w:szCs w:val="24"/>
                <w:highlight w:val="none"/>
              </w:rPr>
              <w:t xml:space="preserve">否则不得分。</w:t>
            </w:r>
            <w:r/>
          </w:p>
        </w:tc>
      </w:tr>
      <w:tr>
        <w:trPr>
          <w:jc w:val="center"/>
          <w:trHeight w:val="4032"/>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eastAsia="zh-CN"/>
              </w:rPr>
              <w:t xml:space="preserve">设备整体性能（</w:t>
            </w:r>
            <w:r>
              <w:rPr>
                <w:rFonts w:hint="eastAsia" w:ascii="宋体" w:hAnsi="宋体"/>
                <w:color w:val="auto"/>
                <w:sz w:val="24"/>
                <w:szCs w:val="24"/>
                <w:highlight w:val="none"/>
                <w:lang w:val="en-US" w:eastAsia="zh-CN"/>
              </w:rPr>
              <w:t xml:space="preserve">6分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根据投标人提供的产品整体性能（含配置性能、整体结构）等主要系统设计的科学性、合理性、稳定性进行评审。</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1、产品配置性能优越，整体结构设计科学严谨；主要系统设计逻辑清晰、技术路线先进且合理，具备极高的系统稳定性与可靠性，完全契合甚至优于采购需求，得6分；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2、产品配置性能良好，整体结构设计较为合理；主要系统设计基本科学，系统稳定性较好，能够较好地满足采购需求，得4分；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3、产品配置性能一般，整体结构设计常规；主要系统设计基本合理，系统稳定性一般，勉强满足采购需求，得2分。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1043"/>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供货</w:t>
            </w:r>
            <w:r>
              <w:rPr>
                <w:rFonts w:hint="eastAsia" w:ascii="宋体" w:hAnsi="宋体"/>
                <w:color w:val="auto"/>
                <w:sz w:val="24"/>
                <w:szCs w:val="24"/>
                <w:highlight w:val="none"/>
                <w:lang w:val="en-US" w:eastAsia="zh-CN"/>
              </w:rPr>
              <w:t xml:space="preserve">安装方案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投标人提供的供货安装方案，内容至少包含但不限于产品</w:t>
            </w:r>
            <w:r>
              <w:rPr>
                <w:rFonts w:hint="eastAsia" w:ascii="宋体" w:hAnsi="宋体"/>
                <w:color w:val="auto"/>
                <w:sz w:val="24"/>
                <w:szCs w:val="24"/>
                <w:highlight w:val="none"/>
                <w:lang w:val="zh-CN" w:eastAsia="zh-CN"/>
              </w:rPr>
              <w:t xml:space="preserve">包装、运输、检验、交付、安装、调试等</w:t>
            </w:r>
            <w:r>
              <w:rPr>
                <w:rFonts w:hint="eastAsia" w:ascii="宋体" w:hAnsi="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bookmarkStart w:id="250" w:name="OLE_LINK6"/>
            <w:r>
              <w:rPr>
                <w:rFonts w:hint="eastAsia" w:ascii="宋体" w:hAnsi="宋体"/>
                <w:color w:val="auto"/>
                <w:sz w:val="24"/>
                <w:szCs w:val="24"/>
                <w:highlight w:val="none"/>
                <w:lang w:val="en-US" w:eastAsia="zh-CN"/>
              </w:rPr>
              <w:t xml:space="preserve">1、整体方案完全包含上述要求，且包装方案明确了饱和</w:t>
            </w:r>
            <w:r>
              <w:rPr>
                <w:rFonts w:hint="eastAsia" w:ascii="宋体" w:hAnsi="宋体"/>
                <w:color w:val="auto"/>
                <w:sz w:val="24"/>
                <w:szCs w:val="24"/>
                <w:highlight w:val="none"/>
                <w:lang w:val="en-US" w:eastAsia="zh-CN"/>
              </w:rPr>
              <w:t xml:space="preserve">盐水制造机的各部件包装要求，明确包装材料、防潮防锈措施及标识规范；运输方案明确了运输路线规划、车辆要求、装卸规范及运输过程防损措施；检验方案明确了到货开箱检验标准、检验流程、检验工具及不合格品处理机制；交付方案明确了交付时间节点、交付地点、交付验收标准及交付文档清单；安装方案明确了安装人员资质、安装工具、安装工序、现场安全管理及安装质量控制措施；调试方案明确了调试流程、调试参数（如饱和盐水浓度、流量等）、调试验收标准及调试异常处理预案的；且上述方案结合本项目采购需求编制，完全契合甚至优于采购需求的，得5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整体方案虽然明确了包装、运输、检验、交付、安装、调试等内容，但主要部分有缺失，如包装方案缺少对包装材料、防潮防锈及标识的相关要求；或者虽未缺失，但未完全结合本项目实际情况编制，仅能基本满足采购需求的，得3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3、整体方案未完全包含方案包装、运输、检验、交付、安装、调试等内容，或各方案内容编制未结合本项目是情况编制，无法有效满足采购需求的，得2分；</w:t>
            </w:r>
            <w:bookmarkEnd w:id="250"/>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4313"/>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培训方案</w:t>
            </w:r>
            <w:r/>
          </w:p>
          <w:p>
            <w:pPr>
              <w:jc w:val="center"/>
              <w:keepLines w:val="0"/>
              <w:keepNext w:val="0"/>
              <w:pageBreakBefore w:val="0"/>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投标人提供培训方案，方案包含但不限于培训计划、培训内容、培训方式等。</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方培训计划详尽合理（包含明确的时间节点、场地安排、人员排期等），培训内容全面且极具针对性（涵盖设备基本原理、日常操作、维护保养、常见故障排查等），培训方式多样且可行性高（如现场实操、线上课程等），整体方案科学完善，完全满足甚至优于采购需求的，得5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2、培训计划基本合理，培训内容较为全面（基本涵盖操作与维护），培训方式具有一定可行性，整体方案能够较好地满足采购需求的，得3分；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3、培训计划简单，培训内容不够完整，培训方式单一，整体方案基本满足采购需求的，得2分；</w:t>
            </w:r>
            <w:r/>
          </w:p>
          <w:p>
            <w:pPr>
              <w:ind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2844"/>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应急处理及</w:t>
            </w:r>
            <w:r>
              <w:rPr>
                <w:rFonts w:hint="eastAsia" w:ascii="宋体" w:hAnsi="宋体"/>
                <w:color w:val="auto"/>
                <w:sz w:val="24"/>
                <w:szCs w:val="24"/>
                <w:highlight w:val="none"/>
                <w:lang w:eastAsia="zh-CN"/>
              </w:rPr>
              <w:t xml:space="preserve">售后服务</w:t>
            </w:r>
            <w:r>
              <w:rPr>
                <w:rFonts w:hint="eastAsia" w:ascii="宋体" w:hAnsi="宋体"/>
                <w:color w:val="auto"/>
                <w:sz w:val="24"/>
                <w:szCs w:val="24"/>
                <w:highlight w:val="none"/>
                <w:lang w:val="en-US" w:eastAsia="zh-CN"/>
              </w:rPr>
              <w:t xml:space="preserve">方案</w:t>
            </w:r>
            <w:r/>
          </w:p>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10分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投标人提供应急处理方案及售后服务方案，方案包含但不限于以下内容：应急情况设想、具体应急措施、应急储备、处置原则、售后服务承诺、售后服务内容、售后优惠条件、售后服务流程、售后服务规范内容。</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1、应急情况设想全面且极具针对性，具体应急措施（应急响应时间、人员、服务网点覆盖等）与应急储备（备品备件储备等）科学合理，处置原则明确；售后服务承诺切实可行，服务内容详尽，售后优惠条件具有实质性优势，服务流程与规范清晰严谨。整体方案科学完善，完全满足甚至优于采购需求的，得10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2、应急情况设想较全面，具体应急措施与应急储备较为合理，处置原则明确；售后服务承诺可行，服务内容较详尽，售后优惠条件合理，服务流程与规范较清晰。整体方案能够较好地满足采购需求的，得7分；</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outlineLvl w:val="0"/>
            </w:pPr>
            <w:r>
              <w:rPr>
                <w:rFonts w:hint="eastAsia" w:ascii="宋体" w:hAnsi="宋体"/>
                <w:color w:val="auto"/>
                <w:sz w:val="24"/>
                <w:szCs w:val="24"/>
                <w:highlight w:val="none"/>
                <w:lang w:val="en-US" w:eastAsia="zh-CN"/>
              </w:rPr>
              <w:t xml:space="preserve">3、应急情况设想简单，具体应急措施与应急储备基本合理，处置原则一般；售后服务承诺基本可行，服务内容一般，售后优惠条件一般，服务流程与规范基本清晰。整体方案基本满足采购需求的，得4分；</w:t>
            </w:r>
            <w:r/>
          </w:p>
          <w:p>
            <w:pPr>
              <w:ind w:left="0" w:firstLine="480"/>
              <w:keepLines w:val="0"/>
              <w:keepNext w:val="0"/>
              <w:pageBreakBefore w:val="0"/>
              <w:spacing w:line="360" w:lineRule="auto"/>
              <w:widowControl w:val="off"/>
              <w:rPr>
                <w:rFonts w:hint="eastAsia" w:ascii="宋体" w:hAnsi="宋体"/>
                <w:color w:val="auto"/>
                <w:sz w:val="24"/>
                <w:szCs w:val="24"/>
                <w:highlight w:val="none"/>
              </w:rPr>
              <w:outlineLvl w:val="0"/>
            </w:pPr>
            <w:r>
              <w:rPr>
                <w:rFonts w:hint="eastAsia" w:ascii="宋体" w:hAnsi="宋体"/>
                <w:color w:val="auto"/>
                <w:sz w:val="24"/>
                <w:szCs w:val="24"/>
                <w:highlight w:val="none"/>
                <w:lang w:val="en-US" w:eastAsia="zh-CN"/>
              </w:rPr>
              <w:t xml:space="preserve">未提供的不得分。</w:t>
            </w:r>
            <w:r/>
          </w:p>
        </w:tc>
      </w:tr>
      <w:tr>
        <w:trPr>
          <w:jc w:val="center"/>
          <w:trHeight w:val="1171"/>
        </w:trPr>
        <w:tc>
          <w:tcPr>
            <w:tcW w:w="1461" w:type="dxa"/>
            <w:vAlign w:val="center"/>
            <w:textDirection w:val="lrTb"/>
            <w:noWrap w:val="false"/>
          </w:tcPr>
          <w:p>
            <w:pPr>
              <w:jc w:val="center"/>
              <w:keepLines w:val="0"/>
              <w:keepNext w:val="0"/>
              <w:pageBreakBefore w:val="0"/>
              <w:spacing w:line="360" w:lineRule="auto"/>
              <w:rPr>
                <w:rFonts w:hint="eastAsia" w:ascii="宋体" w:hAnsi="宋体"/>
                <w:color w:val="auto"/>
                <w:sz w:val="24"/>
                <w:szCs w:val="24"/>
                <w:highlight w:val="none"/>
                <w:lang w:eastAsia="zh-CN"/>
              </w:rPr>
              <w:outlineLvl w:val="0"/>
            </w:pPr>
            <w:r>
              <w:rPr>
                <w:rFonts w:hint="eastAsia" w:ascii="宋体" w:hAnsi="宋体"/>
                <w:color w:val="auto"/>
                <w:sz w:val="24"/>
                <w:szCs w:val="24"/>
                <w:highlight w:val="none"/>
                <w:lang w:val="en-US" w:eastAsia="zh-CN"/>
              </w:rPr>
              <w:t xml:space="preserve">产品外观及功能演示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15分</w:t>
            </w:r>
            <w:r>
              <w:rPr>
                <w:rFonts w:hint="eastAsia" w:ascii="宋体" w:hAnsi="宋体"/>
                <w:color w:val="auto"/>
                <w:sz w:val="24"/>
                <w:szCs w:val="24"/>
                <w:highlight w:val="none"/>
                <w:lang w:eastAsia="zh-CN"/>
              </w:rPr>
              <w:t xml:space="preserve">）</w:t>
            </w:r>
            <w:r/>
          </w:p>
        </w:tc>
        <w:tc>
          <w:tcPr>
            <w:tcW w:w="6818" w:type="dxa"/>
            <w:vAlign w:val="center"/>
            <w:textDirection w:val="lrTb"/>
            <w:noWrap w:val="false"/>
          </w:tcPr>
          <w:p>
            <w:pPr>
              <w:ind w:firstLine="480"/>
              <w:keepLines w:val="0"/>
              <w:keepNext w:val="0"/>
              <w:pageBreakBefore w:val="0"/>
              <w:spacing w:line="360" w:lineRule="auto"/>
              <w:widowControl w:val="off"/>
              <w:rPr>
                <w:rFonts w:hint="eastAsia" w:ascii="宋体" w:hAnsi="宋体"/>
                <w:color w:val="0000ff"/>
                <w:sz w:val="24"/>
                <w:szCs w:val="24"/>
                <w:highlight w:val="none"/>
                <w:lang w:val="en-US" w:eastAsia="zh-CN"/>
              </w:rPr>
              <w:outlineLvl w:val="0"/>
            </w:pPr>
            <w:r>
              <w:rPr>
                <w:rFonts w:hint="eastAsia" w:ascii="宋体" w:hAnsi="宋体"/>
                <w:color w:val="0000ff"/>
                <w:sz w:val="24"/>
                <w:szCs w:val="24"/>
                <w:highlight w:val="none"/>
                <w:lang w:val="en-US" w:eastAsia="zh-CN"/>
              </w:rPr>
              <w:t xml:space="preserve">产品外观及功能演示（15分）：视频演示须包含以下内容：</w:t>
            </w:r>
            <w:r/>
          </w:p>
          <w:p>
            <w:pPr>
              <w:ind w:firstLine="480"/>
              <w:keepLines w:val="0"/>
              <w:keepNext w:val="0"/>
              <w:pageBreakBefore w:val="0"/>
              <w:spacing w:line="360" w:lineRule="auto"/>
              <w:widowControl w:val="off"/>
              <w:rPr>
                <w:rFonts w:hint="eastAsia" w:ascii="宋体" w:hAnsi="宋体"/>
                <w:color w:val="0000ff"/>
                <w:sz w:val="24"/>
                <w:szCs w:val="24"/>
                <w:highlight w:val="none"/>
                <w:lang w:val="en-US" w:eastAsia="zh-CN"/>
              </w:rPr>
              <w:outlineLvl w:val="0"/>
            </w:pPr>
            <w:r>
              <w:rPr>
                <w:rFonts w:hint="eastAsia" w:ascii="宋体" w:hAnsi="宋体"/>
                <w:color w:val="0000ff"/>
                <w:sz w:val="24"/>
                <w:szCs w:val="24"/>
                <w:highlight w:val="none"/>
                <w:lang w:val="en-US" w:eastAsia="zh-CN"/>
              </w:rPr>
              <w:t xml:space="preserve">1、结构展示（6分）：视频应清晰的展示①盐水制造仓②LCD控制面板③附属储罐④过滤装置⑤液位控制（浮子传感器）⑥</w:t>
            </w:r>
            <w:r>
              <w:rPr>
                <w:rFonts w:hint="eastAsia" w:ascii="宋体" w:hAnsi="宋体"/>
                <w:color w:val="0000ff"/>
                <w:sz w:val="24"/>
                <w:szCs w:val="24"/>
                <w:highlight w:val="green"/>
                <w:lang w:val="en-US" w:eastAsia="zh-CN"/>
              </w:rPr>
              <w:t xml:space="preserve">主管路系统部件</w:t>
            </w:r>
            <w:r>
              <w:rPr>
                <w:rFonts w:hint="eastAsia" w:ascii="宋体" w:hAnsi="宋体"/>
                <w:color w:val="0000ff"/>
                <w:sz w:val="24"/>
                <w:szCs w:val="24"/>
                <w:highlight w:val="none"/>
                <w:lang w:val="en-US" w:eastAsia="zh-CN"/>
              </w:rPr>
              <w:t xml:space="preserve">，上述内容展示每有一项得1分，本项最高得6分；</w:t>
            </w:r>
            <w:r/>
          </w:p>
          <w:p>
            <w:pPr>
              <w:ind w:firstLine="480"/>
              <w:keepLines w:val="0"/>
              <w:keepNext w:val="0"/>
              <w:pageBreakBefore w:val="0"/>
              <w:spacing w:line="360" w:lineRule="auto"/>
              <w:widowControl w:val="off"/>
              <w:rPr>
                <w:rFonts w:hint="eastAsia" w:ascii="宋体" w:hAnsi="宋体"/>
                <w:color w:val="0000ff"/>
                <w:sz w:val="24"/>
                <w:szCs w:val="24"/>
                <w:highlight w:val="none"/>
                <w:lang w:val="en-US" w:eastAsia="zh-CN"/>
              </w:rPr>
              <w:outlineLvl w:val="0"/>
            </w:pPr>
            <w:r>
              <w:rPr>
                <w:rFonts w:hint="eastAsia" w:ascii="宋体" w:hAnsi="宋体"/>
                <w:color w:val="0000ff"/>
                <w:sz w:val="24"/>
                <w:szCs w:val="24"/>
                <w:highlight w:val="none"/>
                <w:lang w:val="en-US" w:eastAsia="zh-CN"/>
              </w:rPr>
              <w:t xml:space="preserve">2、制造</w:t>
            </w:r>
            <w:r>
              <w:rPr>
                <w:rFonts w:hint="eastAsia" w:ascii="宋体" w:hAnsi="宋体"/>
                <w:color w:val="0000ff"/>
                <w:sz w:val="24"/>
                <w:szCs w:val="24"/>
                <w:highlight w:val="green"/>
                <w:lang w:val="en-US" w:eastAsia="zh-CN"/>
              </w:rPr>
              <w:t xml:space="preserve">饱和盐水</w:t>
            </w:r>
            <w:r>
              <w:rPr>
                <w:rFonts w:hint="eastAsia" w:ascii="宋体" w:hAnsi="宋体"/>
                <w:color w:val="0000ff"/>
                <w:sz w:val="24"/>
                <w:szCs w:val="24"/>
                <w:highlight w:val="none"/>
                <w:lang w:val="en-US" w:eastAsia="zh-CN"/>
              </w:rPr>
              <w:t xml:space="preserve">过程操作展示（6分）：视频应清晰的展示①设备检查与调试操作；②原料投入操作；③溶解搅拌操作，讲解搅拌时间、转速控制标准；④输送操作，讲解相关操作要求和注意事项；⑤展示设</w:t>
            </w:r>
            <w:bookmarkStart w:id="266" w:name="_GoBack"/>
            <w:r/>
            <w:bookmarkEnd w:id="266"/>
            <w:r>
              <w:rPr>
                <w:rFonts w:hint="eastAsia" w:ascii="宋体" w:hAnsi="宋体"/>
                <w:color w:val="0000ff"/>
                <w:sz w:val="24"/>
                <w:szCs w:val="24"/>
                <w:highlight w:val="none"/>
                <w:lang w:val="en-US" w:eastAsia="zh-CN"/>
              </w:rPr>
              <w:t xml:space="preserve">备浓度调节操作流程；⑥展示生产收尾操作，说明清洗周期及要求。上述内容每展示一项得1分，本项最高得6分；</w:t>
            </w:r>
            <w:r/>
          </w:p>
          <w:p>
            <w:pPr>
              <w:ind w:firstLine="480"/>
              <w:keepLines w:val="0"/>
              <w:keepNext w:val="0"/>
              <w:pageBreakBefore w:val="0"/>
              <w:spacing w:line="360" w:lineRule="auto"/>
              <w:widowControl w:val="off"/>
              <w:rPr>
                <w:rFonts w:hint="eastAsia" w:ascii="宋体" w:hAnsi="宋体"/>
                <w:color w:val="0000ff"/>
                <w:sz w:val="24"/>
                <w:szCs w:val="24"/>
                <w:highlight w:val="none"/>
                <w:lang w:val="en-US" w:eastAsia="zh-CN"/>
              </w:rPr>
              <w:outlineLvl w:val="0"/>
            </w:pPr>
            <w:r>
              <w:rPr>
                <w:rFonts w:hint="eastAsia" w:ascii="宋体" w:hAnsi="宋体"/>
                <w:color w:val="0000ff"/>
                <w:sz w:val="24"/>
                <w:szCs w:val="24"/>
                <w:highlight w:val="none"/>
                <w:lang w:val="en-US" w:eastAsia="zh-CN"/>
              </w:rPr>
              <w:t xml:space="preserve">3、内置诊断功能展示（3分）：视频应清晰的展示①诊断系统启动与界面；②故障诊断功能；③故障处理指导功能。上述内容每展示一项得1分，本项最高得3分。</w:t>
            </w:r>
            <w:r/>
          </w:p>
          <w:p>
            <w:pPr>
              <w:ind w:firstLine="480"/>
              <w:keepLines w:val="0"/>
              <w:keepNext w:val="0"/>
              <w:pageBreakBefore w:val="0"/>
              <w:spacing w:line="360" w:lineRule="auto"/>
              <w:widowControl w:val="off"/>
              <w:rPr>
                <w:rFonts w:hint="default" w:ascii="宋体" w:hAnsi="宋体"/>
                <w:color w:val="auto"/>
                <w:sz w:val="24"/>
                <w:szCs w:val="24"/>
                <w:highlight w:val="none"/>
                <w:lang w:val="en-US" w:eastAsia="zh-CN"/>
              </w:rPr>
              <w:outlineLvl w:val="0"/>
            </w:pPr>
            <w:r>
              <w:rPr>
                <w:rFonts w:hint="eastAsia" w:ascii="宋体" w:hAnsi="宋体"/>
                <w:color w:val="0000ff"/>
                <w:sz w:val="24"/>
                <w:szCs w:val="24"/>
                <w:highlight w:val="none"/>
                <w:lang w:val="en-US" w:eastAsia="zh-CN"/>
              </w:rPr>
              <w:t xml:space="preserve">注：投标人需按照招标文件规定的演示内容制作演示视频文件，视频文件的格式建议为*.mp4或*.avi，文件大小应满足苏采云系统上传要求。文件上传方式见苏采云系统《操作手册》，上传的演示视频将作为投标文件的组成部分，视频时长总计不超过15分钟。</w:t>
            </w:r>
            <w:r/>
          </w:p>
        </w:tc>
      </w:tr>
    </w:tbl>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Next/>
        <w:rPr>
          <w:rFonts w:hint="eastAsia" w:ascii="黑体" w:eastAsia="黑体"/>
          <w:bCs/>
          <w:color w:val="auto"/>
          <w:sz w:val="44"/>
          <w:szCs w:val="28"/>
          <w:highlight w:val="none"/>
        </w:rPr>
        <w:outlineLvl w:val="9"/>
      </w:pPr>
      <w:r>
        <w:rPr>
          <w:rFonts w:hint="eastAsia" w:ascii="黑体" w:eastAsia="黑体"/>
          <w:bCs/>
          <w:color w:val="auto"/>
          <w:sz w:val="44"/>
          <w:szCs w:val="28"/>
          <w:highlight w:val="none"/>
        </w:rPr>
      </w:r>
      <w:r/>
    </w:p>
    <w:p>
      <w:pPr>
        <w:jc w:val="center"/>
        <w:keepNext/>
        <w:rPr>
          <w:rFonts w:hint="eastAsia" w:ascii="黑体" w:eastAsia="黑体"/>
          <w:bCs/>
          <w:color w:val="auto"/>
          <w:sz w:val="44"/>
          <w:szCs w:val="28"/>
          <w:highlight w:val="none"/>
        </w:rPr>
        <w:outlineLvl w:val="0"/>
      </w:pPr>
      <w:r/>
      <w:bookmarkStart w:id="251" w:name="_Toc28650"/>
      <w:r/>
      <w:bookmarkStart w:id="252" w:name="_Toc14437"/>
      <w:r>
        <w:rPr>
          <w:rFonts w:hint="eastAsia" w:ascii="黑体" w:eastAsia="黑体"/>
          <w:bCs/>
          <w:color w:val="auto"/>
          <w:sz w:val="44"/>
          <w:szCs w:val="28"/>
          <w:highlight w:val="none"/>
        </w:rPr>
        <w:t xml:space="preserve">第六章  投标</w:t>
      </w:r>
      <w:bookmarkEnd w:id="239"/>
      <w:r/>
      <w:bookmarkEnd w:id="240"/>
      <w:r/>
      <w:bookmarkEnd w:id="248"/>
      <w:r>
        <w:rPr>
          <w:rFonts w:hint="eastAsia" w:ascii="黑体" w:eastAsia="黑体"/>
          <w:bCs/>
          <w:color w:val="auto"/>
          <w:sz w:val="44"/>
          <w:szCs w:val="28"/>
          <w:highlight w:val="none"/>
        </w:rPr>
        <w:t xml:space="preserve">文件格式</w:t>
      </w:r>
      <w:bookmarkEnd w:id="251"/>
      <w:r/>
      <w:bookmarkEnd w:id="252"/>
      <w:r/>
      <w:r/>
    </w:p>
    <w:p>
      <w:pPr>
        <w:jc w:val="center"/>
        <w:rPr>
          <w:rFonts w:hint="eastAsia" w:ascii="宋体" w:hAnsi="宋体"/>
          <w:b/>
          <w:color w:val="auto"/>
          <w:sz w:val="72"/>
          <w:szCs w:val="21"/>
          <w:highlight w:val="none"/>
        </w:rPr>
      </w:pPr>
      <w:r/>
      <w:bookmarkStart w:id="253" w:name="_Hlt26671244"/>
      <w:r/>
      <w:bookmarkEnd w:id="253"/>
      <w:r/>
      <w:bookmarkStart w:id="254" w:name="_Hlt26955039"/>
      <w:r/>
      <w:bookmarkEnd w:id="254"/>
      <w:r/>
      <w:bookmarkStart w:id="255" w:name="_Toc26554094"/>
      <w:r/>
      <w:bookmarkStart w:id="256" w:name="_Toc49090576"/>
      <w:r/>
      <w:bookmarkStart w:id="257" w:name="_Toc120614282"/>
      <w:r/>
      <w:r/>
    </w:p>
    <w:p>
      <w:pPr>
        <w:jc w:val="center"/>
        <w:rPr>
          <w:rFonts w:hint="eastAsia" w:ascii="宋体" w:hAnsi="宋体"/>
          <w:b/>
          <w:color w:val="auto"/>
          <w:sz w:val="72"/>
          <w:szCs w:val="21"/>
          <w:highlight w:val="none"/>
        </w:rPr>
        <w:outlineLvl w:val="0"/>
      </w:pPr>
      <w:r>
        <w:rPr>
          <w:rFonts w:hint="eastAsia" w:ascii="宋体" w:hAnsi="宋体"/>
          <w:b/>
          <w:color w:val="auto"/>
          <w:sz w:val="72"/>
          <w:szCs w:val="21"/>
          <w:highlight w:val="none"/>
        </w:rPr>
        <w:t xml:space="preserve">投  标  文  件</w:t>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outlineLvl w:val="0"/>
      </w:pP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0" w:firstLine="480"/>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0"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rPr>
        <w:t xml:space="preserve">5.具备履行合同所必需的设备和专业技术能力的书面声明（格式</w:t>
      </w:r>
      <w:r>
        <w:rPr>
          <w:rFonts w:ascii="宋体" w:hAnsi="宋体"/>
          <w:color w:val="auto"/>
          <w:sz w:val="24"/>
          <w:szCs w:val="21"/>
          <w:highlight w:val="none"/>
        </w:rPr>
        <w:t xml:space="preserve">见附件</w:t>
      </w:r>
      <w:r>
        <w:rPr>
          <w:rFonts w:hint="eastAsia" w:ascii="宋体" w:hAnsi="宋体"/>
          <w:color w:val="auto"/>
          <w:sz w:val="24"/>
          <w:szCs w:val="21"/>
          <w:highlight w:val="none"/>
          <w:lang w:val="en-US" w:eastAsia="zh-CN"/>
        </w:rPr>
        <w:t xml:space="preserve">5）</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6.参加政府采购活动前 3 年内在经营活动中没有重大违法记录的书面声明（格式见附件6）</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7.法人授权书（格式见附件7）</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8.投标函（格式见附件8）</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9.中小微企业声明函（货物类项目）（格式见附件9）</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10.残疾人福利性单位声明函（货物类项目）（格式见附件10）</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11.联合体协议（格式见附件11）</w:t>
      </w:r>
      <w:r/>
    </w:p>
    <w:p>
      <w:pPr>
        <w:ind w:firstLine="480"/>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12.实质性要求响应及偏离表（格式见附件12）</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13.关于符合本国产品标准的声明函（格式见附件13）</w:t>
      </w:r>
      <w:r/>
    </w:p>
    <w:p>
      <w:pPr>
        <w:ind w:firstLine="480"/>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 xml:space="preserve">14.财务状况报告及税收、社会保障资金缴纳情况承诺函</w:t>
      </w:r>
      <w:r/>
    </w:p>
    <w:p>
      <w:pPr>
        <w:ind w:firstLine="480"/>
        <w:spacing w:line="360" w:lineRule="auto"/>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ind w:left="0" w:firstLine="480"/>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0"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0"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上一年度的财务状况报告（投标人成立不满一年无需提供）</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依法缴纳税收和社会保障资金的相关材料（提供提交投标文件截止时间</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前一年内至少一个月依法缴纳税收及缴纳社会保障资金的证明材料。投标人依法享受缓缴、免缴税收、社会保障资金的提供证明材料。）</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具备履行合同所必需的设备和专业技术能力的书面声明</w:t>
      </w:r>
      <w:r>
        <w:rPr>
          <w:rFonts w:hint="eastAsia" w:ascii="宋体" w:hAnsi="宋体"/>
          <w:color w:val="auto"/>
          <w:sz w:val="24"/>
          <w:szCs w:val="21"/>
          <w:highlight w:val="none"/>
          <w:lang w:val="en-US" w:eastAsia="zh-CN"/>
        </w:rPr>
        <w:t xml:space="preserve">及证明材料</w:t>
      </w:r>
      <w:r>
        <w:rPr>
          <w:rFonts w:hint="eastAsia" w:ascii="宋体" w:hAnsi="宋体"/>
          <w:color w:val="auto"/>
          <w:sz w:val="24"/>
          <w:szCs w:val="21"/>
          <w:highlight w:val="none"/>
        </w:rPr>
        <w:t xml:space="preserve">（格式见</w:t>
      </w:r>
      <w:r>
        <w:rPr>
          <w:rFonts w:ascii="宋体" w:hAnsi="宋体"/>
          <w:color w:val="auto"/>
          <w:sz w:val="24"/>
          <w:szCs w:val="21"/>
          <w:highlight w:val="none"/>
        </w:rPr>
        <w:t xml:space="preserve">附件5</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5.参加政府采购活动前 3 年内在经营活动中没有重大违法记录的书面声</w:t>
      </w:r>
      <w:r/>
    </w:p>
    <w:p>
      <w:pPr>
        <w:ind w:firstLine="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明（格式见</w:t>
      </w:r>
      <w:r>
        <w:rPr>
          <w:rFonts w:ascii="宋体" w:hAnsi="宋体"/>
          <w:color w:val="auto"/>
          <w:sz w:val="24"/>
          <w:szCs w:val="21"/>
          <w:highlight w:val="none"/>
        </w:rPr>
        <w:t xml:space="preserve">附件6</w:t>
      </w:r>
      <w:r>
        <w:rPr>
          <w:rFonts w:hint="eastAsia" w:ascii="宋体" w:hAnsi="宋体"/>
          <w:color w:val="auto"/>
          <w:sz w:val="24"/>
          <w:szCs w:val="21"/>
          <w:highlight w:val="none"/>
        </w:rPr>
        <w:t xml:space="preserve">）</w:t>
      </w:r>
      <w:r/>
    </w:p>
    <w:p>
      <w:pPr>
        <w:ind w:firstLine="480"/>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6</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，必须提供）</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7.</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法人授权书（格式见附件</w:t>
      </w: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投标函（格式见附件</w:t>
      </w:r>
      <w:r>
        <w:rPr>
          <w:rFonts w:ascii="宋体" w:hAnsi="宋体"/>
          <w:color w:val="auto"/>
          <w:sz w:val="24"/>
          <w:szCs w:val="21"/>
          <w:highlight w:val="none"/>
        </w:rPr>
        <w:t xml:space="preserve">8</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10.</w:t>
      </w:r>
      <w:r>
        <w:rPr>
          <w:rFonts w:hint="eastAsia" w:ascii="宋体" w:hAnsi="宋体"/>
          <w:color w:val="auto"/>
          <w:sz w:val="24"/>
          <w:szCs w:val="21"/>
          <w:highlight w:val="none"/>
        </w:rPr>
        <w:t xml:space="preserve">中小微企业声明函（如果本项目</w:t>
      </w:r>
      <w:r>
        <w:rPr>
          <w:rFonts w:ascii="宋体" w:hAnsi="宋体"/>
          <w:color w:val="auto"/>
          <w:sz w:val="24"/>
          <w:szCs w:val="21"/>
          <w:highlight w:val="none"/>
        </w:rPr>
        <w:t xml:space="preserve">专门面向中小微型企业采购，则必须提供</w:t>
      </w:r>
      <w:r>
        <w:rPr>
          <w:rFonts w:hint="eastAsia" w:ascii="宋体" w:hAnsi="宋体"/>
          <w:color w:val="auto"/>
          <w:sz w:val="24"/>
          <w:szCs w:val="21"/>
          <w:highlight w:val="none"/>
        </w:rPr>
        <w:t xml:space="preserve">。</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1.</w:t>
      </w:r>
      <w:r>
        <w:rPr>
          <w:rFonts w:hint="eastAsia" w:ascii="宋体" w:hAnsi="宋体"/>
          <w:color w:val="auto"/>
          <w:sz w:val="24"/>
          <w:szCs w:val="21"/>
          <w:highlight w:val="none"/>
        </w:rPr>
        <w:t xml:space="preserve">残疾人福利性单位声明函（如果本项目</w:t>
      </w:r>
      <w:r>
        <w:rPr>
          <w:rFonts w:ascii="宋体" w:hAnsi="宋体"/>
          <w:color w:val="auto"/>
          <w:sz w:val="24"/>
          <w:szCs w:val="21"/>
          <w:highlight w:val="none"/>
        </w:rPr>
        <w:t xml:space="preserve">专门面向中小微型企业采购，</w:t>
      </w:r>
      <w:r>
        <w:rPr>
          <w:rFonts w:hint="eastAsia" w:ascii="宋体" w:hAnsi="宋体"/>
          <w:color w:val="auto"/>
          <w:sz w:val="24"/>
          <w:szCs w:val="21"/>
          <w:highlight w:val="none"/>
        </w:rPr>
        <w:t xml:space="preserve">供应商为</w:t>
      </w:r>
      <w:r>
        <w:rPr>
          <w:rFonts w:ascii="宋体" w:hAnsi="宋体"/>
          <w:color w:val="auto"/>
          <w:sz w:val="24"/>
          <w:szCs w:val="21"/>
          <w:highlight w:val="none"/>
        </w:rPr>
        <w:t xml:space="preserve">残疾人福利性单位并</w:t>
      </w:r>
      <w:r>
        <w:rPr>
          <w:rFonts w:hint="eastAsia" w:ascii="宋体" w:hAnsi="宋体"/>
          <w:color w:val="auto"/>
          <w:sz w:val="24"/>
          <w:szCs w:val="21"/>
          <w:highlight w:val="none"/>
        </w:rPr>
        <w:t xml:space="preserve">提供本单位制造的货物，或者提供其他残疾人福利性单位制造的货物，</w:t>
      </w:r>
      <w:r>
        <w:rPr>
          <w:rFonts w:ascii="宋体" w:hAnsi="宋体"/>
          <w:color w:val="auto"/>
          <w:sz w:val="24"/>
          <w:szCs w:val="21"/>
          <w:highlight w:val="none"/>
        </w:rPr>
        <w:t xml:space="preserve">则必须提供</w:t>
      </w:r>
      <w:r>
        <w:rPr>
          <w:rFonts w:hint="eastAsia" w:ascii="宋体" w:hAnsi="宋体"/>
          <w:color w:val="auto"/>
          <w:sz w:val="24"/>
          <w:szCs w:val="21"/>
          <w:highlight w:val="none"/>
        </w:rPr>
        <w:t xml:space="preserve">。</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总备注：上述“资格审查内容”中1-5条、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、9条投标人必须在投标文件</w:t>
      </w:r>
      <w:r/>
    </w:p>
    <w:p>
      <w:pPr>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中提供相关材料，否则作无效投标处理；6、10、11条如招标文件要求必须提供相关材料而未提供的，作无效投标处理。</w:t>
      </w:r>
      <w:r/>
    </w:p>
    <w:p>
      <w:pPr>
        <w:ind w:left="0" w:firstLine="480"/>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w:t>
      </w:r>
      <w:r>
        <w:rPr>
          <w:rFonts w:ascii="宋体" w:hAnsi="宋体"/>
          <w:color w:val="auto"/>
          <w:sz w:val="24"/>
          <w:szCs w:val="21"/>
          <w:highlight w:val="none"/>
        </w:rPr>
        <w:t xml:space="preserve">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做出响应，并按照招标</w:t>
      </w:r>
      <w:r>
        <w:rPr>
          <w:rFonts w:hint="eastAsia" w:ascii="宋体" w:hAnsi="宋体"/>
          <w:color w:val="auto"/>
          <w:sz w:val="24"/>
          <w:szCs w:val="21"/>
          <w:highlight w:val="none"/>
        </w:rPr>
        <w:t xml:space="preserve">文件</w:t>
      </w:r>
      <w:r>
        <w:rPr>
          <w:rFonts w:ascii="宋体" w:hAnsi="宋体"/>
          <w:color w:val="auto"/>
          <w:sz w:val="24"/>
          <w:szCs w:val="21"/>
          <w:highlight w:val="none"/>
        </w:rPr>
        <w:t xml:space="preserve">要求提供</w:t>
      </w:r>
      <w:r>
        <w:rPr>
          <w:rFonts w:hint="eastAsia" w:ascii="宋体" w:hAnsi="宋体"/>
          <w:color w:val="auto"/>
          <w:sz w:val="24"/>
          <w:szCs w:val="21"/>
          <w:highlight w:val="none"/>
        </w:rPr>
        <w:t xml:space="preserve">证明</w:t>
      </w:r>
      <w:r>
        <w:rPr>
          <w:rFonts w:ascii="宋体" w:hAnsi="宋体"/>
          <w:color w:val="auto"/>
          <w:sz w:val="24"/>
          <w:szCs w:val="21"/>
          <w:highlight w:val="none"/>
        </w:rPr>
        <w:t xml:space="preserve">材料</w:t>
      </w:r>
      <w:r>
        <w:rPr>
          <w:rFonts w:hint="eastAsia" w:ascii="宋体" w:hAnsi="宋体"/>
          <w:color w:val="auto"/>
          <w:sz w:val="24"/>
          <w:szCs w:val="21"/>
          <w:highlight w:val="none"/>
        </w:rPr>
        <w:t xml:space="preserve">，否则作无效投标处理。（格式见</w:t>
      </w:r>
      <w:r>
        <w:rPr>
          <w:rFonts w:ascii="宋体" w:hAnsi="宋体"/>
          <w:color w:val="auto"/>
          <w:sz w:val="24"/>
          <w:szCs w:val="21"/>
          <w:highlight w:val="none"/>
        </w:rPr>
        <w:t xml:space="preserve">附件12</w:t>
      </w:r>
      <w:r>
        <w:rPr>
          <w:rFonts w:hint="eastAsia" w:ascii="宋体" w:hAnsi="宋体"/>
          <w:color w:val="auto"/>
          <w:sz w:val="24"/>
          <w:szCs w:val="21"/>
          <w:highlight w:val="none"/>
        </w:rPr>
        <w:t xml:space="preserve">）</w:t>
      </w:r>
      <w:r/>
    </w:p>
    <w:p>
      <w:pPr>
        <w:ind w:firstLine="480"/>
        <w:spacing w:line="360" w:lineRule="auto"/>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360" w:lineRule="auto"/>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 关于符合本国产品标准的声明函（格式见附件13）</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 </w:t>
      </w:r>
      <w:r/>
    </w:p>
    <w:p>
      <w:pPr>
        <w:jc w:val="center"/>
        <w:spacing w:line="360" w:lineRule="auto"/>
        <w:rPr>
          <w:rFonts w:hint="eastAsia" w:eastAsia="仿宋_GB2312"/>
          <w:color w:val="auto"/>
          <w:sz w:val="32"/>
          <w:szCs w:val="32"/>
          <w:highlight w:val="none"/>
        </w:rPr>
      </w:pPr>
      <w:r>
        <w:rPr>
          <w:rFonts w:hint="eastAsia" w:ascii="宋体" w:hAnsi="宋体"/>
          <w:b/>
          <w:color w:val="auto"/>
          <w:sz w:val="32"/>
          <w:szCs w:val="32"/>
          <w:highlight w:val="none"/>
        </w:rPr>
        <w:t xml:space="preserve">开标一览表</w:t>
      </w:r>
      <w:r/>
    </w:p>
    <w:p>
      <w:pPr>
        <w:ind w:firstLine="48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360" w:lineRule="auto"/>
        <w:rPr>
          <w:color w:val="auto"/>
          <w:sz w:val="24"/>
          <w:szCs w:val="24"/>
          <w:highlight w:val="none"/>
        </w:rPr>
      </w:pPr>
      <w:r>
        <w:rPr>
          <w:rFonts w:hint="eastAsia" w:ascii="宋体" w:hAnsi="宋体"/>
          <w:color w:val="auto"/>
          <w:sz w:val="24"/>
          <w:szCs w:val="24"/>
          <w:highlight w:val="none"/>
        </w:rPr>
        <w:t xml:space="preserve">项目名称：</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                                   </w:t>
      </w:r>
      <w:r/>
    </w:p>
    <w:p>
      <w:pPr>
        <w:ind w:firstLine="48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687"/>
        <w:tblW w:w="914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0"/>
        <w:gridCol w:w="6843"/>
      </w:tblGrid>
      <w:tr>
        <w:trPr>
          <w:cantSplit/>
          <w:trHeight w:val="699"/>
        </w:trPr>
        <w:tc>
          <w:tcPr>
            <w:gridSpan w:val="2"/>
            <w:tcW w:w="9143"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591"/>
        </w:trPr>
        <w:tc>
          <w:tcPr>
            <w:gridSpan w:val="2"/>
            <w:tcW w:w="9143"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trHeight w:val="601"/>
        </w:trPr>
        <w:tc>
          <w:tcPr>
            <w:tcW w:w="2300" w:type="dxa"/>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6843"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2</w:t>
      </w:r>
      <w:r>
        <w:rPr>
          <w:rFonts w:hint="eastAsia" w:ascii="宋体" w:hAnsi="宋体"/>
          <w:b/>
          <w:color w:val="auto"/>
          <w:sz w:val="32"/>
          <w:szCs w:val="32"/>
          <w:highlight w:val="none"/>
        </w:rPr>
        <w:t xml:space="preserve"> </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投标分项报价表（采购包号：***）</w:t>
      </w:r>
      <w:r/>
    </w:p>
    <w:tbl>
      <w:tblPr>
        <w:tblStyle w:val="687"/>
        <w:tblW w:w="8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723"/>
        <w:gridCol w:w="796"/>
        <w:gridCol w:w="795"/>
        <w:gridCol w:w="955"/>
        <w:gridCol w:w="851"/>
        <w:gridCol w:w="1295"/>
        <w:gridCol w:w="863"/>
        <w:gridCol w:w="942"/>
        <w:gridCol w:w="903"/>
      </w:tblGrid>
      <w:tr>
        <w:trPr>
          <w:cantSplit/>
          <w:jc w:val="center"/>
          <w:trHeight w:val="625"/>
        </w:trPr>
        <w:tc>
          <w:tcPr>
            <w:tcW w:w="53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5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jc w:val="center"/>
          <w:trHeight w:val="1241"/>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85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4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0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698"/>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726"/>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3"/>
        </w:trPr>
        <w:tc>
          <w:tcPr>
            <w:tcW w:w="5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25"/>
        </w:trPr>
        <w:tc>
          <w:tcPr>
            <w:tcW w:w="532"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3"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9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5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51"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9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0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439"/>
        </w:trPr>
        <w:tc>
          <w:tcPr>
            <w:gridSpan w:val="10"/>
            <w:tcW w:w="8655" w:type="dxa"/>
            <w:vAlign w:val="top"/>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p>
        </w:tc>
      </w:tr>
      <w:tr>
        <w:trPr>
          <w:cantSplit/>
          <w:jc w:val="center"/>
          <w:trHeight w:val="778"/>
        </w:trPr>
        <w:tc>
          <w:tcPr>
            <w:gridSpan w:val="10"/>
            <w:tcW w:w="8655" w:type="dxa"/>
            <w:vAlign w:val="top"/>
            <w:textDirection w:val="lrTb"/>
            <w:noWrap w:val="false"/>
          </w:tcPr>
          <w:p>
            <w:pPr>
              <w:pStyle w:val="708"/>
              <w:spacing w:before="0" w:beforeAutospacing="0" w:after="0" w:afterAutospacing="0" w:line="0" w:lineRule="atLeast"/>
              <w:rPr>
                <w:rFonts w:hint="eastAsia"/>
                <w:color w:val="auto"/>
                <w:highlight w:val="none"/>
              </w:rPr>
            </w:pPr>
            <w:r>
              <w:rPr>
                <w:rFonts w:hint="eastAsia" w:ascii="宋体" w:hAnsi="宋体" w:eastAsia="宋体" w:cs="Times New Roman"/>
                <w:color w:val="auto"/>
                <w:sz w:val="24"/>
                <w:szCs w:val="24"/>
                <w:highlight w:val="none"/>
                <w:lang w:val="en-US" w:eastAsia="zh-CN" w:bidi="ar-SA"/>
              </w:rPr>
              <w:t xml:space="preserve">本采购包中提供的符合本国产品标准的产品成本之和占该采购包提供的全部产品成本之和的比例为</w:t>
            </w:r>
            <w:r>
              <w:rPr>
                <w:rFonts w:hint="eastAsia" w:ascii="宋体" w:hAnsi="宋体" w:eastAsia="宋体" w:cs="Times New Roman"/>
                <w:color w:val="auto"/>
                <w:sz w:val="24"/>
                <w:szCs w:val="24"/>
                <w:highlight w:val="none"/>
                <w:u w:val="singl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w:t>
            </w:r>
            <w:r/>
          </w:p>
        </w:tc>
      </w:tr>
    </w:tbl>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360" w:lineRule="auto"/>
        <w:rPr>
          <w:rFonts w:hint="eastAsia"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）及其他有关的为完成本项目发生的所有费用，招标文件中另有规定的除外。“投标总报价”数额为各“分项总价”之和。</w:t>
      </w:r>
      <w:r/>
    </w:p>
    <w:p>
      <w:pPr>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color w:val="auto"/>
          <w:szCs w:val="21"/>
          <w:highlight w:val="none"/>
        </w:rPr>
        <w:t xml:space="preserve">“</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方正黑体_GBK" w:hAnsi="宋体" w:eastAsia="方正黑体_GBK"/>
          <w:b/>
          <w:color w:val="auto"/>
          <w:sz w:val="32"/>
          <w:szCs w:val="32"/>
          <w:highlight w:val="none"/>
        </w:rPr>
      </w:pPr>
      <w:r>
        <w:rPr>
          <w:rFonts w:hint="eastAsia" w:ascii="方正黑体_GBK" w:hAnsi="宋体" w:eastAsia="方正黑体_GBK"/>
          <w:b/>
          <w:color w:val="auto"/>
          <w:sz w:val="32"/>
          <w:szCs w:val="32"/>
          <w:highlight w:val="none"/>
        </w:rPr>
        <w:t xml:space="preserve">4.投标人需认真填写本报价表，尤其注意规格型号的准确填写。</w:t>
      </w:r>
      <w:r/>
    </w:p>
    <w:p>
      <w:pPr>
        <w:jc w:val="both"/>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3 </w:t>
      </w:r>
      <w:r>
        <w:rPr>
          <w:rFonts w:hint="eastAsia" w:ascii="宋体" w:hAnsi="宋体"/>
          <w:b/>
          <w:color w:val="auto"/>
          <w:sz w:val="32"/>
          <w:szCs w:val="32"/>
          <w:highlight w:val="none"/>
        </w:rPr>
        <w:t xml:space="preserve">技术要求响应及偏离表（采购包号：**）</w:t>
      </w:r>
      <w:r/>
    </w:p>
    <w:tbl>
      <w:tblPr>
        <w:tblStyle w:val="687"/>
        <w:tblW w:w="892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2629"/>
        <w:gridCol w:w="3191"/>
        <w:gridCol w:w="2128"/>
      </w:tblGrid>
      <w:tr>
        <w:trPr>
          <w:cantSplit/>
          <w:trHeight w:val="629"/>
        </w:trPr>
        <w:tc>
          <w:tcPr>
            <w:tcW w:w="97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2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97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62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97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62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60" w:lineRule="auto"/>
        <w:rPr>
          <w:rFonts w:hint="eastAsia" w:ascii="宋体" w:hAnsi="宋体"/>
          <w:color w:val="auto"/>
          <w:sz w:val="24"/>
          <w:szCs w:val="24"/>
          <w:highlight w:val="none"/>
        </w:rPr>
        <w:outlineLvl w:val="0"/>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ascii="宋体" w:hAnsi="宋体"/>
          <w:color w:val="auto"/>
          <w:sz w:val="24"/>
          <w:szCs w:val="24"/>
          <w:highlight w:val="none"/>
        </w:rPr>
      </w:pPr>
      <w:r>
        <w:rPr>
          <w:rFonts w:hint="eastAsia" w:ascii="宋体" w:hAnsi="宋体" w:eastAsia="宋体" w:cs="Times New Roman"/>
          <w:bCs/>
          <w:color w:val="auto"/>
          <w:sz w:val="24"/>
          <w:szCs w:val="21"/>
          <w:highlight w:val="none"/>
        </w:rPr>
        <w:t xml:space="preserve">日期：    年     月     日</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1.投标人需对招标文件技术要求中非实质性要求（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iCs/>
          <w:color w:val="auto"/>
          <w:sz w:val="24"/>
          <w:szCs w:val="24"/>
          <w:highlight w:val="none"/>
        </w:rPr>
        <w:t xml:space="preserve">部分</w:t>
      </w:r>
      <w:r>
        <w:rPr>
          <w:rFonts w:hint="eastAsia" w:ascii="宋体" w:hAnsi="宋体" w:cs="宋体"/>
          <w:b/>
          <w:color w:val="auto"/>
          <w:sz w:val="24"/>
          <w:szCs w:val="24"/>
          <w:highlight w:val="none"/>
        </w:rPr>
        <w:t xml:space="preserve">条款</w:t>
      </w:r>
      <w:r>
        <w:rPr>
          <w:rFonts w:hint="eastAsia" w:ascii="宋体" w:hAnsi="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4 </w:t>
      </w:r>
      <w:r>
        <w:rPr>
          <w:rFonts w:hint="eastAsia" w:ascii="宋体" w:hAnsi="宋体"/>
          <w:b/>
          <w:color w:val="auto"/>
          <w:sz w:val="32"/>
          <w:szCs w:val="32"/>
          <w:highlight w:val="none"/>
        </w:rPr>
        <w:t xml:space="preserve">商务要求响应及偏离表（采购包号：**）</w:t>
      </w:r>
      <w:r/>
    </w:p>
    <w:tbl>
      <w:tblPr>
        <w:tblStyle w:val="687"/>
        <w:tblW w:w="892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891"/>
        <w:gridCol w:w="3191"/>
        <w:gridCol w:w="2128"/>
      </w:tblGrid>
      <w:tr>
        <w:trPr>
          <w:cantSplit/>
          <w:trHeight w:val="640"/>
        </w:trPr>
        <w:tc>
          <w:tcPr>
            <w:tcW w:w="7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7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8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891"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0"/>
        <w:spacing w:line="360" w:lineRule="auto"/>
        <w:rPr>
          <w:rFonts w:hint="eastAsia" w:ascii="宋体" w:hAnsi="宋体" w:eastAsia="宋体" w:cs="Times New Roman"/>
          <w:bCs/>
          <w:color w:val="auto"/>
          <w:sz w:val="24"/>
          <w:szCs w:val="21"/>
          <w:highlight w:val="none"/>
        </w:rPr>
        <w:outlineLvl w:val="0"/>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ascii="宋体" w:hAnsi="宋体"/>
          <w:color w:val="auto"/>
          <w:sz w:val="24"/>
          <w:szCs w:val="24"/>
          <w:highlight w:val="none"/>
        </w:rPr>
      </w:pPr>
      <w:r>
        <w:rPr>
          <w:rFonts w:hint="eastAsia" w:ascii="宋体" w:hAnsi="宋体" w:eastAsia="宋体" w:cs="Times New Roman"/>
          <w:bCs/>
          <w:color w:val="auto"/>
          <w:sz w:val="24"/>
          <w:szCs w:val="21"/>
          <w:highlight w:val="none"/>
        </w:rPr>
        <w:t xml:space="preserve">日期：    年     月     日</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1.投标人需对招标文件商务要求中非实质性要求（</w:t>
      </w:r>
      <w:r>
        <w:rPr>
          <w:rFonts w:hint="eastAsia" w:ascii="宋体" w:hAnsi="宋体" w:cs="宋体"/>
          <w:b/>
          <w:color w:val="auto"/>
          <w:sz w:val="24"/>
          <w:szCs w:val="24"/>
          <w:highlight w:val="none"/>
        </w:rPr>
        <w:t xml:space="preserve">未加</w:t>
      </w:r>
      <w:r>
        <w:rPr>
          <w:rFonts w:hint="eastAsia" w:ascii="宋体" w:hAnsi="宋体" w:cs="宋体"/>
          <w:b/>
          <w:i/>
          <w:color w:val="auto"/>
          <w:sz w:val="24"/>
          <w:szCs w:val="24"/>
          <w:highlight w:val="none"/>
          <w:u w:val="single"/>
        </w:rPr>
        <w:t xml:space="preserve">斜体下划线</w:t>
      </w:r>
      <w:r>
        <w:rPr>
          <w:rFonts w:hint="eastAsia" w:ascii="宋体" w:hAnsi="宋体" w:cs="宋体"/>
          <w:b/>
          <w:iCs/>
          <w:color w:val="auto"/>
          <w:sz w:val="24"/>
          <w:szCs w:val="24"/>
          <w:highlight w:val="none"/>
        </w:rPr>
        <w:t xml:space="preserve">部分</w:t>
      </w:r>
      <w:r>
        <w:rPr>
          <w:rFonts w:hint="eastAsia" w:ascii="宋体" w:hAnsi="宋体" w:cs="宋体"/>
          <w:b/>
          <w:color w:val="auto"/>
          <w:sz w:val="24"/>
          <w:szCs w:val="24"/>
          <w:highlight w:val="none"/>
        </w:rPr>
        <w:t xml:space="preserve">条款</w:t>
      </w:r>
      <w:r>
        <w:rPr>
          <w:rFonts w:hint="eastAsia" w:ascii="宋体" w:hAnsi="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ind w:left="0"/>
        <w:spacing w:line="360" w:lineRule="auto"/>
        <w:rPr>
          <w:rFonts w:ascii="宋体" w:hAnsi="宋体"/>
          <w:b/>
          <w:color w:val="auto"/>
          <w:sz w:val="24"/>
          <w:szCs w:val="21"/>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ind w:left="0"/>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5</w:t>
      </w:r>
      <w:r>
        <w:rPr>
          <w:rFonts w:hint="eastAsia" w:ascii="宋体" w:hAnsi="宋体"/>
          <w:b/>
          <w:color w:val="auto"/>
          <w:sz w:val="32"/>
          <w:szCs w:val="32"/>
          <w:highlight w:val="none"/>
        </w:rPr>
        <w:t xml:space="preserve"> </w:t>
      </w:r>
      <w:r/>
    </w:p>
    <w:p>
      <w:pPr>
        <w:ind w:left="0"/>
        <w:jc w:val="center"/>
        <w:spacing w:line="360" w:lineRule="auto"/>
        <w:rPr>
          <w:rFonts w:hint="default" w:ascii="宋体" w:hAnsi="宋体"/>
          <w:b/>
          <w:color w:val="auto"/>
          <w:sz w:val="32"/>
          <w:szCs w:val="32"/>
          <w:highlight w:val="none"/>
        </w:rPr>
        <w:outlineLvl w:val="0"/>
      </w:pPr>
      <w:r>
        <w:rPr>
          <w:rFonts w:hint="eastAsia" w:ascii="宋体" w:hAnsi="宋体"/>
          <w:b/>
          <w:color w:val="auto"/>
          <w:sz w:val="32"/>
          <w:szCs w:val="32"/>
          <w:highlight w:val="none"/>
        </w:rPr>
        <w:t xml:space="preserve">具备履行合同所必需的设备和专业技术能力的书面声明</w:t>
      </w:r>
      <w:r>
        <w:rPr>
          <w:rFonts w:hint="eastAsia" w:ascii="宋体" w:hAnsi="宋体"/>
          <w:b/>
          <w:color w:val="auto"/>
          <w:sz w:val="32"/>
          <w:szCs w:val="32"/>
          <w:highlight w:val="none"/>
          <w:lang w:val="en-US" w:eastAsia="zh-CN"/>
        </w:rPr>
        <w:t xml:space="preserve">及证明材料</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。（须附证明材料）</w:t>
      </w:r>
      <w:r/>
    </w:p>
    <w:p>
      <w:pPr>
        <w:ind w:firstLine="492"/>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。（须附证明材料）</w:t>
      </w:r>
      <w:r/>
    </w:p>
    <w:p>
      <w:pPr>
        <w:spacing w:line="360" w:lineRule="auto"/>
        <w:rPr>
          <w:rFonts w:ascii="宋体" w:hAnsi="宋体"/>
          <w:b/>
          <w:color w:val="auto"/>
          <w:sz w:val="24"/>
          <w:szCs w:val="21"/>
          <w:highlight w:val="none"/>
        </w:rPr>
      </w:pPr>
      <w:r>
        <w:rPr>
          <w:rFonts w:hint="eastAsia" w:ascii="宋体" w:hAnsi="宋体"/>
          <w:bCs/>
          <w:color w:val="auto"/>
          <w:sz w:val="24"/>
          <w:szCs w:val="21"/>
          <w:highlight w:val="none"/>
        </w:rPr>
        <w:t xml:space="preserve">                                     </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rPr>
        <w:t xml:space="preserve">附主要设备和主要专业技术能力的证明材料如下：</w:t>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0"/>
        <w:spacing w:line="360" w:lineRule="auto"/>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6 </w:t>
      </w:r>
      <w:r/>
    </w:p>
    <w:p>
      <w:pPr>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参加政府采购活动前 3 年内在经营活动中没有重大违法记录的书面声明</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55"/>
      <w:r/>
      <w:bookmarkEnd w:id="256"/>
      <w:r/>
      <w:bookmarkEnd w:id="257"/>
      <w:r/>
      <w:bookmarkStart w:id="258" w:name="_Toc120614284"/>
      <w:r/>
      <w:r/>
    </w:p>
    <w:p>
      <w:pPr>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80"/>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ind w:firstLine="480"/>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0"/>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0"/>
        <w:spacing w:line="360" w:lineRule="auto"/>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7</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p>
    <w:p>
      <w:pPr>
        <w:ind w:firstLine="480"/>
        <w:jc w:val="center"/>
        <w:spacing w:line="360" w:lineRule="auto"/>
        <w:rPr>
          <w:rFonts w:hint="eastAsia" w:ascii="宋体" w:hAnsi="宋体"/>
          <w:bCs/>
          <w:color w:val="auto"/>
          <w:sz w:val="32"/>
          <w:szCs w:val="32"/>
          <w:highlight w:val="none"/>
        </w:rPr>
        <w:outlineLvl w:val="0"/>
      </w:pPr>
      <w:r>
        <w:rPr>
          <w:rFonts w:hint="eastAsia" w:ascii="宋体" w:hAnsi="宋体"/>
          <w:b/>
          <w:color w:val="auto"/>
          <w:sz w:val="32"/>
          <w:szCs w:val="32"/>
          <w:highlight w:val="none"/>
        </w:rPr>
        <w:t xml:space="preserve">法人授权书</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color w:val="auto"/>
          <w:sz w:val="24"/>
          <w:szCs w:val="24"/>
          <w:highlight w:val="none"/>
        </w:rPr>
        <w:t xml:space="preserve">320000-</w:t>
      </w:r>
      <w:r>
        <w:rPr>
          <w:color w:val="auto"/>
          <w:sz w:val="24"/>
          <w:szCs w:val="24"/>
          <w:highlight w:val="none"/>
          <w:u w:val="single"/>
        </w:rPr>
        <w:t xml:space="preserve">***</w:t>
      </w:r>
      <w:r>
        <w:rPr>
          <w:rFonts w:hint="eastAsia"/>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spacing w:line="360" w:lineRule="auto"/>
        <w:tabs>
          <w:tab w:val="left" w:pos="360" w:leader="none"/>
        </w:tabs>
        <w:rPr>
          <w:color w:val="auto"/>
          <w:sz w:val="24"/>
          <w:szCs w:val="24"/>
          <w:highlight w:val="none"/>
          <w:u w:val="single"/>
        </w:rPr>
      </w:pPr>
      <w:r>
        <w:rPr>
          <w:rFonts w:hint="eastAsia"/>
          <w:color w:val="auto"/>
          <w:sz w:val="24"/>
          <w:szCs w:val="24"/>
          <w:highlight w:val="none"/>
        </w:rPr>
        <w:t xml:space="preserve">被授权人电子邮箱：</w:t>
      </w:r>
      <w:r>
        <w:rPr>
          <w:rFonts w:hint="eastAsia"/>
          <w:color w:val="auto"/>
          <w:sz w:val="24"/>
          <w:szCs w:val="24"/>
          <w:highlight w:val="none"/>
          <w:u w:val="single"/>
        </w:rPr>
        <w:t xml:space="preserve">                </w:t>
      </w:r>
      <w:r/>
    </w:p>
    <w:p>
      <w:pPr>
        <w:ind w:firstLine="120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360" w:lineRule="auto"/>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spacing w:line="360" w:lineRule="auto"/>
        <w:tabs>
          <w:tab w:val="left" w:pos="360" w:leader="none"/>
        </w:tabs>
        <w:rPr>
          <w:rFonts w:hint="eastAsia"/>
          <w:color w:val="auto"/>
          <w:sz w:val="24"/>
          <w:szCs w:val="24"/>
          <w:highlight w:val="none"/>
        </w:rPr>
      </w:pPr>
      <w:r>
        <w:rPr>
          <w:rFonts w:hint="eastAsia"/>
          <w:color w:val="auto"/>
          <w:sz w:val="24"/>
          <w:szCs w:val="24"/>
          <w:highlight w:val="none"/>
        </w:rPr>
        <w:t xml:space="preserve">      日期：</w:t>
      </w:r>
      <w:bookmarkStart w:id="259" w:name="_Hlt26955070"/>
      <w:r/>
      <w:bookmarkEnd w:id="259"/>
      <w:r/>
      <w:bookmarkStart w:id="260" w:name="_Hlt26671380"/>
      <w:r/>
      <w:bookmarkEnd w:id="260"/>
      <w:r/>
      <w:bookmarkStart w:id="261" w:name="_格式3__银行出具的资信证明"/>
      <w:r/>
      <w:bookmarkEnd w:id="261"/>
      <w:r>
        <w:rPr>
          <w:rFonts w:hint="eastAsia"/>
          <w:color w:val="auto"/>
          <w:sz w:val="24"/>
          <w:szCs w:val="24"/>
          <w:highlight w:val="none"/>
          <w:u w:val="single"/>
        </w:rPr>
        <w:t xml:space="preserve">                                         </w:t>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val="0"/>
        <w:keepNext w:val="0"/>
        <w:spacing w:before="0" w:after="0" w:line="240" w:lineRule="auto"/>
        <w:rPr>
          <w:rFonts w:hint="default" w:ascii="Times New Roman" w:hAnsi="Times New Roman"/>
          <w:b w:val="0"/>
          <w:color w:val="auto"/>
          <w:sz w:val="21"/>
          <w:szCs w:val="22"/>
          <w:highlight w:val="none"/>
        </w:rPr>
        <w:outlineLvl w:val="9"/>
      </w:pPr>
      <w:r>
        <w:rPr>
          <w:rFonts w:hint="default" w:ascii="Times New Roman" w:hAnsi="Times New Roman"/>
          <w:b w:val="0"/>
          <w:color w:val="auto"/>
          <w:sz w:val="21"/>
          <w:szCs w:val="22"/>
          <w:highlight w:val="none"/>
        </w:rPr>
      </w:r>
      <w:r/>
    </w:p>
    <w:p>
      <w:pPr>
        <w:keepLines/>
        <w:keepNext/>
        <w:spacing w:before="260" w:after="260" w:line="416" w:lineRule="auto"/>
        <w:rPr>
          <w:rFonts w:hint="eastAsia" w:ascii="宋体" w:hAnsi="宋体"/>
          <w:b/>
          <w:color w:val="auto"/>
          <w:sz w:val="32"/>
          <w:szCs w:val="32"/>
          <w:highlight w:val="none"/>
          <w:lang w:val="en-US" w:eastAsia="zh-CN"/>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8               </w:t>
      </w:r>
      <w:r>
        <w:rPr>
          <w:rFonts w:hint="eastAsia" w:ascii="宋体" w:hAnsi="宋体"/>
          <w:b/>
          <w:color w:val="auto"/>
          <w:sz w:val="32"/>
          <w:szCs w:val="32"/>
          <w:highlight w:val="none"/>
          <w:lang w:val="en-US" w:eastAsia="zh-CN"/>
        </w:rPr>
        <w:t xml:space="preserve">    </w:t>
      </w:r>
      <w:r/>
    </w:p>
    <w:p>
      <w:pPr>
        <w:jc w:val="center"/>
        <w:keepLines/>
        <w:keepNext/>
        <w:spacing w:before="260" w:after="260" w:line="416" w:lineRule="auto"/>
        <w:rPr>
          <w:rFonts w:ascii="黑体" w:hAnsi="黑体" w:eastAsia="黑体"/>
          <w:b/>
          <w:i/>
          <w:color w:val="auto"/>
          <w:sz w:val="32"/>
          <w:szCs w:val="32"/>
          <w:highlight w:val="none"/>
          <w:u w:val="single"/>
        </w:rPr>
        <w:outlineLvl w:val="0"/>
      </w:pPr>
      <w:r>
        <w:rPr>
          <w:rFonts w:hint="eastAsia" w:ascii="宋体" w:hAnsi="宋体"/>
          <w:b/>
          <w:color w:val="auto"/>
          <w:sz w:val="32"/>
          <w:szCs w:val="32"/>
          <w:highlight w:val="none"/>
        </w:rPr>
        <w:t xml:space="preserve">投标函</w:t>
      </w:r>
      <w:r/>
    </w:p>
    <w:p>
      <w:pPr>
        <w:jc w:val="left"/>
        <w:spacing w:line="420" w:lineRule="exact"/>
        <w:rPr>
          <w:rFonts w:hint="eastAsia" w:ascii="宋体" w:hAnsi="宋体" w:eastAsia="宋体"/>
          <w:color w:val="auto"/>
          <w:sz w:val="24"/>
          <w:szCs w:val="21"/>
          <w:highlight w:val="none"/>
          <w:lang w:eastAsia="zh-CN"/>
        </w:rPr>
      </w:pPr>
      <w:r>
        <w:rPr>
          <w:rFonts w:hint="eastAsia" w:ascii="宋体" w:hAnsi="宋体"/>
          <w:color w:val="auto"/>
          <w:sz w:val="24"/>
          <w:szCs w:val="21"/>
          <w:highlight w:val="none"/>
        </w:rPr>
        <w:t xml:space="preserve">致：</w:t>
      </w:r>
      <w:r>
        <w:rPr>
          <w:rFonts w:hint="eastAsia" w:ascii="宋体" w:hAnsi="宋体"/>
          <w:color w:val="auto"/>
          <w:sz w:val="24"/>
          <w:szCs w:val="21"/>
          <w:highlight w:val="none"/>
          <w:lang w:eastAsia="zh-CN"/>
        </w:rPr>
        <w:t xml:space="preserve">连云港市公路事业发展中心</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color w:val="auto"/>
          <w:sz w:val="24"/>
          <w:szCs w:val="21"/>
          <w:highlight w:val="non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320"/>
        <w:jc w:val="both"/>
        <w:spacing w:line="560" w:lineRule="exact"/>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9</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 </w:t>
      </w:r>
      <w:r/>
    </w:p>
    <w:p>
      <w:pPr>
        <w:ind w:firstLine="320"/>
        <w:jc w:val="center"/>
        <w:spacing w:line="360" w:lineRule="auto"/>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中小微企业声明函（货物类项目）（采购包号：**）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lang w:eastAsia="zh-CN"/>
        </w:rPr>
        <w:t xml:space="preserve">连云港市公路事业发展中心</w:t>
      </w:r>
      <w:r>
        <w:rPr>
          <w:rFonts w:hint="eastAsia" w:ascii="宋体" w:hAnsi="宋体"/>
          <w:color w:val="auto"/>
          <w:sz w:val="24"/>
          <w:szCs w:val="24"/>
          <w:highlight w:val="none"/>
        </w:rPr>
        <w:t xml:space="preserve">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5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spacing w:line="400" w:lineRule="exact"/>
        <w:rPr>
          <w:rFonts w:ascii="宋体" w:hAnsi="宋体"/>
          <w:b/>
          <w:color w:val="auto"/>
          <w:sz w:val="32"/>
          <w:szCs w:val="32"/>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10</w:t>
      </w:r>
      <w:r/>
    </w:p>
    <w:p>
      <w:pPr>
        <w:jc w:val="center"/>
        <w:spacing w:line="360" w:lineRule="auto"/>
        <w:rPr>
          <w:rFonts w:hint="eastAsia" w:ascii="宋体" w:hAnsi="宋体"/>
          <w:color w:val="auto"/>
          <w:sz w:val="32"/>
          <w:szCs w:val="32"/>
          <w:highlight w:val="none"/>
        </w:rPr>
      </w:pPr>
      <w:r>
        <w:rPr>
          <w:rFonts w:hint="eastAsia" w:ascii="宋体" w:hAnsi="宋体"/>
          <w:b/>
          <w:color w:val="auto"/>
          <w:sz w:val="32"/>
          <w:szCs w:val="32"/>
          <w:highlight w:val="none"/>
        </w:rPr>
        <w:t xml:space="preserve">残疾人福利性单位声明函（货物类项目）（采购包号：**）</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rPr>
        <w:t xml:space="preserve">__单位的采购文件编号为</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1"/>
          <w:highlight w:val="none"/>
        </w:rPr>
        <w:t xml:space="preserve">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both"/>
        <w:spacing w:line="560" w:lineRule="exact"/>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11</w:t>
      </w:r>
      <w:r>
        <w:rPr>
          <w:rFonts w:hint="eastAsia" w:ascii="宋体" w:hAnsi="宋体"/>
          <w:b/>
          <w:color w:val="auto"/>
          <w:sz w:val="32"/>
          <w:szCs w:val="32"/>
          <w:highlight w:val="none"/>
        </w:rPr>
        <w:t xml:space="preserve"> </w:t>
      </w:r>
      <w:r/>
    </w:p>
    <w:p>
      <w:pPr>
        <w:jc w:val="center"/>
        <w:spacing w:line="560" w:lineRule="exact"/>
        <w:rPr>
          <w:rFonts w:ascii="宋体" w:hAnsi="宋体"/>
          <w:b/>
          <w:color w:val="auto"/>
          <w:sz w:val="32"/>
          <w:szCs w:val="32"/>
          <w:highlight w:val="none"/>
        </w:rPr>
        <w:outlineLvl w:val="0"/>
      </w:pPr>
      <w:r>
        <w:rPr>
          <w:rFonts w:hint="eastAsia" w:ascii="宋体" w:hAnsi="宋体"/>
          <w:b/>
          <w:color w:val="auto"/>
          <w:sz w:val="32"/>
          <w:szCs w:val="32"/>
          <w:highlight w:val="none"/>
        </w:rPr>
        <w:t xml:space="preserve">联合体协议（参考格式）（采购包号：**）</w:t>
      </w:r>
      <w:r/>
    </w:p>
    <w:p>
      <w:pPr>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w:t>
      </w:r>
      <w:r>
        <w:rPr>
          <w:rFonts w:hint="eastAsia" w:ascii="宋体" w:hAnsi="宋体"/>
          <w:color w:val="auto"/>
          <w:sz w:val="24"/>
          <w:szCs w:val="21"/>
          <w:highlight w:val="none"/>
          <w:lang w:eastAsia="zh-CN"/>
        </w:rPr>
        <w:t xml:space="preserve">江苏鸿成工程项目管理有限公司</w:t>
      </w:r>
      <w:r>
        <w:rPr>
          <w:rFonts w:hint="eastAsia" w:ascii="宋体" w:hAnsi="宋体"/>
          <w:color w:val="auto"/>
          <w:sz w:val="24"/>
          <w:szCs w:val="21"/>
          <w:highlight w:val="none"/>
        </w:rPr>
        <w:t xml:space="preserve">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项目（采购包号：**）的政府采购活动，我联合体指定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rPr>
          <w:rFonts w:ascii="宋体" w:hAnsi="宋体"/>
          <w:color w:val="auto"/>
          <w:sz w:val="24"/>
          <w:szCs w:val="21"/>
          <w:highlight w:val="none"/>
        </w:rPr>
        <w:t xml:space="preserve">%</w:t>
      </w:r>
      <w:r>
        <w:rPr>
          <w:rFonts w:hint="eastAsia" w:ascii="宋体" w:hAnsi="宋体"/>
          <w:color w:val="auto"/>
          <w:sz w:val="24"/>
          <w:szCs w:val="21"/>
          <w:highlight w:val="none"/>
        </w:rPr>
        <w:t xml:space="preserve">。</w:t>
      </w:r>
      <w:r/>
    </w:p>
    <w:p>
      <w:pPr>
        <w:ind w:firstLine="645"/>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45"/>
        <w:spacing w:line="560" w:lineRule="exact"/>
        <w:rPr>
          <w:rFonts w:hint="eastAsia"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6"/>
        <w:jc w:val="right"/>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6"/>
        <w:spacing w:line="40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jc w:val="both"/>
        <w:rPr>
          <w:rFonts w:ascii="宋体" w:hAnsi="宋体"/>
          <w:b/>
          <w:color w:val="auto"/>
          <w:sz w:val="32"/>
          <w:szCs w:val="32"/>
          <w:highlight w:val="none"/>
        </w:rPr>
        <w:outlineLvl w:val="0"/>
      </w:pPr>
      <w:r>
        <w:rPr>
          <w:rFonts w:hint="eastAsia" w:ascii="宋体" w:hAnsi="宋体"/>
          <w:b/>
          <w:color w:val="auto"/>
          <w:sz w:val="32"/>
          <w:szCs w:val="32"/>
          <w:highlight w:val="none"/>
        </w:rPr>
        <w:t xml:space="preserve">附件</w:t>
      </w:r>
      <w:r>
        <w:rPr>
          <w:rFonts w:ascii="宋体" w:hAnsi="宋体"/>
          <w:b/>
          <w:color w:val="auto"/>
          <w:sz w:val="32"/>
          <w:szCs w:val="32"/>
          <w:highlight w:val="none"/>
        </w:rPr>
        <w:t xml:space="preserve">12</w:t>
      </w:r>
      <w:r/>
    </w:p>
    <w:p>
      <w:pPr>
        <w:jc w:val="center"/>
        <w:rPr>
          <w:rFonts w:hint="eastAsia" w:ascii="宋体" w:hAnsi="宋体"/>
          <w:b/>
          <w:color w:val="auto"/>
          <w:sz w:val="32"/>
          <w:szCs w:val="32"/>
          <w:highlight w:val="none"/>
        </w:rPr>
        <w:outlineLvl w:val="0"/>
      </w:pPr>
      <w:r>
        <w:rPr>
          <w:rFonts w:hint="eastAsia" w:ascii="宋体" w:hAnsi="宋体"/>
          <w:b/>
          <w:color w:val="auto"/>
          <w:sz w:val="32"/>
          <w:szCs w:val="32"/>
          <w:highlight w:val="none"/>
        </w:rPr>
        <w:t xml:space="preserve">实质性要求响应及偏离表（采购包号：**）</w:t>
      </w:r>
      <w:r/>
    </w:p>
    <w:tbl>
      <w:tblPr>
        <w:tblStyle w:val="687"/>
        <w:tblW w:w="0" w:type="auto"/>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700"/>
        <w:gridCol w:w="2296"/>
        <w:gridCol w:w="1437"/>
      </w:tblGrid>
      <w:tr>
        <w:trPr>
          <w:cantSplit/>
          <w:trHeight w:val="1191"/>
        </w:trPr>
        <w:tc>
          <w:tcPr>
            <w:tcW w:w="8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7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条款）</w:t>
            </w:r>
            <w:r/>
          </w:p>
        </w:tc>
        <w:tc>
          <w:tcPr>
            <w:tcW w:w="229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43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27"/>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27"/>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6"/>
        </w:trPr>
        <w:tc>
          <w:tcPr>
            <w:tcW w:w="8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700"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29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43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ascii="宋体" w:hAnsi="宋体"/>
          <w:color w:val="auto"/>
          <w:sz w:val="24"/>
          <w:szCs w:val="24"/>
          <w:highlight w:val="none"/>
        </w:rPr>
        <w:outlineLvl w:val="0"/>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法定代表人或委托代理人（签字或盖章）：</w:t>
      </w:r>
      <w:r/>
    </w:p>
    <w:p>
      <w:pPr>
        <w:ind w:firstLine="492"/>
        <w:spacing w:line="360" w:lineRule="auto"/>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日期：    年     月     日</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both"/>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附件13  </w:t>
      </w:r>
      <w:r/>
    </w:p>
    <w:p>
      <w:pPr>
        <w:jc w:val="center"/>
        <w:spacing w:before="0" w:beforeAutospacing="0" w:after="0" w:afterAutospacing="0" w:line="360" w:lineRule="auto"/>
        <w:rPr>
          <w:rFonts w:hint="eastAsia" w:ascii="宋体" w:hAnsi="宋体" w:eastAsia="宋体" w:cs="宋体"/>
          <w:color w:val="auto"/>
          <w:sz w:val="32"/>
          <w:szCs w:val="32"/>
          <w:highlight w:val="none"/>
        </w:rPr>
        <w:outlineLvl w:val="0"/>
      </w:pPr>
      <w:r>
        <w:rPr>
          <w:rFonts w:hint="eastAsia" w:ascii="宋体" w:hAnsi="宋体" w:eastAsia="宋体" w:cs="宋体"/>
          <w:b/>
          <w:color w:val="auto"/>
          <w:sz w:val="32"/>
          <w:szCs w:val="32"/>
          <w:highlight w:val="none"/>
        </w:rPr>
        <w:t xml:space="preserve">关于符合本国产品标准的声明函（采购包号：**）</w:t>
      </w:r>
      <w:r/>
    </w:p>
    <w:p>
      <w:pPr>
        <w:pStyle w:val="708"/>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8"/>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382270</wp:posOffset>
                </wp:positionV>
                <wp:extent cx="196215" cy="97790"/>
                <wp:effectExtent l="1905" t="4445" r="5080" b="12065"/>
                <wp:wrapNone/>
                <wp:docPr id="1"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391.8pt;mso-position-horizontal:absolute;mso-position-vertical-relative:text;margin-top:30.1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390525</wp:posOffset>
                </wp:positionV>
                <wp:extent cx="816610" cy="103505"/>
                <wp:effectExtent l="635" t="4445" r="8255" b="635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0288;o:allowoverlap:true;o:allowincell:true;mso-position-horizontal-relative:text;margin-left:302.7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2786380</wp:posOffset>
                </wp:positionH>
                <wp:positionV relativeFrom="paragraph">
                  <wp:posOffset>414020</wp:posOffset>
                </wp:positionV>
                <wp:extent cx="816610" cy="76200"/>
                <wp:effectExtent l="635" t="4445" r="8255" b="825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9.4pt;mso-position-horizontal:absolute;mso-position-vertical-relative:text;margin-top:32.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1966595</wp:posOffset>
                </wp:positionH>
                <wp:positionV relativeFrom="paragraph">
                  <wp:posOffset>651510</wp:posOffset>
                </wp:positionV>
                <wp:extent cx="876300" cy="120015"/>
                <wp:effectExtent l="635" t="4445" r="12065" b="15240"/>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54.8pt;mso-position-horizontal:absolute;mso-position-vertical-relative:text;margin-top:51.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633730</wp:posOffset>
                </wp:positionV>
                <wp:extent cx="816610" cy="147320"/>
                <wp:effectExtent l="635" t="4445" r="8255" b="1333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9.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-30480</wp:posOffset>
                </wp:positionH>
                <wp:positionV relativeFrom="paragraph">
                  <wp:posOffset>633730</wp:posOffset>
                </wp:positionV>
                <wp:extent cx="565785" cy="130810"/>
                <wp:effectExtent l="1270" t="4445" r="4445" b="17145"/>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pt;mso-position-horizontal:absolute;mso-position-vertical-relative:text;margin-top:49.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36195</wp:posOffset>
                </wp:positionH>
                <wp:positionV relativeFrom="paragraph">
                  <wp:posOffset>403860</wp:posOffset>
                </wp:positionV>
                <wp:extent cx="364490" cy="97790"/>
                <wp:effectExtent l="1270" t="4445" r="25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8pt;mso-position-horizontal:absolute;mso-position-vertical-relative:text;margin-top:31.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6350" b="5080"/>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13"/>
          <w:rFonts w:hint="eastAsia" w:ascii="宋体" w:hAnsi="宋体" w:eastAsia="宋体" w:cs="宋体"/>
          <w:i/>
          <w:color w:val="auto"/>
          <w:highlight w:val="none"/>
          <w:u w:val="single"/>
          <w:shd w:val="clear" w:color="auto" w:fill="ffffff"/>
        </w:rPr>
        <w:t xml:space="preserve">（产品名称1）</w:t>
      </w:r>
      <w:r>
        <w:rPr>
          <w:rStyle w:val="713"/>
          <w:rFonts w:hint="eastAsia" w:ascii="宋体" w:hAnsi="宋体" w:eastAsia="宋体" w:cs="宋体"/>
          <w:i/>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13"/>
          <w:rFonts w:hint="eastAsia" w:ascii="宋体" w:hAnsi="宋体" w:eastAsia="宋体" w:cs="宋体"/>
          <w:i/>
          <w:color w:val="auto"/>
          <w:highlight w:val="none"/>
          <w:u w:val="single"/>
          <w:shd w:val="clear" w:color="auto" w:fill="ffffff"/>
        </w:rPr>
        <w:t xml:space="preserve">（厂名）</w:t>
      </w:r>
      <w:r>
        <w:rPr>
          <w:rStyle w:val="713"/>
          <w:rFonts w:hint="eastAsia" w:ascii="宋体" w:hAnsi="宋体" w:eastAsia="宋体" w:cs="宋体"/>
          <w:i/>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13"/>
          <w:rFonts w:hint="eastAsia" w:ascii="宋体" w:hAnsi="宋体" w:eastAsia="宋体" w:cs="宋体"/>
          <w:i/>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13"/>
          <w:rFonts w:hint="eastAsia" w:ascii="宋体" w:hAnsi="宋体" w:eastAsia="宋体" w:cs="宋体"/>
          <w:i/>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13"/>
          <w:rFonts w:hint="eastAsia" w:ascii="宋体" w:hAnsi="宋体" w:eastAsia="宋体" w:cs="宋体"/>
          <w:i/>
          <w:color w:val="auto"/>
          <w:highlight w:val="none"/>
          <w:u w:val="single"/>
          <w:shd w:val="clear" w:color="auto" w:fill="ffffff"/>
        </w:rPr>
        <w:t xml:space="preserve">（规定比例）</w:t>
      </w:r>
      <w:r>
        <w:rPr>
          <w:rStyle w:val="713"/>
          <w:rFonts w:hint="eastAsia" w:ascii="宋体" w:hAnsi="宋体" w:eastAsia="宋体" w:cs="宋体"/>
          <w:i/>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13"/>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13"/>
          <w:rFonts w:hint="eastAsia" w:ascii="宋体" w:hAnsi="宋体" w:eastAsia="宋体" w:cs="宋体"/>
          <w:i/>
          <w:color w:val="auto"/>
          <w:highlight w:val="none"/>
          <w:u w:val="single"/>
          <w:shd w:val="clear" w:color="auto" w:fill="ffffff"/>
        </w:rPr>
        <w:t xml:space="preserve">（关键组件）</w:t>
      </w:r>
      <w:r>
        <w:rPr>
          <w:rStyle w:val="713"/>
          <w:rFonts w:hint="eastAsia" w:ascii="宋体" w:hAnsi="宋体" w:eastAsia="宋体" w:cs="宋体"/>
          <w:i/>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13"/>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13"/>
          <w:rFonts w:hint="eastAsia" w:ascii="宋体" w:hAnsi="宋体" w:eastAsia="宋体" w:cs="宋体"/>
          <w:i/>
          <w:color w:val="auto"/>
          <w:highlight w:val="none"/>
          <w:u w:val="single"/>
          <w:shd w:val="clear" w:color="auto" w:fill="ffffff"/>
        </w:rPr>
        <w:t xml:space="preserve">（关键工序）</w:t>
      </w:r>
      <w:r>
        <w:rPr>
          <w:rStyle w:val="713"/>
          <w:rFonts w:hint="eastAsia" w:ascii="宋体" w:hAnsi="宋体" w:eastAsia="宋体" w:cs="宋体"/>
          <w:i/>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08"/>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-45085</wp:posOffset>
                </wp:positionH>
                <wp:positionV relativeFrom="paragraph">
                  <wp:posOffset>699770</wp:posOffset>
                </wp:positionV>
                <wp:extent cx="424815" cy="112395"/>
                <wp:effectExtent l="1270" t="4445" r="5715" b="1016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5pt;mso-position-horizontal:absolute;mso-position-vertical-relative:text;margin-top:55.1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4461510</wp:posOffset>
                </wp:positionH>
                <wp:positionV relativeFrom="paragraph">
                  <wp:posOffset>110490</wp:posOffset>
                </wp:positionV>
                <wp:extent cx="718185" cy="97790"/>
                <wp:effectExtent l="635" t="4445" r="508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1.3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4824730</wp:posOffset>
                </wp:positionH>
                <wp:positionV relativeFrom="paragraph">
                  <wp:posOffset>365760</wp:posOffset>
                </wp:positionV>
                <wp:extent cx="462280" cy="147320"/>
                <wp:effectExtent l="1270" t="4445" r="6350" b="1333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379.9pt;mso-position-horizontal:absolute;mso-position-vertical-relative:text;margin-top:28.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370840</wp:posOffset>
                </wp:positionV>
                <wp:extent cx="849630" cy="120015"/>
                <wp:effectExtent l="635" t="4445" r="635" b="1524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4.7pt;mso-position-horizontal:absolute;mso-position-vertical-relative:text;margin-top:29.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358775</wp:posOffset>
                </wp:positionV>
                <wp:extent cx="843915" cy="125730"/>
                <wp:effectExtent l="635" t="4445" r="6350" b="9525"/>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01.1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1741170</wp:posOffset>
                </wp:positionH>
                <wp:positionV relativeFrom="paragraph">
                  <wp:posOffset>677545</wp:posOffset>
                </wp:positionV>
                <wp:extent cx="908685" cy="140970"/>
                <wp:effectExtent l="635" t="4445" r="5080" b="6985"/>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7.1pt;mso-position-horizontal:absolute;mso-position-vertical-relative:text;margin-top:53.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2935605</wp:posOffset>
                </wp:positionH>
                <wp:positionV relativeFrom="paragraph">
                  <wp:posOffset>692785</wp:posOffset>
                </wp:positionV>
                <wp:extent cx="821690" cy="102870"/>
                <wp:effectExtent l="635" t="4445" r="3175" b="6985"/>
                <wp:wrapNone/>
                <wp:docPr id="15" name="直接箭头连接符 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31.1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13"/>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13"/>
          <w:rFonts w:hint="eastAsia" w:ascii="宋体" w:hAnsi="宋体" w:eastAsia="宋体" w:cs="宋体"/>
          <w:i/>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13"/>
          <w:rFonts w:hint="eastAsia" w:ascii="宋体" w:hAnsi="宋体" w:eastAsia="宋体" w:cs="宋体"/>
          <w:i/>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13"/>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13"/>
          <w:rFonts w:hint="eastAsia" w:ascii="宋体" w:hAnsi="宋体" w:eastAsia="宋体" w:cs="宋体"/>
          <w:i/>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13"/>
          <w:rFonts w:hint="eastAsia" w:ascii="宋体" w:hAnsi="宋体" w:eastAsia="宋体" w:cs="宋体"/>
          <w:i/>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13"/>
          <w:rFonts w:hint="eastAsia" w:ascii="宋体" w:hAnsi="宋体" w:eastAsia="宋体" w:cs="宋体"/>
          <w:i/>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13"/>
          <w:rFonts w:hint="eastAsia" w:ascii="宋体" w:hAnsi="宋体" w:eastAsia="宋体" w:cs="宋体"/>
          <w:i/>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13"/>
          <w:rFonts w:hint="eastAsia" w:ascii="宋体" w:hAnsi="宋体" w:eastAsia="宋体" w:cs="宋体"/>
          <w:i/>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08"/>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08"/>
        <w:ind w:firstLine="4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08"/>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right="0" w:firstLine="372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08"/>
        <w:jc w:val="center"/>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08"/>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08"/>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08"/>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08"/>
        <w:spacing w:before="0" w:beforeAutospacing="0" w:after="0" w:afterAutospacing="0" w:line="44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08"/>
        <w:spacing w:before="0" w:beforeAutospacing="0" w:after="0" w:afterAutospacing="0" w:line="440" w:lineRule="exac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08"/>
        <w:spacing w:before="0" w:beforeAutospacing="0" w:after="0" w:afterAutospacing="0" w:line="440" w:lineRule="exact"/>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bookmarkEnd w:id="201"/>
      <w:bookmarkEnd w:id="202"/>
      <w:bookmarkEnd w:id="258"/>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both"/>
        <w:keepLines w:val="0"/>
        <w:keepNext w:val="0"/>
        <w:pageBreakBefore w:val="0"/>
        <w:spacing w:line="360" w:lineRule="auto"/>
        <w:widowControl/>
        <w:rPr>
          <w:rFonts w:hint="eastAsia" w:ascii="宋体" w:hAnsi="宋体" w:eastAsia="宋体" w:cs="宋体"/>
          <w:b/>
          <w:iCs w:val="0"/>
          <w:color w:val="auto"/>
          <w:sz w:val="32"/>
          <w:szCs w:val="32"/>
          <w:highlight w:val="none"/>
          <w:u w:val="none"/>
          <w:lang w:val="en-US" w:eastAsia="zh-CN"/>
        </w:rPr>
        <w:outlineLvl w:val="0"/>
      </w:pPr>
      <w:r>
        <w:rPr>
          <w:rFonts w:hint="eastAsia" w:ascii="宋体" w:hAnsi="宋体" w:eastAsia="宋体" w:cs="宋体"/>
          <w:b/>
          <w:iCs w:val="0"/>
          <w:color w:val="auto"/>
          <w:sz w:val="32"/>
          <w:szCs w:val="32"/>
          <w:highlight w:val="none"/>
          <w:u w:val="none"/>
          <w:lang w:val="en-US" w:eastAsia="zh-CN"/>
        </w:rPr>
        <w:t xml:space="preserve">附件14 </w:t>
      </w:r>
      <w:r/>
    </w:p>
    <w:p>
      <w:pPr>
        <w:jc w:val="center"/>
        <w:keepLines w:val="0"/>
        <w:keepNext w:val="0"/>
        <w:pageBreakBefore w:val="0"/>
        <w:spacing w:line="360" w:lineRule="auto"/>
        <w:widowControl/>
        <w:rPr>
          <w:rFonts w:hint="eastAsia" w:ascii="宋体" w:hAnsi="宋体" w:eastAsia="宋体" w:cs="宋体"/>
          <w:b/>
          <w:iCs w:val="0"/>
          <w:color w:val="auto"/>
          <w:sz w:val="32"/>
          <w:szCs w:val="32"/>
          <w:highlight w:val="none"/>
          <w:u w:val="none"/>
        </w:rPr>
        <w:outlineLvl w:val="0"/>
      </w:pPr>
      <w:r>
        <w:rPr>
          <w:rFonts w:hint="eastAsia" w:ascii="宋体" w:hAnsi="宋体" w:eastAsia="宋体" w:cs="宋体"/>
          <w:b/>
          <w:iCs w:val="0"/>
          <w:color w:val="auto"/>
          <w:sz w:val="32"/>
          <w:szCs w:val="32"/>
          <w:highlight w:val="none"/>
          <w:u w:val="none"/>
        </w:rPr>
        <w:t xml:space="preserve">财务状况报告及税收、社会保障资金缴纳情况承诺函</w:t>
      </w:r>
      <w:r/>
    </w:p>
    <w:p>
      <w:pPr>
        <w:ind w:firstLine="360"/>
        <w:pageBreakBefore w:val="0"/>
        <w:spacing w:line="56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我方</w:t>
      </w:r>
      <w:r>
        <w:rPr>
          <w:rFonts w:ascii="宋体" w:hAnsi="宋体" w:cs="宋体"/>
          <w:color w:val="auto"/>
          <w:sz w:val="24"/>
          <w:szCs w:val="24"/>
          <w:highlight w:val="none"/>
          <w:u w:val="single"/>
        </w:rPr>
        <w:t xml:space="preserve"> 投标人名称 </w:t>
      </w:r>
      <w:r>
        <w:rPr>
          <w:rFonts w:hint="eastAsia" w:ascii="宋体" w:hAnsi="宋体" w:cs="宋体"/>
          <w:color w:val="auto"/>
          <w:sz w:val="24"/>
          <w:szCs w:val="24"/>
          <w:highlight w:val="none"/>
        </w:rPr>
        <w:t xml:space="preserve">参加</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（项目编号：</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）采购，根据《关于简化政府采购供应商资格审查有关事项的通知》（连财购〔</w:t>
      </w:r>
      <w:r>
        <w:rPr>
          <w:rFonts w:ascii="宋体" w:hAnsi="宋体" w:cs="宋体"/>
          <w:color w:val="auto"/>
          <w:sz w:val="24"/>
          <w:szCs w:val="24"/>
          <w:highlight w:val="none"/>
        </w:rPr>
        <w:t xml:space="preserve">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1）具有良好的商业信誉和健全的财务会计制度（财务状况报告）；</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2）有依法缴纳税收和社会保障资金的良好记录。</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投标人（盖章）：</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法定代表人或委托代理人（签字或盖章）：</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年</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月</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日</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ascii="宋体" w:hAnsi="宋体" w:cs="仿宋"/>
          <w:bCs/>
          <w:color w:val="auto"/>
          <w:sz w:val="24"/>
          <w:szCs w:val="24"/>
          <w:highlight w:val="none"/>
        </w:rPr>
        <w:outlineLvl w:val="0"/>
      </w:pPr>
      <w:r/>
      <w:bookmarkStart w:id="262" w:name="_Toc27861"/>
      <w:r>
        <w:rPr>
          <w:rFonts w:hint="eastAsia" w:ascii="宋体" w:hAnsi="宋体" w:cs="仿宋"/>
          <w:bCs/>
          <w:color w:val="auto"/>
          <w:sz w:val="24"/>
          <w:szCs w:val="24"/>
          <w:highlight w:val="none"/>
        </w:rPr>
        <w:t xml:space="preserve">一、质疑供应商基本信息</w:t>
      </w:r>
      <w:bookmarkEnd w:id="262"/>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0"/>
      </w:pPr>
      <w:r/>
      <w:bookmarkStart w:id="263" w:name="_Toc14428"/>
      <w:r>
        <w:rPr>
          <w:rFonts w:hint="eastAsia" w:ascii="宋体" w:hAnsi="宋体" w:cs="仿宋"/>
          <w:bCs/>
          <w:color w:val="auto"/>
          <w:sz w:val="24"/>
          <w:szCs w:val="24"/>
          <w:highlight w:val="none"/>
        </w:rPr>
        <w:t xml:space="preserve">二、质疑项目基本情况</w:t>
      </w:r>
      <w:bookmarkEnd w:id="263"/>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outlineLvl w:val="0"/>
      </w:pPr>
      <w:r/>
      <w:bookmarkStart w:id="264" w:name="_Toc32237"/>
      <w:r>
        <w:rPr>
          <w:rFonts w:hint="eastAsia" w:ascii="宋体" w:hAnsi="宋体" w:cs="仿宋"/>
          <w:bCs/>
          <w:color w:val="auto"/>
          <w:sz w:val="24"/>
          <w:szCs w:val="24"/>
          <w:highlight w:val="none"/>
        </w:rPr>
        <w:t xml:space="preserve">三、质疑事项具体内容</w:t>
      </w:r>
      <w:bookmarkEnd w:id="264"/>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outlineLvl w:val="0"/>
      </w:pPr>
      <w:r/>
      <w:bookmarkStart w:id="265" w:name="_Toc19644"/>
      <w:r>
        <w:rPr>
          <w:rFonts w:hint="eastAsia" w:ascii="宋体" w:hAnsi="宋体" w:cs="仿宋"/>
          <w:bCs/>
          <w:color w:val="auto"/>
          <w:sz w:val="24"/>
          <w:szCs w:val="24"/>
          <w:highlight w:val="none"/>
        </w:rPr>
        <w:t xml:space="preserve">四、与质疑事项相关的质疑请求</w:t>
      </w:r>
      <w:bookmarkEnd w:id="265"/>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00" w:lineRule="exact"/>
        <w:widowControl/>
        <w:rPr>
          <w:rFonts w:ascii="宋体" w:hAnsi="宋体"/>
          <w:color w:val="auto"/>
          <w:sz w:val="24"/>
          <w:szCs w:val="24"/>
          <w:highlight w:val="none"/>
        </w:rPr>
      </w:pPr>
      <w:r>
        <w:rPr>
          <w:rFonts w:ascii="宋体" w:hAnsi="宋体"/>
          <w:color w:val="auto"/>
          <w:sz w:val="24"/>
          <w:szCs w:val="24"/>
          <w:highlight w:val="none"/>
        </w:rPr>
      </w:r>
      <w:r/>
    </w:p>
    <w:p>
      <w:pPr>
        <w:pStyle w:val="691"/>
        <w:jc w:val="center"/>
        <w:rPr>
          <w:rFonts w:hint="eastAsia" w:ascii="宋体" w:hAnsi="宋体" w:eastAsia="宋体" w:cs="宋体"/>
          <w:b/>
          <w:bCs/>
          <w:color w:val="auto"/>
          <w:spacing w:val="-20"/>
          <w:sz w:val="32"/>
          <w:szCs w:val="32"/>
          <w:highlight w:val="none"/>
        </w:rPr>
      </w:pPr>
      <w:r>
        <w:rPr>
          <w:rFonts w:hint="eastAsia" w:ascii="宋体" w:hAnsi="宋体" w:eastAsia="宋体" w:cs="宋体"/>
          <w:b/>
          <w:bCs/>
          <w:color w:val="auto"/>
          <w:spacing w:val="-20"/>
          <w:sz w:val="32"/>
          <w:szCs w:val="32"/>
          <w:highlight w:val="none"/>
        </w:rPr>
      </w:r>
      <w:r/>
    </w:p>
    <w:p>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Calibri">
    <w:panose1 w:val="020F05020202040302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fldChar w:fldCharType="begin"/>
    </w:r>
    <w:r>
      <w:instrText xml:space="preserve">PAGE   \* MERGEFORMAT</w:instrText>
    </w:r>
    <w:r>
      <w:fldChar w:fldCharType="separate"/>
    </w:r>
    <w:r>
      <w:rPr>
        <w:lang w:val="zh-CN"/>
      </w:rPr>
      <w:t xml:space="preserve">19</w:t>
    </w:r>
    <w:r>
      <w:fldChar w:fldCharType="end"/>
    </w:r>
    <w:r/>
  </w:p>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Style w:val="712"/>
        <w:rFonts w:ascii="宋体" w:hAnsi="宋体"/>
      </w:rPr>
      <w:framePr w:wrap="around" w:vAnchor="text" w:hAnchor="margin" w:xAlign="center" w:y="1"/>
    </w:pPr>
    <w:r>
      <w:rPr>
        <w:rFonts w:ascii="宋体" w:hAnsi="宋体"/>
      </w:rPr>
      <w:fldChar w:fldCharType="begin"/>
    </w:r>
    <w:r>
      <w:rPr>
        <w:rStyle w:val="712"/>
        <w:rFonts w:ascii="宋体" w:hAnsi="宋体"/>
      </w:rPr>
      <w:instrText xml:space="preserve">PAGE  </w:instrText>
    </w:r>
    <w:r>
      <w:rPr>
        <w:rFonts w:ascii="宋体" w:hAnsi="宋体"/>
      </w:rPr>
      <w:fldChar w:fldCharType="separate"/>
    </w:r>
    <w:r>
      <w:rPr>
        <w:rStyle w:val="712"/>
        <w:rFonts w:ascii="宋体" w:hAnsi="宋体"/>
      </w:rPr>
      <w:t xml:space="preserve">53</w:t>
    </w:r>
    <w:r>
      <w:rPr>
        <w:rFonts w:ascii="宋体" w:hAnsi="宋体"/>
      </w:rPr>
      <w:fldChar w:fldCharType="end"/>
    </w:r>
    <w:r/>
  </w:p>
  <w:p>
    <w:pPr>
      <w:pStyle w:val="698"/>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rPr>
        <w:rStyle w:val="712"/>
      </w:rPr>
      <w:framePr w:wrap="around" w:vAnchor="text" w:hAnchor="margin" w:xAlign="center" w:y="1"/>
    </w:pPr>
    <w:r>
      <w:fldChar w:fldCharType="begin"/>
    </w:r>
    <w:r>
      <w:rPr>
        <w:rStyle w:val="712"/>
      </w:rPr>
      <w:instrText xml:space="preserve">PAGE  </w:instrText>
    </w:r>
    <w:r>
      <w:fldChar w:fldCharType="separate"/>
    </w:r>
    <w:r>
      <w:rPr>
        <w:rStyle w:val="712"/>
      </w:rPr>
      <w:t xml:space="preserve">1</w:t>
    </w:r>
    <w:r>
      <w:fldChar w:fldCharType="end"/>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7">
    <w:name w:val="Heading 1"/>
    <w:basedOn w:val="676"/>
    <w:next w:val="676"/>
    <w:link w:val="716"/>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79">
    <w:name w:val="Heading 3"/>
    <w:basedOn w:val="676"/>
    <w:next w:val="676"/>
    <w:link w:val="718"/>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9"/>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0"/>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1"/>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3"/>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4"/>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0"/>
    <w:semiHidden/>
    <w:qFormat/>
  </w:style>
  <w:style w:type="table" w:styleId="687" w:default="1">
    <w:name w:val="Normal Table"/>
    <w:uiPriority w:val="0"/>
    <w:semiHidden/>
    <w:qFormat/>
    <w:tblPr>
      <w:tblCellMar>
        <w:left w:w="108" w:type="dxa"/>
        <w:top w:w="0" w:type="dxa"/>
        <w:right w:w="108" w:type="dxa"/>
        <w:bottom w:w="0" w:type="dxa"/>
      </w:tblCellMar>
    </w:tblPr>
  </w:style>
  <w:style w:type="paragraph" w:styleId="688">
    <w:name w:val="Normal Indent"/>
    <w:basedOn w:val="676"/>
    <w:uiPriority w:val="0"/>
    <w:qFormat/>
    <w:pPr>
      <w:ind w:firstLine="420"/>
    </w:pPr>
    <w:rPr>
      <w:szCs w:val="21"/>
    </w:rPr>
  </w:style>
  <w:style w:type="paragraph" w:styleId="689">
    <w:name w:val="toc 7"/>
    <w:basedOn w:val="676"/>
    <w:next w:val="676"/>
    <w:uiPriority w:val="39"/>
    <w:unhideWhenUsed/>
    <w:pPr>
      <w:ind w:left="1701" w:right="0" w:firstLine="0"/>
      <w:spacing w:after="57"/>
    </w:pPr>
  </w:style>
  <w:style w:type="paragraph" w:styleId="690">
    <w:name w:val="Caption"/>
    <w:basedOn w:val="676"/>
    <w:next w:val="6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1">
    <w:name w:val="Body Text"/>
    <w:basedOn w:val="676"/>
    <w:uiPriority w:val="0"/>
    <w:qFormat/>
    <w:rPr>
      <w:rFonts w:ascii="楷体_GB2312" w:hAnsi="Arial" w:eastAsia="楷体_GB2312" w:cs="Times New Roman"/>
      <w:sz w:val="28"/>
      <w:szCs w:val="28"/>
    </w:rPr>
  </w:style>
  <w:style w:type="paragraph" w:styleId="692">
    <w:name w:val="Body Text Indent"/>
    <w:basedOn w:val="676"/>
    <w:uiPriority w:val="0"/>
    <w:unhideWhenUsed/>
    <w:qFormat/>
    <w:pPr>
      <w:ind w:left="420"/>
      <w:spacing w:after="120"/>
    </w:pPr>
  </w:style>
  <w:style w:type="paragraph" w:styleId="693">
    <w:name w:val="toc 5"/>
    <w:basedOn w:val="676"/>
    <w:next w:val="676"/>
    <w:uiPriority w:val="39"/>
    <w:unhideWhenUsed/>
    <w:qFormat/>
    <w:pPr>
      <w:ind w:left="1134" w:right="0" w:firstLine="0"/>
      <w:spacing w:after="57"/>
    </w:pPr>
  </w:style>
  <w:style w:type="paragraph" w:styleId="694">
    <w:name w:val="toc 3"/>
    <w:basedOn w:val="676"/>
    <w:next w:val="676"/>
    <w:uiPriority w:val="39"/>
    <w:unhideWhenUsed/>
    <w:qFormat/>
    <w:pPr>
      <w:ind w:left="567" w:right="0" w:firstLine="0"/>
      <w:spacing w:after="57"/>
    </w:pPr>
  </w:style>
  <w:style w:type="paragraph" w:styleId="695">
    <w:name w:val="Plain Text"/>
    <w:basedOn w:val="676"/>
    <w:uiPriority w:val="0"/>
    <w:qFormat/>
    <w:rPr>
      <w:rFonts w:ascii="宋体" w:hAnsi="Courier New" w:eastAsia="宋体" w:cs="Courier New"/>
      <w:szCs w:val="21"/>
    </w:rPr>
  </w:style>
  <w:style w:type="paragraph" w:styleId="696">
    <w:name w:val="toc 8"/>
    <w:basedOn w:val="676"/>
    <w:next w:val="676"/>
    <w:uiPriority w:val="39"/>
    <w:unhideWhenUsed/>
    <w:qFormat/>
    <w:pPr>
      <w:ind w:left="1984" w:right="0" w:firstLine="0"/>
      <w:spacing w:after="57"/>
    </w:pPr>
  </w:style>
  <w:style w:type="paragraph" w:styleId="697">
    <w:name w:val="endnote text"/>
    <w:basedOn w:val="676"/>
    <w:link w:val="862"/>
    <w:uiPriority w:val="99"/>
    <w:semiHidden/>
    <w:unhideWhenUsed/>
    <w:qFormat/>
    <w:pPr>
      <w:spacing w:after="0" w:line="240" w:lineRule="auto"/>
    </w:pPr>
    <w:rPr>
      <w:sz w:val="20"/>
    </w:rPr>
  </w:style>
  <w:style w:type="paragraph" w:styleId="698">
    <w:name w:val="Footer"/>
    <w:basedOn w:val="676"/>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699">
    <w:name w:val="Header"/>
    <w:basedOn w:val="67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00">
    <w:name w:val="toc 1"/>
    <w:basedOn w:val="676"/>
    <w:next w:val="67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01">
    <w:name w:val="toc 4"/>
    <w:basedOn w:val="676"/>
    <w:next w:val="676"/>
    <w:uiPriority w:val="39"/>
    <w:unhideWhenUsed/>
    <w:qFormat/>
    <w:pPr>
      <w:ind w:left="850" w:right="0" w:firstLine="0"/>
      <w:spacing w:after="57"/>
    </w:pPr>
  </w:style>
  <w:style w:type="paragraph" w:styleId="702">
    <w:name w:val="Subtitle"/>
    <w:basedOn w:val="676"/>
    <w:next w:val="676"/>
    <w:link w:val="728"/>
    <w:uiPriority w:val="11"/>
    <w:qFormat/>
    <w:pPr>
      <w:spacing w:before="200" w:after="200"/>
    </w:pPr>
    <w:rPr>
      <w:sz w:val="24"/>
      <w:szCs w:val="24"/>
    </w:rPr>
  </w:style>
  <w:style w:type="paragraph" w:styleId="703">
    <w:name w:val="footnote text"/>
    <w:basedOn w:val="676"/>
    <w:link w:val="861"/>
    <w:uiPriority w:val="99"/>
    <w:semiHidden/>
    <w:unhideWhenUsed/>
    <w:qFormat/>
    <w:pPr>
      <w:spacing w:after="40" w:line="240" w:lineRule="auto"/>
    </w:pPr>
    <w:rPr>
      <w:sz w:val="18"/>
    </w:rPr>
  </w:style>
  <w:style w:type="paragraph" w:styleId="704">
    <w:name w:val="toc 6"/>
    <w:basedOn w:val="676"/>
    <w:next w:val="676"/>
    <w:uiPriority w:val="39"/>
    <w:unhideWhenUsed/>
    <w:qFormat/>
    <w:pPr>
      <w:ind w:left="1417" w:right="0" w:firstLine="0"/>
      <w:spacing w:after="57"/>
    </w:pPr>
  </w:style>
  <w:style w:type="paragraph" w:styleId="705">
    <w:name w:val="table of figures"/>
    <w:basedOn w:val="676"/>
    <w:next w:val="676"/>
    <w:uiPriority w:val="99"/>
    <w:unhideWhenUsed/>
    <w:qFormat/>
    <w:pPr>
      <w:spacing w:after="0" w:afterAutospacing="0"/>
    </w:pPr>
  </w:style>
  <w:style w:type="paragraph" w:styleId="706">
    <w:name w:val="toc 2"/>
    <w:basedOn w:val="676"/>
    <w:next w:val="676"/>
    <w:uiPriority w:val="39"/>
    <w:unhideWhenUsed/>
    <w:qFormat/>
    <w:pPr>
      <w:ind w:left="283" w:right="0" w:firstLine="0"/>
      <w:spacing w:after="57"/>
    </w:pPr>
  </w:style>
  <w:style w:type="paragraph" w:styleId="707">
    <w:name w:val="toc 9"/>
    <w:basedOn w:val="676"/>
    <w:next w:val="676"/>
    <w:uiPriority w:val="39"/>
    <w:unhideWhenUsed/>
    <w:qFormat/>
    <w:pPr>
      <w:ind w:left="2268" w:right="0" w:firstLine="0"/>
      <w:spacing w:after="57"/>
    </w:pPr>
  </w:style>
  <w:style w:type="paragraph" w:styleId="708">
    <w:name w:val="Normal (Web)"/>
    <w:basedOn w:val="676"/>
    <w:uiPriority w:val="99"/>
    <w:qFormat/>
    <w:pPr>
      <w:jc w:val="left"/>
      <w:spacing w:before="100" w:beforeAutospacing="1" w:after="100" w:afterAutospacing="1"/>
      <w:widowControl/>
    </w:pPr>
    <w:rPr>
      <w:rFonts w:ascii="宋体" w:hAnsi="宋体" w:eastAsia="宋体" w:cs="宋体"/>
      <w:sz w:val="24"/>
      <w:szCs w:val="24"/>
    </w:rPr>
  </w:style>
  <w:style w:type="paragraph" w:styleId="709">
    <w:name w:val="Title"/>
    <w:basedOn w:val="676"/>
    <w:next w:val="676"/>
    <w:link w:val="727"/>
    <w:uiPriority w:val="10"/>
    <w:qFormat/>
    <w:pPr>
      <w:contextualSpacing/>
      <w:spacing w:before="300" w:after="200"/>
    </w:pPr>
    <w:rPr>
      <w:sz w:val="48"/>
      <w:szCs w:val="48"/>
    </w:rPr>
  </w:style>
  <w:style w:type="table" w:styleId="710">
    <w:name w:val="Table Grid"/>
    <w:basedOn w:val="68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basedOn w:val="686"/>
    <w:uiPriority w:val="99"/>
    <w:semiHidden/>
    <w:unhideWhenUsed/>
    <w:qFormat/>
    <w:rPr>
      <w:vertAlign w:val="superscript"/>
    </w:rPr>
  </w:style>
  <w:style w:type="character" w:styleId="712">
    <w:name w:val="page number"/>
    <w:uiPriority w:val="0"/>
    <w:qFormat/>
  </w:style>
  <w:style w:type="character" w:styleId="713">
    <w:name w:val="Emphasis"/>
    <w:uiPriority w:val="0"/>
    <w:qFormat/>
    <w:rPr>
      <w:i/>
    </w:rPr>
  </w:style>
  <w:style w:type="character" w:styleId="714">
    <w:name w:val="Hyperlink"/>
    <w:uiPriority w:val="99"/>
    <w:unhideWhenUsed/>
    <w:qFormat/>
    <w:rPr>
      <w:color w:val="0026e5" w:themeColor="hyperlink"/>
      <w:u w:val="single"/>
      <w14:textFill>
        <w14:solidFill>
          <w14:schemeClr w14:val="hlink"/>
        </w14:solidFill>
      </w14:textFill>
    </w:rPr>
  </w:style>
  <w:style w:type="character" w:styleId="715">
    <w:name w:val="footnote reference"/>
    <w:basedOn w:val="686"/>
    <w:uiPriority w:val="99"/>
    <w:unhideWhenUsed/>
    <w:qFormat/>
    <w:rPr>
      <w:vertAlign w:val="superscript"/>
    </w:rPr>
  </w:style>
  <w:style w:type="character" w:styleId="716" w:customStyle="1">
    <w:name w:val="Heading 1 Char"/>
    <w:basedOn w:val="686"/>
    <w:link w:val="677"/>
    <w:uiPriority w:val="9"/>
    <w:qFormat/>
    <w:rPr>
      <w:rFonts w:ascii="Arial" w:hAnsi="Arial" w:eastAsia="Arial" w:cs="Arial"/>
      <w:sz w:val="40"/>
      <w:szCs w:val="40"/>
    </w:rPr>
  </w:style>
  <w:style w:type="character" w:styleId="717" w:customStyle="1">
    <w:name w:val="Heading 2 Char"/>
    <w:basedOn w:val="686"/>
    <w:uiPriority w:val="9"/>
    <w:qFormat/>
    <w:rPr>
      <w:rFonts w:ascii="Arial" w:hAnsi="Arial" w:eastAsia="Arial" w:cs="Arial"/>
      <w:sz w:val="34"/>
    </w:rPr>
  </w:style>
  <w:style w:type="character" w:styleId="718" w:customStyle="1">
    <w:name w:val="Heading 3 Char"/>
    <w:basedOn w:val="686"/>
    <w:link w:val="679"/>
    <w:uiPriority w:val="9"/>
    <w:rPr>
      <w:rFonts w:ascii="Arial" w:hAnsi="Arial" w:eastAsia="Arial" w:cs="Arial"/>
      <w:sz w:val="30"/>
      <w:szCs w:val="30"/>
    </w:rPr>
  </w:style>
  <w:style w:type="character" w:styleId="719" w:customStyle="1">
    <w:name w:val="Heading 4 Char"/>
    <w:basedOn w:val="686"/>
    <w:link w:val="680"/>
    <w:uiPriority w:val="9"/>
    <w:rPr>
      <w:rFonts w:ascii="Arial" w:hAnsi="Arial" w:eastAsia="Arial" w:cs="Arial"/>
      <w:b/>
      <w:bCs/>
      <w:sz w:val="26"/>
      <w:szCs w:val="26"/>
    </w:rPr>
  </w:style>
  <w:style w:type="character" w:styleId="720" w:customStyle="1">
    <w:name w:val="Heading 5 Char"/>
    <w:basedOn w:val="686"/>
    <w:link w:val="681"/>
    <w:uiPriority w:val="9"/>
    <w:qFormat/>
    <w:rPr>
      <w:rFonts w:ascii="Arial" w:hAnsi="Arial" w:eastAsia="Arial" w:cs="Arial"/>
      <w:b/>
      <w:bCs/>
      <w:sz w:val="24"/>
      <w:szCs w:val="24"/>
    </w:rPr>
  </w:style>
  <w:style w:type="character" w:styleId="721" w:customStyle="1">
    <w:name w:val="Heading 6 Char"/>
    <w:basedOn w:val="686"/>
    <w:link w:val="682"/>
    <w:uiPriority w:val="9"/>
    <w:qFormat/>
    <w:rPr>
      <w:rFonts w:ascii="Arial" w:hAnsi="Arial" w:eastAsia="Arial" w:cs="Arial"/>
      <w:b/>
      <w:bCs/>
      <w:sz w:val="22"/>
      <w:szCs w:val="22"/>
    </w:rPr>
  </w:style>
  <w:style w:type="character" w:styleId="722" w:customStyle="1">
    <w:name w:val="Heading 7 Char"/>
    <w:basedOn w:val="686"/>
    <w:link w:val="683"/>
    <w:uiPriority w:val="9"/>
    <w:qFormat/>
    <w:rPr>
      <w:rFonts w:ascii="Arial" w:hAnsi="Arial" w:eastAsia="Arial" w:cs="Arial"/>
      <w:b/>
      <w:bCs/>
      <w:i/>
      <w:iCs/>
      <w:sz w:val="22"/>
      <w:szCs w:val="22"/>
    </w:rPr>
  </w:style>
  <w:style w:type="character" w:styleId="723" w:customStyle="1">
    <w:name w:val="Heading 8 Char"/>
    <w:basedOn w:val="686"/>
    <w:link w:val="684"/>
    <w:uiPriority w:val="9"/>
    <w:qFormat/>
    <w:rPr>
      <w:rFonts w:ascii="Arial" w:hAnsi="Arial" w:eastAsia="Arial" w:cs="Arial"/>
      <w:i/>
      <w:iCs/>
      <w:sz w:val="22"/>
      <w:szCs w:val="22"/>
    </w:rPr>
  </w:style>
  <w:style w:type="character" w:styleId="724" w:customStyle="1">
    <w:name w:val="Heading 9 Char"/>
    <w:basedOn w:val="686"/>
    <w:link w:val="685"/>
    <w:uiPriority w:val="9"/>
    <w:qFormat/>
    <w:rPr>
      <w:rFonts w:ascii="Arial" w:hAnsi="Arial" w:eastAsia="Arial" w:cs="Arial"/>
      <w:i/>
      <w:iCs/>
      <w:sz w:val="21"/>
      <w:szCs w:val="21"/>
    </w:rPr>
  </w:style>
  <w:style w:type="paragraph" w:styleId="725">
    <w:name w:val="List Paragraph"/>
    <w:basedOn w:val="676"/>
    <w:uiPriority w:val="34"/>
    <w:qFormat/>
    <w:pPr>
      <w:contextualSpacing/>
      <w:ind w:left="720"/>
    </w:pPr>
  </w:style>
  <w:style w:type="paragraph" w:styleId="726">
    <w:name w:val="No Spacing"/>
    <w:uiPriority w:val="1"/>
    <w:qFormat/>
    <w:pPr>
      <w:spacing w:before="0" w:after="0" w:line="240" w:lineRule="auto"/>
    </w:pPr>
    <w:rPr>
      <w:rFonts w:hint="default" w:asciiTheme="minorHAnsi" w:hAnsiTheme="minorHAnsi" w:eastAsiaTheme="minorEastAsia" w:cstheme="minorBidi"/>
    </w:rPr>
  </w:style>
  <w:style w:type="character" w:styleId="727" w:customStyle="1">
    <w:name w:val="Title Char"/>
    <w:basedOn w:val="686"/>
    <w:link w:val="709"/>
    <w:uiPriority w:val="10"/>
    <w:qFormat/>
    <w:rPr>
      <w:sz w:val="48"/>
      <w:szCs w:val="48"/>
    </w:rPr>
  </w:style>
  <w:style w:type="character" w:styleId="728" w:customStyle="1">
    <w:name w:val="Subtitle Char"/>
    <w:basedOn w:val="686"/>
    <w:link w:val="702"/>
    <w:uiPriority w:val="11"/>
    <w:qFormat/>
    <w:rPr>
      <w:sz w:val="24"/>
      <w:szCs w:val="24"/>
    </w:rPr>
  </w:style>
  <w:style w:type="paragraph" w:styleId="729">
    <w:name w:val="Quote"/>
    <w:basedOn w:val="676"/>
    <w:next w:val="676"/>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6"/>
    <w:next w:val="676"/>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6"/>
    <w:uiPriority w:val="99"/>
    <w:qFormat/>
  </w:style>
  <w:style w:type="character" w:styleId="734" w:customStyle="1">
    <w:name w:val="Footer Char"/>
    <w:basedOn w:val="686"/>
    <w:uiPriority w:val="99"/>
    <w:qFormat/>
  </w:style>
  <w:style w:type="character" w:styleId="735" w:customStyle="1">
    <w:name w:val="Caption Char"/>
    <w:uiPriority w:val="99"/>
    <w:qFormat/>
  </w:style>
  <w:style w:type="table" w:styleId="736" w:customStyle="1">
    <w:name w:val="Table Grid Light"/>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56"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65" w:customStyle="1">
    <w:name w:val="Grid Table 4 - Accent 2"/>
    <w:basedOn w:val="68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66" w:customStyle="1">
    <w:name w:val="Grid Table 4 - Accent 3"/>
    <w:basedOn w:val="68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67" w:customStyle="1">
    <w:name w:val="Grid Table 4 - Accent 4"/>
    <w:basedOn w:val="68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68" w:customStyle="1">
    <w:name w:val="Grid Table 4 - Accent 5"/>
    <w:basedOn w:val="68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69" w:customStyle="1">
    <w:name w:val="Grid Table 4 - Accent 6"/>
    <w:basedOn w:val="687"/>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0"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2" w:customStyle="1">
    <w:name w:val="Grid Table 5 Dark - Accent 2"/>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3" w:customStyle="1">
    <w:name w:val="Grid Table 5 Dark - Accent 3"/>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4" w:customStyle="1">
    <w:name w:val="Grid Table 5 Dark- Accent 4"/>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75" w:customStyle="1">
    <w:name w:val="Grid Table 5 Dark - Accent 5"/>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76" w:customStyle="1">
    <w:name w:val="Grid Table 5 Dark - Accent 6"/>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77"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8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8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8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3" w:customStyle="1">
    <w:name w:val="Grid Table 6 Colorful - Accent 6"/>
    <w:basedOn w:val="68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4"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98"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0" w:customStyle="1">
    <w:name w:val="List Table 2 - Accent 2"/>
    <w:basedOn w:val="68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1" w:customStyle="1">
    <w:name w:val="List Table 2 - Accent 3"/>
    <w:basedOn w:val="68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2" w:customStyle="1">
    <w:name w:val="List Table 2 - Accent 4"/>
    <w:basedOn w:val="68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3" w:customStyle="1">
    <w:name w:val="List Table 2 - Accent 5"/>
    <w:basedOn w:val="68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4" w:customStyle="1">
    <w:name w:val="List Table 2 - Accent 6"/>
    <w:basedOn w:val="68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05"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07" w:customStyle="1">
    <w:name w:val="List Table 3 - Accent 2"/>
    <w:basedOn w:val="68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2"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4" w:customStyle="1">
    <w:name w:val="List Table 4 - Accent 2"/>
    <w:basedOn w:val="68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15" w:customStyle="1">
    <w:name w:val="List Table 4 - Accent 3"/>
    <w:basedOn w:val="68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16" w:customStyle="1">
    <w:name w:val="List Table 4 - Accent 4"/>
    <w:basedOn w:val="68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17" w:customStyle="1">
    <w:name w:val="List Table 4 - Accent 5"/>
    <w:basedOn w:val="68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18" w:customStyle="1">
    <w:name w:val="List Table 4 - Accent 6"/>
    <w:basedOn w:val="68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19"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8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8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8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8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8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8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8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28" w:customStyle="1">
    <w:name w:val="List Table 6 Colorful - Accent 2"/>
    <w:basedOn w:val="68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29" w:customStyle="1">
    <w:name w:val="List Table 6 Colorful - Accent 3"/>
    <w:basedOn w:val="68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0" w:customStyle="1">
    <w:name w:val="List Table 6 Colorful - Accent 4"/>
    <w:basedOn w:val="68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1" w:customStyle="1">
    <w:name w:val="List Table 6 Colorful - Accent 5"/>
    <w:basedOn w:val="68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2" w:customStyle="1">
    <w:name w:val="List Table 6 Colorful - Accent 6"/>
    <w:basedOn w:val="68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3"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7"/>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2" w:customStyle="1">
    <w:name w:val="Lined - Accent 2"/>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3" w:customStyle="1">
    <w:name w:val="Lined - Accent 3"/>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4" w:customStyle="1">
    <w:name w:val="Lined - Accent 4"/>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45" w:customStyle="1">
    <w:name w:val="Lined - Accent 5"/>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46" w:customStyle="1">
    <w:name w:val="Lined - Accent 6"/>
    <w:basedOn w:val="6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47" w:customStyle="1">
    <w:name w:val="Bordered &amp; Lined - Accent"/>
    <w:basedOn w:val="6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9" w:customStyle="1">
    <w:name w:val="Bordered &amp; Lined - Accent 2"/>
    <w:basedOn w:val="68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0" w:customStyle="1">
    <w:name w:val="Bordered &amp; Lined - Accent 3"/>
    <w:basedOn w:val="68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1" w:customStyle="1">
    <w:name w:val="Bordered &amp; Lined - Accent 4"/>
    <w:basedOn w:val="68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2" w:customStyle="1">
    <w:name w:val="Bordered &amp; Lined - Accent 5"/>
    <w:basedOn w:val="68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3" w:customStyle="1">
    <w:name w:val="Bordered &amp; Lined - Accent 6"/>
    <w:basedOn w:val="68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4" w:customStyle="1">
    <w:name w:val="Bordered"/>
    <w:basedOn w:val="6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56" w:customStyle="1">
    <w:name w:val="Bordered - Accent 2"/>
    <w:basedOn w:val="68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57" w:customStyle="1">
    <w:name w:val="Bordered - Accent 3"/>
    <w:basedOn w:val="68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58" w:customStyle="1">
    <w:name w:val="Bordered - Accent 4"/>
    <w:basedOn w:val="68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59" w:customStyle="1">
    <w:name w:val="Bordered - Accent 5"/>
    <w:basedOn w:val="68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0" w:customStyle="1">
    <w:name w:val="Bordered - Accent 6"/>
    <w:basedOn w:val="68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1" w:customStyle="1">
    <w:name w:val="Footnote Text Char"/>
    <w:link w:val="703"/>
    <w:uiPriority w:val="99"/>
    <w:qFormat/>
    <w:rPr>
      <w:sz w:val="18"/>
    </w:rPr>
  </w:style>
  <w:style w:type="character" w:styleId="862" w:customStyle="1">
    <w:name w:val="Endnote Text Char"/>
    <w:link w:val="697"/>
    <w:uiPriority w:val="99"/>
    <w:qFormat/>
    <w:rPr>
      <w:sz w:val="20"/>
    </w:rPr>
  </w:style>
  <w:style w:type="paragraph" w:styleId="863" w:customStyle="1">
    <w:name w:val="TOC Heading"/>
    <w:uiPriority w:val="39"/>
    <w:unhideWhenUsed/>
    <w:qFormat/>
    <w:rPr>
      <w:rFonts w:hint="default" w:asciiTheme="minorHAnsi" w:hAnsiTheme="minorHAnsi" w:eastAsiaTheme="minorEastAsia" w:cstheme="minorBidi"/>
    </w:rPr>
  </w:style>
  <w:style w:type="paragraph" w:styleId="8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5" w:customStyle="1">
    <w:name w:val="列出段落1"/>
    <w:basedOn w:val="676"/>
    <w:uiPriority w:val="0"/>
    <w:qFormat/>
    <w:pPr>
      <w:contextualSpacing/>
      <w:ind w:left="720"/>
      <w:jc w:val="left"/>
      <w:widowControl/>
    </w:pPr>
    <w:rPr>
      <w:rFonts w:ascii="Calibri" w:hAnsi="Calibri"/>
      <w:sz w:val="24"/>
      <w:szCs w:val="24"/>
      <w:lang w:eastAsia="en-US" w:bidi="en-US"/>
    </w:rPr>
  </w:style>
  <w:style w:type="numbering" w:styleId="12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tutu</dc:creator>
  <cp:lastModifiedBy>何菁</cp:lastModifiedBy>
  <cp:revision>4</cp:revision>
  <dcterms:created xsi:type="dcterms:W3CDTF">2026-06-29T02:08:00Z</dcterms:created>
  <dcterms:modified xsi:type="dcterms:W3CDTF">2026-07-17T07:35:57Z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86F6CEAE0B844A0D817986DD6D964C11_13</vt:lpwstr>
  </property>
  <property fmtid="{D5CDD505-2E9C-101B-9397-08002B2CF9AE}" pid="4" name="KSOTemplateDocerSaveRecord">
    <vt:lpwstr>eyJoZGlkIjoiYmQzYTAxNDRlMWIxOWRlMzIwYTZlMGE4ODE2MzZmMGYiLCJ1c2VySWQiOiIzODEzNTcxNTUifQ==</vt:lpwstr>
  </property>
</Properties>
</file>