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0"/>
        <w:jc w:val="both"/>
        <w:rPr>
          <w:rFonts w:eastAsia="黑体"/>
          <w:b/>
          <w:bCs/>
          <w:color w:val="auto"/>
          <w:sz w:val="84"/>
          <w:highlight w:val="none"/>
        </w:rPr>
      </w:pPr>
      <w:r>
        <w:rPr>
          <w:rFonts w:eastAsia="黑体"/>
          <w:b/>
          <w:bCs/>
          <w:color w:val="auto"/>
          <w:sz w:val="84"/>
          <w:highlight w:val="none"/>
        </w:rPr>
      </w:r>
      <w:r/>
    </w:p>
    <w:p>
      <w:pPr>
        <w:pStyle w:val="1071"/>
        <w:ind w:firstLine="0"/>
        <w:jc w:val="center"/>
        <w:rPr>
          <w:rFonts w:eastAsia="黑体"/>
          <w:b/>
          <w:bCs/>
          <w:color w:val="auto"/>
          <w:sz w:val="84"/>
          <w:highlight w:val="none"/>
        </w:rPr>
      </w:pPr>
      <w:r>
        <w:rPr>
          <w:rFonts w:hint="eastAsia" w:eastAsia="黑体"/>
          <w:b/>
          <w:bCs/>
          <w:color w:val="auto"/>
          <w:sz w:val="84"/>
          <w:highlight w:val="none"/>
        </w:rPr>
        <w:t xml:space="preserve">招　标　文　件</w:t>
      </w:r>
      <w:r/>
    </w:p>
    <w:p>
      <w:pPr>
        <w:pStyle w:val="1071"/>
        <w:ind w:firstLine="0"/>
        <w:jc w:val="center"/>
        <w:rPr>
          <w:b/>
          <w:bCs/>
          <w:color w:val="auto"/>
          <w:sz w:val="32"/>
          <w:highlight w:val="none"/>
        </w:rPr>
      </w:pPr>
      <w:r>
        <w:rPr>
          <w:b/>
          <w:bCs/>
          <w:color w:val="auto"/>
          <w:sz w:val="32"/>
          <w:highlight w:val="none"/>
        </w:rPr>
      </w:r>
      <w:r/>
    </w:p>
    <w:p>
      <w:pPr>
        <w:pStyle w:val="1071"/>
        <w:ind w:firstLine="0"/>
        <w:jc w:val="center"/>
        <w:rPr>
          <w:b/>
          <w:bCs/>
          <w:color w:val="auto"/>
          <w:sz w:val="32"/>
          <w:highlight w:val="none"/>
        </w:rPr>
      </w:pPr>
      <w:r>
        <w:rPr>
          <w:b/>
          <w:bCs/>
          <w:color w:val="auto"/>
          <w:sz w:val="32"/>
          <w:highlight w:val="none"/>
        </w:rPr>
      </w:r>
      <w:r/>
    </w:p>
    <w:p>
      <w:pPr>
        <w:pStyle w:val="1071"/>
        <w:ind w:firstLine="0"/>
        <w:jc w:val="center"/>
        <w:rPr>
          <w:b/>
          <w:bCs/>
          <w:color w:val="auto"/>
          <w:sz w:val="32"/>
          <w:highlight w:val="none"/>
        </w:rPr>
      </w:pPr>
      <w:r>
        <w:rPr>
          <w:b/>
          <w:bCs/>
          <w:color w:val="auto"/>
          <w:sz w:val="32"/>
          <w:highlight w:val="none"/>
        </w:rPr>
      </w:r>
      <w:r/>
    </w:p>
    <w:p>
      <w:pPr>
        <w:pStyle w:val="1071"/>
        <w:ind w:firstLine="641"/>
        <w:jc w:val="both"/>
        <w:spacing w:before="0" w:after="0"/>
        <w:rPr>
          <w:rFonts w:hint="eastAsia" w:eastAsia="宋体"/>
          <w:b/>
          <w:bCs/>
          <w:color w:val="auto"/>
          <w:spacing w:val="-6"/>
          <w:sz w:val="32"/>
          <w:highlight w:val="none"/>
          <w:lang w:eastAsia="zh-CN"/>
        </w:rPr>
      </w:pPr>
      <w:r>
        <w:rPr>
          <w:rFonts w:hint="eastAsia"/>
          <w:b/>
          <w:bCs/>
          <w:color w:val="auto"/>
          <w:sz w:val="32"/>
          <w:highlight w:val="none"/>
        </w:rPr>
        <w:t xml:space="preserve">项目名称：</w:t>
      </w:r>
      <w:r>
        <w:rPr>
          <w:rFonts w:hint="eastAsia"/>
          <w:b/>
          <w:bCs/>
          <w:color w:val="auto"/>
          <w:spacing w:val="-6"/>
          <w:sz w:val="32"/>
          <w:highlight w:val="none"/>
          <w:lang w:eastAsia="zh-CN"/>
        </w:rPr>
        <w:t xml:space="preserve">连云港市第一人民医院高新院区、通灌院区保安服务（专门面向中小企业）</w:t>
      </w:r>
      <w:r/>
    </w:p>
    <w:p>
      <w:pPr>
        <w:ind w:firstLine="641"/>
        <w:spacing w:line="360" w:lineRule="auto"/>
        <w:rPr>
          <w:rFonts w:hint="eastAsia" w:eastAsia="宋体"/>
          <w:b/>
          <w:color w:val="auto"/>
          <w:sz w:val="30"/>
          <w:szCs w:val="30"/>
          <w:highlight w:val="none"/>
          <w:lang w:eastAsia="zh-CN"/>
        </w:rPr>
      </w:pPr>
      <w:r>
        <w:rPr>
          <w:rFonts w:hint="eastAsia"/>
          <w:b/>
          <w:bCs/>
          <w:color w:val="auto"/>
          <w:sz w:val="32"/>
          <w:highlight w:val="none"/>
        </w:rPr>
        <w:t xml:space="preserve">项目编号：JSZC-320700-ZCZC-G2026-0010</w:t>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pStyle w:val="1071"/>
        <w:ind w:firstLine="0"/>
        <w:spacing w:before="0" w:after="0"/>
        <w:rPr>
          <w:rFonts w:ascii="宋体" w:hAnsi="宋体"/>
          <w:color w:val="auto"/>
          <w:highlight w:val="none"/>
        </w:rPr>
      </w:pPr>
      <w:r>
        <w:rPr>
          <w:rFonts w:ascii="宋体" w:hAnsi="宋体"/>
          <w:color w:val="auto"/>
          <w:highlight w:val="none"/>
        </w:rPr>
      </w:r>
      <w:r/>
    </w:p>
    <w:p>
      <w:pPr>
        <w:ind w:firstLine="912"/>
        <w:spacing w:line="360" w:lineRule="auto"/>
        <w:rPr>
          <w:rFonts w:ascii="宋体" w:hAnsi="宋体"/>
          <w:bCs/>
          <w:color w:val="auto"/>
          <w:sz w:val="32"/>
          <w:szCs w:val="32"/>
          <w:highlight w:val="none"/>
        </w:rPr>
      </w:pPr>
      <w:r>
        <w:rPr>
          <w:rFonts w:hint="eastAsia" w:ascii="宋体" w:hAnsi="宋体"/>
          <w:bCs/>
          <w:color w:val="auto"/>
          <w:sz w:val="32"/>
          <w:szCs w:val="32"/>
          <w:highlight w:val="none"/>
        </w:rPr>
        <w:t xml:space="preserve">采   购   人：连云港市第一人民医院</w:t>
      </w:r>
      <w:r/>
    </w:p>
    <w:p>
      <w:pPr>
        <w:ind w:firstLine="912"/>
        <w:spacing w:line="360" w:lineRule="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采购代理机构：</w:t>
      </w:r>
      <w:r>
        <w:rPr>
          <w:rFonts w:hint="eastAsia" w:ascii="宋体" w:hAnsi="宋体"/>
          <w:bCs/>
          <w:color w:val="auto"/>
          <w:sz w:val="32"/>
          <w:szCs w:val="32"/>
          <w:highlight w:val="none"/>
          <w:lang w:eastAsia="zh-CN"/>
        </w:rPr>
        <w:t xml:space="preserve">江苏中诚工程管理有限公司</w:t>
      </w:r>
      <w:r/>
    </w:p>
    <w:p>
      <w:pPr>
        <w:pStyle w:val="1071"/>
        <w:ind w:firstLine="0"/>
        <w:jc w:val="center"/>
        <w:spacing w:before="0" w:after="0"/>
        <w:rPr>
          <w:color w:val="auto"/>
          <w:highlight w:val="none"/>
        </w:rPr>
      </w:pPr>
      <w:r>
        <w:rPr>
          <w:rFonts w:hint="eastAsia" w:ascii="宋体" w:hAnsi="宋体" w:cs="宋体"/>
          <w:bCs/>
          <w:color w:val="auto"/>
          <w:sz w:val="32"/>
          <w:szCs w:val="32"/>
          <w:highlight w:val="none"/>
        </w:rPr>
        <w:t xml:space="preserve">202</w:t>
      </w:r>
      <w:r>
        <w:rPr>
          <w:rFonts w:hint="eastAsia" w:ascii="宋体" w:hAnsi="宋体" w:cs="宋体"/>
          <w:bCs/>
          <w:color w:val="auto"/>
          <w:sz w:val="32"/>
          <w:szCs w:val="32"/>
          <w:highlight w:val="none"/>
          <w:lang w:val="en-US" w:eastAsia="zh-CN"/>
        </w:rPr>
        <w:t xml:space="preserve">6</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8</w:t>
      </w:r>
      <w:r>
        <w:rPr>
          <w:rFonts w:hint="eastAsia" w:ascii="宋体" w:hAnsi="宋体" w:cs="宋体"/>
          <w:bCs/>
          <w:color w:val="auto"/>
          <w:sz w:val="32"/>
          <w:szCs w:val="32"/>
          <w:highlight w:val="none"/>
        </w:rPr>
        <w:t xml:space="preserve">月</w:t>
      </w:r>
      <w:r/>
    </w:p>
    <w:p>
      <w:pPr>
        <w:jc w:val="center"/>
        <w:spacing w:line="360" w:lineRule="auto"/>
        <w:rPr>
          <w:color w:val="auto"/>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513029200"/>
      <w:r/>
      <w:bookmarkStart w:id="3" w:name="_Toc16938516"/>
      <w:r/>
      <w:bookmarkStart w:id="4" w:name="_Toc20823272"/>
      <w:r/>
      <w:bookmarkStart w:id="5" w:name="_Toc523127445"/>
      <w:r/>
      <w:r/>
    </w:p>
    <w:p>
      <w:pPr>
        <w:jc w:val="center"/>
        <w:spacing w:line="480" w:lineRule="auto"/>
        <w:rPr>
          <w:rFonts w:ascii="黑体" w:hAnsi="Arial" w:eastAsia="黑体"/>
          <w:b/>
          <w:color w:val="auto"/>
          <w:sz w:val="44"/>
          <w:highlight w:val="none"/>
        </w:rPr>
        <w:outlineLvl w:val="0"/>
      </w:pPr>
      <w:r/>
      <w:bookmarkStart w:id="6" w:name="_Toc9045"/>
      <w:r/>
      <w:bookmarkStart w:id="7" w:name="_Toc2559"/>
      <w:r/>
      <w:bookmarkStart w:id="8" w:name="_Toc3486"/>
      <w:r>
        <w:rPr>
          <w:rFonts w:hint="eastAsia" w:ascii="黑体" w:hAnsi="Arial" w:eastAsia="黑体"/>
          <w:b/>
          <w:color w:val="auto"/>
          <w:sz w:val="44"/>
          <w:highlight w:val="none"/>
        </w:rPr>
        <w:t xml:space="preserve">总  目  录</w:t>
      </w:r>
      <w:bookmarkEnd w:id="6"/>
      <w:r/>
      <w:bookmarkEnd w:id="7"/>
      <w:r/>
      <w:bookmarkEnd w:id="8"/>
      <w:r/>
      <w:r/>
    </w:p>
    <w:p>
      <w:pPr>
        <w:pStyle w:val="799"/>
        <w:spacing w:line="360" w:lineRule="auto"/>
        <w:tabs>
          <w:tab w:val="right" w:pos="8953" w:leader="dot"/>
        </w:tabs>
        <w:rPr>
          <w:color w:val="auto"/>
          <w:sz w:val="24"/>
          <w:szCs w:val="24"/>
          <w:highlight w:val="none"/>
        </w:rPr>
      </w:pPr>
      <w:r>
        <w:rPr>
          <w:rFonts w:hint="eastAsia" w:ascii="仿宋_GB2312" w:hAnsi="Arial" w:eastAsia="仿宋_GB2312"/>
          <w:b/>
          <w:color w:val="auto"/>
          <w:sz w:val="36"/>
          <w:szCs w:val="24"/>
          <w:highlight w:val="none"/>
        </w:rPr>
        <w:fldChar w:fldCharType="begin"/>
      </w:r>
      <w:r>
        <w:rPr>
          <w:rFonts w:hint="eastAsia" w:ascii="仿宋_GB2312" w:hAnsi="Arial" w:eastAsia="仿宋_GB2312"/>
          <w:b/>
          <w:color w:val="auto"/>
          <w:sz w:val="36"/>
          <w:szCs w:val="24"/>
          <w:highlight w:val="none"/>
        </w:rPr>
        <w:instrText xml:space="preserve">TOC \o "1-3" \h \u </w:instrText>
      </w:r>
      <w:r>
        <w:rPr>
          <w:rFonts w:hint="eastAsia" w:ascii="仿宋_GB2312" w:hAnsi="Arial" w:eastAsia="仿宋_GB2312"/>
          <w:b/>
          <w:color w:val="auto"/>
          <w:sz w:val="36"/>
          <w:szCs w:val="24"/>
          <w:highlight w:val="none"/>
        </w:rPr>
        <w:fldChar w:fldCharType="separate"/>
      </w:r>
      <w:r>
        <w:rPr>
          <w:color w:val="auto"/>
          <w:sz w:val="24"/>
          <w:szCs w:val="24"/>
          <w:highlight w:val="none"/>
        </w:rPr>
        <w:fldChar w:fldCharType="begin"/>
      </w:r>
      <w:r>
        <w:rPr>
          <w:color w:val="auto"/>
          <w:sz w:val="24"/>
          <w:szCs w:val="24"/>
          <w:highlight w:val="none"/>
        </w:rPr>
        <w:instrText xml:space="preserve"> HYPERLINK \l "_Toc2801" </w:instrText>
      </w:r>
      <w:r>
        <w:rPr>
          <w:color w:val="auto"/>
          <w:sz w:val="24"/>
          <w:szCs w:val="24"/>
          <w:highlight w:val="none"/>
        </w:rPr>
        <w:fldChar w:fldCharType="separate"/>
      </w:r>
      <w:r>
        <w:rPr>
          <w:rFonts w:hint="eastAsia" w:ascii="黑体" w:eastAsia="黑体"/>
          <w:color w:val="auto"/>
          <w:sz w:val="24"/>
          <w:szCs w:val="52"/>
          <w:highlight w:val="none"/>
        </w:rPr>
        <w:t xml:space="preserve">第一章  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_Toc2801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fldChar w:fldCharType="end"/>
      </w:r>
      <w:r/>
    </w:p>
    <w:p>
      <w:pPr>
        <w:pStyle w:val="805"/>
        <w:ind w:left="0"/>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"_Toc6975" </w:instrText>
      </w:r>
      <w:r>
        <w:rPr>
          <w:color w:val="auto"/>
          <w:sz w:val="24"/>
          <w:szCs w:val="24"/>
          <w:highlight w:val="none"/>
        </w:rPr>
        <w:fldChar w:fldCharType="separate"/>
      </w:r>
      <w:r>
        <w:rPr>
          <w:rFonts w:hint="eastAsia" w:ascii="黑体" w:eastAsia="黑体"/>
          <w:color w:val="auto"/>
          <w:sz w:val="24"/>
          <w:szCs w:val="52"/>
          <w:highlight w:val="none"/>
        </w:rPr>
        <w:t xml:space="preserve">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_Toc6975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rPr>
          <w:color w:val="auto"/>
          <w:sz w:val="24"/>
          <w:szCs w:val="24"/>
          <w:highlight w:val="none"/>
        </w:rPr>
        <w:fldChar w:fldCharType="end"/>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"_Toc581" </w:instrText>
      </w:r>
      <w:r>
        <w:rPr>
          <w:color w:val="auto"/>
          <w:sz w:val="24"/>
          <w:szCs w:val="24"/>
          <w:highlight w:val="none"/>
        </w:rPr>
        <w:fldChar w:fldCharType="separate"/>
      </w:r>
      <w:r>
        <w:rPr>
          <w:rFonts w:hint="eastAsia" w:ascii="黑体" w:hAnsi="黑体" w:eastAsia="黑体"/>
          <w:bCs/>
          <w:color w:val="auto"/>
          <w:sz w:val="24"/>
          <w:szCs w:val="52"/>
          <w:highlight w:val="none"/>
        </w:rPr>
        <w:t xml:space="preserve">第三章  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_Toc581 \h </w:instrText>
      </w:r>
      <w:r>
        <w:rPr>
          <w:color w:val="auto"/>
          <w:sz w:val="24"/>
          <w:szCs w:val="24"/>
          <w:highlight w:val="none"/>
        </w:rPr>
        <w:fldChar w:fldCharType="separate"/>
      </w:r>
      <w:r>
        <w:rPr>
          <w:color w:val="auto"/>
          <w:sz w:val="24"/>
          <w:szCs w:val="24"/>
          <w:highlight w:val="none"/>
        </w:rPr>
        <w:t xml:space="preserve">19</w:t>
      </w:r>
      <w:r>
        <w:rPr>
          <w:color w:val="auto"/>
          <w:sz w:val="24"/>
          <w:szCs w:val="24"/>
          <w:highlight w:val="none"/>
        </w:rPr>
        <w:fldChar w:fldCharType="end"/>
      </w:r>
      <w:r>
        <w:rPr>
          <w:color w:val="auto"/>
          <w:sz w:val="24"/>
          <w:szCs w:val="24"/>
          <w:highlight w:val="none"/>
        </w:rPr>
        <w:fldChar w:fldCharType="end"/>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"_Toc4663" </w:instrText>
      </w:r>
      <w:r>
        <w:rPr>
          <w:color w:val="auto"/>
          <w:sz w:val="24"/>
          <w:szCs w:val="24"/>
          <w:highlight w:val="none"/>
        </w:rPr>
        <w:fldChar w:fldCharType="separate"/>
      </w:r>
      <w:r>
        <w:rPr>
          <w:rFonts w:hint="eastAsia" w:ascii="黑体" w:eastAsia="黑体"/>
          <w:color w:val="auto"/>
          <w:sz w:val="24"/>
          <w:szCs w:val="52"/>
          <w:highlight w:val="none"/>
        </w:rPr>
        <w:t xml:space="preserve">第四章 </w:t>
      </w:r>
      <w:r>
        <w:rPr>
          <w:rFonts w:hint="eastAsia" w:ascii="黑体" w:eastAsia="黑体"/>
          <w:color w:val="auto"/>
          <w:sz w:val="24"/>
          <w:szCs w:val="52"/>
          <w:highlight w:val="none"/>
          <w:lang w:val="en-US" w:eastAsia="zh-CN"/>
        </w:rPr>
        <w:t xml:space="preserve"> </w:t>
      </w:r>
      <w:r>
        <w:rPr>
          <w:rFonts w:hint="eastAsia" w:ascii="黑体" w:eastAsia="黑体"/>
          <w:color w:val="auto"/>
          <w:sz w:val="24"/>
          <w:szCs w:val="52"/>
          <w:highlight w:val="none"/>
        </w:rPr>
        <w:t xml:space="preserve">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_Toc4663 \h </w:instrText>
      </w:r>
      <w:r>
        <w:rPr>
          <w:color w:val="auto"/>
          <w:sz w:val="24"/>
          <w:szCs w:val="24"/>
          <w:highlight w:val="none"/>
        </w:rPr>
        <w:fldChar w:fldCharType="separate"/>
      </w:r>
      <w:r>
        <w:rPr>
          <w:color w:val="auto"/>
          <w:sz w:val="24"/>
          <w:szCs w:val="24"/>
          <w:highlight w:val="none"/>
        </w:rPr>
        <w:t xml:space="preserve">19</w:t>
      </w:r>
      <w:r>
        <w:rPr>
          <w:color w:val="auto"/>
          <w:sz w:val="24"/>
          <w:szCs w:val="24"/>
          <w:highlight w:val="none"/>
        </w:rPr>
        <w:fldChar w:fldCharType="end"/>
      </w:r>
      <w:r>
        <w:rPr>
          <w:color w:val="auto"/>
          <w:sz w:val="24"/>
          <w:szCs w:val="24"/>
          <w:highlight w:val="none"/>
        </w:rPr>
        <w:fldChar w:fldCharType="end"/>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"_Toc19583" </w:instrText>
      </w:r>
      <w:r>
        <w:rPr>
          <w:color w:val="auto"/>
          <w:sz w:val="24"/>
          <w:szCs w:val="24"/>
          <w:highlight w:val="none"/>
        </w:rPr>
        <w:fldChar w:fldCharType="separate"/>
      </w:r>
      <w:r>
        <w:rPr>
          <w:rFonts w:hint="eastAsia" w:ascii="黑体" w:eastAsia="黑体"/>
          <w:color w:val="auto"/>
          <w:sz w:val="24"/>
          <w:szCs w:val="52"/>
          <w:highlight w:val="none"/>
        </w:rPr>
        <w:t xml:space="preserve">第五章  评标方法与评标标准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_Toc19583 \h </w:instrText>
      </w:r>
      <w:r>
        <w:rPr>
          <w:color w:val="auto"/>
          <w:sz w:val="24"/>
          <w:szCs w:val="24"/>
          <w:highlight w:val="none"/>
        </w:rPr>
        <w:fldChar w:fldCharType="separate"/>
      </w:r>
      <w:r>
        <w:rPr>
          <w:color w:val="auto"/>
          <w:sz w:val="24"/>
          <w:szCs w:val="24"/>
          <w:highlight w:val="none"/>
        </w:rPr>
        <w:t xml:space="preserve">78</w:t>
      </w:r>
      <w:r>
        <w:rPr>
          <w:color w:val="auto"/>
          <w:sz w:val="24"/>
          <w:szCs w:val="24"/>
          <w:highlight w:val="none"/>
        </w:rPr>
        <w:fldChar w:fldCharType="end"/>
      </w:r>
      <w:r>
        <w:rPr>
          <w:color w:val="auto"/>
          <w:sz w:val="24"/>
          <w:szCs w:val="24"/>
          <w:highlight w:val="none"/>
        </w:rPr>
        <w:fldChar w:fldCharType="end"/>
      </w:r>
      <w:r/>
    </w:p>
    <w:p>
      <w:pPr>
        <w:pStyle w:val="799"/>
        <w:spacing w:line="360" w:lineRule="auto"/>
        <w:tabs>
          <w:tab w:val="right" w:pos="8953"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"_Toc19647" </w:instrText>
      </w:r>
      <w:r>
        <w:rPr>
          <w:color w:val="auto"/>
          <w:sz w:val="24"/>
          <w:szCs w:val="24"/>
          <w:highlight w:val="none"/>
        </w:rPr>
        <w:fldChar w:fldCharType="separate"/>
      </w:r>
      <w:r>
        <w:rPr>
          <w:rFonts w:hint="eastAsia" w:ascii="黑体" w:eastAsia="黑体"/>
          <w:color w:val="auto"/>
          <w:sz w:val="24"/>
          <w:szCs w:val="52"/>
          <w:highlight w:val="none"/>
        </w:rPr>
        <w:t xml:space="preserve">第六章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_Toc19647 \h </w:instrText>
      </w:r>
      <w:r>
        <w:rPr>
          <w:color w:val="auto"/>
          <w:sz w:val="24"/>
          <w:szCs w:val="24"/>
          <w:highlight w:val="none"/>
        </w:rPr>
        <w:fldChar w:fldCharType="separate"/>
      </w:r>
      <w:r>
        <w:rPr>
          <w:color w:val="auto"/>
          <w:sz w:val="24"/>
          <w:szCs w:val="24"/>
          <w:highlight w:val="none"/>
        </w:rPr>
        <w:t xml:space="preserve">84</w:t>
      </w:r>
      <w:r>
        <w:rPr>
          <w:color w:val="auto"/>
          <w:sz w:val="24"/>
          <w:szCs w:val="24"/>
          <w:highlight w:val="none"/>
        </w:rPr>
        <w:fldChar w:fldCharType="end"/>
      </w:r>
      <w:r>
        <w:rPr>
          <w:color w:val="auto"/>
          <w:sz w:val="24"/>
          <w:szCs w:val="24"/>
          <w:highlight w:val="none"/>
        </w:rPr>
        <w:fldChar w:fldCharType="end"/>
      </w:r>
      <w:r/>
    </w:p>
    <w:p>
      <w:pPr>
        <w:spacing w:line="360" w:lineRule="auto"/>
        <w:rPr>
          <w:rFonts w:ascii="仿宋_GB2312" w:hAnsi="Arial" w:eastAsia="仿宋_GB2312"/>
          <w:b/>
          <w:color w:val="auto"/>
          <w:sz w:val="36"/>
          <w:szCs w:val="24"/>
          <w:highlight w:val="none"/>
        </w:rPr>
      </w:pPr>
      <w:r>
        <w:rPr>
          <w:rFonts w:hint="eastAsia" w:ascii="仿宋_GB2312" w:hAnsi="Arial" w:eastAsia="仿宋_GB2312"/>
          <w:color w:val="auto"/>
          <w:sz w:val="24"/>
          <w:szCs w:val="24"/>
          <w:highlight w:val="none"/>
        </w:rPr>
        <w:fldChar w:fldCharType="end"/>
      </w:r>
      <w:r/>
    </w:p>
    <w:p>
      <w:pPr>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85"/>
        <w:rPr>
          <w:rFonts w:ascii="黑体" w:eastAsia="黑体"/>
          <w:color w:val="auto"/>
          <w:sz w:val="44"/>
          <w:szCs w:val="44"/>
          <w:highlight w:val="none"/>
        </w:rP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85"/>
        <w:spacing w:line="360" w:lineRule="auto"/>
        <w:rPr>
          <w:rFonts w:ascii="黑体" w:eastAsia="黑体"/>
          <w:bCs/>
          <w:color w:val="auto"/>
          <w:sz w:val="44"/>
          <w:szCs w:val="44"/>
          <w:highlight w:val="none"/>
        </w:rPr>
      </w:pPr>
      <w:r/>
      <w:bookmarkStart w:id="10" w:name="_Toc2801"/>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9"/>
      <w:r/>
      <w:bookmarkEnd w:id="10"/>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连云港市第一人民医院</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eastAsia="zh-CN"/>
        </w:rPr>
        <w:t xml:space="preserve">江苏中诚工程管理有限公司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连云港市第一人民医院高新院区、通灌院区保安服务（专门面向中小企业）</w:t>
      </w:r>
      <w:r>
        <w:rPr>
          <w:rFonts w:hint="eastAsia" w:ascii="宋体" w:hAnsi="宋体"/>
          <w:color w:val="auto"/>
          <w:sz w:val="24"/>
          <w:szCs w:val="24"/>
          <w:highlight w:val="none"/>
        </w:rPr>
        <w:t xml:space="preserve">(项目编号：JSZC-320700-ZCZC-G2026-0010)项目进行公开招标采购，欢迎符合条件的供应商投标。</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连云港市第一人民医院高新院区、通灌院区保安服务（专门面向中小企业）</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22</w:t>
      </w:r>
      <w:r>
        <w:rPr>
          <w:rFonts w:hint="eastAsia" w:ascii="宋体" w:hAnsi="宋体" w:cs="宋体"/>
          <w:color w:val="auto"/>
          <w:sz w:val="24"/>
          <w:szCs w:val="24"/>
          <w:highlight w:val="none"/>
          <w:u w:val="single"/>
        </w:rPr>
        <w:t xml:space="preserve">日9</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87"/>
        <w:ind w:firstLine="498"/>
        <w:spacing w:before="0" w:after="0" w:line="360" w:lineRule="auto"/>
        <w:rPr>
          <w:color w:val="auto"/>
          <w:highlight w:val="none"/>
        </w:rPr>
      </w:pPr>
      <w:r/>
      <w:bookmarkStart w:id="11" w:name="_Toc21136"/>
      <w:r/>
      <w:bookmarkStart w:id="12" w:name="_Toc16002"/>
      <w:r/>
      <w:bookmarkStart w:id="13" w:name="_Toc28359002"/>
      <w:r/>
      <w:bookmarkStart w:id="14" w:name="_Toc35393621"/>
      <w:r/>
      <w:bookmarkStart w:id="15" w:name="_Toc35393790"/>
      <w:r/>
      <w:bookmarkStart w:id="16" w:name="_Hlk24379207"/>
      <w:r/>
      <w:bookmarkStart w:id="17" w:name="_Toc2245"/>
      <w:r/>
      <w:bookmarkStart w:id="18" w:name="_Toc38985263"/>
      <w:r/>
      <w:bookmarkStart w:id="19" w:name="_Toc28359079"/>
      <w:r>
        <w:rPr>
          <w:rFonts w:hint="eastAsia"/>
          <w:color w:val="auto"/>
          <w:highlight w:val="none"/>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1.项目编号：JSZC-320700-ZCZC-G2026-0010</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连云港市第一人民医院高新院区、通灌院区保安服务（专门面向中小企业）</w:t>
      </w:r>
      <w:r/>
    </w:p>
    <w:p>
      <w:pPr>
        <w:ind w:firstLine="480"/>
        <w:spacing w:line="360" w:lineRule="auto"/>
        <w:rPr>
          <w:rFonts w:hint="eastAsia" w:ascii="宋体" w:hAnsi="宋体" w:eastAsia="宋体"/>
          <w:b w:val="0"/>
          <w:bCs w:val="0"/>
          <w:color w:val="auto"/>
          <w:sz w:val="24"/>
          <w:szCs w:val="24"/>
          <w:highlight w:val="none"/>
          <w:lang w:eastAsia="zh-CN"/>
        </w:rPr>
      </w:pPr>
      <w:r>
        <w:rPr>
          <w:rFonts w:hint="eastAsia" w:ascii="宋体" w:hAnsi="宋体"/>
          <w:color w:val="auto"/>
          <w:sz w:val="24"/>
          <w:szCs w:val="24"/>
          <w:highlight w:val="none"/>
        </w:rPr>
        <w:t xml:space="preserve">3.预算金额：人</w:t>
      </w:r>
      <w:r>
        <w:rPr>
          <w:rFonts w:hint="eastAsia" w:ascii="宋体" w:hAnsi="宋体"/>
          <w:b w:val="0"/>
          <w:bCs w:val="0"/>
          <w:color w:val="auto"/>
          <w:sz w:val="24"/>
          <w:szCs w:val="24"/>
          <w:highlight w:val="none"/>
        </w:rPr>
        <w:t xml:space="preserve">民币</w:t>
      </w:r>
      <w:r>
        <w:rPr>
          <w:rFonts w:hint="eastAsia" w:ascii="宋体" w:hAnsi="宋体"/>
          <w:b w:val="0"/>
          <w:bCs w:val="0"/>
          <w:color w:val="auto"/>
          <w:sz w:val="24"/>
          <w:szCs w:val="24"/>
          <w:highlight w:val="none"/>
          <w:lang w:val="en-US" w:eastAsia="zh-CN"/>
        </w:rPr>
        <w:t xml:space="preserve">1669.44</w:t>
      </w:r>
      <w:r>
        <w:rPr>
          <w:rFonts w:hint="eastAsia" w:ascii="宋体" w:hAnsi="宋体"/>
          <w:b w:val="0"/>
          <w:bCs w:val="0"/>
          <w:color w:val="auto"/>
          <w:sz w:val="24"/>
          <w:szCs w:val="24"/>
          <w:highlight w:val="none"/>
        </w:rPr>
        <w:t xml:space="preserve">万元</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lang w:val="en-US" w:eastAsia="zh-CN"/>
        </w:rPr>
        <w:t xml:space="preserve">：连云港市第一人民医院高新院区保安服务（专门面向中小企业） </w:t>
      </w:r>
      <w:r>
        <w:rPr>
          <w:rFonts w:hint="eastAsia" w:ascii="宋体" w:hAnsi="宋体"/>
          <w:b w:val="0"/>
          <w:bCs w:val="0"/>
          <w:color w:val="auto"/>
          <w:sz w:val="24"/>
          <w:szCs w:val="24"/>
          <w:highlight w:val="none"/>
          <w:shd w:val="clear" w:color="auto" w:fill="auto"/>
          <w:lang w:val="en-US" w:eastAsia="zh-CN"/>
        </w:rPr>
        <w:t xml:space="preserve">项目预算：924.96万元</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lang w:val="en-US" w:eastAsia="zh-CN"/>
        </w:rPr>
        <w:t xml:space="preserve">：连云港市第一人民医院通灌院区保安服务（专门面向中小企业） </w:t>
      </w:r>
      <w:r>
        <w:rPr>
          <w:rFonts w:hint="eastAsia" w:ascii="宋体" w:hAnsi="宋体"/>
          <w:b w:val="0"/>
          <w:bCs w:val="0"/>
          <w:color w:val="auto"/>
          <w:sz w:val="24"/>
          <w:szCs w:val="24"/>
          <w:highlight w:val="none"/>
          <w:shd w:val="clear" w:color="auto" w:fill="auto"/>
          <w:lang w:val="en-US" w:eastAsia="zh-CN"/>
        </w:rPr>
        <w:t xml:space="preserve">项目预算：744.48 万元）</w:t>
      </w:r>
      <w:r>
        <w:rPr>
          <w:rFonts w:hint="eastAsia" w:ascii="宋体" w:hAnsi="宋体"/>
          <w:b w:val="0"/>
          <w:bCs w:val="0"/>
          <w:color w:val="auto"/>
          <w:sz w:val="24"/>
          <w:szCs w:val="24"/>
          <w:highlight w:val="none"/>
        </w:rPr>
        <w:t xml:space="preserve">，投标报价超过预算金额的投标无效</w:t>
      </w:r>
      <w:r>
        <w:rPr>
          <w:rFonts w:hint="eastAsia" w:ascii="宋体" w:hAnsi="宋体"/>
          <w:b w:val="0"/>
          <w:bCs w:val="0"/>
          <w:color w:val="auto"/>
          <w:sz w:val="24"/>
          <w:szCs w:val="24"/>
          <w:highlight w:val="none"/>
          <w:lang w:eastAsia="zh-CN"/>
        </w:rPr>
        <w:t xml:space="preserve">。</w:t>
      </w:r>
      <w:r/>
    </w:p>
    <w:p>
      <w:pPr>
        <w:ind w:firstLine="480"/>
        <w:pageBreakBefore w:val="0"/>
        <w:spacing w:line="360" w:lineRule="auto"/>
        <w:rPr>
          <w:rFonts w:ascii="宋体" w:hAnsi="宋体" w:eastAsia="宋体"/>
          <w:b w:val="0"/>
          <w:bCs w:val="0"/>
          <w:color w:val="auto"/>
          <w:sz w:val="24"/>
          <w:szCs w:val="24"/>
          <w:highlight w:val="none"/>
          <w:shd w:val="clear" w:color="auto" w:fill="auto"/>
          <w:lang w:val="en-US" w:eastAsia="zh-CN"/>
        </w:rPr>
      </w:pPr>
      <w:r>
        <w:rPr>
          <w:rFonts w:hint="eastAsia" w:ascii="宋体" w:hAnsi="宋体"/>
          <w:b w:val="0"/>
          <w:bCs w:val="0"/>
          <w:color w:val="auto"/>
          <w:sz w:val="24"/>
          <w:szCs w:val="24"/>
          <w:highlight w:val="none"/>
          <w:shd w:val="clear" w:color="auto" w:fill="auto"/>
          <w:lang w:val="en-US" w:eastAsia="zh-CN"/>
        </w:rPr>
        <w:t xml:space="preserve">4.最高限价：</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lang w:val="en-US" w:eastAsia="zh-CN"/>
        </w:rPr>
        <w:t xml:space="preserve">：连云港市第一人民医院高新院区保安服务（专门面向中小企业） </w:t>
      </w:r>
      <w:r>
        <w:rPr>
          <w:rFonts w:hint="eastAsia" w:ascii="宋体" w:hAnsi="宋体"/>
          <w:b w:val="0"/>
          <w:bCs w:val="0"/>
          <w:color w:val="auto"/>
          <w:sz w:val="24"/>
          <w:szCs w:val="24"/>
          <w:highlight w:val="none"/>
          <w:shd w:val="clear" w:color="auto" w:fill="auto"/>
          <w:lang w:val="en-US" w:eastAsia="zh-CN"/>
        </w:rPr>
        <w:t xml:space="preserve"> 最高限价： 924.96万元</w:t>
      </w:r>
      <w:r>
        <w:rPr>
          <w:rFonts w:hint="eastAsia" w:ascii="宋体" w:hAnsi="宋体" w:eastAsia="宋体" w:cs="宋体"/>
          <w:b w:val="0"/>
          <w:bCs w:val="0"/>
          <w:color w:val="auto"/>
          <w:sz w:val="24"/>
          <w:szCs w:val="24"/>
          <w:highlight w:val="none"/>
          <w:vertAlign w:val="baseline"/>
          <w:lang w:val="en-US" w:eastAsia="zh-CN"/>
        </w:rPr>
        <w:t xml:space="preserve">；采购包</w:t>
      </w:r>
      <w:r>
        <w:rPr>
          <w:rFonts w:hint="eastAsia" w:ascii="宋体" w:hAnsi="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lang w:val="en-US" w:eastAsia="zh-CN"/>
        </w:rPr>
        <w:t xml:space="preserve">：连云港市第一人民医院通灌院区保安服务（专门面向中小企业） </w:t>
      </w:r>
      <w:r>
        <w:rPr>
          <w:rFonts w:hint="eastAsia" w:ascii="宋体" w:hAnsi="宋体"/>
          <w:b w:val="0"/>
          <w:bCs w:val="0"/>
          <w:color w:val="auto"/>
          <w:sz w:val="24"/>
          <w:szCs w:val="24"/>
          <w:highlight w:val="none"/>
          <w:shd w:val="clear" w:color="auto" w:fill="auto"/>
          <w:lang w:val="en-US" w:eastAsia="zh-CN"/>
        </w:rPr>
        <w:t xml:space="preserve">最高限价：744.48万元，各分包投标人所报的投标报价超过最高限价的投标无效</w:t>
      </w:r>
      <w:r>
        <w:rPr>
          <w:rFonts w:hint="eastAsia" w:ascii="宋体" w:hAnsi="宋体"/>
          <w:b w:val="0"/>
          <w:bCs w:val="0"/>
          <w:color w:val="auto"/>
          <w:sz w:val="24"/>
          <w:szCs w:val="24"/>
          <w:highlight w:val="none"/>
          <w:shd w:val="clear" w:color="auto" w:fill="auto"/>
        </w:rPr>
        <w:t xml:space="preserve">。</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采购需求（简介）：连云港市第一人民医院高新区院区、通灌院区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含口腔医院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的门卫值守、防火防盗巡查、建筑消防设施巡检、应急处突、消防控制室值守、纠纷处置、安检门值守等服务，具体内容详见第四章采购需求。</w:t>
      </w:r>
      <w:r/>
    </w:p>
    <w:p>
      <w:pPr>
        <w:ind w:firstLine="482"/>
        <w:spacing w:line="360" w:lineRule="auto"/>
        <w:rPr>
          <w:rFonts w:ascii="宋体" w:hAnsi="宋体" w:cs="宋体"/>
          <w:color w:val="auto"/>
          <w:sz w:val="24"/>
          <w:szCs w:val="24"/>
          <w:highlight w:val="none"/>
        </w:rPr>
      </w:pPr>
      <w:r>
        <w:rPr>
          <w:rFonts w:hint="eastAsia" w:ascii="宋体" w:hAnsi="宋体"/>
          <w:b/>
          <w:bCs/>
          <w:color w:val="auto"/>
          <w:sz w:val="24"/>
          <w:highlight w:val="none"/>
        </w:rPr>
        <w:t xml:space="preserve">对项目采购需求部分的询问、质疑请与采购人联系，由采购人负责答复。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.合同履行期限（服务期限）：</w:t>
      </w:r>
      <w:r>
        <w:rPr>
          <w:rFonts w:hint="eastAsia" w:ascii="宋体" w:hAnsi="宋体"/>
          <w:color w:val="auto"/>
          <w:sz w:val="24"/>
          <w:szCs w:val="24"/>
          <w:highlight w:val="none"/>
          <w:lang w:val="en-US" w:eastAsia="zh-CN"/>
        </w:rPr>
        <w:t xml:space="preserve">贰</w:t>
      </w:r>
      <w:r>
        <w:rPr>
          <w:rFonts w:hint="eastAsia" w:ascii="宋体" w:hAnsi="宋体"/>
          <w:color w:val="auto"/>
          <w:sz w:val="24"/>
          <w:szCs w:val="24"/>
          <w:highlight w:val="none"/>
        </w:rPr>
        <w:t xml:space="preserve">年（合同约定时间起算）。</w:t>
      </w:r>
      <w:r/>
    </w:p>
    <w:p>
      <w:pPr>
        <w:ind w:firstLine="480"/>
        <w:spacing w:line="360" w:lineRule="auto"/>
        <w:rPr>
          <w:rFonts w:ascii="宋体" w:hAnsi="宋体"/>
          <w:bCs/>
          <w:color w:val="auto"/>
          <w:sz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联合体投标。</w:t>
      </w:r>
      <w:r/>
    </w:p>
    <w:p>
      <w:pPr>
        <w:pStyle w:val="987"/>
        <w:ind w:firstLine="498"/>
        <w:spacing w:before="0" w:after="0" w:line="360" w:lineRule="auto"/>
        <w:rPr>
          <w:color w:val="auto"/>
          <w:highlight w:val="none"/>
        </w:rPr>
      </w:pPr>
      <w:r/>
      <w:bookmarkStart w:id="20" w:name="_Toc28359080"/>
      <w:r/>
      <w:bookmarkStart w:id="21" w:name="_Toc1258"/>
      <w:r/>
      <w:bookmarkStart w:id="22" w:name="_Toc28359003"/>
      <w:r/>
      <w:bookmarkStart w:id="23" w:name="_Toc35393791"/>
      <w:r/>
      <w:bookmarkStart w:id="24" w:name="_Toc13820"/>
      <w:r/>
      <w:bookmarkStart w:id="25" w:name="_Toc38985264"/>
      <w:r/>
      <w:bookmarkStart w:id="26" w:name="_Toc3796"/>
      <w:r/>
      <w:bookmarkStart w:id="27" w:name="_Toc35393622"/>
      <w:r>
        <w:rPr>
          <w:rFonts w:hint="eastAsia"/>
          <w:color w:val="auto"/>
          <w:highlight w:val="none"/>
        </w:rPr>
        <w:t xml:space="preserve">二、申请人的资格要求：</w:t>
      </w:r>
      <w:bookmarkEnd w:id="20"/>
      <w:r/>
      <w:bookmarkEnd w:id="21"/>
      <w:r/>
      <w:bookmarkEnd w:id="22"/>
      <w:r/>
      <w:bookmarkEnd w:id="23"/>
      <w:r/>
      <w:bookmarkEnd w:id="24"/>
      <w:r/>
      <w:bookmarkEnd w:id="25"/>
      <w:r/>
      <w:bookmarkEnd w:id="26"/>
      <w:r/>
      <w:bookmarkEnd w:id="27"/>
      <w:r/>
      <w:r/>
    </w:p>
    <w:p>
      <w:pPr>
        <w:ind w:firstLine="480"/>
        <w:spacing w:line="360" w:lineRule="auto"/>
        <w:rPr>
          <w:rFonts w:ascii="宋体" w:hAnsi="宋体"/>
          <w:color w:val="auto"/>
          <w:sz w:val="24"/>
          <w:szCs w:val="24"/>
          <w:highlight w:val="none"/>
        </w:rPr>
      </w:pPr>
      <w:r/>
      <w:bookmarkStart w:id="28" w:name="_Toc35393792"/>
      <w:r/>
      <w:bookmarkStart w:id="29" w:name="_Toc35393623"/>
      <w:r/>
      <w:bookmarkStart w:id="30" w:name="_Toc38985265"/>
      <w:r/>
      <w:bookmarkStart w:id="31" w:name="_Toc28359081"/>
      <w:r/>
      <w:bookmarkStart w:id="32" w:name="_Toc28359004"/>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（4）具备履行合同所必需的设备和专业技术能力的书面声明及证明材料；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firstLine="482"/>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根据连财购〔2023〕4号、连财购</w:t>
      </w:r>
      <w:r>
        <w:rPr>
          <w:rFonts w:hint="eastAsia" w:ascii="宋体" w:hAnsi="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b/>
          <w:bCs/>
          <w:color w:val="auto"/>
          <w:sz w:val="24"/>
          <w:szCs w:val="24"/>
          <w:highlight w:val="none"/>
          <w:lang w:eastAsia="zh-CN"/>
        </w:rPr>
      </w:pPr>
      <w:r>
        <w:rPr>
          <w:rFonts w:hint="eastAsia" w:ascii="宋体" w:hAnsi="宋体"/>
          <w:color w:val="auto"/>
          <w:sz w:val="24"/>
          <w:szCs w:val="24"/>
          <w:highlight w:val="none"/>
        </w:rPr>
        <w:t xml:space="preserve">3.落实政府采购政策需满足的资格要求：</w:t>
      </w:r>
      <w:r>
        <w:rPr>
          <w:rFonts w:hint="eastAsia" w:ascii="宋体" w:hAnsi="宋体"/>
          <w:b/>
          <w:bCs/>
          <w:color w:val="auto"/>
          <w:sz w:val="24"/>
          <w:szCs w:val="24"/>
          <w:highlight w:val="none"/>
          <w:lang w:eastAsia="zh-CN"/>
        </w:rPr>
        <w:t xml:space="preserve">执行财政部、工业和信息化部关于印发《政府采购促进中小企业发展管理办法》的通知（财库〔2020〕46号）等相关文件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olor w:val="auto"/>
          <w:sz w:val="24"/>
          <w:highlight w:val="none"/>
        </w:rPr>
      </w:pPr>
      <w:r>
        <w:rPr>
          <w:rFonts w:hint="eastAsia" w:ascii="宋体" w:hAnsi="宋体"/>
          <w:color w:val="auto"/>
          <w:sz w:val="24"/>
          <w:szCs w:val="24"/>
          <w:highlight w:val="none"/>
        </w:rPr>
        <w:t xml:space="preserve">（二）本项目的特定资格要求：</w:t>
      </w:r>
      <w:r>
        <w:rPr>
          <w:rFonts w:hint="eastAsia" w:ascii="宋体" w:hAnsi="宋体"/>
          <w:b/>
          <w:bCs/>
          <w:color w:val="auto"/>
          <w:sz w:val="24"/>
          <w:highlight w:val="none"/>
        </w:rPr>
        <w:t xml:space="preserve">投标人具有国家公安机关部门颁发的《保安服务许可证》。</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投标文件中提供证书</w:t>
      </w:r>
      <w:r>
        <w:rPr>
          <w:rFonts w:hint="eastAsia" w:ascii="宋体" w:hAnsi="宋体"/>
          <w:b/>
          <w:bCs/>
          <w:color w:val="auto"/>
          <w:sz w:val="24"/>
          <w:highlight w:val="none"/>
          <w:lang w:eastAsia="zh-CN"/>
        </w:rPr>
        <w:t xml:space="preserve">原件</w:t>
      </w:r>
      <w:r>
        <w:rPr>
          <w:rFonts w:hint="eastAsia" w:ascii="宋体" w:hAnsi="宋体"/>
          <w:b/>
          <w:bCs/>
          <w:color w:val="auto"/>
          <w:sz w:val="24"/>
          <w:highlight w:val="none"/>
        </w:rPr>
        <w:t xml:space="preserve">扫描件并加盖公章，否则投标无效）</w:t>
      </w:r>
      <w:r>
        <w:rPr>
          <w:rFonts w:hint="eastAsia" w:ascii="宋体" w:hAnsi="宋体"/>
          <w:color w:val="auto"/>
          <w:sz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（三）本项目的其他资格要求：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1.单</w:t>
      </w:r>
      <w:r>
        <w:rPr>
          <w:rFonts w:hint="eastAsia" w:ascii="宋体" w:hAnsi="宋体"/>
          <w:color w:val="auto"/>
          <w:spacing w:val="-6"/>
          <w:sz w:val="24"/>
          <w:szCs w:val="24"/>
          <w:highlight w:val="none"/>
        </w:rPr>
        <w:t xml:space="preserve">位负责人为同一人或者存在直接控股、管理关系的不同供应商，不得参加同一合同项下的政府采购活动。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2.本项目中标后不允许转包。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3.法律、法规规定的其他条件。</w:t>
      </w:r>
      <w:r/>
    </w:p>
    <w:p>
      <w:pPr>
        <w:pStyle w:val="987"/>
        <w:ind w:firstLine="498"/>
        <w:spacing w:before="0" w:after="0" w:line="360" w:lineRule="auto"/>
        <w:rPr>
          <w:color w:val="auto"/>
          <w:highlight w:val="none"/>
        </w:rPr>
      </w:pPr>
      <w:r/>
      <w:bookmarkStart w:id="33" w:name="_Toc11308"/>
      <w:r/>
      <w:bookmarkStart w:id="34" w:name="_Toc22630"/>
      <w:r/>
      <w:bookmarkStart w:id="35" w:name="_Toc21470"/>
      <w:r>
        <w:rPr>
          <w:rFonts w:hint="eastAsia"/>
          <w:color w:val="auto"/>
          <w:highlight w:val="none"/>
        </w:rPr>
        <w:t xml:space="preserve">三、获取招标文件</w:t>
      </w:r>
      <w:bookmarkEnd w:id="28"/>
      <w:r/>
      <w:bookmarkEnd w:id="29"/>
      <w:r/>
      <w:bookmarkEnd w:id="30"/>
      <w:r/>
      <w:bookmarkEnd w:id="31"/>
      <w:r/>
      <w:bookmarkEnd w:id="32"/>
      <w:r/>
      <w:bookmarkEnd w:id="33"/>
      <w:r/>
      <w:bookmarkEnd w:id="34"/>
      <w:r/>
      <w:bookmarkEnd w:id="35"/>
      <w:r/>
      <w:r/>
    </w:p>
    <w:p>
      <w:pPr>
        <w:ind w:firstLine="540"/>
        <w:spacing w:line="360" w:lineRule="auto"/>
        <w:rPr>
          <w:rFonts w:ascii="宋体" w:hAnsi="宋体" w:cs="宋体"/>
          <w:color w:val="auto"/>
          <w:sz w:val="24"/>
          <w:szCs w:val="24"/>
          <w:highlight w:val="none"/>
        </w:rPr>
      </w:pPr>
      <w:r/>
      <w:bookmarkStart w:id="36" w:name="_Toc28359005"/>
      <w:r/>
      <w:bookmarkStart w:id="37" w:name="_Toc28359082"/>
      <w:r/>
      <w:bookmarkStart w:id="38" w:name="_Toc38985266"/>
      <w:r/>
      <w:bookmarkStart w:id="39" w:name="_Toc35393793"/>
      <w:r/>
      <w:bookmarkStart w:id="40" w:name="_Toc35393624"/>
      <w:r>
        <w:rPr>
          <w:rFonts w:hint="eastAsia" w:ascii="宋体" w:hAnsi="宋体" w:cs="宋体"/>
          <w:color w:val="auto"/>
          <w:sz w:val="24"/>
          <w:szCs w:val="24"/>
          <w:highlight w:val="none"/>
        </w:rPr>
        <w:t xml:space="preserve">1.时间：</w:t>
      </w:r>
      <w:r>
        <w:rPr>
          <w:rFonts w:hint="eastAsia" w:ascii="宋体" w:hAnsi="宋体" w:eastAsia="宋体" w:cs="宋体"/>
          <w:color w:val="auto"/>
          <w:sz w:val="24"/>
          <w:szCs w:val="24"/>
          <w:highlight w:val="none"/>
        </w:rPr>
        <w:t xml:space="preserve">自招标文件公告发布之日起5个工作日</w:t>
      </w:r>
      <w:r>
        <w:rPr>
          <w:rFonts w:hint="eastAsia" w:ascii="宋体" w:hAnsi="宋体" w:cs="宋体"/>
          <w:color w:val="auto"/>
          <w:sz w:val="24"/>
          <w:szCs w:val="24"/>
          <w:highlight w:val="none"/>
        </w:rPr>
        <w:t xml:space="preserve">。</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2.地点：江苏政府采购网</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3.方式：登录</w:t>
      </w:r>
      <w:r>
        <w:rPr>
          <w:rFonts w:hint="eastAsia" w:ascii="宋体" w:hAnsi="宋体" w:cs="宋体"/>
          <w:color w:val="auto"/>
          <w:sz w:val="24"/>
          <w:szCs w:val="24"/>
          <w:highlight w:val="none"/>
          <w:lang w:eastAsia="zh-CN"/>
        </w:rPr>
        <w:t xml:space="preserve">https://jszfcg.jsczt.cn/jszc/login</w:t>
      </w:r>
      <w:r>
        <w:rPr>
          <w:rFonts w:hint="eastAsia" w:ascii="宋体" w:hAnsi="宋体" w:cs="宋体"/>
          <w:color w:val="auto"/>
          <w:sz w:val="24"/>
          <w:szCs w:val="24"/>
          <w:highlight w:val="none"/>
        </w:rPr>
        <w:t xml:space="preserve">或进入江苏政府采购网，点击“苏采云”进入系统，自行免费下载招标文件。</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pStyle w:val="987"/>
        <w:ind w:firstLine="498"/>
        <w:spacing w:before="0" w:after="0" w:line="360" w:lineRule="auto"/>
        <w:rPr>
          <w:color w:val="auto"/>
          <w:highlight w:val="none"/>
        </w:rPr>
      </w:pPr>
      <w:r/>
      <w:bookmarkStart w:id="41" w:name="_Toc20677"/>
      <w:r/>
      <w:bookmarkStart w:id="42" w:name="_Toc14926"/>
      <w:r/>
      <w:bookmarkStart w:id="43" w:name="_Toc19306"/>
      <w:r>
        <w:rPr>
          <w:rFonts w:hint="eastAsia"/>
          <w:color w:val="auto"/>
          <w:highlight w:val="none"/>
        </w:rPr>
        <w:t xml:space="preserve">四、提交投标文件</w:t>
      </w:r>
      <w:bookmarkEnd w:id="36"/>
      <w:r/>
      <w:bookmarkEnd w:id="37"/>
      <w:r>
        <w:rPr>
          <w:rFonts w:hint="eastAsia"/>
          <w:color w:val="auto"/>
          <w:highlight w:val="none"/>
        </w:rPr>
        <w:t xml:space="preserve">截止时间、开启时间和地点</w:t>
      </w:r>
      <w:bookmarkEnd w:id="38"/>
      <w:r/>
      <w:bookmarkEnd w:id="39"/>
      <w:r/>
      <w:bookmarkEnd w:id="40"/>
      <w:r/>
      <w:bookmarkEnd w:id="41"/>
      <w:r/>
      <w:bookmarkEnd w:id="42"/>
      <w:r/>
      <w:bookmarkEnd w:id="43"/>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1.提交投标文件截止时间：202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日9:00:00</w:t>
      </w:r>
      <w:r>
        <w:rPr>
          <w:rFonts w:hint="eastAsia" w:ascii="宋体" w:hAnsi="宋体"/>
          <w:bCs/>
          <w:color w:val="auto"/>
          <w:sz w:val="24"/>
          <w:szCs w:val="24"/>
          <w:highlight w:val="none"/>
        </w:rPr>
        <w:t xml:space="preserve">（北京时间）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2.开启时间：同提交投标文件截止时间</w:t>
      </w:r>
      <w:r/>
    </w:p>
    <w:p>
      <w:pPr>
        <w:ind w:firstLine="480"/>
        <w:spacing w:line="360"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3.地点：“苏采云”政府采购交易系统网上开标大厅。</w:t>
      </w:r>
      <w:r/>
    </w:p>
    <w:p>
      <w:pPr>
        <w:pStyle w:val="987"/>
        <w:ind w:firstLine="498"/>
        <w:spacing w:before="0" w:after="0" w:line="360" w:lineRule="auto"/>
        <w:rPr>
          <w:color w:val="auto"/>
          <w:highlight w:val="none"/>
        </w:rPr>
      </w:pPr>
      <w:r/>
      <w:bookmarkStart w:id="44" w:name="_Toc35393625"/>
      <w:r/>
      <w:bookmarkStart w:id="45" w:name="_Toc28359007"/>
      <w:r/>
      <w:bookmarkStart w:id="46" w:name="_Toc16196"/>
      <w:r/>
      <w:bookmarkStart w:id="47" w:name="_Toc38985267"/>
      <w:r/>
      <w:bookmarkStart w:id="48" w:name="_Toc5821"/>
      <w:r/>
      <w:bookmarkStart w:id="49" w:name="_Toc35393794"/>
      <w:r/>
      <w:bookmarkStart w:id="50" w:name="_Toc14305"/>
      <w:r/>
      <w:bookmarkStart w:id="51" w:name="_Toc28359084"/>
      <w:r>
        <w:rPr>
          <w:rFonts w:hint="eastAsia"/>
          <w:color w:val="auto"/>
          <w:highlight w:val="none"/>
        </w:rPr>
        <w:t xml:space="preserve">五、公告期限</w:t>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auto"/>
          <w:sz w:val="24"/>
          <w:szCs w:val="24"/>
          <w:highlight w:val="none"/>
        </w:rPr>
      </w:pPr>
      <w:r/>
      <w:bookmarkStart w:id="52" w:name="_Toc35393626"/>
      <w:r/>
      <w:bookmarkStart w:id="53" w:name="_Toc35393795"/>
      <w:r/>
      <w:bookmarkStart w:id="54" w:name="_Toc38985268"/>
      <w:r>
        <w:rPr>
          <w:rFonts w:hint="eastAsia" w:ascii="宋体" w:hAnsi="宋体" w:cs="宋体"/>
          <w:color w:val="auto"/>
          <w:sz w:val="24"/>
          <w:szCs w:val="24"/>
          <w:highlight w:val="none"/>
        </w:rPr>
        <w:t xml:space="preserve">自本公告发布之日起5个工作日。</w:t>
      </w:r>
      <w:r/>
    </w:p>
    <w:p>
      <w:pPr>
        <w:pStyle w:val="987"/>
        <w:ind w:firstLine="498"/>
        <w:spacing w:before="0" w:after="0" w:line="360" w:lineRule="auto"/>
        <w:rPr>
          <w:color w:val="auto"/>
          <w:highlight w:val="none"/>
        </w:rPr>
      </w:pPr>
      <w:r/>
      <w:bookmarkStart w:id="55" w:name="_Toc19730"/>
      <w:r/>
      <w:bookmarkStart w:id="56" w:name="_Toc24066"/>
      <w:r/>
      <w:bookmarkStart w:id="57" w:name="_Toc22483"/>
      <w:r>
        <w:rPr>
          <w:rFonts w:hint="eastAsia"/>
          <w:color w:val="auto"/>
          <w:highlight w:val="none"/>
        </w:rPr>
        <w:t xml:space="preserve">六、其他补充事宜</w:t>
      </w:r>
      <w:bookmarkEnd w:id="52"/>
      <w:r/>
      <w:bookmarkEnd w:id="53"/>
      <w:r/>
      <w:bookmarkEnd w:id="54"/>
      <w:r/>
      <w:bookmarkEnd w:id="55"/>
      <w:r/>
      <w:bookmarkEnd w:id="56"/>
      <w:r/>
      <w:bookmarkEnd w:id="57"/>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pStyle w:val="987"/>
        <w:ind w:firstLine="498"/>
        <w:spacing w:before="0" w:after="0" w:line="360" w:lineRule="auto"/>
        <w:rPr>
          <w:color w:val="auto"/>
          <w:highlight w:val="none"/>
        </w:rPr>
      </w:pPr>
      <w:r/>
      <w:bookmarkStart w:id="58" w:name="_Toc5783"/>
      <w:r/>
      <w:bookmarkStart w:id="59" w:name="_Toc28359085"/>
      <w:r/>
      <w:bookmarkStart w:id="60" w:name="_Toc26205"/>
      <w:r/>
      <w:bookmarkStart w:id="61" w:name="_Toc1500"/>
      <w:r/>
      <w:bookmarkStart w:id="62" w:name="_Toc35393796"/>
      <w:r/>
      <w:bookmarkStart w:id="63" w:name="_Toc38985269"/>
      <w:r/>
      <w:bookmarkStart w:id="64" w:name="_Toc35393627"/>
      <w:r/>
      <w:bookmarkStart w:id="65" w:name="_Toc28359008"/>
      <w:r>
        <w:rPr>
          <w:rFonts w:hint="eastAsia"/>
          <w:color w:val="auto"/>
          <w:highlight w:val="none"/>
        </w:rPr>
        <w:t xml:space="preserve">七、本次招标联系方式</w:t>
      </w:r>
      <w:bookmarkEnd w:id="58"/>
      <w:r/>
      <w:bookmarkEnd w:id="59"/>
      <w:r/>
      <w:bookmarkEnd w:id="60"/>
      <w:r/>
      <w:bookmarkEnd w:id="61"/>
      <w:r/>
      <w:bookmarkEnd w:id="62"/>
      <w:r/>
      <w:bookmarkEnd w:id="63"/>
      <w:r/>
      <w:bookmarkEnd w:id="64"/>
      <w:r/>
      <w:bookmarkEnd w:id="65"/>
      <w:r/>
      <w:r/>
    </w:p>
    <w:p>
      <w:pPr>
        <w:ind w:firstLine="72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名称：连云港市第一人民医院</w:t>
      </w:r>
      <w:r/>
    </w:p>
    <w:p>
      <w:pPr>
        <w:ind w:firstLine="72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地址：连云港市海州区振华东路6号</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苗</w:t>
      </w:r>
      <w:r>
        <w:rPr>
          <w:rFonts w:hint="eastAsia" w:ascii="宋体" w:hAnsi="宋体"/>
          <w:color w:val="auto"/>
          <w:sz w:val="24"/>
          <w:szCs w:val="24"/>
          <w:highlight w:val="none"/>
        </w:rPr>
        <w:t xml:space="preserve">老师</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66" w:name="_Toc28359009"/>
      <w:r/>
      <w:bookmarkStart w:id="67" w:name="_Toc28359086"/>
      <w:r>
        <w:rPr>
          <w:rFonts w:hint="eastAsia" w:ascii="宋体" w:hAnsi="宋体"/>
          <w:color w:val="auto"/>
          <w:sz w:val="24"/>
          <w:szCs w:val="24"/>
          <w:highlight w:val="none"/>
        </w:rPr>
        <w:t xml:space="preserve">18961325281</w:t>
      </w:r>
      <w:r/>
    </w:p>
    <w:p>
      <w:pPr>
        <w:ind w:firstLine="7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66"/>
      <w:r/>
      <w:bookmarkEnd w:id="67"/>
      <w:r>
        <w:rPr>
          <w:rFonts w:hint="eastAsia" w:ascii="宋体" w:hAnsi="宋体" w:cs="宋体"/>
          <w:color w:val="auto"/>
          <w:sz w:val="24"/>
          <w:szCs w:val="24"/>
          <w:highlight w:val="none"/>
        </w:rPr>
        <w:t xml:space="preserve">采购代理机构信息</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江苏中诚工程管理有限公司</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连云港市海州区通灌南路102号建院观筑大厦B座</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孙工</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bookmarkStart w:id="68" w:name="_Toc28359010"/>
      <w:r/>
      <w:bookmarkStart w:id="69" w:name="_Toc28359087"/>
      <w:r>
        <w:rPr>
          <w:rFonts w:hint="eastAsia" w:ascii="宋体" w:hAnsi="宋体"/>
          <w:color w:val="auto"/>
          <w:sz w:val="24"/>
          <w:szCs w:val="24"/>
          <w:highlight w:val="none"/>
          <w:lang w:eastAsia="zh-CN"/>
        </w:rPr>
        <w:t xml:space="preserve">0518-81887004</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pStyle w:val="810"/>
        <w:ind w:firstLine="24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eastAsia="zh-CN"/>
        </w:rPr>
        <w:t xml:space="preserve">黄老师</w:t>
      </w:r>
      <w:r/>
    </w:p>
    <w:p>
      <w:pPr>
        <w:pStyle w:val="810"/>
        <w:ind w:firstLine="240"/>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电      话：</w:t>
      </w:r>
      <w:r>
        <w:rPr>
          <w:rFonts w:hint="eastAsia" w:ascii="宋体" w:hAnsi="宋体"/>
          <w:color w:val="auto"/>
          <w:sz w:val="24"/>
          <w:szCs w:val="24"/>
          <w:highlight w:val="none"/>
          <w:lang w:eastAsia="zh-CN"/>
        </w:rPr>
        <w:t xml:space="preserve">18961320565</w:t>
      </w:r>
      <w:r/>
    </w:p>
    <w:p>
      <w:pPr>
        <w:ind w:firstLine="498"/>
        <w:keepLines/>
        <w:keepNext/>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cs="宋体"/>
          <w:bCs/>
          <w:color w:val="auto"/>
          <w:sz w:val="24"/>
          <w:szCs w:val="24"/>
          <w:highlight w:val="none"/>
          <w:lang w:eastAsia="zh-CN"/>
        </w:rPr>
        <w:t xml:space="preserve">江苏中诚工程管理有限公司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pStyle w:val="811"/>
        <w:rPr>
          <w:rFonts w:hint="eastAsia"/>
          <w:color w:val="auto"/>
          <w:highlight w:val="none"/>
          <w:lang w:eastAsia="zh-CN"/>
        </w:rPr>
      </w:pPr>
      <w:r>
        <w:rPr>
          <w:rFonts w:hint="eastAsia"/>
          <w:color w:val="auto"/>
          <w:highlight w:val="none"/>
          <w:lang w:eastAsia="zh-CN"/>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89"/>
        <w:ind w:firstLine="480"/>
        <w:rPr>
          <w:rFonts w:ascii="宋体" w:hAnsi="宋体"/>
          <w:color w:val="auto"/>
          <w:sz w:val="24"/>
          <w:szCs w:val="24"/>
          <w:highlight w:val="none"/>
        </w:rPr>
      </w:pPr>
      <w:r>
        <w:rPr>
          <w:rFonts w:ascii="宋体" w:hAnsi="宋体"/>
          <w:color w:val="auto"/>
          <w:sz w:val="24"/>
          <w:szCs w:val="24"/>
          <w:highlight w:val="none"/>
        </w:rPr>
      </w:r>
      <w:r/>
    </w:p>
    <w:p>
      <w:pPr>
        <w:pStyle w:val="789"/>
        <w:ind w:firstLine="480"/>
        <w:rPr>
          <w:rFonts w:ascii="宋体" w:hAnsi="宋体"/>
          <w:color w:val="auto"/>
          <w:sz w:val="24"/>
          <w:szCs w:val="24"/>
          <w:highlight w:val="none"/>
        </w:rPr>
      </w:pPr>
      <w:r>
        <w:rPr>
          <w:rFonts w:ascii="宋体" w:hAnsi="宋体"/>
          <w:color w:val="auto"/>
          <w:sz w:val="24"/>
          <w:szCs w:val="24"/>
          <w:highlight w:val="none"/>
        </w:rPr>
      </w:r>
      <w:r/>
    </w:p>
    <w:p>
      <w:pPr>
        <w:pStyle w:val="789"/>
        <w:ind w:firstLine="48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0"/>
        <w:ind w:firstLine="240"/>
        <w:rPr>
          <w:rFonts w:hint="default" w:ascii="宋体" w:hAnsi="宋体"/>
          <w:color w:val="auto"/>
          <w:sz w:val="24"/>
          <w:highlight w:val="none"/>
          <w:lang w:val="en-US"/>
        </w:rPr>
      </w:pPr>
      <w:r>
        <w:rPr>
          <w:rFonts w:hint="default" w:ascii="宋体" w:hAnsi="宋体"/>
          <w:color w:val="auto"/>
          <w:sz w:val="24"/>
          <w:highlight w:val="none"/>
          <w:lang w:val="en-US"/>
        </w:rPr>
      </w:r>
      <w:r/>
    </w:p>
    <w:p>
      <w:pPr>
        <w:pStyle w:val="811"/>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bookmarkEnd w:id="68"/>
      <w:r/>
      <w:bookmarkEnd w:id="69"/>
      <w:r/>
      <w:r/>
    </w:p>
    <w:p>
      <w:pPr>
        <w:pStyle w:val="986"/>
        <w:spacing w:before="0" w:after="0" w:line="360" w:lineRule="auto"/>
        <w:rPr>
          <w:rFonts w:ascii="黑体" w:eastAsia="黑体"/>
          <w:b w:val="0"/>
          <w:bCs w:val="0"/>
          <w:color w:val="auto"/>
          <w:highlight w:val="none"/>
        </w:rPr>
      </w:pPr>
      <w:r/>
      <w:bookmarkStart w:id="70" w:name="_Toc120614211"/>
      <w:r/>
      <w:bookmarkStart w:id="71" w:name="_Toc18854"/>
      <w:r/>
      <w:bookmarkStart w:id="72" w:name="_Toc6975"/>
      <w:r>
        <w:rPr>
          <w:rFonts w:hint="eastAsia" w:ascii="黑体" w:hAnsi="Times New Roman" w:eastAsia="黑体" w:cs="Times New Roman"/>
          <w:b w:val="0"/>
          <w:bCs w:val="0"/>
          <w:color w:val="auto"/>
          <w:highlight w:val="none"/>
        </w:rPr>
        <w:t xml:space="preserve">第二章  </w:t>
      </w:r>
      <w:bookmarkEnd w:id="1"/>
      <w:r/>
      <w:bookmarkEnd w:id="2"/>
      <w:r/>
      <w:bookmarkEnd w:id="3"/>
      <w:r/>
      <w:bookmarkEnd w:id="4"/>
      <w:r/>
      <w:bookmarkEnd w:id="5"/>
      <w:r/>
      <w:bookmarkEnd w:id="70"/>
      <w:r/>
      <w:bookmarkStart w:id="73" w:name="_Toc16938518"/>
      <w:r/>
      <w:bookmarkStart w:id="74" w:name="_Toc120614213"/>
      <w:r/>
      <w:bookmarkStart w:id="75" w:name="_Toc20823274"/>
      <w:r/>
      <w:bookmarkStart w:id="76" w:name="_Toc513029202"/>
      <w:r>
        <w:rPr>
          <w:rFonts w:hint="eastAsia" w:ascii="黑体" w:hAnsi="Times New Roman" w:eastAsia="黑体" w:cs="Times New Roman"/>
          <w:b w:val="0"/>
          <w:bCs w:val="0"/>
          <w:color w:val="auto"/>
          <w:highlight w:val="none"/>
        </w:rPr>
        <w:t xml:space="preserve">投标人须知</w:t>
      </w:r>
      <w:bookmarkEnd w:id="71"/>
      <w:r/>
      <w:bookmarkEnd w:id="72"/>
      <w:r/>
      <w:bookmarkEnd w:id="73"/>
      <w:r/>
      <w:bookmarkEnd w:id="74"/>
      <w:r/>
      <w:bookmarkEnd w:id="75"/>
      <w:r/>
      <w:bookmarkEnd w:id="76"/>
      <w:r/>
      <w:r/>
    </w:p>
    <w:p>
      <w:pPr>
        <w:pStyle w:val="987"/>
        <w:ind w:firstLine="498"/>
        <w:spacing w:before="0" w:after="0" w:line="360" w:lineRule="auto"/>
        <w:rPr>
          <w:color w:val="auto"/>
          <w:highlight w:val="none"/>
        </w:rPr>
      </w:pPr>
      <w:r/>
      <w:bookmarkStart w:id="77" w:name="_Toc513029203"/>
      <w:r/>
      <w:bookmarkStart w:id="78" w:name="_Toc6848"/>
      <w:r/>
      <w:bookmarkStart w:id="79" w:name="_Toc20823275"/>
      <w:r/>
      <w:bookmarkStart w:id="80" w:name="_Toc10415"/>
      <w:r/>
      <w:bookmarkStart w:id="81" w:name="_Toc1598"/>
      <w:r/>
      <w:bookmarkStart w:id="82" w:name="_Toc16938519"/>
      <w:r/>
      <w:bookmarkStart w:id="83" w:name="_Toc120614214"/>
      <w:r>
        <w:rPr>
          <w:rFonts w:hint="eastAsia"/>
          <w:color w:val="auto"/>
          <w:highlight w:val="none"/>
        </w:rPr>
        <w:t xml:space="preserve">一、总则</w:t>
      </w:r>
      <w:bookmarkEnd w:id="77"/>
      <w:r/>
      <w:bookmarkEnd w:id="78"/>
      <w:r/>
      <w:bookmarkEnd w:id="79"/>
      <w:r/>
      <w:bookmarkEnd w:id="80"/>
      <w:r/>
      <w:bookmarkEnd w:id="81"/>
      <w:r/>
      <w:bookmarkEnd w:id="82"/>
      <w:r/>
      <w:bookmarkEnd w:id="83"/>
      <w:r/>
      <w:r/>
    </w:p>
    <w:p>
      <w:pPr>
        <w:pStyle w:val="989"/>
        <w:ind w:firstLine="420"/>
        <w:spacing w:before="0" w:after="0" w:line="360" w:lineRule="auto"/>
        <w:rPr>
          <w:b w:val="0"/>
          <w:bCs w:val="0"/>
          <w:color w:val="auto"/>
          <w:highlight w:val="none"/>
        </w:rPr>
      </w:pPr>
      <w:r/>
      <w:bookmarkStart w:id="84" w:name="_Hlt16619475"/>
      <w:r/>
      <w:bookmarkEnd w:id="84"/>
      <w:r/>
      <w:bookmarkStart w:id="85" w:name="_Toc458694821"/>
      <w:r/>
      <w:bookmarkStart w:id="86" w:name="_Toc513029204"/>
      <w:r/>
      <w:bookmarkStart w:id="87" w:name="_Toc16938520"/>
      <w:r/>
      <w:bookmarkStart w:id="88" w:name="_Toc20823276"/>
      <w:r>
        <w:rPr>
          <w:rFonts w:hint="eastAsia"/>
          <w:b w:val="0"/>
          <w:bCs w:val="0"/>
          <w:color w:val="auto"/>
          <w:highlight w:val="none"/>
        </w:rPr>
        <w:t xml:space="preserve">1</w:t>
      </w:r>
      <w:bookmarkEnd w:id="85"/>
      <w:r>
        <w:rPr>
          <w:rFonts w:hint="eastAsia"/>
          <w:b w:val="0"/>
          <w:bCs w:val="0"/>
          <w:color w:val="auto"/>
          <w:highlight w:val="none"/>
        </w:rPr>
        <w:t xml:space="preserve">、招标方式</w:t>
      </w:r>
      <w:bookmarkEnd w:id="86"/>
      <w:r/>
      <w:bookmarkEnd w:id="87"/>
      <w:r/>
      <w:bookmarkEnd w:id="8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89"/>
        <w:ind w:firstLine="420"/>
        <w:spacing w:before="0" w:after="0" w:line="360" w:lineRule="auto"/>
        <w:rPr>
          <w:b w:val="0"/>
          <w:bCs w:val="0"/>
          <w:color w:val="auto"/>
          <w:highlight w:val="none"/>
        </w:rPr>
      </w:pPr>
      <w:r/>
      <w:bookmarkStart w:id="89" w:name="_Toc20823277"/>
      <w:r/>
      <w:bookmarkStart w:id="90" w:name="_Toc513029205"/>
      <w:r/>
      <w:bookmarkStart w:id="91" w:name="_Toc16938521"/>
      <w:r>
        <w:rPr>
          <w:rFonts w:hint="eastAsia"/>
          <w:b w:val="0"/>
          <w:bCs w:val="0"/>
          <w:color w:val="auto"/>
          <w:highlight w:val="none"/>
        </w:rPr>
        <w:t xml:space="preserve">2、合格的投标人</w:t>
      </w:r>
      <w:bookmarkEnd w:id="89"/>
      <w:r/>
      <w:bookmarkEnd w:id="90"/>
      <w:r/>
      <w:bookmarkEnd w:id="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pStyle w:val="989"/>
        <w:ind w:firstLine="420"/>
        <w:spacing w:before="0" w:after="0" w:line="360" w:lineRule="auto"/>
        <w:rPr>
          <w:b w:val="0"/>
          <w:bCs w:val="0"/>
          <w:color w:val="auto"/>
          <w:highlight w:val="none"/>
        </w:rPr>
      </w:pPr>
      <w:r/>
      <w:bookmarkStart w:id="92" w:name="_Toc16938522"/>
      <w:r/>
      <w:bookmarkStart w:id="93" w:name="_Toc513029206"/>
      <w:r/>
      <w:bookmarkStart w:id="94" w:name="_Toc20823278"/>
      <w:r>
        <w:rPr>
          <w:rFonts w:hint="eastAsia"/>
          <w:b w:val="0"/>
          <w:bCs w:val="0"/>
          <w:color w:val="auto"/>
          <w:highlight w:val="none"/>
        </w:rPr>
        <w:t xml:space="preserve">3、适用法律</w:t>
      </w:r>
      <w:bookmarkEnd w:id="92"/>
      <w:r/>
      <w:bookmarkEnd w:id="93"/>
      <w:r/>
      <w:bookmarkEnd w:id="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89"/>
        <w:ind w:firstLine="420"/>
        <w:spacing w:before="0" w:after="0" w:line="360" w:lineRule="auto"/>
        <w:rPr>
          <w:b w:val="0"/>
          <w:bCs w:val="0"/>
          <w:color w:val="auto"/>
          <w:highlight w:val="none"/>
        </w:rPr>
      </w:pPr>
      <w:r/>
      <w:bookmarkStart w:id="95" w:name="_Toc513029207"/>
      <w:r/>
      <w:bookmarkStart w:id="96" w:name="_Toc16938523"/>
      <w:r/>
      <w:bookmarkStart w:id="97" w:name="_Toc462564067"/>
      <w:r/>
      <w:bookmarkStart w:id="98" w:name="_Toc20823279"/>
      <w:r>
        <w:rPr>
          <w:rFonts w:hint="eastAsia"/>
          <w:b w:val="0"/>
          <w:bCs w:val="0"/>
          <w:color w:val="auto"/>
          <w:highlight w:val="none"/>
        </w:rPr>
        <w:t xml:space="preserve">4、投标费用</w:t>
      </w:r>
      <w:bookmarkEnd w:id="95"/>
      <w:r/>
      <w:bookmarkEnd w:id="96"/>
      <w:r/>
      <w:bookmarkEnd w:id="97"/>
      <w:r/>
      <w:bookmarkEnd w:id="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w:t>
      </w:r>
      <w:r>
        <w:rPr>
          <w:rFonts w:hint="eastAsia" w:ascii="宋体" w:hAnsi="宋体"/>
          <w:color w:val="auto"/>
          <w:sz w:val="24"/>
          <w:highlight w:val="none"/>
          <w:lang w:eastAsia="zh-CN"/>
        </w:rPr>
        <w:t xml:space="preserve">江苏中诚工程管理有限公司</w:t>
      </w:r>
      <w:r>
        <w:rPr>
          <w:rFonts w:hint="eastAsia" w:ascii="宋体" w:hAnsi="宋体"/>
          <w:color w:val="auto"/>
          <w:sz w:val="24"/>
          <w:highlight w:val="none"/>
        </w:rPr>
        <w:t xml:space="preserve">（以下简称采购代理机构）及连云港市第一人民医院（以下简称采购人）在任何情况下均无义务和责任承担这些费用。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4.2本次招标采购代理服务费：按照国家计委计价格</w:t>
      </w:r>
      <w:r>
        <w:rPr>
          <w:rFonts w:hint="eastAsia" w:ascii="宋体" w:hAnsi="宋体"/>
          <w:color w:val="auto"/>
          <w:sz w:val="24"/>
          <w:highlight w:val="none"/>
          <w:lang w:eastAsia="zh-CN"/>
        </w:rPr>
        <w:t xml:space="preserve">〔2002〕1980号</w:t>
      </w:r>
      <w:r>
        <w:rPr>
          <w:rFonts w:hint="eastAsia" w:ascii="宋体" w:hAnsi="宋体"/>
          <w:color w:val="auto"/>
          <w:sz w:val="24"/>
          <w:highlight w:val="none"/>
        </w:rPr>
        <w:t xml:space="preserve">文（服务）标准的</w:t>
      </w:r>
      <w:r>
        <w:rPr>
          <w:rFonts w:hint="eastAsia" w:ascii="宋体" w:hAnsi="宋体"/>
          <w:color w:val="auto"/>
          <w:sz w:val="24"/>
          <w:highlight w:val="none"/>
          <w:lang w:val="en-US" w:eastAsia="zh-CN"/>
        </w:rPr>
        <w:t xml:space="preserve">45</w:t>
      </w:r>
      <w:r>
        <w:rPr>
          <w:rFonts w:hint="eastAsia" w:ascii="宋体" w:hAnsi="宋体"/>
          <w:color w:val="auto"/>
          <w:sz w:val="24"/>
          <w:highlight w:val="none"/>
        </w:rPr>
        <w:t xml:space="preserve">%计取；以上费用最终由中标人在领取中标通知书时一次性支付，投标人须将此部分费用综合考虑在报价中，不得单列。</w:t>
      </w:r>
      <w:r/>
    </w:p>
    <w:p>
      <w:pPr>
        <w:pStyle w:val="989"/>
        <w:ind w:firstLine="602"/>
        <w:spacing w:before="0" w:after="0" w:line="360" w:lineRule="auto"/>
        <w:rPr>
          <w:rFonts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投标人一旦参加本项目采购活动，即被认为接受了本招标文件的规定和约束。</w:t>
      </w:r>
      <w:r/>
    </w:p>
    <w:p>
      <w:pPr>
        <w:pStyle w:val="987"/>
        <w:ind w:firstLine="321"/>
        <w:spacing w:before="0" w:after="0" w:line="360" w:lineRule="auto"/>
        <w:rPr>
          <w:color w:val="auto"/>
          <w:highlight w:val="none"/>
        </w:rPr>
      </w:pPr>
      <w:r/>
      <w:bookmarkStart w:id="99" w:name="_Toc13550"/>
      <w:r/>
      <w:bookmarkStart w:id="100" w:name="_Toc120614215"/>
      <w:r/>
      <w:bookmarkStart w:id="101" w:name="_Toc16938525"/>
      <w:r/>
      <w:bookmarkStart w:id="102" w:name="_Toc31300"/>
      <w:r/>
      <w:bookmarkStart w:id="103" w:name="_Toc2081"/>
      <w:r/>
      <w:bookmarkStart w:id="104" w:name="_Toc513029209"/>
      <w:r/>
      <w:bookmarkStart w:id="105" w:name="_Toc20823281"/>
      <w:r>
        <w:rPr>
          <w:rFonts w:hint="eastAsia"/>
          <w:color w:val="auto"/>
          <w:highlight w:val="none"/>
        </w:rPr>
        <w:t xml:space="preserve">二、招标文件</w:t>
      </w:r>
      <w:bookmarkEnd w:id="99"/>
      <w:r/>
      <w:bookmarkEnd w:id="100"/>
      <w:r/>
      <w:bookmarkEnd w:id="101"/>
      <w:r/>
      <w:bookmarkEnd w:id="102"/>
      <w:r/>
      <w:bookmarkEnd w:id="103"/>
      <w:r/>
      <w:bookmarkEnd w:id="104"/>
      <w:r/>
      <w:bookmarkEnd w:id="105"/>
      <w:r/>
      <w:r/>
    </w:p>
    <w:p>
      <w:pPr>
        <w:pStyle w:val="989"/>
        <w:ind w:firstLine="420"/>
        <w:spacing w:before="0" w:after="0" w:line="360" w:lineRule="auto"/>
        <w:rPr>
          <w:b w:val="0"/>
          <w:bCs w:val="0"/>
          <w:color w:val="auto"/>
          <w:highlight w:val="none"/>
        </w:rPr>
      </w:pPr>
      <w:r/>
      <w:bookmarkStart w:id="106" w:name="_Toc16938526"/>
      <w:r/>
      <w:bookmarkStart w:id="107" w:name="_Toc20823282"/>
      <w:r/>
      <w:bookmarkStart w:id="108" w:name="_Toc513029210"/>
      <w:r>
        <w:rPr>
          <w:rFonts w:hint="eastAsia"/>
          <w:b w:val="0"/>
          <w:bCs w:val="0"/>
          <w:color w:val="auto"/>
          <w:highlight w:val="none"/>
        </w:rPr>
        <w:t xml:space="preserve">6、招标文件构成</w:t>
      </w:r>
      <w:bookmarkEnd w:id="106"/>
      <w:r/>
      <w:bookmarkEnd w:id="107"/>
      <w:r/>
      <w:bookmarkEnd w:id="1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9"/>
        <w:ind w:firstLine="560"/>
        <w:spacing w:before="0" w:after="0" w:line="360" w:lineRule="auto"/>
        <w:rPr>
          <w:b w:val="0"/>
          <w:bCs w:val="0"/>
          <w:color w:val="auto"/>
          <w:highlight w:val="none"/>
        </w:rPr>
      </w:pPr>
      <w:r/>
      <w:bookmarkStart w:id="109" w:name="_Toc513029211"/>
      <w:r/>
      <w:bookmarkStart w:id="110" w:name="_Toc20823283"/>
      <w:r/>
      <w:bookmarkStart w:id="111" w:name="_Toc462564070"/>
      <w:r/>
      <w:bookmarkStart w:id="112" w:name="_Toc16938527"/>
      <w:r>
        <w:rPr>
          <w:rFonts w:hint="eastAsia"/>
          <w:b w:val="0"/>
          <w:bCs w:val="0"/>
          <w:color w:val="auto"/>
          <w:highlight w:val="none"/>
        </w:rPr>
        <w:t xml:space="preserve">7、招标文件的澄清</w:t>
      </w:r>
      <w:bookmarkEnd w:id="109"/>
      <w:r/>
      <w:bookmarkEnd w:id="110"/>
      <w:r/>
      <w:bookmarkEnd w:id="111"/>
      <w:r/>
      <w:bookmarkEnd w:id="112"/>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按招标公告中的通讯地址，以书面形式通知采购代理机构或采购人。</w:t>
      </w:r>
      <w:r/>
    </w:p>
    <w:p>
      <w:pPr>
        <w:pStyle w:val="989"/>
        <w:ind w:firstLine="560"/>
        <w:spacing w:before="0" w:after="0" w:line="360" w:lineRule="auto"/>
        <w:rPr>
          <w:b w:val="0"/>
          <w:bCs w:val="0"/>
          <w:color w:val="auto"/>
          <w:highlight w:val="none"/>
        </w:rPr>
      </w:pPr>
      <w:r/>
      <w:bookmarkStart w:id="113" w:name="_Toc462564071"/>
      <w:r/>
      <w:bookmarkStart w:id="114" w:name="_Toc20823284"/>
      <w:r/>
      <w:bookmarkStart w:id="115" w:name="_Toc16938528"/>
      <w:r/>
      <w:bookmarkStart w:id="116" w:name="_Toc513029212"/>
      <w:r>
        <w:rPr>
          <w:rFonts w:hint="eastAsia"/>
          <w:b w:val="0"/>
          <w:bCs w:val="0"/>
          <w:color w:val="auto"/>
          <w:highlight w:val="none"/>
        </w:rPr>
        <w:t xml:space="preserve">8、招标文件的修改</w:t>
      </w:r>
      <w:bookmarkEnd w:id="113"/>
      <w:r/>
      <w:bookmarkEnd w:id="114"/>
      <w:r/>
      <w:bookmarkEnd w:id="115"/>
      <w:r/>
      <w:bookmarkEnd w:id="11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在投标截止时间前，采购人可以对招标文件进行修改。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 采购人有权按照法定的要求推迟投标截止日期和开标日期。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8.3 招标文件的修改将在江苏政府采购网公布，补充文件将作为招标文件的组成部分，并对投标人具有约束力。</w:t>
      </w:r>
      <w:r/>
    </w:p>
    <w:p>
      <w:pPr>
        <w:pStyle w:val="987"/>
        <w:ind w:firstLine="482"/>
        <w:spacing w:before="0" w:after="0" w:line="360" w:lineRule="auto"/>
        <w:rPr>
          <w:color w:val="auto"/>
          <w:highlight w:val="none"/>
        </w:rPr>
      </w:pPr>
      <w:r/>
      <w:bookmarkStart w:id="117" w:name="_Toc16938529"/>
      <w:r/>
      <w:bookmarkStart w:id="118" w:name="_Toc20823285"/>
      <w:r/>
      <w:bookmarkStart w:id="119" w:name="_Toc120614216"/>
      <w:r/>
      <w:bookmarkStart w:id="120" w:name="_Toc18646"/>
      <w:r/>
      <w:bookmarkStart w:id="121" w:name="_Toc12231"/>
      <w:r/>
      <w:bookmarkStart w:id="122" w:name="_Toc513029213"/>
      <w:r/>
      <w:bookmarkStart w:id="123" w:name="_Toc18017"/>
      <w:r/>
      <w:bookmarkStart w:id="124" w:name="_Toc462564072"/>
      <w:r>
        <w:rPr>
          <w:rFonts w:hint="eastAsia"/>
          <w:color w:val="auto"/>
          <w:highlight w:val="none"/>
        </w:rPr>
        <w:t xml:space="preserve">三、投标文件的编制</w:t>
      </w:r>
      <w:bookmarkEnd w:id="117"/>
      <w:r/>
      <w:bookmarkEnd w:id="118"/>
      <w:r/>
      <w:bookmarkEnd w:id="119"/>
      <w:r/>
      <w:bookmarkEnd w:id="120"/>
      <w:r/>
      <w:bookmarkEnd w:id="121"/>
      <w:r/>
      <w:bookmarkEnd w:id="122"/>
      <w:r/>
      <w:bookmarkEnd w:id="123"/>
      <w:r/>
      <w:bookmarkEnd w:id="124"/>
      <w:r/>
      <w:r/>
    </w:p>
    <w:p>
      <w:pPr>
        <w:pStyle w:val="989"/>
        <w:ind w:firstLine="560"/>
        <w:spacing w:before="0" w:after="0" w:line="360" w:lineRule="auto"/>
        <w:rPr>
          <w:bCs w:val="0"/>
          <w:color w:val="auto"/>
          <w:highlight w:val="none"/>
        </w:rPr>
      </w:pPr>
      <w:r/>
      <w:bookmarkStart w:id="125" w:name="_Toc20823286"/>
      <w:r/>
      <w:bookmarkStart w:id="126" w:name="_Toc513029214"/>
      <w:r/>
      <w:bookmarkStart w:id="127" w:name="_Toc16938530"/>
      <w:r/>
      <w:bookmarkStart w:id="128" w:name="_Toc462564073"/>
      <w:r>
        <w:rPr>
          <w:rFonts w:hint="eastAsia"/>
          <w:b w:val="0"/>
          <w:bCs w:val="0"/>
          <w:color w:val="auto"/>
          <w:highlight w:val="none"/>
        </w:rPr>
        <w:t xml:space="preserve">9、投标文件的语言及度量衡单位</w:t>
      </w:r>
      <w:bookmarkEnd w:id="125"/>
      <w:r/>
      <w:bookmarkEnd w:id="126"/>
      <w:r/>
      <w:bookmarkEnd w:id="127"/>
      <w:r/>
      <w:bookmarkEnd w:id="128"/>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投标人提交的投标文件以及投标人与采购人、采购代理机构就有关投标的所有来往通知、函件和文件均应使用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989"/>
        <w:ind w:firstLine="420"/>
        <w:spacing w:before="0" w:after="0" w:line="360" w:lineRule="auto"/>
        <w:rPr>
          <w:b w:val="0"/>
          <w:bCs w:val="0"/>
          <w:color w:val="auto"/>
          <w:highlight w:val="none"/>
        </w:rPr>
      </w:pPr>
      <w:r/>
      <w:bookmarkStart w:id="129" w:name="_Toc513029215"/>
      <w:r/>
      <w:bookmarkStart w:id="130" w:name="_Toc16938531"/>
      <w:r/>
      <w:bookmarkStart w:id="131" w:name="_Toc462564074"/>
      <w:r/>
      <w:bookmarkStart w:id="132" w:name="_Toc20823287"/>
      <w:r>
        <w:rPr>
          <w:rFonts w:hint="eastAsia"/>
          <w:b w:val="0"/>
          <w:bCs w:val="0"/>
          <w:color w:val="auto"/>
          <w:highlight w:val="none"/>
        </w:rPr>
        <w:t xml:space="preserve">10、投标文件构成</w:t>
      </w:r>
      <w:bookmarkEnd w:id="129"/>
      <w:r/>
      <w:bookmarkEnd w:id="130"/>
      <w:r/>
      <w:bookmarkEnd w:id="131"/>
      <w:r/>
      <w:bookmarkEnd w:id="1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989"/>
        <w:ind w:firstLine="420"/>
        <w:spacing w:before="0" w:after="0" w:line="360" w:lineRule="auto"/>
        <w:rPr>
          <w:b w:val="0"/>
          <w:bCs w:val="0"/>
          <w:color w:val="auto"/>
          <w:highlight w:val="none"/>
        </w:rPr>
      </w:pPr>
      <w:r/>
      <w:bookmarkStart w:id="133" w:name="_Hlt26670360"/>
      <w:r/>
      <w:bookmarkEnd w:id="133"/>
      <w:r/>
      <w:bookmarkStart w:id="134" w:name="_Hlt26954838"/>
      <w:r/>
      <w:bookmarkEnd w:id="134"/>
      <w:r/>
      <w:bookmarkStart w:id="135" w:name="_Hlt26668975"/>
      <w:r/>
      <w:bookmarkEnd w:id="135"/>
      <w:r/>
      <w:bookmarkStart w:id="136" w:name="_Toc513029216"/>
      <w:r/>
      <w:bookmarkStart w:id="137" w:name="_Toc513029219"/>
      <w:r/>
      <w:bookmarkStart w:id="138" w:name="_Toc14577357"/>
      <w:r/>
      <w:bookmarkStart w:id="139" w:name="_Toc49090507"/>
      <w:r/>
      <w:bookmarkStart w:id="140" w:name="_Toc14577354"/>
      <w:r/>
      <w:bookmarkStart w:id="141" w:name="_Toc49090509"/>
      <w:r>
        <w:rPr>
          <w:rFonts w:hint="eastAsia"/>
          <w:b w:val="0"/>
          <w:bCs w:val="0"/>
          <w:color w:val="auto"/>
          <w:highlight w:val="none"/>
        </w:rPr>
        <w:t xml:space="preserve">11、证明投标人及投标标的符合招标文件规定的文件</w:t>
      </w:r>
      <w:bookmarkEnd w:id="136"/>
      <w:r/>
      <w:bookmarkEnd w:id="137"/>
      <w:r/>
      <w:bookmarkEnd w:id="138"/>
      <w:r/>
      <w:bookmarkEnd w:id="139"/>
      <w:r/>
      <w:bookmarkEnd w:id="140"/>
      <w:r/>
      <w:bookmarkEnd w:id="141"/>
      <w:r/>
      <w:r/>
    </w:p>
    <w:p>
      <w:pPr>
        <w:ind w:firstLine="480"/>
        <w:spacing w:line="360" w:lineRule="auto"/>
        <w:rPr>
          <w:rFonts w:ascii="宋体" w:hAnsi="宋体"/>
          <w:color w:val="auto"/>
          <w:sz w:val="24"/>
          <w:highlight w:val="none"/>
        </w:rPr>
      </w:pPr>
      <w:r/>
      <w:bookmarkStart w:id="142" w:name="_Toc14577355"/>
      <w:r/>
      <w:bookmarkStart w:id="143" w:name="_Toc49090508"/>
      <w:r>
        <w:rPr>
          <w:rFonts w:hint="eastAsia" w:ascii="宋体" w:hAnsi="宋体"/>
          <w:color w:val="auto"/>
          <w:sz w:val="24"/>
          <w:highlight w:val="none"/>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12、投标分项报价</w:t>
      </w:r>
      <w:bookmarkEnd w:id="142"/>
      <w:r/>
      <w:bookmarkStart w:id="144" w:name="_Hlt26670373"/>
      <w:r/>
      <w:bookmarkEnd w:id="144"/>
      <w:r>
        <w:rPr>
          <w:rFonts w:hint="eastAsia"/>
          <w:b w:val="0"/>
          <w:bCs w:val="0"/>
          <w:color w:val="auto"/>
          <w:highlight w:val="none"/>
        </w:rPr>
        <w:t xml:space="preserve">表</w:t>
      </w:r>
      <w:bookmarkEnd w:id="14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 投</w:t>
      </w:r>
      <w:bookmarkStart w:id="145" w:name="_Hlt26954840"/>
      <w:r/>
      <w:bookmarkEnd w:id="145"/>
      <w:r>
        <w:rPr>
          <w:rFonts w:hint="eastAsia" w:ascii="宋体" w:hAnsi="宋体"/>
          <w:color w:val="auto"/>
          <w:sz w:val="24"/>
          <w:highlight w:val="none"/>
        </w:rPr>
        <w:t xml:space="preserve">标人应按照招标文件规定格式填报投标分项报价表</w:t>
      </w:r>
      <w:bookmarkStart w:id="146" w:name="_Hlt26670399"/>
      <w:r/>
      <w:bookmarkEnd w:id="146"/>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12.2投标货币。投标文件中的单价和总价无特殊规定的采用人民币报价，以元为单位标注。招标文件中另有规定的按规定执行。</w:t>
      </w:r>
      <w:r/>
    </w:p>
    <w:p>
      <w:pPr>
        <w:pStyle w:val="989"/>
        <w:ind w:firstLine="420"/>
        <w:spacing w:before="0" w:after="0" w:line="360" w:lineRule="auto"/>
        <w:rPr>
          <w:b w:val="0"/>
          <w:bCs w:val="0"/>
          <w:color w:val="auto"/>
          <w:highlight w:val="none"/>
        </w:rPr>
      </w:pPr>
      <w:r/>
      <w:bookmarkStart w:id="147" w:name="_Hlt26954842"/>
      <w:r/>
      <w:bookmarkEnd w:id="147"/>
      <w:r/>
      <w:bookmarkStart w:id="148" w:name="_Hlt26954731"/>
      <w:r/>
      <w:bookmarkEnd w:id="148"/>
      <w:r/>
      <w:bookmarkStart w:id="149" w:name="_Hlt26954848"/>
      <w:r/>
      <w:bookmarkEnd w:id="149"/>
      <w:r/>
      <w:bookmarkStart w:id="150" w:name="_Hlt26668983"/>
      <w:r/>
      <w:bookmarkEnd w:id="150"/>
      <w:r/>
      <w:bookmarkStart w:id="151" w:name="_Hlt26670403"/>
      <w:r/>
      <w:bookmarkEnd w:id="151"/>
      <w:r/>
      <w:bookmarkStart w:id="152" w:name="_Hlt26670486"/>
      <w:r/>
      <w:bookmarkEnd w:id="152"/>
      <w:r/>
      <w:bookmarkStart w:id="153" w:name="_Hlt26954846"/>
      <w:r/>
      <w:bookmarkEnd w:id="153"/>
      <w:r/>
      <w:bookmarkStart w:id="154" w:name="_Hlt26954844"/>
      <w:r/>
      <w:bookmarkEnd w:id="154"/>
      <w:r/>
      <w:bookmarkStart w:id="155" w:name="_Hlt26670425"/>
      <w:r/>
      <w:bookmarkEnd w:id="155"/>
      <w:r/>
      <w:bookmarkStart w:id="156" w:name="_Hlt26670482"/>
      <w:r/>
      <w:bookmarkEnd w:id="156"/>
      <w:r>
        <w:rPr>
          <w:rFonts w:hint="eastAsia"/>
          <w:b w:val="0"/>
          <w:bCs w:val="0"/>
          <w:color w:val="auto"/>
          <w:highlight w:val="none"/>
        </w:rPr>
        <w:t xml:space="preserve">13、技术要求响应及偏离表、商务要求响应及偏离表</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投标人需对招标文件中的技术要求与商务要求逐项作出响应或偏离，并说明原因。</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13.2 投标人可在投标文件中提供认为需要的其他技术文件或说明。</w:t>
      </w:r>
      <w:r/>
    </w:p>
    <w:p>
      <w:pPr>
        <w:pStyle w:val="989"/>
        <w:ind w:firstLine="420"/>
        <w:spacing w:before="0" w:after="0" w:line="360" w:lineRule="auto"/>
        <w:rPr>
          <w:b w:val="0"/>
          <w:bCs w:val="0"/>
          <w:color w:val="auto"/>
          <w:highlight w:val="none"/>
        </w:rPr>
      </w:pPr>
      <w:r/>
      <w:bookmarkStart w:id="157" w:name="_Toc49090510"/>
      <w:r/>
      <w:bookmarkStart w:id="158" w:name="_Toc14577359"/>
      <w:r>
        <w:rPr>
          <w:rFonts w:hint="eastAsia"/>
          <w:b w:val="0"/>
          <w:bCs w:val="0"/>
          <w:color w:val="auto"/>
          <w:highlight w:val="none"/>
        </w:rPr>
        <w:t xml:space="preserve">14、投标函和开标一览表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投标人应按照招标文件中提供的格式完整、正确填写投标函、开标一览表。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89"/>
        <w:ind w:firstLine="420"/>
        <w:spacing w:before="0" w:after="0" w:line="360" w:lineRule="auto"/>
        <w:rPr>
          <w:b w:val="0"/>
          <w:bCs w:val="0"/>
          <w:color w:val="auto"/>
          <w:highlight w:val="none"/>
        </w:rPr>
      </w:pPr>
      <w:r/>
      <w:bookmarkStart w:id="159" w:name="_Hlt26954850"/>
      <w:r/>
      <w:bookmarkEnd w:id="159"/>
      <w:r/>
      <w:bookmarkStart w:id="160" w:name="_Hlt26670489"/>
      <w:r/>
      <w:bookmarkEnd w:id="160"/>
      <w:r/>
      <w:bookmarkStart w:id="161" w:name="_Hlt26954734"/>
      <w:r/>
      <w:bookmarkEnd w:id="161"/>
      <w:r/>
      <w:bookmarkStart w:id="162" w:name="_Toc14577360"/>
      <w:r/>
      <w:bookmarkStart w:id="163" w:name="_Toc49090511"/>
      <w:r>
        <w:rPr>
          <w:rFonts w:hint="eastAsia"/>
          <w:b w:val="0"/>
          <w:bCs w:val="0"/>
          <w:color w:val="auto"/>
          <w:highlight w:val="none"/>
        </w:rPr>
        <w:t xml:space="preserve">15、投标有效期</w:t>
      </w:r>
      <w:bookmarkEnd w:id="162"/>
      <w:r/>
      <w:bookmarkEnd w:id="163"/>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16、投标有效期的延长</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 在特殊情况下，</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87"/>
        <w:ind w:firstLine="482"/>
        <w:spacing w:before="0" w:after="0" w:line="360" w:lineRule="auto"/>
        <w:rPr>
          <w:color w:val="auto"/>
          <w:highlight w:val="none"/>
        </w:rPr>
      </w:pPr>
      <w:r/>
      <w:bookmarkStart w:id="164" w:name="_Hlt26954852"/>
      <w:r/>
      <w:bookmarkEnd w:id="164"/>
      <w:r/>
      <w:bookmarkStart w:id="165" w:name="_Hlt26954739"/>
      <w:r/>
      <w:bookmarkEnd w:id="165"/>
      <w:r/>
      <w:bookmarkStart w:id="166" w:name="_Toc2219"/>
      <w:r/>
      <w:bookmarkStart w:id="167" w:name="_Toc16938540"/>
      <w:r/>
      <w:bookmarkStart w:id="168" w:name="_Toc16170"/>
      <w:r/>
      <w:bookmarkStart w:id="169" w:name="_Toc22817"/>
      <w:r/>
      <w:bookmarkStart w:id="170" w:name="_Toc20823296"/>
      <w:r/>
      <w:bookmarkStart w:id="171" w:name="_Toc513029224"/>
      <w:r/>
      <w:bookmarkStart w:id="172" w:name="_Toc120614217"/>
      <w:r>
        <w:rPr>
          <w:rFonts w:hint="eastAsia"/>
          <w:color w:val="auto"/>
          <w:highlight w:val="none"/>
        </w:rPr>
        <w:t xml:space="preserve">四、投标文件的递交</w:t>
      </w:r>
      <w:bookmarkEnd w:id="166"/>
      <w:r/>
      <w:bookmarkEnd w:id="167"/>
      <w:r/>
      <w:bookmarkEnd w:id="168"/>
      <w:r/>
      <w:bookmarkEnd w:id="169"/>
      <w:r/>
      <w:bookmarkEnd w:id="170"/>
      <w:r/>
      <w:bookmarkEnd w:id="171"/>
      <w:r/>
      <w:bookmarkEnd w:id="172"/>
      <w:r/>
      <w:r/>
    </w:p>
    <w:p>
      <w:pPr>
        <w:pStyle w:val="989"/>
        <w:ind w:firstLine="560"/>
        <w:spacing w:before="0" w:after="0" w:line="360" w:lineRule="auto"/>
        <w:rPr>
          <w:rFonts w:ascii="黑体"/>
          <w:b w:val="0"/>
          <w:bCs w:val="0"/>
          <w:color w:val="auto"/>
          <w:highlight w:val="none"/>
        </w:rPr>
      </w:pPr>
      <w:r/>
      <w:bookmarkStart w:id="173" w:name="_Toc462564084"/>
      <w:r/>
      <w:bookmarkStart w:id="174" w:name="_Toc20823297"/>
      <w:r/>
      <w:bookmarkStart w:id="175" w:name="_Toc513029225"/>
      <w:r/>
      <w:bookmarkStart w:id="176" w:name="_Toc16938541"/>
      <w:r>
        <w:rPr>
          <w:rFonts w:hint="eastAsia"/>
          <w:b w:val="0"/>
          <w:bCs w:val="0"/>
          <w:color w:val="auto"/>
          <w:highlight w:val="none"/>
        </w:rPr>
        <w:t xml:space="preserve">17、</w:t>
      </w:r>
      <w:r>
        <w:rPr>
          <w:rFonts w:hint="eastAsia" w:ascii="黑体"/>
          <w:b w:val="0"/>
          <w:bCs w:val="0"/>
          <w:color w:val="auto"/>
          <w:highlight w:val="none"/>
        </w:rPr>
        <w:t xml:space="preserve">投标文件</w:t>
      </w:r>
      <w:bookmarkEnd w:id="173"/>
      <w:r/>
      <w:bookmarkEnd w:id="174"/>
      <w:r/>
      <w:bookmarkEnd w:id="175"/>
      <w:r/>
      <w:bookmarkEnd w:id="176"/>
      <w:r>
        <w:rPr>
          <w:rFonts w:hint="eastAsia" w:ascii="黑体"/>
          <w:b w:val="0"/>
          <w:bCs w:val="0"/>
          <w:color w:val="auto"/>
          <w:highlight w:val="none"/>
        </w:rPr>
        <w:t xml:space="preserve">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电子投标文件的递交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177" w:name="_Toc513029226"/>
      <w:r/>
      <w:bookmarkStart w:id="178" w:name="_Toc16938542"/>
      <w:r/>
      <w:bookmarkStart w:id="179" w:name="_Toc20823298"/>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18、投标截止</w:t>
      </w:r>
      <w:bookmarkEnd w:id="177"/>
      <w:r/>
      <w:bookmarkEnd w:id="178"/>
      <w:r/>
      <w:bookmarkEnd w:id="179"/>
      <w:r>
        <w:rPr>
          <w:rFonts w:hint="eastAsia"/>
          <w:b w:val="0"/>
          <w:bCs w:val="0"/>
          <w:color w:val="auto"/>
          <w:highlight w:val="none"/>
        </w:rPr>
        <w:t xml:space="preserve">时间</w:t>
      </w:r>
      <w:r/>
    </w:p>
    <w:p>
      <w:pPr>
        <w:ind w:firstLine="482"/>
        <w:spacing w:line="360" w:lineRule="auto"/>
        <w:rPr>
          <w:rFonts w:ascii="宋体" w:hAnsi="宋体"/>
          <w:color w:val="auto"/>
          <w:sz w:val="24"/>
          <w:highlight w:val="none"/>
        </w:rPr>
      </w:pPr>
      <w:r>
        <w:rPr>
          <w:rFonts w:hint="eastAsia" w:ascii="宋体" w:hAnsi="宋体"/>
          <w:b/>
          <w:bCs/>
          <w:color w:val="auto"/>
          <w:sz w:val="24"/>
          <w:highlight w:val="none"/>
          <w:u w:val="single"/>
        </w:rPr>
        <w:t xml:space="preserve">18.1 投标人上传电子投标文件的时间不得迟于招标公告中规定的投标截止时间</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pStyle w:val="989"/>
        <w:ind w:firstLine="420"/>
        <w:spacing w:before="0" w:after="0" w:line="360" w:lineRule="auto"/>
        <w:rPr>
          <w:b w:val="0"/>
          <w:bCs w:val="0"/>
          <w:color w:val="auto"/>
          <w:highlight w:val="none"/>
        </w:rPr>
      </w:pPr>
      <w:r/>
      <w:bookmarkStart w:id="180" w:name="_Toc513029227"/>
      <w:r/>
      <w:bookmarkStart w:id="181" w:name="_Toc20823299"/>
      <w:r/>
      <w:bookmarkStart w:id="182" w:name="_Toc16938543"/>
      <w:r>
        <w:rPr>
          <w:rFonts w:hint="eastAsia"/>
          <w:b w:val="0"/>
          <w:bCs w:val="0"/>
          <w:color w:val="auto"/>
          <w:highlight w:val="none"/>
        </w:rPr>
        <w:t xml:space="preserve">19、投标文件</w:t>
      </w:r>
      <w:bookmarkEnd w:id="180"/>
      <w:r/>
      <w:bookmarkEnd w:id="181"/>
      <w:r/>
      <w:bookmarkEnd w:id="182"/>
      <w:r>
        <w:rPr>
          <w:rFonts w:hint="eastAsia"/>
          <w:b w:val="0"/>
          <w:bCs w:val="0"/>
          <w:color w:val="auto"/>
          <w:highlight w:val="none"/>
        </w:rPr>
        <w:t xml:space="preserve">的拒收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19.1采购人或采购代理机构拒绝接收在其规定的投标截止时间后上传的任何投标文件。</w:t>
      </w:r>
      <w:r/>
    </w:p>
    <w:p>
      <w:pPr>
        <w:pStyle w:val="989"/>
        <w:ind w:firstLine="420"/>
        <w:spacing w:before="0" w:after="0" w:line="360" w:lineRule="auto"/>
        <w:rPr>
          <w:b w:val="0"/>
          <w:bCs w:val="0"/>
          <w:color w:val="auto"/>
          <w:highlight w:val="none"/>
        </w:rPr>
      </w:pPr>
      <w:r/>
      <w:bookmarkStart w:id="183" w:name="_Toc20823300"/>
      <w:r/>
      <w:bookmarkStart w:id="184" w:name="_Toc16938544"/>
      <w:r/>
      <w:bookmarkStart w:id="185" w:name="_Toc513029228"/>
      <w:r>
        <w:rPr>
          <w:rFonts w:hint="eastAsia"/>
          <w:b w:val="0"/>
          <w:bCs w:val="0"/>
          <w:color w:val="auto"/>
          <w:highlight w:val="none"/>
        </w:rPr>
        <w:t xml:space="preserve">20、投标文件的撤回和修改</w:t>
      </w:r>
      <w:bookmarkEnd w:id="183"/>
      <w:r/>
      <w:bookmarkEnd w:id="184"/>
      <w:r/>
      <w:bookmarkEnd w:id="18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 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 投标人撤回电子投标文件，则认为其不再参与本项目投标活动。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 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 在投标截止时间之后，投标人不得对其电子投标文件作任何修改。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20.3 在投标截止时间至招标文件中规定的投标有效期满之间的这段时间内，投标人不得撤回其投标。</w:t>
      </w:r>
      <w:r/>
    </w:p>
    <w:p>
      <w:pPr>
        <w:pStyle w:val="987"/>
        <w:ind w:firstLine="482"/>
        <w:spacing w:before="0" w:after="0" w:line="360" w:lineRule="auto"/>
        <w:rPr>
          <w:color w:val="auto"/>
          <w:highlight w:val="none"/>
        </w:rPr>
      </w:pPr>
      <w:r/>
      <w:bookmarkStart w:id="186" w:name="_Toc120614218"/>
      <w:r/>
      <w:bookmarkStart w:id="187" w:name="_Toc20823301"/>
      <w:r/>
      <w:bookmarkStart w:id="188" w:name="_Toc26916"/>
      <w:r/>
      <w:bookmarkStart w:id="189" w:name="_Toc513029229"/>
      <w:r/>
      <w:bookmarkStart w:id="190" w:name="_Toc16938545"/>
      <w:r/>
      <w:bookmarkStart w:id="191" w:name="_Toc9761"/>
      <w:r/>
      <w:bookmarkStart w:id="192" w:name="_Toc109"/>
      <w:r>
        <w:rPr>
          <w:rFonts w:hint="eastAsia"/>
          <w:color w:val="auto"/>
          <w:highlight w:val="none"/>
        </w:rPr>
        <w:t xml:space="preserve">五、开标与评标</w:t>
      </w:r>
      <w:bookmarkEnd w:id="186"/>
      <w:r/>
      <w:bookmarkEnd w:id="187"/>
      <w:r/>
      <w:bookmarkEnd w:id="188"/>
      <w:r/>
      <w:bookmarkEnd w:id="189"/>
      <w:r/>
      <w:bookmarkEnd w:id="190"/>
      <w:r/>
      <w:bookmarkEnd w:id="191"/>
      <w:r/>
      <w:bookmarkEnd w:id="192"/>
      <w:r/>
      <w:r/>
    </w:p>
    <w:p>
      <w:pPr>
        <w:pStyle w:val="989"/>
        <w:ind w:firstLine="420"/>
        <w:spacing w:before="0" w:after="0" w:line="360" w:lineRule="auto"/>
        <w:rPr>
          <w:b w:val="0"/>
          <w:bCs w:val="0"/>
          <w:color w:val="auto"/>
          <w:highlight w:val="none"/>
        </w:rPr>
      </w:pPr>
      <w:r/>
      <w:bookmarkStart w:id="193" w:name="_Toc16938546"/>
      <w:r/>
      <w:bookmarkStart w:id="194" w:name="_Toc513029230"/>
      <w:r/>
      <w:bookmarkStart w:id="195" w:name="_Toc20823302"/>
      <w:r>
        <w:rPr>
          <w:rFonts w:hint="eastAsia"/>
          <w:b w:val="0"/>
          <w:bCs w:val="0"/>
          <w:color w:val="auto"/>
          <w:highlight w:val="none"/>
        </w:rPr>
        <w:t xml:space="preserve">21、开标</w:t>
      </w:r>
      <w:bookmarkEnd w:id="193"/>
      <w:r/>
      <w:bookmarkEnd w:id="194"/>
      <w:r/>
      <w:bookmarkEnd w:id="1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pStyle w:val="989"/>
        <w:ind w:firstLine="420"/>
        <w:spacing w:before="0" w:after="0" w:line="360" w:lineRule="auto"/>
        <w:rPr>
          <w:b w:val="0"/>
          <w:bCs w:val="0"/>
          <w:color w:val="auto"/>
          <w:highlight w:val="none"/>
        </w:rPr>
      </w:pPr>
      <w:r/>
      <w:bookmarkStart w:id="196" w:name="_Toc16938547"/>
      <w:r/>
      <w:bookmarkStart w:id="197" w:name="_Toc20823303"/>
      <w:r/>
      <w:bookmarkStart w:id="198" w:name="_Toc513029231"/>
      <w:r>
        <w:rPr>
          <w:rFonts w:hint="eastAsia"/>
          <w:b w:val="0"/>
          <w:bCs w:val="0"/>
          <w:color w:val="auto"/>
          <w:highlight w:val="none"/>
        </w:rPr>
        <w:t xml:space="preserve">22、评标委员会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开标后，采购人将立即组织评标委员会（以下简称评委会）进行评标。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22.2 评委会由采购人代表和有关技术、经济等方面的专家组成，且人员构成符合政府采购有关规定。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22.3评委会独立工作，负责评审所有投标文件并确定中标候选人。</w:t>
      </w:r>
      <w:r/>
    </w:p>
    <w:p>
      <w:pPr>
        <w:pStyle w:val="989"/>
        <w:ind w:firstLine="420"/>
        <w:spacing w:before="0" w:after="0" w:line="360" w:lineRule="auto"/>
        <w:rPr>
          <w:rFonts w:ascii="黑体"/>
          <w:b w:val="0"/>
          <w:bCs w:val="0"/>
          <w:color w:val="auto"/>
          <w:highlight w:val="none"/>
        </w:rPr>
      </w:pPr>
      <w:r>
        <w:rPr>
          <w:rFonts w:hint="eastAsia" w:ascii="黑体"/>
          <w:b w:val="0"/>
          <w:bCs w:val="0"/>
          <w:color w:val="auto"/>
          <w:highlight w:val="none"/>
        </w:rPr>
        <w:t xml:space="preserve">23、评标过程的保密与公正</w:t>
      </w:r>
      <w:bookmarkEnd w:id="196"/>
      <w:r/>
      <w:bookmarkEnd w:id="197"/>
      <w:r/>
      <w:bookmarkEnd w:id="1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23.1凡是与审查、澄清、评价和比较投标的有关资料以及投标建议等，采购人、评委、采购代理机构均不得向投标人或与评标无关的其他人员透露。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23.3 采购人、采购代理机构和评标委员会不向未中标的投标人解释未中标原因，也不公布评标过程中的相关细节。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23.4 采用综合评分法的项目，未中标的投标人可于中标结果公告期限届满之日起通过苏采云系统查看自己的评审得分及排序情况。</w:t>
      </w:r>
      <w:r/>
    </w:p>
    <w:p>
      <w:pPr>
        <w:pStyle w:val="989"/>
        <w:ind w:firstLine="420"/>
        <w:spacing w:before="0" w:after="0" w:line="360" w:lineRule="auto"/>
        <w:rPr>
          <w:b w:val="0"/>
          <w:bCs w:val="0"/>
          <w:color w:val="auto"/>
          <w:highlight w:val="none"/>
        </w:rPr>
      </w:pPr>
      <w:r/>
      <w:bookmarkStart w:id="199" w:name="_Toc513029232"/>
      <w:r/>
      <w:bookmarkStart w:id="200" w:name="_Toc20823304"/>
      <w:r/>
      <w:bookmarkStart w:id="201" w:name="_Toc16938548"/>
      <w:r>
        <w:rPr>
          <w:rFonts w:hint="eastAsia"/>
          <w:b w:val="0"/>
          <w:bCs w:val="0"/>
          <w:color w:val="auto"/>
          <w:highlight w:val="none"/>
        </w:rPr>
        <w:t xml:space="preserve">24、投标文件的澄清</w:t>
      </w:r>
      <w:bookmarkEnd w:id="199"/>
      <w:r/>
      <w:bookmarkEnd w:id="200"/>
      <w:r/>
      <w:bookmarkEnd w:id="20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接到评委会澄清、说明和补正要求的投标人如未按规定作出澄清、说明和补正，其风险由投标人自行承担。</w:t>
      </w:r>
      <w:r/>
    </w:p>
    <w:p>
      <w:pPr>
        <w:pStyle w:val="989"/>
        <w:ind w:firstLine="420"/>
        <w:spacing w:before="0" w:after="0" w:line="360" w:lineRule="auto"/>
        <w:rPr>
          <w:b w:val="0"/>
          <w:bCs w:val="0"/>
          <w:color w:val="auto"/>
          <w:highlight w:val="none"/>
        </w:rPr>
      </w:pPr>
      <w:r/>
      <w:bookmarkStart w:id="202" w:name="_Toc513029233"/>
      <w:r/>
      <w:bookmarkStart w:id="203" w:name="_Toc16938549"/>
      <w:r/>
      <w:bookmarkStart w:id="204" w:name="_Toc20823305"/>
      <w:r>
        <w:rPr>
          <w:rFonts w:hint="eastAsia"/>
          <w:b w:val="0"/>
          <w:bCs w:val="0"/>
          <w:color w:val="auto"/>
          <w:highlight w:val="none"/>
        </w:rPr>
        <w:t xml:space="preserve">25、对投标文件的初审</w:t>
      </w:r>
      <w:bookmarkEnd w:id="202"/>
      <w:r/>
      <w:bookmarkEnd w:id="203"/>
      <w:r/>
      <w:bookmarkEnd w:id="20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25.1投标文件初审分为资格审查和符合性审查。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360" w:lineRule="auto"/>
        <w:rPr>
          <w:rFonts w:ascii="宋体" w:hAnsi="宋体" w:cs="宋体"/>
          <w:b/>
          <w:color w:val="auto"/>
          <w:sz w:val="24"/>
          <w:szCs w:val="24"/>
          <w:highlight w:val="none"/>
        </w:rPr>
      </w:pPr>
      <w:r>
        <w:rPr>
          <w:rFonts w:hint="eastAsia" w:ascii="宋体" w:hAnsi="宋体"/>
          <w:color w:val="auto"/>
          <w:sz w:val="24"/>
          <w:highlight w:val="none"/>
        </w:rPr>
        <w:t xml:space="preserve">25.1.4</w:t>
      </w:r>
      <w:r>
        <w:rPr>
          <w:rFonts w:hint="eastAsia" w:ascii="宋体" w:hAnsi="宋体" w:cs="宋体"/>
          <w:b/>
          <w:color w:val="auto"/>
          <w:sz w:val="24"/>
          <w:szCs w:val="24"/>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%的，即投标报价&lt;全部通过符合性审查供应商投标报价平均值×</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%的，即投标报价&lt;通过符合性审查的次低报价供应商投标报价×</w:t>
      </w:r>
      <w:r>
        <w:rPr>
          <w:rFonts w:hint="default"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default"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%的，即投标报价&lt;采购项目最高限价×</w:t>
      </w:r>
      <w:r>
        <w:rPr>
          <w:rFonts w:hint="default"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2"/>
        <w:spacing w:line="360" w:lineRule="auto"/>
        <w:rPr>
          <w:rFonts w:ascii="宋体" w:hAnsi="宋体"/>
          <w:color w:val="auto"/>
          <w:sz w:val="24"/>
          <w:highlight w:val="none"/>
        </w:rPr>
      </w:pPr>
      <w:r>
        <w:rPr>
          <w:rFonts w:hint="eastAsia" w:ascii="宋体" w:hAnsi="宋体" w:cs="宋体"/>
          <w:b/>
          <w:color w:val="auto"/>
          <w:sz w:val="24"/>
          <w:szCs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w:t>
      </w:r>
      <w:r>
        <w:rPr>
          <w:rFonts w:hint="eastAsia" w:ascii="宋体" w:hAnsi="宋体"/>
          <w:color w:val="auto"/>
          <w:sz w:val="24"/>
          <w:szCs w:val="24"/>
          <w:highlight w:val="none"/>
        </w:rPr>
        <w:t xml:space="preserve">与招标文件规定的主要技术指标或重要的商务条款或除上述以外的多项指标要求存在负偏离，或者在实质上与招标文件不一致，</w:t>
      </w:r>
      <w:r>
        <w:rPr>
          <w:rFonts w:hint="eastAsia" w:ascii="宋体" w:hAnsi="宋体"/>
          <w:color w:val="auto"/>
          <w:sz w:val="24"/>
          <w:highlight w:val="none"/>
        </w:rPr>
        <w:t xml:space="preserve">而且限制了合同中买方和</w:t>
      </w:r>
      <w:r>
        <w:rPr>
          <w:rFonts w:hint="eastAsia" w:ascii="宋体" w:hAnsi="宋体"/>
          <w:color w:val="auto"/>
          <w:sz w:val="24"/>
          <w:szCs w:val="24"/>
          <w:highlight w:val="none"/>
        </w:rPr>
        <w:t xml:space="preserve">采购人</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olor w:val="auto"/>
          <w:sz w:val="24"/>
          <w:highlight w:val="none"/>
        </w:rPr>
      </w:pPr>
      <w:r/>
      <w:bookmarkStart w:id="205" w:name="_Toc513029234"/>
      <w:r/>
      <w:bookmarkStart w:id="206" w:name="_Toc16938550"/>
      <w:r/>
      <w:bookmarkStart w:id="207" w:name="_Toc20823306"/>
      <w:r>
        <w:rPr>
          <w:rFonts w:hint="eastAsia" w:ascii="宋体" w:hAnsi="宋体"/>
          <w:color w:val="auto"/>
          <w:sz w:val="24"/>
          <w:highlight w:val="none"/>
        </w:rPr>
        <w:t xml:space="preserve">25.6投标人在开、评标全过程中应保持通讯畅通，及时登录苏采云系统查阅、答复相关信息，并安排专人与采购人、采购代理机构及评标委员会联系。</w:t>
      </w:r>
      <w:r/>
    </w:p>
    <w:p>
      <w:pPr>
        <w:pStyle w:val="989"/>
        <w:ind w:firstLine="420"/>
        <w:spacing w:before="0" w:after="0" w:line="360" w:lineRule="auto"/>
        <w:rPr>
          <w:b w:val="0"/>
          <w:bCs w:val="0"/>
          <w:color w:val="auto"/>
          <w:highlight w:val="none"/>
        </w:rPr>
      </w:pPr>
      <w:r>
        <w:rPr>
          <w:rFonts w:hint="eastAsia"/>
          <w:b w:val="0"/>
          <w:bCs w:val="0"/>
          <w:color w:val="auto"/>
          <w:highlight w:val="none"/>
        </w:rPr>
        <w:t xml:space="preserve">26、</w:t>
      </w:r>
      <w:bookmarkEnd w:id="205"/>
      <w:r/>
      <w:bookmarkEnd w:id="206"/>
      <w:r/>
      <w:bookmarkEnd w:id="207"/>
      <w:r>
        <w:rPr>
          <w:rFonts w:hint="eastAsia"/>
          <w:b w:val="0"/>
          <w:bCs w:val="0"/>
          <w:color w:val="auto"/>
          <w:highlight w:val="none"/>
        </w:rPr>
        <w:t xml:space="preserve">无效投标条款和废标条款</w:t>
      </w:r>
      <w:r/>
    </w:p>
    <w:p>
      <w:pPr>
        <w:ind w:firstLine="480"/>
        <w:spacing w:line="360" w:lineRule="auto"/>
        <w:rPr>
          <w:rFonts w:ascii="宋体" w:hAnsi="宋体"/>
          <w:color w:val="auto"/>
          <w:sz w:val="24"/>
          <w:highlight w:val="none"/>
        </w:rPr>
      </w:pPr>
      <w:r/>
      <w:bookmarkStart w:id="208" w:name="_Toc20823307"/>
      <w:r/>
      <w:bookmarkStart w:id="209" w:name="_Toc513029235"/>
      <w:r/>
      <w:bookmarkStart w:id="210" w:name="_Toc16938551"/>
      <w:r>
        <w:rPr>
          <w:rFonts w:hint="eastAsia" w:ascii="宋体" w:hAnsi="宋体"/>
          <w:color w:val="auto"/>
          <w:sz w:val="24"/>
          <w:highlight w:val="none"/>
        </w:rPr>
        <w:t xml:space="preserve">26.1无效投标条款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 投标人在苏采云系统规定的时间内未成功解密电子投标文件的。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26.1.2 投标人未按照招标文件要求上传电子投标文件的。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26.1.3同一投标人提交两个（含两个）以上不同的投标报价的。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26.1.4投标人不具备招标文件中规定资格要求的。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26.1.5投标人的报价超过了采购预算或最高限价的。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26.1.6未通过符合性审查的。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26.1.7不符合招标文件中规定的实质性要求和条件的。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26.1.9投标文件含有采购人不能接受的附加条件的。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26.1.11投标文件未按照招标文件要求加盖CA电子公章的。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26.1.12其他法律、法规及本招标文件规定的属无效投标的情形。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26.2废标条款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26.2.1符合专业条件的供应商或者对招标文件做实质响应的供应商不足三家的。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26.2.2出现影响采购公正的违法、违规行为的。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26.2.3因重大变故，采购任务取消的。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26.2.4评标委员会认定招标文件存在歧义、重大缺陷导致评审工作无法进行。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26.2.5 因苏采云系统故障原因造成开标不成功的。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87"/>
        <w:ind w:firstLine="482"/>
        <w:spacing w:before="0" w:after="0" w:line="360" w:lineRule="auto"/>
        <w:rPr>
          <w:color w:val="auto"/>
          <w:highlight w:val="none"/>
        </w:rPr>
      </w:pPr>
      <w:r/>
      <w:bookmarkStart w:id="211" w:name="_Toc31095"/>
      <w:r/>
      <w:bookmarkStart w:id="212" w:name="_Toc120614219"/>
      <w:r/>
      <w:bookmarkStart w:id="213" w:name="_Toc16384"/>
      <w:r/>
      <w:bookmarkStart w:id="214" w:name="_Toc3443"/>
      <w:r>
        <w:rPr>
          <w:rFonts w:hint="eastAsia"/>
          <w:color w:val="auto"/>
          <w:highlight w:val="none"/>
        </w:rPr>
        <w:t xml:space="preserve">六、</w:t>
      </w:r>
      <w:bookmarkEnd w:id="208"/>
      <w:r/>
      <w:bookmarkEnd w:id="209"/>
      <w:r/>
      <w:bookmarkEnd w:id="210"/>
      <w:r>
        <w:rPr>
          <w:rFonts w:hint="eastAsia"/>
          <w:color w:val="auto"/>
          <w:highlight w:val="none"/>
        </w:rPr>
        <w:t xml:space="preserve">定标</w:t>
      </w:r>
      <w:bookmarkEnd w:id="211"/>
      <w:r/>
      <w:bookmarkEnd w:id="212"/>
      <w:r/>
      <w:bookmarkEnd w:id="213"/>
      <w:r/>
      <w:bookmarkEnd w:id="214"/>
      <w:r/>
      <w:r/>
    </w:p>
    <w:p>
      <w:pPr>
        <w:pStyle w:val="989"/>
        <w:ind w:firstLine="600"/>
        <w:spacing w:before="0" w:after="0" w:line="360" w:lineRule="auto"/>
        <w:rPr>
          <w:rFonts w:ascii="黑体" w:hAnsi="宋体" w:cs="Times New Roman"/>
          <w:b w:val="0"/>
          <w:color w:val="auto"/>
          <w:sz w:val="30"/>
          <w:szCs w:val="30"/>
          <w:highlight w:val="none"/>
        </w:rPr>
      </w:pPr>
      <w:r/>
      <w:bookmarkStart w:id="215" w:name="_Toc513029238"/>
      <w:r/>
      <w:bookmarkStart w:id="216" w:name="_Toc16938554"/>
      <w:r/>
      <w:bookmarkStart w:id="217" w:name="_Toc20823310"/>
      <w:r>
        <w:rPr>
          <w:rFonts w:hint="eastAsia" w:ascii="黑体" w:hAnsi="宋体" w:cs="Times New Roman"/>
          <w:b w:val="0"/>
          <w:color w:val="auto"/>
          <w:sz w:val="30"/>
          <w:szCs w:val="30"/>
          <w:highlight w:val="none"/>
        </w:rPr>
        <w:t xml:space="preserve">27、</w:t>
      </w:r>
      <w:bookmarkEnd w:id="215"/>
      <w:r>
        <w:rPr>
          <w:rFonts w:hint="eastAsia" w:ascii="黑体" w:hAnsi="宋体" w:cs="Times New Roman"/>
          <w:b w:val="0"/>
          <w:color w:val="auto"/>
          <w:sz w:val="30"/>
          <w:szCs w:val="30"/>
          <w:highlight w:val="none"/>
        </w:rPr>
        <w:t xml:space="preserve">确定</w:t>
      </w:r>
      <w:bookmarkEnd w:id="216"/>
      <w:r/>
      <w:bookmarkEnd w:id="217"/>
      <w:r>
        <w:rPr>
          <w:rFonts w:hint="eastAsia" w:ascii="黑体" w:hAnsi="宋体" w:cs="Times New Roman"/>
          <w:b w:val="0"/>
          <w:color w:val="auto"/>
          <w:sz w:val="30"/>
          <w:szCs w:val="30"/>
          <w:highlight w:val="none"/>
        </w:rPr>
        <w:t xml:space="preserve">中标单位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27.1中标候选人的选取原则和数量见招标文件第五章规定。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采购人应根据评委会推荐的中标候选人确定中标人。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27.3 采购人或采购代理机构将在“江苏政府采购网”发布中标公告，公告期限为1个工作日。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  若有充分证据证明，中标人出现下列情况之一的，一经查实，将被取消中标资格：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27.4.1提供虚假材料谋取中标的。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27.4.2向采购人、采购代理机构行贿或者提供其他不正当利益的。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27.4.3属于本文件规定的无效条件，但在评标过程中又未被评委会发现的。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27.4.4与采购人或者其他供应商恶意串通的。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27.4.5采取不正当手段诋毁、排挤其他供应商的。</w:t>
      </w:r>
      <w:r/>
    </w:p>
    <w:p>
      <w:pPr>
        <w:ind w:firstLine="480"/>
        <w:spacing w:line="360" w:lineRule="auto"/>
        <w:rPr>
          <w:rFonts w:ascii="宋体" w:hAnsi="宋体"/>
          <w:color w:val="auto"/>
          <w:sz w:val="24"/>
          <w:highlight w:val="none"/>
        </w:rPr>
      </w:pPr>
      <w:r/>
      <w:bookmarkStart w:id="218" w:name="_Toc200451960"/>
      <w:r>
        <w:rPr>
          <w:rFonts w:hint="eastAsia" w:ascii="宋体" w:hAnsi="宋体"/>
          <w:color w:val="auto"/>
          <w:sz w:val="24"/>
          <w:highlight w:val="none"/>
        </w:rPr>
        <w:t xml:space="preserve">27.5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27.5.4不同投标人的投标文件异常一致或者投标报价呈规律性差异。</w:t>
      </w:r>
      <w:r/>
    </w:p>
    <w:p>
      <w:pPr>
        <w:pStyle w:val="989"/>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21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28.2.1对可以质疑的采购文件提出质疑的，为收到采购文件之日或者采购文件公告期限届满之日；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28.2.2对采购过程提出质疑的，为各采购程序环节结束之日；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28.2.3对中标或者成交结果提出质疑的，为中标或者成交结果公告期限届满之日。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360" w:lineRule="auto"/>
        <w:rPr>
          <w:rFonts w:ascii="宋体" w:hAnsi="宋体"/>
          <w:b/>
          <w:color w:val="auto"/>
          <w:sz w:val="24"/>
          <w:szCs w:val="24"/>
          <w:highlight w:val="none"/>
        </w:rPr>
      </w:pPr>
      <w:r>
        <w:rPr>
          <w:rFonts w:hint="eastAsia" w:ascii="宋体" w:hAnsi="宋体"/>
          <w:color w:val="auto"/>
          <w:sz w:val="24"/>
          <w:highlight w:val="none"/>
        </w:rPr>
        <w:t xml:space="preserve">采购人及采购代理机构只接收以纸质原件形式送达的质疑，供应商可以通过现场递交或邮寄方式提交质疑。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采购代理机构质疑接收部门为</w:t>
      </w:r>
      <w:r>
        <w:rPr>
          <w:rFonts w:hint="eastAsia" w:ascii="宋体" w:hAnsi="宋体"/>
          <w:color w:val="auto"/>
          <w:sz w:val="24"/>
          <w:highlight w:val="none"/>
          <w:lang w:eastAsia="zh-CN"/>
        </w:rPr>
        <w:t xml:space="preserve">江苏中诚工程管理有限公司</w:t>
      </w:r>
      <w:r>
        <w:rPr>
          <w:rFonts w:hint="eastAsia" w:ascii="宋体" w:hAnsi="宋体"/>
          <w:color w:val="auto"/>
          <w:sz w:val="24"/>
          <w:highlight w:val="none"/>
        </w:rPr>
        <w:t xml:space="preserve">招标代理部，联系地址：</w:t>
      </w:r>
      <w:r>
        <w:rPr>
          <w:rFonts w:hint="eastAsia" w:ascii="宋体" w:hAnsi="宋体"/>
          <w:color w:val="auto"/>
          <w:sz w:val="24"/>
          <w:highlight w:val="none"/>
          <w:lang w:eastAsia="zh-CN"/>
        </w:rPr>
        <w:t xml:space="preserve">连云港市海州区通灌南路102号建院观筑大厦B座</w:t>
      </w:r>
      <w:r>
        <w:rPr>
          <w:rFonts w:hint="eastAsia" w:ascii="宋体" w:hAnsi="宋体"/>
          <w:color w:val="auto"/>
          <w:sz w:val="24"/>
          <w:highlight w:val="none"/>
        </w:rPr>
        <w:t xml:space="preserve">，联系电话：</w:t>
      </w:r>
      <w:r>
        <w:rPr>
          <w:rFonts w:hint="eastAsia" w:ascii="宋体" w:hAnsi="宋体"/>
          <w:color w:val="auto"/>
          <w:sz w:val="24"/>
          <w:highlight w:val="none"/>
          <w:lang w:eastAsia="zh-CN"/>
        </w:rPr>
        <w:t xml:space="preserve">0518-81887004</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采购人质疑接收人及联系方式见招标文件第一章。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 以下情形的质疑不予受理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28.5.1 内容不符合《政府采购质疑和投诉办法》第十二条规定的质疑。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28.5.2 超出政府采购法定期限的质疑。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28.5.3 以传真、电子邮件等方式递交的非原件形式的质疑。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89"/>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29.l中标结果确定后，采购代理机构将向中标人发出中标通知书。</w:t>
      </w:r>
      <w:r>
        <w:rPr>
          <w:rFonts w:hint="eastAsia" w:ascii="宋体" w:hAnsi="宋体"/>
          <w:b/>
          <w:bCs/>
          <w:color w:val="auto"/>
          <w:sz w:val="24"/>
          <w:szCs w:val="24"/>
          <w:highlight w:val="none"/>
        </w:rPr>
        <w:t xml:space="preserve">中标供应商在领取中标通知书时，需提供五份与电子投标文件一致的纸质打印投标文件，须封面、骑缝加盖公章。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87"/>
        <w:spacing w:before="0" w:after="0" w:line="360" w:lineRule="auto"/>
        <w:rPr>
          <w:color w:val="auto"/>
          <w:highlight w:val="none"/>
        </w:rPr>
      </w:pPr>
      <w:r/>
      <w:bookmarkStart w:id="219" w:name="_Toc12848"/>
      <w:r/>
      <w:bookmarkStart w:id="220" w:name="_Toc20823308"/>
      <w:r/>
      <w:bookmarkStart w:id="221" w:name="_Toc513029236"/>
      <w:r/>
      <w:bookmarkStart w:id="222" w:name="_Toc31566"/>
      <w:r/>
      <w:bookmarkStart w:id="223" w:name="_Toc16938552"/>
      <w:r/>
      <w:bookmarkStart w:id="224" w:name="_Toc25986"/>
      <w:r/>
      <w:bookmarkStart w:id="225" w:name="_Toc120614220"/>
      <w:r>
        <w:rPr>
          <w:rFonts w:hint="eastAsia"/>
          <w:color w:val="auto"/>
          <w:highlight w:val="none"/>
        </w:rPr>
        <w:t xml:space="preserve">七、授予合同</w:t>
      </w:r>
      <w:bookmarkEnd w:id="219"/>
      <w:r/>
      <w:bookmarkEnd w:id="220"/>
      <w:r/>
      <w:bookmarkEnd w:id="221"/>
      <w:r/>
      <w:bookmarkEnd w:id="222"/>
      <w:r/>
      <w:bookmarkEnd w:id="223"/>
      <w:r/>
      <w:bookmarkEnd w:id="224"/>
      <w:r/>
      <w:bookmarkEnd w:id="225"/>
      <w:r/>
      <w:r/>
    </w:p>
    <w:p>
      <w:pPr>
        <w:pStyle w:val="989"/>
        <w:ind w:firstLine="600"/>
        <w:spacing w:before="0" w:after="0" w:line="360" w:lineRule="auto"/>
        <w:rPr>
          <w:rFonts w:ascii="黑体" w:hAnsi="宋体" w:cs="Times New Roman"/>
          <w:b w:val="0"/>
          <w:color w:val="auto"/>
          <w:sz w:val="30"/>
          <w:szCs w:val="30"/>
          <w:highlight w:val="none"/>
        </w:rPr>
      </w:pPr>
      <w:r/>
      <w:bookmarkStart w:id="226" w:name="_Toc513029237"/>
      <w:r/>
      <w:bookmarkStart w:id="227" w:name="_Toc20823309"/>
      <w:r/>
      <w:bookmarkStart w:id="228" w:name="_Toc16938553"/>
      <w:r>
        <w:rPr>
          <w:rFonts w:hint="eastAsia" w:ascii="黑体" w:hAnsi="宋体" w:cs="Times New Roman"/>
          <w:b w:val="0"/>
          <w:color w:val="auto"/>
          <w:sz w:val="30"/>
          <w:szCs w:val="30"/>
          <w:highlight w:val="none"/>
        </w:rPr>
        <w:t xml:space="preserve">30.签订合同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30.l中标人应当在中标通知书发出之日起三十日内，按照招标文件确定的事项与采购人签订政府采购合同。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30.2 招标文件、中标人的投标文件及招标过程中有关澄清、承诺文件均应作为合同附件。</w:t>
      </w:r>
      <w:r/>
    </w:p>
    <w:p>
      <w:pPr>
        <w:ind w:firstLine="600"/>
        <w:spacing w:line="360" w:lineRule="auto"/>
        <w:rPr>
          <w:rFonts w:ascii="宋体" w:hAnsi="宋体"/>
          <w:color w:val="auto"/>
          <w:sz w:val="24"/>
          <w:highlight w:val="none"/>
        </w:rPr>
      </w:pPr>
      <w:r>
        <w:rPr>
          <w:rFonts w:hint="eastAsia" w:ascii="宋体" w:hAnsi="宋体"/>
          <w:color w:val="auto"/>
          <w:sz w:val="24"/>
          <w:szCs w:val="24"/>
          <w:highlight w:val="none"/>
        </w:rPr>
        <w:t xml:space="preserve">30.3 签订合同后，</w:t>
      </w:r>
      <w:r>
        <w:rPr>
          <w:rFonts w:hint="eastAsia" w:ascii="宋体" w:hAnsi="宋体"/>
          <w:b/>
          <w:bCs/>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w:t>
      </w:r>
      <w:r>
        <w:rPr>
          <w:rFonts w:hint="eastAsia" w:ascii="宋体" w:hAnsi="宋体"/>
          <w:color w:val="auto"/>
          <w:sz w:val="24"/>
          <w:highlight w:val="none"/>
        </w:rPr>
        <w:t xml:space="preserve">也不得采用分包的形式履行合同，否则采购人有权终止合同。转包或分包造成采购人损失的，中标人应承担相应赔偿责任。</w:t>
      </w:r>
      <w:r/>
    </w:p>
    <w:p>
      <w:pPr>
        <w:pStyle w:val="989"/>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31、服务（包含与服务相关的货物）的追加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26"/>
      <w:r/>
      <w:bookmarkEnd w:id="227"/>
      <w:r/>
      <w:bookmarkEnd w:id="228"/>
      <w:r/>
      <w:r/>
    </w:p>
    <w:p>
      <w:pPr>
        <w:pStyle w:val="989"/>
        <w:ind w:firstLine="600"/>
        <w:spacing w:before="0" w:after="0" w:line="360" w:lineRule="auto"/>
        <w:rPr>
          <w:rFonts w:ascii="黑体" w:hAnsi="宋体" w:cs="Times New Roman"/>
          <w:b w:val="0"/>
          <w:color w:val="auto"/>
          <w:sz w:val="30"/>
          <w:szCs w:val="30"/>
          <w:highlight w:val="none"/>
        </w:rPr>
      </w:pPr>
      <w:r/>
      <w:bookmarkStart w:id="229" w:name="_Toc20823314"/>
      <w:r/>
      <w:bookmarkStart w:id="230" w:name="_Toc513029242"/>
      <w:r/>
      <w:bookmarkStart w:id="231" w:name="_Toc16938558"/>
      <w:r/>
      <w:bookmarkStart w:id="232" w:name="_Toc479757207"/>
      <w:r/>
      <w:bookmarkStart w:id="233" w:name="_Toc120614221"/>
      <w:r>
        <w:rPr>
          <w:rFonts w:hint="eastAsia" w:ascii="黑体" w:hAnsi="宋体" w:cs="Times New Roman"/>
          <w:b w:val="0"/>
          <w:color w:val="auto"/>
          <w:sz w:val="30"/>
          <w:szCs w:val="30"/>
          <w:highlight w:val="none"/>
        </w:rPr>
        <w:t xml:space="preserve">32、政府采购履约资金扶持政策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中标人可凭政府采购合同办理融资贷款，详情请见江苏政府采购网“政采贷”专栏。</w:t>
      </w:r>
      <w:r/>
    </w:p>
    <w:p>
      <w:pPr>
        <w:keepLines/>
        <w:keepNext/>
        <w:spacing w:line="360" w:lineRule="auto"/>
        <w:rPr>
          <w:b/>
          <w:bCs/>
          <w:color w:val="auto"/>
          <w:sz w:val="32"/>
          <w:szCs w:val="32"/>
          <w:highlight w:val="none"/>
        </w:rPr>
        <w:outlineLvl w:val="2"/>
      </w:pPr>
      <w:r/>
      <w:bookmarkStart w:id="234" w:name="_Toc27845"/>
      <w:r/>
      <w:bookmarkStart w:id="235" w:name="_Toc23014"/>
      <w:r/>
      <w:bookmarkStart w:id="236" w:name="_Toc32228"/>
      <w:r/>
      <w:bookmarkStart w:id="237" w:name="_Toc19843"/>
      <w:r>
        <w:rPr>
          <w:rFonts w:hint="eastAsia"/>
          <w:b/>
          <w:bCs/>
          <w:color w:val="auto"/>
          <w:sz w:val="32"/>
          <w:szCs w:val="32"/>
          <w:highlight w:val="none"/>
        </w:rPr>
        <w:t xml:space="preserve">八、政策功能</w:t>
      </w:r>
      <w:bookmarkEnd w:id="234"/>
      <w:r/>
      <w:bookmarkEnd w:id="235"/>
      <w:r/>
      <w:bookmarkEnd w:id="236"/>
      <w:r/>
      <w:bookmarkEnd w:id="237"/>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33、落实的政府采购政策</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color w:val="auto"/>
          <w:sz w:val="24"/>
          <w:highlight w:val="none"/>
          <w:lang w:val="en-US" w:eastAsia="zh-CN"/>
        </w:rPr>
        <w:t xml:space="preserve">33.1</w:t>
      </w: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中小企业参加政府采购活动，应当出具本办法规定的《中小企业声明函》，否则不得享受相关中小企业扶持政策。</w:t>
      </w:r>
      <w:r>
        <w:rPr>
          <w:rFonts w:hint="eastAsia" w:ascii="宋体" w:hAnsi="宋体" w:eastAsia="宋体" w:cs="Times New Roman"/>
          <w:color w:val="auto"/>
          <w:sz w:val="24"/>
          <w:highlight w:val="none"/>
          <w:lang w:val="en-US" w:eastAsia="zh-CN"/>
        </w:rPr>
        <w:t xml:space="preserve">投标</w:t>
      </w:r>
      <w:r>
        <w:rPr>
          <w:rFonts w:hint="eastAsia" w:ascii="宋体" w:hAnsi="宋体" w:eastAsia="宋体" w:cs="Times New Roman"/>
          <w:color w:val="auto"/>
          <w:sz w:val="24"/>
          <w:highlight w:val="none"/>
        </w:rPr>
        <w:t xml:space="preserve">文件中提供《中小企业声明函》，否则不予认可。</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33.2</w:t>
      </w:r>
      <w:r>
        <w:rPr>
          <w:rFonts w:hint="eastAsia" w:ascii="宋体" w:hAnsi="宋体" w:eastAsia="宋体" w:cs="Times New Roman"/>
          <w:b w:val="0"/>
          <w:bCs w:val="0"/>
          <w:color w:val="auto"/>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auto"/>
          <w:sz w:val="24"/>
          <w:szCs w:val="24"/>
          <w:highlight w:val="none"/>
          <w:lang w:eastAsia="zh-CN"/>
        </w:rPr>
        <w:t xml:space="preserve">本项目专门面向中型企业、小型企业、微型企业、残疾人福利性单位、监狱企业进行采购，</w:t>
      </w:r>
      <w:r>
        <w:rPr>
          <w:rFonts w:hint="eastAsia" w:ascii="宋体" w:hAnsi="宋体" w:eastAsia="宋体" w:cs="Times New Roman"/>
          <w:b/>
          <w:bCs/>
          <w:color w:val="auto"/>
          <w:sz w:val="24"/>
          <w:szCs w:val="24"/>
          <w:highlight w:val="none"/>
          <w:shd w:val="clear" w:color="auto" w:fill="auto"/>
          <w:lang w:val="en-US" w:eastAsia="zh-CN"/>
        </w:rPr>
        <w:t xml:space="preserve">无需扣除。</w:t>
      </w:r>
      <w:r>
        <w:rPr>
          <w:rFonts w:hint="eastAsia" w:ascii="宋体" w:hAnsi="宋体" w:eastAsia="宋体" w:cs="Times New Roman"/>
          <w:b/>
          <w:bCs/>
          <w:color w:val="auto"/>
          <w:sz w:val="24"/>
          <w:szCs w:val="24"/>
          <w:highlight w:val="none"/>
          <w:lang w:eastAsia="zh-CN"/>
        </w:rPr>
        <w:t xml:space="preserve">符合文件要求的供应商</w:t>
      </w:r>
      <w:r>
        <w:rPr>
          <w:rFonts w:hint="eastAsia" w:ascii="宋体" w:hAnsi="宋体" w:eastAsia="宋体" w:cs="Times New Roman"/>
          <w:b/>
          <w:bCs/>
          <w:color w:val="auto"/>
          <w:sz w:val="24"/>
          <w:szCs w:val="24"/>
          <w:highlight w:val="none"/>
          <w:lang w:val="en-US" w:eastAsia="zh-CN"/>
        </w:rPr>
        <w:t xml:space="preserve">应当提供的材料：</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（1）供应商为中型企业、小型企业、微型企业的，提供《中小企业声明函》（第六章 投标文件格式）。</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（2）为残疾人福利性单位的，符合财库〔2017〕141号文件规定条件的残疾人福利性单位视同小型、微型企业，提供《残疾人福利性单位声明函》（第六章 投标文件格式）。</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（4）供应商按照本办法规定提供声明函内容不实的，属于提供虚假材料谋取中标、成交，依照《中华人民共和国政府采购法》等国家有关规定追究相应责任。</w:t>
      </w:r>
      <w:r/>
    </w:p>
    <w:p>
      <w:pPr>
        <w:rPr>
          <w:rFonts w:hint="eastAsia"/>
          <w:color w:val="auto"/>
          <w:highlight w:val="none"/>
        </w:rPr>
      </w:pPr>
      <w:r>
        <w:rPr>
          <w:rFonts w:hint="eastAsia"/>
          <w:color w:val="auto"/>
          <w:highlight w:val="none"/>
        </w:rPr>
      </w:r>
      <w:r/>
    </w:p>
    <w:p>
      <w:pPr>
        <w:pStyle w:val="1103"/>
        <w:ind w:firstLine="562"/>
        <w:jc w:val="left"/>
        <w:spacing w:before="0" w:after="0" w:line="360" w:lineRule="auto"/>
        <w:rPr>
          <w:color w:val="auto"/>
          <w:sz w:val="28"/>
          <w:szCs w:val="28"/>
          <w:highlight w:val="none"/>
        </w:rPr>
      </w:pPr>
      <w:r>
        <w:rPr>
          <w:rFonts w:hint="eastAsia" w:ascii="黑体" w:hAnsi="宋体" w:eastAsia="黑体"/>
          <w:bCs/>
          <w:color w:val="auto"/>
          <w:sz w:val="30"/>
          <w:szCs w:val="30"/>
          <w:highlight w:val="none"/>
        </w:rPr>
        <w:t xml:space="preserve">34、</w:t>
      </w:r>
      <w:r>
        <w:rPr>
          <w:rFonts w:hint="eastAsia" w:ascii="黑体" w:hAnsi="宋体" w:eastAsia="黑体"/>
          <w:bCs/>
          <w:color w:val="auto"/>
          <w:sz w:val="30"/>
          <w:szCs w:val="30"/>
          <w:highlight w:val="none"/>
          <w:shd w:val="clear" w:color="auto" w:fill="auto"/>
          <w:lang w:val="en-US" w:eastAsia="zh-CN"/>
        </w:rPr>
        <w:t xml:space="preserve">采购本国产品的支持政策</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keepLines/>
        <w:keepNext/>
        <w:spacing w:line="360" w:lineRule="auto"/>
        <w:rPr>
          <w:rFonts w:hint="eastAsia" w:ascii="Calibri" w:hAnsi="Calibri" w:eastAsia="宋体" w:cs="Times New Roman"/>
          <w:color w:val="auto"/>
          <w:sz w:val="24"/>
          <w:szCs w:val="24"/>
          <w:highlight w:val="none"/>
        </w:rPr>
        <w:outlineLvl w:val="3"/>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.6 政府采购中的本国产品标准及其他未尽事宜详见《国务院办公厅关于在政府采购中实施本国产品标准及相关政策的通知》（国办发〔2025〕34号）。</w:t>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35.支持绿色发展</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highlight w:val="none"/>
          <w:shd w:val="clear" w:color="auto" w:fill="auto"/>
          <w:lang w:val="en-US" w:eastAsia="zh-CN"/>
        </w:rPr>
        <w:t xml:space="preserve">招标</w:t>
      </w:r>
      <w:r>
        <w:rPr>
          <w:rFonts w:hint="eastAsia" w:ascii="宋体" w:hAnsi="宋体" w:eastAsia="宋体" w:cs="Times New Roman"/>
          <w:color w:val="auto"/>
          <w:sz w:val="24"/>
          <w:highlight w:val="none"/>
          <w:shd w:val="clear" w:color="auto" w:fill="auto"/>
          <w:lang w:eastAsia="zh-CN"/>
        </w:rPr>
        <w:t xml:space="preserve">文件要求提供相关产品认证证书。</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w:t>
      </w:r>
      <w:r>
        <w:rPr>
          <w:rFonts w:hint="eastAsia" w:ascii="Calibri" w:hAnsi="Calibri" w:eastAsia="宋体" w:cs="Times New Roman"/>
          <w:color w:val="auto"/>
          <w:sz w:val="24"/>
          <w:szCs w:val="24"/>
          <w:highlight w:val="none"/>
          <w:shd w:val="clear" w:color="auto" w:fill="auto"/>
          <w:lang w:eastAsia="zh-CN"/>
        </w:rPr>
        <w:t xml:space="preserve">合同</w:t>
      </w:r>
      <w:r>
        <w:rPr>
          <w:rFonts w:hint="eastAsia" w:ascii="宋体" w:hAnsi="宋体" w:eastAsia="宋体" w:cs="Times New Roman"/>
          <w:color w:val="auto"/>
          <w:sz w:val="24"/>
          <w:highlight w:val="none"/>
          <w:shd w:val="clear" w:color="auto" w:fill="auto"/>
          <w:lang w:eastAsia="zh-CN"/>
        </w:rPr>
        <w:t xml:space="preserve">条款。</w:t>
      </w:r>
      <w:r/>
    </w:p>
    <w:p>
      <w:pPr>
        <w:ind w:left="0" w:right="0" w:firstLine="480"/>
        <w:jc w:val="left"/>
        <w:keepLines w:val="0"/>
        <w:keepNext w:val="0"/>
        <w:pageBreakBefore w:val="0"/>
        <w:spacing w:line="360" w:lineRule="auto"/>
        <w:widowControl/>
        <w:rPr>
          <w:rFonts w:hint="eastAsia" w:ascii="Calibri" w:hAnsi="Calibri" w:eastAsia="宋体" w:cs="Times New Roman"/>
          <w:bCs w:val="0"/>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pPr>
      <w:r>
        <w:rPr>
          <w:rFonts w:hint="eastAsia" w:ascii="黑体" w:hAnsi="宋体" w:eastAsia="黑体" w:cs="Times New Roman"/>
          <w:bCs/>
          <w:color w:val="auto"/>
          <w:sz w:val="30"/>
          <w:szCs w:val="30"/>
          <w:highlight w:val="none"/>
          <w:shd w:val="clear" w:color="auto" w:fill="auto"/>
          <w:lang w:val="en-US" w:eastAsia="zh-CN"/>
        </w:rPr>
        <w:t xml:space="preserve">36.政府采购需求标准</w:t>
      </w:r>
      <w:r/>
    </w:p>
    <w:p>
      <w:pPr>
        <w:ind w:firstLine="480"/>
        <w:jc w:val="left"/>
        <w:keepLines w:val="0"/>
        <w:keepNext w:val="0"/>
        <w:spacing w:line="360" w:lineRule="auto"/>
        <w:rPr>
          <w:rFonts w:hint="eastAsia" w:ascii="黑体" w:hAnsi="黑体" w:eastAsia="黑体"/>
          <w:bCs/>
          <w:color w:val="auto"/>
          <w:sz w:val="44"/>
          <w:szCs w:val="44"/>
          <w:highlight w:val="none"/>
        </w:rPr>
        <w:outlineLvl w:val="9"/>
      </w:pPr>
      <w:r/>
      <w:bookmarkStart w:id="238" w:name="_Toc11280"/>
      <w:r/>
      <w:bookmarkStart w:id="239" w:name="_Toc27373"/>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w:t>
      </w:r>
      <w:r>
        <w:rPr>
          <w:rFonts w:hint="eastAsia" w:ascii="宋体" w:hAnsi="宋体" w:eastAsia="宋体" w:cs="Times New Roman"/>
          <w:color w:val="auto"/>
          <w:sz w:val="24"/>
          <w:szCs w:val="21"/>
          <w:highlight w:val="none"/>
          <w:shd w:val="clear" w:color="auto" w:fill="auto"/>
          <w:lang w:val="en-US" w:eastAsia="zh-CN" w:bidi="ar-SA"/>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29"/>
      <w:r/>
      <w:bookmarkEnd w:id="230"/>
      <w:r/>
      <w:bookmarkEnd w:id="231"/>
      <w:r/>
      <w:bookmarkEnd w:id="232"/>
      <w:r/>
      <w:bookmarkEnd w:id="233"/>
      <w:r/>
      <w:bookmarkEnd w:id="238"/>
      <w:r/>
      <w:bookmarkEnd w:id="239"/>
      <w:r/>
      <w:bookmarkStart w:id="240" w:name="_Toc165205796"/>
      <w:r/>
      <w:bookmarkStart w:id="241" w:name="_Toc581"/>
      <w:r/>
      <w:bookmarkStart w:id="242" w:name="_Hlt16619350"/>
      <w:r/>
      <w:bookmarkStart w:id="243" w:name="_Toc20823346"/>
      <w:r/>
      <w:bookmarkStart w:id="244" w:name="_Toc120614244"/>
      <w:r/>
      <w:bookmarkStart w:id="245" w:name="_Toc16938590"/>
      <w:r/>
      <w:bookmarkStart w:id="246" w:name="_Toc462564139"/>
      <w:r/>
      <w:bookmarkStart w:id="247" w:name="_Toc479757211"/>
      <w:r>
        <w:rPr>
          <w:rFonts w:hint="eastAsia" w:ascii="黑体" w:hAnsi="黑体" w:eastAsia="黑体"/>
          <w:bCs/>
          <w:color w:val="auto"/>
          <w:sz w:val="44"/>
          <w:szCs w:val="44"/>
          <w:highlight w:val="none"/>
        </w:rPr>
        <w:br w:type="page" w:clear="all"/>
      </w:r>
      <w:r/>
    </w:p>
    <w:p>
      <w:pPr>
        <w:jc w:val="center"/>
        <w:keepLines/>
        <w:keepNext/>
        <w:spacing w:line="360" w:lineRule="auto"/>
        <w:rPr>
          <w:rFonts w:ascii="黑体" w:hAnsi="黑体" w:eastAsia="黑体"/>
          <w:bCs/>
          <w:color w:val="auto"/>
          <w:sz w:val="44"/>
          <w:szCs w:val="44"/>
          <w:highlight w:val="none"/>
        </w:rPr>
        <w:outlineLvl w:val="0"/>
      </w:pPr>
      <w:r>
        <w:rPr>
          <w:rFonts w:hint="eastAsia" w:ascii="黑体" w:hAnsi="黑体" w:eastAsia="黑体"/>
          <w:bCs/>
          <w:color w:val="auto"/>
          <w:sz w:val="44"/>
          <w:szCs w:val="44"/>
          <w:highlight w:val="none"/>
        </w:rPr>
        <w:t xml:space="preserve">第三章  合同文本</w:t>
      </w:r>
      <w:bookmarkEnd w:id="240"/>
      <w:r/>
      <w:bookmarkEnd w:id="241"/>
      <w:r/>
      <w:r/>
    </w:p>
    <w:p>
      <w:pPr>
        <w:jc w:val="center"/>
        <w:spacing w:line="360" w:lineRule="auto"/>
        <w:rPr>
          <w:rFonts w:hint="eastAsia" w:ascii="宋体" w:hAnsi="宋体" w:cs="Times New Roman"/>
          <w:b/>
          <w:bCs/>
          <w:color w:val="auto"/>
          <w:sz w:val="52"/>
          <w:szCs w:val="24"/>
          <w:highlight w:val="none"/>
        </w:rPr>
      </w:pPr>
      <w:r/>
      <w:bookmarkStart w:id="248" w:name="_Toc4663"/>
      <w:r/>
      <w:r/>
    </w:p>
    <w:p>
      <w:pPr>
        <w:ind w:firstLine="2078"/>
        <w:spacing w:line="360" w:lineRule="auto"/>
        <w:rPr>
          <w:rFonts w:hint="eastAsia" w:ascii="宋体" w:hAnsi="宋体" w:cs="Times New Roman"/>
          <w:b/>
          <w:bCs/>
          <w:color w:val="auto"/>
          <w:sz w:val="52"/>
          <w:szCs w:val="24"/>
          <w:highlight w:val="none"/>
        </w:rPr>
      </w:pPr>
      <w:r>
        <w:rPr>
          <w:rFonts w:hint="eastAsia" w:ascii="宋体" w:hAnsi="宋体" w:cs="Times New Roman"/>
          <w:b/>
          <w:bCs/>
          <w:color w:val="auto"/>
          <w:sz w:val="52"/>
          <w:szCs w:val="24"/>
          <w:highlight w:val="none"/>
        </w:rPr>
        <w:t xml:space="preserve">连 云 港 市 政 府 采 购</w:t>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t xml:space="preserve">                                                 </w:t>
      </w:r>
      <w:r/>
    </w:p>
    <w:p>
      <w:pPr>
        <w:jc w:val="center"/>
        <w:spacing w:line="360" w:lineRule="auto"/>
        <w:rPr>
          <w:rFonts w:hint="eastAsia" w:ascii="宋体" w:hAnsi="宋体" w:cs="Times New Roman"/>
          <w:b/>
          <w:bCs/>
          <w:color w:val="auto"/>
          <w:sz w:val="44"/>
          <w:szCs w:val="24"/>
          <w:highlight w:val="none"/>
        </w:rPr>
      </w:pPr>
      <w:r>
        <w:rPr>
          <w:rFonts w:hint="eastAsia" w:ascii="宋体" w:hAnsi="宋体" w:cs="Times New Roman"/>
          <w:b/>
          <w:bCs/>
          <w:color w:val="auto"/>
          <w:sz w:val="44"/>
          <w:szCs w:val="24"/>
          <w:highlight w:val="none"/>
          <w:u w:val="single"/>
        </w:rPr>
        <w:t xml:space="preserve">                    </w:t>
      </w:r>
      <w:r>
        <w:rPr>
          <w:rFonts w:hint="eastAsia" w:ascii="宋体" w:hAnsi="宋体" w:cs="Times New Roman"/>
          <w:b/>
          <w:bCs/>
          <w:color w:val="auto"/>
          <w:sz w:val="44"/>
          <w:szCs w:val="24"/>
          <w:highlight w:val="none"/>
        </w:rPr>
        <w:t xml:space="preserve">合同</w:t>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r>
      <w:r/>
    </w:p>
    <w:p>
      <w:pPr>
        <w:ind w:firstLine="3070"/>
        <w:spacing w:line="360" w:lineRule="auto"/>
        <w:rPr>
          <w:rFonts w:hint="eastAsia" w:ascii="宋体" w:hAnsi="宋体" w:cs="Times New Roman"/>
          <w:b/>
          <w:bCs/>
          <w:color w:val="auto"/>
          <w:sz w:val="44"/>
          <w:szCs w:val="44"/>
          <w:highlight w:val="none"/>
        </w:rPr>
      </w:pPr>
      <w:r>
        <w:rPr>
          <w:rFonts w:hint="eastAsia" w:ascii="宋体" w:hAnsi="宋体" w:cs="Times New Roman"/>
          <w:b/>
          <w:bCs/>
          <w:color w:val="auto"/>
          <w:sz w:val="44"/>
          <w:szCs w:val="44"/>
          <w:highlight w:val="none"/>
        </w:rPr>
      </w:r>
      <w:r/>
    </w:p>
    <w:p>
      <w:pPr>
        <w:ind w:firstLine="880"/>
        <w:spacing w:line="360" w:lineRule="auto"/>
        <w:rPr>
          <w:rFonts w:hint="eastAsia" w:ascii="宋体" w:hAnsi="宋体" w:cs="Times New Roman"/>
          <w:color w:val="auto"/>
          <w:sz w:val="44"/>
          <w:szCs w:val="44"/>
          <w:highlight w:val="none"/>
        </w:rPr>
      </w:pPr>
      <w:r>
        <w:rPr>
          <w:rFonts w:hint="eastAsia" w:ascii="宋体" w:hAnsi="宋体" w:cs="Times New Roman"/>
          <w:color w:val="auto"/>
          <w:sz w:val="44"/>
          <w:szCs w:val="44"/>
          <w:highlight w:val="none"/>
        </w:rPr>
      </w:r>
      <w:r/>
    </w:p>
    <w:p>
      <w:pPr>
        <w:ind w:firstLine="1966"/>
        <w:spacing w:line="360" w:lineRule="auto"/>
        <w:rPr>
          <w:rFonts w:hint="eastAsia" w:ascii="宋体" w:hAnsi="宋体" w:cs="Times New Roman"/>
          <w:b/>
          <w:bCs/>
          <w:color w:val="auto"/>
          <w:sz w:val="44"/>
          <w:szCs w:val="44"/>
          <w:highlight w:val="none"/>
        </w:rPr>
      </w:pPr>
      <w:r>
        <w:rPr>
          <w:rFonts w:hint="eastAsia" w:ascii="宋体" w:hAnsi="宋体" w:cs="Times New Roman"/>
          <w:b/>
          <w:bCs/>
          <w:color w:val="auto"/>
          <w:sz w:val="44"/>
          <w:szCs w:val="44"/>
          <w:highlight w:val="none"/>
        </w:rPr>
        <w:t xml:space="preserve">合同编号：</w:t>
      </w:r>
      <w:r/>
    </w:p>
    <w:p>
      <w:pPr>
        <w:ind w:firstLine="880"/>
        <w:spacing w:line="360" w:lineRule="auto"/>
        <w:rPr>
          <w:rFonts w:hint="eastAsia" w:ascii="宋体" w:hAnsi="宋体" w:cs="Times New Roman"/>
          <w:color w:val="auto"/>
          <w:sz w:val="44"/>
          <w:szCs w:val="24"/>
          <w:highlight w:val="none"/>
        </w:rPr>
      </w:pPr>
      <w:r>
        <w:rPr>
          <w:rFonts w:hint="eastAsia" w:ascii="宋体" w:hAnsi="宋体" w:cs="Times New Roman"/>
          <w:color w:val="auto"/>
          <w:sz w:val="44"/>
          <w:szCs w:val="24"/>
          <w:highlight w:val="none"/>
        </w:rPr>
      </w:r>
      <w:r/>
    </w:p>
    <w:p>
      <w:pPr>
        <w:ind w:firstLine="880"/>
        <w:spacing w:line="360" w:lineRule="auto"/>
        <w:rPr>
          <w:rFonts w:hint="eastAsia" w:ascii="宋体" w:hAnsi="宋体" w:cs="Times New Roman"/>
          <w:color w:val="auto"/>
          <w:sz w:val="44"/>
          <w:szCs w:val="24"/>
          <w:highlight w:val="none"/>
        </w:rPr>
      </w:pPr>
      <w:r>
        <w:rPr>
          <w:rFonts w:hint="eastAsia" w:ascii="宋体" w:hAnsi="宋体" w:cs="Times New Roman"/>
          <w:color w:val="auto"/>
          <w:sz w:val="44"/>
          <w:szCs w:val="24"/>
          <w:highlight w:val="none"/>
        </w:rPr>
      </w:r>
      <w:r/>
    </w:p>
    <w:p>
      <w:pPr>
        <w:ind w:firstLine="880"/>
        <w:spacing w:line="360" w:lineRule="auto"/>
        <w:rPr>
          <w:rFonts w:hint="eastAsia" w:ascii="宋体" w:hAnsi="宋体" w:cs="Times New Roman"/>
          <w:color w:val="auto"/>
          <w:sz w:val="44"/>
          <w:szCs w:val="24"/>
          <w:highlight w:val="none"/>
        </w:rPr>
      </w:pPr>
      <w:r>
        <w:rPr>
          <w:rFonts w:hint="eastAsia" w:ascii="宋体" w:hAnsi="宋体" w:cs="Times New Roman"/>
          <w:color w:val="auto"/>
          <w:sz w:val="44"/>
          <w:szCs w:val="24"/>
          <w:highlight w:val="none"/>
        </w:rPr>
      </w:r>
      <w:r/>
    </w:p>
    <w:p>
      <w:pPr>
        <w:ind w:firstLine="1758"/>
        <w:spacing w:line="360" w:lineRule="auto"/>
        <w:rPr>
          <w:rFonts w:hint="eastAsia" w:ascii="宋体" w:hAnsi="宋体" w:cs="Times New Roman"/>
          <w:b/>
          <w:bCs/>
          <w:color w:val="auto"/>
          <w:sz w:val="44"/>
          <w:szCs w:val="24"/>
          <w:highlight w:val="none"/>
        </w:rPr>
      </w:pPr>
      <w:r>
        <w:rPr>
          <w:rFonts w:hint="eastAsia" w:ascii="宋体" w:hAnsi="宋体" w:cs="Times New Roman"/>
          <w:b/>
          <w:bCs/>
          <w:color w:val="auto"/>
          <w:sz w:val="44"/>
          <w:szCs w:val="24"/>
          <w:highlight w:val="none"/>
        </w:rPr>
        <w:t xml:space="preserve">采购人：</w:t>
      </w:r>
      <w:r/>
    </w:p>
    <w:p>
      <w:pPr>
        <w:ind w:firstLine="1758"/>
        <w:spacing w:line="360" w:lineRule="auto"/>
        <w:rPr>
          <w:rFonts w:hint="eastAsia" w:ascii="宋体" w:hAnsi="宋体" w:cs="Times New Roman"/>
          <w:b/>
          <w:bCs/>
          <w:color w:val="auto"/>
          <w:sz w:val="44"/>
          <w:szCs w:val="24"/>
          <w:highlight w:val="none"/>
        </w:rPr>
      </w:pPr>
      <w:r>
        <w:rPr>
          <w:rFonts w:hint="eastAsia" w:ascii="宋体" w:hAnsi="宋体" w:cs="Times New Roman"/>
          <w:b/>
          <w:bCs/>
          <w:color w:val="auto"/>
          <w:sz w:val="44"/>
          <w:szCs w:val="24"/>
          <w:highlight w:val="none"/>
        </w:rPr>
        <w:t xml:space="preserve">中标人：</w:t>
      </w:r>
      <w:r/>
    </w:p>
    <w:p>
      <w:pPr>
        <w:ind w:firstLine="420"/>
        <w:spacing w:line="360" w:lineRule="auto"/>
        <w:rPr>
          <w:rFonts w:hint="eastAsia" w:ascii="宋体" w:hAnsi="宋体" w:cs="Times New Roman"/>
          <w:color w:val="auto"/>
          <w:szCs w:val="24"/>
          <w:highlight w:val="none"/>
        </w:rPr>
      </w:pPr>
      <w:r>
        <w:rPr>
          <w:rFonts w:hint="eastAsia" w:ascii="宋体" w:hAnsi="宋体" w:cs="Times New Roman"/>
          <w:color w:val="auto"/>
          <w:szCs w:val="24"/>
          <w:highlight w:val="none"/>
        </w:rPr>
      </w:r>
      <w:r/>
    </w:p>
    <w:p>
      <w:pPr>
        <w:ind w:firstLine="420"/>
        <w:spacing w:line="360" w:lineRule="auto"/>
        <w:rPr>
          <w:rFonts w:hint="eastAsia" w:ascii="宋体" w:hAnsi="宋体" w:cs="Times New Roman"/>
          <w:color w:val="auto"/>
          <w:sz w:val="28"/>
          <w:szCs w:val="24"/>
          <w:highlight w:val="none"/>
        </w:rPr>
      </w:pPr>
      <w:r>
        <w:rPr>
          <w:rFonts w:hint="default" w:ascii="宋体" w:hAnsi="宋体" w:cs="Times New Roman"/>
          <w:color w:val="auto"/>
          <w:szCs w:val="24"/>
          <w:highlight w:val="none"/>
        </w:rPr>
        <w:br w:type="page" w:clear="all"/>
      </w:r>
      <w:r/>
    </w:p>
    <w:p>
      <w:pPr>
        <w:ind w:left="359" w:firstLine="198"/>
        <w:jc w:val="center"/>
        <w:rPr>
          <w:rFonts w:hint="eastAsia" w:ascii="宋体" w:hAnsi="宋体" w:cs="Times New Roman"/>
          <w:color w:val="auto"/>
          <w:sz w:val="28"/>
          <w:szCs w:val="24"/>
          <w:highlight w:val="none"/>
        </w:rPr>
      </w:pPr>
      <w:r>
        <w:rPr>
          <w:rFonts w:hint="eastAsia" w:ascii="宋体" w:hAnsi="宋体" w:cs="Times New Roman"/>
          <w:color w:val="auto"/>
          <w:sz w:val="28"/>
          <w:szCs w:val="24"/>
          <w:highlight w:val="none"/>
        </w:rPr>
        <w:t xml:space="preserve">目  录</w:t>
      </w:r>
      <w:r/>
    </w:p>
    <w:p>
      <w:pPr>
        <w:ind w:left="359" w:firstLine="198"/>
        <w:spacing w:line="360" w:lineRule="auto"/>
        <w:tabs>
          <w:tab w:val="left" w:pos="1170" w:leader="none"/>
        </w:tabs>
        <w:rPr>
          <w:rFonts w:hint="eastAsia" w:ascii="宋体" w:hAnsi="宋体" w:cs="Times New Roman"/>
          <w:color w:val="auto"/>
          <w:sz w:val="28"/>
          <w:szCs w:val="24"/>
          <w:highlight w:val="none"/>
        </w:rPr>
      </w:pPr>
      <w:r>
        <w:rPr>
          <w:rFonts w:hint="default" w:ascii="宋体" w:hAnsi="宋体" w:cs="Times New Roman"/>
          <w:color w:val="auto"/>
          <w:sz w:val="28"/>
          <w:szCs w:val="24"/>
          <w:highlight w:val="none"/>
        </w:rPr>
        <w:tab/>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1、</w:t>
      </w:r>
      <w:r>
        <w:rPr>
          <w:rFonts w:hint="eastAsia" w:ascii="宋体" w:hAnsi="宋体" w:cs="Times New Roman"/>
          <w:color w:val="auto"/>
          <w:sz w:val="28"/>
          <w:szCs w:val="24"/>
          <w:highlight w:val="none"/>
        </w:rPr>
        <w:t xml:space="preserve">合同书</w:t>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2、</w:t>
      </w:r>
      <w:r>
        <w:rPr>
          <w:rFonts w:hint="eastAsia" w:ascii="宋体" w:hAnsi="宋体" w:cs="Times New Roman"/>
          <w:color w:val="auto"/>
          <w:sz w:val="28"/>
          <w:szCs w:val="24"/>
          <w:highlight w:val="none"/>
        </w:rPr>
        <w:t xml:space="preserve">中标通知书</w:t>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3、</w:t>
      </w:r>
      <w:r>
        <w:rPr>
          <w:rFonts w:hint="eastAsia" w:ascii="宋体" w:hAnsi="宋体" w:cs="Times New Roman"/>
          <w:color w:val="auto"/>
          <w:sz w:val="28"/>
          <w:szCs w:val="24"/>
          <w:highlight w:val="none"/>
        </w:rPr>
        <w:t xml:space="preserve">履约保证金缴纳证明</w:t>
      </w:r>
      <w:r/>
    </w:p>
    <w:p>
      <w:pPr>
        <w:numPr>
          <w:ilvl w:val="0"/>
          <w:numId w:val="0"/>
        </w:numPr>
        <w:ind w:left="357"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4、</w:t>
      </w:r>
      <w:r>
        <w:rPr>
          <w:rFonts w:hint="eastAsia" w:ascii="宋体" w:hAnsi="宋体" w:cs="Times New Roman"/>
          <w:color w:val="auto"/>
          <w:sz w:val="28"/>
          <w:szCs w:val="24"/>
          <w:highlight w:val="none"/>
        </w:rPr>
        <w:t xml:space="preserve">项目更改及补充文件</w:t>
      </w:r>
      <w:r/>
    </w:p>
    <w:p>
      <w:pPr>
        <w:numPr>
          <w:ilvl w:val="0"/>
          <w:numId w:val="0"/>
        </w:numPr>
        <w:ind w:left="360"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5、</w:t>
      </w:r>
      <w:r>
        <w:rPr>
          <w:rFonts w:hint="eastAsia" w:ascii="宋体" w:hAnsi="宋体" w:cs="Times New Roman"/>
          <w:color w:val="auto"/>
          <w:sz w:val="28"/>
          <w:szCs w:val="24"/>
          <w:highlight w:val="none"/>
        </w:rPr>
        <w:t xml:space="preserve">投标报价表</w:t>
      </w:r>
      <w:r/>
    </w:p>
    <w:p>
      <w:pPr>
        <w:numPr>
          <w:ilvl w:val="0"/>
          <w:numId w:val="0"/>
        </w:numPr>
        <w:ind w:left="360" w:firstLine="543"/>
        <w:spacing w:line="360" w:lineRule="auto"/>
        <w:rPr>
          <w:rFonts w:hint="eastAsia" w:ascii="宋体" w:hAnsi="宋体" w:cs="Times New Roman"/>
          <w:color w:val="auto"/>
          <w:sz w:val="28"/>
          <w:szCs w:val="24"/>
          <w:highlight w:val="none"/>
        </w:rPr>
      </w:pPr>
      <w:r>
        <w:rPr>
          <w:rFonts w:hint="eastAsia" w:ascii="宋体" w:hAnsi="宋体" w:cs="Times New Roman"/>
          <w:color w:val="auto"/>
          <w:sz w:val="28"/>
          <w:szCs w:val="24"/>
          <w:highlight w:val="none"/>
          <w:lang w:val="en-US" w:eastAsia="zh-CN" w:bidi="ar-SA"/>
        </w:rPr>
        <w:t xml:space="preserve">6、</w:t>
      </w:r>
      <w:r>
        <w:rPr>
          <w:rFonts w:hint="eastAsia" w:ascii="宋体" w:hAnsi="宋体" w:cs="Times New Roman"/>
          <w:color w:val="auto"/>
          <w:sz w:val="28"/>
          <w:szCs w:val="24"/>
          <w:highlight w:val="none"/>
        </w:rPr>
        <w:t xml:space="preserve">中标单位澄清函</w:t>
      </w:r>
      <w:r/>
    </w:p>
    <w:p>
      <w:pPr>
        <w:ind w:firstLine="420"/>
        <w:jc w:val="left"/>
        <w:spacing w:line="560" w:lineRule="exact"/>
        <w:rPr>
          <w:rFonts w:hint="eastAsia" w:ascii="宋体" w:hAnsi="宋体" w:cs="Times New Roman"/>
          <w:bCs/>
          <w:color w:val="auto"/>
          <w:sz w:val="24"/>
          <w:szCs w:val="24"/>
          <w:highlight w:val="none"/>
        </w:rPr>
      </w:pPr>
      <w:r>
        <w:rPr>
          <w:rFonts w:hint="default" w:ascii="Times New Roman" w:hAnsi="Times New Roman" w:cs="Times New Roman"/>
          <w:color w:val="auto"/>
          <w:szCs w:val="24"/>
          <w:highlight w:val="none"/>
        </w:rPr>
        <w:br w:type="page" w:clear="all"/>
      </w:r>
      <w:r>
        <w:rPr>
          <w:rFonts w:hint="eastAsia" w:ascii="宋体" w:hAnsi="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rFonts w:hint="eastAsia" w:ascii="Times New Roman" w:hAnsi="Times New Roman" w:cs="Times New Roman"/>
          <w:b/>
          <w:color w:val="auto"/>
          <w:sz w:val="32"/>
          <w:szCs w:val="32"/>
          <w:highlight w:val="none"/>
        </w:rPr>
      </w:pPr>
      <w:r>
        <w:rPr>
          <w:rFonts w:hint="eastAsia" w:ascii="Times New Roman" w:hAnsi="Times New Roman" w:cs="Times New Roman"/>
          <w:b/>
          <w:color w:val="auto"/>
          <w:sz w:val="32"/>
          <w:szCs w:val="32"/>
          <w:highlight w:val="none"/>
        </w:rPr>
      </w:r>
      <w:r/>
    </w:p>
    <w:p>
      <w:pPr>
        <w:jc w:val="center"/>
        <w:spacing w:line="560" w:lineRule="exact"/>
        <w:rPr>
          <w:rFonts w:hint="default" w:ascii="宋体" w:hAnsi="宋体" w:cs="Times New Roman"/>
          <w:bCs/>
          <w:color w:val="auto"/>
          <w:sz w:val="24"/>
          <w:szCs w:val="24"/>
          <w:highlight w:val="none"/>
        </w:rPr>
      </w:pPr>
      <w:r>
        <w:rPr>
          <w:rFonts w:hint="eastAsia" w:ascii="Times New Roman" w:hAnsi="Times New Roman" w:cs="Times New Roman"/>
          <w:b/>
          <w:color w:val="auto"/>
          <w:sz w:val="32"/>
          <w:szCs w:val="32"/>
          <w:highlight w:val="none"/>
        </w:rPr>
        <w:t xml:space="preserve">政府采购合同</w:t>
      </w:r>
      <w:r/>
    </w:p>
    <w:p>
      <w:pPr>
        <w:pStyle w:val="793"/>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b w:val="0"/>
          <w:bCs/>
          <w:color w:val="auto"/>
          <w:sz w:val="24"/>
          <w:szCs w:val="24"/>
          <w:highlight w:val="none"/>
        </w:rPr>
        <w:t xml:space="preserve">连云港市第一人民医院</w:t>
      </w:r>
      <w:r/>
    </w:p>
    <w:p>
      <w:pPr>
        <w:pStyle w:val="793"/>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w:t>
      </w:r>
      <w:r/>
    </w:p>
    <w:p>
      <w:pPr>
        <w:pStyle w:val="793"/>
        <w:ind w:left="0" w:firstLine="48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rPr>
          <w:rFonts w:hint="eastAsia" w:hAnsi="宋体" w:cs="宋体"/>
          <w:b w:val="0"/>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采购包</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招标的结果，签订本合同。</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服务期限：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贰年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eastAsia="宋体" w:cs="宋体"/>
          <w:color w:val="auto"/>
          <w:sz w:val="24"/>
          <w:szCs w:val="24"/>
          <w:highlight w:val="none"/>
          <w:u w:val="single"/>
        </w:rPr>
        <w:t xml:space="preserve">人民币</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），价格含税</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本合同价款包含</w:t>
      </w:r>
      <w:r>
        <w:rPr>
          <w:rFonts w:hint="eastAsia" w:ascii="宋体" w:hAnsi="宋体" w:eastAsia="宋体" w:cs="宋体"/>
          <w:bCs/>
          <w:color w:val="auto"/>
          <w:sz w:val="24"/>
          <w:szCs w:val="24"/>
          <w:highlight w:val="none"/>
        </w:rPr>
        <w:t xml:space="preserve">管理人员和服务人员的工资、五险、</w:t>
      </w:r>
      <w:r>
        <w:rPr>
          <w:rFonts w:hint="eastAsia" w:ascii="宋体" w:hAnsi="宋体" w:eastAsia="宋体" w:cs="宋体"/>
          <w:bCs/>
          <w:color w:val="auto"/>
          <w:sz w:val="24"/>
          <w:szCs w:val="24"/>
          <w:highlight w:val="none"/>
          <w:lang w:val="en-US" w:eastAsia="zh-CN"/>
        </w:rPr>
        <w:t xml:space="preserve">公积金、防暑降温费、</w:t>
      </w:r>
      <w:r>
        <w:rPr>
          <w:rFonts w:hint="eastAsia" w:ascii="宋体" w:hAnsi="宋体" w:eastAsia="宋体" w:cs="宋体"/>
          <w:color w:val="auto"/>
          <w:sz w:val="24"/>
          <w:szCs w:val="24"/>
          <w:highlight w:val="none"/>
        </w:rPr>
        <w:t xml:space="preserve">超过法定工时的工作日加班、周末加班、法定休假日加班等费用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福利、耗材、服装、税费、合理利润等费用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五险及</w:t>
      </w:r>
      <w:r>
        <w:rPr>
          <w:rFonts w:hint="eastAsia" w:ascii="宋体" w:hAnsi="宋体" w:eastAsia="宋体" w:cs="宋体"/>
          <w:bCs/>
          <w:color w:val="auto"/>
          <w:sz w:val="24"/>
          <w:szCs w:val="24"/>
          <w:highlight w:val="none"/>
          <w:lang w:val="en-US" w:eastAsia="zh-CN"/>
        </w:rPr>
        <w:t xml:space="preserve">公积金</w:t>
      </w:r>
      <w:r>
        <w:rPr>
          <w:rFonts w:hint="eastAsia" w:ascii="宋体" w:hAnsi="宋体" w:eastAsia="宋体" w:cs="宋体"/>
          <w:bCs/>
          <w:color w:val="auto"/>
          <w:sz w:val="24"/>
          <w:szCs w:val="24"/>
          <w:highlight w:val="none"/>
        </w:rPr>
        <w:t xml:space="preserve">不能低于连云港市最低标准等规定）。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合同履约期内不因国家提高最低工资标准、保险金比例等政策调整因素而调整合同价。</w:t>
      </w:r>
      <w:r>
        <w:rPr>
          <w:rFonts w:hint="eastAsia" w:ascii="宋体" w:hAnsi="宋体" w:eastAsia="宋体" w:cs="宋体"/>
          <w:color w:val="auto"/>
          <w:sz w:val="24"/>
          <w:szCs w:val="24"/>
          <w:highlight w:val="none"/>
        </w:rPr>
        <w:t xml:space="preserve">甲方在上述合同价款之外不再向乙方支付其他任何费用。</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三、服务范围</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color w:val="auto"/>
          <w:sz w:val="24"/>
          <w:szCs w:val="24"/>
          <w:highlight w:val="none"/>
        </w:rPr>
        <w:t xml:space="preserve">连云港市第一人民医院高新区院区、通灌院区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含口腔医院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的门卫值守、防火防盗巡查、建筑消防设施巡检、应急处突、消防控制室值守、纠纷处置、安检门值守等服务</w:t>
      </w:r>
      <w:r>
        <w:rPr>
          <w:rFonts w:hint="eastAsia" w:ascii="宋体" w:hAnsi="宋体" w:eastAsia="宋体" w:cs="宋体"/>
          <w:bCs/>
          <w:color w:val="auto"/>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四、服务标准：</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全天候24小时对</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各区域进行治安巡查、消防监控及参与突发事件的处理（主要为门卫、巡逻、车辆管理、火灾的预警、报警、初起火灾的扑救、火灾救援、消控室值守、诊疗秩序维持、治安突发事件处置、疫情应急病区的警戒及看守、自然灾害救援等事件）</w:t>
      </w:r>
      <w:bookmarkStart w:id="249" w:name="_Toc7556"/>
      <w:r/>
      <w:bookmarkStart w:id="250" w:name="_Toc18910"/>
      <w:r/>
      <w:bookmarkStart w:id="251" w:name="_Toc29004"/>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维护</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的正常医疗秩序，保障</w:t>
      </w:r>
      <w:r>
        <w:rPr>
          <w:rFonts w:hint="eastAsia" w:ascii="宋体" w:hAnsi="宋体" w:eastAsia="宋体" w:cs="宋体"/>
          <w:bCs/>
          <w:color w:val="auto"/>
          <w:sz w:val="24"/>
          <w:szCs w:val="24"/>
          <w:highlight w:val="none"/>
          <w:lang w:eastAsia="zh-CN"/>
        </w:rPr>
        <w:t xml:space="preserve">甲方院内</w:t>
      </w:r>
      <w:r>
        <w:rPr>
          <w:rFonts w:hint="eastAsia" w:ascii="宋体" w:hAnsi="宋体" w:eastAsia="宋体" w:cs="宋体"/>
          <w:bCs/>
          <w:color w:val="auto"/>
          <w:sz w:val="24"/>
          <w:szCs w:val="24"/>
          <w:highlight w:val="none"/>
        </w:rPr>
        <w:t xml:space="preserve">所有人员的人身和财产安全，保护</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的设施和设备及各类财产不受损失，预防各类政治、刑事案件、治安事件和火灾事故的发生。</w:t>
      </w:r>
      <w:bookmarkEnd w:id="249"/>
      <w:r/>
      <w:bookmarkEnd w:id="250"/>
      <w:r/>
      <w:bookmarkEnd w:id="251"/>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252" w:name="_Toc27131"/>
      <w:r/>
      <w:bookmarkStart w:id="253" w:name="_Toc8497"/>
      <w:r/>
      <w:bookmarkStart w:id="254" w:name="_Toc4119"/>
      <w:r>
        <w:rPr>
          <w:rFonts w:hint="eastAsia" w:ascii="宋体" w:hAnsi="宋体" w:eastAsia="宋体" w:cs="宋体"/>
          <w:bCs/>
          <w:color w:val="auto"/>
          <w:sz w:val="24"/>
          <w:szCs w:val="24"/>
          <w:highlight w:val="none"/>
        </w:rPr>
        <w:t xml:space="preserve">3.配合公安机关、</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保卫部门做好信息的收集工作，防止各类敌对势力的破坏和渗透，对发现的可疑情况和线索应及时向</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保卫部门报告。</w:t>
      </w:r>
      <w:bookmarkEnd w:id="252"/>
      <w:r/>
      <w:bookmarkEnd w:id="253"/>
      <w:r/>
      <w:bookmarkEnd w:id="254"/>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255" w:name="_Toc12691"/>
      <w:r/>
      <w:bookmarkStart w:id="256" w:name="_Toc6272"/>
      <w:r/>
      <w:bookmarkStart w:id="257" w:name="_Toc106"/>
      <w:r>
        <w:rPr>
          <w:rFonts w:hint="eastAsia" w:ascii="宋体" w:hAnsi="宋体" w:eastAsia="宋体" w:cs="宋体"/>
          <w:bCs/>
          <w:color w:val="auto"/>
          <w:sz w:val="24"/>
          <w:szCs w:val="24"/>
          <w:highlight w:val="none"/>
        </w:rPr>
        <w:t xml:space="preserve">4.负责</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财务收费款及重要物资押送途中的安全，确保不发生任何事故。</w:t>
      </w:r>
      <w:bookmarkEnd w:id="255"/>
      <w:r/>
      <w:bookmarkEnd w:id="256"/>
      <w:r/>
      <w:bookmarkEnd w:id="25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5.组织人员对</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院内安全存在的隐患进行查找，及时报告不安全因素，并配合</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保卫部门进行整改。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6.全体保安员均为义务消防员，</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应对保安员进行岗前培训，特别是消防技能的培训，使保安员具有一定的业务素质，消防监控室值班人员应按消防法规要求持证（建构筑物消防员</w:t>
      </w:r>
      <w:r>
        <w:rPr>
          <w:rFonts w:hint="eastAsia" w:ascii="宋体" w:hAnsi="宋体" w:eastAsia="宋体" w:cs="宋体"/>
          <w:bCs/>
          <w:color w:val="auto"/>
          <w:sz w:val="24"/>
          <w:szCs w:val="24"/>
          <w:highlight w:val="none"/>
          <w:lang w:val="en-US" w:eastAsia="zh-CN"/>
        </w:rPr>
        <w:t xml:space="preserve">中级或消防操作员中级及以上证书</w:t>
      </w:r>
      <w:r>
        <w:rPr>
          <w:rFonts w:hint="eastAsia" w:ascii="宋体" w:hAnsi="宋体" w:eastAsia="宋体" w:cs="宋体"/>
          <w:bCs/>
          <w:color w:val="auto"/>
          <w:sz w:val="24"/>
          <w:szCs w:val="24"/>
          <w:highlight w:val="none"/>
        </w:rPr>
        <w:t xml:space="preserve">）上岗。</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7.全体保安员均为应急救援队员，</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应对保安员进行培训，特别是快速反应应急救援培训，当发生火灾、恶性治安案件、重大疫情应急病区的警戒</w:t>
      </w:r>
      <w:r>
        <w:rPr>
          <w:rFonts w:hint="eastAsia" w:ascii="宋体" w:hAnsi="宋体" w:eastAsia="宋体" w:cs="宋体"/>
          <w:bCs/>
          <w:color w:val="auto"/>
          <w:sz w:val="24"/>
          <w:szCs w:val="24"/>
          <w:highlight w:val="none"/>
          <w:lang w:eastAsia="zh-CN"/>
        </w:rPr>
        <w:t xml:space="preserve">及其他自然灾害</w:t>
      </w:r>
      <w:r>
        <w:rPr>
          <w:rFonts w:hint="eastAsia" w:ascii="宋体" w:hAnsi="宋体" w:eastAsia="宋体" w:cs="宋体"/>
          <w:bCs/>
          <w:color w:val="auto"/>
          <w:sz w:val="24"/>
          <w:szCs w:val="24"/>
          <w:highlight w:val="none"/>
        </w:rPr>
        <w:t xml:space="preserve">突发事件时，3分钟内须有保安员赶到现场掌控局面，5至10分钟之内须派出足够人手参加救援。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8.建立完善的各项应急救援方案（火警、爆炸、投毒、群体性事件、</w:t>
      </w:r>
      <w:r>
        <w:rPr>
          <w:rFonts w:hint="eastAsia" w:ascii="宋体" w:hAnsi="宋体" w:eastAsia="宋体" w:cs="宋体"/>
          <w:bCs/>
          <w:color w:val="auto"/>
          <w:sz w:val="24"/>
          <w:szCs w:val="24"/>
          <w:highlight w:val="none"/>
          <w:lang w:eastAsia="zh-CN"/>
        </w:rPr>
        <w:t xml:space="preserve">其他破坏</w:t>
      </w:r>
      <w:r>
        <w:rPr>
          <w:rFonts w:hint="eastAsia" w:ascii="宋体" w:hAnsi="宋体" w:eastAsia="宋体" w:cs="宋体"/>
          <w:bCs/>
          <w:color w:val="auto"/>
          <w:sz w:val="24"/>
          <w:szCs w:val="24"/>
          <w:highlight w:val="none"/>
        </w:rPr>
        <w:t xml:space="preserve">、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区域内重大火灾、治安、交通、刑事等事件发生。</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建立完善的管理制度。包括保安队管理制度、接报警制度、重要人员及重要目标警卫制度、门卫值班制度、闭路电视监控管理制度、消防管理制度、车辆管理制度、值班巡逻制度、放行制度、交接班制度、奖惩制度、军事训练制度、会议制度、安全汇报制度及向</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保卫部门提供一份详细年度计划，做好</w:t>
      </w:r>
      <w:r>
        <w:rPr>
          <w:rFonts w:hint="eastAsia" w:ascii="宋体" w:hAnsi="宋体" w:eastAsia="宋体" w:cs="宋体"/>
          <w:bCs/>
          <w:color w:val="auto"/>
          <w:sz w:val="24"/>
          <w:szCs w:val="24"/>
          <w:highlight w:val="none"/>
          <w:lang w:eastAsia="zh-CN"/>
        </w:rPr>
        <w:t xml:space="preserve">台账</w:t>
      </w:r>
      <w:r>
        <w:rPr>
          <w:rFonts w:hint="eastAsia" w:ascii="宋体" w:hAnsi="宋体" w:eastAsia="宋体" w:cs="宋体"/>
          <w:bCs/>
          <w:color w:val="auto"/>
          <w:sz w:val="24"/>
          <w:szCs w:val="24"/>
          <w:highlight w:val="none"/>
        </w:rPr>
        <w:t xml:space="preserve">整理工作。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10.按要求派出持证（建构筑物消防员）人员在消防控制室实行24小时值班，严密监控，发现情况立即报告和处理并做好登记，本岗位人员不得随意更换。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11.保安员应熟悉</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整体地理环境及监控范围，熟练操作、维护使用监控系统设备。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12.积极配合</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做好与安全生产相关的宣传工作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服务公司必须保证每年有一次对</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开展安全宣传教育的活动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13.每月把</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所发生的一些重要情况如实以书面形式汇报到</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保卫部门，每月、季度、半年、年终分别做好事件记录及总结，并交到</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保卫部门备案。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14.按时按岗位安排保安到岗，不得随意减少岗位，因服务改造和岗位调整，</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可根据岗位实际需要在允许的范围内增减保安员数量，每个保安员增减的费用，按照合同</w:t>
      </w:r>
      <w:r>
        <w:rPr>
          <w:rFonts w:hint="eastAsia" w:ascii="宋体" w:hAnsi="宋体" w:eastAsia="宋体" w:cs="宋体"/>
          <w:bCs/>
          <w:color w:val="auto"/>
          <w:sz w:val="24"/>
          <w:szCs w:val="24"/>
          <w:highlight w:val="none"/>
          <w:lang w:val="en-US" w:eastAsia="zh-CN"/>
        </w:rPr>
        <w:t xml:space="preserve">价格均价</w:t>
      </w:r>
      <w:r>
        <w:rPr>
          <w:rFonts w:hint="eastAsia" w:ascii="宋体" w:hAnsi="宋体" w:eastAsia="宋体" w:cs="宋体"/>
          <w:bCs/>
          <w:color w:val="auto"/>
          <w:sz w:val="24"/>
          <w:szCs w:val="24"/>
          <w:highlight w:val="none"/>
        </w:rPr>
        <w:t xml:space="preserve">计算。</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rPr>
          <w:rFonts w:hint="eastAsia" w:ascii="宋体" w:hAnsi="宋体" w:eastAsia="宋体" w:cs="宋体"/>
          <w:bCs/>
          <w:color w:val="auto"/>
          <w:sz w:val="24"/>
          <w:szCs w:val="24"/>
          <w:highlight w:val="none"/>
          <w:lang w:eastAsia="zh-CN"/>
        </w:rPr>
        <w:t xml:space="preserve">确保</w:t>
      </w:r>
      <w:r>
        <w:rPr>
          <w:rFonts w:hint="eastAsia" w:ascii="宋体" w:hAnsi="宋体" w:eastAsia="宋体" w:cs="宋体"/>
          <w:bCs/>
          <w:color w:val="auto"/>
          <w:sz w:val="24"/>
          <w:szCs w:val="24"/>
          <w:highlight w:val="none"/>
        </w:rPr>
        <w:t xml:space="preserve">每年至少开展1次涉医违法犯罪应急演练、1次消防应急演练。</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、履约保证金</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乙方提交人民币</w:t>
      </w:r>
      <w:r>
        <w:rPr>
          <w:rFonts w:hint="eastAsia" w:ascii="宋体" w:hAnsi="宋体" w:cs="宋体"/>
          <w:color w:val="auto"/>
          <w:sz w:val="24"/>
          <w:szCs w:val="24"/>
          <w:highlight w:val="none"/>
          <w:lang w:val="en-US" w:eastAsia="zh-CN"/>
        </w:rPr>
        <w:t xml:space="preserve">10万</w:t>
      </w:r>
      <w:r>
        <w:rPr>
          <w:rFonts w:hint="eastAsia" w:ascii="宋体" w:hAnsi="宋体" w:eastAsia="宋体" w:cs="宋体"/>
          <w:color w:val="auto"/>
          <w:sz w:val="24"/>
          <w:szCs w:val="24"/>
          <w:highlight w:val="none"/>
        </w:rPr>
        <w:t xml:space="preserve">元作为本合同的履约保证金。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应当以支票、汇票、本票或者金融机构、担保机构出具的保函等非现金形式在合同签订前提交。</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履约保证金自合同生效之日起至合同约定的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主要义务履行完毕止，</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按合同约定退还履约保证金。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违约的，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将按照合同约定扣除其全部或部分履约保证金。如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违约给</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造成的损失超过履约保证金的，应当依法赔偿超过部分的损失。</w:t>
      </w:r>
      <w:r/>
    </w:p>
    <w:p>
      <w:pPr>
        <w:ind w:left="0"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甲方的权利和义务</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甲方有权对保安员的各项工作进行监督、检查和具体指导，有权对工作不合格保安员提出处理意见。</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甲方建立健全“三防”等各种安全防范措施和规章制度，以便于保安员依章执行，同时应教育本单位全体员工认真执行安全防范规定和支持配合保安员的工作。</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乙方的保安员为甲方抢险救灾和与违法犯罪作斗争而发生的伤残，甲方有提供抢救的义务，并视情给予一定的经济奖励。</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甲方应按合同约定按时向乙方支付保安服务费。</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甲方主管部门负责对乙方的保安服务质量进行考核，对达不到服务标准的行为，甲方有权提出限期整改意见和措施，如乙方不能如期整改到位，甲方依据考核标准进行处罚。</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如甲方需要乙方保安员承担合同规定以外的服务项目，应经甲乙双方商定后实施。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保安员因婚、丧、病等方面请假的甲方应于准予，但乙方应安排相应人员替班，确保甲方安全保卫工作不受影响。</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甲方对所聘用保安人员有管理、监督和批评教育的权利，有权向乙方建议对所聘用保安人员奖、惩、交流、更换，有权向乙方提出改进保安工作的要求和建议。</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乙方服务过程中因工作失误、失职等原因，造成甲方重大经济、名誉损失或造成甲方工作被动的，甲方有权要求乙方按实际损失承担赔偿责任。</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甲方按照协议约定提出交流、更换保安人员，乙方不能按约定时间交流更换，给甲方工作造成损失的，由乙方承担责任。</w:t>
      </w:r>
      <w:r/>
    </w:p>
    <w:p>
      <w:pPr>
        <w:ind w:left="0"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乙方的权利和义务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根据行业标准及甲方管理规定与服务要求，制订切实可行的安全保卫服务整体方案及应急预案，保证做到突发事件反应迅速、预案处置有力。</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依法办事，文明值勤，严格管理，保障甲方公共财产不受侵害，保障甲方医务人员人身安全。</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乙方全面负责服务范围内的正常医疗秩序，积极处置医疗纠纷等突发性事件。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乙方必须向甲方提供</w:t>
      </w:r>
      <w:r>
        <w:rPr>
          <w:rFonts w:hint="eastAsia" w:ascii="宋体" w:hAnsi="宋体" w:eastAsia="宋体" w:cs="宋体"/>
          <w:color w:val="auto"/>
          <w:sz w:val="24"/>
          <w:szCs w:val="24"/>
          <w:highlight w:val="none"/>
          <w:lang w:val="en-US" w:eastAsia="zh-CN"/>
        </w:rPr>
        <w:t xml:space="preserve">不少于</w:t>
      </w:r>
      <w:r>
        <w:rPr>
          <w:rFonts w:hint="eastAsia" w:ascii="宋体" w:hAnsi="宋体" w:cs="宋体"/>
          <w:color w:val="auto"/>
          <w:sz w:val="24"/>
          <w:szCs w:val="24"/>
          <w:highlight w:val="none"/>
          <w:lang w:val="en-US" w:eastAsia="zh-CN"/>
        </w:rPr>
        <w:t xml:space="preserve">合同约定的</w:t>
      </w:r>
      <w:r>
        <w:rPr>
          <w:rFonts w:hint="eastAsia" w:ascii="宋体" w:hAnsi="宋体" w:eastAsia="宋体" w:cs="宋体"/>
          <w:color w:val="auto"/>
          <w:sz w:val="24"/>
          <w:szCs w:val="24"/>
          <w:highlight w:val="none"/>
        </w:rPr>
        <w:t xml:space="preserve">保安人员，保安具体岗位安排见附件1</w:t>
      </w:r>
      <w:r>
        <w:rPr>
          <w:rFonts w:hint="eastAsia" w:ascii="宋体" w:hAnsi="宋体" w:eastAsia="宋体" w:cs="宋体"/>
          <w:color w:val="auto"/>
          <w:sz w:val="24"/>
          <w:szCs w:val="24"/>
          <w:highlight w:val="none"/>
          <w:lang w:val="en-US" w:eastAsia="zh-CN"/>
        </w:rPr>
        <w:t xml:space="preserve">,甲方可根据实际需求调整岗位</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保安员在合同规定时间和范围内为甲方服务而造成的人身伤害由乙方负责，甲方不负任何责任。</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甲方的财产、设备、设施等公用物资、停车场内的车辆、物品被盗、损坏，由于保安员失职造成的，经双方查证实属，由乙方承担相应的责任，并依法依规处理。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接受甲方主管部门监督管理，服从安排，听从指挥。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保安大队每天必须组织交接班，即：每至换班时，上一班所有保安必须在规定地点集合，向队长汇报班上事宜，严禁换班后私自离院。每月组织1次（体能或技能）考核。</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每年至少联合病区组织2次反恐防暴、医闹处置演练和2次消防演练。</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维护服务区域内不出现医托、号贩子，巡查驱赶外来推销药品、食品等闲散人员。</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开展甲方辖区内防盗巡逻工作，保证规定区域每2小时至少巡逻1次。</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甲方规定的区域内出现“医闹”如堵大门、拉横幅、烧纸钱、摆花圈等违法行为，自接到报警处置电话起，处置反应时间不得超过50分钟，病房内不得出现冰棺。</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根据甲方要求，所有保安的年龄不能超过</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除（人员配备要求）已有的要求以外，其余派驻人员年龄≤55岁（以身份证出生日期为准），具备初中以上学历，</w:t>
      </w:r>
      <w:r>
        <w:rPr>
          <w:rFonts w:hint="eastAsia" w:ascii="宋体" w:hAnsi="宋体" w:eastAsia="宋体" w:cs="宋体"/>
          <w:color w:val="auto"/>
          <w:sz w:val="24"/>
          <w:szCs w:val="24"/>
          <w:highlight w:val="none"/>
        </w:rPr>
        <w:t xml:space="preserve">保安持有保安证，消防控制室上岗人员持有保安证及建构筑物消防员证；新进保安必须进行岗前培训，到岗即能胜任岗位要求。</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制定保安员工作奖惩制度，充分调动保安员工作积极性。</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乙方处置突发事件产生加班、误餐等费用由乙方承担。（甲方安排乙方工作，超出乙方服务范围的，甲方可酌情解决）</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配合甲方清查黑护工。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乙方负责对保安员进行治安、保卫、防火、防盗技能等岗前培训，且培训合格，定期对保安员进行岗位再培训，不定期进行督查。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乙方向甲方派遣保安员，须经甲方主管部门和警务室审核及备案许可，保安人员的招聘与劳动关系等相关事宜由乙方负责。</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乙方为保安人员投保人身意外险。如乙方保安人员在工作期间遭受意外伤害，由乙方负责向保险公司索赔，甲方在举证等程序上给予配合。</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严格按照招标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中的规定招聘保安，保安大队需按照三级甲等</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评审标准集成相关资料台账，以备检查。</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乙方保安负责人应根据</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的实际情况，制定保安奖惩、激励制度，并根据实际情况不断完善，随保安服务费一同，按月上交</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保安队伍奖惩情况。</w:t>
      </w:r>
      <w:r/>
    </w:p>
    <w:p>
      <w:pPr>
        <w:ind w:left="0"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其余未尽事项按照乙方的投标书及投标承诺执行。</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保安员岗位具体职责</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1.安检岗位</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 门诊、急诊安检出入口，规范操作安检机、金属探测门、手持金属探测仪，对所有进出人员、随身箱包、大件行李全员全覆盖安检，无漏检、无免检特权。</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）严格查验违禁物品：及时识别并暂扣管制刀具、棍棒、锐器、酒精、汽油、油漆、烟花爆竹、打火机气瓶、腐蚀性 / 易燃易爆危险品、仿真武器等危险物品；医护医用手术器械凭工作证核实后放行。</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）规范处置违禁品：对暂扣物品做好实名登记、封存保管，告知医院安检管理规定；遇拒不配合、强行闯检人员，立即上报保卫处，情节严重直接拨打 110 报警。</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）高峰人流疏导：门诊早高峰、急诊急救时段维持安检口秩序，分流人群避免拥堵，开通绿色通道优先放行危重病人、孕产妇、行动不便老人、急救转运人员。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）安检设备运维：上岗前检查设备通电、成像、探测功能是否正常，做好设备清洁；设备故障立即停止使用并上报后勤维修，严禁私自拆卸、改装安检器材。</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2.急诊大厅</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维持急诊区域的诊疗秩序，协助急诊做好人员、门前车辆管控工作；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对急诊区域的可疑人员、物品进行盘问、检查，制止管区内发生的打架、滋扰事件；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禁止携带宠物进入急诊区域；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认真做好防火、防盗、防破坏、防爆炸“四防”工作；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制止院内寻衅滋事的行为发生；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制止侮辱、威胁、恐吓、故意伤害医务人员或者非法限制医务人员人身自由行为发生，禁止尸体滞留病房，及时移送太平间；</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bidi="ar-SA"/>
        </w:rPr>
      </w:pPr>
      <w:r>
        <w:rPr>
          <w:rFonts w:hint="eastAsia" w:ascii="宋体" w:hAnsi="宋体" w:cs="Times New Roman"/>
          <w:b/>
          <w:bCs w:val="0"/>
          <w:color w:val="auto"/>
          <w:sz w:val="24"/>
          <w:szCs w:val="24"/>
          <w:highlight w:val="none"/>
          <w:u w:val="none"/>
          <w:lang w:val="en-US" w:eastAsia="zh-CN" w:bidi="ar-SA"/>
        </w:rPr>
        <w:t xml:space="preserve">3.</w:t>
      </w:r>
      <w:r>
        <w:rPr>
          <w:rFonts w:hint="eastAsia" w:ascii="宋体" w:hAnsi="宋体" w:eastAsia="宋体" w:cs="Times New Roman"/>
          <w:b/>
          <w:bCs w:val="0"/>
          <w:color w:val="auto"/>
          <w:sz w:val="24"/>
          <w:szCs w:val="24"/>
          <w:highlight w:val="none"/>
          <w:u w:val="none"/>
          <w:lang w:val="en-US" w:eastAsia="zh-CN" w:bidi="ar-SA"/>
        </w:rPr>
        <w:t xml:space="preserve">正门出入口交通指挥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cs="Times New Roman"/>
          <w:b/>
          <w:bCs w:val="0"/>
          <w:color w:val="auto"/>
          <w:sz w:val="24"/>
          <w:szCs w:val="24"/>
          <w:highlight w:val="none"/>
          <w:u w:val="none"/>
          <w:lang w:val="en-US" w:eastAsia="zh-CN"/>
        </w:rPr>
        <w:t xml:space="preserve">4.</w:t>
      </w:r>
      <w:r>
        <w:rPr>
          <w:rFonts w:hint="eastAsia" w:ascii="宋体" w:hAnsi="宋体" w:eastAsia="宋体" w:cs="Times New Roman"/>
          <w:b/>
          <w:bCs w:val="0"/>
          <w:color w:val="auto"/>
          <w:sz w:val="24"/>
          <w:szCs w:val="24"/>
          <w:highlight w:val="none"/>
          <w:u w:val="none"/>
          <w:lang w:val="en-US" w:eastAsia="zh-CN"/>
        </w:rPr>
        <w:t xml:space="preserve">通道（救护车通道、职工通道、污物通道）管理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确保车辆有序出入场，核验出门证；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对道闸系统发生损坏等问题及时上报；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cs="Times New Roman"/>
          <w:b/>
          <w:bCs w:val="0"/>
          <w:color w:val="auto"/>
          <w:sz w:val="24"/>
          <w:szCs w:val="24"/>
          <w:highlight w:val="none"/>
          <w:u w:val="none"/>
          <w:lang w:val="en-US" w:eastAsia="zh-CN"/>
        </w:rPr>
        <w:t xml:space="preserve">5.</w:t>
      </w:r>
      <w:r>
        <w:rPr>
          <w:rFonts w:hint="eastAsia" w:ascii="宋体" w:hAnsi="宋体" w:eastAsia="宋体" w:cs="Times New Roman"/>
          <w:b/>
          <w:bCs w:val="0"/>
          <w:color w:val="auto"/>
          <w:sz w:val="24"/>
          <w:szCs w:val="24"/>
          <w:highlight w:val="none"/>
          <w:u w:val="none"/>
        </w:rPr>
        <w:t xml:space="preserve">消防控制室值班员职责</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负责对消防、安防设备的监视和运用，做好检查和操作等工作；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熟悉消防、安防系统的基本原理、功能，熟练掌握操作服务，协助服务人员进行修理、维护，不得擅自拆卸、挪用或停用系统设备，保证系统正常运行；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消防、安防控制室接到火警报告后要及时通知保安员和火警现场工作人员到现场进行查看，确认为真火警后，控制室工作人员必须严格按照《连云港市第一人民医院火灾预案》要求进行操作；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发现消防、安防系统设备出现故障时，必须及时通知相关人员或维保单位进行维修；</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对消防、安防控制室设备及通讯器材等要进行经常性</w:t>
      </w:r>
      <w:r>
        <w:rPr>
          <w:rFonts w:hint="eastAsia" w:ascii="宋体" w:hAnsi="宋体" w:eastAsia="宋体" w:cs="Times New Roman"/>
          <w:bCs/>
          <w:color w:val="auto"/>
          <w:sz w:val="24"/>
          <w:szCs w:val="24"/>
          <w:highlight w:val="none"/>
          <w:u w:val="none"/>
          <w:lang w:eastAsia="zh-CN"/>
        </w:rPr>
        <w:t xml:space="preserve">的</w:t>
      </w:r>
      <w:r>
        <w:rPr>
          <w:rFonts w:hint="eastAsia" w:ascii="宋体" w:hAnsi="宋体" w:eastAsia="宋体" w:cs="Times New Roman"/>
          <w:bCs/>
          <w:color w:val="auto"/>
          <w:sz w:val="24"/>
          <w:szCs w:val="24"/>
          <w:highlight w:val="none"/>
          <w:u w:val="none"/>
        </w:rPr>
        <w:t xml:space="preserve">检查，做好各系统功能试验，以确保消防、安防各系统运行状况良好；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消防控制室值班人员，要做到人到、心到、眼到，严密监视，及时发现可疑人员和一切违法犯罪活动并立即报告附近的值班保安员；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为了确保治安与消防安全值班人员必须精神饱满，认真负责，不得擅离岗位，玩忽职守；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除正常工作需要之外，值班人员不准随意拨弄安防监控和消防报警系统；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阻止无关人员严禁进入消防控制室；</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未经医院保卫部门的许可，不准向无关人员提供本系统的任何情况；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严格执行交接班制度，值班人员交接班时应详细清楚，准确无误，同时应做好工作记录和交接班登记；</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协助公安部门调阅监控录像，为公安机关提供线索；</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cs="Times New Roman"/>
          <w:b/>
          <w:bCs w:val="0"/>
          <w:color w:val="auto"/>
          <w:sz w:val="24"/>
          <w:szCs w:val="24"/>
          <w:highlight w:val="none"/>
          <w:u w:val="none"/>
          <w:lang w:val="en-US" w:eastAsia="zh-CN"/>
        </w:rPr>
        <w:t xml:space="preserve">6.</w:t>
      </w:r>
      <w:r>
        <w:rPr>
          <w:rFonts w:hint="eastAsia" w:ascii="宋体" w:hAnsi="宋体" w:eastAsia="宋体" w:cs="Times New Roman"/>
          <w:b/>
          <w:bCs w:val="0"/>
          <w:color w:val="auto"/>
          <w:sz w:val="24"/>
          <w:szCs w:val="24"/>
          <w:highlight w:val="none"/>
          <w:u w:val="none"/>
          <w:lang w:val="en-US" w:eastAsia="zh-CN"/>
        </w:rPr>
        <w:t xml:space="preserve">车辆（非机动车和机动车）管理车辆（非机动车和机动车）管理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7.</w:t>
      </w:r>
      <w:r>
        <w:rPr>
          <w:rFonts w:hint="eastAsia" w:ascii="宋体" w:hAnsi="宋体" w:eastAsia="宋体" w:cs="Times New Roman"/>
          <w:b/>
          <w:bCs w:val="0"/>
          <w:color w:val="auto"/>
          <w:sz w:val="24"/>
          <w:szCs w:val="24"/>
          <w:highlight w:val="none"/>
          <w:u w:val="none"/>
          <w:lang w:val="en-US" w:eastAsia="zh-CN"/>
        </w:rPr>
        <w:t xml:space="preserve">微型消防站兼微机动处突队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在</w:t>
      </w:r>
      <w:r>
        <w:rPr>
          <w:rFonts w:hint="eastAsia" w:ascii="宋体" w:hAnsi="宋体" w:eastAsia="宋体" w:cs="Times New Roman"/>
          <w:bCs/>
          <w:color w:val="auto"/>
          <w:sz w:val="24"/>
          <w:szCs w:val="24"/>
          <w:highlight w:val="none"/>
          <w:u w:val="none"/>
          <w:lang w:val="en-US" w:eastAsia="zh-CN"/>
        </w:rPr>
        <w:t xml:space="preserve">队</w:t>
      </w:r>
      <w:r>
        <w:rPr>
          <w:rFonts w:hint="eastAsia" w:ascii="宋体" w:hAnsi="宋体" w:eastAsia="宋体" w:cs="Times New Roman"/>
          <w:bCs/>
          <w:color w:val="auto"/>
          <w:sz w:val="24"/>
          <w:szCs w:val="24"/>
          <w:highlight w:val="none"/>
          <w:u w:val="none"/>
        </w:rPr>
        <w:t xml:space="preserve">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根据职责分工，完成初期火灾扑救和应急救援任务；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熟悉</w:t>
      </w:r>
      <w:r>
        <w:rPr>
          <w:rFonts w:hint="eastAsia" w:ascii="宋体" w:hAnsi="宋体" w:eastAsia="宋体" w:cs="Times New Roman"/>
          <w:bCs/>
          <w:color w:val="auto"/>
          <w:sz w:val="24"/>
          <w:szCs w:val="24"/>
          <w:highlight w:val="none"/>
          <w:u w:val="none"/>
        </w:rPr>
        <w:t xml:space="preserve">医院的建筑消防设施安全出口、建筑消防设施、消防电梯、道路进出口、消防登高面、水泵房、高位水箱及水源情况；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掌握消防设施的性能和操作使用方法，规劝、驱赶管区内的医托、摆卖、乞讨、散发广告等闲杂人；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参加治安、消防安全巡查和消防宣传教育，及时劝阻院内吸烟现象；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开展防护服穿戴、消防报警跑点、消防设施使用、疏散演练的日常训练工作，及时劝阻院内吸烟现象；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、合同款支付</w:t>
      </w:r>
      <w:r/>
    </w:p>
    <w:p>
      <w:pPr>
        <w:pStyle w:val="793"/>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付款方式：按月考核，根据考核结果支付上月服务费。</w:t>
      </w:r>
      <w:r>
        <w:rPr>
          <w:rFonts w:hint="eastAsia"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付款之前</w:t>
      </w:r>
      <w:r>
        <w:rPr>
          <w:rFonts w:hint="eastAsia"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应向</w:t>
      </w:r>
      <w:r>
        <w:rPr>
          <w:rFonts w:hint="eastAsia"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开具正规发票，</w:t>
      </w:r>
      <w:r>
        <w:rPr>
          <w:rFonts w:hint="eastAsia"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自收到发票后将资金支付至</w:t>
      </w:r>
      <w:r>
        <w:rPr>
          <w:rFonts w:hint="eastAsia"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账户。</w:t>
      </w:r>
      <w:r>
        <w:rPr>
          <w:rFonts w:hint="eastAsia" w:ascii="宋体" w:hAnsi="宋体" w:eastAsia="宋体" w:cs="宋体"/>
          <w:color w:val="auto"/>
          <w:sz w:val="24"/>
          <w:szCs w:val="24"/>
          <w:highlight w:val="none"/>
          <w:lang w:val="en-US" w:eastAsia="zh-CN"/>
        </w:rPr>
        <w:t xml:space="preserve">付款前，</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需向</w:t>
      </w:r>
      <w:r>
        <w:rPr>
          <w:rFonts w:hint="eastAsia" w:ascii="宋体" w:hAnsi="宋体" w:eastAsia="宋体" w:cs="宋体"/>
          <w:color w:val="auto"/>
          <w:sz w:val="24"/>
          <w:szCs w:val="24"/>
          <w:highlight w:val="none"/>
        </w:rPr>
        <w:t xml:space="preserve">甲方开具正规发票，</w:t>
      </w:r>
      <w:r>
        <w:rPr>
          <w:rFonts w:hint="eastAsia" w:ascii="宋体" w:hAnsi="宋体" w:eastAsia="宋体" w:cs="宋体"/>
          <w:color w:val="auto"/>
          <w:sz w:val="24"/>
          <w:szCs w:val="24"/>
          <w:highlight w:val="none"/>
          <w:lang w:val="en-US" w:eastAsia="zh-CN"/>
        </w:rPr>
        <w:t xml:space="preserve">否则自行承担延迟付款的责任</w:t>
      </w:r>
      <w:r>
        <w:rPr>
          <w:rFonts w:hint="eastAsia" w:ascii="宋体" w:hAnsi="宋体" w:eastAsia="宋体" w:cs="宋体"/>
          <w:color w:val="auto"/>
          <w:sz w:val="24"/>
          <w:szCs w:val="24"/>
          <w:highlight w:val="none"/>
        </w:rPr>
        <w:t xml:space="preserve">。</w:t>
      </w:r>
      <w:r/>
    </w:p>
    <w:p>
      <w:pPr>
        <w:pStyle w:val="793"/>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当采购数量与实际使用数量不一致时，乙方根据实际使用量提供产品和服务，合同的最终结算金额按实际使用量乘以中标单价进行计算。</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十、税费</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本合同执行中相关的一切税费均由乙方负担。</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社会保险</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乙方根据国家和本地有关规定为录用保安员缴纳基本社会保险，并承担相关费用和责任。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基本社会保险应包括基本养老保险、基本医疗保险、失业保险、工伤保险、生育保险，甲方保留监督权。</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安员享受患职业病、工伤、工亡等待遇，乙方应支付保安员职业病、工伤、工亡等相关费用，并负责垫付医疗费。工伤认定申请和劳动能力鉴定申请结束后，除社会保险机构按政策规定支付外，由用人单位承担的费用应由乙方承担，甲方依法依规按照相关程序，以实事求是为原则配合乙方办理相关举证手续。</w:t>
      </w:r>
      <w:r/>
    </w:p>
    <w:p>
      <w:p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十二、</w:t>
      </w:r>
      <w:r>
        <w:rPr>
          <w:rFonts w:hint="eastAsia" w:ascii="宋体" w:hAnsi="宋体" w:eastAsia="宋体" w:cs="宋体"/>
          <w:b/>
          <w:color w:val="auto"/>
          <w:sz w:val="24"/>
          <w:szCs w:val="24"/>
          <w:highlight w:val="none"/>
        </w:rPr>
        <w:t xml:space="preserve">考核条款与执行</w:t>
      </w:r>
      <w:r>
        <w:rPr>
          <w:rFonts w:hint="eastAsia" w:ascii="宋体" w:hAnsi="宋体" w:eastAsia="宋体" w:cs="宋体"/>
          <w:color w:val="auto"/>
          <w:sz w:val="24"/>
          <w:szCs w:val="24"/>
          <w:highlight w:val="none"/>
        </w:rPr>
        <w:t xml:space="preserve">：</w:t>
      </w:r>
      <w:r/>
    </w:p>
    <w:p>
      <w:pPr>
        <w:ind w:firstLine="482"/>
        <w:jc w:val="both"/>
        <w:spacing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（一）考核标准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扣分档位划分说明</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 类：轻微违规，单次扣 0.5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 类：一般违规，单次扣 1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 类：较重违规，单次扣 3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 类：严重违规，单次扣 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 类：重大恶性违规，单次扣 10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院级及以上督查查出原有问题，扣分档位上浮一档。</w:t>
      </w:r>
      <w:r/>
    </w:p>
    <w:p>
      <w:pPr>
        <w:pStyle w:val="836"/>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考核表详见附件</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（二）考核办法：</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合同金额10％由医院主管部门按月考核发放，即：</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月度应付服务总费用分为两部分：90% 基础服务费 + 10% 考核绩效服务费。</w:t>
      </w:r>
      <w:r/>
    </w:p>
    <w:p>
      <w:pPr>
        <w:numPr>
          <w:ilvl w:val="0"/>
          <w:numId w:val="0"/>
        </w:num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val="0"/>
          <w:bCs/>
          <w:color w:val="auto"/>
          <w:sz w:val="24"/>
          <w:szCs w:val="24"/>
          <w:highlight w:val="none"/>
        </w:rPr>
        <w:t xml:space="preserve">其中月度合同总额10% 部分不作为固定款项，纳入月度绩效考核池，由医院主管职能部门保卫处依据月度考核结果</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奖惩</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核定发放金额；90% 基础服务费按合同正常流程审核支付。</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.扣罚标准</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甲方</w:t>
      </w:r>
      <w:r>
        <w:rPr>
          <w:rFonts w:hint="eastAsia" w:ascii="宋体" w:hAnsi="宋体" w:cs="宋体"/>
          <w:b w:val="0"/>
          <w:bCs/>
          <w:color w:val="auto"/>
          <w:sz w:val="24"/>
          <w:szCs w:val="24"/>
          <w:highlight w:val="none"/>
        </w:rPr>
        <w:t xml:space="preserve">每月对</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上月的服务质量按《连云港市第一人民医院保安服务质量考核表》进行考核，考评结果与保安服务费挂钩，每月累加计算，次月清零重新计算：</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单条违规固定扣款标准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A 类（单次 0.5 分）：单次扣款 50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B 类（单次 1 分）：单次扣款 100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C 类（单次 3 分）：单次扣款 300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D 类（单次 5 分）：单次扣款 1000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E 类（单次 10 分）：单次扣款 </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000 元</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涉及违法事宜的依法追究法律责任。</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月度累计扣分阶梯处罚规则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（1）月度累计扣分≤10分：仅按单条违规累计扣款，从10%绩效池扣除，无一次性扣减服务费；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（2）10分＜月度累计扣分≤15分：累计扣款+一次性扣减服务费2000元，下发书面整改警告；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（3）15分＜月度累计扣分≤20分：累计扣款+一次性扣减服务费5000元，约谈外包公司项目负责人，7日内提交专项整改方案；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（4）20分＜月度累计扣分≤25分：累计扣款+一次性扣减服务费10000元，约谈外包单位总部负责人，限期更换现场安保主管；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ascii="SimSun" w:hAnsi="SimSun" w:eastAsia="SimSun" w:cs="SimSun"/>
          <w:color w:val="000000"/>
          <w:sz w:val="24"/>
        </w:rPr>
        <w:t xml:space="preserve">（5）月度累计扣分＞25分：累计扣款+一次性扣减服务费30000元，医院有权单方面提前解除保安服务合同，全部损失由中标单位承担。</w:t>
      </w:r>
      <w:r>
        <w:rPr>
          <w:rFonts w:hint="eastAsia" w:ascii="宋体" w:hAnsi="宋体" w:cs="宋体"/>
          <w:b w:val="0"/>
          <w:bCs/>
          <w:color w:val="auto"/>
          <w:sz w:val="24"/>
          <w:szCs w:val="24"/>
          <w:highlight w:val="none"/>
        </w:rPr>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整改追责补充条款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（1）保卫处出具整改通知书，整改时限 3 个工作日；逾期未整改或复查不合格，同类问题扣款标准上浮 2 倍；</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拒不整改的，或一周内整改没有成效的，</w:t>
      </w:r>
      <w:r>
        <w:rPr>
          <w:rFonts w:hint="eastAsia" w:ascii="宋体" w:hAnsi="宋体" w:cs="宋体"/>
          <w:b w:val="0"/>
          <w:bCs/>
          <w:color w:val="auto"/>
          <w:sz w:val="24"/>
          <w:szCs w:val="24"/>
          <w:highlight w:val="none"/>
          <w:lang w:eastAsia="zh-CN"/>
        </w:rPr>
        <w:t xml:space="preserve">甲方</w:t>
      </w:r>
      <w:r>
        <w:rPr>
          <w:rFonts w:hint="eastAsia" w:ascii="宋体" w:hAnsi="宋体" w:cs="宋体"/>
          <w:b w:val="0"/>
          <w:bCs/>
          <w:color w:val="auto"/>
          <w:sz w:val="24"/>
          <w:szCs w:val="24"/>
          <w:highlight w:val="none"/>
        </w:rPr>
        <w:t xml:space="preserve">有权提前解除合同。</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（2）因</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在履约过程中提供虚假证书（如建构筑物消防员、保安员证书等），造成上级管理部门（消防、公安）对医院的处罚的，由</w:t>
      </w:r>
      <w:r>
        <w:rPr>
          <w:rFonts w:hint="eastAsia" w:ascii="宋体" w:hAnsi="宋体" w:cs="宋体"/>
          <w:b w:val="0"/>
          <w:bCs/>
          <w:color w:val="auto"/>
          <w:sz w:val="24"/>
          <w:szCs w:val="24"/>
          <w:highlight w:val="none"/>
          <w:lang w:eastAsia="zh-CN"/>
        </w:rPr>
        <w:t xml:space="preserve">乙方</w:t>
      </w:r>
      <w:r>
        <w:rPr>
          <w:rFonts w:hint="eastAsia" w:ascii="宋体" w:hAnsi="宋体" w:cs="宋体"/>
          <w:b w:val="0"/>
          <w:bCs/>
          <w:color w:val="auto"/>
          <w:sz w:val="24"/>
          <w:szCs w:val="24"/>
          <w:highlight w:val="none"/>
        </w:rPr>
        <w:t xml:space="preserve">承担相应后果。</w:t>
      </w:r>
      <w:r/>
    </w:p>
    <w:p>
      <w:pPr>
        <w:numPr>
          <w:ilvl w:val="0"/>
          <w:numId w:val="0"/>
        </w:num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.考核权重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内部监管考核标准。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为确保服务质量，</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应完善内部督查、考核、奖惩管理制度，建立督查考核登记簿，开展内部奖惩制度，督查问题每月中、月末上报医院主管部门备案，经核实确定落实整改的，且问题数量≤20件次/周的，医院不予进行考核处罚。</w:t>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督查考核登记簿＞20起/周的，按照考核办法的扣罚标准予以扣款。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（2）医院主管部门的考核处罚权重。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月自查自纠问题总数的30%≥医院主管部门督查发现问题起数件次数＞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月自查自纠问题总数的20%，按照考核办法的扣罚标准的1倍/起对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月自查自纠问题总数的50%≥医院主管部门督查发现问题起数件次数＞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月自查自纠问题总数的30%，按照考核办法的扣罚标准的1.5倍/起对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月自查自纠问题总数的50%，按照考核办法的扣罚标准的2倍/起对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（3）院级及以上的考核扣罚权重。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院级及以上包含院领导随机检查、三大总值班检查、院长行政查房等，国家、省、市的消防、公安、卫生健康委员会等上级主管部门的检查。</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医院主管部门督查发现问题起数件次数的30%≥院级及以上部门督查发现问题起数件次数＞医院主管部门督查发现问题起数件次数的20%，按照考核办法的扣罚标准的1倍/起对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医院主管部门督查发现问题起数件次数的50%≥院级及以上部门督查发现问题起数件次数＞医院主管部门督查发现问题起数件次数的30%，按照考核办法的扣罚标准的1.5倍/起对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院级及以上部门督查发现问题起数件次数＞医院主管部门督查发现问题起数件次数的50%，按照考核办法的扣罚标准的2倍/起对</w:t>
      </w:r>
      <w:r>
        <w:rPr>
          <w:rFonts w:hint="eastAsia" w:ascii="宋体" w:hAnsi="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val="en-US" w:eastAsia="zh-CN"/>
        </w:rPr>
        <w:t xml:space="preserve">予以扣款。</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十三、</w:t>
      </w:r>
      <w:r>
        <w:rPr>
          <w:rFonts w:hint="eastAsia" w:ascii="宋体" w:hAnsi="宋体" w:eastAsia="宋体" w:cs="宋体"/>
          <w:b/>
          <w:color w:val="auto"/>
          <w:sz w:val="24"/>
          <w:szCs w:val="24"/>
          <w:highlight w:val="none"/>
        </w:rPr>
        <w:t xml:space="preserve">违约责任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本协议期内，任何一方违反本协议约定给对方利益造成损失的，违约方依法承担相应的经济赔偿责任和法律责任。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甲方不能按照协议约定期限向乙方支付保安服务费，拖欠达50日以上的，由甲方向乙方支付违约金人民币10000元，并支付保安服务费用和利息</w:t>
      </w:r>
      <w:r>
        <w:rPr>
          <w:rFonts w:hint="eastAsia" w:ascii="宋体" w:hAnsi="宋体" w:eastAsia="宋体" w:cs="宋体"/>
          <w:color w:val="auto"/>
          <w:sz w:val="24"/>
          <w:szCs w:val="24"/>
          <w:highlight w:val="none"/>
          <w:lang w:eastAsia="zh-CN"/>
        </w:rPr>
        <w:t xml:space="preserve">，但乙方原因导致甲方不能按时支付的除外</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服务期内，</w:t>
      </w:r>
      <w:r>
        <w:rPr>
          <w:rFonts w:hint="eastAsia" w:ascii="宋体" w:hAnsi="宋体" w:eastAsia="宋体" w:cs="宋体"/>
          <w:color w:val="auto"/>
          <w:sz w:val="24"/>
          <w:szCs w:val="24"/>
          <w:highlight w:val="none"/>
          <w:lang w:val="en-US" w:eastAsia="zh-CN"/>
        </w:rPr>
        <w:t xml:space="preserve">由于</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主观的故意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导致合同无法履行，提前终止，乙方</w:t>
      </w:r>
      <w:r>
        <w:rPr>
          <w:rFonts w:hint="eastAsia" w:ascii="宋体" w:hAnsi="宋体" w:eastAsia="宋体" w:cs="宋体"/>
          <w:color w:val="auto"/>
          <w:sz w:val="24"/>
          <w:szCs w:val="24"/>
          <w:highlight w:val="none"/>
        </w:rPr>
        <w:t xml:space="preserve">需按合同总价的</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向甲方支付违约金。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甲方按照协议约定提出交流、更换保安人员，乙方不能按约定时间交流更换，给甲方工作造成损失的，由乙方承担责任。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5.如乙方提供的服务人数低于</w:t>
      </w:r>
      <w:r>
        <w:rPr>
          <w:rFonts w:hint="eastAsia" w:ascii="宋体" w:hAnsi="宋体" w:cs="宋体"/>
          <w:color w:val="auto"/>
          <w:sz w:val="24"/>
          <w:szCs w:val="24"/>
          <w:highlight w:val="none"/>
          <w:lang w:val="en-US" w:eastAsia="zh-CN"/>
        </w:rPr>
        <w:t xml:space="preserve">合同约定</w:t>
      </w:r>
      <w:r>
        <w:rPr>
          <w:rFonts w:hint="eastAsia" w:ascii="宋体" w:hAnsi="宋体" w:eastAsia="宋体" w:cs="宋体"/>
          <w:color w:val="auto"/>
          <w:sz w:val="24"/>
          <w:szCs w:val="24"/>
          <w:highlight w:val="none"/>
          <w:lang w:val="en-US" w:eastAsia="zh-CN"/>
        </w:rPr>
        <w:t xml:space="preserve">，则甲方结算时按</w:t>
      </w:r>
      <w:r>
        <w:rPr>
          <w:rFonts w:hint="eastAsia" w:ascii="宋体" w:hAnsi="宋体" w:cs="宋体"/>
          <w:color w:val="auto"/>
          <w:sz w:val="24"/>
          <w:szCs w:val="24"/>
          <w:highlight w:val="none"/>
          <w:lang w:val="en-US" w:eastAsia="zh-CN"/>
        </w:rPr>
        <w:t xml:space="preserve">岗位费用</w:t>
      </w:r>
      <w:r>
        <w:rPr>
          <w:rFonts w:hint="eastAsia" w:ascii="宋体" w:hAnsi="宋体" w:eastAsia="宋体" w:cs="宋体"/>
          <w:color w:val="auto"/>
          <w:sz w:val="24"/>
          <w:szCs w:val="24"/>
          <w:highlight w:val="none"/>
          <w:lang w:val="en-US" w:eastAsia="zh-CN"/>
        </w:rPr>
        <w:t xml:space="preserve">扣减，同时乙方须按甲方要求在约定时间内整改到位。</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合同解除</w:t>
      </w:r>
      <w:r/>
    </w:p>
    <w:p>
      <w:pPr>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（一）甲乙双方可以协议解除本合同。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（二）乙方有如下情况之一，甲方可解除合同。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1.保安员被依法追究刑事责任，经甲方提请，乙方拒不更换的。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2.保安员严重违反劳动纪律或者甲方的相关规章制度，经甲方提请，乙方拒不更换的。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3.严重失职（责）、营私舞弊、监守自盗，给甲方利益造成重大损害的。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4.保安员工作态度恶劣，严重影响甲方安全保卫工作，经甲方提请，乙方拒不更换的。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5.甲方提出合法合理要求开展日常工作和突发事件处置，乙方借故推诿、阳奉阴违、拒不履行职责的。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6.未经甲方允许，擅自抽调甲方保安员至第三方从事安保工作或其他商业活动的。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7.乙方有本合同“第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条：甲方的权利和义务第（九）” 款所述行为及后果的。</w:t>
      </w:r>
      <w:r/>
    </w:p>
    <w:p>
      <w:pPr>
        <w:pStyle w:val="787"/>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合同约定岗位上</w:t>
      </w:r>
      <w:r>
        <w:rPr>
          <w:rFonts w:hint="eastAsia" w:ascii="宋体" w:hAnsi="宋体" w:eastAsia="宋体" w:cs="宋体"/>
          <w:color w:val="auto"/>
          <w:sz w:val="24"/>
          <w:szCs w:val="24"/>
          <w:highlight w:val="none"/>
        </w:rPr>
        <w:t xml:space="preserve">连续3天未派保安员履行维护甲方秩序职责的。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9.发生法律、法规禁止或严重损害甲方利益的行为的；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10.发生其他比较严重足以导致合同必须终止的情况的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（三）甲方存在如下情况之一，乙方可解除合同：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1.甲方存在重大安全隐患，经乙方书面提出，甲方拒不整改的。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2.甲方提供的保安工作条件不符合有关要求的，经乙方提出，甲方拒不改进的。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3.甲方未按合同给付保安服务费，超过50天的。</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、不可抗力事件处理</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在合同有效期内，任何一方因不可抗力事件导致不能履行合同，则合同履行期延长，其延长期与不可抗力影响期相同。</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、争议解决</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双方在执行合同中所发生的一切争议，应通过协商解决。如协商不成，向合同签订地法院起诉，合同签订地在此约定为连云港市。</w:t>
      </w:r>
      <w:r/>
    </w:p>
    <w:p>
      <w:pPr>
        <w:pStyle w:val="793"/>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、合同生效及其它</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合同经双方法定代表人或委托代理人签字并加盖单位公章后生效。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下述合同附件为本合同不可分割的部分并与本合同具有同等效力：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（3）乙方报价函的内容及其澄清内容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（4）其他与本合同相关的资料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（5）本合同适用的特殊条款</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本合同未尽事宜，遵照《中华人民共和国民法典》有关条文执行。</w:t>
      </w:r>
      <w:r/>
    </w:p>
    <w:p>
      <w:pPr>
        <w:pStyle w:val="793"/>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本合同正本一式</w:t>
      </w:r>
      <w:r>
        <w:rPr>
          <w:rFonts w:hint="eastAsia" w:hAnsi="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份，乙方执一份。</w:t>
      </w:r>
      <w:r/>
    </w:p>
    <w:p>
      <w:pPr>
        <w:pStyle w:val="793"/>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附件：一、</w:t>
      </w:r>
      <w:r>
        <w:rPr>
          <w:rFonts w:hint="eastAsia" w:ascii="宋体" w:hAnsi="宋体" w:eastAsia="宋体" w:cs="宋体"/>
          <w:b w:val="0"/>
          <w:bCs/>
          <w:color w:val="auto"/>
          <w:sz w:val="24"/>
          <w:szCs w:val="24"/>
          <w:highlight w:val="none"/>
        </w:rPr>
        <w:t xml:space="preserve">人员配备</w:t>
      </w:r>
      <w:r/>
    </w:p>
    <w:p>
      <w:pPr>
        <w:pStyle w:val="793"/>
        <w:numPr>
          <w:ilvl w:val="0"/>
          <w:numId w:val="5"/>
        </w:num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安防物资配备</w:t>
      </w:r>
      <w:r/>
    </w:p>
    <w:p>
      <w:pPr>
        <w:pStyle w:val="793"/>
        <w:numPr>
          <w:ilvl w:val="0"/>
          <w:numId w:val="5"/>
        </w:num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考核表</w:t>
      </w:r>
      <w:r/>
    </w:p>
    <w:p>
      <w:pPr>
        <w:pStyle w:val="793"/>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甲方：连云港市第一人民医院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乙方：                   </w:t>
      </w:r>
      <w:r/>
    </w:p>
    <w:p>
      <w:pPr>
        <w:pStyle w:val="793"/>
        <w:ind w:left="5040" w:hanging="5040"/>
        <w:jc w:val="left"/>
        <w:spacing w:line="560" w:lineRule="exact"/>
        <w:rPr>
          <w:rFonts w:hAnsi="宋体"/>
          <w:color w:val="auto"/>
          <w:sz w:val="24"/>
          <w:szCs w:val="24"/>
          <w:highlight w:val="none"/>
        </w:rPr>
      </w:pPr>
      <w:r>
        <w:rPr>
          <w:rFonts w:hint="eastAsia" w:hAnsi="宋体"/>
          <w:color w:val="auto"/>
          <w:sz w:val="24"/>
          <w:szCs w:val="24"/>
          <w:highlight w:val="none"/>
        </w:rPr>
        <w:t xml:space="preserve">地址：</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地址：           </w:t>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法定</w:t>
      </w:r>
      <w:r>
        <w:rPr>
          <w:rFonts w:hint="eastAsia" w:hAnsi="宋体"/>
          <w:color w:val="auto"/>
          <w:sz w:val="24"/>
          <w:szCs w:val="24"/>
          <w:highlight w:val="none"/>
          <w:lang w:val="en-US" w:eastAsia="zh-CN"/>
        </w:rPr>
        <w:t xml:space="preserve">/</w:t>
      </w:r>
      <w:r>
        <w:rPr>
          <w:rFonts w:hint="eastAsia" w:hAnsi="宋体"/>
          <w:color w:val="auto"/>
          <w:sz w:val="24"/>
          <w:szCs w:val="24"/>
          <w:highlight w:val="none"/>
        </w:rPr>
        <w:t xml:space="preserve">委托代理人：                   法定</w:t>
      </w:r>
      <w:r>
        <w:rPr>
          <w:rFonts w:hint="eastAsia" w:hAnsi="宋体"/>
          <w:color w:val="auto"/>
          <w:sz w:val="24"/>
          <w:szCs w:val="24"/>
          <w:highlight w:val="none"/>
          <w:lang w:val="en-US" w:eastAsia="zh-CN"/>
        </w:rPr>
        <w:t xml:space="preserve">/</w:t>
      </w:r>
      <w:r>
        <w:rPr>
          <w:rFonts w:hint="eastAsia" w:hAnsi="宋体"/>
          <w:color w:val="auto"/>
          <w:sz w:val="24"/>
          <w:szCs w:val="24"/>
          <w:highlight w:val="none"/>
        </w:rPr>
        <w:t xml:space="preserve">委托代理人：           </w:t>
      </w:r>
      <w:r/>
    </w:p>
    <w:p>
      <w:pPr>
        <w:pStyle w:val="793"/>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电话： </w:t>
      </w:r>
      <w:r>
        <w:rPr>
          <w:rFonts w:hint="eastAsia" w:hAnsi="宋体"/>
          <w:color w:val="auto"/>
          <w:sz w:val="24"/>
          <w:szCs w:val="24"/>
          <w:highlight w:val="none"/>
          <w:lang w:val="en-US" w:eastAsia="zh-CN"/>
        </w:rPr>
        <w:t xml:space="preserve">0518-85767868</w:t>
      </w:r>
      <w:r>
        <w:rPr>
          <w:rFonts w:hint="eastAsia" w:hAnsi="宋体"/>
          <w:color w:val="auto"/>
          <w:sz w:val="24"/>
          <w:szCs w:val="24"/>
          <w:highlight w:val="none"/>
        </w:rPr>
        <w:t xml:space="preserve">                电话：                     </w:t>
      </w:r>
      <w:r/>
    </w:p>
    <w:p>
      <w:pPr>
        <w:pStyle w:val="793"/>
        <w:jc w:val="left"/>
        <w:spacing w:line="560" w:lineRule="exact"/>
        <w:rPr>
          <w:rFonts w:hAnsi="宋体"/>
          <w:color w:val="auto"/>
          <w:sz w:val="24"/>
          <w:szCs w:val="24"/>
          <w:highlight w:val="none"/>
        </w:rPr>
      </w:pPr>
      <w:r>
        <w:rPr>
          <w:rFonts w:hint="eastAsia" w:hAnsi="宋体"/>
          <w:color w:val="auto"/>
          <w:sz w:val="24"/>
          <w:szCs w:val="24"/>
          <w:highlight w:val="none"/>
        </w:rPr>
        <w:t xml:space="preserve">传真：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传真：                     </w:t>
      </w:r>
      <w:r/>
    </w:p>
    <w:p>
      <w:pPr>
        <w:pStyle w:val="793"/>
        <w:jc w:val="left"/>
        <w:spacing w:line="560" w:lineRule="exact"/>
        <w:rPr>
          <w:rFonts w:hint="eastAsia"/>
          <w:color w:val="auto"/>
          <w:highlight w:val="none"/>
          <w:lang w:eastAsia="zh-CN"/>
        </w:rPr>
      </w:pPr>
      <w:r>
        <w:rPr>
          <w:rFonts w:hint="eastAsia" w:hAnsi="宋体"/>
          <w:color w:val="auto"/>
          <w:sz w:val="24"/>
          <w:szCs w:val="24"/>
          <w:highlight w:val="none"/>
        </w:rPr>
        <w:t xml:space="preserve">签订日期：      年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月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日</w:t>
      </w:r>
      <w:r/>
    </w:p>
    <w:p>
      <w:pPr>
        <w:jc w:val="left"/>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1022"/>
        <w:jc w:val="center"/>
        <w:spacing w:line="360" w:lineRule="auto"/>
        <w:rPr>
          <w:rFonts w:ascii="黑体" w:hAnsi="Times New Roman" w:eastAsia="黑体" w:cs="Times New Roman"/>
          <w:color w:val="auto"/>
          <w:sz w:val="44"/>
          <w:szCs w:val="44"/>
          <w:highlight w:val="none"/>
        </w:rPr>
        <w:outlineLvl w:val="0"/>
      </w:pPr>
      <w:r>
        <w:rPr>
          <w:rFonts w:ascii="黑体" w:hAnsi="Times New Roman" w:eastAsia="黑体" w:cs="Times New Roman"/>
          <w:color w:val="auto"/>
          <w:sz w:val="44"/>
          <w:szCs w:val="44"/>
          <w:highlight w:val="none"/>
        </w:rPr>
      </w:r>
      <w:r/>
    </w:p>
    <w:p>
      <w:pPr>
        <w:pStyle w:val="1022"/>
        <w:jc w:val="center"/>
        <w:spacing w:line="360" w:lineRule="auto"/>
        <w:rPr>
          <w:rFonts w:ascii="黑体" w:hAnsi="Times New Roman" w:eastAsia="黑体" w:cs="Times New Roman"/>
          <w:color w:val="auto"/>
          <w:sz w:val="44"/>
          <w:szCs w:val="44"/>
          <w:highlight w:val="none"/>
        </w:rPr>
        <w:outlineLvl w:val="0"/>
      </w:pPr>
      <w:r>
        <w:rPr>
          <w:rFonts w:ascii="黑体" w:hAnsi="Times New Roman" w:eastAsia="黑体" w:cs="Times New Roman"/>
          <w:color w:val="auto"/>
          <w:sz w:val="44"/>
          <w:szCs w:val="44"/>
          <w:highlight w:val="none"/>
        </w:rPr>
      </w:r>
      <w:r/>
    </w:p>
    <w:p>
      <w:pPr>
        <w:pStyle w:val="1022"/>
        <w:jc w:val="center"/>
        <w:spacing w:line="360" w:lineRule="auto"/>
        <w:rPr>
          <w:rFonts w:ascii="黑体" w:hAnsi="Times New Roman" w:eastAsia="黑体" w:cs="Times New Roman"/>
          <w:color w:val="auto"/>
          <w:sz w:val="44"/>
          <w:szCs w:val="44"/>
          <w:highlight w:val="none"/>
        </w:rPr>
        <w:outlineLvl w:val="0"/>
      </w:pPr>
      <w:r>
        <w:rPr>
          <w:rFonts w:ascii="黑体" w:hAnsi="Times New Roman" w:eastAsia="黑体" w:cs="Times New Roman"/>
          <w:color w:val="auto"/>
          <w:sz w:val="44"/>
          <w:szCs w:val="44"/>
          <w:highlight w:val="none"/>
        </w:rPr>
      </w:r>
      <w:r/>
    </w:p>
    <w:p>
      <w:pPr>
        <w:jc w:val="left"/>
        <w:spacing w:line="360" w:lineRule="auto"/>
        <w:rPr>
          <w:rFonts w:hint="eastAsia" w:ascii="黑体" w:hAnsi="Times New Roman" w:eastAsia="黑体" w:cs="Times New Roman"/>
          <w:color w:val="auto"/>
          <w:sz w:val="44"/>
          <w:szCs w:val="44"/>
          <w:highlight w:val="none"/>
        </w:rPr>
        <w:outlineLvl w:val="0"/>
      </w:pPr>
      <w:r>
        <w:rPr>
          <w:rFonts w:hint="eastAsia" w:ascii="黑体" w:hAnsi="Times New Roman" w:eastAsia="黑体" w:cs="Times New Roman"/>
          <w:color w:val="auto"/>
          <w:sz w:val="44"/>
          <w:szCs w:val="44"/>
          <w:highlight w:val="none"/>
        </w:rPr>
      </w:r>
      <w:r/>
    </w:p>
    <w:p>
      <w:pPr>
        <w:pStyle w:val="1022"/>
        <w:jc w:val="center"/>
        <w:spacing w:line="360" w:lineRule="auto"/>
        <w:rPr>
          <w:rFonts w:hAnsi="宋体"/>
          <w:color w:val="auto"/>
          <w:sz w:val="24"/>
          <w:szCs w:val="24"/>
          <w:highlight w:val="none"/>
        </w:rPr>
        <w:outlineLvl w:val="0"/>
      </w:pPr>
      <w:r>
        <w:rPr>
          <w:rFonts w:hint="eastAsia" w:ascii="黑体" w:hAnsi="Times New Roman" w:eastAsia="黑体" w:cs="Times New Roman"/>
          <w:color w:val="auto"/>
          <w:sz w:val="44"/>
          <w:szCs w:val="44"/>
          <w:highlight w:val="none"/>
        </w:rPr>
        <w:t xml:space="preserve">第</w:t>
      </w:r>
      <w:bookmarkEnd w:id="242"/>
      <w:r>
        <w:rPr>
          <w:rFonts w:hint="eastAsia" w:ascii="黑体" w:hAnsi="Times New Roman" w:eastAsia="黑体" w:cs="Times New Roman"/>
          <w:color w:val="auto"/>
          <w:sz w:val="44"/>
          <w:szCs w:val="44"/>
          <w:highlight w:val="none"/>
        </w:rPr>
        <w:t xml:space="preserve">四章 采购需求</w:t>
      </w:r>
      <w:bookmarkEnd w:id="243"/>
      <w:r/>
      <w:bookmarkEnd w:id="244"/>
      <w:r/>
      <w:bookmarkEnd w:id="245"/>
      <w:r/>
      <w:bookmarkEnd w:id="248"/>
      <w:r/>
      <w:r/>
    </w:p>
    <w:p>
      <w:pPr>
        <w:ind w:firstLine="482"/>
        <w:spacing w:line="360" w:lineRule="auto"/>
        <w:rPr>
          <w:rFonts w:hint="default" w:ascii="宋体" w:hAnsi="宋体" w:cs="Times New Roman"/>
          <w:b/>
          <w:bCs/>
          <w:color w:val="auto"/>
          <w:sz w:val="24"/>
          <w:szCs w:val="24"/>
          <w:highlight w:val="none"/>
        </w:rPr>
      </w:pPr>
      <w:r/>
      <w:bookmarkStart w:id="258" w:name="_Toc26554093"/>
      <w:r/>
      <w:bookmarkStart w:id="259" w:name="_Toc49090575"/>
      <w:r>
        <w:rPr>
          <w:rFonts w:hint="eastAsia" w:ascii="宋体" w:hAnsi="宋体" w:cs="Times New Roman"/>
          <w:b/>
          <w:color w:val="auto"/>
          <w:sz w:val="24"/>
          <w:szCs w:val="24"/>
          <w:highlight w:val="none"/>
        </w:rPr>
        <w:t xml:space="preserve">说明：</w:t>
      </w:r>
      <w:r>
        <w:rPr>
          <w:rFonts w:hint="eastAsia" w:ascii="宋体" w:hAnsi="宋体" w:cs="Times New Roman"/>
          <w:b/>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本项目采购方式为公开招标，项目属性为服务，采购标的对应的中小企业划分标准所属行业为</w:t>
      </w:r>
      <w:r>
        <w:rPr>
          <w:rFonts w:hint="eastAsia" w:ascii="Times New Roman" w:hAnsi="Times New Roman" w:cs="Times New Roman"/>
          <w:b/>
          <w:bCs/>
          <w:color w:val="auto"/>
          <w:sz w:val="24"/>
          <w:szCs w:val="24"/>
          <w:highlight w:val="none"/>
          <w:u w:val="single"/>
        </w:rPr>
        <w:t xml:space="preserve">　</w:t>
      </w:r>
      <w:r>
        <w:rPr>
          <w:rFonts w:hint="eastAsia" w:ascii="宋体" w:hAnsi="宋体" w:cs="Times New Roman"/>
          <w:b/>
          <w:bCs/>
          <w:color w:val="auto"/>
          <w:sz w:val="24"/>
          <w:szCs w:val="24"/>
          <w:highlight w:val="none"/>
          <w:u w:val="single"/>
        </w:rPr>
        <w:t xml:space="preserve">租赁和商务服务业</w:t>
      </w:r>
      <w:r>
        <w:rPr>
          <w:rFonts w:hint="eastAsia" w:ascii="Times New Roman" w:hAnsi="Times New Roman" w:cs="Times New Roman"/>
          <w:b/>
          <w:bCs/>
          <w:color w:val="auto"/>
          <w:sz w:val="24"/>
          <w:szCs w:val="24"/>
          <w:highlight w:val="none"/>
          <w:u w:val="single"/>
        </w:rPr>
        <w:t xml:space="preserve">　</w:t>
      </w:r>
      <w:r>
        <w:rPr>
          <w:rFonts w:hint="eastAsia" w:ascii="宋体" w:hAnsi="宋体" w:cs="Times New Roman"/>
          <w:color w:val="auto"/>
          <w:sz w:val="24"/>
          <w:szCs w:val="24"/>
          <w:highlight w:val="none"/>
        </w:rPr>
        <w:t xml:space="preserve">。</w:t>
      </w:r>
      <w:r/>
    </w:p>
    <w:p>
      <w:pPr>
        <w:numPr>
          <w:ilvl w:val="0"/>
          <w:numId w:val="0"/>
        </w:numPr>
        <w:ind w:firstLine="482"/>
        <w:jc w:val="both"/>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ind w:firstLine="480"/>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lang w:val="en-US" w:eastAsia="zh-CN"/>
        </w:rPr>
        <w:t xml:space="preserve">3、本项目划分为2个采购包（采购包1、采购包2），投标人可根据自身资质及履约能力，同时参与本项目一个或多个采购包的投标，并按所投采购包分别编制、递交投标文件。</w:t>
      </w:r>
      <w:r/>
    </w:p>
    <w:p>
      <w:pPr>
        <w:ind w:firstLine="480"/>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lang w:val="en-US" w:eastAsia="zh-CN"/>
        </w:rPr>
        <w:t xml:space="preserve">4.本项目实行“</w:t>
      </w:r>
      <w:r>
        <w:rPr>
          <w:rFonts w:hint="eastAsia" w:cs="Times New Roman" w:asciiTheme="minorEastAsia" w:hAnsiTheme="minorEastAsia"/>
          <w:b/>
          <w:bCs/>
          <w:color w:val="auto"/>
          <w:sz w:val="24"/>
          <w:szCs w:val="24"/>
          <w:highlight w:val="none"/>
          <w:lang w:val="en-US" w:eastAsia="zh-CN"/>
        </w:rPr>
        <w:t xml:space="preserve">兼投兼中</w:t>
      </w:r>
      <w:r>
        <w:rPr>
          <w:rFonts w:hint="eastAsia" w:cs="Times New Roman" w:asciiTheme="minorEastAsia" w:hAnsiTheme="minorEastAsia"/>
          <w:color w:val="auto"/>
          <w:sz w:val="24"/>
          <w:szCs w:val="24"/>
          <w:highlight w:val="none"/>
          <w:lang w:val="en-US" w:eastAsia="zh-CN"/>
        </w:rPr>
        <w:t xml:space="preserve">”原则。每个采购包独立进行资格审查、符合性审查和综合评分，投标人若在多个采购包的评审中均被评标委员会推荐为第一中标候选人（或综合得分排名第一），可以同时中标其所参与的多个采购包，采购人将与中标人按各采购包分别签订政府采购合同。</w:t>
      </w:r>
      <w:r/>
    </w:p>
    <w:p>
      <w:pPr>
        <w:ind w:firstLine="420"/>
        <w:spacing w:line="360" w:lineRule="auto"/>
        <w:rPr>
          <w:rFonts w:hint="eastAsia" w:ascii="宋体" w:hAnsi="宋体" w:cs="Times New Roman"/>
          <w:bCs/>
          <w:color w:val="auto"/>
          <w:sz w:val="24"/>
          <w:szCs w:val="24"/>
          <w:highlight w:val="none"/>
        </w:rPr>
      </w:pPr>
      <w:r>
        <w:rPr>
          <w:rFonts w:hint="eastAsia" w:cs="Times New Roman" w:asciiTheme="minorEastAsia" w:hAnsiTheme="minorEastAsia"/>
          <w:color w:val="auto"/>
          <w:sz w:val="24"/>
          <w:szCs w:val="24"/>
          <w:highlight w:val="none"/>
          <w:lang w:val="en-US" w:eastAsia="zh-CN"/>
        </w:rPr>
        <w:t xml:space="preserve">5.中标多个采购包的投标人，必须具备同时履约所有中标采购包的人员、设备及资金能力，并严格按各采购包合同约定履行服务义务，不得因中标包数较多而降低任一采购包的履约质量。</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1</w:t>
      </w:r>
      <w:r>
        <w:rPr>
          <w:rFonts w:hint="eastAsia" w:ascii="宋体" w:hAnsi="宋体" w:eastAsia="宋体" w:cs="宋体"/>
          <w:b/>
          <w:bCs w:val="0"/>
          <w:color w:val="auto"/>
          <w:sz w:val="24"/>
          <w:szCs w:val="24"/>
          <w:highlight w:val="none"/>
          <w:vertAlign w:val="baseline"/>
          <w:lang w:val="en-US" w:eastAsia="zh-CN"/>
        </w:rPr>
        <w:t xml:space="preserve">：连云港市第一人民医院高新院区保安服务（专门面向中小企业）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一、项目背景：</w:t>
      </w:r>
      <w:r/>
    </w:p>
    <w:p>
      <w:pPr>
        <w:ind w:firstLine="480"/>
        <w:keepLines w:val="0"/>
        <w:keepNext w:val="0"/>
        <w:pageBreakBefore w:val="0"/>
        <w:spacing w:line="360" w:lineRule="auto"/>
        <w:widowControl w:val="off"/>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连云港市第一人民医院始建于1951年10月，经过几代人的艰苦创业，现已发展成为徐淮东部地区规模最大的三级甲等综合医院，医院服务人口80多万、一院三区建筑面积60万平方米，其中，高新院区位于振华东路6号，建筑面积约30万平方米。</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二、项目概况：</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落实平安医院建设，包含门卫看护、</w:t>
      </w:r>
      <w:r>
        <w:rPr>
          <w:rFonts w:hint="eastAsia" w:ascii="宋体" w:hAnsi="宋体" w:cs="Times New Roman"/>
          <w:bCs/>
          <w:color w:val="auto"/>
          <w:sz w:val="24"/>
          <w:szCs w:val="24"/>
          <w:highlight w:val="none"/>
          <w:lang w:val="en-US" w:eastAsia="zh-CN"/>
        </w:rPr>
        <w:t xml:space="preserve">巡逻巡更、</w:t>
      </w:r>
      <w:r>
        <w:rPr>
          <w:rFonts w:hint="eastAsia" w:ascii="宋体" w:hAnsi="宋体" w:cs="Times New Roman"/>
          <w:bCs/>
          <w:color w:val="auto"/>
          <w:sz w:val="24"/>
          <w:szCs w:val="24"/>
          <w:highlight w:val="none"/>
        </w:rPr>
        <w:t xml:space="preserve">消防控制室值守、</w:t>
      </w:r>
      <w:r>
        <w:rPr>
          <w:rFonts w:hint="eastAsia" w:ascii="宋体" w:hAnsi="宋体" w:cs="Times New Roman"/>
          <w:bCs/>
          <w:color w:val="auto"/>
          <w:sz w:val="24"/>
          <w:szCs w:val="24"/>
          <w:highlight w:val="none"/>
          <w:lang w:val="en-US" w:eastAsia="zh-CN"/>
        </w:rPr>
        <w:t xml:space="preserve">突发事件应急处置、车辆管理等，</w:t>
      </w:r>
      <w:r>
        <w:rPr>
          <w:rFonts w:hint="eastAsia" w:ascii="宋体" w:hAnsi="宋体" w:cs="Times New Roman"/>
          <w:bCs/>
          <w:color w:val="auto"/>
          <w:sz w:val="24"/>
          <w:szCs w:val="24"/>
          <w:highlight w:val="none"/>
        </w:rPr>
        <w:t xml:space="preserve">防范盗窃、火灾、医闹、</w:t>
      </w:r>
      <w:r>
        <w:rPr>
          <w:rFonts w:hint="eastAsia" w:ascii="宋体" w:hAnsi="宋体" w:cs="Times New Roman"/>
          <w:bCs/>
          <w:color w:val="auto"/>
          <w:sz w:val="24"/>
          <w:szCs w:val="24"/>
          <w:highlight w:val="none"/>
          <w:lang w:val="en-US" w:eastAsia="zh-CN"/>
        </w:rPr>
        <w:t xml:space="preserve">医托、</w:t>
      </w:r>
      <w:r>
        <w:rPr>
          <w:rFonts w:hint="eastAsia" w:ascii="宋体" w:hAnsi="宋体" w:cs="Times New Roman"/>
          <w:bCs/>
          <w:color w:val="auto"/>
          <w:sz w:val="24"/>
          <w:szCs w:val="24"/>
          <w:highlight w:val="none"/>
        </w:rPr>
        <w:t xml:space="preserve">伤医、寻衅滋事、车辆事故、违禁品流入；保障医患、职工人身财产安全，维持正常诊疗秩序</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院区交通秩序</w:t>
      </w:r>
      <w:r>
        <w:rPr>
          <w:rFonts w:hint="eastAsia" w:ascii="宋体" w:hAnsi="宋体" w:cs="Times New Roman"/>
          <w:bCs/>
          <w:color w:val="auto"/>
          <w:sz w:val="24"/>
          <w:szCs w:val="24"/>
          <w:highlight w:val="none"/>
        </w:rPr>
        <w:t xml:space="preserve">，快速处置各类突发事件，落实治安、消防、反恐防暴全流程管控。</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三、服务技术要求及其他：</w:t>
      </w:r>
      <w:r/>
    </w:p>
    <w:p>
      <w:pPr>
        <w:ind w:firstLine="482"/>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一</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服务范围</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连云港市第一人民医院</w:t>
      </w:r>
      <w:r>
        <w:rPr>
          <w:rFonts w:hint="eastAsia" w:ascii="宋体" w:hAnsi="宋体" w:cs="Times New Roman"/>
          <w:bCs/>
          <w:color w:val="auto"/>
          <w:sz w:val="24"/>
          <w:szCs w:val="24"/>
          <w:highlight w:val="none"/>
          <w:lang w:val="en-US" w:eastAsia="zh-CN"/>
        </w:rPr>
        <w:t xml:space="preserve">高新</w:t>
      </w:r>
      <w:r>
        <w:rPr>
          <w:rFonts w:hint="eastAsia" w:ascii="宋体" w:hAnsi="宋体" w:cs="Times New Roman"/>
          <w:bCs/>
          <w:color w:val="auto"/>
          <w:sz w:val="24"/>
          <w:szCs w:val="24"/>
          <w:highlight w:val="none"/>
        </w:rPr>
        <w:t xml:space="preserve">院区门卫值守、防火防盗巡查、建筑消防设施巡检、应急处突、消防控制室值守、纠纷处置、安检查验</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交通秩序维护</w:t>
      </w:r>
      <w:r>
        <w:rPr>
          <w:rFonts w:hint="eastAsia" w:ascii="宋体" w:hAnsi="宋体" w:cs="Times New Roman"/>
          <w:bCs/>
          <w:color w:val="auto"/>
          <w:sz w:val="24"/>
          <w:szCs w:val="24"/>
          <w:highlight w:val="none"/>
        </w:rPr>
        <w:t xml:space="preserve">等安全服务。</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二</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所有人员应持具保安员证书，熟悉医院建筑格局，遵守医院安全管理规定，知法，懂法，守法，依法办事，必须严格遵守保安员从业规范；身体健康，没有传染病，心脑血管疾病及精神病等疾病病史，体貌端正，有吃苦耐劳的精神和高度的责任感，受过专门的岗前培训。</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rPr>
        <w:t xml:space="preserve">★</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三</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服务期限：</w:t>
      </w:r>
      <w:r>
        <w:rPr>
          <w:rFonts w:hint="eastAsia" w:ascii="宋体" w:hAnsi="宋体" w:cs="Times New Roman"/>
          <w:b/>
          <w:bCs w:val="0"/>
          <w:color w:val="auto"/>
          <w:sz w:val="24"/>
          <w:szCs w:val="24"/>
          <w:highlight w:val="none"/>
          <w:lang w:val="en-US" w:eastAsia="zh-CN"/>
        </w:rPr>
        <w:t xml:space="preserve">贰</w:t>
      </w:r>
      <w:r>
        <w:rPr>
          <w:rFonts w:hint="eastAsia" w:ascii="宋体" w:hAnsi="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eastAsia="zh-CN"/>
        </w:rPr>
        <w:t xml:space="preserve">，2026年10月10日至2028年10月9日</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（四）</w:t>
      </w:r>
      <w:r>
        <w:rPr>
          <w:rFonts w:hint="eastAsia" w:ascii="宋体" w:hAnsi="宋体" w:cs="Times New Roman"/>
          <w:b/>
          <w:bCs w:val="0"/>
          <w:color w:val="auto"/>
          <w:sz w:val="24"/>
          <w:szCs w:val="24"/>
          <w:highlight w:val="none"/>
        </w:rPr>
        <w:t xml:space="preserve">服务标准</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1.</w:t>
      </w:r>
      <w:r>
        <w:rPr>
          <w:rFonts w:hint="eastAsia" w:ascii="宋体" w:hAnsi="宋体" w:cs="Times New Roman"/>
          <w:b/>
          <w:bCs w:val="0"/>
          <w:color w:val="auto"/>
          <w:sz w:val="24"/>
          <w:szCs w:val="24"/>
          <w:highlight w:val="none"/>
        </w:rPr>
        <w:t xml:space="preserve">服务总体要求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全天候24小时对医院各区域进行治安巡查、消防监控及参与突发事件的处理（主要为门卫、巡逻、车辆管理、火灾的预警、报警、初起火灾的扑救、火灾救援、消控室值守、诊疗秩序维持、治安突发事件处置、</w:t>
      </w:r>
      <w:r>
        <w:rPr>
          <w:rFonts w:hint="eastAsia" w:ascii="宋体" w:hAnsi="宋体" w:cs="Times New Roman"/>
          <w:bCs/>
          <w:color w:val="auto"/>
          <w:sz w:val="24"/>
          <w:szCs w:val="24"/>
          <w:highlight w:val="none"/>
          <w:lang w:val="en-US" w:eastAsia="zh-CN"/>
        </w:rPr>
        <w:t xml:space="preserve">突发</w:t>
      </w:r>
      <w:r>
        <w:rPr>
          <w:rFonts w:hint="eastAsia" w:ascii="宋体" w:hAnsi="宋体" w:cs="Times New Roman"/>
          <w:bCs/>
          <w:color w:val="auto"/>
          <w:sz w:val="24"/>
          <w:szCs w:val="24"/>
          <w:highlight w:val="none"/>
        </w:rPr>
        <w:t xml:space="preserve">疫情应急病区的警戒及看守、自然灾害救援等事件）。</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维护医院的正常医疗秩序，保障医院内所有人员的人身和财产安全，保护医院的设施和设备及各类财产不受损失，预防各类政治、刑事案件、治安事件和火灾事故的发生。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配合公安机关、医院保卫部门做好信息的收集工作，防止各类敌对势力的破坏和渗透，对发现的可疑情况和线索应及时向医院保卫部门报告。</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组织人员对院内安全存在的隐患进行查找，及时报告不安全因素，并配合医院保卫部门进行整改。</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全体保安员均为义务消防员，中标人应对保安员进行岗前培训，特别是消防技能的培训，</w:t>
      </w:r>
      <w:r>
        <w:rPr>
          <w:rFonts w:hint="eastAsia" w:ascii="宋体" w:hAnsi="宋体" w:cs="Times New Roman"/>
          <w:bCs/>
          <w:color w:val="auto"/>
          <w:sz w:val="24"/>
          <w:szCs w:val="24"/>
          <w:highlight w:val="none"/>
          <w:lang w:val="en-US" w:eastAsia="zh-CN"/>
        </w:rPr>
        <w:t xml:space="preserve">确保</w:t>
      </w:r>
      <w:r>
        <w:rPr>
          <w:rFonts w:hint="eastAsia" w:ascii="宋体" w:hAnsi="宋体" w:cs="Times New Roman"/>
          <w:bCs/>
          <w:color w:val="auto"/>
          <w:sz w:val="24"/>
          <w:szCs w:val="24"/>
          <w:highlight w:val="none"/>
        </w:rPr>
        <w:t xml:space="preserve">保安员具有一定的业务素质，消防监控室值班人员应按消防法规要求持证（四级/中级消防设施操作员）上岗。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全体保安员均为应急救援队员，中标人应对保安员进行培训，特别是快速反应应急救援培训，当发生火灾、恶性治安案件、重大疫情应急病区的警戒</w:t>
      </w:r>
      <w:r>
        <w:rPr>
          <w:rFonts w:hint="eastAsia" w:ascii="宋体" w:hAnsi="宋体" w:cs="Times New Roman"/>
          <w:bCs/>
          <w:color w:val="auto"/>
          <w:sz w:val="24"/>
          <w:szCs w:val="24"/>
          <w:highlight w:val="none"/>
          <w:lang w:eastAsia="zh-CN"/>
        </w:rPr>
        <w:t xml:space="preserve">及其他自然灾害</w:t>
      </w:r>
      <w:r>
        <w:rPr>
          <w:rFonts w:hint="eastAsia" w:ascii="宋体" w:hAnsi="宋体" w:cs="Times New Roman"/>
          <w:bCs/>
          <w:color w:val="auto"/>
          <w:sz w:val="24"/>
          <w:szCs w:val="24"/>
          <w:highlight w:val="none"/>
        </w:rPr>
        <w:t xml:space="preserve">突发事件时，3分钟内须有保安员赶到现场掌控局面，5至10分钟之内须派出足够人手参加救援。</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建立完善的各项应急救援方案（火警、爆炸、投毒、群体性事件、</w:t>
      </w:r>
      <w:r>
        <w:rPr>
          <w:rFonts w:hint="eastAsia" w:ascii="宋体" w:hAnsi="宋体" w:cs="Times New Roman"/>
          <w:bCs/>
          <w:color w:val="auto"/>
          <w:sz w:val="24"/>
          <w:szCs w:val="24"/>
          <w:highlight w:val="none"/>
          <w:lang w:val="en-US" w:eastAsia="zh-CN"/>
        </w:rPr>
        <w:t xml:space="preserve">伤医滋事、</w:t>
      </w:r>
      <w:r>
        <w:rPr>
          <w:rFonts w:hint="eastAsia" w:ascii="宋体" w:hAnsi="宋体" w:cs="Times New Roman"/>
          <w:bCs/>
          <w:color w:val="auto"/>
          <w:sz w:val="24"/>
          <w:szCs w:val="24"/>
          <w:highlight w:val="none"/>
          <w:lang w:eastAsia="zh-CN"/>
        </w:rPr>
        <w:t xml:space="preserve">其他破坏</w:t>
      </w:r>
      <w:r>
        <w:rPr>
          <w:rFonts w:hint="eastAsia" w:ascii="宋体" w:hAnsi="宋体" w:cs="Times New Roman"/>
          <w:bCs/>
          <w:color w:val="auto"/>
          <w:sz w:val="24"/>
          <w:szCs w:val="24"/>
          <w:highlight w:val="none"/>
        </w:rPr>
        <w:t xml:space="preserve">、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医院区域内重大火灾、治安、交通、刑事等事件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建立完善的管理制度。包括保安队管理制度、接报警制度、重要人员及重要目标警卫制度、门卫值班制度、闭路电视监控管理制度、消防管理制度、车辆管理制度、值班巡逻制度、放行制度、交接班制度、奖惩制度、军事训练制度、会议制度、安全汇报制度及向医院保卫部门提供一份详细年度计划，做好</w:t>
      </w:r>
      <w:r>
        <w:rPr>
          <w:rFonts w:hint="eastAsia" w:ascii="宋体" w:hAnsi="宋体" w:cs="Times New Roman"/>
          <w:bCs/>
          <w:color w:val="auto"/>
          <w:sz w:val="24"/>
          <w:szCs w:val="24"/>
          <w:highlight w:val="none"/>
          <w:lang w:eastAsia="zh-CN"/>
        </w:rPr>
        <w:t xml:space="preserve">台账</w:t>
      </w:r>
      <w:r>
        <w:rPr>
          <w:rFonts w:hint="eastAsia" w:ascii="宋体" w:hAnsi="宋体" w:cs="Times New Roman"/>
          <w:bCs/>
          <w:color w:val="auto"/>
          <w:sz w:val="24"/>
          <w:szCs w:val="24"/>
          <w:highlight w:val="none"/>
        </w:rPr>
        <w:t xml:space="preserve">整理工作。</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应按要求派出</w:t>
      </w:r>
      <w:r>
        <w:rPr>
          <w:rFonts w:hint="eastAsia" w:ascii="宋体" w:hAnsi="宋体" w:cs="Times New Roman"/>
          <w:bCs/>
          <w:color w:val="auto"/>
          <w:sz w:val="24"/>
          <w:szCs w:val="24"/>
          <w:highlight w:val="none"/>
          <w:lang w:val="en-US" w:eastAsia="zh-CN"/>
        </w:rPr>
        <w:t xml:space="preserve">持证（四级/中级消防设施操作员）人员在消防</w:t>
      </w:r>
      <w:r>
        <w:rPr>
          <w:rFonts w:hint="eastAsia" w:ascii="宋体" w:hAnsi="宋体" w:cs="Times New Roman"/>
          <w:bCs/>
          <w:color w:val="auto"/>
          <w:sz w:val="24"/>
          <w:szCs w:val="24"/>
          <w:highlight w:val="none"/>
        </w:rPr>
        <w:t xml:space="preserve">控制室实行24小时值班，严密监控，发现情况立即报告和处理并做好登记，本岗位人员不得随意更换。</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10</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保安员应熟悉医院整体地理环境及监控范围，熟练操作、维护使用监控系统设备。</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积极配合医院</w:t>
      </w:r>
      <w:r>
        <w:rPr>
          <w:rFonts w:hint="eastAsia" w:ascii="宋体" w:hAnsi="宋体" w:cs="Times New Roman"/>
          <w:bCs/>
          <w:color w:val="auto"/>
          <w:sz w:val="24"/>
          <w:szCs w:val="24"/>
          <w:highlight w:val="none"/>
          <w:lang w:eastAsia="zh-CN"/>
        </w:rPr>
        <w:t xml:space="preserve">做好</w:t>
      </w:r>
      <w:r>
        <w:rPr>
          <w:rFonts w:hint="eastAsia" w:ascii="宋体" w:hAnsi="宋体" w:cs="Times New Roman"/>
          <w:bCs/>
          <w:color w:val="auto"/>
          <w:sz w:val="24"/>
          <w:szCs w:val="24"/>
          <w:highlight w:val="none"/>
        </w:rPr>
        <w:t xml:space="preserve">安全生产相关的宣传工作</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服务公司必须保证每年有一次对医院开展安全宣传教育的活动</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每月把医院所发生的一些重要情况如实以书面形式汇报到医院保卫部门，每月、季度、半年、年终分别做好事件记录及总结，并交到医院保卫部门备案。</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应按时按岗位安排保安到岗，不得随意减少岗位，因服务改造和岗位调整，医院可根据岗位实际需要在允许的范围内增减保安员数量，每个保安员增减的费用，按照中标合同计算。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14</w:t>
      </w:r>
      <w:r>
        <w:rPr>
          <w:rFonts w:hint="eastAsia" w:ascii="宋体" w:hAnsi="宋体" w:cs="Times New Roman"/>
          <w:bCs/>
          <w:color w:val="auto"/>
          <w:sz w:val="24"/>
          <w:szCs w:val="24"/>
          <w:highlight w:val="none"/>
          <w:lang w:eastAsia="zh-CN"/>
        </w:rPr>
        <w:t xml:space="preserve">）确保</w:t>
      </w:r>
      <w:r>
        <w:rPr>
          <w:rFonts w:hint="eastAsia" w:ascii="宋体" w:hAnsi="宋体" w:cs="Times New Roman"/>
          <w:bCs/>
          <w:color w:val="auto"/>
          <w:sz w:val="24"/>
          <w:szCs w:val="24"/>
          <w:highlight w:val="none"/>
        </w:rPr>
        <w:t xml:space="preserve">每年至少开展1次涉医违法犯罪应急演练、1次消防应急演练。</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rPr>
        <w:t xml:space="preserve">保安员岗位职责：</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安检岗位</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 门诊、急诊安检出入口，规范操作安检机、金属探测门、手持金属探测仪，对所有进出人员、随身箱包、大件行李全员全覆盖安检，无漏检、无免检特权。</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）严格查验违禁物品：及时识别并暂扣管制刀具、棍棒、锐器、酒精、汽油、油漆、烟花爆竹、打火机气瓶、腐蚀性 / 易燃易爆危险品、仿真武器等危险物品；医护医用手术器械凭工作证核实后放行。</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）规范处置违禁品：对暂扣物品做好实名登记、封存保管，告知医院安检管理规定；遇拒不配合、强行闯检人员，立即上报保卫处，情节严重直接拨打 110 报警。</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）高峰人流疏导：门诊早高峰、急诊急救时段维持安检口秩序，分流人群避免拥堵，开通绿色通道优先放行危重病人、孕产妇、行动不便老人、急救转运人员。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）安检设备运维：上岗前检查设备通电、成像、探测功能是否正常，做好设备清洁；设备故障立即停止使用并上报后勤维修，严禁私自拆卸、改装安检器材。</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急诊大厅</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维持急诊区域的诊疗秩序，协助急诊做好人员、门前车辆管控工作；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对急诊区域的可疑人员、物品进行盘问、检查，制止管区内发生的打架、滋扰事件；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禁止携带宠物进入急诊区域；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认真做好防火、防盗、防破坏、防爆炸“四防”工作；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制止院内寻衅滋事的行为发生；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制止侮辱、威胁、恐吓、故意伤害医务人员或者非法限制医务人员人身自由行为发生，禁止尸体滞留病房，及时移送太平间；</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bidi="ar-SA"/>
        </w:rPr>
      </w:pPr>
      <w:r>
        <w:rPr>
          <w:rFonts w:hint="eastAsia" w:ascii="宋体" w:hAnsi="宋体" w:eastAsia="宋体" w:cs="Times New Roman"/>
          <w:b/>
          <w:bCs w:val="0"/>
          <w:color w:val="auto"/>
          <w:sz w:val="24"/>
          <w:szCs w:val="24"/>
          <w:highlight w:val="none"/>
          <w:u w:val="none"/>
          <w:lang w:val="en-US" w:eastAsia="zh-CN" w:bidi="ar-SA"/>
        </w:rPr>
        <w:t xml:space="preserve">正门出入口交通指挥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通道（救护车通道、职工通道、污物通道）管理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确保车辆有序出入场，核验出门证；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对道闸系统发生损坏等问题及时上报；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消防控制室值班员职责</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负责对消防、安防设备的监视和运用，做好检查和操作等工作；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熟悉消防、安防系统的基本原理、功能，熟练掌握操作服务，协助服务人员进行修理、维护，不得擅自拆卸、挪用或停用系统设备，保证系统正常运行；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消防、安防控制室接到火警报告后要及时通知保安员和火警现场工作人员到现场进行查看，确认为真火警后，控制室工作人员必须严格按照《连云港市第一人民医院火灾预案》要求进行操作；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发现消防、安防系统设备出现故障时，必须及时通知相关人员或维保单位进行维修；</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对消防、安防控制室设备及通讯器材等要进行经常性</w:t>
      </w:r>
      <w:r>
        <w:rPr>
          <w:rFonts w:hint="eastAsia" w:ascii="宋体" w:hAnsi="宋体" w:eastAsia="宋体" w:cs="Times New Roman"/>
          <w:bCs/>
          <w:color w:val="auto"/>
          <w:sz w:val="24"/>
          <w:szCs w:val="24"/>
          <w:highlight w:val="none"/>
          <w:u w:val="none"/>
          <w:lang w:eastAsia="zh-CN"/>
        </w:rPr>
        <w:t xml:space="preserve">的</w:t>
      </w:r>
      <w:r>
        <w:rPr>
          <w:rFonts w:hint="eastAsia" w:ascii="宋体" w:hAnsi="宋体" w:eastAsia="宋体" w:cs="Times New Roman"/>
          <w:bCs/>
          <w:color w:val="auto"/>
          <w:sz w:val="24"/>
          <w:szCs w:val="24"/>
          <w:highlight w:val="none"/>
          <w:u w:val="none"/>
        </w:rPr>
        <w:t xml:space="preserve">检查，做好各系统功能试验，以确保消防、安防各系统运行状况良好；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消防控制室值班人员，要做到人到、心到、眼到，严密监视，及时发现可疑人员和一切违法犯罪活动并立即报告附近的值班保安员；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为了确保治安与消防安全值班人员必须精神饱满，认真负责，不得擅离岗位，玩忽职守；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除正常工作需要之外，值班人员不准随意拨弄安防监控和消防报警系统；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阻止无关人员严禁进入消防控制室；</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未经医院保卫部门的许可，不准向无关人员提供本系统的任何情况；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严格执行交接班制度，值班人员交接班时应详细清楚，准确无误，同时应做好工作记录和交接班登记；</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协助公安部门调阅监控录像，为公安机关提供线索；</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车辆（非机动车和机动车）管理车辆（非机动车和机动车）管理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微型消防站兼微机动处突队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在</w:t>
      </w:r>
      <w:r>
        <w:rPr>
          <w:rFonts w:hint="eastAsia" w:ascii="宋体" w:hAnsi="宋体" w:eastAsia="宋体" w:cs="Times New Roman"/>
          <w:bCs/>
          <w:color w:val="auto"/>
          <w:sz w:val="24"/>
          <w:szCs w:val="24"/>
          <w:highlight w:val="none"/>
          <w:u w:val="none"/>
          <w:lang w:val="en-US" w:eastAsia="zh-CN"/>
        </w:rPr>
        <w:t xml:space="preserve">队</w:t>
      </w:r>
      <w:r>
        <w:rPr>
          <w:rFonts w:hint="eastAsia" w:ascii="宋体" w:hAnsi="宋体" w:eastAsia="宋体" w:cs="Times New Roman"/>
          <w:bCs/>
          <w:color w:val="auto"/>
          <w:sz w:val="24"/>
          <w:szCs w:val="24"/>
          <w:highlight w:val="none"/>
          <w:u w:val="none"/>
        </w:rPr>
        <w:t xml:space="preserve">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根据职责分工，完成初期火灾扑救和应急救援任务；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熟悉</w:t>
      </w:r>
      <w:r>
        <w:rPr>
          <w:rFonts w:hint="eastAsia" w:ascii="宋体" w:hAnsi="宋体" w:eastAsia="宋体" w:cs="Times New Roman"/>
          <w:bCs/>
          <w:color w:val="auto"/>
          <w:sz w:val="24"/>
          <w:szCs w:val="24"/>
          <w:highlight w:val="none"/>
          <w:u w:val="none"/>
        </w:rPr>
        <w:t xml:space="preserve">医院的建筑消防设施安全出口、建筑消防设施、消防电梯、道路进出口、消防登高面、水泵房、高位水箱及水源情况；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掌握消防设施的性能和操作使用方法，规劝、驱赶管区内的医托、摆卖、乞讨、散发广告等闲杂人；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参加治安、消防安全巡查和消防宣传教育，及时劝阻院内吸烟现象；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开展防护服穿戴、消防报警跑点、消防设施使用、疏散演练的日常训练工作，及时劝阻院内吸烟现象；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numPr>
          <w:ilvl w:val="0"/>
          <w:numId w:val="6"/>
        </w:num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人员配备：</w:t>
      </w:r>
      <w:r/>
    </w:p>
    <w:p>
      <w:pPr>
        <w:pStyle w:val="788"/>
        <w:ind w:left="420" w:firstLine="618"/>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1.基本年龄范围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所有保安人员上岗时年龄须在18周岁以上，身体健康，能胜任岗位工作。</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2.新进人员年龄限制</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新招聘的保安人员年龄不得超过5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周岁（即新进人员须小于5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岁）。已在队伍中、超过55周岁的现有保安人员可继续留用，不受本款限制。</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3.50周岁以下人员占比</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全体保安人员中，50周岁以下的人员占比不低于20%（即≥20%）。该比例为硬性达标条件，为《医院安全防范要求》新国标（GB/T31458-2026）要求条款，投标人须在响应文件中明确承诺并列出符合条件的人员清单。</w:t>
      </w:r>
      <w:r/>
    </w:p>
    <w:p>
      <w:pPr>
        <w:pStyle w:val="788"/>
        <w:ind w:left="420" w:firstLine="618"/>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机动队兼微型消防站队员年龄</w:t>
      </w:r>
      <w:r/>
    </w:p>
    <w:p>
      <w:pPr>
        <w:pStyle w:val="788"/>
        <w:ind w:left="420" w:firstLine="618"/>
        <w:spacing w:line="360" w:lineRule="auto"/>
        <w:rPr>
          <w:rFonts w:hint="eastAsia" w:ascii="宋体" w:hAnsi="宋体" w:eastAsia="宋体" w:cs="Times New Roman"/>
          <w:b/>
          <w:bCs w:val="0"/>
          <w:color w:val="auto"/>
          <w:sz w:val="24"/>
          <w:szCs w:val="24"/>
          <w:highlight w:val="none"/>
          <w:u w:val="none"/>
        </w:rPr>
      </w:pPr>
      <w:r>
        <w:rPr>
          <w:rFonts w:hint="eastAsia" w:ascii="宋体" w:hAnsi="宋体" w:eastAsia="宋体" w:cs="宋体"/>
          <w:b w:val="0"/>
          <w:bCs w:val="0"/>
          <w:color w:val="auto"/>
          <w:sz w:val="24"/>
          <w:szCs w:val="24"/>
          <w:highlight w:val="none"/>
        </w:rPr>
        <w:t xml:space="preserve">机动队及微型消防站队员的年龄不超过50周岁，以确保应急处突体能和反应速度。</w:t>
      </w:r>
      <w:r/>
    </w:p>
    <w:p>
      <w:pPr>
        <w:pStyle w:val="788"/>
        <w:ind w:firstLine="85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高新院区保安服务岗位配置</w:t>
      </w:r>
      <w:r/>
    </w:p>
    <w:tbl>
      <w:tblPr>
        <w:tblStyle w:val="783"/>
        <w:tblW w:w="9257" w:type="dxa"/>
        <w:tblInd w:w="98" w:type="dxa"/>
        <w:tblLayout w:type="fixed"/>
        <w:tblCellMar>
          <w:left w:w="108" w:type="dxa"/>
          <w:top w:w="0" w:type="dxa"/>
          <w:right w:w="108" w:type="dxa"/>
          <w:bottom w:w="0" w:type="dxa"/>
        </w:tblCellMar>
        <w:tblLook w:val="04A0" w:firstRow="1" w:lastRow="0" w:firstColumn="1" w:lastColumn="0" w:noHBand="0" w:noVBand="1"/>
      </w:tblPr>
      <w:tblGrid>
        <w:gridCol w:w="575"/>
        <w:gridCol w:w="1200"/>
        <w:gridCol w:w="546"/>
        <w:gridCol w:w="804"/>
        <w:gridCol w:w="750"/>
        <w:gridCol w:w="2564"/>
        <w:gridCol w:w="2818"/>
      </w:tblGrid>
      <w:tr>
        <w:trPr>
          <w:trHeight w:val="660"/>
        </w:trPr>
        <w:tc>
          <w:tcPr>
            <w:shd w:val="clear" w:color="auto" w:fill="auto"/>
            <w:tcBorders>
              <w:top w:val="single" w:color="000000" w:sz="8"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岗位</w:t>
            </w:r>
            <w:r/>
          </w:p>
        </w:tc>
        <w:tc>
          <w:tcPr>
            <w:shd w:val="clear" w:color="auto" w:fill="auto"/>
            <w:tcBorders>
              <w:top w:val="single" w:color="000000" w:sz="8" w:space="0"/>
              <w:left w:val="single" w:color="000000" w:sz="4" w:space="0"/>
              <w:bottom w:val="single" w:color="000000" w:sz="4" w:space="0"/>
              <w:right w:val="single" w:color="000000" w:sz="4" w:space="0"/>
            </w:tcBorders>
            <w:tcW w:w="546"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岗位数</w:t>
            </w:r>
            <w:r/>
          </w:p>
        </w:tc>
        <w:tc>
          <w:tcPr>
            <w:shd w:val="clear" w:color="auto" w:fill="auto"/>
            <w:tcBorders>
              <w:top w:val="single" w:color="000000" w:sz="8" w:space="0"/>
              <w:left w:val="single" w:color="000000" w:sz="4" w:space="0"/>
              <w:bottom w:val="single" w:color="000000" w:sz="4" w:space="0"/>
              <w:right w:val="single" w:color="000000" w:sz="8" w:space="0"/>
            </w:tcBorders>
            <w:tcW w:w="804"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排班制</w:t>
            </w:r>
            <w:r/>
          </w:p>
        </w:tc>
        <w:tc>
          <w:tcPr>
            <w:shd w:val="clear" w:color="auto" w:fill="auto"/>
            <w:tcBorders>
              <w:top w:val="single" w:color="000000" w:sz="8" w:space="0"/>
              <w:left w:val="single" w:color="000000" w:sz="4" w:space="0"/>
              <w:bottom w:val="single" w:color="000000" w:sz="4" w:space="0"/>
              <w:right w:val="single" w:color="000000" w:sz="8" w:space="0"/>
            </w:tcBorders>
            <w:tcW w:w="750"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保安数量</w:t>
            </w:r>
            <w:r/>
          </w:p>
        </w:tc>
        <w:tc>
          <w:tcPr>
            <w:shd w:val="clear" w:color="auto" w:fill="auto"/>
            <w:tcBorders>
              <w:top w:val="single" w:color="000000" w:sz="8"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c>
          <w:tcPr>
            <w:shd w:val="clear" w:color="auto" w:fill="auto"/>
            <w:tcBorders>
              <w:top w:val="single" w:color="000000" w:sz="8"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配置依据</w:t>
            </w:r>
            <w:r/>
          </w:p>
        </w:tc>
      </w:tr>
      <w:tr>
        <w:trPr>
          <w:trHeight w:val="796"/>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医院作息制度</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持有保卫管理员，年龄50岁以下。</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实际需要</w:t>
            </w:r>
            <w:r/>
          </w:p>
        </w:tc>
      </w:tr>
      <w:tr>
        <w:trPr>
          <w:trHeight w:val="1526"/>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资料员（台账集成、内部考勤、巡查考核）</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医院作息制度</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color w:val="auto"/>
                <w:highlight w:val="none"/>
              </w:rPr>
              <w:t xml:space="preserve">大专及以上学历，能熟练使用办公软件，具备2年以上文员或台账管理相关工作经验</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实际需要</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★带班队长</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男，年龄50</w:t>
            </w:r>
            <w:r>
              <w:rPr>
                <w:rStyle w:val="1108"/>
                <w:rFonts w:hint="eastAsia" w:ascii="宋体" w:hAnsi="宋体" w:eastAsia="宋体" w:cs="宋体"/>
                <w:color w:val="auto"/>
                <w:sz w:val="24"/>
                <w:szCs w:val="24"/>
                <w:highlight w:val="none"/>
                <w:lang w:bidi="ar"/>
              </w:rPr>
              <w:t xml:space="preserve">岁以下，工资实发≥</w:t>
            </w:r>
            <w:r>
              <w:rPr>
                <w:rStyle w:val="1109"/>
                <w:rFonts w:hint="eastAsia" w:ascii="宋体" w:hAnsi="宋体" w:eastAsia="宋体" w:cs="宋体"/>
                <w:color w:val="auto"/>
                <w:sz w:val="24"/>
                <w:szCs w:val="24"/>
                <w:highlight w:val="none"/>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实际需要</w:t>
            </w:r>
            <w:r/>
          </w:p>
        </w:tc>
      </w:tr>
      <w:tr>
        <w:trPr>
          <w:trHeight w:val="2757"/>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★宣教馆培训员（消防培训；宣教馆讲解员；内部消防安全培训）</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医院作息制度</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消防设施操作员四级及以上，年龄50岁以下，工资实发≥3400，大专及以上学历。</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实际需要</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★机动队兼微型消防站队员</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rPr>
            </w:pPr>
            <w:r>
              <w:rPr>
                <w:rStyle w:val="1110"/>
                <w:rFonts w:hint="eastAsia" w:ascii="宋体" w:hAnsi="宋体" w:eastAsia="宋体" w:cs="宋体"/>
                <w:color w:val="auto"/>
                <w:sz w:val="24"/>
                <w:szCs w:val="24"/>
                <w:highlight w:val="none"/>
                <w:lang w:bidi="ar"/>
              </w:rPr>
              <w:t xml:space="preserve">年龄</w:t>
            </w:r>
            <w:r>
              <w:rPr>
                <w:rStyle w:val="1111"/>
                <w:rFonts w:hint="eastAsia" w:ascii="宋体" w:hAnsi="宋体" w:eastAsia="宋体" w:cs="宋体"/>
                <w:color w:val="auto"/>
                <w:sz w:val="24"/>
                <w:szCs w:val="24"/>
                <w:highlight w:val="none"/>
                <w:lang w:bidi="ar"/>
              </w:rPr>
              <w:t xml:space="preserve">50周岁以下</w:t>
            </w:r>
            <w:r>
              <w:rPr>
                <w:rStyle w:val="1110"/>
                <w:rFonts w:hint="eastAsia" w:ascii="宋体" w:hAnsi="宋体" w:eastAsia="宋体" w:cs="宋体"/>
                <w:color w:val="auto"/>
                <w:sz w:val="24"/>
                <w:szCs w:val="24"/>
                <w:highlight w:val="none"/>
                <w:lang w:bidi="ar"/>
              </w:rPr>
              <w:t xml:space="preserve">；工资实发≥3200；退伍军人≥6人；</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国家消防救援局文件要求：</w:t>
            </w:r>
            <w:r/>
          </w:p>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《社会单位微型消防站建设标准》（消防〔2025〕33号）第三部分“人员配备”中的第（二）条“微型消防站人数应满足初起火灾扑救、日常防火巡查的需要，原则上按照不少于6人配备”</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★消防控制室</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1人兼职消控室负责人</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消防设施操作员四级及以上；</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工资实发≥4500；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国标要求：《消防控制室通用技术要求》（GB 25506-2010）第4.2.1条：实行每日24小时专人值班制度，每班不应少于2人，值班人员应持有消防控制室操作职业资格证书。</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Style w:val="1109"/>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门诊安检岗</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p>
            <w:pPr>
              <w:jc w:val="center"/>
              <w:widowControl/>
              <w:rPr>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（履带式安检岗、手持式安检岗）</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国标要求：《医院安全防范要求》(GB/T31458-2026）：</w:t>
            </w:r>
            <w:r/>
          </w:p>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在医院主要入口、门诊部和急诊部入口设置安检区的，应配备微剂量X射线安全检查设备、通过式金属探测门和手持式金属探测器，宜配备液态危险化学品安全检查仪;</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急诊安检岗</w:t>
            </w:r>
            <w:r>
              <w:rPr>
                <w:rStyle w:val="1113"/>
                <w:rFonts w:hint="eastAsia" w:ascii="宋体" w:hAnsi="宋体" w:eastAsia="宋体" w:cs="宋体"/>
                <w:color w:val="auto"/>
                <w:sz w:val="24"/>
                <w:szCs w:val="24"/>
                <w:highlight w:val="none"/>
                <w:lang w:bidi="ar"/>
              </w:rPr>
              <w:br/>
            </w:r>
            <w:r>
              <w:rPr>
                <w:rStyle w:val="1109"/>
                <w:rFonts w:hint="eastAsia" w:ascii="宋体" w:hAnsi="宋体" w:eastAsia="宋体" w:cs="宋体"/>
                <w:color w:val="auto"/>
                <w:sz w:val="24"/>
                <w:szCs w:val="24"/>
                <w:highlight w:val="none"/>
                <w:lang w:bidi="ar"/>
              </w:rPr>
              <w:t xml:space="preserve">（兼急诊代客泊车）</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国标要求：《医院安全防范要求》(GB/T31458-2026）：</w:t>
            </w:r>
            <w:r/>
          </w:p>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在医院主要入口、门诊部和急诊部入口设置安检区的，应配备微剂量X射线安全检查设备、通过式金属探测门和手持式金属探测器，宜配备液态危险化学品安全检查仪;</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Style w:val="1109"/>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病区入口安检</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Style w:val="1113"/>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p>
            <w:pPr>
              <w:jc w:val="center"/>
              <w:widowControl/>
              <w:rPr>
                <w:rStyle w:val="1112"/>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4号楼1楼北侧住院入口、6号楼1楼北侧住院入口、7号楼1楼北侧住院楼入口；</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安检工作实际需求</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Style w:val="1109"/>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常夜班</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年龄55以下</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4个出入口</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国标要求：《医院安全防范要求》(GB/T31458-2026）</w:t>
            </w:r>
            <w:r>
              <w:rPr>
                <w:rFonts w:hint="eastAsia" w:ascii="宋体" w:hAnsi="宋体" w:eastAsia="宋体" w:cs="宋体"/>
                <w:color w:val="auto"/>
                <w:sz w:val="24"/>
                <w:szCs w:val="24"/>
                <w:highlight w:val="none"/>
                <w:lang w:bidi="ar"/>
              </w:rPr>
              <w:t xml:space="preserve">：</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6.3医院主要出入口应设置保卫执勤岗位。</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Style w:val="1109"/>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w:t>
            </w:r>
            <w:r>
              <w:rPr>
                <w:rStyle w:val="1112"/>
                <w:rFonts w:ascii="宋体" w:hAnsi="宋体" w:cs="宋体"/>
                <w:color w:val="auto"/>
                <w:sz w:val="24"/>
                <w:szCs w:val="24"/>
                <w:highlight w:val="none"/>
                <w:lang w:bidi="ar"/>
              </w:rPr>
              <w:t xml:space="preserve">院区周边交通秩序维护岗</w:t>
            </w:r>
            <w:r>
              <w:rPr>
                <w:rStyle w:val="1114"/>
                <w:rFonts w:hint="eastAsia" w:ascii="宋体" w:hAnsi="宋体" w:eastAsia="宋体" w:cs="宋体"/>
                <w:color w:val="auto"/>
                <w:sz w:val="24"/>
                <w:szCs w:val="24"/>
                <w:highlight w:val="none"/>
                <w:lang w:bidi="ar"/>
              </w:rPr>
              <w:br/>
            </w:r>
            <w:r>
              <w:rPr>
                <w:rStyle w:val="1112"/>
                <w:rFonts w:hint="eastAsia" w:ascii="宋体" w:hAnsi="宋体" w:eastAsia="宋体" w:cs="宋体"/>
                <w:color w:val="auto"/>
                <w:sz w:val="24"/>
                <w:szCs w:val="24"/>
                <w:highlight w:val="none"/>
                <w:lang w:bidi="ar"/>
              </w:rPr>
              <w:t xml:space="preserve">（振华路主路、科苑北路交通整治）</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年龄50以下；工资实发≥3200；退役军人或公安系统辅警工作经历；</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警医共建需求：</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经协商我院招聘人员由交警一大队培训后，经一大队授权协助治理我院门外交通。</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Style w:val="110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治安巡逻协防岗</w:t>
            </w:r>
            <w:r>
              <w:rPr>
                <w:rFonts w:hint="eastAsia" w:ascii="宋体" w:hAnsi="宋体" w:eastAsia="宋体" w:cs="宋体"/>
                <w:color w:val="auto"/>
                <w:sz w:val="24"/>
                <w:szCs w:val="24"/>
                <w:highlight w:val="none"/>
                <w:lang w:bidi="ar"/>
              </w:rPr>
              <w:t xml:space="preserve">（兼门诊大厅巡逻）</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年龄50以下；工资实发≥3200；退役军人或公安系统辅警工作经历；</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警医共建需求：</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经协商我院招聘人员由郁州派出所培训后，经派出所授权协助正式民警开展带队日常巡逻、治安整治、纠纷调处等工作。</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★急诊抢救室门前（兼急诊应急处突）</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Style w:val="1112"/>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年龄</w:t>
            </w:r>
            <w:r>
              <w:rPr>
                <w:rStyle w:val="1114"/>
                <w:rFonts w:hint="eastAsia" w:ascii="宋体" w:hAnsi="宋体" w:eastAsia="宋体" w:cs="宋体"/>
                <w:color w:val="auto"/>
                <w:sz w:val="24"/>
                <w:szCs w:val="24"/>
                <w:highlight w:val="none"/>
                <w:lang w:bidi="ar"/>
              </w:rPr>
              <w:t xml:space="preserve">50岁以下</w:t>
            </w:r>
            <w:r>
              <w:rPr>
                <w:rStyle w:val="1112"/>
                <w:rFonts w:hint="eastAsia" w:ascii="宋体" w:hAnsi="宋体" w:eastAsia="宋体" w:cs="宋体"/>
                <w:color w:val="auto"/>
                <w:sz w:val="24"/>
                <w:szCs w:val="24"/>
                <w:highlight w:val="none"/>
                <w:lang w:bidi="ar"/>
              </w:rPr>
              <w:t xml:space="preserve">；</w:t>
            </w:r>
            <w:r/>
          </w:p>
          <w:p>
            <w:pPr>
              <w:jc w:val="center"/>
              <w:widowControl/>
              <w:rPr>
                <w:rStyle w:val="1112"/>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身高≥1.8米；</w:t>
            </w:r>
            <w:r/>
          </w:p>
          <w:p>
            <w:pPr>
              <w:jc w:val="center"/>
              <w:widowControl/>
              <w:rPr>
                <w:rFonts w:hint="eastAsia" w:ascii="宋体" w:hAnsi="宋体" w:eastAsia="宋体" w:cs="宋体"/>
                <w:color w:val="auto"/>
                <w:sz w:val="24"/>
                <w:szCs w:val="24"/>
                <w:highlight w:val="none"/>
              </w:rPr>
            </w:pPr>
            <w:r>
              <w:rPr>
                <w:rStyle w:val="1112"/>
                <w:rFonts w:hint="eastAsia" w:ascii="宋体" w:hAnsi="宋体" w:eastAsia="宋体" w:cs="宋体"/>
                <w:color w:val="auto"/>
                <w:sz w:val="24"/>
                <w:szCs w:val="24"/>
                <w:highlight w:val="none"/>
                <w:lang w:bidi="ar"/>
              </w:rPr>
              <w:t xml:space="preserve">工资实发≥3200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实际需求：</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急诊区域各类醉酒、闹事等突发事件较多，医护人员安全风险高，协助急诊做好安全防范。</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行政楼一楼值守岗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Style w:val="1112"/>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行政楼管理实际需求</w:t>
            </w:r>
            <w:r/>
          </w:p>
        </w:tc>
      </w:tr>
      <w:tr>
        <w:trPr>
          <w:trHeight w:val="938"/>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行政楼七楼值守岗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两班倒</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Style w:val="1112"/>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行政楼管理实际需求</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院内机动车辆管理</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年龄55以下；</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门诊门前、急诊门前、院内停车场南区、院内停车场北区、地下车库、非机动车停车场车辆管理；</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4号楼北大厅、6号</w:t>
            </w:r>
            <w:r>
              <w:rPr>
                <w:rFonts w:hint="eastAsia" w:ascii="宋体" w:hAnsi="宋体" w:cs="宋体"/>
                <w:color w:val="auto"/>
                <w:sz w:val="24"/>
                <w:szCs w:val="24"/>
                <w:highlight w:val="none"/>
                <w:lang w:eastAsia="zh-CN" w:bidi="ar"/>
              </w:rPr>
              <w:t xml:space="preserve">楼</w:t>
            </w:r>
            <w:r>
              <w:rPr>
                <w:rFonts w:hint="eastAsia" w:ascii="宋体" w:hAnsi="宋体" w:eastAsia="宋体" w:cs="宋体"/>
                <w:color w:val="auto"/>
                <w:sz w:val="24"/>
                <w:szCs w:val="24"/>
                <w:highlight w:val="none"/>
                <w:lang w:bidi="ar"/>
              </w:rPr>
              <w:t xml:space="preserve">北大厅接送出院患者车辆、药品、耗材货运车辆管理；</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车辆管理实际需求</w:t>
            </w:r>
            <w:r/>
          </w:p>
        </w:tc>
      </w:tr>
      <w:tr>
        <w:trPr>
          <w:trHeight w:val="1233"/>
        </w:trPr>
        <w:tc>
          <w:tcPr>
            <w:shd w:val="clear" w:color="auto" w:fill="auto"/>
            <w:tcBorders>
              <w:top w:val="single" w:color="000000" w:sz="4" w:space="0"/>
              <w:left w:val="single" w:color="000000" w:sz="8"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血液净化中心</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80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56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年龄50以下；工资实发</w:t>
            </w:r>
            <w:r>
              <w:rPr>
                <w:rStyle w:val="1113"/>
                <w:rFonts w:hint="eastAsia" w:ascii="宋体" w:hAnsi="宋体" w:eastAsia="宋体" w:cs="宋体"/>
                <w:color w:val="auto"/>
                <w:sz w:val="24"/>
                <w:szCs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281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实际需求</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透析群体为社会特殊群体，管理难度大，医护人员安全风险高，协助病区做好安全防范</w:t>
            </w:r>
            <w:r/>
          </w:p>
        </w:tc>
      </w:tr>
      <w:tr>
        <w:trPr>
          <w:trHeight w:val="615"/>
        </w:trPr>
        <w:tc>
          <w:tcPr>
            <w:gridSpan w:val="2"/>
            <w:shd w:val="clear" w:color="auto" w:fill="auto"/>
            <w:tcBorders>
              <w:top w:val="single" w:color="000000" w:sz="4" w:space="0"/>
              <w:left w:val="single" w:color="000000" w:sz="8"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c>
          <w:tcPr>
            <w:gridSpan w:val="5"/>
            <w:shd w:val="clear" w:color="auto" w:fill="auto"/>
            <w:tcBorders>
              <w:top w:val="single" w:color="000000" w:sz="4" w:space="0"/>
              <w:left w:val="single" w:color="000000" w:sz="4" w:space="0"/>
              <w:bottom w:val="single" w:color="000000" w:sz="4" w:space="0"/>
              <w:right w:val="single" w:color="000000" w:sz="8" w:space="0"/>
            </w:tcBorders>
            <w:tcW w:w="7482" w:type="dxa"/>
            <w:vAlign w:val="center"/>
            <w:textDirection w:val="lrTb"/>
            <w:noWrap w:val="false"/>
          </w:tcPr>
          <w:p>
            <w:pPr>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高新院区设置17个岗位，共需要保安员82人</w:t>
            </w:r>
            <w:r>
              <w:rPr>
                <w:rFonts w:hint="eastAsia" w:ascii="宋体" w:hAnsi="宋体" w:eastAsia="宋体" w:cs="宋体"/>
                <w:color w:val="auto"/>
                <w:sz w:val="24"/>
                <w:szCs w:val="24"/>
                <w:highlight w:val="none"/>
                <w:lang w:eastAsia="zh-CN" w:bidi="ar"/>
              </w:rPr>
              <w:t xml:space="preserve">。</w:t>
            </w:r>
            <w:r/>
          </w:p>
        </w:tc>
      </w:tr>
    </w:tbl>
    <w:p>
      <w:pPr>
        <w:ind w:firstLine="480"/>
        <w:jc w:val="center"/>
        <w:spacing w:line="5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left="-359" w:right="-512" w:firstLine="482"/>
        <w:spacing w:line="460" w:lineRule="exact"/>
        <w:rPr>
          <w:rFonts w:hint="eastAsia" w:ascii="宋体" w:hAnsi="宋体" w:cs="Times New Roman"/>
          <w:color w:val="auto"/>
          <w:sz w:val="24"/>
          <w:szCs w:val="24"/>
          <w:highlight w:val="none"/>
        </w:rPr>
        <w:outlineLvl w:val="1"/>
      </w:pPr>
      <w:r>
        <w:rPr>
          <w:rFonts w:hint="eastAsia" w:ascii="宋体" w:hAnsi="宋体" w:cs="Times New Roman"/>
          <w:b/>
          <w:bCs/>
          <w:color w:val="auto"/>
          <w:sz w:val="24"/>
          <w:szCs w:val="24"/>
          <w:highlight w:val="none"/>
        </w:rPr>
        <w:t xml:space="preserve">注：</w:t>
      </w:r>
      <w:r>
        <w:rPr>
          <w:rFonts w:hint="eastAsia" w:ascii="宋体" w:hAnsi="宋体" w:cs="Times New Roman"/>
          <w:color w:val="auto"/>
          <w:sz w:val="24"/>
          <w:szCs w:val="24"/>
          <w:highlight w:val="none"/>
        </w:rPr>
        <w:t xml:space="preserve">1.以上岗位为常规岗位，配置人员数量为最低要求。若在合同履行期间因医院发展</w:t>
      </w:r>
      <w:r>
        <w:rPr>
          <w:rFonts w:hint="eastAsia" w:ascii="宋体" w:hAnsi="宋体" w:cs="Times New Roman"/>
          <w:color w:val="auto"/>
          <w:sz w:val="24"/>
          <w:szCs w:val="24"/>
          <w:highlight w:val="none"/>
          <w:lang w:eastAsia="zh-CN"/>
        </w:rPr>
        <w:t xml:space="preserve">或其他原因</w:t>
      </w:r>
      <w:r>
        <w:rPr>
          <w:rFonts w:hint="eastAsia" w:ascii="宋体" w:hAnsi="宋体" w:cs="Times New Roman"/>
          <w:color w:val="auto"/>
          <w:sz w:val="24"/>
          <w:szCs w:val="24"/>
          <w:highlight w:val="none"/>
        </w:rPr>
        <w:t xml:space="preserve">需要增加的岗位时，按照岗位报价的工资予以计算增加；</w:t>
      </w:r>
      <w:r/>
    </w:p>
    <w:p>
      <w:pPr>
        <w:ind w:left="-359" w:right="-512" w:firstLine="480"/>
        <w:spacing w:line="460" w:lineRule="exact"/>
        <w:rPr>
          <w:rFonts w:hint="eastAsia" w:ascii="宋体" w:hAnsi="宋体" w:eastAsia="宋体" w:cs="Times New Roman"/>
          <w:b/>
          <w:bCs/>
          <w:color w:val="auto"/>
          <w:sz w:val="24"/>
          <w:szCs w:val="24"/>
          <w:highlight w:val="none"/>
          <w:lang w:eastAsia="zh-CN"/>
        </w:rPr>
        <w:outlineLvl w:val="1"/>
      </w:pPr>
      <w:r>
        <w:rPr>
          <w:rFonts w:hint="eastAsia" w:ascii="宋体" w:hAnsi="宋体" w:cs="Times New Roman"/>
          <w:color w:val="auto"/>
          <w:sz w:val="24"/>
          <w:szCs w:val="24"/>
          <w:highlight w:val="none"/>
        </w:rPr>
        <w:t xml:space="preserve">2.合理调整人员劳动时长，依法缴纳社保，确保人员工作时长满足法定要求。因上述问题产生的劳动纠纷由中标人承担</w:t>
      </w:r>
      <w:r>
        <w:rPr>
          <w:rFonts w:hint="eastAsia" w:ascii="宋体" w:hAnsi="宋体" w:cs="Times New Roman"/>
          <w:color w:val="auto"/>
          <w:sz w:val="24"/>
          <w:szCs w:val="24"/>
          <w:highlight w:val="none"/>
          <w:lang w:eastAsia="zh-CN"/>
        </w:rPr>
        <w:t xml:space="preserve">。</w:t>
      </w:r>
      <w:r/>
    </w:p>
    <w:p>
      <w:pPr>
        <w:ind w:left="-359" w:right="-512" w:firstLine="482"/>
        <w:spacing w:line="460" w:lineRule="exact"/>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四、安防物资配备要求</w:t>
      </w:r>
      <w:r/>
    </w:p>
    <w:p>
      <w:pPr>
        <w:ind w:left="-359" w:right="-512" w:firstLine="480"/>
        <w:spacing w:line="460" w:lineRule="exact"/>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1.为保安项目部配备电脑、打印机、扫描仪、打印纸、签字笔、文件盒、文件夹、办公耗材等必要办公设备。</w:t>
      </w:r>
      <w:r/>
    </w:p>
    <w:p>
      <w:pPr>
        <w:spacing w:line="560" w:lineRule="exact"/>
        <w:rPr>
          <w:rFonts w:hint="eastAsia" w:eastAsia="宋体"/>
          <w:color w:val="auto"/>
          <w:sz w:val="24"/>
          <w:szCs w:val="24"/>
          <w:highlight w:val="none"/>
          <w:lang w:eastAsia="zh-CN"/>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.提供以下安防物资供保安员开展执勤任务使用。</w:t>
      </w:r>
      <w:r/>
    </w:p>
    <w:p>
      <w:pPr>
        <w:pStyle w:val="836"/>
        <w:jc w:val="center"/>
        <w:rPr>
          <w:rFonts w:hint="eastAsia"/>
          <w:color w:val="auto"/>
          <w:sz w:val="24"/>
          <w:szCs w:val="24"/>
          <w:highlight w:val="none"/>
        </w:rPr>
      </w:pPr>
      <w:r>
        <w:rPr>
          <w:rFonts w:hint="eastAsia"/>
          <w:color w:val="auto"/>
          <w:sz w:val="24"/>
          <w:szCs w:val="24"/>
          <w:highlight w:val="none"/>
        </w:rPr>
        <w:t xml:space="preserve">高新区院区</w:t>
      </w:r>
      <w:r/>
    </w:p>
    <w:tbl>
      <w:tblPr>
        <w:tblStyle w:val="783"/>
        <w:tblW w:w="994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9"/>
        <w:gridCol w:w="692"/>
        <w:gridCol w:w="859"/>
        <w:gridCol w:w="5342"/>
      </w:tblGrid>
      <w:tr>
        <w:trPr>
          <w:trHeight w:val="572"/>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安防物资名称</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51"/>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4G网络对讲机（含电池）</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54</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部</w:t>
            </w:r>
            <w:r/>
          </w:p>
        </w:tc>
        <w:tc>
          <w:tcPr>
            <w:tcW w:w="5342" w:type="dxa"/>
            <w:vAlign w:val="center"/>
            <w:textDirection w:val="lrTb"/>
            <w:noWrap w:val="false"/>
          </w:tcPr>
          <w:p>
            <w:pPr>
              <w:ind w:right="-512"/>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网络、流量型对讲机（与医院无线对讲系统匹配）</w:t>
            </w:r>
            <w:r/>
          </w:p>
        </w:tc>
      </w:tr>
      <w:tr>
        <w:trPr>
          <w:trHeight w:val="367"/>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对讲机备用电池</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部</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87"/>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手持PDA巡查终端</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部</w:t>
            </w:r>
            <w:r/>
          </w:p>
        </w:tc>
        <w:tc>
          <w:tcPr>
            <w:tcW w:w="5342" w:type="dxa"/>
            <w:vAlign w:val="center"/>
            <w:vMerge w:val="restart"/>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1.用于江苏省社会单位消防安全管理系统中</w:t>
            </w:r>
            <w:r/>
          </w:p>
          <w:p>
            <w:pPr>
              <w:pStyle w:val="836"/>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消防、治安重点部位的日常巡查扫描手持PDA。</w:t>
            </w:r>
            <w:r/>
          </w:p>
          <w:p>
            <w:pPr>
              <w:pStyle w:val="836"/>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2.满足合同期内巡查所需的流量。</w:t>
            </w:r>
            <w:r/>
          </w:p>
        </w:tc>
      </w:tr>
      <w:tr>
        <w:trPr>
          <w:trHeight w:val="457"/>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流量卡</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张</w:t>
            </w:r>
            <w:r/>
          </w:p>
        </w:tc>
        <w:tc>
          <w:tcPr>
            <w:tcW w:w="5342" w:type="dxa"/>
            <w:vAlign w:val="center"/>
            <w:vMerge w:val="continue"/>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1489"/>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保安工作服</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5342" w:type="dxa"/>
            <w:vAlign w:val="center"/>
            <w:textDirection w:val="lrTb"/>
            <w:noWrap w:val="false"/>
          </w:tcPr>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1.每套服装包含夏季、春秋季、冬季制服、执勤鞋各</w:t>
            </w:r>
            <w:r/>
          </w:p>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一件。</w:t>
            </w:r>
            <w:r/>
          </w:p>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2.消防控制室、微型消防站、特勤队队员、</w:t>
            </w:r>
            <w:r/>
          </w:p>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安检人员工作服应区别于门卫等非核心岗位制服。</w:t>
            </w:r>
            <w:r/>
          </w:p>
          <w:p>
            <w:pPr>
              <w:pStyle w:val="836"/>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3.每</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年更换</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1套服装。</w:t>
            </w:r>
            <w:r/>
          </w:p>
        </w:tc>
      </w:tr>
      <w:tr>
        <w:trPr>
          <w:trHeight w:val="478"/>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执勤记录仪</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54</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部</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具备录音、录像、存储功能</w:t>
            </w:r>
            <w:r/>
          </w:p>
        </w:tc>
      </w:tr>
      <w:tr>
        <w:trPr>
          <w:trHeight w:val="368"/>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强光手电筒</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398"/>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橡胶棍</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328"/>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防刺手套</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54</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副</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46"/>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防爆头盔</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46"/>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防爆盾牌</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46"/>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辣椒水</w:t>
            </w:r>
            <w:r/>
          </w:p>
        </w:tc>
        <w:tc>
          <w:tcPr>
            <w:tcW w:w="692" w:type="dxa"/>
            <w:vAlign w:val="center"/>
            <w:textDirection w:val="lrTb"/>
            <w:noWrap w:val="false"/>
          </w:tcPr>
          <w:p>
            <w:pPr>
              <w:jc w:val="center"/>
              <w:spacing w:line="340" w:lineRule="exact"/>
              <w:tabs>
                <w:tab w:val="left" w:pos="1260" w:leader="none"/>
                <w:tab w:val="left" w:pos="5820"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瓶</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78"/>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两轮电动车违停清理车</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轮胎式</w:t>
            </w:r>
            <w:r/>
          </w:p>
        </w:tc>
      </w:tr>
      <w:tr>
        <w:trPr>
          <w:trHeight w:val="461"/>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2轮电动巡逻车</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12"/>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违停电动车辆清理车</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清理违规停放的电动车</w:t>
            </w:r>
            <w:r/>
          </w:p>
        </w:tc>
      </w:tr>
      <w:tr>
        <w:trPr>
          <w:trHeight w:val="427"/>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三轮车</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灭火器材、锥形桶、水马、闸机等物资转运</w:t>
            </w:r>
            <w:r/>
          </w:p>
        </w:tc>
      </w:tr>
      <w:tr>
        <w:trPr>
          <w:trHeight w:val="472"/>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新能源通勤汽车</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72"/>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巡逻无人机</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架</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具备巡逻拍照、喊话功能</w:t>
            </w:r>
            <w:r/>
          </w:p>
        </w:tc>
      </w:tr>
      <w:tr>
        <w:trPr>
          <w:trHeight w:val="392"/>
        </w:trPr>
        <w:tc>
          <w:tcPr>
            <w:tcW w:w="304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反光背心</w:t>
            </w:r>
            <w:r/>
          </w:p>
        </w:tc>
        <w:tc>
          <w:tcPr>
            <w:tcW w:w="69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件</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left="-359" w:right="-512" w:firstLine="480"/>
        <w:spacing w:line="460" w:lineRule="exact"/>
        <w:rPr>
          <w:rFonts w:hint="default" w:ascii="宋体" w:hAnsi="宋体" w:eastAsia="宋体" w:cs="Times New Roman"/>
          <w:color w:val="auto"/>
          <w:sz w:val="24"/>
          <w:szCs w:val="24"/>
          <w:highlight w:val="none"/>
          <w:lang w:val="en-US" w:eastAsia="zh-CN"/>
        </w:rPr>
        <w:outlineLvl w:val="1"/>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保安员服装每年换新≥1次</w:t>
      </w:r>
      <w:r>
        <w:rPr>
          <w:rFonts w:hint="eastAsia" w:ascii="宋体" w:hAnsi="宋体" w:cs="Times New Roman"/>
          <w:color w:val="auto"/>
          <w:sz w:val="24"/>
          <w:szCs w:val="24"/>
          <w:highlight w:val="none"/>
          <w:lang w:eastAsia="zh-CN"/>
        </w:rPr>
        <w:t xml:space="preserve">。保安员服装样式、</w:t>
      </w:r>
      <w:r>
        <w:rPr>
          <w:rFonts w:hint="eastAsia" w:ascii="宋体" w:hAnsi="宋体" w:cs="Times New Roman"/>
          <w:color w:val="auto"/>
          <w:sz w:val="24"/>
          <w:szCs w:val="24"/>
          <w:highlight w:val="none"/>
          <w:lang w:val="en-US" w:eastAsia="zh-CN"/>
        </w:rPr>
        <w:t xml:space="preserve">数量等要求如下：</w:t>
      </w:r>
      <w:r/>
    </w:p>
    <w:tbl>
      <w:tblPr>
        <w:tblStyle w:val="783"/>
        <w:tblW w:w="103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4"/>
        <w:gridCol w:w="3330"/>
        <w:gridCol w:w="2057"/>
        <w:gridCol w:w="1150"/>
        <w:gridCol w:w="2228"/>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面料参数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数量（套/人）</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348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网格夏季短袖套装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158115</wp:posOffset>
                      </wp:positionH>
                      <wp:positionV relativeFrom="paragraph">
                        <wp:posOffset>88265</wp:posOffset>
                      </wp:positionV>
                      <wp:extent cx="1316355" cy="1970405"/>
                      <wp:effectExtent l="0" t="0" r="17145" b="10795"/>
                      <wp:wrapNone/>
                      <wp:docPr id="1" name="图片_1"/>
                      <wp:cNvGraphicFramePr/>
                      <a:graphic xmlns:a="http://schemas.openxmlformats.org/drawingml/2006/main">
                        <a:graphicData uri="http://schemas.openxmlformats.org/drawingml/2006/picture">
                          <pic:pic xmlns:pic="http://schemas.openxmlformats.org/drawingml/2006/picture">
                            <pic:nvPicPr>
                              <pic:cNvPr id="11" name="图片_1"/>
                              <pic:cNvPicPr/>
                              <pic:nvPr/>
                            </pic:nvPicPr>
                            <pic:blipFill>
                              <a:blip r:embed="rId19"/>
                              <a:stretch/>
                            </pic:blipFill>
                            <pic:spPr bwMode="auto">
                              <a:xfrm>
                                <a:off x="0" y="0"/>
                                <a:ext cx="1316355" cy="1970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pt;mso-position-horizontal:absolute;mso-position-vertical-relative:text;margin-top:6.9pt;mso-position-vertical:absolute;width:103.6pt;height:155.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含前胸后背魔术贴标志，含宽腰带</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衣服背后文字：市一院内保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胸前标识（圆标）：内保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臂章：控烟劝导员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肩章：硬质肩章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362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网格夏季长袖套装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75565</wp:posOffset>
                      </wp:positionV>
                      <wp:extent cx="1413510" cy="2146935"/>
                      <wp:effectExtent l="0" t="0" r="15240" b="5715"/>
                      <wp:wrapNone/>
                      <wp:docPr id="2" name="图片_5"/>
                      <wp:cNvGraphicFramePr/>
                      <a:graphic xmlns:a="http://schemas.openxmlformats.org/drawingml/2006/main">
                        <a:graphicData uri="http://schemas.openxmlformats.org/drawingml/2006/picture">
                          <pic:pic xmlns:pic="http://schemas.openxmlformats.org/drawingml/2006/picture">
                            <pic:nvPicPr>
                              <pic:cNvPr id="12" name="图片_5"/>
                              <pic:cNvPicPr/>
                              <pic:nvPr/>
                            </pic:nvPicPr>
                            <pic:blipFill>
                              <a:blip r:embed="rId20"/>
                              <a:stretch/>
                            </pic:blipFill>
                            <pic:spPr bwMode="auto">
                              <a:xfrm>
                                <a:off x="0" y="0"/>
                                <a:ext cx="1413510" cy="214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8.2pt;mso-position-horizontal:absolute;mso-position-vertical-relative:text;margin-top:5.9pt;mso-position-vertical:absolute;width:111.3pt;height:169.0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含前胸后背魔术贴标志，含宽腰带</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衣服背后文字：市一院内保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胸前标识（圆标）：内保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臂章：控烟劝导员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肩章：硬质肩章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45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网格冬季上衣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149225</wp:posOffset>
                      </wp:positionH>
                      <wp:positionV relativeFrom="paragraph">
                        <wp:posOffset>80010</wp:posOffset>
                      </wp:positionV>
                      <wp:extent cx="1686560" cy="2726690"/>
                      <wp:effectExtent l="0" t="0" r="8890" b="16510"/>
                      <wp:wrapNone/>
                      <wp:docPr id="3" name="图片_4"/>
                      <wp:cNvGraphicFramePr/>
                      <a:graphic xmlns:a="http://schemas.openxmlformats.org/drawingml/2006/main">
                        <a:graphicData uri="http://schemas.openxmlformats.org/drawingml/2006/picture">
                          <pic:pic xmlns:pic="http://schemas.openxmlformats.org/drawingml/2006/picture">
                            <pic:nvPicPr>
                              <pic:cNvPr id="13" name="图片_4"/>
                              <pic:cNvPicPr/>
                              <pic:nvPr/>
                            </pic:nvPicPr>
                            <pic:blipFill>
                              <a:blip r:embed="rId21"/>
                              <a:stretch/>
                            </pic:blipFill>
                            <pic:spPr bwMode="auto">
                              <a:xfrm>
                                <a:off x="0" y="0"/>
                                <a:ext cx="1686560" cy="2726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8pt;mso-position-horizontal:absolute;mso-position-vertical-relative:text;margin-top:6.3pt;mso-position-vertical:absolute;width:132.8pt;height:214.7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衣服背后文字：市一院内保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胸前标识（圆标）：内保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臂章：控烟劝导员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肩章：硬质肩章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390525</wp:posOffset>
                      </wp:positionH>
                      <wp:positionV relativeFrom="paragraph">
                        <wp:posOffset>47625</wp:posOffset>
                      </wp:positionV>
                      <wp:extent cx="895350" cy="901700"/>
                      <wp:effectExtent l="0" t="0" r="0" b="12700"/>
                      <wp:wrapNone/>
                      <wp:docPr id="4" name="图片_13"/>
                      <wp:cNvGraphicFramePr/>
                      <a:graphic xmlns:a="http://schemas.openxmlformats.org/drawingml/2006/main">
                        <a:graphicData uri="http://schemas.openxmlformats.org/drawingml/2006/picture">
                          <pic:pic xmlns:pic="http://schemas.openxmlformats.org/drawingml/2006/picture">
                            <pic:nvPicPr>
                              <pic:cNvPr id="16" name="图片_13"/>
                              <pic:cNvPicPr/>
                              <pic:nvPr/>
                            </pic:nvPicPr>
                            <pic:blipFill>
                              <a:blip r:embed="rId22"/>
                              <a:stretch/>
                            </pic:blipFill>
                            <pic:spPr bwMode="auto">
                              <a:xfrm>
                                <a:off x="0" y="0"/>
                                <a:ext cx="89535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0.8pt;mso-position-horizontal:absolute;mso-position-vertical-relative:text;margin-top:3.8pt;mso-position-vertical:absolute;width:70.5pt;height:71.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262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老标装备腰带</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59690</wp:posOffset>
                      </wp:positionV>
                      <wp:extent cx="1544955" cy="1546860"/>
                      <wp:effectExtent l="0" t="0" r="17145" b="15240"/>
                      <wp:wrapNone/>
                      <wp:docPr id="5" name="图片_3"/>
                      <wp:cNvGraphicFramePr/>
                      <a:graphic xmlns:a="http://schemas.openxmlformats.org/drawingml/2006/main">
                        <a:graphicData uri="http://schemas.openxmlformats.org/drawingml/2006/picture">
                          <pic:pic xmlns:pic="http://schemas.openxmlformats.org/drawingml/2006/picture">
                            <pic:nvPicPr>
                              <pic:cNvPr id="23" name="图片_3"/>
                              <pic:cNvPicPr/>
                              <pic:nvPr/>
                            </pic:nvPicPr>
                            <pic:blipFill>
                              <a:blip r:embed="rId23"/>
                              <a:stretch/>
                            </pic:blipFill>
                            <pic:spPr bwMode="auto">
                              <a:xfrm>
                                <a:off x="0" y="0"/>
                                <a:ext cx="1544955" cy="1546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8.8pt;mso-position-horizontal:absolute;mso-position-vertical-relative:text;margin-top:4.7pt;mso-position-vertical:absolute;width:121.6pt;height:121.8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喷雾包，甩棍包，手电包，工作包，对讲机包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腰带</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237490</wp:posOffset>
                      </wp:positionH>
                      <wp:positionV relativeFrom="paragraph">
                        <wp:posOffset>50800</wp:posOffset>
                      </wp:positionV>
                      <wp:extent cx="1390015" cy="1387475"/>
                      <wp:effectExtent l="0" t="0" r="635" b="3175"/>
                      <wp:wrapNone/>
                      <wp:docPr id="6" name="图片_18"/>
                      <wp:cNvGraphicFramePr/>
                      <a:graphic xmlns:a="http://schemas.openxmlformats.org/drawingml/2006/main">
                        <a:graphicData uri="http://schemas.openxmlformats.org/drawingml/2006/picture">
                          <pic:pic xmlns:pic="http://schemas.openxmlformats.org/drawingml/2006/picture">
                            <pic:nvPicPr>
                              <pic:cNvPr id="14" name="图片_18"/>
                              <pic:cNvPicPr/>
                              <pic:nvPr/>
                            </pic:nvPicPr>
                            <pic:blipFill>
                              <a:blip r:embed="rId24"/>
                              <a:stretch/>
                            </pic:blipFill>
                            <pic:spPr bwMode="auto">
                              <a:xfrm>
                                <a:off x="0" y="0"/>
                                <a:ext cx="1390015" cy="1387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8.7pt;mso-position-horizontal:absolute;mso-position-vertical-relative:text;margin-top:4.0pt;mso-position-vertical:absolute;width:109.4pt;height:109.2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特勤外腰带，宽度5cm,长度125cm</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166370</wp:posOffset>
                      </wp:positionH>
                      <wp:positionV relativeFrom="paragraph">
                        <wp:posOffset>30480</wp:posOffset>
                      </wp:positionV>
                      <wp:extent cx="1456690" cy="1456055"/>
                      <wp:effectExtent l="0" t="0" r="10160" b="10795"/>
                      <wp:wrapNone/>
                      <wp:docPr id="7" name="图片_6"/>
                      <wp:cNvGraphicFramePr/>
                      <a:graphic xmlns:a="http://schemas.openxmlformats.org/drawingml/2006/main">
                        <a:graphicData uri="http://schemas.openxmlformats.org/drawingml/2006/picture">
                          <pic:pic xmlns:pic="http://schemas.openxmlformats.org/drawingml/2006/picture">
                            <pic:nvPicPr>
                              <pic:cNvPr id="22" name="图片_6"/>
                              <pic:cNvPicPr/>
                              <pic:nvPr/>
                            </pic:nvPicPr>
                            <pic:blipFill>
                              <a:blip r:embed="rId25"/>
                              <a:stretch/>
                            </pic:blipFill>
                            <pic:spPr bwMode="auto">
                              <a:xfrm>
                                <a:off x="0" y="0"/>
                                <a:ext cx="1456690" cy="1456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3.1pt;mso-position-horizontal:absolute;mso-position-vertical-relative:text;margin-top:2.4pt;mso-position-vertical:absolute;width:114.7pt;height:114.6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鞋面：加厚耐磨帆布 + PU超纤皮革拼接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鞋垫：EVA缓冲鞋垫，久站减震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外底：加厚一体成型橡胶防滑大底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服装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46355</wp:posOffset>
                      </wp:positionH>
                      <wp:positionV relativeFrom="paragraph">
                        <wp:posOffset>111760</wp:posOffset>
                      </wp:positionV>
                      <wp:extent cx="1744980" cy="1423670"/>
                      <wp:effectExtent l="0" t="0" r="7620" b="5080"/>
                      <wp:wrapNone/>
                      <wp:docPr id="8" name="图片_21"/>
                      <wp:cNvGraphicFramePr/>
                      <a:graphic xmlns:a="http://schemas.openxmlformats.org/drawingml/2006/main">
                        <a:graphicData uri="http://schemas.openxmlformats.org/drawingml/2006/picture">
                          <pic:pic xmlns:pic="http://schemas.openxmlformats.org/drawingml/2006/picture">
                            <pic:nvPicPr>
                              <pic:cNvPr id="19" name="图片_21"/>
                              <pic:cNvPicPr/>
                              <pic:nvPr/>
                            </pic:nvPicPr>
                            <pic:blipFill>
                              <a:blip r:embed="rId26"/>
                              <a:stretch/>
                            </pic:blipFill>
                            <pic:spPr bwMode="auto">
                              <a:xfrm>
                                <a:off x="0" y="0"/>
                                <a:ext cx="1744980" cy="1423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3.6pt;mso-position-horizontal:absolute;mso-position-vertical-relative:text;margin-top:8.8pt;mso-position-vertical:absolute;width:137.4pt;height:112.1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面料：涤棉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功能：防静电</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胸前标识（圆标）：市一院应急救援+医院logo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方形臂章：控烟劝导员</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single"/>
              </w:rPr>
              <w:suppressLineNumbers w:val="0"/>
            </w:pPr>
            <w:r>
              <w:rPr>
                <w:rFonts w:hint="eastAsia" w:ascii="宋体" w:hAnsi="宋体" w:eastAsia="宋体" w:cs="宋体"/>
                <w:i w:val="0"/>
                <w:iCs w:val="0"/>
                <w:color w:val="auto"/>
                <w:sz w:val="22"/>
                <w:szCs w:val="22"/>
                <w:highlight w:val="none"/>
                <w:u w:val="singl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290830</wp:posOffset>
                      </wp:positionH>
                      <wp:positionV relativeFrom="paragraph">
                        <wp:posOffset>33020</wp:posOffset>
                      </wp:positionV>
                      <wp:extent cx="1057910" cy="1028700"/>
                      <wp:effectExtent l="0" t="0" r="8890" b="0"/>
                      <wp:wrapNone/>
                      <wp:docPr id="9" name="图片_8"/>
                      <wp:cNvGraphicFramePr/>
                      <a:graphic xmlns:a="http://schemas.openxmlformats.org/drawingml/2006/main">
                        <a:graphicData uri="http://schemas.openxmlformats.org/drawingml/2006/picture">
                          <pic:pic xmlns:pic="http://schemas.openxmlformats.org/drawingml/2006/picture">
                            <pic:nvPicPr>
                              <pic:cNvPr id="20" name="图片_8"/>
                              <pic:cNvPicPr/>
                              <pic:nvPr/>
                            </pic:nvPicPr>
                            <pic:blipFill>
                              <a:blip r:embed="rId27"/>
                              <a:stretch/>
                            </pic:blipFill>
                            <pic:spPr bwMode="auto">
                              <a:xfrm>
                                <a:off x="0" y="0"/>
                                <a:ext cx="105791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22.9pt;mso-position-horizontal:absolute;mso-position-vertical-relative:text;margin-top:2.6pt;mso-position-vertical:absolute;width:83.3pt;height:81.0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类别;平顶帽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尺码：均码，可调节</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274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新式装备背心</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77470</wp:posOffset>
                      </wp:positionV>
                      <wp:extent cx="1668780" cy="1524000"/>
                      <wp:effectExtent l="0" t="0" r="7620" b="0"/>
                      <wp:wrapNone/>
                      <wp:docPr id="10" name="图片_15"/>
                      <wp:cNvGraphicFramePr/>
                      <a:graphic xmlns:a="http://schemas.openxmlformats.org/drawingml/2006/main">
                        <a:graphicData uri="http://schemas.openxmlformats.org/drawingml/2006/picture">
                          <pic:pic xmlns:pic="http://schemas.openxmlformats.org/drawingml/2006/picture">
                            <pic:nvPicPr>
                              <pic:cNvPr id="15" name="图片_15"/>
                              <pic:cNvPicPr/>
                              <pic:nvPr/>
                            </pic:nvPicPr>
                            <pic:blipFill>
                              <a:blip r:embed="rId28"/>
                              <a:stretch/>
                            </pic:blipFill>
                            <pic:spPr bwMode="auto">
                              <a:xfrm>
                                <a:off x="0" y="0"/>
                                <a:ext cx="1668780" cy="1524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5.8pt;mso-position-horizontal:absolute;mso-position-vertical-relative:text;margin-top:6.1pt;mso-position-vertical:absolute;width:131.4pt;height:120.0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含催泪 甩棍，手电 手k套 对讲机，执法记录套，公文包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文字改为：应急处突</w:t>
            </w:r>
            <w:r/>
          </w:p>
        </w:tc>
      </w:tr>
      <w:tr>
        <w:trPr>
          <w:jc w:val="center"/>
          <w:trHeight w:val="274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179070</wp:posOffset>
                      </wp:positionH>
                      <wp:positionV relativeFrom="paragraph">
                        <wp:posOffset>5080</wp:posOffset>
                      </wp:positionV>
                      <wp:extent cx="1560195" cy="1562735"/>
                      <wp:effectExtent l="0" t="0" r="1905" b="18415"/>
                      <wp:wrapNone/>
                      <wp:docPr id="11" name="图片_7"/>
                      <wp:cNvGraphicFramePr/>
                      <a:graphic xmlns:a="http://schemas.openxmlformats.org/drawingml/2006/main">
                        <a:graphicData uri="http://schemas.openxmlformats.org/drawingml/2006/picture">
                          <pic:pic xmlns:pic="http://schemas.openxmlformats.org/drawingml/2006/picture">
                            <pic:nvPicPr>
                              <pic:cNvPr id="17" name="图片_7"/>
                              <pic:cNvPicPr/>
                              <pic:nvPr/>
                            </pic:nvPicPr>
                            <pic:blipFill>
                              <a:blip r:embed="rId29"/>
                              <a:stretch/>
                            </pic:blipFill>
                            <pic:spPr bwMode="auto">
                              <a:xfrm>
                                <a:off x="0" y="0"/>
                                <a:ext cx="1560195" cy="156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1pt;mso-position-horizontal:absolute;mso-position-vertical-relative:text;margin-top:0.4pt;mso-position-vertical:absolute;width:122.8pt;height:123.0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鞋面：加厚耐磨帆布 + PU超纤皮革拼接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鞋垫：EVA缓冲鞋垫，久站减震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外底：加厚一体成型橡胶防滑大底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6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消控室</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短袖套装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43815</wp:posOffset>
                      </wp:positionV>
                      <wp:extent cx="1256665" cy="1689735"/>
                      <wp:effectExtent l="0" t="0" r="635" b="5715"/>
                      <wp:wrapNone/>
                      <wp:docPr id="12" name="图片_10"/>
                      <wp:cNvGraphicFramePr/>
                      <a:graphic xmlns:a="http://schemas.openxmlformats.org/drawingml/2006/main">
                        <a:graphicData uri="http://schemas.openxmlformats.org/drawingml/2006/picture">
                          <pic:pic xmlns:pic="http://schemas.openxmlformats.org/drawingml/2006/picture">
                            <pic:nvPicPr>
                              <pic:cNvPr id="18" name="图片_10"/>
                              <pic:cNvPicPr/>
                              <pic:nvPr/>
                            </pic:nvPicPr>
                            <pic:blipFill>
                              <a:blip r:embed="rId30"/>
                              <a:stretch/>
                            </pic:blipFill>
                            <pic:spPr bwMode="auto">
                              <a:xfrm>
                                <a:off x="0" y="0"/>
                                <a:ext cx="1256664" cy="168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6.2pt;mso-position-horizontal:absolute;mso-position-vertical-relative:text;margin-top:3.4pt;mso-position-vertical:absolute;width:98.9pt;height:133.0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冰凉抗皱天丝面料</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臂章：消控室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圆形胸标：消控室</w:t>
            </w:r>
            <w:r/>
          </w:p>
        </w:tc>
      </w:tr>
      <w:tr>
        <w:trPr>
          <w:jc w:val="center"/>
          <w:trHeight w:val="226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消控室</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春秋长袖套装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343535</wp:posOffset>
                      </wp:positionH>
                      <wp:positionV relativeFrom="paragraph">
                        <wp:posOffset>32385</wp:posOffset>
                      </wp:positionV>
                      <wp:extent cx="911860" cy="1368425"/>
                      <wp:effectExtent l="0" t="0" r="2540" b="3175"/>
                      <wp:wrapNone/>
                      <wp:docPr id="13" name="图片_11"/>
                      <wp:cNvGraphicFramePr/>
                      <a:graphic xmlns:a="http://schemas.openxmlformats.org/drawingml/2006/main">
                        <a:graphicData uri="http://schemas.openxmlformats.org/drawingml/2006/picture">
                          <pic:pic xmlns:pic="http://schemas.openxmlformats.org/drawingml/2006/picture">
                            <pic:nvPicPr>
                              <pic:cNvPr id="21" name="图片_11"/>
                              <pic:cNvPicPr/>
                              <pic:nvPr/>
                            </pic:nvPicPr>
                            <pic:blipFill>
                              <a:blip r:embed="rId31"/>
                              <a:stretch/>
                            </pic:blipFill>
                            <pic:spPr bwMode="auto">
                              <a:xfrm>
                                <a:off x="0" y="0"/>
                                <a:ext cx="911860" cy="1368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7.0pt;mso-position-horizontal:absolute;mso-position-vertical-relative:text;margin-top:2.5pt;mso-position-vertical:absolute;width:71.8pt;height:107.8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70%羊毛外布，防静电涤丝绸里布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臂章：消控室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圆形胸标：消控室</w:t>
            </w:r>
            <w:r/>
          </w:p>
        </w:tc>
      </w:tr>
      <w:tr>
        <w:trPr>
          <w:jc w:val="center"/>
          <w:trHeight w:val="246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消控室</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冬季大衣</w:t>
            </w:r>
            <w:r/>
          </w:p>
        </w:tc>
        <w:tc>
          <w:tcPr>
            <w:shd w:val="clear" w:color="auto" w:fill="auto"/>
            <w:tcBorders>
              <w:top w:val="single" w:color="000000" w:sz="4" w:space="0"/>
              <w:left w:val="single" w:color="000000" w:sz="4" w:space="0"/>
              <w:bottom w:val="non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281940</wp:posOffset>
                      </wp:positionH>
                      <wp:positionV relativeFrom="paragraph">
                        <wp:posOffset>3175</wp:posOffset>
                      </wp:positionV>
                      <wp:extent cx="1223010" cy="1508125"/>
                      <wp:effectExtent l="0" t="0" r="15240" b="15875"/>
                      <wp:wrapNone/>
                      <wp:docPr id="14" name="图片_12"/>
                      <wp:cNvGraphicFramePr/>
                      <a:graphic xmlns:a="http://schemas.openxmlformats.org/drawingml/2006/main">
                        <a:graphicData uri="http://schemas.openxmlformats.org/drawingml/2006/picture">
                          <pic:pic xmlns:pic="http://schemas.openxmlformats.org/drawingml/2006/picture">
                            <pic:nvPicPr>
                              <pic:cNvPr id="9" name="图片_12"/>
                              <pic:cNvPicPr/>
                              <pic:nvPr/>
                            </pic:nvPicPr>
                            <pic:blipFill>
                              <a:blip r:embed="rId32"/>
                              <a:stretch/>
                            </pic:blipFill>
                            <pic:spPr bwMode="auto">
                              <a:xfrm>
                                <a:off x="0" y="0"/>
                                <a:ext cx="1223009" cy="1508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2.2pt;mso-position-horizontal:absolute;mso-position-vertical-relative:text;margin-top:0.2pt;mso-position-vertical:absolute;width:96.3pt;height:118.8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面料为加厚防静电涤丝绸</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臂章：消控室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圆形胸标：消控室</w:t>
            </w:r>
            <w:r/>
          </w:p>
        </w:tc>
      </w:tr>
      <w:tr>
        <w:trPr>
          <w:jc w:val="center"/>
          <w:trHeight w:val="260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院区周边交通秩序维护岗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378460</wp:posOffset>
                      </wp:positionH>
                      <wp:positionV relativeFrom="paragraph">
                        <wp:posOffset>26670</wp:posOffset>
                      </wp:positionV>
                      <wp:extent cx="974725" cy="1437005"/>
                      <wp:effectExtent l="0" t="0" r="15875" b="10795"/>
                      <wp:wrapNone/>
                      <wp:docPr id="15" name="图片_9"/>
                      <wp:cNvGraphicFramePr/>
                      <a:graphic xmlns:a="http://schemas.openxmlformats.org/drawingml/2006/main">
                        <a:graphicData uri="http://schemas.openxmlformats.org/drawingml/2006/picture">
                          <pic:pic xmlns:pic="http://schemas.openxmlformats.org/drawingml/2006/picture">
                            <pic:nvPicPr>
                              <pic:cNvPr id="6" name="图片_9"/>
                              <pic:cNvPicPr/>
                              <pic:nvPr/>
                            </pic:nvPicPr>
                            <pic:blipFill>
                              <a:blip r:embed="rId33"/>
                              <a:stretch/>
                            </pic:blipFill>
                            <pic:spPr bwMode="auto">
                              <a:xfrm>
                                <a:off x="0" y="0"/>
                                <a:ext cx="974725" cy="1437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9.8pt;mso-position-horizontal:absolute;mso-position-vertical-relative:text;margin-top:2.1pt;mso-position-vertical:absolute;width:76.8pt;height:113.1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8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院区周边交通秩序维护岗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527050</wp:posOffset>
                      </wp:positionH>
                      <wp:positionV relativeFrom="paragraph">
                        <wp:posOffset>17145</wp:posOffset>
                      </wp:positionV>
                      <wp:extent cx="933450" cy="1455420"/>
                      <wp:effectExtent l="0" t="0" r="0" b="11430"/>
                      <wp:wrapNone/>
                      <wp:docPr id="16" name="图片_14"/>
                      <wp:cNvGraphicFramePr/>
                      <a:graphic xmlns:a="http://schemas.openxmlformats.org/drawingml/2006/main">
                        <a:graphicData uri="http://schemas.openxmlformats.org/drawingml/2006/picture">
                          <pic:pic xmlns:pic="http://schemas.openxmlformats.org/drawingml/2006/picture">
                            <pic:nvPicPr>
                              <pic:cNvPr id="1" name="图片_14"/>
                              <pic:cNvPicPr/>
                              <pic:nvPr/>
                            </pic:nvPicPr>
                            <pic:blipFill>
                              <a:blip r:embed="rId34"/>
                              <a:stretch/>
                            </pic:blipFill>
                            <pic:spPr bwMode="auto">
                              <a:xfrm>
                                <a:off x="0" y="0"/>
                                <a:ext cx="933450" cy="1455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41.5pt;mso-position-horizontal:absolute;mso-position-vertical-relative:text;margin-top:1.3pt;mso-position-vertical:absolute;width:73.5pt;height:114.6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8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院区周边交通秩序维护岗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358775</wp:posOffset>
                      </wp:positionH>
                      <wp:positionV relativeFrom="paragraph">
                        <wp:posOffset>53975</wp:posOffset>
                      </wp:positionV>
                      <wp:extent cx="933450" cy="1424305"/>
                      <wp:effectExtent l="0" t="0" r="0" b="4445"/>
                      <wp:wrapNone/>
                      <wp:docPr id="17" name="图片_16"/>
                      <wp:cNvGraphicFramePr/>
                      <a:graphic xmlns:a="http://schemas.openxmlformats.org/drawingml/2006/main">
                        <a:graphicData uri="http://schemas.openxmlformats.org/drawingml/2006/picture">
                          <pic:pic xmlns:pic="http://schemas.openxmlformats.org/drawingml/2006/picture">
                            <pic:nvPicPr>
                              <pic:cNvPr id="2" name="图片_16"/>
                              <pic:cNvPicPr/>
                              <pic:nvPr/>
                            </pic:nvPicPr>
                            <pic:blipFill>
                              <a:blip r:embed="rId35"/>
                              <a:stretch/>
                            </pic:blipFill>
                            <pic:spPr bwMode="auto">
                              <a:xfrm>
                                <a:off x="0" y="0"/>
                                <a:ext cx="933450" cy="1424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28.2pt;mso-position-horizontal:absolute;mso-position-vertical-relative:text;margin-top:4.2pt;mso-position-vertical:absolute;width:73.5pt;height:112.1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98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治安巡逻协防岗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407670</wp:posOffset>
                      </wp:positionH>
                      <wp:positionV relativeFrom="paragraph">
                        <wp:posOffset>57785</wp:posOffset>
                      </wp:positionV>
                      <wp:extent cx="760730" cy="1123315"/>
                      <wp:effectExtent l="0" t="0" r="1270" b="635"/>
                      <wp:wrapNone/>
                      <wp:docPr id="18" name="图片_17"/>
                      <wp:cNvGraphicFramePr/>
                      <a:graphic xmlns:a="http://schemas.openxmlformats.org/drawingml/2006/main">
                        <a:graphicData uri="http://schemas.openxmlformats.org/drawingml/2006/picture">
                          <pic:pic xmlns:pic="http://schemas.openxmlformats.org/drawingml/2006/picture">
                            <pic:nvPicPr>
                              <pic:cNvPr id="8" name="图片_17"/>
                              <pic:cNvPicPr/>
                              <pic:nvPr/>
                            </pic:nvPicPr>
                            <pic:blipFill>
                              <a:blip r:embed="rId36"/>
                              <a:stretch/>
                            </pic:blipFill>
                            <pic:spPr bwMode="auto">
                              <a:xfrm>
                                <a:off x="0" y="0"/>
                                <a:ext cx="760730" cy="1123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32.1pt;mso-position-horizontal:absolute;mso-position-vertical-relative:text;margin-top:4.5pt;mso-position-vertical:absolute;width:59.9pt;height:88.4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42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治安巡逻协防岗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430530</wp:posOffset>
                      </wp:positionH>
                      <wp:positionV relativeFrom="paragraph">
                        <wp:posOffset>48895</wp:posOffset>
                      </wp:positionV>
                      <wp:extent cx="934085" cy="1453515"/>
                      <wp:effectExtent l="0" t="0" r="18415" b="13335"/>
                      <wp:wrapNone/>
                      <wp:docPr id="19" name="图片_19"/>
                      <wp:cNvGraphicFramePr/>
                      <a:graphic xmlns:a="http://schemas.openxmlformats.org/drawingml/2006/main">
                        <a:graphicData uri="http://schemas.openxmlformats.org/drawingml/2006/picture">
                          <pic:pic xmlns:pic="http://schemas.openxmlformats.org/drawingml/2006/picture">
                            <pic:nvPicPr>
                              <pic:cNvPr id="5" name="图片_19"/>
                              <pic:cNvPicPr/>
                              <pic:nvPr/>
                            </pic:nvPicPr>
                            <pic:blipFill>
                              <a:blip r:embed="rId37"/>
                              <a:stretch/>
                            </pic:blipFill>
                            <pic:spPr bwMode="auto">
                              <a:xfrm>
                                <a:off x="0" y="0"/>
                                <a:ext cx="934085" cy="1453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33.9pt;mso-position-horizontal:absolute;mso-position-vertical-relative:text;margin-top:3.8pt;mso-position-vertical:absolute;width:73.5pt;height:114.4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22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治安巡逻协防岗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436245</wp:posOffset>
                      </wp:positionH>
                      <wp:positionV relativeFrom="paragraph">
                        <wp:posOffset>55880</wp:posOffset>
                      </wp:positionV>
                      <wp:extent cx="809625" cy="1231900"/>
                      <wp:effectExtent l="0" t="0" r="9525" b="6350"/>
                      <wp:wrapNone/>
                      <wp:docPr id="20" name="图片_20"/>
                      <wp:cNvGraphicFramePr/>
                      <a:graphic xmlns:a="http://schemas.openxmlformats.org/drawingml/2006/main">
                        <a:graphicData uri="http://schemas.openxmlformats.org/drawingml/2006/picture">
                          <pic:pic xmlns:pic="http://schemas.openxmlformats.org/drawingml/2006/picture">
                            <pic:nvPicPr>
                              <pic:cNvPr id="10" name="图片_20"/>
                              <pic:cNvPicPr/>
                              <pic:nvPr/>
                            </pic:nvPicPr>
                            <pic:blipFill>
                              <a:blip r:embed="rId38"/>
                              <a:stretch/>
                            </pic:blipFill>
                            <pic:spPr bwMode="auto">
                              <a:xfrm>
                                <a:off x="0" y="0"/>
                                <a:ext cx="809625" cy="1231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34.4pt;mso-position-horizontal:absolute;mso-position-vertical-relative:text;margin-top:4.4pt;mso-position-vertical:absolute;width:63.8pt;height:97.0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安检岗位</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夏季套装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355600</wp:posOffset>
                      </wp:positionH>
                      <wp:positionV relativeFrom="paragraph">
                        <wp:posOffset>76835</wp:posOffset>
                      </wp:positionV>
                      <wp:extent cx="1161415" cy="1561465"/>
                      <wp:effectExtent l="0" t="0" r="635" b="635"/>
                      <wp:wrapNone/>
                      <wp:docPr id="21" name="图片_24"/>
                      <wp:cNvGraphicFramePr/>
                      <a:graphic xmlns:a="http://schemas.openxmlformats.org/drawingml/2006/main">
                        <a:graphicData uri="http://schemas.openxmlformats.org/drawingml/2006/picture">
                          <pic:pic xmlns:pic="http://schemas.openxmlformats.org/drawingml/2006/picture">
                            <pic:nvPicPr>
                              <pic:cNvPr id="7" name="图片_24"/>
                              <pic:cNvPicPr/>
                              <pic:nvPr/>
                            </pic:nvPicPr>
                            <pic:blipFill>
                              <a:blip r:embed="rId39"/>
                              <a:stretch/>
                            </pic:blipFill>
                            <pic:spPr bwMode="auto">
                              <a:xfrm>
                                <a:off x="0" y="0"/>
                                <a:ext cx="1161415" cy="156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28.0pt;mso-position-horizontal:absolute;mso-position-vertical-relative:text;margin-top:6.0pt;mso-position-vertical:absolute;width:91.4pt;height:122.9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单件白色长/短袖衬衫+夏季黑裤 高质棉</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安检岗位</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530225</wp:posOffset>
                      </wp:positionH>
                      <wp:positionV relativeFrom="paragraph">
                        <wp:posOffset>20320</wp:posOffset>
                      </wp:positionV>
                      <wp:extent cx="890270" cy="1325245"/>
                      <wp:effectExtent l="0" t="0" r="5080" b="8255"/>
                      <wp:wrapNone/>
                      <wp:docPr id="22" name="图片_25"/>
                      <wp:cNvGraphicFramePr/>
                      <a:graphic xmlns:a="http://schemas.openxmlformats.org/drawingml/2006/main">
                        <a:graphicData uri="http://schemas.openxmlformats.org/drawingml/2006/picture">
                          <pic:pic xmlns:pic="http://schemas.openxmlformats.org/drawingml/2006/picture">
                            <pic:nvPicPr>
                              <pic:cNvPr id="3" name="图片_25"/>
                              <pic:cNvPicPr/>
                              <pic:nvPr/>
                            </pic:nvPicPr>
                            <pic:blipFill>
                              <a:blip r:embed="rId40"/>
                              <a:stretch/>
                            </pic:blipFill>
                            <pic:spPr bwMode="auto">
                              <a:xfrm>
                                <a:off x="0" y="0"/>
                                <a:ext cx="890270" cy="1325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41.8pt;mso-position-horizontal:absolute;mso-position-vertical-relative:text;margin-top:1.6pt;mso-position-vertical:absolute;width:70.1pt;height:104.3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上衣+下裤，主面料聚酯纤维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安检岗位</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冬季大衣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372110</wp:posOffset>
                      </wp:positionH>
                      <wp:positionV relativeFrom="paragraph">
                        <wp:posOffset>13335</wp:posOffset>
                      </wp:positionV>
                      <wp:extent cx="1037590" cy="1348105"/>
                      <wp:effectExtent l="0" t="0" r="10160" b="4445"/>
                      <wp:wrapNone/>
                      <wp:docPr id="23" name="图片_26"/>
                      <wp:cNvGraphicFramePr/>
                      <a:graphic xmlns:a="http://schemas.openxmlformats.org/drawingml/2006/main">
                        <a:graphicData uri="http://schemas.openxmlformats.org/drawingml/2006/picture">
                          <pic:pic xmlns:pic="http://schemas.openxmlformats.org/drawingml/2006/picture">
                            <pic:nvPicPr>
                              <pic:cNvPr id="4" name="图片_26"/>
                              <pic:cNvPicPr/>
                              <pic:nvPr/>
                            </pic:nvPicPr>
                            <pic:blipFill>
                              <a:blip r:embed="rId41"/>
                              <a:stretch/>
                            </pic:blipFill>
                            <pic:spPr bwMode="auto">
                              <a:xfrm>
                                <a:off x="0" y="0"/>
                                <a:ext cx="1037590" cy="1348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9.3pt;mso-position-horizontal:absolute;mso-position-vertical-relative:text;margin-top:1.1pt;mso-position-vertical:absolute;width:81.7pt;height:106.1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单个大衣，主面料聚酯纤维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spacing w:line="560" w:lineRule="exact"/>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r>
      <w:r/>
    </w:p>
    <w:p>
      <w:pPr>
        <w:spacing w:line="560" w:lineRule="exact"/>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五、考核标准及考核办法：</w:t>
      </w:r>
      <w:r/>
    </w:p>
    <w:p>
      <w:pPr>
        <w:jc w:val="both"/>
        <w:spacing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（一）考核标准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扣分档位划分说明</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 类：轻微违规，单次扣 0.5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 类：一般违规，单次扣 1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 类：较重违规，单次扣 3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 类：严重违规，单次扣 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 类：重大恶性违规，单次扣 10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院级及以上督查查出原有问题，扣分档位上浮一档。</w:t>
      </w:r>
      <w:r/>
    </w:p>
    <w:p>
      <w:pPr>
        <w:jc w:val="center"/>
        <w:spacing w:line="360" w:lineRule="auto"/>
        <w:rPr>
          <w:rFonts w:hint="eastAsia" w:ascii="宋体" w:hAnsi="宋体" w:cs="宋体"/>
          <w:color w:val="auto"/>
          <w:sz w:val="24"/>
          <w:szCs w:val="24"/>
          <w:highlight w:val="none"/>
        </w:rPr>
        <w:outlineLvl w:val="1"/>
      </w:pPr>
      <w:r>
        <w:rPr>
          <w:rFonts w:hint="eastAsia" w:ascii="宋体" w:hAnsi="宋体" w:cs="宋体"/>
          <w:b/>
          <w:color w:val="auto"/>
          <w:sz w:val="24"/>
          <w:szCs w:val="24"/>
          <w:highlight w:val="none"/>
          <w:lang w:eastAsia="zh-CN"/>
        </w:rPr>
        <w:t xml:space="preserve">连云港市第一人民医院保安服务</w:t>
      </w:r>
      <w:r>
        <w:rPr>
          <w:rFonts w:hint="eastAsia" w:ascii="宋体" w:hAnsi="宋体" w:cs="宋体"/>
          <w:b/>
          <w:color w:val="auto"/>
          <w:sz w:val="24"/>
          <w:szCs w:val="24"/>
          <w:highlight w:val="none"/>
        </w:rPr>
        <w:t xml:space="preserve">质量考核表</w:t>
      </w:r>
      <w:r/>
    </w:p>
    <w:tbl>
      <w:tblPr>
        <w:tblStyle w:val="783"/>
        <w:tblW w:w="10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713"/>
        <w:gridCol w:w="4985"/>
        <w:gridCol w:w="4337"/>
      </w:tblGrid>
      <w:tr>
        <w:trPr>
          <w:jc w:val="center"/>
          <w:trHeight w:val="685"/>
        </w:trPr>
        <w:tc>
          <w:tcPr>
            <w:tcW w:w="713"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类别</w:t>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具体情形或</w:t>
            </w:r>
            <w:r>
              <w:rPr>
                <w:rFonts w:hint="eastAsia" w:ascii="宋体" w:hAnsi="宋体" w:eastAsia="宋体" w:cs="宋体"/>
                <w:color w:val="auto"/>
                <w:sz w:val="24"/>
                <w:szCs w:val="24"/>
                <w:highlight w:val="none"/>
              </w:rPr>
              <w:t xml:space="preserve">内容</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扣分明细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1</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仪容仪表</w:t>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未统一穿着全套保安制服、混穿便装、敞怀卷袖、挽裤腿、拖鞋上岗</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未按要求佩戴帽徽、肩章等穿戴标识</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含胸塌背、举止不端，值班岗位上背手、抱胸、插兜、倚靠墙面、桌椅、趴桌、躺座椅等行为</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外挂于制服上或佩戴的饰品、饰物外露于制服有损公益单位形象</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在公共场所和禁止吸烟的场所吸烟</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夜班或户外不按规定穿着反光背心</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7</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岗位纪律</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值班人员迟到、早退</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cs="宋体"/>
                <w:color w:val="auto"/>
                <w:sz w:val="24"/>
                <w:szCs w:val="24"/>
                <w:highlight w:val="none"/>
                <w:lang w:val="en-US" w:eastAsia="zh-CN"/>
              </w:rPr>
            </w:pPr>
            <w:r>
              <w:rPr>
                <w:rFonts w:hint="eastAsia"/>
                <w:color w:val="auto"/>
                <w:sz w:val="24"/>
                <w:szCs w:val="24"/>
                <w:highlight w:val="none"/>
              </w:rPr>
              <w:t xml:space="preserve">漏打、代打、虚假打卡</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值班人员串岗、脱岗</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值班人员睡岗</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未按规定落实请销假制度，擅自休假、调班、换岗</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长时间玩手机、在岗期间与无关人员闲聊、围观</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值班人员在岗吃零食</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值班人员在岗干私活</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值班人员酒后上岗</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值班人员在岗期间饮酒</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值班人员不服从值班领导调度安排，存在顶撞、抵触、消极怠工行为</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18</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治安秩序管控</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人员、车辆、物资进出未落实核查登记制度</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治安巡更点漏检，擅自减少巡逻次数、漏巡点位</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shd w:val="clear" w:color="auto" w:fill="auto"/>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bidi="ar-SA"/>
              </w:rPr>
            </w:pPr>
            <w:r>
              <w:rPr>
                <w:rFonts w:hint="eastAsia"/>
                <w:color w:val="auto"/>
                <w:sz w:val="24"/>
                <w:szCs w:val="24"/>
                <w:highlight w:val="none"/>
              </w:rPr>
              <w:t xml:space="preserve">20</w:t>
            </w:r>
            <w:r/>
          </w:p>
        </w:tc>
        <w:tc>
          <w:tcPr>
            <w:shd w:val="clear" w:color="auto" w:fill="auto"/>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巡逻台账记录不规范、缺失有空项、漏项、涂改潦草</w:t>
            </w:r>
            <w:r/>
          </w:p>
        </w:tc>
        <w:tc>
          <w:tcPr>
            <w:shd w:val="clear" w:color="auto" w:fill="auto"/>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未及时制止院内争吵、纠纷、打闹、滋事、暴力滋事苗头</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巡逻不到位、履职失职造成医院财产、患者财物被盗、受损</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院区出现医托、散发传单、小广告，推销食品、药品者</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院内出现乞讨、闲散逗留人员</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院内出现占道摆摊、违规宣传行为</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擅自放行违禁物品、易燃易爆物品进入院区</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保安员在医患纠纷现场，医务人员遭殴打、围攻、控制人身自由</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“医闹” 中出现烧纸钱、摆花圈、拉横幅、堵大门等行为，保安员 50 分钟内未成功处置</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49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病房停尸体白天 3 小时、夜间 6 小时内未移入暂存间或殡仪馆</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载货车辆出门未查验出门证导致医院财物流失</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31</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应急处置与突发事件</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防汛、台风、雨雪恶劣天气、停水停电、应急疏散等专项安保或抢险救灾工作，履职不到位、推诿懈怠</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发生重大治安事件、安全事故、群体性纠纷未第一时间处置上报</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突发事件处置流程不规范，处置不当激化矛盾，引发舆情</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49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处置突发事件不力，出现畏缩不前、拈轻怕重、借故回避、临阵脱逃，袖手旁观、拒不服从命令等现象</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563"/>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处置火灾流程不规范，造成重大损失</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583"/>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36</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车辆管理及院区交通秩序</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车辆管控不到位造成医患投诉</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418"/>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医院主要通道交通堵塞 10 分钟及以上的</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1471"/>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院区车辆秩序混乱，车辆未按医院指定区域或指定方向停放</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39</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消防安全与设施管理</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医院消防制度、疏散路线、灭火器、消防栓等器材使用方法掌握不熟练</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火灾报警、初期火情处置流程不清楚</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未按规定对重点部位每 2 小时进行巡查或记录</w:t>
            </w:r>
            <w:r/>
          </w:p>
        </w:tc>
        <w:tc>
          <w:tcPr>
            <w:shd w:val="clear" w:color="auto" w:fill="auto"/>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消防设施、消防器材失效未及时发现上报处置</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消防通道、安全出口不畅通、堵塞锁闭、杂物堆放</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发现施工作业无动火证施工不及时劝阻</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发生烟雾、电器过热等异常情况，处置迟缓、推诿不作为</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院内违规用火、用电、私拉乱接、违规堆放易燃易爆物品，未及时发现隐患，排查处置不到位</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未主动阻止其他人员在公共场所吸烟</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358"/>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私自焚烧垃圾、私接消防栓、私拉乱接电线</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49</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服务医患</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服务生冷生硬、推诿群众求助</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与患者、家属、来访人员发生口角、争执</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医务人员咨询、求助处置不及时</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与医务人员发生口角、争执</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53</w:t>
            </w:r>
            <w:r/>
          </w:p>
        </w:tc>
        <w:tc>
          <w:tcPr>
            <w:tcW w:w="713" w:type="dxa"/>
            <w:vAlign w:val="center"/>
            <w:vMerge w:val="restart"/>
            <w:textDirection w:val="lrTb"/>
            <w:noWrap w:val="false"/>
          </w:tcPr>
          <w:p>
            <w:pPr>
              <w:jc w:val="center"/>
              <w:keepLines w:val="0"/>
              <w:keepNext w:val="0"/>
              <w:pageBreakBefore w:val="0"/>
              <w:spacing w:line="240" w:lineRule="exact"/>
              <w:widowControl w:val="off"/>
              <w:rPr>
                <w:rFonts w:hint="eastAsia"/>
                <w:color w:val="auto"/>
                <w:sz w:val="24"/>
                <w:szCs w:val="24"/>
                <w:highlight w:val="none"/>
              </w:rPr>
            </w:pPr>
            <w:r>
              <w:rPr>
                <w:rFonts w:hint="eastAsia"/>
                <w:color w:val="auto"/>
                <w:sz w:val="24"/>
                <w:szCs w:val="24"/>
                <w:highlight w:val="none"/>
              </w:rPr>
              <w:t xml:space="preserve">工作配合与综合评价</w:t>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未按合同要求数量配备保安人员</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调整保安岗位设置、班次未及时向保卫处报备</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调整保安骨干未及时向保卫处报备</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辞退、新招录保安人员未及时向保卫处报备</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cs="宋体"/>
                <w:color w:val="auto"/>
                <w:sz w:val="24"/>
                <w:szCs w:val="24"/>
                <w:highlight w:val="none"/>
                <w:lang w:val="en-US" w:eastAsia="zh-CN"/>
              </w:rPr>
            </w:pPr>
            <w:r>
              <w:rPr>
                <w:rFonts w:hint="eastAsia"/>
                <w:color w:val="auto"/>
                <w:sz w:val="24"/>
                <w:szCs w:val="24"/>
                <w:highlight w:val="none"/>
              </w:rPr>
              <w:t xml:space="preserve">当面顶撞或背后软抵抗保卫处工作人员</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不配合医院专项检查、整治工作，消极应付</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院级层面及以上上级督查工作中发生、指出问题</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不爱护院内安防设备、巡逻器材、办公物资，损坏公物、私拿私占</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无故未完成交办的临时安保任务、值守任务、应急处置任务、专项整治任务</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有理投诉次数每月大于 3 次，有效投诉未 100% 处置完毕</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未按月开展医患满意度调查</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C 类 3 分</w:t>
            </w:r>
            <w:r/>
          </w:p>
        </w:tc>
      </w:tr>
      <w:tr>
        <w:trPr>
          <w:jc w:val="center"/>
          <w:trHeight w:val="575"/>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64</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一般突发事件 3 分钟未到场处置</w:t>
            </w:r>
            <w:r/>
          </w:p>
        </w:tc>
        <w:tc>
          <w:tcPr>
            <w:tcW w:w="4337"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770"/>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65</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重大突发事件 15 分钟未到场处置</w:t>
            </w:r>
            <w:r/>
          </w:p>
        </w:tc>
        <w:tc>
          <w:tcPr>
            <w:tcW w:w="4337"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620"/>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66</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特大突发事件 30 分钟未到场处置</w:t>
            </w:r>
            <w:r/>
          </w:p>
        </w:tc>
        <w:tc>
          <w:tcPr>
            <w:tcW w:w="4337"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385"/>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67</w:t>
            </w:r>
            <w:r/>
          </w:p>
        </w:tc>
        <w:tc>
          <w:tcPr>
            <w:tcW w:w="713" w:type="dxa"/>
            <w:vAlign w:val="center"/>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985"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w:t>
            </w:r>
            <w:r>
              <w:rPr>
                <w:rFonts w:hint="eastAsia"/>
                <w:color w:val="auto"/>
                <w:sz w:val="24"/>
                <w:szCs w:val="24"/>
                <w:highlight w:val="none"/>
                <w:lang w:val="en-US" w:eastAsia="zh-CN"/>
              </w:rPr>
              <w:t xml:space="preserve">跨</w:t>
            </w:r>
            <w:r>
              <w:rPr>
                <w:rFonts w:hint="eastAsia"/>
                <w:color w:val="auto"/>
                <w:sz w:val="24"/>
                <w:szCs w:val="24"/>
                <w:highlight w:val="none"/>
              </w:rPr>
              <w:t xml:space="preserve">点位支援需求无法及时满足</w:t>
            </w:r>
            <w:r/>
          </w:p>
        </w:tc>
        <w:tc>
          <w:tcPr>
            <w:tcW w:w="4337"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68</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自身建设</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未制定各岗位的职责和考核制度，或制度空泛、无操作性和可行性，经常性检查监督缺失</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无故缺席、迟到医院消防演练、安防培训</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未制定日常培训计划，计划空泛，未落实计划</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未按要求定期联合病区开展反恐防暴、医闹及消防演练</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保安队员未持证上岗或从事岗位与所持证件不适配</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5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当值期间发现保安员有违法犯罪、监守自盗或参加打架斗殴等</w:t>
            </w:r>
            <w:r/>
          </w:p>
        </w:tc>
        <w:tc>
          <w:tcPr>
            <w:shd w:val="clear" w:color="auto" w:fill="auto"/>
            <w:tcW w:w="433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458"/>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利用工作之便，从事未经医院许可的经营活动</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勾结医托、号贩子、小偷等非法人员从事非法盈利活动</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私拿、偷盗公共财物</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未按合同约定定期组织保安队伍各类训练、演练、培训</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应知应会不掌握、不熟悉</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不熟悉岗位职责</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未按合同约定配齐安保器材和其他办公用品</w:t>
            </w:r>
            <w:r/>
          </w:p>
        </w:tc>
        <w:tc>
          <w:tcPr>
            <w:shd w:val="clear" w:color="auto" w:fill="auto"/>
            <w:tcW w:w="433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985"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值班室卫生不干净、不整洁，室内有烟头、烟灰缸</w:t>
            </w:r>
            <w:r/>
          </w:p>
        </w:tc>
        <w:tc>
          <w:tcPr>
            <w:shd w:val="clear" w:color="auto" w:fill="auto"/>
            <w:tcW w:w="4337"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重大违规问题</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酒后上岗、在岗饮酒、脱岗渎职造成较大安全事故</w:t>
            </w:r>
            <w:r/>
          </w:p>
        </w:tc>
        <w:tc>
          <w:tcPr>
            <w:tcW w:w="4337"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与患者、家属、医护人员发生肢体冲突、恶意争吵引发严重舆情</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履职严重不到位，导致院内发生盗窃、火灾、治安事故、暴力伤医等恶性事件</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隐瞒重大安全隐患、突发事件，迟报、瞒报、谎报造成事态扩大，产生严重后果</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监守自盗、内外勾结、纵容或参与违法犯罪行为，造成重大损失</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保安员违反纪律或处理事件不当，任由事件恶化，造成医院形象严重受损或产生较大经济损失</w:t>
            </w:r>
            <w:r/>
          </w:p>
        </w:tc>
        <w:tc>
          <w:tcPr>
            <w:tcW w:w="433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88</w:t>
            </w:r>
            <w:r/>
          </w:p>
        </w:tc>
        <w:tc>
          <w:tcPr>
            <w:tcW w:w="713" w:type="dxa"/>
            <w:vAlign w:val="center"/>
            <w:vMerge w:val="restart"/>
            <w:textDirection w:val="lrTb"/>
            <w:noWrap w:val="false"/>
          </w:tcPr>
          <w:p>
            <w:pPr>
              <w:jc w:val="center"/>
              <w:keepLines w:val="0"/>
              <w:keepNext w:val="0"/>
              <w:pageBreakBefore w:val="0"/>
              <w:spacing w:line="280" w:lineRule="exact"/>
              <w:widowControl w:val="off"/>
              <w:rPr>
                <w:rFonts w:hint="eastAsia"/>
                <w:color w:val="auto"/>
                <w:sz w:val="24"/>
                <w:szCs w:val="24"/>
                <w:highlight w:val="none"/>
              </w:rPr>
            </w:pPr>
            <w:r>
              <w:rPr>
                <w:rFonts w:hint="eastAsia"/>
                <w:color w:val="auto"/>
                <w:sz w:val="24"/>
                <w:szCs w:val="24"/>
                <w:highlight w:val="none"/>
              </w:rPr>
              <w:t xml:space="preserve">其他</w:t>
            </w:r>
            <w:r/>
          </w:p>
          <w:p>
            <w:pPr>
              <w:jc w:val="center"/>
              <w:keepLines w:val="0"/>
              <w:keepNext w:val="0"/>
              <w:pageBreakBefore w:val="0"/>
              <w:spacing w:line="28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8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tc>
        <w:tc>
          <w:tcPr>
            <w:tcW w:w="498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其他违反社会公德、家庭美德、人品道德事宜</w:t>
            </w:r>
            <w:r/>
          </w:p>
        </w:tc>
        <w:tc>
          <w:tcPr>
            <w:tcW w:w="43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w:t>
            </w:r>
            <w:r>
              <w:rPr>
                <w:rFonts w:hint="eastAsia"/>
                <w:color w:val="auto"/>
                <w:sz w:val="24"/>
                <w:szCs w:val="24"/>
                <w:highlight w:val="none"/>
                <w:lang w:val="en-US" w:eastAsia="zh-CN"/>
              </w:rPr>
              <w:t xml:space="preserve">B</w:t>
            </w:r>
            <w:r>
              <w:rPr>
                <w:rFonts w:hint="eastAsia"/>
                <w:color w:val="auto"/>
                <w:sz w:val="24"/>
                <w:szCs w:val="24"/>
                <w:highlight w:val="none"/>
              </w:rPr>
              <w:t xml:space="preserve"> 类 </w:t>
            </w:r>
            <w:r>
              <w:rPr>
                <w:rFonts w:hint="eastAsia"/>
                <w:color w:val="auto"/>
                <w:sz w:val="24"/>
                <w:szCs w:val="24"/>
                <w:highlight w:val="none"/>
                <w:lang w:val="en-US" w:eastAsia="zh-CN"/>
              </w:rPr>
              <w:t xml:space="preserve">1</w:t>
            </w: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tcW w:w="713" w:type="dxa"/>
            <w:vAlign w:val="center"/>
            <w:vMerge w:val="continue"/>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bottom"/>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其他违反医院制度、工作要求、服务宗旨事宜</w:t>
            </w:r>
            <w:r/>
          </w:p>
        </w:tc>
        <w:tc>
          <w:tcPr>
            <w:tcW w:w="43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w:t>
            </w:r>
            <w:r>
              <w:rPr>
                <w:rFonts w:hint="eastAsia"/>
                <w:color w:val="auto"/>
                <w:sz w:val="24"/>
                <w:szCs w:val="24"/>
                <w:highlight w:val="none"/>
                <w:lang w:val="en-US" w:eastAsia="zh-CN"/>
              </w:rPr>
              <w:t xml:space="preserve">B</w:t>
            </w:r>
            <w:r>
              <w:rPr>
                <w:rFonts w:hint="eastAsia"/>
                <w:color w:val="auto"/>
                <w:sz w:val="24"/>
                <w:szCs w:val="24"/>
                <w:highlight w:val="none"/>
              </w:rPr>
              <w:t xml:space="preserve">类 </w:t>
            </w:r>
            <w:r>
              <w:rPr>
                <w:rFonts w:hint="eastAsia"/>
                <w:color w:val="auto"/>
                <w:sz w:val="24"/>
                <w:szCs w:val="24"/>
                <w:highlight w:val="none"/>
                <w:lang w:val="en-US" w:eastAsia="zh-CN"/>
              </w:rPr>
              <w:t xml:space="preserve">1</w:t>
            </w:r>
            <w:r>
              <w:rPr>
                <w:rFonts w:hint="eastAsia"/>
                <w:color w:val="auto"/>
                <w:sz w:val="24"/>
                <w:szCs w:val="24"/>
                <w:highlight w:val="none"/>
              </w:rPr>
              <w:t xml:space="preserve">～D 类 5 分</w:t>
            </w:r>
            <w:r/>
          </w:p>
        </w:tc>
      </w:tr>
      <w:tr>
        <w:trPr>
          <w:jc w:val="center"/>
          <w:trHeight w:val="186"/>
        </w:trPr>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w:t>
            </w:r>
            <w:r/>
          </w:p>
        </w:tc>
        <w:tc>
          <w:tcPr>
            <w:tcW w:w="713" w:type="dxa"/>
            <w:vAlign w:val="center"/>
            <w:vMerge w:val="continue"/>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8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其他违反法律法规事宜</w:t>
            </w:r>
            <w:r/>
          </w:p>
        </w:tc>
        <w:tc>
          <w:tcPr>
            <w:tcW w:w="43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D 类 5～E 类 10 分</w:t>
            </w:r>
            <w:r/>
          </w:p>
        </w:tc>
      </w:tr>
    </w:tbl>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（二）考核办法：</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合同金额10％由医院主管部门按月考核发放，即：</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月度应付服务总费用分为两部分：90% 基础服务费 + 10% 考核绩效服务费。</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其中月度合同总额10% 部分不作为固定款项，纳入月度绩效考核池，由医院主管职能部门保卫处依据月度考核结果</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奖惩</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核定发放金额；90% 基础服务费按合同正常流程审核支付。</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1.扣罚标准</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采购人每月对中标人上月的服务质量按《连云港市第一人民医院保安服务质量考核表》进行考核，考评结果与保安服务费挂钩，每月累加计算，次月清零重新计算：</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单条违规固定扣款标准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A 类（单次 0.5 分）：单次扣款 50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B 类（单次 1 分）：单次扣款 100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C 类（单次 3 分）：单次扣款 300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D 类（单次 5 分）：单次扣款 1000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E 类（单次 10 分）：单次扣款 </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000 元</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涉及违法事宜的依法追究法律责任。</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月度累计扣分阶梯处罚规则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（1）月度累计扣分≤10分：仅按单条违规累计扣款，从10%绩效池扣除，无一次性扣减服务费； </w:t>
      </w:r>
      <w:r>
        <w:rPr>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（2）10分＜月度累计扣分≤15分：累计扣款+一次性扣减服务费2000元，下发书面整改警告； </w:t>
      </w:r>
      <w:r>
        <w:rPr>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（3）15分＜月度累计扣分≤20分：累计扣款+一次性扣减服务费5000元，约谈外包公司项目负责人，7日内提交专项整改方案； </w:t>
      </w:r>
      <w:r>
        <w:rPr>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（4）20分＜月度累计扣分≤25分：累计扣款+一次性扣减服务费10000元，约谈外包单位总部负责人，限期更换现场安保主管； </w:t>
      </w:r>
      <w:r>
        <w:rPr>
          <w:sz w:val="21"/>
        </w:rPr>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ascii="SimSun" w:hAnsi="SimSun" w:eastAsia="SimSun" w:cs="SimSun"/>
          <w:color w:val="000000"/>
          <w:sz w:val="24"/>
        </w:rPr>
        <w:t xml:space="preserve">（5）月度累计扣分＞25分：累计扣款+一次性扣减服务费30000元，医院有权单方面提前解除保安服务合同，全部损失由中标单位承担</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rPr>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整改追责补充条款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（1）保卫处出具整改通知书，整改时限 3 个工作日；逾期未整改或复查不合格，同类问题扣款标准上浮 2 倍；中标人拒不整改的，或一周内整改没有成效的，采购人有权提前解除合同。</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（2）因中标人在履约过程中提供虚假证书（如建构筑物消防员、保安员证书等），造成上级管理部门（消防、公安）对医院的处罚的，由中标人承担相应后果。</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2.考核权重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（1）中标人内部监管考核标准。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督查考核登记簿＞20起/周的，按照考核办法的扣罚标准予以扣款。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（2）医院主管部门的考核处罚权重。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中标人月自查自纠问题总数的30%≥医院主管部门督查发现问题起数件次数＞中标人月自查自纠问题总数的20%，按照考核办法的扣罚标准的1倍/起对中标人予以扣款。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中标人月自查自纠问题总数的50%≥医院主管部门督查发现问题起数件次数＞中标人月自查自纠问题总数的30%，按照考核办法的扣罚标准的1.5倍/起对中标人予以扣款。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医院主管部门督查发现问题起数件次数＞中标人月自查自纠问题总数的50%，按照考核办法的扣罚标准的2倍/起对中标人予以扣款。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（3）院级及以上的考核扣罚权重。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院级及以上包含院领导随机检查、三大总值班检查、院长行政查房等，国家、省、市的消防、公安、卫生健康委员会等上级主管部门的检查。</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医院主管部门督查发现问题起数件次数的30%≥院级及以上部门督查发现问题起数件次数＞医院主管部门督查发现问题起数件次数的20%，按照考核办法的扣罚标准的1倍/起对中标人予以扣款。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院级及以上部门督查发现问题起数件次数＞医院主管部门督查发现问题起数件次数的50%，按照考核办法的扣罚标准的2倍/起对中标人予以扣款。</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六、报价要求</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投标报价须包含管理人员和服务人员的工资、五险、</w:t>
      </w:r>
      <w:r>
        <w:rPr>
          <w:rFonts w:hint="eastAsia" w:ascii="宋体" w:hAnsi="宋体" w:eastAsia="宋体" w:cs="Times New Roman"/>
          <w:color w:val="auto"/>
          <w:sz w:val="24"/>
          <w:szCs w:val="24"/>
          <w:highlight w:val="none"/>
          <w:lang w:val="en-US" w:eastAsia="zh-CN"/>
        </w:rPr>
        <w:t xml:space="preserve">公积金、防暑降温费、</w:t>
      </w:r>
      <w:r>
        <w:rPr>
          <w:rFonts w:hint="eastAsia" w:ascii="宋体" w:hAnsi="宋体" w:eastAsia="宋体" w:cs="Times New Roman"/>
          <w:color w:val="auto"/>
          <w:sz w:val="24"/>
          <w:szCs w:val="24"/>
          <w:highlight w:val="none"/>
        </w:rPr>
        <w:t xml:space="preserve">超过法定工时的工作日加班、周末加班、法定休假日加班等费用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福利、耗材、服装、税费、合理利润等费用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（工资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五险及</w:t>
      </w:r>
      <w:r>
        <w:rPr>
          <w:rFonts w:hint="eastAsia" w:ascii="宋体" w:hAnsi="宋体" w:eastAsia="宋体" w:cs="Times New Roman"/>
          <w:color w:val="auto"/>
          <w:sz w:val="24"/>
          <w:szCs w:val="24"/>
          <w:highlight w:val="none"/>
          <w:lang w:val="en-US" w:eastAsia="zh-CN"/>
        </w:rPr>
        <w:t xml:space="preserve">公积金</w:t>
      </w:r>
      <w:r>
        <w:rPr>
          <w:rFonts w:hint="eastAsia" w:ascii="宋体" w:hAnsi="宋体" w:eastAsia="宋体" w:cs="Times New Roman"/>
          <w:color w:val="auto"/>
          <w:sz w:val="24"/>
          <w:szCs w:val="24"/>
          <w:highlight w:val="none"/>
        </w:rPr>
        <w:t xml:space="preserve">不能低于连云港市最低标准等规定）。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合同履约期内不因国家提高最低工资标准、保险金比例等政策调整因素而调整合同价。</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七、付款方式与履约保证金</w:t>
      </w:r>
      <w:r/>
    </w:p>
    <w:p>
      <w:pPr>
        <w:numPr>
          <w:ilvl w:val="0"/>
          <w:numId w:val="0"/>
        </w:numPr>
        <w:ind w:firstLine="482"/>
        <w:jc w:val="left"/>
        <w:keepLines w:val="0"/>
        <w:keepNext w:val="0"/>
        <w:pageBreakBefore w:val="0"/>
        <w:spacing w:before="0"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★1、付款方式：按月考核，根据考核结果支付上月服务费。采购人付款之前中标人应向采购人开具正规发票，采购人自收到发票后将资金支付至合同约定的中标人账户。</w:t>
      </w:r>
      <w:r/>
    </w:p>
    <w:p>
      <w:pPr>
        <w:ind w:firstLine="482"/>
        <w:keepLines w:val="0"/>
        <w:keepNext w:val="0"/>
        <w:pageBreakBefore w:val="0"/>
        <w:spacing w:line="360" w:lineRule="auto"/>
        <w:widowControl w:val="off"/>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2、履约保证金</w:t>
      </w:r>
      <w:r>
        <w:rPr>
          <w:rFonts w:hint="eastAsia" w:ascii="宋体" w:hAnsi="宋体" w:cs="Times New Roman"/>
          <w:b/>
          <w:bCs/>
          <w:color w:val="auto"/>
          <w:sz w:val="24"/>
          <w:szCs w:val="24"/>
          <w:highlight w:val="none"/>
          <w:lang w:eastAsia="zh-CN"/>
        </w:rPr>
        <w:t xml:space="preserve">：</w:t>
      </w:r>
      <w:r/>
    </w:p>
    <w:p>
      <w:pPr>
        <w:ind w:left="-359" w:right="-512" w:firstLine="480"/>
        <w:spacing w:line="460" w:lineRule="exact"/>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w:t>
      </w:r>
      <w:r>
        <w:rPr>
          <w:rFonts w:hint="eastAsia" w:ascii="宋体" w:hAnsi="宋体" w:eastAsia="宋体" w:cs="宋体"/>
          <w:color w:val="auto"/>
          <w:sz w:val="24"/>
          <w:szCs w:val="24"/>
          <w:highlight w:val="none"/>
        </w:rPr>
        <w:t xml:space="preserve">合同签订前上缴院方履约保证金10万元，到期无息退还经考核扣罚后的剩余总额</w:t>
      </w:r>
      <w:r>
        <w:rPr>
          <w:rFonts w:hint="eastAsia" w:ascii="宋体" w:hAnsi="宋体" w:eastAsia="宋体" w:cs="宋体"/>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中标人应当以支票、汇票、本票或者金融机构、担保机构出具的保函等非现金形式在合同签订前提交。</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cs="Times New Roman"/>
          <w:color w:val="auto"/>
          <w:sz w:val="24"/>
          <w:szCs w:val="24"/>
          <w:highlight w:val="none"/>
        </w:rPr>
        <w:t xml:space="preserve">履</w:t>
      </w:r>
      <w:r>
        <w:rPr>
          <w:rFonts w:hint="eastAsia" w:ascii="宋体" w:hAnsi="宋体" w:cs="Times New Roman"/>
          <w:color w:val="auto"/>
          <w:sz w:val="24"/>
          <w:szCs w:val="24"/>
          <w:highlight w:val="none"/>
        </w:rPr>
        <w:t xml:space="preserve">约保证金自合同生效之日起至合同约定的中标人主要义务履行完毕止，采购人按合同约定退还履</w:t>
      </w:r>
      <w:r>
        <w:rPr>
          <w:rFonts w:hint="eastAsia" w:ascii="宋体" w:hAnsi="宋体" w:eastAsia="宋体" w:cs="Times New Roman"/>
          <w:color w:val="auto"/>
          <w:sz w:val="24"/>
          <w:szCs w:val="24"/>
          <w:highlight w:val="none"/>
        </w:rPr>
        <w:t xml:space="preserve">约保证金。中标人违约的，采购人将按照合同约定扣除其全部或部分履约保证金。如中标人违约给采购人造成的损失超过履约保证金的，应当依法赔偿超过部分的损失。</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2</w:t>
      </w:r>
      <w:r>
        <w:rPr>
          <w:rFonts w:hint="eastAsia" w:ascii="宋体" w:hAnsi="宋体" w:eastAsia="宋体" w:cs="宋体"/>
          <w:b/>
          <w:bCs w:val="0"/>
          <w:color w:val="auto"/>
          <w:sz w:val="24"/>
          <w:szCs w:val="24"/>
          <w:highlight w:val="none"/>
          <w:vertAlign w:val="baseline"/>
          <w:lang w:val="en-US" w:eastAsia="zh-CN"/>
        </w:rPr>
        <w:t xml:space="preserve">：连云港市第一人民医院通灌院区保安服务（专门面向中小企业）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一、项目背景：</w:t>
      </w:r>
      <w:r/>
    </w:p>
    <w:p>
      <w:pPr>
        <w:ind w:firstLine="480"/>
        <w:keepLines w:val="0"/>
        <w:keepNext w:val="0"/>
        <w:pageBreakBefore w:val="0"/>
        <w:spacing w:line="360" w:lineRule="auto"/>
        <w:widowControl w:val="off"/>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连云港市第一人民医院始建于1951年10月，经过几代人的艰苦创业，现已发展成为徐淮东部地区规模最大的三级甲等综合医院，医院服务人口80多万、一院三区建筑面积60万平方米，其中通灌院区位于通灌北路182号，建筑面积约14万平方米。</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二、项目概况：</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落实平安医院建设，包含门卫看护、</w:t>
      </w:r>
      <w:r>
        <w:rPr>
          <w:rFonts w:hint="eastAsia" w:ascii="宋体" w:hAnsi="宋体" w:cs="Times New Roman"/>
          <w:bCs/>
          <w:color w:val="auto"/>
          <w:sz w:val="24"/>
          <w:szCs w:val="24"/>
          <w:highlight w:val="none"/>
          <w:lang w:val="en-US" w:eastAsia="zh-CN"/>
        </w:rPr>
        <w:t xml:space="preserve">巡逻巡更、</w:t>
      </w:r>
      <w:r>
        <w:rPr>
          <w:rFonts w:hint="eastAsia" w:ascii="宋体" w:hAnsi="宋体" w:cs="Times New Roman"/>
          <w:bCs/>
          <w:color w:val="auto"/>
          <w:sz w:val="24"/>
          <w:szCs w:val="24"/>
          <w:highlight w:val="none"/>
        </w:rPr>
        <w:t xml:space="preserve">消防控制室值守、</w:t>
      </w:r>
      <w:r>
        <w:rPr>
          <w:rFonts w:hint="eastAsia" w:ascii="宋体" w:hAnsi="宋体" w:cs="Times New Roman"/>
          <w:bCs/>
          <w:color w:val="auto"/>
          <w:sz w:val="24"/>
          <w:szCs w:val="24"/>
          <w:highlight w:val="none"/>
          <w:lang w:val="en-US" w:eastAsia="zh-CN"/>
        </w:rPr>
        <w:t xml:space="preserve">突发事件应急处置、车辆管理等，</w:t>
      </w:r>
      <w:r>
        <w:rPr>
          <w:rFonts w:hint="eastAsia" w:ascii="宋体" w:hAnsi="宋体" w:cs="Times New Roman"/>
          <w:bCs/>
          <w:color w:val="auto"/>
          <w:sz w:val="24"/>
          <w:szCs w:val="24"/>
          <w:highlight w:val="none"/>
        </w:rPr>
        <w:t xml:space="preserve">防范盗窃、火灾、医闹、</w:t>
      </w:r>
      <w:r>
        <w:rPr>
          <w:rFonts w:hint="eastAsia" w:ascii="宋体" w:hAnsi="宋体" w:cs="Times New Roman"/>
          <w:bCs/>
          <w:color w:val="auto"/>
          <w:sz w:val="24"/>
          <w:szCs w:val="24"/>
          <w:highlight w:val="none"/>
          <w:lang w:val="en-US" w:eastAsia="zh-CN"/>
        </w:rPr>
        <w:t xml:space="preserve">医托、</w:t>
      </w:r>
      <w:r>
        <w:rPr>
          <w:rFonts w:hint="eastAsia" w:ascii="宋体" w:hAnsi="宋体" w:cs="Times New Roman"/>
          <w:bCs/>
          <w:color w:val="auto"/>
          <w:sz w:val="24"/>
          <w:szCs w:val="24"/>
          <w:highlight w:val="none"/>
        </w:rPr>
        <w:t xml:space="preserve">伤医、寻衅滋事、车辆事故、违禁品流入；保障医患、职工人身财产安全，维持正常诊疗秩序</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院区交通秩序</w:t>
      </w:r>
      <w:r>
        <w:rPr>
          <w:rFonts w:hint="eastAsia" w:ascii="宋体" w:hAnsi="宋体" w:cs="Times New Roman"/>
          <w:bCs/>
          <w:color w:val="auto"/>
          <w:sz w:val="24"/>
          <w:szCs w:val="24"/>
          <w:highlight w:val="none"/>
        </w:rPr>
        <w:t xml:space="preserve">，快速处置各类突发事件，落实治安、消防、反恐防暴全流程管控。</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三、服务技术要求及其他：</w:t>
      </w:r>
      <w:r/>
    </w:p>
    <w:p>
      <w:pPr>
        <w:ind w:firstLine="482"/>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一</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服务范围</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连云港市第一人民医院</w:t>
      </w:r>
      <w:r>
        <w:rPr>
          <w:rFonts w:hint="eastAsia" w:ascii="宋体" w:hAnsi="宋体" w:cs="Times New Roman"/>
          <w:bCs/>
          <w:color w:val="auto"/>
          <w:sz w:val="24"/>
          <w:szCs w:val="24"/>
          <w:highlight w:val="none"/>
          <w:lang w:val="en-US" w:eastAsia="zh-CN"/>
        </w:rPr>
        <w:t xml:space="preserve">通灌院区（含口腔医院）</w:t>
      </w:r>
      <w:r>
        <w:rPr>
          <w:rFonts w:hint="eastAsia" w:ascii="宋体" w:hAnsi="宋体" w:cs="Times New Roman"/>
          <w:bCs/>
          <w:color w:val="auto"/>
          <w:sz w:val="24"/>
          <w:szCs w:val="24"/>
          <w:highlight w:val="none"/>
        </w:rPr>
        <w:t xml:space="preserve">门卫值守、防火防盗巡查、建筑消防设施巡检、应急处突、消防控制室值守、纠纷处置、安检查验</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交通秩序维护</w:t>
      </w:r>
      <w:r>
        <w:rPr>
          <w:rFonts w:hint="eastAsia" w:ascii="宋体" w:hAnsi="宋体" w:cs="Times New Roman"/>
          <w:bCs/>
          <w:color w:val="auto"/>
          <w:sz w:val="24"/>
          <w:szCs w:val="24"/>
          <w:highlight w:val="none"/>
        </w:rPr>
        <w:t xml:space="preserve">等安全服务。</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二</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所有人员应持具保安员证书，熟悉医院建筑格局，遵守医院安全管理规定，知法，懂法，守法，依法办事，必须严格遵守保安员从业规范；身体健康，没有传染病，心脑血管疾病及精神病等疾病病史，体貌端正，有吃苦耐劳的精神和高度的责任感，受过专门的岗前培训。</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rPr>
        <w:t xml:space="preserve">★</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三</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服务期限：</w:t>
      </w:r>
      <w:r>
        <w:rPr>
          <w:rFonts w:hint="eastAsia" w:ascii="宋体" w:hAnsi="宋体" w:cs="Times New Roman"/>
          <w:b/>
          <w:bCs w:val="0"/>
          <w:color w:val="auto"/>
          <w:sz w:val="24"/>
          <w:szCs w:val="24"/>
          <w:highlight w:val="none"/>
          <w:lang w:val="en-US" w:eastAsia="zh-CN"/>
        </w:rPr>
        <w:t xml:space="preserve">贰</w:t>
      </w:r>
      <w:r>
        <w:rPr>
          <w:rFonts w:hint="eastAsia" w:ascii="宋体" w:hAnsi="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rPr>
        <w:t xml:space="preserve">2026年10月1日至2028年9月30日</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（四）</w:t>
      </w:r>
      <w:r>
        <w:rPr>
          <w:rFonts w:hint="eastAsia" w:ascii="宋体" w:hAnsi="宋体" w:cs="Times New Roman"/>
          <w:b/>
          <w:bCs w:val="0"/>
          <w:color w:val="auto"/>
          <w:sz w:val="24"/>
          <w:szCs w:val="24"/>
          <w:highlight w:val="none"/>
        </w:rPr>
        <w:t xml:space="preserve">服务标准</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1.</w:t>
      </w:r>
      <w:r>
        <w:rPr>
          <w:rFonts w:hint="eastAsia" w:ascii="宋体" w:hAnsi="宋体" w:cs="Times New Roman"/>
          <w:b/>
          <w:bCs w:val="0"/>
          <w:color w:val="auto"/>
          <w:sz w:val="24"/>
          <w:szCs w:val="24"/>
          <w:highlight w:val="none"/>
        </w:rPr>
        <w:t xml:space="preserve">服务总体要求</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全天候24小时对医院各区域进行治安巡查、消防监控及参与突发事件的处理（主要为门卫、巡逻、车辆管理、火灾的预警、报警、初起火灾的扑救、火灾救援、消控室值守、诊疗秩序维持、治安突发事件处置、</w:t>
      </w:r>
      <w:r>
        <w:rPr>
          <w:rFonts w:hint="eastAsia" w:ascii="宋体" w:hAnsi="宋体" w:cs="Times New Roman"/>
          <w:bCs/>
          <w:color w:val="auto"/>
          <w:sz w:val="24"/>
          <w:szCs w:val="24"/>
          <w:highlight w:val="none"/>
          <w:lang w:val="en-US" w:eastAsia="zh-CN"/>
        </w:rPr>
        <w:t xml:space="preserve">突发</w:t>
      </w:r>
      <w:r>
        <w:rPr>
          <w:rFonts w:hint="eastAsia" w:ascii="宋体" w:hAnsi="宋体" w:cs="Times New Roman"/>
          <w:bCs/>
          <w:color w:val="auto"/>
          <w:sz w:val="24"/>
          <w:szCs w:val="24"/>
          <w:highlight w:val="none"/>
        </w:rPr>
        <w:t xml:space="preserve">疫情应急病区的警戒及看守、自然灾害救援等事件）。</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维护医院的正常医疗秩序，保障医院内所有人员的人身和财产安全，保护医院的设施和设备及各类财产不受损失，预防各类政治、刑事案件、治安事件和火灾事故的发生。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配合公安机关、医院保卫部门做好信息的收集工作，防止各类敌对势力的破坏和渗透，对发现的可疑情况和线索应及时向医院保卫部门报告。</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组织人员对院内安全存在的隐患进行查找，及时报告不安全因素，并配合医院保卫部门进行整改。</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全体保安员均为义务消防员，中标人应对保安员进行岗前培训，特别是消防技能的培训，</w:t>
      </w:r>
      <w:r>
        <w:rPr>
          <w:rFonts w:hint="eastAsia" w:ascii="宋体" w:hAnsi="宋体" w:cs="Times New Roman"/>
          <w:bCs/>
          <w:color w:val="auto"/>
          <w:sz w:val="24"/>
          <w:szCs w:val="24"/>
          <w:highlight w:val="none"/>
          <w:lang w:val="en-US" w:eastAsia="zh-CN"/>
        </w:rPr>
        <w:t xml:space="preserve">确保</w:t>
      </w:r>
      <w:r>
        <w:rPr>
          <w:rFonts w:hint="eastAsia" w:ascii="宋体" w:hAnsi="宋体" w:cs="Times New Roman"/>
          <w:bCs/>
          <w:color w:val="auto"/>
          <w:sz w:val="24"/>
          <w:szCs w:val="24"/>
          <w:highlight w:val="none"/>
        </w:rPr>
        <w:t xml:space="preserve">保安员具有一定的业务素质，消防监控室值班人员应按消防法规要求持证（四级/中级消防设施操作员）上岗。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全体保安员均为应急救援队员，中标人应对保安员进行培训，特别是快速反应应急救援培训，当发生火灾、恶性治安案件、重大疫情应急病区的警戒</w:t>
      </w:r>
      <w:r>
        <w:rPr>
          <w:rFonts w:hint="eastAsia" w:ascii="宋体" w:hAnsi="宋体" w:cs="Times New Roman"/>
          <w:bCs/>
          <w:color w:val="auto"/>
          <w:sz w:val="24"/>
          <w:szCs w:val="24"/>
          <w:highlight w:val="none"/>
          <w:lang w:eastAsia="zh-CN"/>
        </w:rPr>
        <w:t xml:space="preserve">及其他自然灾害</w:t>
      </w:r>
      <w:r>
        <w:rPr>
          <w:rFonts w:hint="eastAsia" w:ascii="宋体" w:hAnsi="宋体" w:cs="Times New Roman"/>
          <w:bCs/>
          <w:color w:val="auto"/>
          <w:sz w:val="24"/>
          <w:szCs w:val="24"/>
          <w:highlight w:val="none"/>
        </w:rPr>
        <w:t xml:space="preserve">突发事件时，3分钟内须有保安员赶到现场掌控局面，5至10分钟之内须派出足够人手参加救援。</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建立完善的各项应急救援方案（火警、爆炸、投毒、群体性事件、</w:t>
      </w:r>
      <w:r>
        <w:rPr>
          <w:rFonts w:hint="eastAsia" w:ascii="宋体" w:hAnsi="宋体" w:cs="Times New Roman"/>
          <w:bCs/>
          <w:color w:val="auto"/>
          <w:sz w:val="24"/>
          <w:szCs w:val="24"/>
          <w:highlight w:val="none"/>
          <w:lang w:val="en-US" w:eastAsia="zh-CN"/>
        </w:rPr>
        <w:t xml:space="preserve">伤医滋事、</w:t>
      </w:r>
      <w:r>
        <w:rPr>
          <w:rFonts w:hint="eastAsia" w:ascii="宋体" w:hAnsi="宋体" w:cs="Times New Roman"/>
          <w:bCs/>
          <w:color w:val="auto"/>
          <w:sz w:val="24"/>
          <w:szCs w:val="24"/>
          <w:highlight w:val="none"/>
          <w:lang w:eastAsia="zh-CN"/>
        </w:rPr>
        <w:t xml:space="preserve">其他破坏</w:t>
      </w:r>
      <w:r>
        <w:rPr>
          <w:rFonts w:hint="eastAsia" w:ascii="宋体" w:hAnsi="宋体" w:cs="Times New Roman"/>
          <w:bCs/>
          <w:color w:val="auto"/>
          <w:sz w:val="24"/>
          <w:szCs w:val="24"/>
          <w:highlight w:val="none"/>
        </w:rPr>
        <w:t xml:space="preserve">、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医院区域内重大火灾、治安、交通、刑事等事件发生。</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建立完善的管理制度。包括保安队管理制度、接报警制度、重要人员及重要目标警卫制度、门卫值班制度、闭路电视监控管理制度、消防管理制度、车辆管理制度、值班巡逻制度、放行制度、交接班制度、奖惩制度、军事训练制度、会议制度、安全汇报制度及向医院保卫部门提供一份详细年度计划，做好</w:t>
      </w:r>
      <w:r>
        <w:rPr>
          <w:rFonts w:hint="eastAsia" w:ascii="宋体" w:hAnsi="宋体" w:cs="Times New Roman"/>
          <w:bCs/>
          <w:color w:val="auto"/>
          <w:sz w:val="24"/>
          <w:szCs w:val="24"/>
          <w:highlight w:val="none"/>
          <w:lang w:eastAsia="zh-CN"/>
        </w:rPr>
        <w:t xml:space="preserve">台账</w:t>
      </w:r>
      <w:r>
        <w:rPr>
          <w:rFonts w:hint="eastAsia" w:ascii="宋体" w:hAnsi="宋体" w:cs="Times New Roman"/>
          <w:bCs/>
          <w:color w:val="auto"/>
          <w:sz w:val="24"/>
          <w:szCs w:val="24"/>
          <w:highlight w:val="none"/>
        </w:rPr>
        <w:t xml:space="preserve">整理工作。</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应按要求派出</w:t>
      </w:r>
      <w:r>
        <w:rPr>
          <w:rFonts w:hint="eastAsia" w:ascii="宋体" w:hAnsi="宋体" w:cs="Times New Roman"/>
          <w:bCs/>
          <w:color w:val="auto"/>
          <w:sz w:val="24"/>
          <w:szCs w:val="24"/>
          <w:highlight w:val="none"/>
          <w:lang w:val="en-US" w:eastAsia="zh-CN"/>
        </w:rPr>
        <w:t xml:space="preserve">持证（四级/中级消防设施操作员）人员在消防</w:t>
      </w:r>
      <w:r>
        <w:rPr>
          <w:rFonts w:hint="eastAsia" w:ascii="宋体" w:hAnsi="宋体" w:cs="Times New Roman"/>
          <w:bCs/>
          <w:color w:val="auto"/>
          <w:sz w:val="24"/>
          <w:szCs w:val="24"/>
          <w:highlight w:val="none"/>
        </w:rPr>
        <w:t xml:space="preserve">控制室实行24小时值班，严密监控，发现情况立即报告和处理并做好登记，本岗位人员不得随意更换。</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10</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保安员应熟悉医院整体地理环境及监控范围，熟练操作、维护使用监控系统设备。</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积极配合医院做好与安全生产相关的宣传工作</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服务公司必须保证每年有一次对医院开展安全宣传教育的活动</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每月把医院所发生的一些重要情况如实以书面形式汇报到医院保卫部门，每月、季度、半年、年终分别做好事件记录及总结，并交到医院保卫部门备案。</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应按时按岗位安排保安到岗，不得随意减少岗位，因服务改造和岗位调整，医院可根据岗位实际需要在允许的范围内增减保安员数量，每个保安员增减的费用，按照中标合同计算。</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14</w:t>
      </w:r>
      <w:r>
        <w:rPr>
          <w:rFonts w:hint="eastAsia" w:ascii="宋体" w:hAnsi="宋体" w:cs="Times New Roman"/>
          <w:bCs/>
          <w:color w:val="auto"/>
          <w:sz w:val="24"/>
          <w:szCs w:val="24"/>
          <w:highlight w:val="none"/>
          <w:lang w:eastAsia="zh-CN"/>
        </w:rPr>
        <w:t xml:space="preserve">）确保</w:t>
      </w:r>
      <w:r>
        <w:rPr>
          <w:rFonts w:hint="eastAsia" w:ascii="宋体" w:hAnsi="宋体" w:cs="Times New Roman"/>
          <w:bCs/>
          <w:color w:val="auto"/>
          <w:sz w:val="24"/>
          <w:szCs w:val="24"/>
          <w:highlight w:val="none"/>
        </w:rPr>
        <w:t xml:space="preserve">每年至少开展1次涉医违法犯罪应急演练、1次消防应急演练。</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rPr>
        <w:t xml:space="preserve">保安员岗位职责：</w:t>
      </w:r>
      <w:r/>
    </w:p>
    <w:p>
      <w:pPr>
        <w:ind w:firstLine="482"/>
        <w:keepLines w:val="0"/>
        <w:keepNext w:val="0"/>
        <w:pageBreakBefore w:val="0"/>
        <w:spacing w:line="360" w:lineRule="auto"/>
        <w:widowControl w:val="off"/>
        <w:rPr>
          <w:rFonts w:hint="eastAsia" w:ascii="宋体" w:hAnsi="宋体" w:cs="Times New Roman"/>
          <w:b/>
          <w:bCs w:val="0"/>
          <w:color w:val="auto"/>
          <w:sz w:val="24"/>
          <w:szCs w:val="24"/>
          <w:highlight w:val="none"/>
          <w:u w:val="none"/>
          <w:lang w:val="en-US" w:eastAsia="zh-CN"/>
        </w:rPr>
      </w:pPr>
      <w:r>
        <w:rPr>
          <w:rFonts w:hint="eastAsia" w:ascii="宋体" w:hAnsi="宋体" w:cs="Times New Roman"/>
          <w:b/>
          <w:bCs w:val="0"/>
          <w:color w:val="auto"/>
          <w:sz w:val="24"/>
          <w:szCs w:val="24"/>
          <w:highlight w:val="none"/>
          <w:u w:val="none"/>
          <w:lang w:val="en-US" w:eastAsia="zh-CN"/>
        </w:rPr>
        <w:t xml:space="preserve">安检岗位</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 门诊、急诊安检出入口，规范操作安检机、金属探测门、手持金属探测仪，对所有进出人员、随身箱包、大件行李全员全覆盖安检，无漏检、无免检特权。</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）严格查验违禁物品：及时识别并暂扣管制刀具、棍棒、锐器、酒精、汽油、油漆、烟花爆竹、打火机气瓶、腐蚀性 / 易燃易爆危险品、仿真武器等危险物品；医护医用手术器械凭工作证核实后放行。</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）规范处置违禁品：对暂扣物品做好实名登记、封存保管，告知医院安检管理规定；遇拒不配合、强行闯检人员，立即上报保卫处，情节严重直接拨打 110 报警。</w:t>
      </w:r>
      <w:r/>
    </w:p>
    <w:p>
      <w:pPr>
        <w:ind w:firstLine="480"/>
        <w:keepLines w:val="0"/>
        <w:keepNext w:val="0"/>
        <w:pageBreakBefore w:val="0"/>
        <w:spacing w:line="360" w:lineRule="auto"/>
        <w:widowControl w:val="off"/>
        <w:rPr>
          <w:rFonts w:hint="eastAsia" w:ascii="宋体" w:hAnsi="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）高峰人流疏导：门诊早高峰、急诊急救时段维持安检口秩序，分流人群避免拥堵，开通绿色通道优先放行危重病人、孕产妇、行动不便老人、急救转运人员。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）安检设备运维：上岗前检查设备通电、成像、探测功能是否正常，做好设备清洁；设备故障立即停止使用并上报后勤维修，严禁私自拆卸、改装安检器材。</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急诊大厅</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维持急诊区域的诊疗秩序，协助急诊做好人员、门前车辆管控工作；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对急诊区域的可疑人员、物品进行盘问、检查，制止管区内发生的打架、滋扰事件；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禁止携带宠物进入急诊区域；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认真做好防火、防盗、防破坏、防爆炸“四防”工作；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制止院内寻衅滋事的行为发生；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制止侮辱、威胁、恐吓、故意伤害医务人员或者非法限制医务人员人身自由行为发生，禁止尸体滞留病房，及时移送太平间；</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bidi="ar-SA"/>
        </w:rPr>
      </w:pPr>
      <w:r>
        <w:rPr>
          <w:rFonts w:hint="eastAsia" w:ascii="宋体" w:hAnsi="宋体" w:eastAsia="宋体" w:cs="Times New Roman"/>
          <w:b/>
          <w:bCs w:val="0"/>
          <w:color w:val="auto"/>
          <w:sz w:val="24"/>
          <w:szCs w:val="24"/>
          <w:highlight w:val="none"/>
          <w:u w:val="none"/>
          <w:lang w:val="en-US" w:eastAsia="zh-CN" w:bidi="ar-SA"/>
        </w:rPr>
        <w:t xml:space="preserve">正门出入口交通指挥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通道（救护车通道、职工通道、污物通道）管理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确保车辆有序出入场，核验出门证；</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对道闸系统发生损坏等问题及时上报；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消防控制室值班员职责</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负责对消防、安防设备的监视和运用，做好检查和操作等工作；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熟悉消防、安防系统的基本原理、功能，熟练掌握操作服务，协助服务人员进行修理、维护，不得擅自拆卸、挪用或停用系统设备，保证系统正常运行；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消防、安防控制室接到火警报告后要及时通知保安员和火警现场工作人员到现场进行查看，确认为真火警后，控制室工作人员必须严格按照《连云港市第一人民医院火灾预案》要求进行操作；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发现消防、安防系统设备出现故障时，必须及时通知相关人员或维保单位进行维修；</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对消防、安防控制室设备及通讯器材等要进行经常性</w:t>
      </w:r>
      <w:r>
        <w:rPr>
          <w:rFonts w:hint="eastAsia" w:ascii="宋体" w:hAnsi="宋体" w:eastAsia="宋体" w:cs="Times New Roman"/>
          <w:bCs/>
          <w:color w:val="auto"/>
          <w:sz w:val="24"/>
          <w:szCs w:val="24"/>
          <w:highlight w:val="none"/>
          <w:u w:val="none"/>
          <w:lang w:eastAsia="zh-CN"/>
        </w:rPr>
        <w:t xml:space="preserve">的</w:t>
      </w:r>
      <w:r>
        <w:rPr>
          <w:rFonts w:hint="eastAsia" w:ascii="宋体" w:hAnsi="宋体" w:eastAsia="宋体" w:cs="Times New Roman"/>
          <w:bCs/>
          <w:color w:val="auto"/>
          <w:sz w:val="24"/>
          <w:szCs w:val="24"/>
          <w:highlight w:val="none"/>
          <w:u w:val="none"/>
        </w:rPr>
        <w:t xml:space="preserve">检查，做好各系统功能试验，以确保消防、安防各系统运行状况良好；</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消防控制室值班人员，要做到人到、心到、眼到，严密监视，及时发现可疑人员和一切违法犯罪活动并立即报告附近的值班保安员；</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为了确保治安与消防安全值班人员必须精神饱满，认真负责，不得擅离岗位，玩忽职守；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除正常工作需要之外，值班人员不准随意拨弄安防监控和消防报警系统；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阻止无关人员严禁进入消防控制室；</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10</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未经医院保卫部门的许可，不准向无关人员提供本系统的任何情况；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严格执行交接班制度，值班人员交接班时应详细清楚，准确无误，同时应做好工作记录和交接班登记；</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协助公安部门调阅监控录像，为公安机关提供线索；</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lang w:val="en-US" w:eastAsia="zh-CN"/>
        </w:rPr>
        <w:t xml:space="preserve">车辆（非机动车和机动车）管理车辆（非机动车和机动车）管理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在队长的领导下开展日常工作；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维持门诊门前车辆管理秩序，对出租车进行管理；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对门诊区域的可疑人员、物品进行盘问、检查；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禁止携带宠物进入门诊区域；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制止非法携带易燃、易爆危险物品和管制器具人员进入；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阻止医托、倒卖医疗机构挂号凭证人员进入；</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阻止其他扰乱医疗机构正常秩序的行为；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eastAsia="zh-CN"/>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9</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eastAsia="zh-CN"/>
        </w:rPr>
        <w:t xml:space="preserve">完成领导交办的其他临时性工作任务</w:t>
      </w:r>
      <w:r>
        <w:rPr>
          <w:rFonts w:hint="eastAsia" w:ascii="宋体" w:hAnsi="宋体" w:eastAsia="宋体" w:cs="Times New Roman"/>
          <w:b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微型消防站兼微机动处突队</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1</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在</w:t>
      </w:r>
      <w:r>
        <w:rPr>
          <w:rFonts w:hint="eastAsia" w:ascii="宋体" w:hAnsi="宋体" w:eastAsia="宋体" w:cs="Times New Roman"/>
          <w:bCs/>
          <w:color w:val="auto"/>
          <w:sz w:val="24"/>
          <w:szCs w:val="24"/>
          <w:highlight w:val="none"/>
          <w:u w:val="none"/>
          <w:lang w:val="en-US" w:eastAsia="zh-CN"/>
        </w:rPr>
        <w:t xml:space="preserve">队</w:t>
      </w:r>
      <w:r>
        <w:rPr>
          <w:rFonts w:hint="eastAsia" w:ascii="宋体" w:hAnsi="宋体" w:eastAsia="宋体" w:cs="Times New Roman"/>
          <w:bCs/>
          <w:color w:val="auto"/>
          <w:sz w:val="24"/>
          <w:szCs w:val="24"/>
          <w:highlight w:val="none"/>
          <w:u w:val="none"/>
        </w:rPr>
        <w:t xml:space="preserve">长的领导下开展日常工作；</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2</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根据职责分工，完成初期火灾扑救和应急救援任务；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3</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eastAsia="zh-CN"/>
        </w:rPr>
        <w:t xml:space="preserve">熟悉</w:t>
      </w:r>
      <w:r>
        <w:rPr>
          <w:rFonts w:hint="eastAsia" w:ascii="宋体" w:hAnsi="宋体" w:eastAsia="宋体" w:cs="Times New Roman"/>
          <w:bCs/>
          <w:color w:val="auto"/>
          <w:sz w:val="24"/>
          <w:szCs w:val="24"/>
          <w:highlight w:val="none"/>
          <w:u w:val="none"/>
        </w:rPr>
        <w:t xml:space="preserve">医院的建筑消防设施安全出口、建筑消防设施、消防电梯、道路进出口、消防登高面、水泵房、高位水箱及水源情况；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4</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5</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掌握消防设施的性能和操作使用方法，规劝、驱赶管区内的医托、摆卖、乞讨、散发广告等闲杂人；</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6</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参加治安、消防安全巡查和消防宣传教育，及时劝阻院内吸烟现象；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7</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rPr>
        <w:t xml:space="preserve">开展防护服穿戴、消防报警跑点、消防设施使用、疏散演练的日常训练工作，及时劝阻院内吸烟现象；</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rPr>
      </w:pPr>
      <w:r>
        <w:rPr>
          <w:rFonts w:hint="eastAsia" w:ascii="宋体" w:hAnsi="宋体" w:cs="Times New Roman"/>
          <w:bCs/>
          <w:color w:val="auto"/>
          <w:sz w:val="24"/>
          <w:szCs w:val="24"/>
          <w:highlight w:val="none"/>
          <w:u w:val="none"/>
          <w:lang w:eastAsia="zh-CN"/>
        </w:rPr>
        <w:t xml:space="preserve">（</w:t>
      </w:r>
      <w:r>
        <w:rPr>
          <w:rFonts w:hint="eastAsia" w:ascii="宋体" w:hAnsi="宋体" w:cs="Times New Roman"/>
          <w:bCs/>
          <w:color w:val="auto"/>
          <w:sz w:val="24"/>
          <w:szCs w:val="24"/>
          <w:highlight w:val="none"/>
          <w:u w:val="none"/>
          <w:lang w:val="en-US" w:eastAsia="zh-CN"/>
        </w:rPr>
        <w:t xml:space="preserve">8</w:t>
      </w:r>
      <w:r>
        <w:rPr>
          <w:rFonts w:hint="eastAsia" w:ascii="宋体" w:hAnsi="宋体" w:cs="Times New Roman"/>
          <w:bCs/>
          <w:color w:val="auto"/>
          <w:sz w:val="24"/>
          <w:szCs w:val="24"/>
          <w:highlight w:val="none"/>
          <w:u w:val="none"/>
          <w:lang w:eastAsia="zh-CN"/>
        </w:rPr>
        <w:t xml:space="preserve">）</w:t>
      </w:r>
      <w:r>
        <w:rPr>
          <w:rFonts w:hint="eastAsia" w:ascii="宋体" w:hAnsi="宋体" w:eastAsia="宋体" w:cs="Times New Roman"/>
          <w:bCs/>
          <w:color w:val="auto"/>
          <w:sz w:val="24"/>
          <w:szCs w:val="24"/>
          <w:highlight w:val="none"/>
          <w:u w:val="none"/>
          <w:lang w:val="zh-CN"/>
        </w:rPr>
        <w:t xml:space="preserve">完成领导交办的其他临时性工作任务</w:t>
      </w:r>
      <w:r>
        <w:rPr>
          <w:rFonts w:hint="eastAsia" w:ascii="宋体" w:hAnsi="宋体" w:eastAsia="宋体" w:cs="Times New Roman"/>
          <w:bCs/>
          <w:color w:val="auto"/>
          <w:sz w:val="24"/>
          <w:szCs w:val="24"/>
          <w:highlight w:val="none"/>
          <w:u w:val="none"/>
        </w:rPr>
        <w:t xml:space="preserve">。</w:t>
      </w:r>
      <w:r/>
    </w:p>
    <w:p>
      <w:pPr>
        <w:numPr>
          <w:ilvl w:val="0"/>
          <w:numId w:val="6"/>
        </w:numPr>
        <w:ind w:firstLine="482"/>
        <w:keepLines w:val="0"/>
        <w:keepNext w:val="0"/>
        <w:pageBreakBefore w:val="0"/>
        <w:spacing w:line="360" w:lineRule="auto"/>
        <w:widowControl w:val="off"/>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u w:val="none"/>
        </w:rPr>
        <w:t xml:space="preserve">人员配备：</w:t>
      </w:r>
      <w:r/>
    </w:p>
    <w:p>
      <w:pPr>
        <w:pStyle w:val="788"/>
        <w:ind w:left="420" w:firstLine="618"/>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1.基本年龄范围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所有保安人员上岗时年龄须在18周岁以上，身体健康，能胜任岗位工作。</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2.新进人员年龄限制</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新招聘的保安人员年龄不得超过5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周岁（即新进人员须小于5</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岁）。已在队伍中、超过55周岁的现有保安人员可继续留用，不受本款限制。</w:t>
      </w:r>
      <w:r/>
    </w:p>
    <w:p>
      <w:pPr>
        <w:pStyle w:val="788"/>
        <w:ind w:left="420" w:firstLine="61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6"/>
          <w:sz w:val="24"/>
          <w:szCs w:val="24"/>
          <w:highlight w:val="none"/>
        </w:rPr>
        <w:t xml:space="preserve">3.50周岁以下人员占比</w:t>
      </w:r>
      <w:r>
        <w:rPr>
          <w:rFonts w:hint="eastAsia" w:ascii="宋体" w:hAnsi="宋体" w:eastAsia="宋体" w:cs="宋体"/>
          <w:color w:val="auto"/>
          <w:spacing w:val="-6"/>
          <w:sz w:val="24"/>
          <w:szCs w:val="24"/>
          <w:highlight w:val="none"/>
        </w:rPr>
        <w:br/>
      </w:r>
      <w:r>
        <w:rPr>
          <w:rFonts w:hint="eastAsia" w:ascii="宋体" w:hAnsi="宋体" w:eastAsia="宋体" w:cs="宋体"/>
          <w:color w:val="auto"/>
          <w:spacing w:val="-6"/>
          <w:sz w:val="24"/>
          <w:szCs w:val="24"/>
          <w:highlight w:val="none"/>
        </w:rPr>
        <w:t xml:space="preserve">   </w:t>
      </w:r>
      <w:r>
        <w:rPr>
          <w:rFonts w:hint="eastAsia" w:ascii="宋体" w:hAnsi="宋体" w:eastAsia="宋体" w:cs="宋体"/>
          <w:b w:val="0"/>
          <w:bCs w:val="0"/>
          <w:color w:val="auto"/>
          <w:sz w:val="24"/>
          <w:szCs w:val="24"/>
          <w:highlight w:val="none"/>
        </w:rPr>
        <w:t xml:space="preserve">全体保安人员中，50周岁以下的人员占比不低于20%（即≥20%）。该比例为硬性达标条件，为《医院安全防范要求》新国标（GB/T31458-2026）要求条款，投标人须在响应文件中明确承诺并列出符合条件的人员清单。</w:t>
      </w:r>
      <w:r/>
    </w:p>
    <w:p>
      <w:pPr>
        <w:pStyle w:val="788"/>
        <w:ind w:left="420" w:firstLine="618"/>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机动队兼微型消防站队员年龄</w:t>
      </w:r>
      <w:r/>
    </w:p>
    <w:p>
      <w:pPr>
        <w:pStyle w:val="788"/>
        <w:ind w:left="420" w:firstLine="618"/>
        <w:spacing w:line="360" w:lineRule="auto"/>
        <w:rPr>
          <w:rFonts w:hint="eastAsia" w:ascii="宋体" w:hAnsi="宋体" w:eastAsia="宋体" w:cs="宋体"/>
          <w:color w:val="auto"/>
          <w:sz w:val="24"/>
          <w:szCs w:val="24"/>
          <w:highlight w:val="none"/>
          <w:lang w:bidi="ar"/>
        </w:rPr>
      </w:pPr>
      <w:r>
        <w:rPr>
          <w:rFonts w:hint="eastAsia" w:ascii="宋体" w:hAnsi="宋体" w:eastAsia="宋体" w:cs="宋体"/>
          <w:b w:val="0"/>
          <w:bCs w:val="0"/>
          <w:color w:val="auto"/>
          <w:sz w:val="24"/>
          <w:szCs w:val="24"/>
          <w:highlight w:val="none"/>
        </w:rPr>
        <w:t xml:space="preserve">机动队及微型消防站队员的年龄不超过50周岁，以确保应急处突体能和反应速度，退伍军人≥6人。</w:t>
      </w:r>
      <w:r/>
    </w:p>
    <w:p>
      <w:pPr>
        <w:ind w:firstLine="480"/>
        <w:jc w:val="center"/>
        <w:spacing w:line="5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通灌院区保安服务岗位配置</w:t>
      </w:r>
      <w:r/>
    </w:p>
    <w:tbl>
      <w:tblPr>
        <w:tblStyle w:val="783"/>
        <w:tblW w:w="10134" w:type="dxa"/>
        <w:tblInd w:w="-413" w:type="dxa"/>
        <w:tblLayout w:type="fixed"/>
        <w:tblCellMar>
          <w:left w:w="108" w:type="dxa"/>
          <w:top w:w="0" w:type="dxa"/>
          <w:right w:w="108" w:type="dxa"/>
          <w:bottom w:w="0" w:type="dxa"/>
        </w:tblCellMar>
        <w:tblLook w:val="04A0" w:firstRow="1" w:lastRow="0" w:firstColumn="1" w:lastColumn="0" w:noHBand="0" w:noVBand="1"/>
      </w:tblPr>
      <w:tblGrid>
        <w:gridCol w:w="634"/>
        <w:gridCol w:w="1652"/>
        <w:gridCol w:w="532"/>
        <w:gridCol w:w="805"/>
        <w:gridCol w:w="763"/>
        <w:gridCol w:w="2578"/>
        <w:gridCol w:w="3170"/>
      </w:tblGrid>
      <w:tr>
        <w:trPr>
          <w:trHeight w:val="520"/>
        </w:trPr>
        <w:tc>
          <w:tcPr>
            <w:shd w:val="clear" w:color="auto" w:fill="auto"/>
            <w:tcBorders>
              <w:top w:val="single" w:color="000000" w:sz="8"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岗位</w:t>
            </w:r>
            <w:r/>
          </w:p>
        </w:tc>
        <w:tc>
          <w:tcPr>
            <w:shd w:val="clear" w:color="auto" w:fill="auto"/>
            <w:tcBorders>
              <w:top w:val="single" w:color="000000" w:sz="8" w:space="0"/>
              <w:left w:val="single" w:color="000000" w:sz="4" w:space="0"/>
              <w:bottom w:val="single" w:color="000000" w:sz="4" w:space="0"/>
              <w:right w:val="single" w:color="000000" w:sz="4" w:space="0"/>
            </w:tcBorders>
            <w:tcW w:w="532"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岗位数</w:t>
            </w:r>
            <w:r/>
          </w:p>
        </w:tc>
        <w:tc>
          <w:tcPr>
            <w:shd w:val="clear" w:color="auto" w:fill="auto"/>
            <w:tcBorders>
              <w:top w:val="single" w:color="000000" w:sz="8" w:space="0"/>
              <w:left w:val="single" w:color="000000" w:sz="4" w:space="0"/>
              <w:bottom w:val="single" w:color="000000" w:sz="4" w:space="0"/>
              <w:right w:val="single" w:color="000000" w:sz="4" w:space="0"/>
            </w:tcBorders>
            <w:tcW w:w="805"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排班制</w:t>
            </w:r>
            <w:r/>
          </w:p>
        </w:tc>
        <w:tc>
          <w:tcPr>
            <w:shd w:val="clear" w:color="auto" w:fill="auto"/>
            <w:tcBorders>
              <w:top w:val="single" w:color="000000" w:sz="8" w:space="0"/>
              <w:left w:val="single" w:color="000000" w:sz="4" w:space="0"/>
              <w:bottom w:val="single" w:color="000000" w:sz="4" w:space="0"/>
              <w:right w:val="single" w:color="000000" w:sz="4" w:space="0"/>
            </w:tcBorders>
            <w:tcW w:w="763" w:type="dxa"/>
            <w:vAlign w:val="center"/>
            <w:textDirection w:val="lrTb"/>
            <w:noWrap w:val="false"/>
          </w:tcPr>
          <w:p>
            <w:pPr>
              <w:jc w:val="center"/>
              <w:widowControl/>
              <w:tabs>
                <w:tab w:val="center" w:pos="360" w:leader="none"/>
                <w:tab w:val="left" w:pos="5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保安数量</w:t>
            </w:r>
            <w:r/>
          </w:p>
        </w:tc>
        <w:tc>
          <w:tcPr>
            <w:shd w:val="clear" w:color="auto" w:fill="auto"/>
            <w:tcBorders>
              <w:top w:val="single" w:color="000000" w:sz="8"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c>
          <w:tcPr>
            <w:shd w:val="clear" w:color="auto" w:fill="auto"/>
            <w:tcBorders>
              <w:top w:val="single" w:color="000000" w:sz="8"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配置依据</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医院作息制度</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持有保卫管理员，年龄50岁以下。</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实际需要</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资料员（台账集成、内部考勤、巡查考核）</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医院作息制度</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bidi="ar"/>
              </w:rPr>
              <w:t xml:space="preserve">大专及以上学历，能熟练使用办公软件，具备2年以上文员或台账管理相关工作经验</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实际需要</w:t>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★带班队长</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男，年龄50岁以下，工资实发≥3600；</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实际需要</w:t>
            </w:r>
            <w:r/>
          </w:p>
        </w:tc>
      </w:tr>
      <w:tr>
        <w:trPr>
          <w:trHeight w:val="13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★机动队兼微型消防站队员</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rPr>
            </w:pPr>
            <w:r>
              <w:rPr>
                <w:rStyle w:val="1110"/>
                <w:rFonts w:hint="eastAsia" w:ascii="宋体" w:hAnsi="宋体" w:eastAsia="宋体" w:cs="宋体"/>
                <w:color w:val="auto"/>
                <w:sz w:val="24"/>
                <w:szCs w:val="24"/>
                <w:highlight w:val="none"/>
                <w:lang w:bidi="ar"/>
              </w:rPr>
              <w:t xml:space="preserve">年龄</w:t>
            </w:r>
            <w:r>
              <w:rPr>
                <w:rStyle w:val="1111"/>
                <w:rFonts w:hint="eastAsia" w:ascii="宋体" w:hAnsi="宋体" w:eastAsia="宋体" w:cs="宋体"/>
                <w:color w:val="auto"/>
                <w:sz w:val="24"/>
                <w:szCs w:val="24"/>
                <w:highlight w:val="none"/>
                <w:lang w:bidi="ar"/>
              </w:rPr>
              <w:t xml:space="preserve">50周岁以下</w:t>
            </w:r>
            <w:r>
              <w:rPr>
                <w:rStyle w:val="1110"/>
                <w:rFonts w:hint="eastAsia" w:ascii="宋体" w:hAnsi="宋体" w:eastAsia="宋体" w:cs="宋体"/>
                <w:color w:val="auto"/>
                <w:sz w:val="24"/>
                <w:szCs w:val="24"/>
                <w:highlight w:val="none"/>
                <w:lang w:bidi="ar"/>
              </w:rPr>
              <w:t xml:space="preserve">；工资实发≥3200；退伍军人≥6人；</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国家消防救援局文件要求：</w:t>
            </w:r>
            <w:r/>
          </w:p>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《社会单位微型消防站建设标准》（消防〔2025〕33号）第三部分“人员配备”中的第（二）条“微型消防站人数应满足初起火灾扑救、日常防火巡查的需要，原则上按照不少于6人配备”</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★消防控制室</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1人兼职消控室负责人</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消防设施操作员四级及以上；</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工资实发≥4500；</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国标要求：《消防控制室通用技术要求》（GB 25506-2010）第4.2.1条：实行每日24小时专人值班制度，每班不应少于2人，值班人员应持有消防控制室操作职业资格证书。</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Style w:val="1109"/>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门诊安检岗</w:t>
            </w:r>
            <w:r/>
          </w:p>
          <w:p>
            <w:pPr>
              <w:jc w:val="center"/>
              <w:widowControl/>
              <w:rPr>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（履带式安检岗、手持式安检岗）</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国标要求：《医院安全防范要求》(GB/T31458-2026）：</w:t>
            </w:r>
            <w:r/>
          </w:p>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在医院主要入口、门诊部和急诊部入口设置安检区的，应配备微剂量X射线安全检查设备、通过式金属探测门和手持式金属探测器，宜配备液态危险化学品安全检查仪;</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急诊安检岗</w:t>
            </w:r>
            <w:r>
              <w:rPr>
                <w:rStyle w:val="1113"/>
                <w:rFonts w:hint="eastAsia" w:ascii="宋体" w:hAnsi="宋体" w:eastAsia="宋体" w:cs="宋体"/>
                <w:color w:val="auto"/>
                <w:sz w:val="24"/>
                <w:szCs w:val="24"/>
                <w:highlight w:val="none"/>
                <w:lang w:bidi="ar"/>
              </w:rPr>
              <w:br/>
            </w:r>
            <w:r>
              <w:rPr>
                <w:rStyle w:val="1109"/>
                <w:rFonts w:hint="eastAsia" w:ascii="宋体" w:hAnsi="宋体" w:eastAsia="宋体" w:cs="宋体"/>
                <w:color w:val="auto"/>
                <w:sz w:val="24"/>
                <w:szCs w:val="24"/>
                <w:highlight w:val="none"/>
                <w:lang w:bidi="ar"/>
              </w:rPr>
              <w:t xml:space="preserve">（兼急诊代客泊车）</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Style w:val="1110"/>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国标要求：《医院安全防范要求》(GB/T31458-2026）：</w:t>
            </w:r>
            <w:r/>
          </w:p>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在医院主要入口、门诊部和急诊部入口设置安检区的，应配备微剂量X射线安全检查设备、通过式金属探测门和手持式金属探测器，宜配备液态危险化学品安全检查仪</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病区入口安检</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Style w:val="1113"/>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工资实发</w:t>
            </w:r>
            <w:r>
              <w:rPr>
                <w:rStyle w:val="1113"/>
                <w:rFonts w:hint="eastAsia" w:ascii="宋体" w:hAnsi="宋体" w:eastAsia="宋体" w:cs="宋体"/>
                <w:color w:val="auto"/>
                <w:sz w:val="24"/>
                <w:szCs w:val="24"/>
                <w:highlight w:val="none"/>
                <w:lang w:bidi="ar"/>
              </w:rPr>
              <w:t xml:space="preserve">≥2400；</w:t>
            </w:r>
            <w:r/>
          </w:p>
          <w:p>
            <w:pPr>
              <w:jc w:val="center"/>
              <w:widowControl/>
              <w:rPr>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4号楼1楼北侧住院入口、1号楼1楼北侧住院入口；</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安检工作实际需求</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09"/>
                <w:rFonts w:hint="eastAsia" w:ascii="宋体" w:hAnsi="宋体" w:eastAsia="宋体" w:cs="宋体"/>
                <w:color w:val="auto"/>
                <w:sz w:val="24"/>
                <w:szCs w:val="24"/>
                <w:highlight w:val="none"/>
                <w:lang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常夜班</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年龄55以下</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4个出入口</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国标要求：《医院安全防范要求》(GB/T31458-2026）</w:t>
            </w:r>
            <w:r>
              <w:rPr>
                <w:rFonts w:hint="eastAsia" w:ascii="宋体" w:hAnsi="宋体" w:eastAsia="宋体" w:cs="宋体"/>
                <w:color w:val="auto"/>
                <w:sz w:val="24"/>
                <w:szCs w:val="24"/>
                <w:highlight w:val="none"/>
                <w:lang w:bidi="ar"/>
              </w:rPr>
              <w:t xml:space="preserve">：</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6.3医院主要出入口应设置保卫执勤岗位。</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w:t>
            </w:r>
            <w:r>
              <w:rPr>
                <w:rStyle w:val="1112"/>
                <w:rFonts w:ascii="宋体" w:hAnsi="宋体" w:cs="宋体"/>
                <w:color w:val="auto"/>
                <w:sz w:val="24"/>
                <w:szCs w:val="24"/>
                <w:highlight w:val="none"/>
                <w:lang w:bidi="ar"/>
              </w:rPr>
              <w:t xml:space="preserve">院区周边交通秩序维护岗</w:t>
            </w:r>
            <w:r>
              <w:rPr>
                <w:rStyle w:val="1114"/>
                <w:rFonts w:hint="eastAsia" w:ascii="宋体" w:hAnsi="宋体" w:eastAsia="宋体" w:cs="宋体"/>
                <w:color w:val="auto"/>
                <w:sz w:val="24"/>
                <w:szCs w:val="24"/>
                <w:highlight w:val="none"/>
                <w:lang w:bidi="ar"/>
              </w:rPr>
              <w:br/>
            </w:r>
            <w:r>
              <w:rPr>
                <w:rStyle w:val="1112"/>
                <w:rFonts w:hint="eastAsia" w:ascii="宋体" w:hAnsi="宋体" w:eastAsia="宋体" w:cs="宋体"/>
                <w:color w:val="auto"/>
                <w:sz w:val="24"/>
                <w:szCs w:val="24"/>
                <w:highlight w:val="none"/>
                <w:lang w:bidi="ar"/>
              </w:rPr>
              <w:t xml:space="preserve">（通灌北路、龙河北路）</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年龄50以下；工资实发≥3200；退役军人或公安系统辅警工作经历；</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警医共建需求：</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经协商我院招聘人员由交警一大队培训后，经一大队授权协助治理我院门外交通。</w:t>
            </w:r>
            <w:r/>
          </w:p>
        </w:tc>
      </w:tr>
      <w:tr>
        <w:trPr>
          <w:trHeight w:val="874"/>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治安巡逻协防岗</w:t>
            </w:r>
            <w:r>
              <w:rPr>
                <w:rFonts w:hint="eastAsia" w:ascii="宋体" w:hAnsi="宋体" w:eastAsia="宋体" w:cs="宋体"/>
                <w:color w:val="auto"/>
                <w:sz w:val="24"/>
                <w:szCs w:val="24"/>
                <w:highlight w:val="none"/>
                <w:lang w:bidi="ar"/>
              </w:rPr>
              <w:t xml:space="preserve">（兼门诊大厅巡逻）</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年龄50以下；工资实发≥3200；退役军人或公安系统辅警工作经历；</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警医共建需求：</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经协商我院招聘人员由郁州派出所培训后，经派出所授权协助正式民警开展带队日常巡逻、治安整治、纠纷调处等工作。</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★急诊抢救室门前（兼急诊应急处突）</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三班倒</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Style w:val="1112"/>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年龄</w:t>
            </w:r>
            <w:r>
              <w:rPr>
                <w:rStyle w:val="1114"/>
                <w:rFonts w:hint="eastAsia" w:ascii="宋体" w:hAnsi="宋体" w:eastAsia="宋体" w:cs="宋体"/>
                <w:color w:val="auto"/>
                <w:sz w:val="24"/>
                <w:szCs w:val="24"/>
                <w:highlight w:val="none"/>
                <w:lang w:bidi="ar"/>
              </w:rPr>
              <w:t xml:space="preserve">50岁以下</w:t>
            </w:r>
            <w:r>
              <w:rPr>
                <w:rStyle w:val="1112"/>
                <w:rFonts w:hint="eastAsia" w:ascii="宋体" w:hAnsi="宋体" w:eastAsia="宋体" w:cs="宋体"/>
                <w:color w:val="auto"/>
                <w:sz w:val="24"/>
                <w:szCs w:val="24"/>
                <w:highlight w:val="none"/>
                <w:lang w:bidi="ar"/>
              </w:rPr>
              <w:t xml:space="preserve">；</w:t>
            </w:r>
            <w:r/>
          </w:p>
          <w:p>
            <w:pPr>
              <w:jc w:val="center"/>
              <w:widowControl/>
              <w:rPr>
                <w:rStyle w:val="1112"/>
                <w:rFonts w:hint="eastAsia" w:ascii="宋体" w:hAnsi="宋体" w:eastAsia="宋体" w:cs="宋体"/>
                <w:color w:val="auto"/>
                <w:sz w:val="24"/>
                <w:szCs w:val="24"/>
                <w:highlight w:val="none"/>
                <w:lang w:bidi="ar"/>
              </w:rPr>
            </w:pPr>
            <w:r>
              <w:rPr>
                <w:rStyle w:val="1112"/>
                <w:rFonts w:hint="eastAsia" w:ascii="宋体" w:hAnsi="宋体" w:eastAsia="宋体" w:cs="宋体"/>
                <w:color w:val="auto"/>
                <w:sz w:val="24"/>
                <w:szCs w:val="24"/>
                <w:highlight w:val="none"/>
                <w:lang w:bidi="ar"/>
              </w:rPr>
              <w:t xml:space="preserve">身高≥1.8米；</w:t>
            </w:r>
            <w:r/>
          </w:p>
          <w:p>
            <w:pPr>
              <w:jc w:val="center"/>
              <w:widowControl/>
              <w:rPr>
                <w:rFonts w:hint="eastAsia" w:ascii="宋体" w:hAnsi="宋体" w:eastAsia="宋体" w:cs="宋体"/>
                <w:color w:val="auto"/>
                <w:sz w:val="24"/>
                <w:szCs w:val="24"/>
                <w:highlight w:val="none"/>
              </w:rPr>
            </w:pPr>
            <w:r>
              <w:rPr>
                <w:rStyle w:val="1112"/>
                <w:rFonts w:hint="eastAsia" w:ascii="宋体" w:hAnsi="宋体" w:eastAsia="宋体" w:cs="宋体"/>
                <w:color w:val="auto"/>
                <w:sz w:val="24"/>
                <w:szCs w:val="24"/>
                <w:highlight w:val="none"/>
                <w:lang w:bidi="ar"/>
              </w:rPr>
              <w:t xml:space="preserve">工资实发≥3200</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实际需求：</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急诊区域各类醉酒、闹事等突发事件较多，医护人员安全风险高，协助急诊做好安全防范。</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院内机动车辆管理</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年龄55以下；</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门发热门诊、急诊门前、二道门、院内停车场北区、地下车库、非机动车停车场车辆管理；</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车辆管理实际需求</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口腔医院门卫室、大厅、夜门诊</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常白班</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常夜班</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25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年龄55以下；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门诊大厅、门卫室、夜门诊</w:t>
            </w:r>
            <w:r/>
          </w:p>
        </w:tc>
        <w:tc>
          <w:tcPr>
            <w:shd w:val="clear" w:color="auto" w:fill="auto"/>
            <w:tcBorders>
              <w:top w:val="single" w:color="000000" w:sz="4" w:space="0"/>
              <w:left w:val="single" w:color="000000" w:sz="4" w:space="0"/>
              <w:bottom w:val="single" w:color="000000" w:sz="4" w:space="0"/>
              <w:right w:val="single" w:color="000000" w:sz="8" w:space="0"/>
            </w:tcBorders>
            <w:tcW w:w="31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Style w:val="1110"/>
                <w:rFonts w:hint="eastAsia" w:ascii="宋体" w:hAnsi="宋体" w:eastAsia="宋体" w:cs="宋体"/>
                <w:color w:val="auto"/>
                <w:sz w:val="24"/>
                <w:szCs w:val="24"/>
                <w:highlight w:val="none"/>
                <w:lang w:bidi="ar"/>
              </w:rPr>
              <w:t xml:space="preserve">国标要求：《医院安全防范要求》(GB/T31458-2026）</w:t>
            </w:r>
            <w:r>
              <w:rPr>
                <w:rFonts w:hint="eastAsia" w:ascii="宋体" w:hAnsi="宋体" w:eastAsia="宋体" w:cs="宋体"/>
                <w:color w:val="auto"/>
                <w:sz w:val="24"/>
                <w:szCs w:val="24"/>
                <w:highlight w:val="none"/>
                <w:lang w:bidi="ar"/>
              </w:rPr>
              <w:t xml:space="preserve">：</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6.3医院主要出入口应设置保卫执勤岗位。</w:t>
            </w:r>
            <w:r/>
          </w:p>
        </w:tc>
      </w:tr>
      <w:tr>
        <w:trPr>
          <w:trHeight w:val="1469"/>
        </w:trPr>
        <w:tc>
          <w:tcPr>
            <w:gridSpan w:val="2"/>
            <w:shd w:val="clear" w:color="auto" w:fill="auto"/>
            <w:tcBorders>
              <w:top w:val="single" w:color="000000" w:sz="4" w:space="0"/>
              <w:left w:val="single" w:color="000000" w:sz="8" w:space="0"/>
              <w:bottom w:val="single" w:color="000000" w:sz="4" w:space="0"/>
              <w:right w:val="single" w:color="000000" w:sz="4" w:space="0"/>
            </w:tcBorders>
            <w:tcW w:w="228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备注</w:t>
            </w:r>
            <w:r/>
          </w:p>
        </w:tc>
        <w:tc>
          <w:tcPr>
            <w:gridSpan w:val="5"/>
            <w:shd w:val="clear" w:color="auto" w:fill="ffffff"/>
            <w:tcBorders>
              <w:top w:val="single" w:color="000000" w:sz="4" w:space="0"/>
              <w:left w:val="single" w:color="000000" w:sz="4" w:space="0"/>
              <w:bottom w:val="single" w:color="000000" w:sz="4" w:space="0"/>
              <w:right w:val="single" w:color="000000" w:sz="8" w:space="0"/>
            </w:tcBorders>
            <w:tcW w:w="7848" w:type="dxa"/>
            <w:vAlign w:val="center"/>
            <w:textDirection w:val="lrTb"/>
            <w:noWrap w:val="false"/>
          </w:tcPr>
          <w:p>
            <w:pPr>
              <w:jc w:val="center"/>
              <w:widowControl/>
              <w:rPr>
                <w:rStyle w:val="1112"/>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通灌</w:t>
            </w:r>
            <w:r>
              <w:rPr>
                <w:rFonts w:hint="eastAsia" w:ascii="宋体" w:hAnsi="宋体" w:eastAsia="宋体" w:cs="宋体"/>
                <w:color w:val="auto"/>
                <w:sz w:val="24"/>
                <w:szCs w:val="24"/>
                <w:highlight w:val="none"/>
                <w:lang w:bidi="ar"/>
              </w:rPr>
              <w:t xml:space="preserve">院区设置14个岗位，共需要保安员66人</w:t>
            </w:r>
            <w:r>
              <w:rPr>
                <w:rFonts w:hint="eastAsia" w:ascii="宋体" w:hAnsi="宋体" w:eastAsia="宋体" w:cs="宋体"/>
                <w:color w:val="auto"/>
                <w:sz w:val="24"/>
                <w:szCs w:val="24"/>
                <w:highlight w:val="none"/>
                <w:lang w:eastAsia="zh-CN" w:bidi="ar"/>
              </w:rPr>
              <w:t xml:space="preserve">。</w:t>
            </w:r>
            <w:r/>
          </w:p>
        </w:tc>
      </w:tr>
    </w:tbl>
    <w:p>
      <w:pPr>
        <w:ind w:left="-359" w:right="-512" w:firstLine="482"/>
        <w:spacing w:line="460" w:lineRule="exact"/>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r>
      <w:r/>
    </w:p>
    <w:p>
      <w:pPr>
        <w:ind w:left="-359" w:right="-512" w:firstLine="482"/>
        <w:spacing w:line="460" w:lineRule="exact"/>
        <w:rPr>
          <w:rFonts w:hint="eastAsia" w:ascii="宋体" w:hAnsi="宋体" w:cs="Times New Roman"/>
          <w:color w:val="auto"/>
          <w:sz w:val="24"/>
          <w:szCs w:val="24"/>
          <w:highlight w:val="none"/>
        </w:rPr>
        <w:outlineLvl w:val="1"/>
      </w:pPr>
      <w:r>
        <w:rPr>
          <w:rFonts w:hint="eastAsia" w:ascii="宋体" w:hAnsi="宋体" w:cs="Times New Roman"/>
          <w:b/>
          <w:bCs/>
          <w:color w:val="auto"/>
          <w:sz w:val="24"/>
          <w:szCs w:val="24"/>
          <w:highlight w:val="none"/>
        </w:rPr>
        <w:t xml:space="preserve">注：</w:t>
      </w:r>
      <w:r>
        <w:rPr>
          <w:rFonts w:hint="eastAsia" w:ascii="宋体" w:hAnsi="宋体" w:cs="Times New Roman"/>
          <w:color w:val="auto"/>
          <w:sz w:val="24"/>
          <w:szCs w:val="24"/>
          <w:highlight w:val="none"/>
        </w:rPr>
        <w:t xml:space="preserve">1.以上岗位为常规岗位，配置人员数量为最低要求。若在合同履行期间因医院发展</w:t>
      </w:r>
      <w:r>
        <w:rPr>
          <w:rFonts w:hint="eastAsia" w:ascii="宋体" w:hAnsi="宋体" w:cs="Times New Roman"/>
          <w:color w:val="auto"/>
          <w:sz w:val="24"/>
          <w:szCs w:val="24"/>
          <w:highlight w:val="none"/>
          <w:lang w:eastAsia="zh-CN"/>
        </w:rPr>
        <w:t xml:space="preserve">或其他原因</w:t>
      </w:r>
      <w:r>
        <w:rPr>
          <w:rFonts w:hint="eastAsia" w:ascii="宋体" w:hAnsi="宋体" w:cs="Times New Roman"/>
          <w:color w:val="auto"/>
          <w:sz w:val="24"/>
          <w:szCs w:val="24"/>
          <w:highlight w:val="none"/>
        </w:rPr>
        <w:t xml:space="preserve">需要增加的岗位时，按照岗位报价的工资予以计算增加；</w:t>
      </w:r>
      <w:r/>
    </w:p>
    <w:p>
      <w:pPr>
        <w:ind w:left="-359" w:right="-512" w:firstLine="480"/>
        <w:spacing w:line="460" w:lineRule="exact"/>
        <w:rPr>
          <w:rFonts w:hint="eastAsia" w:ascii="宋体" w:hAnsi="宋体" w:eastAsia="宋体" w:cs="Times New Roman"/>
          <w:b/>
          <w:bCs/>
          <w:color w:val="auto"/>
          <w:sz w:val="24"/>
          <w:szCs w:val="24"/>
          <w:highlight w:val="none"/>
          <w:lang w:eastAsia="zh-CN"/>
        </w:rPr>
        <w:outlineLvl w:val="1"/>
      </w:pPr>
      <w:r>
        <w:rPr>
          <w:rFonts w:hint="eastAsia" w:ascii="宋体" w:hAnsi="宋体" w:cs="Times New Roman"/>
          <w:color w:val="auto"/>
          <w:sz w:val="24"/>
          <w:szCs w:val="24"/>
          <w:highlight w:val="none"/>
        </w:rPr>
        <w:t xml:space="preserve">2.合理调整人员劳动时长，依法缴纳社保，确保人员工作时长满足法定要求。因上述问题产生的劳动纠纷由中标人承担</w:t>
      </w:r>
      <w:r>
        <w:rPr>
          <w:rFonts w:hint="eastAsia" w:ascii="宋体" w:hAnsi="宋体" w:cs="Times New Roman"/>
          <w:color w:val="auto"/>
          <w:sz w:val="24"/>
          <w:szCs w:val="24"/>
          <w:highlight w:val="none"/>
          <w:lang w:eastAsia="zh-CN"/>
        </w:rPr>
        <w:t xml:space="preserve">。</w:t>
      </w:r>
      <w:r/>
    </w:p>
    <w:p>
      <w:pPr>
        <w:ind w:left="-359" w:right="-512" w:firstLine="482"/>
        <w:spacing w:line="460" w:lineRule="exact"/>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四、安防物资配备要求</w:t>
      </w:r>
      <w:r/>
    </w:p>
    <w:p>
      <w:pPr>
        <w:ind w:left="-359" w:right="-512" w:firstLine="480"/>
        <w:spacing w:line="460" w:lineRule="exact"/>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1.为保安项目部配备电脑、打印机、扫描仪、打印纸、签字笔、文件盒、文件夹、办公耗材等必要办公设备。</w:t>
      </w:r>
      <w:r/>
    </w:p>
    <w:p>
      <w:pPr>
        <w:spacing w:line="560" w:lineRule="exact"/>
        <w:rPr>
          <w:rFonts w:hint="eastAsia"/>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.提供以下安防物资供保安员开展执勤任务使用。</w:t>
      </w:r>
      <w:r/>
    </w:p>
    <w:p>
      <w:pPr>
        <w:pStyle w:val="836"/>
        <w:jc w:val="center"/>
        <w:rPr>
          <w:rFonts w:hint="eastAsia"/>
          <w:color w:val="auto"/>
          <w:sz w:val="24"/>
          <w:szCs w:val="24"/>
          <w:highlight w:val="none"/>
        </w:rPr>
      </w:pPr>
      <w:r>
        <w:rPr>
          <w:rFonts w:hint="eastAsia"/>
          <w:color w:val="auto"/>
          <w:sz w:val="24"/>
          <w:szCs w:val="24"/>
          <w:highlight w:val="none"/>
          <w:lang w:val="en-US" w:eastAsia="zh-CN"/>
        </w:rPr>
        <w:t xml:space="preserve">通灌</w:t>
      </w:r>
      <w:r>
        <w:rPr>
          <w:rFonts w:hint="eastAsia"/>
          <w:color w:val="auto"/>
          <w:sz w:val="24"/>
          <w:szCs w:val="24"/>
          <w:highlight w:val="none"/>
        </w:rPr>
        <w:t xml:space="preserve">院区</w:t>
      </w:r>
      <w:r/>
    </w:p>
    <w:tbl>
      <w:tblPr>
        <w:tblStyle w:val="783"/>
        <w:tblW w:w="994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2"/>
        <w:gridCol w:w="859"/>
        <w:gridCol w:w="859"/>
        <w:gridCol w:w="5342"/>
      </w:tblGrid>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安防物资名称</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51"/>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4G网络对讲机（含电池）</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44</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部</w:t>
            </w:r>
            <w:r/>
          </w:p>
        </w:tc>
        <w:tc>
          <w:tcPr>
            <w:tcW w:w="5342" w:type="dxa"/>
            <w:vAlign w:val="center"/>
            <w:textDirection w:val="lrTb"/>
            <w:noWrap w:val="false"/>
          </w:tcPr>
          <w:p>
            <w:pPr>
              <w:ind w:right="-512"/>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网络、流量型对讲机（与医院无线对讲系统匹配）</w:t>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对讲机备用电池</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块</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手持PDA巡查终端</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部</w:t>
            </w:r>
            <w:r/>
          </w:p>
        </w:tc>
        <w:tc>
          <w:tcPr>
            <w:tcW w:w="5342" w:type="dxa"/>
            <w:vAlign w:val="center"/>
            <w:vMerge w:val="restart"/>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1.用于江苏省社会单位消防安全管理系统中</w:t>
            </w:r>
            <w:r/>
          </w:p>
          <w:p>
            <w:pPr>
              <w:pStyle w:val="836"/>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消防、治安重点部位的日常巡查扫描手持PDA。</w:t>
            </w:r>
            <w:r/>
          </w:p>
          <w:p>
            <w:pPr>
              <w:pStyle w:val="836"/>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2.满足合同期内巡查所需的流量。</w:t>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流量卡</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张</w:t>
            </w:r>
            <w:r/>
          </w:p>
        </w:tc>
        <w:tc>
          <w:tcPr>
            <w:tcW w:w="5342" w:type="dxa"/>
            <w:vAlign w:val="center"/>
            <w:vMerge w:val="continue"/>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1489"/>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保安工作服</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66</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5342" w:type="dxa"/>
            <w:vAlign w:val="center"/>
            <w:textDirection w:val="lrTb"/>
            <w:noWrap w:val="false"/>
          </w:tcPr>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1.每套服装包含夏季、春秋季、冬季制服、执勤鞋各</w:t>
            </w:r>
            <w:r/>
          </w:p>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一件。</w:t>
            </w:r>
            <w:r/>
          </w:p>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2.消防控制室、微型消防站、特勤队队员、</w:t>
            </w:r>
            <w:r/>
          </w:p>
          <w:p>
            <w:pPr>
              <w:ind w:right="-512"/>
              <w:spacing w:line="340" w:lineRule="exact"/>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安检人员工作服应区别于门卫等非核心岗位制服。</w:t>
            </w:r>
            <w:r/>
          </w:p>
          <w:p>
            <w:pPr>
              <w:pStyle w:val="836"/>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3.每</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年更换</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1套服装。</w:t>
            </w:r>
            <w:r/>
          </w:p>
        </w:tc>
      </w:tr>
      <w:tr>
        <w:trPr>
          <w:trHeight w:val="478"/>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执勤记录仪</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44</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部</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具备录音、录像、存储功能</w:t>
            </w:r>
            <w:r/>
          </w:p>
        </w:tc>
      </w:tr>
      <w:tr>
        <w:trPr>
          <w:trHeight w:val="468"/>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强光手电筒</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28"/>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橡胶棍</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66</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28"/>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防刺手套</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44</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副</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46"/>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防爆头盔</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46"/>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防爆盾牌</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个</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46"/>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辣椒水</w:t>
            </w:r>
            <w:r/>
          </w:p>
        </w:tc>
        <w:tc>
          <w:tcPr>
            <w:tcW w:w="859" w:type="dxa"/>
            <w:vAlign w:val="center"/>
            <w:textDirection w:val="lrTb"/>
            <w:noWrap w:val="false"/>
          </w:tcPr>
          <w:p>
            <w:pPr>
              <w:jc w:val="center"/>
              <w:spacing w:line="340" w:lineRule="exact"/>
              <w:tabs>
                <w:tab w:val="left" w:pos="1260" w:leader="none"/>
                <w:tab w:val="left" w:pos="5820"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66</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瓶</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478"/>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违停汽车移车器</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轮胎式</w:t>
            </w:r>
            <w:r/>
          </w:p>
        </w:tc>
      </w:tr>
      <w:tr>
        <w:trPr>
          <w:trHeight w:val="461"/>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2轮电动巡逻车</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两轮电动车违停清理车</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清理违规停放的电动车</w:t>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三轮车</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灭火器材、锥形桶、水马、闸机等物资转运</w:t>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新能源通勤汽车</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辆</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巡逻无人机</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架</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具备巡逻拍照、喊话功能</w:t>
            </w:r>
            <w:r/>
          </w:p>
        </w:tc>
      </w:tr>
      <w:tr>
        <w:trPr>
          <w:trHeight w:val="572"/>
        </w:trPr>
        <w:tc>
          <w:tcPr>
            <w:tcW w:w="2882"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反光背心</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859" w:type="dxa"/>
            <w:vAlign w:val="center"/>
            <w:textDirection w:val="lrTb"/>
            <w:noWrap w:val="false"/>
          </w:tcPr>
          <w:p>
            <w:pPr>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件</w:t>
            </w:r>
            <w:r/>
          </w:p>
        </w:tc>
        <w:tc>
          <w:tcPr>
            <w:tcW w:w="5342" w:type="dxa"/>
            <w:vAlign w:val="center"/>
            <w:textDirection w:val="lrTb"/>
            <w:noWrap w:val="false"/>
          </w:tcPr>
          <w:p>
            <w:pPr>
              <w:ind w:right="-512"/>
              <w:jc w:val="center"/>
              <w:spacing w:line="340" w:lineRule="exact"/>
              <w:tabs>
                <w:tab w:val="left" w:pos="1260" w:leader="none"/>
                <w:tab w:val="left" w:pos="58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left="-359" w:right="-512" w:firstLine="480"/>
        <w:spacing w:line="460" w:lineRule="exact"/>
        <w:rPr>
          <w:rFonts w:hint="default" w:ascii="宋体" w:hAnsi="宋体" w:eastAsia="宋体" w:cs="Times New Roman"/>
          <w:color w:val="auto"/>
          <w:sz w:val="24"/>
          <w:szCs w:val="24"/>
          <w:highlight w:val="none"/>
          <w:lang w:val="en-US" w:eastAsia="zh-CN"/>
        </w:rPr>
        <w:outlineLvl w:val="1"/>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保安员服装每年换新≥1次</w:t>
      </w:r>
      <w:r>
        <w:rPr>
          <w:rFonts w:hint="eastAsia" w:ascii="宋体" w:hAnsi="宋体" w:cs="Times New Roman"/>
          <w:color w:val="auto"/>
          <w:sz w:val="24"/>
          <w:szCs w:val="24"/>
          <w:highlight w:val="none"/>
          <w:lang w:eastAsia="zh-CN"/>
        </w:rPr>
        <w:t xml:space="preserve">。保安员服装样式、</w:t>
      </w:r>
      <w:r>
        <w:rPr>
          <w:rFonts w:hint="eastAsia" w:ascii="宋体" w:hAnsi="宋体" w:cs="Times New Roman"/>
          <w:color w:val="auto"/>
          <w:sz w:val="24"/>
          <w:szCs w:val="24"/>
          <w:highlight w:val="none"/>
          <w:lang w:val="en-US" w:eastAsia="zh-CN"/>
        </w:rPr>
        <w:t xml:space="preserve">数量等要求如下：</w:t>
      </w:r>
      <w:r/>
    </w:p>
    <w:tbl>
      <w:tblPr>
        <w:tblStyle w:val="783"/>
        <w:tblW w:w="103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4"/>
        <w:gridCol w:w="3330"/>
        <w:gridCol w:w="2057"/>
        <w:gridCol w:w="1150"/>
        <w:gridCol w:w="2228"/>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面料参数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数量（套/人）</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348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网格夏季短袖套装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158115</wp:posOffset>
                      </wp:positionH>
                      <wp:positionV relativeFrom="paragraph">
                        <wp:posOffset>88265</wp:posOffset>
                      </wp:positionV>
                      <wp:extent cx="1316355" cy="1970405"/>
                      <wp:effectExtent l="0" t="0" r="17145" b="10795"/>
                      <wp:wrapNone/>
                      <wp:docPr id="24" name="图片_1"/>
                      <wp:cNvGraphicFramePr/>
                      <a:graphic xmlns:a="http://schemas.openxmlformats.org/drawingml/2006/main">
                        <a:graphicData uri="http://schemas.openxmlformats.org/drawingml/2006/picture">
                          <pic:pic xmlns:pic="http://schemas.openxmlformats.org/drawingml/2006/picture">
                            <pic:nvPicPr>
                              <pic:cNvPr id="24" name="图片_1"/>
                              <pic:cNvPicPr/>
                              <pic:nvPr/>
                            </pic:nvPicPr>
                            <pic:blipFill>
                              <a:blip r:embed="rId19"/>
                              <a:stretch/>
                            </pic:blipFill>
                            <pic:spPr bwMode="auto">
                              <a:xfrm>
                                <a:off x="0" y="0"/>
                                <a:ext cx="1316355" cy="1970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12.4pt;mso-position-horizontal:absolute;mso-position-vertical-relative:text;margin-top:6.9pt;mso-position-vertical:absolute;width:103.6pt;height:155.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含前胸后背魔术贴标志，含宽腰带</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衣服背后文字：市一院内保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胸前标识（圆标）：内保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臂章：控烟劝导员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肩章：硬质肩章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362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网格夏季长袖套装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104775</wp:posOffset>
                      </wp:positionH>
                      <wp:positionV relativeFrom="paragraph">
                        <wp:posOffset>75565</wp:posOffset>
                      </wp:positionV>
                      <wp:extent cx="1413510" cy="2146935"/>
                      <wp:effectExtent l="0" t="0" r="15240" b="5715"/>
                      <wp:wrapNone/>
                      <wp:docPr id="25" name="图片_5"/>
                      <wp:cNvGraphicFramePr/>
                      <a:graphic xmlns:a="http://schemas.openxmlformats.org/drawingml/2006/main">
                        <a:graphicData uri="http://schemas.openxmlformats.org/drawingml/2006/picture">
                          <pic:pic xmlns:pic="http://schemas.openxmlformats.org/drawingml/2006/picture">
                            <pic:nvPicPr>
                              <pic:cNvPr id="25" name="图片_5"/>
                              <pic:cNvPicPr/>
                              <pic:nvPr/>
                            </pic:nvPicPr>
                            <pic:blipFill>
                              <a:blip r:embed="rId20"/>
                              <a:stretch/>
                            </pic:blipFill>
                            <pic:spPr bwMode="auto">
                              <a:xfrm>
                                <a:off x="0" y="0"/>
                                <a:ext cx="1413510" cy="214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8.2pt;mso-position-horizontal:absolute;mso-position-vertical-relative:text;margin-top:5.9pt;mso-position-vertical:absolute;width:111.3pt;height:169.0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含前胸后背魔术贴标志，含宽腰带</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衣服背后文字：市一院内保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胸前标识（圆标）：内保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臂章：控烟劝导员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肩章：硬质肩章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45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网格冬季上衣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149225</wp:posOffset>
                      </wp:positionH>
                      <wp:positionV relativeFrom="paragraph">
                        <wp:posOffset>80010</wp:posOffset>
                      </wp:positionV>
                      <wp:extent cx="1686560" cy="2726690"/>
                      <wp:effectExtent l="0" t="0" r="8890" b="16510"/>
                      <wp:wrapNone/>
                      <wp:docPr id="26" name="图片_4"/>
                      <wp:cNvGraphicFramePr/>
                      <a:graphic xmlns:a="http://schemas.openxmlformats.org/drawingml/2006/main">
                        <a:graphicData uri="http://schemas.openxmlformats.org/drawingml/2006/picture">
                          <pic:pic xmlns:pic="http://schemas.openxmlformats.org/drawingml/2006/picture">
                            <pic:nvPicPr>
                              <pic:cNvPr id="26" name="图片_4"/>
                              <pic:cNvPicPr/>
                              <pic:nvPr/>
                            </pic:nvPicPr>
                            <pic:blipFill>
                              <a:blip r:embed="rId21"/>
                              <a:stretch/>
                            </pic:blipFill>
                            <pic:spPr bwMode="auto">
                              <a:xfrm>
                                <a:off x="0" y="0"/>
                                <a:ext cx="1686560" cy="2726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11.8pt;mso-position-horizontal:absolute;mso-position-vertical-relative:text;margin-top:6.3pt;mso-position-vertical:absolute;width:132.8pt;height:214.7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衣服背后文字：市一院内保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胸前标识（圆标）：内保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臂章：控烟劝导员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肩章：硬质肩章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390525</wp:posOffset>
                      </wp:positionH>
                      <wp:positionV relativeFrom="paragraph">
                        <wp:posOffset>47625</wp:posOffset>
                      </wp:positionV>
                      <wp:extent cx="895350" cy="901700"/>
                      <wp:effectExtent l="0" t="0" r="0" b="12700"/>
                      <wp:wrapNone/>
                      <wp:docPr id="27" name="图片_13"/>
                      <wp:cNvGraphicFramePr/>
                      <a:graphic xmlns:a="http://schemas.openxmlformats.org/drawingml/2006/main">
                        <a:graphicData uri="http://schemas.openxmlformats.org/drawingml/2006/picture">
                          <pic:pic xmlns:pic="http://schemas.openxmlformats.org/drawingml/2006/picture">
                            <pic:nvPicPr>
                              <pic:cNvPr id="27" name="图片_13"/>
                              <pic:cNvPicPr/>
                              <pic:nvPr/>
                            </pic:nvPicPr>
                            <pic:blipFill>
                              <a:blip r:embed="rId22"/>
                              <a:stretch/>
                            </pic:blipFill>
                            <pic:spPr bwMode="auto">
                              <a:xfrm>
                                <a:off x="0" y="0"/>
                                <a:ext cx="89535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30.8pt;mso-position-horizontal:absolute;mso-position-vertical-relative:text;margin-top:3.8pt;mso-position-vertical:absolute;width:70.5pt;height:71.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面料：防撕裂65涤纶/35棉</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 颜色：藏青</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262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老标装备腰带</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59690</wp:posOffset>
                      </wp:positionV>
                      <wp:extent cx="1544955" cy="1546860"/>
                      <wp:effectExtent l="0" t="0" r="17145" b="15240"/>
                      <wp:wrapNone/>
                      <wp:docPr id="28" name="图片_3"/>
                      <wp:cNvGraphicFramePr/>
                      <a:graphic xmlns:a="http://schemas.openxmlformats.org/drawingml/2006/main">
                        <a:graphicData uri="http://schemas.openxmlformats.org/drawingml/2006/picture">
                          <pic:pic xmlns:pic="http://schemas.openxmlformats.org/drawingml/2006/picture">
                            <pic:nvPicPr>
                              <pic:cNvPr id="28" name="图片_3"/>
                              <pic:cNvPicPr/>
                              <pic:nvPr/>
                            </pic:nvPicPr>
                            <pic:blipFill>
                              <a:blip r:embed="rId23"/>
                              <a:stretch/>
                            </pic:blipFill>
                            <pic:spPr bwMode="auto">
                              <a:xfrm>
                                <a:off x="0" y="0"/>
                                <a:ext cx="1544955" cy="1546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8.8pt;mso-position-horizontal:absolute;mso-position-vertical-relative:text;margin-top:4.7pt;mso-position-vertical:absolute;width:121.6pt;height:121.8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喷雾包，甩棍包，手电包，工作包，对讲机包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腰带</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237490</wp:posOffset>
                      </wp:positionH>
                      <wp:positionV relativeFrom="paragraph">
                        <wp:posOffset>50800</wp:posOffset>
                      </wp:positionV>
                      <wp:extent cx="1390015" cy="1387475"/>
                      <wp:effectExtent l="0" t="0" r="635" b="3175"/>
                      <wp:wrapNone/>
                      <wp:docPr id="29" name="图片_18"/>
                      <wp:cNvGraphicFramePr/>
                      <a:graphic xmlns:a="http://schemas.openxmlformats.org/drawingml/2006/main">
                        <a:graphicData uri="http://schemas.openxmlformats.org/drawingml/2006/picture">
                          <pic:pic xmlns:pic="http://schemas.openxmlformats.org/drawingml/2006/picture">
                            <pic:nvPicPr>
                              <pic:cNvPr id="29" name="图片_18"/>
                              <pic:cNvPicPr/>
                              <pic:nvPr/>
                            </pic:nvPicPr>
                            <pic:blipFill>
                              <a:blip r:embed="rId24"/>
                              <a:stretch/>
                            </pic:blipFill>
                            <pic:spPr bwMode="auto">
                              <a:xfrm>
                                <a:off x="0" y="0"/>
                                <a:ext cx="1390015" cy="1387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18.7pt;mso-position-horizontal:absolute;mso-position-vertical-relative:text;margin-top:4.0pt;mso-position-vertical:absolute;width:109.4pt;height:109.2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特勤外腰带，宽度5cm,长度125cm</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普通保安员</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166370</wp:posOffset>
                      </wp:positionH>
                      <wp:positionV relativeFrom="paragraph">
                        <wp:posOffset>30480</wp:posOffset>
                      </wp:positionV>
                      <wp:extent cx="1456690" cy="1456055"/>
                      <wp:effectExtent l="0" t="0" r="10160" b="10795"/>
                      <wp:wrapNone/>
                      <wp:docPr id="30" name="图片_6"/>
                      <wp:cNvGraphicFramePr/>
                      <a:graphic xmlns:a="http://schemas.openxmlformats.org/drawingml/2006/main">
                        <a:graphicData uri="http://schemas.openxmlformats.org/drawingml/2006/picture">
                          <pic:pic xmlns:pic="http://schemas.openxmlformats.org/drawingml/2006/picture">
                            <pic:nvPicPr>
                              <pic:cNvPr id="30" name="图片_6"/>
                              <pic:cNvPicPr/>
                              <pic:nvPr/>
                            </pic:nvPicPr>
                            <pic:blipFill>
                              <a:blip r:embed="rId25"/>
                              <a:stretch/>
                            </pic:blipFill>
                            <pic:spPr bwMode="auto">
                              <a:xfrm>
                                <a:off x="0" y="0"/>
                                <a:ext cx="1456690" cy="1456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13.1pt;mso-position-horizontal:absolute;mso-position-vertical-relative:text;margin-top:2.4pt;mso-position-vertical:absolute;width:114.7pt;height:114.6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鞋面：加厚耐磨帆布 + PU超纤皮革拼接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鞋垫：EVA缓冲鞋垫，久站减震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 外底：加厚一体成型橡胶防滑大底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服装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46355</wp:posOffset>
                      </wp:positionH>
                      <wp:positionV relativeFrom="paragraph">
                        <wp:posOffset>111760</wp:posOffset>
                      </wp:positionV>
                      <wp:extent cx="1744980" cy="1423670"/>
                      <wp:effectExtent l="0" t="0" r="7620" b="5080"/>
                      <wp:wrapNone/>
                      <wp:docPr id="31" name="图片_21"/>
                      <wp:cNvGraphicFramePr/>
                      <a:graphic xmlns:a="http://schemas.openxmlformats.org/drawingml/2006/main">
                        <a:graphicData uri="http://schemas.openxmlformats.org/drawingml/2006/picture">
                          <pic:pic xmlns:pic="http://schemas.openxmlformats.org/drawingml/2006/picture">
                            <pic:nvPicPr>
                              <pic:cNvPr id="31" name="图片_21"/>
                              <pic:cNvPicPr/>
                              <pic:nvPr/>
                            </pic:nvPicPr>
                            <pic:blipFill>
                              <a:blip r:embed="rId26"/>
                              <a:stretch/>
                            </pic:blipFill>
                            <pic:spPr bwMode="auto">
                              <a:xfrm>
                                <a:off x="0" y="0"/>
                                <a:ext cx="1744980" cy="1423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3.6pt;mso-position-horizontal:absolute;mso-position-vertical-relative:text;margin-top:8.8pt;mso-position-vertical:absolute;width:137.4pt;height:112.1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面料：涤棉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功能：防静电</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胸前标识（圆标）：市一院应急救援+医院logo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方形臂章：控烟劝导员</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single"/>
              </w:rPr>
              <w:suppressLineNumbers w:val="0"/>
            </w:pPr>
            <w:r>
              <w:rPr>
                <w:rFonts w:hint="eastAsia" w:ascii="宋体" w:hAnsi="宋体" w:eastAsia="宋体" w:cs="宋体"/>
                <w:i w:val="0"/>
                <w:iCs w:val="0"/>
                <w:color w:val="auto"/>
                <w:sz w:val="22"/>
                <w:szCs w:val="22"/>
                <w:highlight w:val="none"/>
                <w:u w:val="singl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290830</wp:posOffset>
                      </wp:positionH>
                      <wp:positionV relativeFrom="paragraph">
                        <wp:posOffset>33020</wp:posOffset>
                      </wp:positionV>
                      <wp:extent cx="1057910" cy="1028700"/>
                      <wp:effectExtent l="0" t="0" r="8890" b="0"/>
                      <wp:wrapNone/>
                      <wp:docPr id="32" name="图片_8"/>
                      <wp:cNvGraphicFramePr/>
                      <a:graphic xmlns:a="http://schemas.openxmlformats.org/drawingml/2006/main">
                        <a:graphicData uri="http://schemas.openxmlformats.org/drawingml/2006/picture">
                          <pic:pic xmlns:pic="http://schemas.openxmlformats.org/drawingml/2006/picture">
                            <pic:nvPicPr>
                              <pic:cNvPr id="32" name="图片_8"/>
                              <pic:cNvPicPr/>
                              <pic:nvPr/>
                            </pic:nvPicPr>
                            <pic:blipFill>
                              <a:blip r:embed="rId27"/>
                              <a:stretch/>
                            </pic:blipFill>
                            <pic:spPr bwMode="auto">
                              <a:xfrm>
                                <a:off x="0" y="0"/>
                                <a:ext cx="105791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22.9pt;mso-position-horizontal:absolute;mso-position-vertical-relative:text;margin-top:2.6pt;mso-position-vertical:absolute;width:83.3pt;height:81.0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类别;平</w:t>
            </w:r>
            <w:r>
              <w:rPr>
                <w:rFonts w:hint="eastAsia" w:ascii="宋体" w:hAnsi="宋体" w:cs="宋体"/>
                <w:i w:val="0"/>
                <w:iCs w:val="0"/>
                <w:color w:val="auto"/>
                <w:sz w:val="22"/>
                <w:szCs w:val="22"/>
                <w:highlight w:val="none"/>
                <w:u w:val="none"/>
                <w:lang w:val="en-US" w:eastAsia="zh-CN" w:bidi="ar"/>
              </w:rPr>
              <w:t xml:space="preserve">顶</w:t>
            </w:r>
            <w:r>
              <w:rPr>
                <w:rFonts w:hint="eastAsia" w:ascii="宋体" w:hAnsi="宋体" w:eastAsia="宋体" w:cs="宋体"/>
                <w:i w:val="0"/>
                <w:iCs w:val="0"/>
                <w:color w:val="auto"/>
                <w:sz w:val="22"/>
                <w:szCs w:val="22"/>
                <w:highlight w:val="none"/>
                <w:u w:val="none"/>
                <w:lang w:val="en-US" w:eastAsia="zh-CN" w:bidi="ar"/>
              </w:rPr>
              <w:t xml:space="preserve">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w:t>
            </w:r>
            <w:r>
              <w:rPr>
                <w:rFonts w:hint="eastAsia" w:ascii="宋体" w:hAnsi="宋体" w:cs="宋体"/>
                <w:i w:val="0"/>
                <w:iCs w:val="0"/>
                <w:color w:val="auto"/>
                <w:sz w:val="22"/>
                <w:szCs w:val="22"/>
                <w:highlight w:val="none"/>
                <w:u w:val="none"/>
                <w:lang w:val="en-US" w:eastAsia="zh-CN" w:bidi="ar"/>
              </w:rPr>
              <w:t xml:space="preserve">码</w:t>
            </w:r>
            <w:r>
              <w:rPr>
                <w:rFonts w:hint="eastAsia" w:ascii="宋体" w:hAnsi="宋体" w:eastAsia="宋体" w:cs="宋体"/>
                <w:i w:val="0"/>
                <w:iCs w:val="0"/>
                <w:color w:val="auto"/>
                <w:sz w:val="22"/>
                <w:szCs w:val="22"/>
                <w:highlight w:val="none"/>
                <w:u w:val="none"/>
                <w:lang w:val="en-US" w:eastAsia="zh-CN" w:bidi="ar"/>
              </w:rPr>
              <w:t xml:space="preserve">：均码，可调节</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p>
        </w:tc>
      </w:tr>
      <w:tr>
        <w:trPr>
          <w:jc w:val="center"/>
          <w:trHeight w:val="274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新式装备背心</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74295</wp:posOffset>
                      </wp:positionH>
                      <wp:positionV relativeFrom="paragraph">
                        <wp:posOffset>77470</wp:posOffset>
                      </wp:positionV>
                      <wp:extent cx="1668780" cy="1524000"/>
                      <wp:effectExtent l="0" t="0" r="7620" b="0"/>
                      <wp:wrapNone/>
                      <wp:docPr id="33" name="图片_15"/>
                      <wp:cNvGraphicFramePr/>
                      <a:graphic xmlns:a="http://schemas.openxmlformats.org/drawingml/2006/main">
                        <a:graphicData uri="http://schemas.openxmlformats.org/drawingml/2006/picture">
                          <pic:pic xmlns:pic="http://schemas.openxmlformats.org/drawingml/2006/picture">
                            <pic:nvPicPr>
                              <pic:cNvPr id="33" name="图片_15"/>
                              <pic:cNvPicPr/>
                              <pic:nvPr/>
                            </pic:nvPicPr>
                            <pic:blipFill>
                              <a:blip r:embed="rId28"/>
                              <a:stretch/>
                            </pic:blipFill>
                            <pic:spPr bwMode="auto">
                              <a:xfrm>
                                <a:off x="0" y="0"/>
                                <a:ext cx="1668780" cy="1524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5.8pt;mso-position-horizontal:absolute;mso-position-vertical-relative:text;margin-top:6.1pt;mso-position-vertical:absolute;width:131.4pt;height:120.0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含催泪 甩棍，手电 手k套 对讲机，执法记录套，公文包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（logo定制）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文字改为：应急处突</w:t>
            </w:r>
            <w:r/>
          </w:p>
        </w:tc>
      </w:tr>
      <w:tr>
        <w:trPr>
          <w:jc w:val="center"/>
          <w:trHeight w:val="274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机动队</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179070</wp:posOffset>
                      </wp:positionH>
                      <wp:positionV relativeFrom="paragraph">
                        <wp:posOffset>5080</wp:posOffset>
                      </wp:positionV>
                      <wp:extent cx="1560195" cy="1562735"/>
                      <wp:effectExtent l="0" t="0" r="1905" b="18415"/>
                      <wp:wrapNone/>
                      <wp:docPr id="34" name="图片_7"/>
                      <wp:cNvGraphicFramePr/>
                      <a:graphic xmlns:a="http://schemas.openxmlformats.org/drawingml/2006/main">
                        <a:graphicData uri="http://schemas.openxmlformats.org/drawingml/2006/picture">
                          <pic:pic xmlns:pic="http://schemas.openxmlformats.org/drawingml/2006/picture">
                            <pic:nvPicPr>
                              <pic:cNvPr id="34" name="图片_7"/>
                              <pic:cNvPicPr/>
                              <pic:nvPr/>
                            </pic:nvPicPr>
                            <pic:blipFill>
                              <a:blip r:embed="rId29"/>
                              <a:stretch/>
                            </pic:blipFill>
                            <pic:spPr bwMode="auto">
                              <a:xfrm>
                                <a:off x="0" y="0"/>
                                <a:ext cx="1560195" cy="156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14.1pt;mso-position-horizontal:absolute;mso-position-vertical-relative:text;margin-top:0.4pt;mso-position-vertical:absolute;width:122.8pt;height:123.0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鞋面：加厚耐磨帆布 + PU超纤皮革拼接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鞋头PU加固防磕碰，靴筒帆布兼顾透气性；靴侧印有「安保 SECURITY」标识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内里：棉质薄衬（四季款，不加绒；另有冬季加绒版本可选）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鞋垫：EVA缓冲鞋垫，久站减震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外底：加厚一体成型橡胶防滑大底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深纹路防滑齿，耐磨抗造，具备防滑、减震功能；无钢头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6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消控室</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短袖套装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333375</wp:posOffset>
                      </wp:positionH>
                      <wp:positionV relativeFrom="paragraph">
                        <wp:posOffset>43815</wp:posOffset>
                      </wp:positionV>
                      <wp:extent cx="1256665" cy="1689735"/>
                      <wp:effectExtent l="0" t="0" r="635" b="5715"/>
                      <wp:wrapNone/>
                      <wp:docPr id="35" name="图片_10"/>
                      <wp:cNvGraphicFramePr/>
                      <a:graphic xmlns:a="http://schemas.openxmlformats.org/drawingml/2006/main">
                        <a:graphicData uri="http://schemas.openxmlformats.org/drawingml/2006/picture">
                          <pic:pic xmlns:pic="http://schemas.openxmlformats.org/drawingml/2006/picture">
                            <pic:nvPicPr>
                              <pic:cNvPr id="35" name="图片_10"/>
                              <pic:cNvPicPr/>
                              <pic:nvPr/>
                            </pic:nvPicPr>
                            <pic:blipFill>
                              <a:blip r:embed="rId30"/>
                              <a:stretch/>
                            </pic:blipFill>
                            <pic:spPr bwMode="auto">
                              <a:xfrm>
                                <a:off x="0" y="0"/>
                                <a:ext cx="1256664" cy="168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26.2pt;mso-position-horizontal:absolute;mso-position-vertical-relative:text;margin-top:3.4pt;mso-position-vertical:absolute;width:98.9pt;height:133.0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冰凉抗皱天丝面料</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臂章：消控室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圆形胸标：消控室</w:t>
            </w:r>
            <w:r/>
          </w:p>
        </w:tc>
      </w:tr>
      <w:tr>
        <w:trPr>
          <w:jc w:val="center"/>
          <w:trHeight w:val="226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消控室</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春秋长袖套装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32385</wp:posOffset>
                      </wp:positionV>
                      <wp:extent cx="911860" cy="1368425"/>
                      <wp:effectExtent l="0" t="0" r="2540" b="3175"/>
                      <wp:wrapNone/>
                      <wp:docPr id="36" name="图片_11"/>
                      <wp:cNvGraphicFramePr/>
                      <a:graphic xmlns:a="http://schemas.openxmlformats.org/drawingml/2006/main">
                        <a:graphicData uri="http://schemas.openxmlformats.org/drawingml/2006/picture">
                          <pic:pic xmlns:pic="http://schemas.openxmlformats.org/drawingml/2006/picture">
                            <pic:nvPicPr>
                              <pic:cNvPr id="36" name="图片_11"/>
                              <pic:cNvPicPr/>
                              <pic:nvPr/>
                            </pic:nvPicPr>
                            <pic:blipFill>
                              <a:blip r:embed="rId31"/>
                              <a:stretch/>
                            </pic:blipFill>
                            <pic:spPr bwMode="auto">
                              <a:xfrm>
                                <a:off x="0" y="0"/>
                                <a:ext cx="911860" cy="1368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27.0pt;mso-position-horizontal:absolute;mso-position-vertical-relative:text;margin-top:2.5pt;mso-position-vertical:absolute;width:71.8pt;height:107.8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70%羊毛外布，防静电涤丝绸里布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臂章：消控室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圆形胸标：消控室</w:t>
            </w:r>
            <w:r/>
          </w:p>
        </w:tc>
      </w:tr>
      <w:tr>
        <w:trPr>
          <w:jc w:val="center"/>
          <w:trHeight w:val="246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消控室</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冬季大衣</w:t>
            </w:r>
            <w:r/>
          </w:p>
        </w:tc>
        <w:tc>
          <w:tcPr>
            <w:shd w:val="clear" w:color="auto" w:fill="auto"/>
            <w:tcBorders>
              <w:top w:val="single" w:color="000000" w:sz="4" w:space="0"/>
              <w:left w:val="single" w:color="000000" w:sz="4" w:space="0"/>
              <w:bottom w:val="none" w:color="000000" w:sz="4" w:space="0"/>
              <w:right w:val="single" w:color="000000" w:sz="4" w:space="0"/>
            </w:tcBorders>
            <w:tcW w:w="3330"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281940</wp:posOffset>
                      </wp:positionH>
                      <wp:positionV relativeFrom="paragraph">
                        <wp:posOffset>3175</wp:posOffset>
                      </wp:positionV>
                      <wp:extent cx="1223010" cy="1508125"/>
                      <wp:effectExtent l="0" t="0" r="15240" b="15875"/>
                      <wp:wrapNone/>
                      <wp:docPr id="37" name="图片_12"/>
                      <wp:cNvGraphicFramePr/>
                      <a:graphic xmlns:a="http://schemas.openxmlformats.org/drawingml/2006/main">
                        <a:graphicData uri="http://schemas.openxmlformats.org/drawingml/2006/picture">
                          <pic:pic xmlns:pic="http://schemas.openxmlformats.org/drawingml/2006/picture">
                            <pic:nvPicPr>
                              <pic:cNvPr id="37" name="图片_12"/>
                              <pic:cNvPicPr/>
                              <pic:nvPr/>
                            </pic:nvPicPr>
                            <pic:blipFill>
                              <a:blip r:embed="rId32"/>
                              <a:stretch/>
                            </pic:blipFill>
                            <pic:spPr bwMode="auto">
                              <a:xfrm>
                                <a:off x="0" y="0"/>
                                <a:ext cx="1223009" cy="1508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22.2pt;mso-position-horizontal:absolute;mso-position-vertical-relative:text;margin-top:0.2pt;mso-position-vertical:absolute;width:96.3pt;height:118.8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面料为加厚防静电涤丝绸</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帽徽：连云港市一医院logo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臂章：消控室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圆形胸标：消控室</w:t>
            </w:r>
            <w:r/>
          </w:p>
        </w:tc>
      </w:tr>
      <w:tr>
        <w:trPr>
          <w:jc w:val="center"/>
          <w:trHeight w:val="260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院区周边交通秩序维护岗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378460</wp:posOffset>
                      </wp:positionH>
                      <wp:positionV relativeFrom="paragraph">
                        <wp:posOffset>26670</wp:posOffset>
                      </wp:positionV>
                      <wp:extent cx="974725" cy="1437005"/>
                      <wp:effectExtent l="0" t="0" r="15875" b="10795"/>
                      <wp:wrapNone/>
                      <wp:docPr id="38" name="图片_9"/>
                      <wp:cNvGraphicFramePr/>
                      <a:graphic xmlns:a="http://schemas.openxmlformats.org/drawingml/2006/main">
                        <a:graphicData uri="http://schemas.openxmlformats.org/drawingml/2006/picture">
                          <pic:pic xmlns:pic="http://schemas.openxmlformats.org/drawingml/2006/picture">
                            <pic:nvPicPr>
                              <pic:cNvPr id="38" name="图片_9"/>
                              <pic:cNvPicPr/>
                              <pic:nvPr/>
                            </pic:nvPicPr>
                            <pic:blipFill>
                              <a:blip r:embed="rId33"/>
                              <a:stretch/>
                            </pic:blipFill>
                            <pic:spPr bwMode="auto">
                              <a:xfrm>
                                <a:off x="0" y="0"/>
                                <a:ext cx="974725" cy="1437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29.8pt;mso-position-horizontal:absolute;mso-position-vertical-relative:text;margin-top:2.1pt;mso-position-vertical:absolute;width:76.8pt;height:113.1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8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院区周边交通秩序维护岗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527050</wp:posOffset>
                      </wp:positionH>
                      <wp:positionV relativeFrom="paragraph">
                        <wp:posOffset>17145</wp:posOffset>
                      </wp:positionV>
                      <wp:extent cx="933450" cy="1455420"/>
                      <wp:effectExtent l="0" t="0" r="0" b="11430"/>
                      <wp:wrapNone/>
                      <wp:docPr id="39" name="图片_14"/>
                      <wp:cNvGraphicFramePr/>
                      <a:graphic xmlns:a="http://schemas.openxmlformats.org/drawingml/2006/main">
                        <a:graphicData uri="http://schemas.openxmlformats.org/drawingml/2006/picture">
                          <pic:pic xmlns:pic="http://schemas.openxmlformats.org/drawingml/2006/picture">
                            <pic:nvPicPr>
                              <pic:cNvPr id="39" name="图片_14"/>
                              <pic:cNvPicPr/>
                              <pic:nvPr/>
                            </pic:nvPicPr>
                            <pic:blipFill>
                              <a:blip r:embed="rId34"/>
                              <a:stretch/>
                            </pic:blipFill>
                            <pic:spPr bwMode="auto">
                              <a:xfrm>
                                <a:off x="0" y="0"/>
                                <a:ext cx="933450" cy="1455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41.5pt;mso-position-horizontal:absolute;mso-position-vertical-relative:text;margin-top:1.3pt;mso-position-vertical:absolute;width:73.5pt;height:114.6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8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院区周边交通秩序维护岗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358775</wp:posOffset>
                      </wp:positionH>
                      <wp:positionV relativeFrom="paragraph">
                        <wp:posOffset>53975</wp:posOffset>
                      </wp:positionV>
                      <wp:extent cx="933450" cy="1424305"/>
                      <wp:effectExtent l="0" t="0" r="0" b="4445"/>
                      <wp:wrapNone/>
                      <wp:docPr id="40" name="图片_16"/>
                      <wp:cNvGraphicFramePr/>
                      <a:graphic xmlns:a="http://schemas.openxmlformats.org/drawingml/2006/main">
                        <a:graphicData uri="http://schemas.openxmlformats.org/drawingml/2006/picture">
                          <pic:pic xmlns:pic="http://schemas.openxmlformats.org/drawingml/2006/picture">
                            <pic:nvPicPr>
                              <pic:cNvPr id="40" name="图片_16"/>
                              <pic:cNvPicPr/>
                              <pic:nvPr/>
                            </pic:nvPicPr>
                            <pic:blipFill>
                              <a:blip r:embed="rId35"/>
                              <a:stretch/>
                            </pic:blipFill>
                            <pic:spPr bwMode="auto">
                              <a:xfrm>
                                <a:off x="0" y="0"/>
                                <a:ext cx="933450" cy="1424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28.2pt;mso-position-horizontal:absolute;mso-position-vertical-relative:text;margin-top:4.2pt;mso-position-vertical:absolute;width:73.5pt;height:112.1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98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治安巡逻协防岗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夏季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407670</wp:posOffset>
                      </wp:positionH>
                      <wp:positionV relativeFrom="paragraph">
                        <wp:posOffset>57785</wp:posOffset>
                      </wp:positionV>
                      <wp:extent cx="760730" cy="1123315"/>
                      <wp:effectExtent l="0" t="0" r="1270" b="635"/>
                      <wp:wrapNone/>
                      <wp:docPr id="41" name="图片_17"/>
                      <wp:cNvGraphicFramePr/>
                      <a:graphic xmlns:a="http://schemas.openxmlformats.org/drawingml/2006/main">
                        <a:graphicData uri="http://schemas.openxmlformats.org/drawingml/2006/picture">
                          <pic:pic xmlns:pic="http://schemas.openxmlformats.org/drawingml/2006/picture">
                            <pic:nvPicPr>
                              <pic:cNvPr id="41" name="图片_17"/>
                              <pic:cNvPicPr/>
                              <pic:nvPr/>
                            </pic:nvPicPr>
                            <pic:blipFill>
                              <a:blip r:embed="rId36"/>
                              <a:stretch/>
                            </pic:blipFill>
                            <pic:spPr bwMode="auto">
                              <a:xfrm>
                                <a:off x="0" y="0"/>
                                <a:ext cx="760730" cy="112331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32.1pt;mso-position-horizontal:absolute;mso-position-vertical-relative:text;margin-top:4.5pt;mso-position-vertical:absolute;width:59.9pt;height:88.4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复合聚酯平纹布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42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治安巡逻协防岗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430530</wp:posOffset>
                      </wp:positionH>
                      <wp:positionV relativeFrom="paragraph">
                        <wp:posOffset>48895</wp:posOffset>
                      </wp:positionV>
                      <wp:extent cx="934085" cy="1453515"/>
                      <wp:effectExtent l="0" t="0" r="18415" b="13335"/>
                      <wp:wrapNone/>
                      <wp:docPr id="42" name="图片_19"/>
                      <wp:cNvGraphicFramePr/>
                      <a:graphic xmlns:a="http://schemas.openxmlformats.org/drawingml/2006/main">
                        <a:graphicData uri="http://schemas.openxmlformats.org/drawingml/2006/picture">
                          <pic:pic xmlns:pic="http://schemas.openxmlformats.org/drawingml/2006/picture">
                            <pic:nvPicPr>
                              <pic:cNvPr id="42" name="图片_19"/>
                              <pic:cNvPicPr/>
                              <pic:nvPr/>
                            </pic:nvPicPr>
                            <pic:blipFill>
                              <a:blip r:embed="rId37"/>
                              <a:stretch/>
                            </pic:blipFill>
                            <pic:spPr bwMode="auto">
                              <a:xfrm>
                                <a:off x="0" y="0"/>
                                <a:ext cx="934085" cy="1453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33.9pt;mso-position-horizontal:absolute;mso-position-vertical-relative:text;margin-top:3.8pt;mso-position-vertical:absolute;width:73.5pt;height:114.4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220"/>
        </w:trPr>
        <w:tc>
          <w:tcPr>
            <w:shd w:val="clear" w:color="auto" w:fill="auto"/>
            <w:tcBorders>
              <w:top w:val="single" w:color="000000" w:sz="4" w:space="0"/>
              <w:left w:val="single" w:color="000000" w:sz="4" w:space="0"/>
              <w:bottom w:val="non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color w:val="auto"/>
                <w:sz w:val="28"/>
                <w:szCs w:val="28"/>
                <w:highlight w:val="none"/>
                <w:u w:val="none"/>
                <w:lang w:bidi="ar"/>
              </w:rPr>
              <w:t xml:space="preserve">治安巡逻协防岗</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436245</wp:posOffset>
                      </wp:positionH>
                      <wp:positionV relativeFrom="paragraph">
                        <wp:posOffset>55880</wp:posOffset>
                      </wp:positionV>
                      <wp:extent cx="809625" cy="1231900"/>
                      <wp:effectExtent l="0" t="0" r="9525" b="6350"/>
                      <wp:wrapNone/>
                      <wp:docPr id="43" name="图片_20"/>
                      <wp:cNvGraphicFramePr/>
                      <a:graphic xmlns:a="http://schemas.openxmlformats.org/drawingml/2006/main">
                        <a:graphicData uri="http://schemas.openxmlformats.org/drawingml/2006/picture">
                          <pic:pic xmlns:pic="http://schemas.openxmlformats.org/drawingml/2006/picture">
                            <pic:nvPicPr>
                              <pic:cNvPr id="43" name="图片_20"/>
                              <pic:cNvPicPr/>
                              <pic:nvPr/>
                            </pic:nvPicPr>
                            <pic:blipFill>
                              <a:blip r:embed="rId38"/>
                              <a:stretch/>
                            </pic:blipFill>
                            <pic:spPr bwMode="auto">
                              <a:xfrm>
                                <a:off x="0" y="0"/>
                                <a:ext cx="809625" cy="1231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34.4pt;mso-position-horizontal:absolute;mso-position-vertical-relative:text;margin-top:4.4pt;mso-position-vertical:absolute;width:63.8pt;height:97.0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棉涤纬弹加厚斜纹布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安检岗位</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夏季套装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355600</wp:posOffset>
                      </wp:positionH>
                      <wp:positionV relativeFrom="paragraph">
                        <wp:posOffset>76835</wp:posOffset>
                      </wp:positionV>
                      <wp:extent cx="1161415" cy="1561465"/>
                      <wp:effectExtent l="0" t="0" r="635" b="635"/>
                      <wp:wrapNone/>
                      <wp:docPr id="44" name="图片_24"/>
                      <wp:cNvGraphicFramePr/>
                      <a:graphic xmlns:a="http://schemas.openxmlformats.org/drawingml/2006/main">
                        <a:graphicData uri="http://schemas.openxmlformats.org/drawingml/2006/picture">
                          <pic:pic xmlns:pic="http://schemas.openxmlformats.org/drawingml/2006/picture">
                            <pic:nvPicPr>
                              <pic:cNvPr id="44" name="图片_24"/>
                              <pic:cNvPicPr/>
                              <pic:nvPr/>
                            </pic:nvPicPr>
                            <pic:blipFill>
                              <a:blip r:embed="rId39"/>
                              <a:stretch/>
                            </pic:blipFill>
                            <pic:spPr bwMode="auto">
                              <a:xfrm>
                                <a:off x="0" y="0"/>
                                <a:ext cx="1161415" cy="156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28.0pt;mso-position-horizontal:absolute;mso-position-vertical-relative:text;margin-top:6.0pt;mso-position-vertical:absolute;width:91.4pt;height:122.9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单件白色长/短</w:t>
            </w:r>
            <w:r>
              <w:rPr>
                <w:rFonts w:hint="eastAsia" w:ascii="宋体" w:hAnsi="宋体" w:cs="宋体"/>
                <w:i w:val="0"/>
                <w:iCs w:val="0"/>
                <w:color w:val="auto"/>
                <w:sz w:val="22"/>
                <w:szCs w:val="22"/>
                <w:highlight w:val="none"/>
                <w:u w:val="none"/>
                <w:lang w:val="en-US" w:eastAsia="zh-CN" w:bidi="ar"/>
              </w:rPr>
              <w:t xml:space="preserve">袖</w:t>
            </w:r>
            <w:r>
              <w:rPr>
                <w:rFonts w:hint="eastAsia" w:ascii="宋体" w:hAnsi="宋体" w:eastAsia="宋体" w:cs="宋体"/>
                <w:i w:val="0"/>
                <w:iCs w:val="0"/>
                <w:color w:val="auto"/>
                <w:sz w:val="22"/>
                <w:szCs w:val="22"/>
                <w:highlight w:val="none"/>
                <w:u w:val="none"/>
                <w:lang w:val="en-US" w:eastAsia="zh-CN" w:bidi="ar"/>
              </w:rPr>
              <w:t xml:space="preserve">衬衫+夏季黑裤 高质棉</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安检岗位</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春秋套装</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530225</wp:posOffset>
                      </wp:positionH>
                      <wp:positionV relativeFrom="paragraph">
                        <wp:posOffset>20320</wp:posOffset>
                      </wp:positionV>
                      <wp:extent cx="890270" cy="1325245"/>
                      <wp:effectExtent l="0" t="0" r="5080" b="8255"/>
                      <wp:wrapNone/>
                      <wp:docPr id="45" name="图片_25"/>
                      <wp:cNvGraphicFramePr/>
                      <a:graphic xmlns:a="http://schemas.openxmlformats.org/drawingml/2006/main">
                        <a:graphicData uri="http://schemas.openxmlformats.org/drawingml/2006/picture">
                          <pic:pic xmlns:pic="http://schemas.openxmlformats.org/drawingml/2006/picture">
                            <pic:nvPicPr>
                              <pic:cNvPr id="45" name="图片_25"/>
                              <pic:cNvPicPr/>
                              <pic:nvPr/>
                            </pic:nvPicPr>
                            <pic:blipFill>
                              <a:blip r:embed="rId40"/>
                              <a:stretch/>
                            </pic:blipFill>
                            <pic:spPr bwMode="auto">
                              <a:xfrm>
                                <a:off x="0" y="0"/>
                                <a:ext cx="890270" cy="1325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41.8pt;mso-position-horizontal:absolute;mso-position-vertical-relative:text;margin-top:1.6pt;mso-position-vertical:absolute;width:70.1pt;height:104.3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上衣+下裤，主面料聚酯纤维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安检岗位</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冬季大衣</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372110</wp:posOffset>
                      </wp:positionH>
                      <wp:positionV relativeFrom="paragraph">
                        <wp:posOffset>13335</wp:posOffset>
                      </wp:positionV>
                      <wp:extent cx="1037590" cy="1348105"/>
                      <wp:effectExtent l="0" t="0" r="10160" b="4445"/>
                      <wp:wrapNone/>
                      <wp:docPr id="46" name="图片_26"/>
                      <wp:cNvGraphicFramePr/>
                      <a:graphic xmlns:a="http://schemas.openxmlformats.org/drawingml/2006/main">
                        <a:graphicData uri="http://schemas.openxmlformats.org/drawingml/2006/picture">
                          <pic:pic xmlns:pic="http://schemas.openxmlformats.org/drawingml/2006/picture">
                            <pic:nvPicPr>
                              <pic:cNvPr id="46" name="图片_26"/>
                              <pic:cNvPicPr/>
                              <pic:nvPr/>
                            </pic:nvPicPr>
                            <pic:blipFill>
                              <a:blip r:embed="rId41"/>
                              <a:stretch/>
                            </pic:blipFill>
                            <pic:spPr bwMode="auto">
                              <a:xfrm>
                                <a:off x="0" y="0"/>
                                <a:ext cx="1037590" cy="1348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29.3pt;mso-position-horizontal:absolute;mso-position-vertical-relative:text;margin-top:1.1pt;mso-position-vertical:absolute;width:81.7pt;height:106.1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单个大衣，主面料聚酯纤维</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spacing w:line="560" w:lineRule="exact"/>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r>
      <w:r/>
    </w:p>
    <w:p>
      <w:pPr>
        <w:spacing w:line="560" w:lineRule="exact"/>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五、考核标准及考核办法：</w:t>
      </w:r>
      <w:r/>
    </w:p>
    <w:p>
      <w:pPr>
        <w:jc w:val="both"/>
        <w:spacing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rPr>
        <w:t xml:space="preserve">（一）考核标准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扣分档位划分说明</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 类：轻微违规，单次扣 0.5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 类：一般违规，单次扣 1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 类：较重违规，单次扣 3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 类：严重违规，单次扣 5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 类：重大恶性违规，单次扣 10 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院级及以上督查查出原有问题，扣分档位上浮一档。</w:t>
      </w:r>
      <w:r/>
    </w:p>
    <w:p>
      <w:pPr>
        <w:jc w:val="center"/>
        <w:spacing w:line="360" w:lineRule="auto"/>
        <w:rPr>
          <w:rFonts w:hint="eastAsia" w:ascii="宋体" w:hAnsi="宋体" w:cs="宋体"/>
          <w:color w:val="auto"/>
          <w:sz w:val="24"/>
          <w:szCs w:val="24"/>
          <w:highlight w:val="none"/>
        </w:rPr>
        <w:outlineLvl w:val="1"/>
      </w:pPr>
      <w:r>
        <w:rPr>
          <w:rFonts w:hint="eastAsia" w:ascii="宋体" w:hAnsi="宋体" w:cs="宋体"/>
          <w:b/>
          <w:color w:val="auto"/>
          <w:sz w:val="24"/>
          <w:szCs w:val="24"/>
          <w:highlight w:val="none"/>
          <w:lang w:eastAsia="zh-CN"/>
        </w:rPr>
        <w:t xml:space="preserve">连云港市第一人民医院保安服务</w:t>
      </w:r>
      <w:r>
        <w:rPr>
          <w:rFonts w:hint="eastAsia" w:ascii="宋体" w:hAnsi="宋体" w:cs="宋体"/>
          <w:b/>
          <w:color w:val="auto"/>
          <w:sz w:val="24"/>
          <w:szCs w:val="24"/>
          <w:highlight w:val="none"/>
        </w:rPr>
        <w:t xml:space="preserve">质量考核表</w:t>
      </w:r>
      <w:r/>
    </w:p>
    <w:tbl>
      <w:tblPr>
        <w:tblStyle w:val="783"/>
        <w:tblW w:w="10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713"/>
        <w:gridCol w:w="5760"/>
        <w:gridCol w:w="3562"/>
      </w:tblGrid>
      <w:tr>
        <w:trPr>
          <w:jc w:val="center"/>
          <w:trHeight w:val="685"/>
        </w:trPr>
        <w:tc>
          <w:tcPr>
            <w:tcW w:w="713"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类别</w:t>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具体情形或</w:t>
            </w:r>
            <w:r>
              <w:rPr>
                <w:rFonts w:hint="eastAsia" w:ascii="宋体" w:hAnsi="宋体" w:eastAsia="宋体" w:cs="宋体"/>
                <w:color w:val="auto"/>
                <w:sz w:val="24"/>
                <w:szCs w:val="24"/>
                <w:highlight w:val="none"/>
              </w:rPr>
              <w:t xml:space="preserve">内容</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扣分明细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1</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仪容仪表</w:t>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未统一穿着全套保安制服、混穿便装、敞怀卷袖、挽裤腿、拖鞋上岗</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未按要求佩戴帽徽、肩章等穿戴标识</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含胸塌背、举止不端，值班岗位上背手、抱胸、插兜、倚靠墙面、桌椅、趴桌、躺座椅等行为</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外挂于制服上或佩戴的饰品、饰物外露于制服有损公益单位形象</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在公共场所和禁止吸烟的场所吸烟</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夜班或户外不按规定穿着反光背心</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7</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岗位纪律</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值班人员迟到、早退</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cs="宋体"/>
                <w:color w:val="auto"/>
                <w:sz w:val="24"/>
                <w:szCs w:val="24"/>
                <w:highlight w:val="none"/>
                <w:lang w:val="en-US" w:eastAsia="zh-CN"/>
              </w:rPr>
            </w:pPr>
            <w:r>
              <w:rPr>
                <w:rFonts w:hint="eastAsia"/>
                <w:color w:val="auto"/>
                <w:sz w:val="24"/>
                <w:szCs w:val="24"/>
                <w:highlight w:val="none"/>
              </w:rPr>
              <w:t xml:space="preserve">漏打、代打、虚假打卡</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值班人员串岗、脱岗</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值班人员睡岗</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未按规定落实请销假制度，擅自休假、调班、换岗</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长时间玩手机、在岗期间与无关人员闲聊、围观</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值班人员在岗吃零食</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值班人员在岗干私活</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值班人员酒后上岗</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值班人员在岗期间饮酒</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值班人员不服从值班领导调度安排，存在顶撞、抵触、消极怠工行为</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18</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治安秩序管控</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人员、车辆、物资进出未落实核查登记制度</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19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治安巡更点漏检，擅自减少巡逻次数、漏巡点位</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shd w:val="clear" w:color="auto" w:fill="auto"/>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bidi="ar-SA"/>
              </w:rPr>
            </w:pPr>
            <w:r>
              <w:rPr>
                <w:rFonts w:hint="eastAsia"/>
                <w:color w:val="auto"/>
                <w:sz w:val="24"/>
                <w:szCs w:val="24"/>
                <w:highlight w:val="none"/>
              </w:rPr>
              <w:t xml:space="preserve">20</w:t>
            </w:r>
            <w:r/>
          </w:p>
        </w:tc>
        <w:tc>
          <w:tcPr>
            <w:shd w:val="clear" w:color="auto" w:fill="auto"/>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巡逻台账记录不规范、缺失有空项、漏项、涂改潦草</w:t>
            </w:r>
            <w:r/>
          </w:p>
        </w:tc>
        <w:tc>
          <w:tcPr>
            <w:shd w:val="clear" w:color="auto" w:fill="auto"/>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未及时制止院内争吵、纠纷、打闹、滋事、暴力滋事苗头</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巡逻不到位、履职失职造成医院财产、患者财物被盗、受损</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院区出现医托、散发传单、小广告，推销食品、药品者</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院内出现乞讨、闲散逗留人员</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院内出现占道摆摊、违规宣传行为</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擅自放行违禁物品、易燃易爆物品进入院区</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保安员在医患纠纷现场，医务人员遭殴打、围攻、控制人身自由</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“医闹” 中出现烧纸钱、摆花圈、拉横幅、堵大门等行为，保安员 50 分钟内未成功处置</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29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病房停尸体白天 3 小时、夜间 6 小时内未移入暂存间或殡仪馆</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载货车辆出门未查验出门证导致医院财物流失</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31</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应急处置与突发事件</w:t>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防汛、台风、雨雪恶劣天气、停水停电、应急疏散等专项安保或抢险救灾工作，履职不到位、推诿懈怠</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发生重大治安事件、安全事故、群体性纠纷未第一时间处置上报</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突发事件处置流程不规范，处置不当激化矛盾，引发舆情</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处置突发事件不力，出现畏缩不前、拈轻怕重、借故回避、临阵脱逃，袖手旁观、拒不服从命令等现象</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563"/>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处置火灾流程不规范，造成重大损失</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583"/>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36</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车辆管理及院区交通秩序</w:t>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车辆管控不到位造成医患投诉</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418"/>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医院主要通道交通堵塞 10 分钟及以上的</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283"/>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38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院区车辆秩序混乱，车辆未按医院指定区域或指定方向停放</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39</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消防安全与设施管理</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医院消防制度、疏散路线、灭火器、消防栓等器材使用方法掌握不熟练</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火灾报警、初期火情处置流程不清楚</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未按规定对重点部位每 2 小时进行巡查或记录</w:t>
            </w:r>
            <w:r/>
          </w:p>
        </w:tc>
        <w:tc>
          <w:tcPr>
            <w:shd w:val="clear" w:color="auto" w:fill="auto"/>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消防设施、消防器材失效未及时发现上报处置</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消防通道、安全出口不畅通、堵塞锁闭、杂物堆放</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发现施工作业无动火证施工不及时劝阻</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发生烟雾、电器过热等异常情况，处置迟缓、推诿不作为</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院内违规用火、用电、私拉乱接、违规堆放易燃易爆物品，未及时发现隐患，排查处置不到位</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未主动阻止其他人员在公共场所吸烟</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A 类 0.5 分</w:t>
            </w:r>
            <w:r/>
          </w:p>
        </w:tc>
      </w:tr>
      <w:tr>
        <w:trPr>
          <w:jc w:val="center"/>
          <w:trHeight w:val="358"/>
        </w:trPr>
        <w:tc>
          <w:tcPr>
            <w:tcW w:w="7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4</w:t>
            </w:r>
            <w:r>
              <w:rPr>
                <w:rFonts w:hint="eastAsia"/>
                <w:color w:val="auto"/>
                <w:sz w:val="24"/>
                <w:szCs w:val="24"/>
                <w:highlight w:val="none"/>
                <w:lang w:val="en-US" w:eastAsia="zh-CN"/>
              </w:rPr>
              <w:t xml:space="preserve">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私自焚烧垃圾、私接消防栓、私拉乱接电线</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49</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服务医患</w:t>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服务生冷生硬、推诿群众求助</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与患者、家属、来访人员发生口角、争执</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医务人员咨询、求助处置不及时</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471"/>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与医务人员发生口角、争执</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53</w:t>
            </w:r>
            <w:r/>
          </w:p>
        </w:tc>
        <w:tc>
          <w:tcPr>
            <w:tcW w:w="713" w:type="dxa"/>
            <w:vAlign w:val="center"/>
            <w:vMerge w:val="restart"/>
            <w:textDirection w:val="lrTb"/>
            <w:noWrap w:val="false"/>
          </w:tcPr>
          <w:p>
            <w:pPr>
              <w:jc w:val="center"/>
              <w:keepLines w:val="0"/>
              <w:keepNext w:val="0"/>
              <w:pageBreakBefore w:val="0"/>
              <w:spacing w:line="240" w:lineRule="exact"/>
              <w:widowControl w:val="off"/>
              <w:rPr>
                <w:rFonts w:hint="eastAsia"/>
                <w:color w:val="auto"/>
                <w:sz w:val="24"/>
                <w:szCs w:val="24"/>
                <w:highlight w:val="none"/>
              </w:rPr>
            </w:pPr>
            <w:r>
              <w:rPr>
                <w:rFonts w:hint="eastAsia"/>
                <w:color w:val="auto"/>
                <w:sz w:val="24"/>
                <w:szCs w:val="24"/>
                <w:highlight w:val="none"/>
              </w:rPr>
              <w:t xml:space="preserve">工作配合与综合评价</w:t>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未按合同要求数量配备保安人员</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调整保安岗位设置、班次未及时向保卫处报备</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调整保安骨干未及时向保卫处报备</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cs="宋体"/>
                <w:color w:val="auto"/>
                <w:sz w:val="24"/>
                <w:szCs w:val="24"/>
                <w:highlight w:val="none"/>
                <w:lang w:val="en-US" w:eastAsia="zh-CN"/>
              </w:rPr>
            </w:pPr>
            <w:r>
              <w:rPr>
                <w:rFonts w:hint="eastAsia"/>
                <w:color w:val="auto"/>
                <w:sz w:val="24"/>
                <w:szCs w:val="24"/>
                <w:highlight w:val="none"/>
              </w:rPr>
              <w:t xml:space="preserve">辞退、新招录保安人员未及时向保卫处报备</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cs="宋体"/>
                <w:color w:val="auto"/>
                <w:sz w:val="24"/>
                <w:szCs w:val="24"/>
                <w:highlight w:val="none"/>
                <w:lang w:val="en-US" w:eastAsia="zh-CN"/>
              </w:rPr>
            </w:pPr>
            <w:r>
              <w:rPr>
                <w:rFonts w:hint="eastAsia"/>
                <w:color w:val="auto"/>
                <w:sz w:val="24"/>
                <w:szCs w:val="24"/>
                <w:highlight w:val="none"/>
              </w:rPr>
              <w:t xml:space="preserve">当面顶撞或背后软抵抗保卫处工作人员</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不配合医院专项检查、整治工作，消极应付</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院级层面及以上上级督查工作中发生、指出问题</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不爱护院内安防设备、巡逻器材、办公物资，损坏公物、私拿私占</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无故未完成交办的临时安保任务、值守任务、应急处置任务、专项整治任务</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有理投诉次数每月大于 3 次，有效投诉未 100% 处置完毕</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未按月开展医患满意度调查</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C 类 3 分</w:t>
            </w:r>
            <w:r/>
          </w:p>
        </w:tc>
      </w:tr>
      <w:tr>
        <w:trPr>
          <w:jc w:val="center"/>
          <w:trHeight w:val="508"/>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64</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一般突发事件 3 分钟未到场处置</w:t>
            </w:r>
            <w:r/>
          </w:p>
        </w:tc>
        <w:tc>
          <w:tcPr>
            <w:tcW w:w="3562"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490"/>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65</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重大突发事件 15 分钟未到场处置</w:t>
            </w:r>
            <w:r/>
          </w:p>
        </w:tc>
        <w:tc>
          <w:tcPr>
            <w:tcW w:w="3562"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418"/>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66</w:t>
            </w:r>
            <w:r/>
          </w:p>
        </w:tc>
        <w:tc>
          <w:tcPr>
            <w:tcW w:w="713" w:type="dxa"/>
            <w:vAlign w:val="center"/>
            <w:vMerge w:val="continue"/>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特大突发事件 30 分钟未到场处置</w:t>
            </w:r>
            <w:r/>
          </w:p>
        </w:tc>
        <w:tc>
          <w:tcPr>
            <w:tcW w:w="3562"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385"/>
        </w:trPr>
        <w:tc>
          <w:tcPr>
            <w:tcW w:w="713" w:type="dxa"/>
            <w:vAlign w:val="center"/>
            <w:textDirection w:val="lrTb"/>
            <w:noWrap w:val="false"/>
          </w:tcPr>
          <w:p>
            <w:pPr>
              <w:jc w:val="center"/>
              <w:spacing w:line="2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67</w:t>
            </w:r>
            <w:r/>
          </w:p>
        </w:tc>
        <w:tc>
          <w:tcPr>
            <w:tcW w:w="713" w:type="dxa"/>
            <w:vAlign w:val="center"/>
            <w:textDirection w:val="lrTb"/>
            <w:noWrap w:val="false"/>
          </w:tcPr>
          <w:p>
            <w:pPr>
              <w:jc w:val="center"/>
              <w:keepLines w:val="0"/>
              <w:keepNext w:val="0"/>
              <w:pageBreakBefore w:val="0"/>
              <w:spacing w:line="2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576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院内</w:t>
            </w:r>
            <w:r>
              <w:rPr>
                <w:rFonts w:hint="eastAsia"/>
                <w:color w:val="auto"/>
                <w:sz w:val="24"/>
                <w:szCs w:val="24"/>
                <w:highlight w:val="none"/>
                <w:lang w:val="en-US" w:eastAsia="zh-CN"/>
              </w:rPr>
              <w:t xml:space="preserve">跨</w:t>
            </w:r>
            <w:r>
              <w:rPr>
                <w:rFonts w:hint="eastAsia"/>
                <w:color w:val="auto"/>
                <w:sz w:val="24"/>
                <w:szCs w:val="24"/>
                <w:highlight w:val="none"/>
              </w:rPr>
              <w:t xml:space="preserve">点位支援需求无法及时满足</w:t>
            </w:r>
            <w:r/>
          </w:p>
        </w:tc>
        <w:tc>
          <w:tcPr>
            <w:tcW w:w="3562"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68</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自身建设</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未制定各岗位的职责和考核制度，或制度空泛、无操作性和可行性，经常性检查监督缺失</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无故缺席、迟到医院消防演练、安防培训</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rPr>
            </w:pPr>
            <w:r>
              <w:rPr>
                <w:rFonts w:hint="eastAsia"/>
                <w:color w:val="auto"/>
                <w:sz w:val="24"/>
                <w:szCs w:val="24"/>
                <w:highlight w:val="none"/>
              </w:rPr>
              <w:t xml:space="preserve">未制定日常培训计划，计划空泛，未落实计划</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未按要求定期联合病区开展反恐防暴、医闹及消防演练</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保安队员未持证上岗或从事岗位与所持证件不适配</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D 类 5 分</w:t>
            </w:r>
            <w:r/>
          </w:p>
        </w:tc>
      </w:tr>
      <w:tr>
        <w:trPr>
          <w:jc w:val="center"/>
          <w:trHeight w:val="5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当值期间发现保安员有违法犯罪、监守自盗或参加打架斗殴等</w:t>
            </w:r>
            <w:r/>
          </w:p>
        </w:tc>
        <w:tc>
          <w:tcPr>
            <w:shd w:val="clear" w:color="auto" w:fill="auto"/>
            <w:tcW w:w="3562"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458"/>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利用工作之便，从事未经医院许可的经营活动</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勾结医托、号贩子、小偷等非法人员从事非法盈利活动</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私拿、偷盗公共财物</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未按合同约定定期组织保安队伍各类训练、演练、培训</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78</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应知应会不掌握、不熟悉</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79</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不熟悉岗位职责</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B 类 1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bottom"/>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未按合同约定配齐安保器材和其他办公用品</w:t>
            </w:r>
            <w:r/>
          </w:p>
        </w:tc>
        <w:tc>
          <w:tcPr>
            <w:shd w:val="clear" w:color="auto" w:fill="auto"/>
            <w:tcW w:w="35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rPr>
              <w:t xml:space="preserve">D 类 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760"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值班室卫生不干净、不整洁，室内有烟头、烟灰缸</w:t>
            </w:r>
            <w:r/>
          </w:p>
        </w:tc>
        <w:tc>
          <w:tcPr>
            <w:shd w:val="clear" w:color="auto" w:fill="auto"/>
            <w:tcW w:w="3562" w:type="dxa"/>
            <w:vAlign w:val="center"/>
            <w:textDirection w:val="lrTb"/>
            <w:noWrap w:val="false"/>
          </w:tcPr>
          <w:p>
            <w:pPr>
              <w:jc w:val="center"/>
              <w:spacing w:line="24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A 类 0.5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w:t>
            </w:r>
            <w:r/>
          </w:p>
        </w:tc>
        <w:tc>
          <w:tcPr>
            <w:tcW w:w="713" w:type="dxa"/>
            <w:vAlign w:val="center"/>
            <w:vMerge w:val="restart"/>
            <w:textDirection w:val="lrTb"/>
            <w:noWrap w:val="false"/>
          </w:tcPr>
          <w:p>
            <w:pPr>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重大违规问题</w:t>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jc w:val="cente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酒后上岗、在岗饮酒、脱岗渎职造成较大安全事故</w:t>
            </w:r>
            <w:r/>
          </w:p>
        </w:tc>
        <w:tc>
          <w:tcPr>
            <w:tcW w:w="3562"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与患者、家属、医护人员发生肢体冲突、恶意争吵引发严重舆情</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84</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履职严重不到位，导致院内发生盗窃、火灾、治安事故、暴力伤医等恶性事件</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隐瞒重大安全隐患、突发事件，迟报、瞒报、谎报造成事态扩大，产生严重后果</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监守自盗、内外勾结、纵容或参与违法犯罪行为，造成重大损失</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c>
          <w:tcPr>
            <w:tcW w:w="71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保安员违反纪律或处理事件不当，任由事件恶化，造成医院形象严重受损或产生较大经济损失</w:t>
            </w:r>
            <w:r/>
          </w:p>
        </w:tc>
        <w:tc>
          <w:tcPr>
            <w:tcW w:w="3562"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E 类 10 分</w:t>
            </w:r>
            <w:r/>
          </w:p>
        </w:tc>
      </w:tr>
      <w:tr>
        <w:trPr>
          <w:jc w:val="center"/>
          <w:trHeight w:val="90"/>
        </w:trPr>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88</w:t>
            </w:r>
            <w:r/>
          </w:p>
        </w:tc>
        <w:tc>
          <w:tcPr>
            <w:tcW w:w="713" w:type="dxa"/>
            <w:vAlign w:val="center"/>
            <w:vMerge w:val="restart"/>
            <w:textDirection w:val="lrTb"/>
            <w:noWrap w:val="false"/>
          </w:tcPr>
          <w:p>
            <w:pPr>
              <w:jc w:val="center"/>
              <w:keepLines w:val="0"/>
              <w:keepNext w:val="0"/>
              <w:pageBreakBefore w:val="0"/>
              <w:spacing w:line="280" w:lineRule="exact"/>
              <w:widowControl w:val="off"/>
              <w:rPr>
                <w:rFonts w:hint="eastAsia"/>
                <w:color w:val="auto"/>
                <w:sz w:val="24"/>
                <w:szCs w:val="24"/>
                <w:highlight w:val="none"/>
              </w:rPr>
            </w:pPr>
            <w:r>
              <w:rPr>
                <w:rFonts w:hint="eastAsia"/>
                <w:color w:val="auto"/>
                <w:sz w:val="24"/>
                <w:szCs w:val="24"/>
                <w:highlight w:val="none"/>
              </w:rPr>
              <w:t xml:space="preserve">其他</w:t>
            </w:r>
            <w:r/>
          </w:p>
          <w:p>
            <w:pPr>
              <w:jc w:val="center"/>
              <w:keepLines w:val="0"/>
              <w:keepNext w:val="0"/>
              <w:pageBreakBefore w:val="0"/>
              <w:spacing w:line="28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jc w:val="center"/>
              <w:keepLines w:val="0"/>
              <w:keepNext w:val="0"/>
              <w:pageBreakBefore w:val="0"/>
              <w:spacing w:line="28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tc>
        <w:tc>
          <w:tcPr>
            <w:tcW w:w="576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其他违反社会公德、家庭美德、人品道德事宜</w:t>
            </w:r>
            <w:r/>
          </w:p>
        </w:tc>
        <w:tc>
          <w:tcPr>
            <w:tcW w:w="3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w:t>
            </w:r>
            <w:r>
              <w:rPr>
                <w:rFonts w:hint="eastAsia"/>
                <w:color w:val="auto"/>
                <w:sz w:val="24"/>
                <w:szCs w:val="24"/>
                <w:highlight w:val="none"/>
                <w:lang w:val="en-US" w:eastAsia="zh-CN"/>
              </w:rPr>
              <w:t xml:space="preserve">B</w:t>
            </w:r>
            <w:r>
              <w:rPr>
                <w:rFonts w:hint="eastAsia"/>
                <w:color w:val="auto"/>
                <w:sz w:val="24"/>
                <w:szCs w:val="24"/>
                <w:highlight w:val="none"/>
              </w:rPr>
              <w:t xml:space="preserve"> 类 </w:t>
            </w:r>
            <w:r>
              <w:rPr>
                <w:rFonts w:hint="eastAsia"/>
                <w:color w:val="auto"/>
                <w:sz w:val="24"/>
                <w:szCs w:val="24"/>
                <w:highlight w:val="none"/>
                <w:lang w:val="en-US" w:eastAsia="zh-CN"/>
              </w:rPr>
              <w:t xml:space="preserve">1</w:t>
            </w:r>
            <w:r>
              <w:rPr>
                <w:rFonts w:hint="eastAsia"/>
                <w:color w:val="auto"/>
                <w:sz w:val="24"/>
                <w:szCs w:val="24"/>
                <w:highlight w:val="none"/>
              </w:rPr>
              <w:t xml:space="preserve">～C 类 3 分</w:t>
            </w:r>
            <w:r/>
          </w:p>
        </w:tc>
      </w:tr>
      <w:tr>
        <w:trPr>
          <w:jc w:val="center"/>
          <w:trHeight w:val="90"/>
        </w:trPr>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tcW w:w="713" w:type="dxa"/>
            <w:vAlign w:val="center"/>
            <w:vMerge w:val="continue"/>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bottom"/>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其他违反医院制度、工作要求、服务宗旨事宜</w:t>
            </w:r>
            <w:r/>
          </w:p>
        </w:tc>
        <w:tc>
          <w:tcPr>
            <w:tcW w:w="3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w:t>
            </w:r>
            <w:r>
              <w:rPr>
                <w:rFonts w:hint="eastAsia"/>
                <w:color w:val="auto"/>
                <w:sz w:val="24"/>
                <w:szCs w:val="24"/>
                <w:highlight w:val="none"/>
                <w:lang w:val="en-US" w:eastAsia="zh-CN"/>
              </w:rPr>
              <w:t xml:space="preserve">B</w:t>
            </w:r>
            <w:r>
              <w:rPr>
                <w:rFonts w:hint="eastAsia"/>
                <w:color w:val="auto"/>
                <w:sz w:val="24"/>
                <w:szCs w:val="24"/>
                <w:highlight w:val="none"/>
              </w:rPr>
              <w:t xml:space="preserve">类 </w:t>
            </w:r>
            <w:r>
              <w:rPr>
                <w:rFonts w:hint="eastAsia"/>
                <w:color w:val="auto"/>
                <w:sz w:val="24"/>
                <w:szCs w:val="24"/>
                <w:highlight w:val="none"/>
                <w:lang w:val="en-US" w:eastAsia="zh-CN"/>
              </w:rPr>
              <w:t xml:space="preserve">1</w:t>
            </w:r>
            <w:r>
              <w:rPr>
                <w:rFonts w:hint="eastAsia"/>
                <w:color w:val="auto"/>
                <w:sz w:val="24"/>
                <w:szCs w:val="24"/>
                <w:highlight w:val="none"/>
              </w:rPr>
              <w:t xml:space="preserve">～D 类 5 分</w:t>
            </w:r>
            <w:r/>
          </w:p>
        </w:tc>
      </w:tr>
      <w:tr>
        <w:trPr>
          <w:jc w:val="center"/>
          <w:trHeight w:val="186"/>
        </w:trPr>
        <w:tc>
          <w:tcPr>
            <w:tcW w:w="713" w:type="dxa"/>
            <w:vAlign w:val="center"/>
            <w:textDirection w:val="lrTb"/>
            <w:noWrap w:val="false"/>
          </w:tcPr>
          <w:p>
            <w:pPr>
              <w:jc w:val="center"/>
              <w:spacing w:line="2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w:t>
            </w:r>
            <w:r/>
          </w:p>
        </w:tc>
        <w:tc>
          <w:tcPr>
            <w:tcW w:w="713" w:type="dxa"/>
            <w:vAlign w:val="center"/>
            <w:vMerge w:val="continue"/>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6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其他违反法律法规事宜</w:t>
            </w:r>
            <w:r/>
          </w:p>
        </w:tc>
        <w:tc>
          <w:tcPr>
            <w:tcW w:w="3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视情节 D 类 5～E 类 10 分</w:t>
            </w:r>
            <w:r/>
          </w:p>
        </w:tc>
      </w:tr>
    </w:tbl>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（二）考核办法：</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合同金额10％由医院主管部门按月考核发放，即：</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月度应付服务总费用分为两部分：90% 基础服务费 + 10% 考核绩效服务费。</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其中月度合同总额10% 部分不作为固定款项，纳入月度绩效考核池，由医院主管职能部门保卫处依据月度考核结果</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奖惩</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核定发放金额；90% 基础服务费按合同正常流程审核支付。</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1.扣罚标准</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采购人每月对中标人上月的服务质量按《连云港市第一人民医院保安服务质量考核表》进行考核，考评结果与保安服务费挂钩，每月累加计算，次月清零重新计算：</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单条违规固定扣款标准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A 类（单次 0.5 分）：单次扣款 50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B 类（单次 1 分）：单次扣款 100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C 类（单次 3 分）：单次扣款 300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D 类（单次 5 分）：单次扣款 1000 元</w:t>
      </w:r>
      <w:r>
        <w:rPr>
          <w:rFonts w:hint="eastAsia" w:ascii="宋体" w:hAnsi="宋体" w:cs="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E 类（单次 10 分）：单次扣款 </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000 元</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涉及违法事宜的依法追究法律责任。</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月度累计扣分阶梯处罚规则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（1）月度累计扣分≤10分：仅按单条违规累计扣款，从10%绩效池扣除，无一次性扣减服务费； </w:t>
      </w:r>
      <w:r>
        <w:rPr>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（2）10分＜月度累计扣分≤15分：累计扣款+一次性扣减服务费2000元，下发书面整改警告； </w:t>
      </w:r>
      <w:r>
        <w:rPr>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（3）15分＜月度累计扣分≤20分：累计扣款+一次性扣减服务费5000元，约谈外包公司项目负责人，7日内提交专项整改方案； </w:t>
      </w:r>
      <w:r>
        <w:rPr>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（4）20分＜月度累计扣分≤25分：累计扣款+一次性扣减服务费10000元，约谈外包单位总部负责人，限期更换现场安保主管； </w:t>
      </w:r>
      <w:r>
        <w:rPr>
          <w:sz w:val="21"/>
        </w:rPr>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ascii="SimSun" w:hAnsi="SimSun" w:eastAsia="SimSun" w:cs="SimSun"/>
          <w:color w:val="000000"/>
          <w:sz w:val="24"/>
        </w:rPr>
        <w:t xml:space="preserve">（5）月度累计扣分＞25分：累计扣款+一次性扣减服务费30000元，医院有权单方面提前解除保安服务合同，全部损失由中标单位承担</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rPr>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整改追责补充条款 </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（1）保卫处出具整改通知书，整改时限3个工作日；逾期未整改或复查不合格，同类问题扣款标准上浮2倍；中标人拒不整改的，或一周内整改没有成效的，采购人有权提前解除合同。</w:t>
      </w:r>
      <w:r/>
    </w:p>
    <w:p>
      <w:pPr>
        <w:numPr>
          <w:ilvl w:val="0"/>
          <w:numId w:val="0"/>
        </w:numPr>
        <w:ind w:firstLine="480"/>
        <w:jc w:val="left"/>
        <w:keepLines w:val="0"/>
        <w:keepNext w:val="0"/>
        <w:pageBreakBefore w:val="0"/>
        <w:spacing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（2）因中标人在履约过程中提供虚假证书（如建构筑物消防员、保安员证书等），造成上级管理部门（消防、公安）对医院的处罚的，由中标人承担相应后果。</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2.考核权重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（1）中标人内部监管考核标准。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督查考核登记簿＞20起/周的，按照考核办法的扣罚标准予以扣款。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（2）医院主管部门的考核处罚权重。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中标人月自查自纠问题总数的30%≥医院主管部门督查发现问题起数件次数＞中标人月自查自纠问题总数的20%，按照考核办法的扣罚标准的1倍/起对中标人予以扣款。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中标人月自查自纠问题总数的50%≥医院主管部门督查发现问题起数件次数＞中标人月自查自纠问题总数的30%，按照考核办法的扣罚标准的1.5倍/起对中标人予以扣款。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医院主管部门督查发现问题起数件次数＞中标人月自查自纠问题总数的50%，按照考核办法的扣罚标准的2倍/起对中标人予以扣款。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（3）院级及以上的考核扣罚权重。</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院级及以上包含院领导随机检查、三大总值班检查、院长行政查房等，国家、省、市的消防、公安、卫生健康委员会等上级主管部门的检查。</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院级及以上部门督查发现问题起数件次数＜医院主管部门督查发现问题起数件次数的20%，医院不予进行考核处罚。</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医院主管部门督查发现问题起数件次数的30%≥院级及以上部门督查发现问题起数件次数＞医院主管部门督查发现问题起数件次数的20%，按照考核办法的扣罚标准的1倍/起对中标人予以扣款。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院级及以上部门督查发现问题起数件次数＞医院主管部门督查发现问题起数件次数的50%，按照考核办法的扣罚标准的2倍/起对中标人予以扣款。</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六、报价要求</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投标报价须包含管理人员和服务人员的工资、五险、</w:t>
      </w:r>
      <w:r>
        <w:rPr>
          <w:rFonts w:hint="eastAsia" w:ascii="宋体" w:hAnsi="宋体" w:eastAsia="宋体" w:cs="Times New Roman"/>
          <w:color w:val="auto"/>
          <w:sz w:val="24"/>
          <w:szCs w:val="24"/>
          <w:highlight w:val="none"/>
          <w:lang w:val="en-US" w:eastAsia="zh-CN"/>
        </w:rPr>
        <w:t xml:space="preserve">公积金、防暑降温费、</w:t>
      </w:r>
      <w:r>
        <w:rPr>
          <w:rFonts w:hint="eastAsia" w:ascii="宋体" w:hAnsi="宋体" w:eastAsia="宋体" w:cs="Times New Roman"/>
          <w:color w:val="auto"/>
          <w:sz w:val="24"/>
          <w:szCs w:val="24"/>
          <w:highlight w:val="none"/>
        </w:rPr>
        <w:t xml:space="preserve">超过法定工时的工作日加班、周末加班、法定休假日加班等费用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福利、耗材、服装、税费、合理利润等费用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（工资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五险及</w:t>
      </w:r>
      <w:r>
        <w:rPr>
          <w:rFonts w:hint="eastAsia" w:ascii="宋体" w:hAnsi="宋体" w:eastAsia="宋体" w:cs="Times New Roman"/>
          <w:color w:val="auto"/>
          <w:sz w:val="24"/>
          <w:szCs w:val="24"/>
          <w:highlight w:val="none"/>
          <w:lang w:val="en-US" w:eastAsia="zh-CN"/>
        </w:rPr>
        <w:t xml:space="preserve">公积金</w:t>
      </w:r>
      <w:r>
        <w:rPr>
          <w:rFonts w:hint="eastAsia" w:ascii="宋体" w:hAnsi="宋体" w:eastAsia="宋体" w:cs="Times New Roman"/>
          <w:color w:val="auto"/>
          <w:sz w:val="24"/>
          <w:szCs w:val="24"/>
          <w:highlight w:val="none"/>
        </w:rPr>
        <w:t xml:space="preserve">不能低于连云港市最低标准等规定）。</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合同履约期内不因国家提高最低工资标准、保险金比例等政策调整因素而调整合同价。</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七、付款方式与履约保证金</w:t>
      </w:r>
      <w:r/>
    </w:p>
    <w:p>
      <w:pPr>
        <w:numPr>
          <w:ilvl w:val="0"/>
          <w:numId w:val="0"/>
        </w:numPr>
        <w:ind w:firstLine="482"/>
        <w:jc w:val="left"/>
        <w:keepLines w:val="0"/>
        <w:keepNext w:val="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★1、付款方式：</w:t>
      </w:r>
      <w:r>
        <w:rPr>
          <w:rFonts w:hint="eastAsia" w:ascii="宋体" w:hAnsi="宋体" w:eastAsia="宋体" w:cs="Times New Roman"/>
          <w:b w:val="0"/>
          <w:bCs w:val="0"/>
          <w:color w:val="auto"/>
          <w:sz w:val="24"/>
          <w:szCs w:val="24"/>
          <w:highlight w:val="none"/>
          <w:lang w:val="en-US" w:eastAsia="zh-CN" w:bidi="ar-SA"/>
        </w:rPr>
        <w:t xml:space="preserve">按月考核，根据考核结果支付上月服务费。采购人付款之前中标人应向采购人开具正规发票，采购人自收到发票后将资金支付至合同约定的中标人账户。</w:t>
      </w:r>
      <w:r/>
    </w:p>
    <w:p>
      <w:pPr>
        <w:numPr>
          <w:ilvl w:val="0"/>
          <w:numId w:val="0"/>
        </w:numPr>
        <w:ind w:firstLine="480"/>
        <w:jc w:val="left"/>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付款前，</w:t>
      </w:r>
      <w:r>
        <w:rPr>
          <w:rFonts w:hint="eastAsia" w:ascii="宋体" w:hAnsi="宋体" w:eastAsia="宋体" w:cs="Times New Roman"/>
          <w:b w:val="0"/>
          <w:bCs w:val="0"/>
          <w:color w:val="auto"/>
          <w:sz w:val="24"/>
          <w:szCs w:val="24"/>
          <w:highlight w:val="none"/>
          <w:lang w:val="en-US" w:eastAsia="zh-CN" w:bidi="ar-SA"/>
        </w:rPr>
        <w:t xml:space="preserve">中标人</w:t>
      </w:r>
      <w:r>
        <w:rPr>
          <w:rFonts w:hint="eastAsia" w:ascii="宋体" w:hAnsi="宋体" w:eastAsia="宋体" w:cs="宋体"/>
          <w:color w:val="auto"/>
          <w:sz w:val="24"/>
          <w:szCs w:val="24"/>
          <w:highlight w:val="none"/>
          <w:lang w:val="en-US" w:eastAsia="zh-CN"/>
        </w:rPr>
        <w:t xml:space="preserve">需向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开具正规发票，</w:t>
      </w:r>
      <w:r>
        <w:rPr>
          <w:rFonts w:hint="eastAsia" w:ascii="宋体" w:hAnsi="宋体" w:eastAsia="宋体" w:cs="宋体"/>
          <w:color w:val="auto"/>
          <w:sz w:val="24"/>
          <w:szCs w:val="24"/>
          <w:highlight w:val="none"/>
          <w:lang w:val="en-US" w:eastAsia="zh-CN"/>
        </w:rPr>
        <w:t xml:space="preserve">否则自行承担延迟付款的责任</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2、履约保证金</w:t>
      </w:r>
      <w:r>
        <w:rPr>
          <w:rFonts w:hint="eastAsia" w:ascii="宋体" w:hAnsi="宋体" w:cs="Times New Roman"/>
          <w:b/>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cs="Times New Roman"/>
          <w:color w:val="auto"/>
          <w:sz w:val="24"/>
          <w:szCs w:val="24"/>
          <w:highlight w:val="none"/>
        </w:rPr>
        <w:outlineLvl w:val="1"/>
      </w:pPr>
      <w:r>
        <w:rPr>
          <w:rFonts w:hint="eastAsia" w:ascii="宋体" w:hAnsi="宋体" w:cs="Times New Roman"/>
          <w:color w:val="auto"/>
          <w:sz w:val="24"/>
          <w:szCs w:val="24"/>
          <w:highlight w:val="none"/>
        </w:rPr>
        <w:t xml:space="preserve">（1）</w:t>
      </w:r>
      <w:r>
        <w:rPr>
          <w:rFonts w:hint="eastAsia" w:ascii="宋体" w:hAnsi="宋体" w:eastAsia="宋体" w:cs="宋体"/>
          <w:color w:val="auto"/>
          <w:sz w:val="24"/>
          <w:szCs w:val="24"/>
          <w:highlight w:val="none"/>
        </w:rPr>
        <w:t xml:space="preserve">合同签订前上缴院方履约保证金10万元，到期无息退还经考核扣罚后的剩余总额</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中标人应当以支票、汇票、本票或者金融机构、担保机构出具的保函等非现金形式在合同签订前提交。</w:t>
      </w:r>
      <w:r/>
    </w:p>
    <w:p>
      <w:pPr>
        <w:numPr>
          <w:ilvl w:val="0"/>
          <w:numId w:val="0"/>
        </w:numPr>
        <w:ind w:left="0" w:right="0" w:firstLine="480"/>
        <w:jc w:val="left"/>
        <w:keepLines w:val="0"/>
        <w:keepNext w:val="0"/>
        <w:pageBreakBefore w:val="0"/>
        <w:spacing w:line="360" w:lineRule="auto"/>
        <w:widowControl w:val="off"/>
        <w:rPr>
          <w:rFonts w:ascii="Arial" w:hAnsi="Arial" w:cs="Arial"/>
          <w:b/>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cs="Times New Roman"/>
          <w:color w:val="auto"/>
          <w:sz w:val="24"/>
          <w:szCs w:val="24"/>
          <w:highlight w:val="none"/>
        </w:rPr>
        <w:t xml:space="preserve">履</w:t>
      </w:r>
      <w:r>
        <w:rPr>
          <w:rFonts w:hint="eastAsia" w:ascii="宋体" w:hAnsi="宋体" w:cs="Times New Roman"/>
          <w:color w:val="auto"/>
          <w:sz w:val="24"/>
          <w:szCs w:val="24"/>
          <w:highlight w:val="none"/>
        </w:rPr>
        <w:t xml:space="preserve">约保证金自合同生效之日起至合同约定的中标人主要义务履行完毕止，采购人按合同约定退还履</w:t>
      </w:r>
      <w:r>
        <w:rPr>
          <w:rFonts w:hint="eastAsia" w:ascii="宋体" w:hAnsi="宋体" w:eastAsia="宋体" w:cs="Times New Roman"/>
          <w:color w:val="auto"/>
          <w:sz w:val="24"/>
          <w:szCs w:val="24"/>
          <w:highlight w:val="none"/>
        </w:rPr>
        <w:t xml:space="preserve">约保证金。中标人违约的，采购人将按照合同约定扣除其全部或部分履约保证金。如中标人违约给采购人造成的损失超过履约保证金的，应当依法赔偿超过部分的损失。</w:t>
      </w:r>
      <w:r>
        <w:rPr>
          <w:rFonts w:ascii="Arial" w:hAnsi="Arial" w:cs="Arial"/>
          <w:b/>
          <w:color w:val="auto"/>
          <w:sz w:val="24"/>
          <w:szCs w:val="24"/>
          <w:highlight w:val="none"/>
        </w:rPr>
        <w:br w:type="page" w:clear="all"/>
      </w:r>
      <w:r/>
    </w:p>
    <w:p>
      <w:pPr>
        <w:numPr>
          <w:ilvl w:val="-1"/>
          <w:numId w:val="0"/>
        </w:numPr>
        <w:ind w:firstLine="0"/>
        <w:jc w:val="center"/>
        <w:keepLines w:val="0"/>
        <w:keepNext w:val="0"/>
        <w:pageBreakBefore w:val="0"/>
        <w:spacing w:line="360" w:lineRule="auto"/>
        <w:widowControl w:val="off"/>
        <w:rPr>
          <w:rFonts w:ascii="黑体" w:eastAsia="黑体"/>
          <w:bCs/>
          <w:color w:val="auto"/>
          <w:sz w:val="44"/>
          <w:highlight w:val="none"/>
        </w:rPr>
      </w:pPr>
      <w:r/>
      <w:bookmarkStart w:id="260" w:name="_Toc19583"/>
      <w:r/>
      <w:bookmarkStart w:id="261" w:name="_Toc3139"/>
      <w:r/>
      <w:bookmarkStart w:id="262" w:name="_Toc120614281"/>
      <w:r>
        <w:rPr>
          <w:rFonts w:hint="eastAsia" w:ascii="黑体" w:eastAsia="黑体"/>
          <w:color w:val="auto"/>
          <w:sz w:val="44"/>
          <w:szCs w:val="44"/>
          <w:highlight w:val="none"/>
        </w:rPr>
        <w:t xml:space="preserve">第五章  评标方法与评标标准</w:t>
      </w:r>
      <w:bookmarkEnd w:id="260"/>
      <w:r/>
      <w:bookmarkEnd w:id="261"/>
      <w:r/>
      <w:r/>
    </w:p>
    <w:p>
      <w:pPr>
        <w:spacing w:line="360" w:lineRule="auto"/>
        <w:rPr>
          <w:color w:val="auto"/>
          <w:highlight w:val="none"/>
        </w:rPr>
      </w:pPr>
      <w:r>
        <w:rPr>
          <w:color w:val="auto"/>
          <w:highlight w:val="none"/>
        </w:rPr>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color w:val="auto"/>
          <w:sz w:val="24"/>
          <w:highlight w:val="none"/>
          <w:lang w:val="en-US" w:eastAsia="zh-CN"/>
        </w:rPr>
        <w:t xml:space="preserve">两个采购包均</w:t>
      </w:r>
      <w:r>
        <w:rPr>
          <w:rFonts w:hint="eastAsia" w:ascii="宋体" w:hAnsi="宋体"/>
          <w:color w:val="auto"/>
          <w:sz w:val="24"/>
          <w:highlight w:val="none"/>
        </w:rPr>
        <w:t xml:space="preserve">选取1名中标候选人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兼投兼中</w:t>
      </w:r>
      <w:r>
        <w:rPr>
          <w:rFonts w:hint="eastAsia" w:ascii="宋体" w:hAnsi="宋体"/>
          <w:color w:val="auto"/>
          <w:sz w:val="24"/>
          <w:highlight w:val="none"/>
        </w:rPr>
        <w:t xml:space="preserve">。</w:t>
      </w:r>
      <w:r/>
    </w:p>
    <w:p>
      <w:pPr>
        <w:pStyle w:val="1046"/>
        <w:ind w:hanging="343"/>
        <w:jc w:val="center"/>
        <w:spacing w:line="360" w:lineRule="auto"/>
        <w:tabs>
          <w:tab w:val="left" w:pos="720" w:leader="none"/>
        </w:tabs>
        <w:rPr>
          <w:rFonts w:hint="eastAsia" w:eastAsia="宋体"/>
          <w:b/>
          <w:color w:val="auto"/>
          <w:sz w:val="28"/>
          <w:szCs w:val="28"/>
          <w:highlight w:val="none"/>
          <w:lang w:eastAsia="zh-CN"/>
        </w:rPr>
      </w:pPr>
      <w:r>
        <w:rPr>
          <w:rFonts w:hint="eastAsia"/>
          <w:b/>
          <w:color w:val="auto"/>
          <w:sz w:val="28"/>
          <w:szCs w:val="28"/>
          <w:highlight w:val="none"/>
        </w:rPr>
        <w:t xml:space="preserve">综合评分法</w:t>
      </w:r>
      <w:r>
        <w:rPr>
          <w:rFonts w:hint="eastAsia"/>
          <w:b/>
          <w:color w:val="auto"/>
          <w:sz w:val="28"/>
          <w:szCs w:val="28"/>
          <w:highlight w:val="none"/>
          <w:lang w:eastAsia="zh-CN"/>
        </w:rPr>
        <w:t xml:space="preserve">（采购包一及采购包二）</w:t>
      </w:r>
      <w:r/>
    </w:p>
    <w:p>
      <w:pPr>
        <w:ind w:left="42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价格分：</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w:t>
      </w:r>
      <w:r>
        <w:rPr>
          <w:rFonts w:hint="eastAsia" w:ascii="宋体" w:hAnsi="宋体" w:eastAsia="宋体" w:cs="宋体"/>
          <w:color w:val="auto"/>
          <w:sz w:val="24"/>
          <w:szCs w:val="24"/>
          <w:highlight w:val="none"/>
        </w:rPr>
        <w:t xml:space="preserve">要求且价格最低的</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报价为评标基准价，其价格分为满分。其他</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的价格分统一按照下列公式计算：</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报价得分=（基准价/</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报价）X</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numPr>
          <w:ilvl w:val="0"/>
          <w:numId w:val="7"/>
        </w:numPr>
        <w:ind w:left="42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商务技术分：</w:t>
      </w:r>
      <w:r>
        <w:rPr>
          <w:rFonts w:hint="eastAsia" w:ascii="宋体" w:hAnsi="宋体" w:cs="宋体"/>
          <w:b/>
          <w:color w:val="auto"/>
          <w:sz w:val="24"/>
          <w:szCs w:val="24"/>
          <w:highlight w:val="none"/>
          <w:lang w:val="en-US" w:eastAsia="zh-CN"/>
        </w:rPr>
        <w:t xml:space="preserve">90</w:t>
      </w:r>
      <w:r>
        <w:rPr>
          <w:rFonts w:hint="eastAsia" w:ascii="宋体" w:hAnsi="宋体" w:eastAsia="宋体" w:cs="宋体"/>
          <w:b/>
          <w:color w:val="auto"/>
          <w:sz w:val="24"/>
          <w:szCs w:val="24"/>
          <w:highlight w:val="none"/>
        </w:rPr>
        <w:t xml:space="preserve">分</w:t>
      </w:r>
      <w:r/>
    </w:p>
    <w:tbl>
      <w:tblPr>
        <w:tblStyle w:val="783"/>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9"/>
        <w:gridCol w:w="7740"/>
      </w:tblGrid>
      <w:tr>
        <w:trPr>
          <w:cantSplit/>
          <w:jc w:val="center"/>
          <w:trHeight w:val="760"/>
        </w:trPr>
        <w:tc>
          <w:tcPr>
            <w:tcW w:w="1719"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740"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教育培训</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为提升保安员安防业务能力，投标人需编制教育培训服务方案。内容包含但不限于</w:t>
            </w:r>
            <w:r>
              <w:rPr>
                <w:rFonts w:hint="eastAsia" w:ascii="宋体" w:hAnsi="宋体" w:eastAsia="宋体" w:cs="宋体"/>
                <w:color w:val="auto"/>
                <w:sz w:val="24"/>
                <w:szCs w:val="24"/>
                <w:highlight w:val="none"/>
                <w:lang w:eastAsia="zh-CN"/>
              </w:rPr>
              <w:t xml:space="preserve">日常服务培训、技能培训、</w:t>
            </w:r>
            <w:r>
              <w:rPr>
                <w:rFonts w:hint="eastAsia" w:ascii="宋体" w:hAnsi="宋体" w:eastAsia="宋体" w:cs="宋体"/>
                <w:color w:val="auto"/>
                <w:sz w:val="24"/>
                <w:szCs w:val="24"/>
                <w:highlight w:val="none"/>
              </w:rPr>
              <w:t xml:space="preserve">疫情防控</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、进阶培训、交流学习、继续教育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礼仪、应急处突</w:t>
            </w:r>
            <w:r>
              <w:rPr>
                <w:rFonts w:hint="eastAsia" w:ascii="宋体" w:hAnsi="宋体" w:eastAsia="宋体" w:cs="宋体"/>
                <w:color w:val="auto"/>
                <w:sz w:val="24"/>
                <w:szCs w:val="24"/>
                <w:highlight w:val="none"/>
              </w:rPr>
              <w:t xml:space="preserve">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36"/>
              <w:jc w:val="both"/>
              <w:spacing w:line="360" w:lineRule="auto"/>
              <w:rPr>
                <w:rFonts w:hint="eastAsia" w:ascii="宋体" w:hAnsi="宋体" w:eastAsia="宋体" w:cs="宋体"/>
                <w:color w:val="auto"/>
                <w:sz w:val="24"/>
                <w:szCs w:val="24"/>
                <w:highlight w:val="none"/>
              </w:rPr>
            </w:pPr>
            <w:r>
              <w:rPr>
                <w:rFonts w:hint="eastAsia" w:asciiTheme="minorEastAsia" w:hAnsiTheme="minorEastAsia" w:eastAsiaTheme="minorEastAsia"/>
                <w:b/>
                <w:bCs/>
                <w:color w:val="auto"/>
                <w:sz w:val="24"/>
                <w:szCs w:val="24"/>
                <w:highlight w:val="none"/>
              </w:rPr>
              <w:t xml:space="preserve">未见阐述不得分</w:t>
            </w:r>
            <w:r>
              <w:rPr>
                <w:rFonts w:hint="eastAsia" w:asciiTheme="minorEastAsia" w:hAnsiTheme="minorEastAsia" w:eastAsiaTheme="minorEastAsia"/>
                <w:color w:val="auto"/>
                <w:sz w:val="24"/>
                <w:szCs w:val="24"/>
                <w:highlight w:val="none"/>
              </w:rPr>
              <w:t xml:space="preserve">。</w:t>
            </w:r>
            <w:r/>
          </w:p>
        </w:tc>
      </w:tr>
      <w:tr>
        <w:trPr>
          <w:jc w:val="center"/>
          <w:trHeight w:val="2046"/>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治安工作实施方案</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74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投标人提供详细的治安工作实施方案。</w:t>
            </w:r>
            <w:r>
              <w:rPr>
                <w:rFonts w:hint="eastAsia" w:ascii="宋体" w:hAnsi="宋体" w:cs="宋体"/>
                <w:color w:val="auto"/>
                <w:sz w:val="24"/>
                <w:szCs w:val="24"/>
                <w:highlight w:val="none"/>
                <w:lang w:eastAsia="zh-CN"/>
              </w:rPr>
              <w:t xml:space="preserve">主要</w:t>
            </w:r>
            <w:r>
              <w:rPr>
                <w:rFonts w:hint="eastAsia" w:ascii="宋体" w:hAnsi="宋体" w:eastAsia="宋体" w:cs="宋体"/>
                <w:color w:val="auto"/>
                <w:sz w:val="24"/>
                <w:szCs w:val="24"/>
                <w:highlight w:val="none"/>
              </w:rPr>
              <w:t xml:space="preserve">包括</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一般偷、盗、抢案（事）件处置、</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医托处置、</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病区一键报警处置、</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涉医伤害事件处置、涉医违法犯罪演练、</w:t>
            </w:r>
            <w:r>
              <w:rPr>
                <w:rFonts w:hint="eastAsia" w:ascii="宋体" w:hAnsi="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特勤队业务训练计划、重点部位巡逻、</w:t>
            </w:r>
            <w:r>
              <w:rPr>
                <w:rFonts w:hint="eastAsia" w:ascii="宋体" w:hAnsi="宋体" w:eastAsia="宋体" w:cs="宋体"/>
                <w:color w:val="auto"/>
                <w:sz w:val="24"/>
                <w:szCs w:val="24"/>
                <w:highlight w:val="none"/>
                <w:lang w:val="en-US" w:eastAsia="zh-CN"/>
              </w:rPr>
              <w:t xml:space="preserve">安检门管理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车辆管理、疫情常态化人员防控处置等方案等内容：</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669"/>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消防工作实施方案</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4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投标人提供详细的消防工作实施方案，主要包括建筑消防设施报警处置方案、微型消防站业务训练计划、消防室值班员业务培训方案、建筑消防设施巡更等方案等内容：</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2002"/>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信息化考勤、督查方案</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7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精准信息化考勤方案和</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信息化督查方案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包含人员定位、人脸识别、指纹识别等有效信息化防作弊考勤措施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需具备信息化管理平台技术等。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奖励机制</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4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投标人提供奖励机制方案。</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需包含每月对先进个人或先进集体</w:t>
            </w:r>
            <w:r>
              <w:rPr>
                <w:rFonts w:hint="eastAsia" w:ascii="宋体" w:hAnsi="宋体" w:eastAsia="宋体" w:cs="宋体"/>
                <w:color w:val="auto"/>
                <w:sz w:val="24"/>
                <w:szCs w:val="24"/>
                <w:highlight w:val="none"/>
                <w:lang w:eastAsia="zh-CN"/>
              </w:rPr>
              <w:t xml:space="preserve">（如见义勇为、拾金不昧、应急处突及省市检查表现优异等）</w:t>
            </w:r>
            <w:r>
              <w:rPr>
                <w:rFonts w:hint="eastAsia" w:ascii="宋体" w:hAnsi="宋体" w:eastAsia="宋体" w:cs="宋体"/>
                <w:color w:val="auto"/>
                <w:sz w:val="24"/>
                <w:szCs w:val="24"/>
                <w:highlight w:val="none"/>
              </w:rPr>
              <w:t xml:space="preserve">进行物质奖励</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明确奖励金额，能够</w:t>
            </w:r>
            <w:r>
              <w:rPr>
                <w:rFonts w:hint="eastAsia" w:ascii="宋体" w:hAnsi="宋体" w:eastAsia="宋体" w:cs="宋体"/>
                <w:color w:val="auto"/>
                <w:sz w:val="24"/>
                <w:szCs w:val="24"/>
                <w:highlight w:val="none"/>
              </w:rPr>
              <w:t xml:space="preserve">提高工作集体积极性</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方案等内容。</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情形的奖励举措</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未见阐述不得分。未见阐述不得分。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突发事件应急联动方案</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7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突发事件应急联动方案</w:t>
            </w:r>
            <w:r>
              <w:rPr>
                <w:rFonts w:hint="eastAsia" w:ascii="宋体" w:hAnsi="宋体" w:eastAsia="宋体" w:cs="宋体"/>
                <w:color w:val="auto"/>
                <w:sz w:val="24"/>
                <w:szCs w:val="24"/>
                <w:highlight w:val="none"/>
              </w:rPr>
              <w:t xml:space="preserve">。需包括</w:t>
            </w:r>
            <w:r>
              <w:rPr>
                <w:rFonts w:hint="eastAsia" w:ascii="宋体" w:hAnsi="宋体" w:eastAsia="宋体" w:cs="宋体"/>
                <w:color w:val="auto"/>
                <w:sz w:val="24"/>
                <w:szCs w:val="24"/>
                <w:highlight w:val="none"/>
                <w:lang w:val="en-US" w:eastAsia="zh-CN"/>
              </w:rPr>
              <w:t xml:space="preserve">突发医闹、火灾等事件，需增加保安联动开展维稳、灭火、救援的增援联动方式、应对不同数量违法医闹人员的应急反应时间</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90"/>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应急保障预案6分</w:t>
            </w:r>
            <w:r/>
          </w:p>
        </w:tc>
        <w:tc>
          <w:tcPr>
            <w:tcW w:w="774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制定完善的应急保障预案、应急物资、应急人才储备等。应急保障预案内容至少包含病区一键报警应急预案、医托治理预案、医闹处置预案、火灾</w:t>
            </w:r>
            <w:r>
              <w:rPr>
                <w:rFonts w:hint="eastAsia" w:ascii="宋体" w:hAnsi="宋体" w:cs="宋体"/>
                <w:color w:val="auto"/>
                <w:sz w:val="24"/>
                <w:szCs w:val="24"/>
                <w:highlight w:val="none"/>
                <w:lang w:eastAsia="zh-CN"/>
              </w:rPr>
              <w:t xml:space="preserve">应急</w:t>
            </w:r>
            <w:r>
              <w:rPr>
                <w:rFonts w:hint="eastAsia" w:ascii="宋体" w:hAnsi="宋体" w:eastAsia="宋体" w:cs="宋体"/>
                <w:color w:val="auto"/>
                <w:sz w:val="24"/>
                <w:szCs w:val="24"/>
                <w:highlight w:val="none"/>
              </w:rPr>
              <w:t xml:space="preserve">方案包含以上</w:t>
            </w:r>
            <w:r>
              <w:rPr>
                <w:rFonts w:hint="default"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1385"/>
        </w:trPr>
        <w:tc>
          <w:tcPr>
            <w:tcW w:w="171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拟派</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综合实力</w:t>
            </w:r>
            <w:r/>
          </w:p>
          <w:p>
            <w:pPr>
              <w:pStyle w:val="836"/>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7740" w:type="dxa"/>
            <w:vAlign w:val="center"/>
            <w:textDirection w:val="lrTb"/>
            <w:noWrap w:val="false"/>
          </w:tcPr>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lang w:eastAsia="zh-CN"/>
              </w:rPr>
              <w:t xml:space="preserve">在满足招标文件的基础上，</w:t>
            </w:r>
            <w:r>
              <w:rPr>
                <w:rFonts w:hint="eastAsia" w:ascii="宋体" w:hAnsi="宋体" w:eastAsia="宋体" w:cs="宋体"/>
                <w:color w:val="auto"/>
                <w:sz w:val="24"/>
                <w:szCs w:val="24"/>
                <w:highlight w:val="none"/>
              </w:rPr>
              <w:t xml:space="preserve">具有本科及以上学历的</w:t>
            </w:r>
            <w:r>
              <w:rPr>
                <w:rFonts w:hint="eastAsia" w:ascii="宋体" w:hAnsi="宋体" w:eastAsia="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投标文件中</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身份证和</w:t>
            </w:r>
            <w:r>
              <w:rPr>
                <w:rFonts w:hint="eastAsia" w:ascii="宋体" w:hAnsi="宋体" w:eastAsia="宋体" w:cs="宋体"/>
                <w:b/>
                <w:bCs/>
                <w:color w:val="auto"/>
                <w:sz w:val="24"/>
                <w:szCs w:val="24"/>
                <w:highlight w:val="none"/>
              </w:rPr>
              <w:t xml:space="preserve">学历证书</w:t>
            </w:r>
            <w:r>
              <w:rPr>
                <w:rFonts w:hint="eastAsia" w:ascii="宋体" w:hAnsi="宋体" w:eastAsia="宋体" w:cs="宋体"/>
                <w:b/>
                <w:bCs/>
                <w:color w:val="auto"/>
                <w:sz w:val="24"/>
                <w:szCs w:val="24"/>
                <w:highlight w:val="none"/>
                <w:lang w:val="en-US" w:eastAsia="zh-CN" w:bidi="ar-SA"/>
              </w:rPr>
              <w:t xml:space="preserve">及投标人自202</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年1月至今任意</w:t>
            </w:r>
            <w:r>
              <w:rPr>
                <w:rFonts w:hint="eastAsia" w:ascii="宋体" w:hAnsi="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个月为其缴纳的社保证明材料</w:t>
            </w:r>
            <w:r>
              <w:rPr>
                <w:rFonts w:hint="eastAsia" w:ascii="宋体" w:hAnsi="宋体" w:eastAsia="宋体" w:cs="宋体"/>
                <w:b/>
                <w:bCs/>
                <w:color w:val="auto"/>
                <w:sz w:val="24"/>
                <w:szCs w:val="24"/>
                <w:highlight w:val="none"/>
              </w:rPr>
              <w:t xml:space="preserve">原件扫描件并加盖公章。</w:t>
            </w:r>
            <w:r/>
          </w:p>
        </w:tc>
      </w:tr>
      <w:tr>
        <w:trPr>
          <w:jc w:val="center"/>
          <w:trHeight w:val="90"/>
        </w:trPr>
        <w:tc>
          <w:tcPr>
            <w:tcW w:w="1719" w:type="dxa"/>
            <w:vAlign w:val="center"/>
            <w:vMerge w:val="continue"/>
            <w:textDirection w:val="lrTb"/>
            <w:noWrap w:val="false"/>
          </w:tcPr>
          <w:p>
            <w:pPr>
              <w:pStyle w:val="83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0" w:type="dxa"/>
            <w:vAlign w:val="center"/>
            <w:textDirection w:val="lrTb"/>
            <w:noWrap w:val="false"/>
          </w:tcPr>
          <w:p>
            <w:pPr>
              <w:pStyle w:val="836"/>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bidi="ar-SA"/>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lang w:val="en-US" w:eastAsia="zh-CN" w:bidi="ar-SA"/>
              </w:rPr>
              <w:t xml:space="preserve">具有中级保安员（四级）证书的得1分，高级保安员（三级）及以上等级证书的得2分，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投标文件中</w:t>
            </w:r>
            <w:r>
              <w:rPr>
                <w:rFonts w:hint="eastAsia" w:ascii="宋体" w:hAnsi="宋体" w:eastAsia="宋体" w:cs="宋体"/>
                <w:b/>
                <w:bCs/>
                <w:color w:val="auto"/>
                <w:sz w:val="24"/>
                <w:szCs w:val="24"/>
                <w:highlight w:val="none"/>
              </w:rPr>
              <w:t xml:space="preserve">提供证书原件扫描件并加盖公章。</w:t>
            </w:r>
            <w:r/>
          </w:p>
        </w:tc>
      </w:tr>
      <w:tr>
        <w:trPr>
          <w:jc w:val="center"/>
          <w:trHeight w:val="1593"/>
        </w:trPr>
        <w:tc>
          <w:tcPr>
            <w:tcW w:w="1719" w:type="dxa"/>
            <w:vAlign w:val="center"/>
            <w:vMerge w:val="continue"/>
            <w:textDirection w:val="lrTb"/>
            <w:noWrap w:val="false"/>
          </w:tcPr>
          <w:p>
            <w:pPr>
              <w:pStyle w:val="83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0" w:type="dxa"/>
            <w:vAlign w:val="center"/>
            <w:textDirection w:val="lrTb"/>
            <w:noWrap w:val="false"/>
          </w:tcPr>
          <w:p>
            <w:pPr>
              <w:pStyle w:val="847"/>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bidi="ar-SA"/>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lang w:val="en-US" w:eastAsia="zh-CN" w:bidi="ar-SA"/>
              </w:rPr>
              <w:t xml:space="preserve">具有3年以上保安服务项目负责人管理经验的，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投标文件中</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合同</w:t>
            </w:r>
            <w:r>
              <w:rPr>
                <w:rFonts w:hint="eastAsia" w:ascii="宋体" w:hAnsi="宋体" w:eastAsia="宋体" w:cs="宋体"/>
                <w:b/>
                <w:bCs/>
                <w:color w:val="auto"/>
                <w:sz w:val="24"/>
                <w:szCs w:val="24"/>
                <w:highlight w:val="none"/>
              </w:rPr>
              <w:t xml:space="preserve">扫描件并加盖公章</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lang w:val="en-US" w:eastAsia="zh-CN"/>
              </w:rPr>
              <w:t xml:space="preserve">证明材料</w:t>
            </w:r>
            <w:r>
              <w:rPr>
                <w:rFonts w:hint="eastAsia" w:ascii="宋体" w:hAnsi="宋体" w:eastAsia="宋体" w:cs="宋体"/>
                <w:b/>
                <w:bCs/>
                <w:color w:val="auto"/>
                <w:sz w:val="24"/>
                <w:szCs w:val="24"/>
                <w:highlight w:val="none"/>
              </w:rPr>
              <w:t xml:space="preserve">。</w:t>
            </w:r>
            <w:r/>
          </w:p>
        </w:tc>
      </w:tr>
      <w:tr>
        <w:trPr>
          <w:jc w:val="center"/>
          <w:trHeight w:val="253"/>
        </w:trPr>
        <w:tc>
          <w:tcPr>
            <w:tcW w:w="1719" w:type="dxa"/>
            <w:vAlign w:val="center"/>
            <w:vMerge w:val="continue"/>
            <w:textDirection w:val="lrTb"/>
            <w:noWrap w:val="false"/>
          </w:tcPr>
          <w:p>
            <w:pPr>
              <w:pStyle w:val="83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0" w:type="dxa"/>
            <w:vAlign w:val="center"/>
            <w:textDirection w:val="lrTb"/>
            <w:noWrap w:val="false"/>
          </w:tcPr>
          <w:p>
            <w:pPr>
              <w:pStyle w:val="836"/>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拟派项目</w:t>
            </w:r>
            <w:r>
              <w:rPr>
                <w:rFonts w:hint="eastAsia" w:ascii="宋体" w:hAnsi="宋体" w:cs="宋体"/>
                <w:color w:val="auto"/>
                <w:sz w:val="24"/>
                <w:szCs w:val="24"/>
                <w:highlight w:val="none"/>
                <w:lang w:val="en-US" w:eastAsia="zh-CN" w:bidi="ar-SA"/>
              </w:rPr>
              <w:t xml:space="preserve">负责人</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级建（构）筑物消防员（国家职业资格</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以上证书</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没有不得分。</w:t>
            </w:r>
            <w:r/>
          </w:p>
        </w:tc>
      </w:tr>
      <w:tr>
        <w:trPr>
          <w:jc w:val="center"/>
          <w:trHeight w:val="253"/>
        </w:trPr>
        <w:tc>
          <w:tcPr>
            <w:tcW w:w="1719" w:type="dxa"/>
            <w:vAlign w:val="center"/>
            <w:textDirection w:val="lrTb"/>
            <w:noWrap w:val="false"/>
          </w:tcPr>
          <w:p>
            <w:pPr>
              <w:pStyle w:val="836"/>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带班队长</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3分</w:t>
            </w:r>
            <w:r>
              <w:rPr>
                <w:rFonts w:hint="eastAsia" w:ascii="宋体" w:hAnsi="宋体" w:cs="宋体"/>
                <w:color w:val="auto"/>
                <w:sz w:val="24"/>
                <w:szCs w:val="24"/>
                <w:highlight w:val="none"/>
                <w:lang w:eastAsia="zh-CN" w:bidi="ar"/>
              </w:rPr>
              <w:t xml:space="preserve">）</w:t>
            </w:r>
            <w:r/>
          </w:p>
        </w:tc>
        <w:tc>
          <w:tcPr>
            <w:tcW w:w="7740" w:type="dxa"/>
            <w:vAlign w:val="center"/>
            <w:textDirection w:val="lrTb"/>
            <w:noWrap w:val="false"/>
          </w:tcPr>
          <w:p>
            <w:pPr>
              <w:pStyle w:val="836"/>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带班队长</w:t>
            </w:r>
            <w:r>
              <w:rPr>
                <w:rFonts w:hint="eastAsia" w:ascii="宋体" w:hAnsi="宋体" w:cs="宋体"/>
                <w:color w:val="auto"/>
                <w:sz w:val="24"/>
                <w:szCs w:val="24"/>
                <w:highlight w:val="none"/>
                <w:lang w:val="en-US" w:eastAsia="zh-CN" w:bidi="ar-SA"/>
              </w:rPr>
              <w:t xml:space="preserve">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级）及以上或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级建（构）筑物消防员（国家职业资格</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rPr>
              <w:t xml:space="preserve">的，每有一个得1分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最高加3分</w:t>
            </w:r>
            <w:bookmarkStart w:id="295" w:name="_GoBack"/>
            <w:r/>
            <w:bookmarkEnd w:id="295"/>
            <w:r/>
            <w:r/>
          </w:p>
        </w:tc>
      </w:tr>
      <w:tr>
        <w:trPr>
          <w:jc w:val="center"/>
          <w:trHeight w:val="2803"/>
        </w:trPr>
        <w:tc>
          <w:tcPr>
            <w:tcW w:w="1719" w:type="dxa"/>
            <w:vAlign w:val="center"/>
            <w:textDirection w:val="lrTb"/>
            <w:noWrap w:val="false"/>
          </w:tcPr>
          <w:p>
            <w:pPr>
              <w:pStyle w:val="836"/>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7740"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除消控室值班员外，</w:t>
            </w:r>
            <w:r>
              <w:rPr>
                <w:rFonts w:hint="eastAsia" w:ascii="宋体" w:hAnsi="宋体" w:eastAsia="宋体" w:cs="宋体"/>
                <w:color w:val="auto"/>
                <w:sz w:val="24"/>
                <w:szCs w:val="24"/>
                <w:highlight w:val="none"/>
              </w:rPr>
              <w:t xml:space="preserve">拟派</w:t>
            </w:r>
            <w:r>
              <w:rPr>
                <w:rFonts w:hint="eastAsia" w:ascii="宋体" w:hAnsi="宋体" w:eastAsia="宋体" w:cs="宋体"/>
                <w:color w:val="auto"/>
                <w:sz w:val="24"/>
                <w:szCs w:val="24"/>
                <w:highlight w:val="none"/>
                <w:lang w:val="en-US" w:eastAsia="zh-CN"/>
              </w:rPr>
              <w:t xml:space="preserve">其他岗位人员中</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级）及以上或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级建（构）筑物消防员（国家职业资格</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rPr>
              <w:t xml:space="preserve">的，每有一个得1分，</w:t>
            </w:r>
            <w:r>
              <w:rPr>
                <w:rFonts w:hint="eastAsia" w:ascii="宋体" w:hAnsi="宋体" w:eastAsia="宋体" w:cs="宋体"/>
                <w:b/>
                <w:color w:val="auto"/>
                <w:sz w:val="24"/>
                <w:szCs w:val="24"/>
                <w:highlight w:val="none"/>
              </w:rPr>
              <w:t xml:space="preserve">最高得</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除项目经理外，</w:t>
            </w:r>
            <w:r>
              <w:rPr>
                <w:rFonts w:hint="eastAsia" w:ascii="宋体" w:hAnsi="宋体" w:eastAsia="宋体" w:cs="宋体"/>
                <w:color w:val="auto"/>
                <w:sz w:val="24"/>
                <w:szCs w:val="24"/>
                <w:highlight w:val="none"/>
              </w:rPr>
              <w:t xml:space="preserve">拟派保安</w:t>
            </w:r>
            <w:r>
              <w:rPr>
                <w:rFonts w:hint="eastAsia" w:ascii="宋体" w:hAnsi="宋体" w:eastAsia="宋体" w:cs="宋体"/>
                <w:color w:val="auto"/>
                <w:sz w:val="24"/>
                <w:szCs w:val="24"/>
                <w:highlight w:val="none"/>
                <w:lang w:val="en-US" w:eastAsia="zh-CN"/>
              </w:rPr>
              <w:t xml:space="preserve">员</w:t>
            </w:r>
            <w:r>
              <w:rPr>
                <w:rFonts w:hint="eastAsia" w:ascii="宋体" w:hAnsi="宋体" w:eastAsia="宋体" w:cs="宋体"/>
                <w:color w:val="auto"/>
                <w:sz w:val="24"/>
                <w:szCs w:val="24"/>
                <w:highlight w:val="none"/>
              </w:rPr>
              <w:t xml:space="preserve">中，具有高级保安员（三级）及以上等级证书的，每有一个得1分，</w:t>
            </w:r>
            <w:r>
              <w:rPr>
                <w:rFonts w:hint="eastAsia" w:ascii="宋体" w:hAnsi="宋体" w:eastAsia="宋体" w:cs="宋体"/>
                <w:b/>
                <w:color w:val="auto"/>
                <w:sz w:val="24"/>
                <w:szCs w:val="24"/>
                <w:highlight w:val="none"/>
              </w:rPr>
              <w:t xml:space="preserve">最高得</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pStyle w:val="785"/>
              <w:ind w:left="0" w:firstLine="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SA"/>
              </w:rPr>
              <w:t xml:space="preserve">拟派保安员中具有红十字会发放的《红十字救护员》证书的，每有一个得1分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最高得</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lang w:eastAsia="zh-CN"/>
              </w:rPr>
              <w:t xml:space="preserve">。</w:t>
            </w:r>
            <w:r/>
          </w:p>
          <w:p>
            <w:pPr>
              <w:rPr>
                <w:rFonts w:hint="eastAsia" w:eastAsia="宋体"/>
                <w:color w:val="auto"/>
                <w:highlight w:val="none"/>
                <w:lang w:val="en-US" w:eastAsia="zh-CN"/>
              </w:rP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机动队及微型消防站队</w:t>
            </w:r>
            <w:r>
              <w:rPr>
                <w:rFonts w:hint="eastAsia" w:ascii="宋体" w:hAnsi="宋体" w:cs="宋体"/>
                <w:b w:val="0"/>
                <w:bCs/>
                <w:color w:val="auto"/>
                <w:sz w:val="24"/>
                <w:szCs w:val="24"/>
                <w:highlight w:val="none"/>
              </w:rPr>
              <w:t xml:space="preserve">每配备1名退役军人加1分，最高得6分</w:t>
            </w:r>
            <w:r>
              <w:rPr>
                <w:rFonts w:hint="eastAsia" w:ascii="宋体" w:hAnsi="宋体" w:cs="宋体"/>
                <w:b w:val="0"/>
                <w:bCs/>
                <w:color w:val="auto"/>
                <w:sz w:val="24"/>
                <w:szCs w:val="24"/>
                <w:highlight w:val="none"/>
                <w:lang w:eastAsia="zh-CN"/>
              </w:rPr>
              <w:t xml:space="preserve">。</w:t>
            </w:r>
            <w:r/>
          </w:p>
          <w:p>
            <w:pPr>
              <w:pStyle w:val="836"/>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（上述1-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项投标文件中提供有效相关证书及202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年1月至今任意</w:t>
            </w:r>
            <w:r>
              <w:rPr>
                <w:rFonts w:hint="eastAsia" w:ascii="宋体" w:hAnsi="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个月由投标人为其缴纳社保证明材料扫描件并加盖投标人公章，否则不得分）</w:t>
            </w:r>
            <w:r/>
          </w:p>
        </w:tc>
      </w:tr>
      <w:tr>
        <w:trPr>
          <w:jc w:val="center"/>
          <w:trHeight w:val="171"/>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体系认证</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0" w:type="dxa"/>
            <w:vAlign w:val="center"/>
            <w:textDirection w:val="lrTb"/>
            <w:noWrap w:val="false"/>
          </w:tcPr>
          <w:p>
            <w:pP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投标人通过质量管理体系认证的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投标人通过环境管理体系认证的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投标人通过职业健康安全管理体系认证的</w:t>
            </w:r>
            <w:r>
              <w:rPr>
                <w:rFonts w:hint="eastAsia" w:ascii="宋体" w:hAnsi="宋体" w:eastAsia="宋体" w:cs="宋体"/>
                <w:b/>
                <w:color w:val="auto"/>
                <w:sz w:val="24"/>
                <w:szCs w:val="24"/>
                <w:highlight w:val="none"/>
              </w:rPr>
              <w:t xml:space="preserve">得</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本项最高得6分。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注：投标文件中提供证书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在有效期内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原件扫描件并加盖公章。</w:t>
            </w:r>
            <w:r/>
          </w:p>
        </w:tc>
      </w:tr>
      <w:tr>
        <w:trPr>
          <w:jc w:val="center"/>
          <w:trHeight w:val="2863"/>
        </w:trPr>
        <w:tc>
          <w:tcPr>
            <w:tcW w:w="1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0" w:type="dxa"/>
            <w:vAlign w:val="center"/>
            <w:textDirection w:val="lrTb"/>
            <w:noWrap w:val="false"/>
          </w:tcPr>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自20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年1月1日起至今投标人具有</w:t>
            </w:r>
            <w:r>
              <w:rPr>
                <w:rFonts w:hint="eastAsia" w:asciiTheme="minorEastAsia" w:hAnsiTheme="minorEastAsia" w:eastAsiaTheme="minorEastAsia"/>
                <w:b/>
                <w:bCs/>
                <w:color w:val="auto"/>
                <w:sz w:val="24"/>
                <w:highlight w:val="none"/>
              </w:rPr>
              <w:t xml:space="preserve">医院保安服务项目</w:t>
            </w:r>
            <w:r>
              <w:rPr>
                <w:rFonts w:hint="eastAsia" w:ascii="宋体" w:hAnsi="宋体" w:eastAsia="宋体" w:cs="宋体"/>
                <w:color w:val="auto"/>
                <w:sz w:val="24"/>
                <w:szCs w:val="24"/>
                <w:highlight w:val="none"/>
              </w:rPr>
              <w:t xml:space="preserve">业绩的，每有一个得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最高得</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年1月1日起至今投标人具有</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保安服务项目业绩的，每有一个得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最高得</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注：投标文件中提供合同原件扫描件并加盖公章，时间、</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以合同签订为准，否则不得分。</w:t>
            </w:r>
            <w:r/>
          </w:p>
        </w:tc>
      </w:tr>
    </w:tbl>
    <w:p>
      <w:pPr>
        <w:pStyle w:val="1046"/>
        <w:ind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r>
      <w:r/>
    </w:p>
    <w:p>
      <w:pPr>
        <w:ind w:firstLine="482"/>
        <w:spacing w:line="360" w:lineRule="auto"/>
        <w:rPr>
          <w:b/>
          <w:bCs/>
          <w:color w:val="auto"/>
          <w:sz w:val="24"/>
          <w:szCs w:val="24"/>
          <w:highlight w:val="none"/>
        </w:rPr>
      </w:pPr>
      <w:r>
        <w:rPr>
          <w:rFonts w:hint="eastAsia"/>
          <w:b/>
          <w:bCs/>
          <w:color w:val="auto"/>
          <w:sz w:val="24"/>
          <w:szCs w:val="24"/>
          <w:highlight w:val="none"/>
        </w:rPr>
        <w:t xml:space="preserve">注：投标文件中所提供的全部证明材料，评审结束后采购人有权进行核实，如有不实，将按照相关法律法规规定进行处理。</w:t>
      </w:r>
      <w:bookmarkStart w:id="263" w:name="_Toc25769"/>
      <w:r/>
      <w:bookmarkStart w:id="264" w:name="_Toc19647"/>
      <w:r>
        <w:rPr>
          <w:rFonts w:hint="eastAsia" w:ascii="黑体" w:eastAsia="黑体"/>
          <w:color w:val="auto"/>
          <w:sz w:val="44"/>
          <w:szCs w:val="44"/>
          <w:highlight w:val="none"/>
        </w:rPr>
        <w:br w:type="page" w:clear="all"/>
      </w:r>
      <w:r>
        <w:rPr>
          <w:b/>
          <w:bCs/>
          <w:color w:val="auto"/>
          <w:sz w:val="24"/>
          <w:szCs w:val="24"/>
          <w:highlight w:val="none"/>
        </w:rPr>
      </w:r>
      <w:r/>
    </w:p>
    <w:p>
      <w:pPr>
        <w:pStyle w:val="985"/>
        <w:spacing w:line="360" w:lineRule="auto"/>
        <w:rPr>
          <w:rFonts w:ascii="黑体" w:eastAsia="黑体"/>
          <w:bCs/>
          <w:color w:val="auto"/>
          <w:sz w:val="44"/>
          <w:highlight w:val="none"/>
        </w:rPr>
      </w:pPr>
      <w:r>
        <w:rPr>
          <w:rFonts w:hint="eastAsia" w:ascii="黑体" w:eastAsia="黑体"/>
          <w:color w:val="auto"/>
          <w:sz w:val="44"/>
          <w:szCs w:val="44"/>
          <w:highlight w:val="none"/>
        </w:rPr>
        <w:t xml:space="preserve">第六章  投标</w:t>
      </w:r>
      <w:bookmarkEnd w:id="258"/>
      <w:r/>
      <w:bookmarkEnd w:id="259"/>
      <w:r/>
      <w:bookmarkEnd w:id="262"/>
      <w:r>
        <w:rPr>
          <w:rFonts w:hint="eastAsia" w:ascii="黑体" w:eastAsia="黑体"/>
          <w:color w:val="auto"/>
          <w:sz w:val="44"/>
          <w:szCs w:val="44"/>
          <w:highlight w:val="none"/>
        </w:rPr>
        <w:t xml:space="preserve">文件格式</w:t>
      </w:r>
      <w:bookmarkEnd w:id="263"/>
      <w:r/>
      <w:bookmarkEnd w:id="264"/>
      <w:r/>
      <w:r/>
    </w:p>
    <w:p>
      <w:pPr>
        <w:jc w:val="center"/>
        <w:rPr>
          <w:rFonts w:ascii="宋体" w:hAnsi="宋体"/>
          <w:b/>
          <w:color w:val="auto"/>
          <w:sz w:val="72"/>
          <w:highlight w:val="none"/>
        </w:rPr>
      </w:pPr>
      <w:r/>
      <w:bookmarkStart w:id="265" w:name="_Hlt26955039"/>
      <w:r/>
      <w:bookmarkEnd w:id="265"/>
      <w:r/>
      <w:bookmarkStart w:id="266" w:name="_Hlt26671244"/>
      <w:r/>
      <w:bookmarkEnd w:id="266"/>
      <w:r/>
      <w:bookmarkStart w:id="267" w:name="_Toc49090576"/>
      <w:r/>
      <w:bookmarkStart w:id="268" w:name="_Toc26554094"/>
      <w:r/>
      <w:bookmarkStart w:id="269" w:name="_Toc120614282"/>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color w:val="auto"/>
          <w:highlight w:val="none"/>
        </w:rPr>
      </w:pPr>
      <w:r>
        <w:rPr>
          <w:rFonts w:hint="eastAsia" w:ascii="宋体" w:hAnsi="宋体"/>
          <w:b/>
          <w:color w:val="auto"/>
          <w:sz w:val="36"/>
          <w:highlight w:val="none"/>
        </w:rPr>
        <w:t xml:space="preserve">      日      期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一、法人或者其他组织的营业执照等证明文件，自然人的身份证明</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二、具有良好的商业信誉和健全的财务会计制度</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三、依法缴纳税收和社会保障资金的相关材料</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四、具备履行合同所必需的设备和专业技术能力的书面声明</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五、参加政府采购活动前 3 年内在经营活动中没有重大违法记录的书面声明</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六、其他资格要求的证明文件</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七、法人授权书</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八、投标函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九、中小微企业声明函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十、残疾人福利性单位声明函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一</w:t>
      </w:r>
      <w:r>
        <w:rPr>
          <w:rFonts w:hint="eastAsia" w:ascii="宋体" w:hAnsi="宋体"/>
          <w:iCs/>
          <w:color w:val="auto"/>
          <w:sz w:val="24"/>
          <w:highlight w:val="none"/>
        </w:rPr>
        <w:t xml:space="preserve">、投标分项报价表</w:t>
      </w:r>
      <w:r/>
    </w:p>
    <w:p>
      <w:pPr>
        <w:ind w:firstLine="480"/>
        <w:spacing w:line="360" w:lineRule="auto"/>
        <w:rPr>
          <w:color w:val="auto"/>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二</w:t>
      </w:r>
      <w:r>
        <w:rPr>
          <w:rFonts w:hint="eastAsia" w:ascii="宋体" w:hAnsi="宋体"/>
          <w:iCs/>
          <w:color w:val="auto"/>
          <w:sz w:val="24"/>
          <w:highlight w:val="none"/>
        </w:rPr>
        <w:t xml:space="preserve">、商务、技术要求响应及偏离表</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三</w:t>
      </w:r>
      <w:r>
        <w:rPr>
          <w:rFonts w:hint="eastAsia" w:ascii="宋体" w:hAnsi="宋体"/>
          <w:iCs/>
          <w:color w:val="auto"/>
          <w:sz w:val="24"/>
          <w:highlight w:val="none"/>
        </w:rPr>
        <w:t xml:space="preserve">、开标一览表</w:t>
      </w:r>
      <w:r/>
    </w:p>
    <w:p>
      <w:pPr>
        <w:numPr>
          <w:ilvl w:val="0"/>
          <w:numId w:val="0"/>
        </w:numPr>
        <w:ind w:firstLine="480"/>
        <w:spacing w:line="360" w:lineRule="auto"/>
        <w:rPr>
          <w:rFonts w:hint="eastAsia" w:ascii="宋体" w:hAnsi="宋体"/>
          <w:iCs/>
          <w:color w:val="auto"/>
          <w:sz w:val="24"/>
          <w:highlight w:val="none"/>
        </w:rPr>
      </w:pPr>
      <w:r>
        <w:rPr>
          <w:rFonts w:hint="eastAsia" w:ascii="宋体" w:hAnsi="宋体" w:eastAsia="宋体" w:cs="Times New Roman"/>
          <w:iCs/>
          <w:color w:val="auto"/>
          <w:sz w:val="24"/>
          <w:szCs w:val="21"/>
          <w:highlight w:val="none"/>
          <w:lang w:val="en-US" w:eastAsia="zh-CN" w:bidi="ar-SA"/>
        </w:rPr>
        <w:t xml:space="preserve">十四、</w:t>
      </w:r>
      <w:r>
        <w:rPr>
          <w:rFonts w:hint="eastAsia" w:ascii="宋体" w:hAnsi="宋体"/>
          <w:iCs/>
          <w:color w:val="auto"/>
          <w:sz w:val="24"/>
          <w:highlight w:val="none"/>
        </w:rPr>
        <w:t xml:space="preserve">财务状况报告及税收、社会保障资金缴纳情况承诺函</w:t>
      </w:r>
      <w:r/>
    </w:p>
    <w:p>
      <w:pPr>
        <w:numPr>
          <w:ilvl w:val="0"/>
          <w:numId w:val="0"/>
        </w:numPr>
        <w:ind w:firstLine="480"/>
        <w:spacing w:line="360" w:lineRule="auto"/>
        <w:rPr>
          <w:rFonts w:ascii="宋体" w:hAnsi="宋体"/>
          <w:iCs/>
          <w:color w:val="auto"/>
          <w:sz w:val="24"/>
          <w:highlight w:val="none"/>
        </w:rPr>
      </w:pPr>
      <w:r>
        <w:rPr>
          <w:rFonts w:hint="eastAsia" w:ascii="宋体" w:hAnsi="宋体" w:eastAsia="宋体" w:cs="Times New Roman"/>
          <w:iCs/>
          <w:color w:val="auto"/>
          <w:sz w:val="24"/>
          <w:szCs w:val="21"/>
          <w:highlight w:val="none"/>
          <w:lang w:val="en-US" w:eastAsia="zh-CN" w:bidi="ar-SA"/>
        </w:rPr>
        <w:t xml:space="preserve">十五、</w:t>
      </w:r>
      <w:r>
        <w:rPr>
          <w:rFonts w:hint="eastAsia" w:ascii="宋体" w:hAnsi="宋体"/>
          <w:iCs/>
          <w:color w:val="auto"/>
          <w:sz w:val="24"/>
          <w:highlight w:val="none"/>
        </w:rPr>
        <w:t xml:space="preserve">关于符合本国产品标准的声明函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六</w:t>
      </w:r>
      <w:r>
        <w:rPr>
          <w:rFonts w:hint="eastAsia" w:ascii="宋体" w:hAnsi="宋体"/>
          <w:iCs/>
          <w:color w:val="auto"/>
          <w:sz w:val="24"/>
          <w:highlight w:val="none"/>
        </w:rPr>
        <w:t xml:space="preserve">、类似项目业绩一览表</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七</w:t>
      </w:r>
      <w:r>
        <w:rPr>
          <w:rFonts w:hint="eastAsia" w:ascii="宋体" w:hAnsi="宋体"/>
          <w:iCs/>
          <w:color w:val="auto"/>
          <w:sz w:val="24"/>
          <w:highlight w:val="none"/>
        </w:rPr>
        <w:t xml:space="preserve">、项目团队人员一览表</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二、具有良好的商业信誉和健全的财务会计制度</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根据连财购〔2023〕4号、连财购（2023）9号文件精神，可以提供《财务状况报告及税收、社会保障资金缴纳情况承诺函》。</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三、依法缴纳税收和社会保障资金的相关材料</w:t>
      </w:r>
      <w:bookmarkEnd w:id="267"/>
      <w:r/>
      <w:bookmarkEnd w:id="268"/>
      <w:r/>
      <w:bookmarkEnd w:id="269"/>
      <w:r/>
      <w:r/>
    </w:p>
    <w:p>
      <w:pPr>
        <w:ind w:firstLine="480"/>
        <w:rPr>
          <w:rFonts w:ascii="宋体" w:hAnsi="宋体"/>
          <w:bCs/>
          <w:color w:val="auto"/>
          <w:sz w:val="24"/>
          <w:highlight w:val="none"/>
        </w:rPr>
      </w:pPr>
      <w:r/>
      <w:bookmarkStart w:id="270" w:name="_Toc120614284"/>
      <w:r>
        <w:rPr>
          <w:rFonts w:hint="eastAsia" w:ascii="宋体" w:hAnsi="宋体"/>
          <w:bCs/>
          <w:color w:val="auto"/>
          <w:sz w:val="24"/>
          <w:highlight w:val="none"/>
        </w:rPr>
        <w:t xml:space="preserve">根据连财购〔2023〕4号、连财购（2023）9号文件精神，可以提供《财务状况报告及税收、社会保障资金缴纳情况承诺函》。</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四、具备履行合同所必需的设备和专业技术能力的书面声明</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主要设备有：。</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pStyle w:val="988"/>
        <w:ind w:firstLine="480"/>
        <w:rPr>
          <w:rFonts w:ascii="宋体" w:hAnsi="宋体"/>
          <w:bCs/>
          <w:color w:val="auto"/>
          <w:sz w:val="24"/>
          <w:highlight w:val="none"/>
        </w:rPr>
      </w:pPr>
      <w:r>
        <w:rPr>
          <w:rFonts w:hint="eastAsia" w:ascii="宋体" w:hAnsi="宋体"/>
          <w:bCs/>
          <w:color w:val="auto"/>
          <w:sz w:val="24"/>
          <w:highlight w:val="none"/>
        </w:rPr>
        <w:t xml:space="preserve">日期：    年     月     日</w:t>
      </w:r>
      <w:r/>
    </w:p>
    <w:p>
      <w:pPr>
        <w:pStyle w:val="988"/>
        <w:ind w:firstLine="482"/>
        <w:rPr>
          <w:rFonts w:ascii="宋体" w:hAnsi="宋体"/>
          <w:b/>
          <w:color w:val="auto"/>
          <w:sz w:val="24"/>
          <w:highlight w:val="none"/>
        </w:rPr>
      </w:pPr>
      <w:r>
        <w:rPr>
          <w:rFonts w:ascii="宋体" w:hAnsi="宋体"/>
          <w:b/>
          <w:color w:val="auto"/>
          <w:sz w:val="24"/>
          <w:highlight w:val="none"/>
        </w:rPr>
      </w:r>
      <w:r/>
    </w:p>
    <w:p>
      <w:pPr>
        <w:pStyle w:val="988"/>
        <w:ind w:firstLine="482"/>
        <w:rPr>
          <w:rFonts w:ascii="宋体" w:hAnsi="宋体"/>
          <w:b/>
          <w:color w:val="auto"/>
          <w:sz w:val="24"/>
          <w:highlight w:val="none"/>
        </w:rPr>
      </w:pPr>
      <w:r>
        <w:rPr>
          <w:rFonts w:hint="eastAsia" w:ascii="宋体" w:hAnsi="宋体"/>
          <w:b/>
          <w:color w:val="auto"/>
          <w:sz w:val="24"/>
          <w:highlight w:val="none"/>
        </w:rPr>
        <w:t xml:space="preserve">附主要设备和主要专业技术能力的证明材料如下：</w:t>
      </w:r>
      <w:r/>
    </w:p>
    <w:p>
      <w:pPr>
        <w:pStyle w:val="988"/>
        <w:ind w:firstLine="482"/>
        <w:rPr>
          <w:rFonts w:ascii="宋体" w:hAnsi="宋体"/>
          <w:b/>
          <w:color w:val="auto"/>
          <w:sz w:val="24"/>
          <w:highlight w:val="none"/>
        </w:rPr>
      </w:pPr>
      <w:r>
        <w:rPr>
          <w:rFonts w:ascii="宋体" w:hAnsi="宋体"/>
          <w:b/>
          <w:color w:val="auto"/>
          <w:sz w:val="24"/>
          <w:highlight w:val="non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六、其他资格要求的证明文件</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r/>
    </w:p>
    <w:p>
      <w:pPr>
        <w:jc w:val="center"/>
        <w:rPr>
          <w:rFonts w:ascii="黑体" w:hAnsi="黑体" w:eastAsia="黑体"/>
          <w:i/>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七、法人授权书</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本人（姓名）系（投标人名称）的法定代表人（单位负责人），现委托（姓名）为我方代理人。代理人根据授权，以我方名义签署、澄清确认、递交、撤回、修改项目（分包号：）投标文件和处理有关事宜，其法律后果由我方承担。</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委托期限：自本授权委托书签署之日起至投标有效期届满之日止。</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代理人无转委托权。</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委托代理人（签字/签章）：</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日期：年月日</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法定代表人（单位负责人）有效期内的身份证正反面电子件：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委托代理人有效期内的身份证正反面电子件：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1、若供应商为事业单位或其他组织或分支机构（仅当招标文件注明允许分支机构投标的），则法定代表人（单位负责人）处的签署人可为单位负责人。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color w:val="auto"/>
          <w:highlight w:val="none"/>
        </w:rPr>
      </w:pPr>
      <w:r>
        <w:rPr>
          <w:rFonts w:hint="eastAsia" w:ascii="宋体" w:hAnsi="宋体"/>
          <w:bCs/>
          <w:color w:val="auto"/>
          <w:sz w:val="24"/>
          <w:highlight w:val="none"/>
        </w:rPr>
        <w:t xml:space="preserve">3、供应商为自然人的情形，可不提供本《授权委托书》。</w:t>
      </w:r>
      <w:r>
        <w:rPr>
          <w:rFonts w:hint="eastAsia" w:ascii="宋体" w:hAnsi="宋体"/>
          <w:bCs/>
          <w:color w:val="auto"/>
          <w:sz w:val="24"/>
          <w:highlight w:val="none"/>
        </w:rPr>
        <w:br w:type="page" w:clear="all"/>
      </w:r>
      <w:r/>
    </w:p>
    <w:p>
      <w:pPr>
        <w:jc w:val="cente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兹证明，</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姓名：性别：年龄：职务：</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系（投标人名称）的法定代表人（单位负责人）。</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附：法定代表人（单位负责人）有效期内的身份证正反面电子件。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ascii="楷体" w:hAnsi="楷体" w:eastAsia="楷体"/>
          <w:color w:val="auto"/>
          <w:sz w:val="24"/>
          <w:szCs w:val="24"/>
          <w:highlight w:val="none"/>
        </w:rPr>
      </w:pPr>
      <w:r>
        <w:rPr>
          <w:rFonts w:hint="eastAsia" w:ascii="宋体" w:hAnsi="宋体"/>
          <w:bCs/>
          <w:color w:val="auto"/>
          <w:sz w:val="24"/>
          <w:highlight w:val="none"/>
        </w:rPr>
        <w:t xml:space="preserve">日期：年月日</w:t>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986"/>
        <w:ind w:firstLine="3390"/>
        <w:jc w:val="both"/>
        <w:rPr>
          <w:rFonts w:ascii="黑体" w:hAnsi="黑体" w:eastAsia="黑体" w:cs="Times New Roman"/>
          <w:bCs w:val="0"/>
          <w:i/>
          <w:color w:val="auto"/>
          <w:sz w:val="32"/>
          <w:szCs w:val="32"/>
          <w:highlight w:val="none"/>
        </w:rPr>
      </w:pPr>
      <w:r>
        <w:rPr>
          <w:rFonts w:ascii="宋体" w:hAnsi="宋体"/>
          <w:bCs w:val="0"/>
          <w:color w:val="auto"/>
          <w:sz w:val="24"/>
          <w:highlight w:val="none"/>
        </w:rPr>
        <w:br w:type="page" w:clear="all"/>
      </w:r>
      <w:bookmarkStart w:id="271" w:name="_Toc10385"/>
      <w:r/>
      <w:bookmarkStart w:id="272" w:name="_Toc27332"/>
      <w:r/>
      <w:bookmarkStart w:id="273" w:name="_Toc13921"/>
      <w:r>
        <w:rPr>
          <w:rFonts w:hint="eastAsia" w:ascii="黑体" w:hAnsi="黑体" w:eastAsia="黑体" w:cs="Times New Roman"/>
          <w:b w:val="0"/>
          <w:bCs w:val="0"/>
          <w:iCs/>
          <w:color w:val="auto"/>
          <w:sz w:val="32"/>
          <w:szCs w:val="32"/>
          <w:highlight w:val="none"/>
          <w:u w:val="single"/>
        </w:rPr>
        <w:t xml:space="preserve">八、投标函</w:t>
      </w:r>
      <w:bookmarkEnd w:id="271"/>
      <w:r/>
      <w:bookmarkEnd w:id="272"/>
      <w:r/>
      <w:bookmarkEnd w:id="273"/>
      <w:r/>
      <w:r/>
    </w:p>
    <w:p>
      <w:pPr>
        <w:pStyle w:val="1071"/>
        <w:ind w:firstLine="0"/>
        <w:spacing w:before="0" w:after="0"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连云港市第一人民医院</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招标文件，正式授权下述签字人______(姓名)代表我方______________（投标人的名称），全权处理本次项目投标的有关事宜。</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71"/>
        <w:spacing w:before="0" w:after="0" w:line="360" w:lineRule="auto"/>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71"/>
        <w:spacing w:before="0" w:after="0"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71"/>
        <w:spacing w:before="0" w:after="0"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w:t>
      </w:r>
      <w:r>
        <w:rPr>
          <w:rFonts w:hint="eastAsia" w:ascii="宋体" w:hAnsi="宋体"/>
          <w:color w:val="auto"/>
          <w:szCs w:val="21"/>
          <w:highlight w:val="none"/>
          <w:lang w:eastAsia="zh-CN"/>
        </w:rPr>
        <w:t xml:space="preserve">间内</w:t>
      </w:r>
      <w:r>
        <w:rPr>
          <w:rFonts w:hint="eastAsia" w:ascii="宋体" w:hAnsi="宋体"/>
          <w:color w:val="auto"/>
          <w:szCs w:val="21"/>
          <w:highlight w:val="none"/>
        </w:rPr>
        <w:t xml:space="preserve">完成项目，交付买方验收、使用。</w:t>
      </w:r>
      <w:r/>
    </w:p>
    <w:p>
      <w:pPr>
        <w:pStyle w:val="1071"/>
        <w:spacing w:before="0" w:after="0"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地          址：</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邮          编：</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电          话：</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传          真：</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投标人开户行：</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账          号： </w:t>
      </w:r>
      <w:r/>
    </w:p>
    <w:p>
      <w:pPr>
        <w:pStyle w:val="1071"/>
        <w:ind w:left="420"/>
        <w:spacing w:before="0" w:after="0" w:line="360" w:lineRule="auto"/>
        <w:rPr>
          <w:rFonts w:ascii="宋体" w:hAnsi="宋体"/>
          <w:color w:val="auto"/>
          <w:szCs w:val="21"/>
          <w:highlight w:val="none"/>
        </w:rPr>
      </w:pPr>
      <w:r>
        <w:rPr>
          <w:rFonts w:ascii="宋体" w:hAnsi="宋体"/>
          <w:color w:val="auto"/>
          <w:szCs w:val="21"/>
          <w:highlight w:val="none"/>
        </w:rPr>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投标人（盖章）：</w:t>
      </w:r>
      <w:r/>
    </w:p>
    <w:p>
      <w:pPr>
        <w:pStyle w:val="1071"/>
        <w:ind w:left="420"/>
        <w:spacing w:before="0" w:after="0" w:line="360" w:lineRule="auto"/>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ascii="黑体" w:hAnsi="黑体" w:eastAsia="黑体"/>
          <w:color w:val="auto"/>
          <w:sz w:val="32"/>
          <w:szCs w:val="32"/>
          <w:highlight w:val="none"/>
          <w:u w:val="single"/>
        </w:rPr>
      </w:pPr>
      <w:r>
        <w:rPr>
          <w:rFonts w:hint="eastAsia" w:ascii="黑体" w:hAnsi="黑体" w:eastAsia="黑体"/>
          <w:iCs/>
          <w:color w:val="auto"/>
          <w:sz w:val="32"/>
          <w:szCs w:val="32"/>
          <w:highlight w:val="none"/>
          <w:u w:val="single"/>
        </w:rPr>
      </w:r>
      <w:r>
        <w:rPr>
          <w:rFonts w:hint="eastAsia" w:ascii="黑体" w:hAnsi="黑体" w:eastAsia="黑体"/>
          <w:iCs/>
          <w:color w:val="auto"/>
          <w:sz w:val="32"/>
          <w:szCs w:val="32"/>
          <w:highlight w:val="none"/>
          <w:u w:val="single"/>
        </w:rPr>
      </w:r>
      <w:r/>
    </w:p>
    <w:p>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九、中小微企业声明函（服务）</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本公司（联合体）郑重声明，根据《政府采购促进中小企业发展管理办法》(财库[2020]46号)的规定，本公司参加采购人组织的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strike w:val="0"/>
          <w:color w:val="auto"/>
          <w:sz w:val="24"/>
          <w:szCs w:val="24"/>
          <w:highlight w:val="none"/>
          <w:u w:val="singl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w:t>
      </w:r>
      <w:r>
        <w:rPr>
          <w:rFonts w:hint="eastAsia" w:ascii="宋体" w:hAnsi="宋体"/>
          <w:color w:val="auto"/>
          <w:sz w:val="24"/>
          <w:szCs w:val="24"/>
          <w:highlight w:val="none"/>
          <w:u w:val="single"/>
        </w:rPr>
        <w:t xml:space="preserve">型企业</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小型企业、微型企业）；</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2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备注2：中标供应商的《中小企业声明函》随中标结果公开。</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十、残疾人福利性单位声明函（分包号：**）</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szCs w:val="24"/>
          <w:highlight w:val="none"/>
        </w:rPr>
        <w:t xml:space="preserve">日  期：</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360" w:lineRule="auto"/>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十一、投标分项报价表</w:t>
      </w:r>
      <w:r/>
    </w:p>
    <w:p>
      <w:pPr>
        <w:pStyle w:val="836"/>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项目名称：      项目编号：      分包号： </w:t>
      </w:r>
      <w:r/>
    </w:p>
    <w:p>
      <w:pPr>
        <w:pStyle w:val="836"/>
        <w:ind w:firstLine="7680"/>
        <w:spacing w:line="360" w:lineRule="auto"/>
        <w:rPr>
          <w:color w:val="auto"/>
          <w:highlight w:val="none"/>
        </w:rPr>
      </w:pPr>
      <w:r>
        <w:rPr>
          <w:rFonts w:hint="eastAsia" w:ascii="宋体" w:hAnsi="宋体" w:cs="宋体"/>
          <w:color w:val="auto"/>
          <w:sz w:val="24"/>
          <w:highlight w:val="none"/>
          <w:lang w:val="zh-TW"/>
        </w:rPr>
        <w:t xml:space="preserve">单位：元</w:t>
      </w:r>
      <w:r/>
    </w:p>
    <w:tbl>
      <w:tblPr>
        <w:tblStyle w:val="783"/>
        <w:tblW w:w="53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8"/>
        <w:gridCol w:w="2762"/>
        <w:gridCol w:w="1126"/>
        <w:gridCol w:w="1402"/>
        <w:gridCol w:w="1500"/>
        <w:gridCol w:w="2175"/>
      </w:tblGrid>
      <w:tr>
        <w:trPr>
          <w:jc w:val="center"/>
          <w:trHeight w:val="649"/>
        </w:trPr>
        <w:tc>
          <w:tcPr>
            <w:tcW w:w="819"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序号</w:t>
            </w:r>
            <w:r/>
          </w:p>
        </w:tc>
        <w:tc>
          <w:tcPr>
            <w:tcW w:w="2762"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服务项目</w:t>
            </w:r>
            <w:r/>
          </w:p>
        </w:tc>
        <w:tc>
          <w:tcPr>
            <w:tcW w:w="1126"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单位</w:t>
            </w:r>
            <w:r/>
          </w:p>
        </w:tc>
        <w:tc>
          <w:tcPr>
            <w:tcW w:w="1402"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数量</w:t>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单价</w:t>
            </w:r>
            <w:r/>
          </w:p>
        </w:tc>
        <w:tc>
          <w:tcPr>
            <w:tcW w:w="2175" w:type="dxa"/>
            <w:vAlign w:val="center"/>
            <w:textDirection w:val="lrTb"/>
            <w:noWrap/>
          </w:tcPr>
          <w:p>
            <w:pPr>
              <w:pStyle w:val="83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r>
      <w:tr>
        <w:trPr>
          <w:jc w:val="center"/>
          <w:trHeight w:val="578"/>
        </w:trPr>
        <w:tc>
          <w:tcPr>
            <w:tcW w:w="819"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9"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9"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836"/>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88"/>
        </w:trPr>
        <w:tc>
          <w:tcPr>
            <w:gridSpan w:val="5"/>
            <w:tcW w:w="7609" w:type="dxa"/>
            <w:vAlign w:val="center"/>
            <w:textDirection w:val="lrTb"/>
            <w:noWrap/>
          </w:tcPr>
          <w:p>
            <w:pPr>
              <w:pStyle w:val="836"/>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总计（元）</w:t>
            </w:r>
            <w:r/>
          </w:p>
        </w:tc>
        <w:tc>
          <w:tcPr>
            <w:tcW w:w="2175" w:type="dxa"/>
            <w:vAlign w:val="center"/>
            <w:textDirection w:val="lrTb"/>
            <w:noWrap/>
          </w:tcPr>
          <w:p>
            <w:pPr>
              <w:pStyle w:val="836"/>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bl>
    <w:p>
      <w:pPr>
        <w:ind w:firstLine="480"/>
        <w:jc w:val="left"/>
        <w:spacing w:line="420" w:lineRule="exact"/>
        <w:rPr>
          <w:rFonts w:ascii="宋体" w:hAnsi="宋体"/>
          <w:bCs/>
          <w:color w:val="auto"/>
          <w:sz w:val="24"/>
          <w:highlight w:val="none"/>
        </w:rPr>
      </w:pPr>
      <w:r>
        <w:rPr>
          <w:rFonts w:ascii="宋体" w:hAnsi="宋体"/>
          <w:bCs/>
          <w:color w:val="auto"/>
          <w:sz w:val="24"/>
          <w:highlight w:val="none"/>
        </w:rPr>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20" w:lineRule="exact"/>
        <w:rPr>
          <w:rFonts w:ascii="黑体" w:hAnsi="黑体" w:eastAsia="黑体"/>
          <w:b/>
          <w:color w:val="auto"/>
          <w:sz w:val="32"/>
          <w:szCs w:val="32"/>
          <w:highlight w:val="none"/>
        </w:rPr>
      </w:pPr>
      <w:r>
        <w:rPr>
          <w:rFonts w:hint="eastAsia" w:ascii="宋体" w:hAnsi="宋体"/>
          <w:bCs/>
          <w:color w:val="auto"/>
          <w:sz w:val="24"/>
          <w:highlight w:val="none"/>
        </w:rPr>
        <w:t xml:space="preserve">日期：    年     月     日</w:t>
      </w:r>
      <w:r/>
    </w:p>
    <w:p>
      <w:pPr>
        <w:jc w:val="center"/>
        <w:spacing w:line="360" w:lineRule="auto"/>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bookmarkEnd w:id="270"/>
      <w:r/>
      <w:bookmarkStart w:id="274" w:name="_Hlt26955054"/>
      <w:r/>
      <w:bookmarkEnd w:id="274"/>
      <w:r>
        <w:rPr>
          <w:rFonts w:hint="eastAsia" w:ascii="黑体" w:hAnsi="黑体" w:eastAsia="黑体"/>
          <w:iCs/>
          <w:color w:val="auto"/>
          <w:sz w:val="32"/>
          <w:szCs w:val="32"/>
          <w:highlight w:val="none"/>
          <w:u w:val="single"/>
        </w:rPr>
        <w:t xml:space="preserve">十二、商务、技术要求响应及偏离表（分包号：**）</w:t>
      </w:r>
      <w:r/>
    </w:p>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请</w:t>
      </w:r>
      <w:r>
        <w:rPr>
          <w:rFonts w:hint="eastAsia" w:ascii="宋体" w:hAnsi="宋体" w:cs="宋体"/>
          <w:b/>
          <w:bCs w:val="0"/>
          <w:color w:val="auto"/>
          <w:sz w:val="24"/>
          <w:szCs w:val="24"/>
          <w:highlight w:val="none"/>
        </w:rPr>
        <w:t xml:space="preserve">逐条</w:t>
      </w:r>
      <w:r>
        <w:rPr>
          <w:rFonts w:hint="eastAsia" w:ascii="宋体" w:hAnsi="宋体" w:cs="宋体"/>
          <w:bCs/>
          <w:color w:val="auto"/>
          <w:sz w:val="24"/>
          <w:szCs w:val="24"/>
          <w:highlight w:val="none"/>
        </w:rPr>
        <w:t xml:space="preserve">对应采购文件“项目需求”等内容要求的商务、技术条件，填写该表</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tcPr>
          <w:p>
            <w:pPr>
              <w:jc w:val="center"/>
              <w:spacing w:line="360" w:lineRule="auto"/>
              <w:rPr>
                <w:rFonts w:ascii="宋体" w:hAnsi="宋体"/>
                <w:color w:val="auto"/>
                <w:sz w:val="24"/>
                <w:szCs w:val="24"/>
                <w:highlight w:val="none"/>
              </w:rPr>
            </w:pPr>
            <w:r/>
            <w:bookmarkStart w:id="275" w:name="_Hlt24879081"/>
            <w:r/>
            <w:bookmarkEnd w:id="275"/>
            <w:r/>
            <w:bookmarkStart w:id="276" w:name="_Hlt26609391"/>
            <w:r/>
            <w:bookmarkEnd w:id="276"/>
            <w:r/>
            <w:bookmarkStart w:id="277" w:name="_Hlt26671343"/>
            <w:r/>
            <w:bookmarkEnd w:id="277"/>
            <w:r/>
            <w:bookmarkStart w:id="278" w:name="_Hlt26580838"/>
            <w:r/>
            <w:bookmarkEnd w:id="278"/>
            <w:r/>
            <w:bookmarkStart w:id="279" w:name="_Hlt26782999"/>
            <w:r/>
            <w:bookmarkEnd w:id="279"/>
            <w:r/>
            <w:bookmarkStart w:id="280" w:name="_Hlt26671372"/>
            <w:r/>
            <w:bookmarkEnd w:id="280"/>
            <w:r/>
            <w:bookmarkStart w:id="281" w:name="_Hlt26955056"/>
            <w:r/>
            <w:bookmarkEnd w:id="281"/>
            <w:r/>
            <w:bookmarkStart w:id="282" w:name="_Hlt26955064"/>
            <w:r/>
            <w:bookmarkEnd w:id="282"/>
            <w:r>
              <w:rPr>
                <w:rFonts w:hint="eastAsia" w:ascii="宋体" w:hAnsi="宋体"/>
                <w:color w:val="auto"/>
                <w:sz w:val="24"/>
                <w:szCs w:val="24"/>
                <w:highlight w:val="none"/>
              </w:rPr>
              <w:t xml:space="preserve">序号</w:t>
            </w:r>
            <w:r/>
          </w:p>
        </w:tc>
        <w:tc>
          <w:tcPr>
            <w:tcW w:w="2419"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line="360" w:lineRule="auto"/>
        <w:rPr>
          <w:rFonts w:ascii="仿宋_GB2312" w:hAnsi="Arial"/>
          <w:color w:val="auto"/>
          <w:sz w:val="30"/>
          <w:highlight w:val="none"/>
        </w:rPr>
      </w:pPr>
      <w:r>
        <w:rPr>
          <w:rFonts w:hint="eastAsia" w:ascii="宋体" w:hAnsi="宋体"/>
          <w:color w:val="auto"/>
          <w:sz w:val="24"/>
          <w:highlight w:val="none"/>
        </w:rPr>
        <w:t xml:space="preserve">日期：    年     月     日</w:t>
      </w:r>
      <w:bookmarkEnd w:id="246"/>
      <w:r/>
      <w:bookmarkEnd w:id="247"/>
      <w:r/>
      <w:r/>
    </w:p>
    <w:p>
      <w:pPr>
        <w:pStyle w:val="988"/>
        <w:ind w:firstLine="0"/>
        <w:rPr>
          <w:rFonts w:ascii="宋体" w:hAnsi="宋体"/>
          <w:color w:val="auto"/>
          <w:sz w:val="24"/>
          <w:highlight w:val="none"/>
        </w:rPr>
      </w:pPr>
      <w:r/>
      <w:bookmarkStart w:id="283" w:name="_Hlt26955066"/>
      <w:r/>
      <w:bookmarkEnd w:id="283"/>
      <w:r/>
      <w:bookmarkStart w:id="284" w:name="_Hlt26609389"/>
      <w:r/>
      <w:bookmarkEnd w:id="284"/>
      <w:r/>
      <w:bookmarkStart w:id="285" w:name="_Hlt26671374"/>
      <w:r/>
      <w:bookmarkEnd w:id="285"/>
      <w:r/>
      <w:bookmarkStart w:id="286" w:name="_Toc462564146"/>
      <w:r/>
      <w:bookmarkEnd w:id="286"/>
      <w:r/>
      <w:r/>
    </w:p>
    <w:p>
      <w:pPr>
        <w:jc w:val="center"/>
        <w:rPr>
          <w:rFonts w:ascii="黑体" w:hAnsi="黑体" w:eastAsia="黑体"/>
          <w:b/>
          <w:color w:val="auto"/>
          <w:sz w:val="32"/>
          <w:szCs w:val="32"/>
          <w:highlight w:val="none"/>
        </w:rPr>
      </w:pPr>
      <w:r/>
      <w:bookmarkStart w:id="287" w:name="_格式2__法定代表人授权书"/>
      <w:r/>
      <w:bookmarkEnd w:id="287"/>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360" w:lineRule="auto"/>
        <w:rPr>
          <w:rFonts w:eastAsia="仿宋_GB2312"/>
          <w:color w:val="auto"/>
          <w:sz w:val="24"/>
          <w:szCs w:val="20"/>
          <w:highlight w:val="non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十三、开标一览表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项目编号：项目编号</w:t>
      </w:r>
      <w:r/>
    </w:p>
    <w:p>
      <w:pPr>
        <w:ind w:firstLine="480"/>
        <w:spacing w:line="360" w:lineRule="auto"/>
        <w:rPr>
          <w:color w:val="auto"/>
          <w:sz w:val="24"/>
          <w:szCs w:val="24"/>
          <w:highlight w:val="none"/>
        </w:rPr>
      </w:pPr>
      <w:r>
        <w:rPr>
          <w:color w:val="auto"/>
          <w:sz w:val="24"/>
          <w:szCs w:val="24"/>
          <w:highlight w:val="none"/>
        </w:rPr>
        <w:t xml:space="preserve">货币单位：人民币元</w:t>
      </w:r>
      <w:r/>
    </w:p>
    <w:tbl>
      <w:tblPr>
        <w:tblStyle w:val="10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057" w:type="dxa"/>
            <w:textDirection w:val="lrTb"/>
            <w:noWrap/>
          </w:tcPr>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总价</w:t>
            </w:r>
            <w:r>
              <w:rPr>
                <w:rFonts w:ascii="宋体" w:hAnsi="宋体" w:cs="宋体"/>
                <w:color w:val="auto"/>
                <w:sz w:val="24"/>
                <w:szCs w:val="24"/>
                <w:highlight w:val="none"/>
              </w:rPr>
              <w:t xml:space="preserve">（小写）</w:t>
            </w:r>
            <w:r/>
          </w:p>
        </w:tc>
      </w:tr>
      <w:tr>
        <w:trPr/>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056" w:type="dxa"/>
            <w:textDirection w:val="lrTb"/>
            <w:noWrap/>
          </w:tcPr>
          <w:p>
            <w:pPr>
              <w:spacing w:line="360" w:lineRule="auto"/>
              <w:rPr>
                <w:rFonts w:ascii="宋体" w:hAnsi="宋体"/>
                <w:color w:val="auto"/>
                <w:sz w:val="24"/>
                <w:szCs w:val="24"/>
                <w:highlight w:val="none"/>
              </w:rPr>
            </w:pPr>
            <w:r>
              <w:rPr>
                <w:rFonts w:ascii="宋体" w:hAnsi="宋体" w:cs="宋体"/>
                <w:color w:val="auto"/>
                <w:sz w:val="24"/>
                <w:szCs w:val="24"/>
                <w:highlight w:val="none"/>
              </w:rPr>
              <w:t xml:space="preserve">详见投标文件</w:t>
            </w:r>
            <w:r/>
          </w:p>
        </w:tc>
        <w:tc>
          <w:tcPr>
            <w:tcW w:w="3057"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元</w:t>
            </w:r>
            <w:r/>
          </w:p>
        </w:tc>
      </w:tr>
      <w:tr>
        <w:trPr/>
        <w:tc>
          <w:tcPr>
            <w:tcW w:w="3056"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113" w:type="dxa"/>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投标人公章：</w:t>
      </w:r>
      <w:r>
        <w:rPr>
          <w:rFonts w:ascii="宋体" w:hAnsi="宋体" w:cs="宋体"/>
          <w:color w:val="auto"/>
          <w:sz w:val="24"/>
          <w:szCs w:val="24"/>
          <w:highlight w:val="none"/>
        </w:rPr>
        <w:t xml:space="preserve">（电子签章）</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spacing w:line="360" w:lineRule="auto"/>
        <w:rPr>
          <w:rFonts w:ascii="黑体" w:hAnsi="黑体" w:eastAsia="黑体"/>
          <w:iCs/>
          <w:color w:val="auto"/>
          <w:sz w:val="32"/>
          <w:szCs w:val="32"/>
          <w:highlight w:val="none"/>
          <w:u w:val="single"/>
        </w:rPr>
      </w:pPr>
      <w:r>
        <w:rPr>
          <w:rFonts w:hint="eastAsia" w:ascii="宋体" w:hAnsi="宋体" w:cs="仿宋"/>
          <w:b/>
          <w:bCs/>
          <w:color w:val="auto"/>
          <w:sz w:val="32"/>
          <w:szCs w:val="32"/>
          <w:highlight w:val="none"/>
        </w:rPr>
        <w:br w:type="page" w:clear="all"/>
      </w:r>
      <w:r>
        <w:rPr>
          <w:rFonts w:hint="eastAsia" w:ascii="黑体" w:hAnsi="黑体" w:eastAsia="黑体"/>
          <w:iCs/>
          <w:color w:val="auto"/>
          <w:sz w:val="32"/>
          <w:szCs w:val="32"/>
          <w:highlight w:val="none"/>
          <w:u w:val="single"/>
        </w:rPr>
        <w:t xml:space="preserve">十四、财务状况报告及税收、社会保障资金缴纳情况承诺函</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致：</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参加（项目编号：）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特此承诺</w:t>
      </w:r>
      <w:r/>
    </w:p>
    <w:p>
      <w:pPr>
        <w:ind w:firstLine="3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pStyle w:val="836"/>
        <w:jc w:val="center"/>
        <w:rPr>
          <w:rFonts w:hint="eastAsia" w:ascii="宋体" w:hAnsi="宋体" w:eastAsia="宋体" w:cs="宋体"/>
          <w:iCs/>
          <w:color w:val="auto"/>
          <w:sz w:val="32"/>
          <w:szCs w:val="32"/>
          <w:highlight w:val="none"/>
          <w:u w:val="single"/>
        </w:rPr>
      </w:pPr>
      <w:r>
        <w:rPr>
          <w:rFonts w:hint="eastAsia" w:ascii="宋体" w:hAnsi="宋体" w:cs="仿宋"/>
          <w:b/>
          <w:bCs/>
          <w:color w:val="auto"/>
          <w:sz w:val="32"/>
          <w:szCs w:val="32"/>
          <w:highlight w:val="none"/>
        </w:rPr>
        <w:br w:type="page" w:clear="all"/>
      </w:r>
      <w:bookmarkStart w:id="288" w:name="_Toc25466"/>
      <w:r/>
      <w:bookmarkStart w:id="289" w:name="_Toc31871"/>
      <w:r/>
      <w:bookmarkStart w:id="290" w:name="_Toc29464"/>
      <w:r>
        <w:rPr>
          <w:rFonts w:hint="eastAsia" w:ascii="黑体" w:hAnsi="黑体" w:eastAsia="黑体"/>
          <w:iCs/>
          <w:color w:val="auto"/>
          <w:sz w:val="32"/>
          <w:szCs w:val="32"/>
          <w:highlight w:val="none"/>
          <w:u w:val="single"/>
        </w:rPr>
        <w:t xml:space="preserve">十五、关于符合本国产品标准的声明函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808"/>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814"/>
          <w:rFonts w:hint="eastAsia" w:ascii="宋体" w:hAnsi="宋体" w:eastAsia="宋体" w:cs="宋体"/>
          <w:i w:val="0"/>
          <w:color w:val="auto"/>
          <w:sz w:val="24"/>
          <w:szCs w:val="24"/>
          <w:highlight w:val="none"/>
          <w:u w:val="single"/>
          <w:shd w:val="clear" w:color="auto" w:fill="ffffff"/>
        </w:rPr>
        <w:t xml:space="preserve">（产品名称1）</w:t>
      </w:r>
      <w:r>
        <w:rPr>
          <w:rStyle w:val="81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14"/>
          <w:rFonts w:hint="eastAsia" w:ascii="宋体" w:hAnsi="宋体" w:eastAsia="宋体" w:cs="宋体"/>
          <w:i w:val="0"/>
          <w:color w:val="auto"/>
          <w:sz w:val="24"/>
          <w:szCs w:val="24"/>
          <w:highlight w:val="none"/>
          <w:u w:val="single"/>
          <w:shd w:val="clear" w:color="auto" w:fill="ffffff"/>
        </w:rPr>
        <w:t xml:space="preserve">（厂名）</w:t>
      </w:r>
      <w:r>
        <w:rPr>
          <w:rStyle w:val="81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1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14"/>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14"/>
          <w:rFonts w:hint="eastAsia" w:ascii="宋体" w:hAnsi="宋体" w:eastAsia="宋体" w:cs="宋体"/>
          <w:i w:val="0"/>
          <w:strike/>
          <w:color w:val="auto"/>
          <w:sz w:val="24"/>
          <w:szCs w:val="24"/>
          <w:highlight w:val="none"/>
          <w:u w:val="single"/>
          <w:shd w:val="clear" w:color="auto" w:fill="ffffff"/>
        </w:rPr>
        <w:t xml:space="preserve">（规定比例）</w:t>
      </w:r>
      <w:r>
        <w:rPr>
          <w:rStyle w:val="814"/>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14"/>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（关键组件）</w:t>
      </w:r>
      <w:r>
        <w:rPr>
          <w:rStyle w:val="81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14"/>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（关键工序）</w:t>
      </w:r>
      <w:r>
        <w:rPr>
          <w:rStyle w:val="81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81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14"/>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1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14"/>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14"/>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14"/>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14"/>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4"/>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pStyle w:val="836"/>
        <w:jc w:val="center"/>
        <w:spacing w:line="360" w:lineRule="auto"/>
        <w:rPr>
          <w:rFonts w:ascii="宋体" w:hAnsi="宋体" w:cs="仿宋"/>
          <w:b/>
          <w:bCs/>
          <w:color w:val="auto"/>
          <w:sz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pStyle w:val="986"/>
        <w:spacing w:before="0" w:after="0" w:line="360" w:lineRule="auto"/>
        <w:tabs>
          <w:tab w:val="left" w:pos="1021" w:leader="none"/>
        </w:tabs>
        <w:rPr>
          <w:rFonts w:ascii="宋体" w:hAnsi="宋体"/>
          <w:color w:val="auto"/>
          <w:sz w:val="28"/>
          <w:highlight w:val="none"/>
        </w:rPr>
      </w:pPr>
      <w:r>
        <w:rPr>
          <w:rFonts w:hint="eastAsia" w:ascii="宋体" w:hAnsi="宋体" w:cs="仿宋"/>
          <w:b w:val="0"/>
          <w:bCs w:val="0"/>
          <w:color w:val="auto"/>
          <w:sz w:val="32"/>
          <w:szCs w:val="32"/>
          <w:highlight w:val="none"/>
        </w:rPr>
        <w:br w:type="page" w:clear="all"/>
      </w:r>
      <w:bookmarkStart w:id="291" w:name="_Toc4935"/>
      <w:r>
        <w:rPr>
          <w:rFonts w:hint="eastAsia" w:ascii="黑体" w:hAnsi="黑体" w:eastAsia="黑体" w:cs="Times New Roman"/>
          <w:b w:val="0"/>
          <w:bCs w:val="0"/>
          <w:iCs/>
          <w:color w:val="auto"/>
          <w:sz w:val="32"/>
          <w:szCs w:val="32"/>
          <w:highlight w:val="none"/>
          <w:u w:val="single"/>
        </w:rPr>
        <w:t xml:space="preserve">十六、类似项目业绩一览表</w:t>
      </w:r>
      <w:bookmarkEnd w:id="288"/>
      <w:r/>
      <w:bookmarkEnd w:id="289"/>
      <w:r/>
      <w:bookmarkEnd w:id="290"/>
      <w:r/>
      <w:bookmarkEnd w:id="291"/>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72"/>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pStyle w:val="986"/>
        <w:spacing w:before="0" w:after="0" w:line="360" w:lineRule="auto"/>
        <w:rPr>
          <w:rFonts w:hAnsi="宋体"/>
          <w:color w:val="auto"/>
          <w:szCs w:val="21"/>
          <w:highlight w:val="none"/>
        </w:rPr>
        <w:outlineLvl w:val="0"/>
      </w:pPr>
      <w:r>
        <w:rPr>
          <w:rFonts w:hint="eastAsia" w:ascii="宋体" w:hAnsi="宋体" w:cs="仿宋"/>
          <w:b w:val="0"/>
          <w:bCs w:val="0"/>
          <w:color w:val="auto"/>
          <w:sz w:val="32"/>
          <w:szCs w:val="32"/>
          <w:highlight w:val="none"/>
        </w:rPr>
        <w:br w:type="page" w:clear="all"/>
      </w:r>
      <w:bookmarkStart w:id="292" w:name="_Toc25700"/>
      <w:r/>
      <w:bookmarkStart w:id="293" w:name="_Toc9559"/>
      <w:r/>
      <w:bookmarkStart w:id="294" w:name="_Toc16041"/>
      <w:r>
        <w:rPr>
          <w:rFonts w:hint="eastAsia" w:ascii="黑体" w:hAnsi="黑体" w:eastAsia="黑体" w:cs="Times New Roman"/>
          <w:b w:val="0"/>
          <w:bCs w:val="0"/>
          <w:iCs/>
          <w:color w:val="auto"/>
          <w:sz w:val="32"/>
          <w:szCs w:val="32"/>
          <w:highlight w:val="none"/>
          <w:u w:val="single"/>
        </w:rPr>
        <w:t xml:space="preserve">十七、项目团队人员一览表</w:t>
      </w:r>
      <w:bookmarkEnd w:id="292"/>
      <w:r/>
      <w:bookmarkEnd w:id="293"/>
      <w:r/>
      <w:bookmarkEnd w:id="294"/>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83"/>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本项目拟任</w:t>
            </w:r>
            <w:r/>
          </w:p>
          <w:p>
            <w:pPr>
              <w:jc w:val="center"/>
              <w:spacing w:line="360" w:lineRule="auto"/>
              <w:rPr>
                <w:rFonts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技术</w:t>
            </w:r>
            <w:r/>
          </w:p>
          <w:p>
            <w:pPr>
              <w:jc w:val="center"/>
              <w:spacing w:line="360" w:lineRule="auto"/>
              <w:rPr>
                <w:rFonts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主要资历及担任过的职务</w:t>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360" w:lineRule="auto"/>
              <w:rPr>
                <w:rFonts w:ascii="宋体" w:hAnsi="宋体"/>
                <w:color w:val="auto"/>
                <w:sz w:val="28"/>
                <w:highlight w:val="none"/>
              </w:rPr>
            </w:pPr>
            <w:r>
              <w:rPr>
                <w:rFonts w:ascii="宋体" w:hAnsi="宋体"/>
                <w:color w:val="auto"/>
                <w:sz w:val="28"/>
                <w:highlight w:val="none"/>
              </w:rPr>
            </w:r>
            <w:r/>
          </w:p>
        </w:tc>
      </w:tr>
    </w:tbl>
    <w:p>
      <w:pPr>
        <w:spacing w:line="360" w:lineRule="auto"/>
        <w:rPr>
          <w:rFonts w:ascii="宋体" w:hAnsi="宋体"/>
          <w:b/>
          <w:color w:val="auto"/>
          <w:sz w:val="28"/>
          <w:szCs w:val="30"/>
          <w:highlight w:val="none"/>
        </w:rPr>
      </w:pPr>
      <w:r>
        <w:rPr>
          <w:rFonts w:ascii="宋体" w:hAnsi="宋体"/>
          <w:b/>
          <w:color w:val="auto"/>
          <w:sz w:val="28"/>
          <w:szCs w:val="30"/>
          <w:highlight w:val="none"/>
        </w:rPr>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643"/>
        <w:jc w:val="center"/>
        <w:spacing w:line="360" w:lineRule="auto"/>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360" w:lineRule="auto"/>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988"/>
        <w:rPr>
          <w:color w:val="auto"/>
          <w:sz w:val="24"/>
          <w:szCs w:val="24"/>
          <w:highlight w:val="none"/>
        </w:rPr>
      </w:pPr>
      <w:r>
        <w:rPr>
          <w:color w:val="auto"/>
          <w:sz w:val="24"/>
          <w:szCs w:val="24"/>
          <w:highlight w:val="none"/>
        </w:rPr>
      </w:r>
      <w:r/>
    </w:p>
    <w:p>
      <w:pPr>
        <w:pStyle w:val="988"/>
        <w:rPr>
          <w:color w:val="auto"/>
          <w:sz w:val="24"/>
          <w:szCs w:val="24"/>
          <w:highlight w:val="none"/>
        </w:rPr>
      </w:pPr>
      <w:r>
        <w:rPr>
          <w:color w:val="auto"/>
          <w:sz w:val="24"/>
          <w:szCs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7"/>
        <w:rFonts w:ascii="宋体" w:hAnsi="宋体" w:cs="宋体"/>
      </w:rPr>
      <w:framePr w:wrap="around" w:vAnchor="text" w:hAnchor="margin" w:xAlign="center" w:y="1"/>
    </w:pPr>
    <w:r>
      <w:rPr>
        <w:rFonts w:hint="eastAsia" w:ascii="宋体" w:hAnsi="宋体" w:cs="宋体"/>
      </w:rPr>
      <w:fldChar w:fldCharType="begin"/>
    </w:r>
    <w:r>
      <w:rPr>
        <w:rStyle w:val="1057"/>
        <w:rFonts w:hint="eastAsia" w:ascii="宋体" w:hAnsi="宋体" w:cs="宋体"/>
      </w:rPr>
      <w:instrText xml:space="preserve">PAGE  </w:instrText>
    </w:r>
    <w:r>
      <w:rPr>
        <w:rFonts w:hint="eastAsia" w:ascii="宋体" w:hAnsi="宋体" w:cs="宋体"/>
      </w:rPr>
      <w:fldChar w:fldCharType="separate"/>
    </w:r>
    <w:r>
      <w:rPr>
        <w:rStyle w:val="1057"/>
        <w:rFonts w:hint="eastAsia" w:ascii="宋体" w:hAnsi="宋体" w:cs="宋体"/>
      </w:rPr>
      <w:t xml:space="preserve">３５</w:t>
    </w:r>
    <w:r>
      <w:rPr>
        <w:rFonts w:hint="eastAsia" w:ascii="宋体" w:hAnsi="宋体" w:cs="宋体"/>
      </w:rPr>
      <w:fldChar w:fldCharType="end"/>
    </w:r>
    <w:r/>
  </w:p>
  <w:p>
    <w:pPr>
      <w:pStyle w:val="103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7"/>
        <w:rFonts w:ascii="宋体" w:hAnsi="宋体" w:cs="宋体"/>
      </w:rPr>
      <w:framePr w:wrap="around" w:vAnchor="text" w:hAnchor="margin" w:xAlign="center" w:y="1"/>
    </w:pPr>
    <w:r>
      <w:rPr>
        <w:rFonts w:hint="eastAsia" w:ascii="宋体" w:hAnsi="宋体" w:cs="宋体"/>
      </w:rPr>
      <w:fldChar w:fldCharType="begin"/>
    </w:r>
    <w:r>
      <w:rPr>
        <w:rStyle w:val="1057"/>
        <w:rFonts w:hint="eastAsia" w:ascii="宋体" w:hAnsi="宋体" w:cs="宋体"/>
      </w:rPr>
      <w:instrText xml:space="preserve">PAGE  </w:instrText>
    </w:r>
    <w:r>
      <w:rPr>
        <w:rFonts w:hint="eastAsia" w:ascii="宋体" w:hAnsi="宋体" w:cs="宋体"/>
      </w:rPr>
      <w:fldChar w:fldCharType="separate"/>
    </w:r>
    <w:r>
      <w:rPr>
        <w:rStyle w:val="1057"/>
        <w:rFonts w:ascii="宋体" w:hAnsi="宋体" w:cs="宋体"/>
      </w:rPr>
      <w:t xml:space="preserve">37</w:t>
    </w:r>
    <w:r>
      <w:rPr>
        <w:rFonts w:hint="eastAsia" w:ascii="宋体" w:hAnsi="宋体" w:cs="宋体"/>
      </w:rPr>
      <w:fldChar w:fldCharType="end"/>
    </w:r>
    <w:r/>
  </w:p>
  <w:p>
    <w:pPr>
      <w:pStyle w:val="1031"/>
      <w:jc w:val="center"/>
      <w:rPr>
        <w:b/>
        <w:i/>
      </w:rPr>
    </w:pP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62"/>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1"/>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993"/>
      <w:isLgl w:val="false"/>
      <w:suff w:val="nothing"/>
      <w:lvlText w:val=""/>
      <w:lvlJc w:val="left"/>
      <w:pPr>
        <w:ind w:left="0" w:firstLine="0"/>
      </w:pPr>
      <w:rPr>
        <w:rFonts w:hint="eastAsia"/>
      </w:rPr>
    </w:lvl>
    <w:lvl w:ilvl="8">
      <w:start w:val="1"/>
      <w:numFmt w:val="decimal"/>
      <w:pStyle w:val="994"/>
      <w:isLgl w:val="false"/>
      <w:suff w:val="nothing"/>
      <w:lvlText w:val=""/>
      <w:lvlJc w:val="left"/>
      <w:pPr>
        <w:ind w:left="0" w:firstLine="0"/>
      </w:pPr>
      <w:rPr>
        <w:rFonts w:hint="eastAsia"/>
      </w:rPr>
    </w:lvl>
  </w:abstractNum>
  <w:abstractNum w:abstractNumId="5">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3">
    <w:name w:val="Heading 1"/>
    <w:basedOn w:val="772"/>
    <w:next w:val="772"/>
    <w:link w:val="837"/>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38"/>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39"/>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40"/>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41"/>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4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44"/>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45"/>
    <w:uiPriority w:val="9"/>
    <w:unhideWhenUsed/>
    <w:qFormat/>
    <w:pPr>
      <w:keepLines/>
      <w:keepNext/>
      <w:spacing w:before="320" w:after="200"/>
      <w:outlineLvl w:val="8"/>
    </w:pPr>
    <w:rPr>
      <w:rFonts w:ascii="Arial" w:hAnsi="Arial" w:eastAsia="Arial" w:cs="Arial"/>
      <w:i/>
      <w:iCs/>
    </w:rPr>
  </w:style>
  <w:style w:type="character" w:styleId="782" w:default="1">
    <w:name w:val="Default Paragraph Font"/>
    <w:uiPriority w:val="1"/>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table of authorities"/>
    <w:basedOn w:val="772"/>
    <w:next w:val="772"/>
    <w:uiPriority w:val="0"/>
    <w:qFormat/>
    <w:pPr>
      <w:ind w:left="420"/>
    </w:p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annotation text"/>
    <w:basedOn w:val="772"/>
    <w:uiPriority w:val="0"/>
    <w:semiHidden/>
    <w:qFormat/>
    <w:pPr>
      <w:jc w:val="left"/>
    </w:pPr>
    <w:rPr>
      <w:szCs w:val="20"/>
    </w:rPr>
  </w:style>
  <w:style w:type="paragraph" w:styleId="788">
    <w:name w:val="Body Text"/>
    <w:basedOn w:val="772"/>
    <w:uiPriority w:val="1"/>
    <w:unhideWhenUsed/>
    <w:qFormat/>
    <w:pPr>
      <w:ind w:left="400"/>
      <w:jc w:val="left"/>
    </w:pPr>
    <w:rPr>
      <w:rFonts w:hint="eastAsia" w:ascii="楷体" w:hAnsi="楷体" w:eastAsia="楷体" w:cs="楷体"/>
      <w:sz w:val="24"/>
      <w:szCs w:val="24"/>
      <w:lang w:val="zh-CN"/>
    </w:rPr>
  </w:style>
  <w:style w:type="paragraph" w:styleId="789">
    <w:name w:val="Body Text Indent"/>
    <w:basedOn w:val="772"/>
    <w:next w:val="790"/>
    <w:uiPriority w:val="0"/>
    <w:qFormat/>
    <w:pPr>
      <w:ind w:firstLine="600"/>
    </w:pPr>
    <w:rPr>
      <w:rFonts w:eastAsia="仿宋_GB2312"/>
      <w:sz w:val="30"/>
      <w:szCs w:val="30"/>
    </w:rPr>
  </w:style>
  <w:style w:type="paragraph" w:styleId="790" w:customStyle="1">
    <w:name w:val="样式 正文文本缩进 + 左  0 字符"/>
    <w:basedOn w:val="772"/>
    <w:uiPriority w:val="0"/>
    <w:qFormat/>
    <w:pPr>
      <w:ind w:firstLine="250"/>
    </w:pPr>
    <w:rPr>
      <w:rFonts w:cs="宋体"/>
      <w:szCs w:val="20"/>
    </w:rPr>
  </w:style>
  <w:style w:type="paragraph" w:styleId="791">
    <w:name w:val="toc 5"/>
    <w:basedOn w:val="772"/>
    <w:next w:val="772"/>
    <w:uiPriority w:val="39"/>
    <w:unhideWhenUsed/>
    <w:qFormat/>
    <w:pPr>
      <w:ind w:left="1134"/>
      <w:spacing w:after="57"/>
    </w:pPr>
  </w:style>
  <w:style w:type="paragraph" w:styleId="792">
    <w:name w:val="toc 3"/>
    <w:basedOn w:val="772"/>
    <w:next w:val="772"/>
    <w:uiPriority w:val="39"/>
    <w:unhideWhenUsed/>
    <w:qFormat/>
    <w:pPr>
      <w:ind w:left="567"/>
      <w:spacing w:after="57"/>
    </w:pPr>
  </w:style>
  <w:style w:type="paragraph" w:styleId="793">
    <w:name w:val="Plain Text"/>
    <w:basedOn w:val="772"/>
    <w:uiPriority w:val="99"/>
    <w:qFormat/>
    <w:pPr>
      <w:spacing w:line="400" w:lineRule="exact"/>
    </w:pPr>
    <w:rPr>
      <w:rFonts w:ascii="宋体" w:hAnsi="Courier New"/>
      <w:sz w:val="24"/>
      <w:szCs w:val="20"/>
    </w:rPr>
  </w:style>
  <w:style w:type="paragraph" w:styleId="794">
    <w:name w:val="toc 8"/>
    <w:basedOn w:val="772"/>
    <w:next w:val="772"/>
    <w:uiPriority w:val="39"/>
    <w:unhideWhenUsed/>
    <w:qFormat/>
    <w:pPr>
      <w:ind w:left="1984"/>
      <w:spacing w:after="57"/>
    </w:pPr>
  </w:style>
  <w:style w:type="paragraph" w:styleId="795">
    <w:name w:val="endnote text"/>
    <w:basedOn w:val="772"/>
    <w:link w:val="983"/>
    <w:uiPriority w:val="99"/>
    <w:semiHidden/>
    <w:unhideWhenUsed/>
    <w:qFormat/>
    <w:rPr>
      <w:sz w:val="20"/>
    </w:rPr>
  </w:style>
  <w:style w:type="paragraph" w:styleId="796">
    <w:name w:val="Balloon Text"/>
    <w:basedOn w:val="772"/>
    <w:link w:val="1107"/>
    <w:uiPriority w:val="99"/>
    <w:semiHidden/>
    <w:unhideWhenUsed/>
    <w:qFormat/>
    <w:rPr>
      <w:sz w:val="18"/>
      <w:szCs w:val="18"/>
    </w:rPr>
  </w:style>
  <w:style w:type="paragraph" w:styleId="797">
    <w:name w:val="Footer"/>
    <w:basedOn w:val="772"/>
    <w:link w:val="856"/>
    <w:uiPriority w:val="99"/>
    <w:unhideWhenUsed/>
    <w:qFormat/>
    <w:pPr>
      <w:tabs>
        <w:tab w:val="center" w:pos="7143" w:leader="none"/>
        <w:tab w:val="right" w:pos="14287" w:leader="none"/>
      </w:tabs>
    </w:pPr>
  </w:style>
  <w:style w:type="paragraph" w:styleId="798">
    <w:name w:val="Header"/>
    <w:basedOn w:val="772"/>
    <w:link w:val="854"/>
    <w:uiPriority w:val="99"/>
    <w:unhideWhenUsed/>
    <w:qFormat/>
    <w:pPr>
      <w:tabs>
        <w:tab w:val="center" w:pos="7143" w:leader="none"/>
        <w:tab w:val="right" w:pos="14287" w:leader="none"/>
      </w:tabs>
    </w:pPr>
  </w:style>
  <w:style w:type="paragraph" w:styleId="799">
    <w:name w:val="toc 1"/>
    <w:basedOn w:val="772"/>
    <w:next w:val="772"/>
    <w:uiPriority w:val="39"/>
    <w:unhideWhenUsed/>
    <w:qFormat/>
    <w:pPr>
      <w:spacing w:after="57"/>
    </w:pPr>
  </w:style>
  <w:style w:type="paragraph" w:styleId="800">
    <w:name w:val="toc 4"/>
    <w:basedOn w:val="772"/>
    <w:next w:val="772"/>
    <w:uiPriority w:val="39"/>
    <w:unhideWhenUsed/>
    <w:qFormat/>
    <w:pPr>
      <w:ind w:left="850"/>
      <w:spacing w:after="57"/>
    </w:pPr>
  </w:style>
  <w:style w:type="paragraph" w:styleId="801">
    <w:name w:val="Subtitle"/>
    <w:basedOn w:val="772"/>
    <w:next w:val="772"/>
    <w:link w:val="849"/>
    <w:uiPriority w:val="11"/>
    <w:qFormat/>
    <w:pPr>
      <w:spacing w:before="200" w:after="200"/>
    </w:pPr>
    <w:rPr>
      <w:sz w:val="24"/>
      <w:szCs w:val="24"/>
    </w:rPr>
  </w:style>
  <w:style w:type="paragraph" w:styleId="802">
    <w:name w:val="footnote text"/>
    <w:basedOn w:val="772"/>
    <w:link w:val="982"/>
    <w:uiPriority w:val="99"/>
    <w:semiHidden/>
    <w:unhideWhenUsed/>
    <w:qFormat/>
    <w:pPr>
      <w:spacing w:after="40"/>
    </w:pPr>
    <w:rPr>
      <w:sz w:val="18"/>
    </w:rPr>
  </w:style>
  <w:style w:type="paragraph" w:styleId="803">
    <w:name w:val="toc 6"/>
    <w:basedOn w:val="772"/>
    <w:next w:val="772"/>
    <w:uiPriority w:val="39"/>
    <w:unhideWhenUsed/>
    <w:qFormat/>
    <w:pPr>
      <w:ind w:left="1417"/>
      <w:spacing w:after="57"/>
    </w:pPr>
  </w:style>
  <w:style w:type="paragraph" w:styleId="804">
    <w:name w:val="table of figures"/>
    <w:basedOn w:val="772"/>
    <w:next w:val="772"/>
    <w:uiPriority w:val="99"/>
    <w:unhideWhenUsed/>
    <w:qFormat/>
  </w:style>
  <w:style w:type="paragraph" w:styleId="805">
    <w:name w:val="toc 2"/>
    <w:basedOn w:val="772"/>
    <w:next w:val="772"/>
    <w:uiPriority w:val="39"/>
    <w:unhideWhenUsed/>
    <w:qFormat/>
    <w:pPr>
      <w:ind w:left="283"/>
      <w:spacing w:after="57"/>
    </w:pPr>
  </w:style>
  <w:style w:type="paragraph" w:styleId="806">
    <w:name w:val="toc 9"/>
    <w:basedOn w:val="772"/>
    <w:next w:val="772"/>
    <w:uiPriority w:val="39"/>
    <w:unhideWhenUsed/>
    <w:qFormat/>
    <w:pPr>
      <w:ind w:left="2268"/>
      <w:spacing w:after="57"/>
    </w:pPr>
  </w:style>
  <w:style w:type="paragraph" w:styleId="807">
    <w:name w:val="Body Text 2"/>
    <w:basedOn w:val="772"/>
    <w:uiPriority w:val="0"/>
    <w:qFormat/>
    <w:pPr>
      <w:jc w:val="center"/>
    </w:pPr>
  </w:style>
  <w:style w:type="paragraph" w:styleId="808">
    <w:name w:val="Normal (Web)"/>
    <w:basedOn w:val="77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09">
    <w:name w:val="Title"/>
    <w:basedOn w:val="772"/>
    <w:next w:val="772"/>
    <w:link w:val="848"/>
    <w:uiPriority w:val="10"/>
    <w:qFormat/>
    <w:pPr>
      <w:contextualSpacing/>
      <w:spacing w:before="300" w:after="200"/>
    </w:pPr>
    <w:rPr>
      <w:sz w:val="48"/>
      <w:szCs w:val="48"/>
    </w:rPr>
  </w:style>
  <w:style w:type="paragraph" w:styleId="810">
    <w:name w:val="Body Text First Indent"/>
    <w:basedOn w:val="788"/>
    <w:next w:val="811"/>
    <w:uiPriority w:val="0"/>
    <w:qFormat/>
    <w:pPr>
      <w:ind w:firstLine="420"/>
      <w:spacing w:after="120"/>
    </w:pPr>
    <w:rPr>
      <w:rFonts w:eastAsia="宋体"/>
      <w:sz w:val="21"/>
    </w:rPr>
  </w:style>
  <w:style w:type="paragraph" w:styleId="811">
    <w:name w:val="Body Text First Indent 2"/>
    <w:basedOn w:val="789"/>
    <w:next w:val="772"/>
    <w:uiPriority w:val="0"/>
    <w:qFormat/>
    <w:pPr>
      <w:ind w:left="420" w:firstLine="420"/>
      <w:spacing w:after="120"/>
      <w:tabs>
        <w:tab w:val="left" w:pos="675" w:leader="none"/>
      </w:tabs>
    </w:pPr>
    <w:rPr>
      <w:sz w:val="21"/>
      <w:szCs w:val="24"/>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Emphasis"/>
    <w:uiPriority w:val="0"/>
    <w:qFormat/>
    <w:rPr>
      <w:i/>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annotation reference"/>
    <w:uiPriority w:val="0"/>
    <w:qFormat/>
    <w:rPr>
      <w:sz w:val="21"/>
      <w:szCs w:val="21"/>
    </w:rPr>
  </w:style>
  <w:style w:type="character" w:styleId="817">
    <w:name w:val="footnote reference"/>
    <w:uiPriority w:val="99"/>
    <w:unhideWhenUsed/>
    <w:qFormat/>
    <w:rPr>
      <w:vertAlign w:val="superscript"/>
    </w:rPr>
  </w:style>
  <w:style w:type="character" w:styleId="818" w:customStyle="1">
    <w:name w:val="Heading 1 Char"/>
    <w:basedOn w:val="782"/>
    <w:uiPriority w:val="9"/>
    <w:qFormat/>
    <w:rPr>
      <w:rFonts w:ascii="Arial" w:hAnsi="Arial" w:eastAsia="Arial" w:cs="Arial"/>
      <w:sz w:val="40"/>
      <w:szCs w:val="40"/>
    </w:rPr>
  </w:style>
  <w:style w:type="character" w:styleId="819" w:customStyle="1">
    <w:name w:val="Heading 2 Char"/>
    <w:basedOn w:val="782"/>
    <w:uiPriority w:val="9"/>
    <w:qFormat/>
    <w:rPr>
      <w:rFonts w:ascii="Arial" w:hAnsi="Arial" w:eastAsia="Arial" w:cs="Arial"/>
      <w:sz w:val="34"/>
    </w:rPr>
  </w:style>
  <w:style w:type="character" w:styleId="820" w:customStyle="1">
    <w:name w:val="Heading 3 Char"/>
    <w:basedOn w:val="782"/>
    <w:uiPriority w:val="9"/>
    <w:qFormat/>
    <w:rPr>
      <w:rFonts w:ascii="Arial" w:hAnsi="Arial" w:eastAsia="Arial" w:cs="Arial"/>
      <w:sz w:val="30"/>
      <w:szCs w:val="30"/>
    </w:rPr>
  </w:style>
  <w:style w:type="character" w:styleId="821" w:customStyle="1">
    <w:name w:val="Heading 4 Char"/>
    <w:basedOn w:val="782"/>
    <w:uiPriority w:val="9"/>
    <w:qFormat/>
    <w:rPr>
      <w:rFonts w:ascii="Arial" w:hAnsi="Arial" w:eastAsia="Arial" w:cs="Arial"/>
      <w:b/>
      <w:bCs/>
      <w:sz w:val="26"/>
      <w:szCs w:val="26"/>
    </w:rPr>
  </w:style>
  <w:style w:type="character" w:styleId="822" w:customStyle="1">
    <w:name w:val="Heading 5 Char"/>
    <w:basedOn w:val="782"/>
    <w:uiPriority w:val="9"/>
    <w:qFormat/>
    <w:rPr>
      <w:rFonts w:ascii="Arial" w:hAnsi="Arial" w:eastAsia="Arial" w:cs="Arial"/>
      <w:b/>
      <w:bCs/>
      <w:sz w:val="24"/>
      <w:szCs w:val="24"/>
    </w:rPr>
  </w:style>
  <w:style w:type="character" w:styleId="823" w:customStyle="1">
    <w:name w:val="Heading 6 Char"/>
    <w:basedOn w:val="782"/>
    <w:uiPriority w:val="9"/>
    <w:qFormat/>
    <w:rPr>
      <w:rFonts w:ascii="Arial" w:hAnsi="Arial" w:eastAsia="Arial" w:cs="Arial"/>
      <w:b/>
      <w:bCs/>
      <w:sz w:val="22"/>
      <w:szCs w:val="22"/>
    </w:rPr>
  </w:style>
  <w:style w:type="character" w:styleId="824" w:customStyle="1">
    <w:name w:val="Heading 7 Char"/>
    <w:basedOn w:val="782"/>
    <w:uiPriority w:val="9"/>
    <w:qFormat/>
    <w:rPr>
      <w:rFonts w:ascii="Arial" w:hAnsi="Arial" w:eastAsia="Arial" w:cs="Arial"/>
      <w:b/>
      <w:bCs/>
      <w:i/>
      <w:iCs/>
      <w:sz w:val="22"/>
      <w:szCs w:val="22"/>
    </w:rPr>
  </w:style>
  <w:style w:type="character" w:styleId="825" w:customStyle="1">
    <w:name w:val="Heading 8 Char"/>
    <w:basedOn w:val="782"/>
    <w:uiPriority w:val="9"/>
    <w:qFormat/>
    <w:rPr>
      <w:rFonts w:ascii="Arial" w:hAnsi="Arial" w:eastAsia="Arial" w:cs="Arial"/>
      <w:i/>
      <w:iCs/>
      <w:sz w:val="22"/>
      <w:szCs w:val="22"/>
    </w:rPr>
  </w:style>
  <w:style w:type="character" w:styleId="826" w:customStyle="1">
    <w:name w:val="Heading 9 Char"/>
    <w:basedOn w:val="782"/>
    <w:uiPriority w:val="9"/>
    <w:qFormat/>
    <w:rPr>
      <w:rFonts w:ascii="Arial" w:hAnsi="Arial" w:eastAsia="Arial" w:cs="Arial"/>
      <w:i/>
      <w:iCs/>
      <w:sz w:val="21"/>
      <w:szCs w:val="21"/>
    </w:rPr>
  </w:style>
  <w:style w:type="character" w:styleId="827" w:customStyle="1">
    <w:name w:val="Title Char"/>
    <w:basedOn w:val="782"/>
    <w:uiPriority w:val="10"/>
    <w:qFormat/>
    <w:rPr>
      <w:sz w:val="48"/>
      <w:szCs w:val="48"/>
    </w:rPr>
  </w:style>
  <w:style w:type="character" w:styleId="828" w:customStyle="1">
    <w:name w:val="Subtitle Char"/>
    <w:basedOn w:val="782"/>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82"/>
    <w:uiPriority w:val="99"/>
    <w:qFormat/>
  </w:style>
  <w:style w:type="character" w:styleId="832" w:customStyle="1">
    <w:name w:val="Caption Char"/>
    <w:uiPriority w:val="99"/>
    <w:qFormat/>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37" w:customStyle="1">
    <w:name w:val="标题 1 Char1"/>
    <w:link w:val="773"/>
    <w:uiPriority w:val="9"/>
    <w:qFormat/>
    <w:rPr>
      <w:rFonts w:ascii="Arial" w:hAnsi="Arial" w:eastAsia="Arial" w:cs="Arial"/>
      <w:sz w:val="40"/>
      <w:szCs w:val="40"/>
    </w:rPr>
  </w:style>
  <w:style w:type="character" w:styleId="838" w:customStyle="1">
    <w:name w:val="标题 2 Char1"/>
    <w:link w:val="774"/>
    <w:uiPriority w:val="9"/>
    <w:qFormat/>
    <w:rPr>
      <w:rFonts w:ascii="Arial" w:hAnsi="Arial" w:eastAsia="Arial" w:cs="Arial"/>
      <w:sz w:val="34"/>
    </w:rPr>
  </w:style>
  <w:style w:type="character" w:styleId="839" w:customStyle="1">
    <w:name w:val="标题 3 Char1"/>
    <w:link w:val="775"/>
    <w:uiPriority w:val="9"/>
    <w:qFormat/>
    <w:rPr>
      <w:rFonts w:ascii="Arial" w:hAnsi="Arial" w:eastAsia="Arial" w:cs="Arial"/>
      <w:sz w:val="30"/>
      <w:szCs w:val="30"/>
    </w:rPr>
  </w:style>
  <w:style w:type="character" w:styleId="840" w:customStyle="1">
    <w:name w:val="标题 4 Char1"/>
    <w:link w:val="776"/>
    <w:uiPriority w:val="9"/>
    <w:qFormat/>
    <w:rPr>
      <w:rFonts w:ascii="Arial" w:hAnsi="Arial" w:eastAsia="Arial" w:cs="Arial"/>
      <w:b/>
      <w:bCs/>
      <w:sz w:val="26"/>
      <w:szCs w:val="26"/>
    </w:rPr>
  </w:style>
  <w:style w:type="character" w:styleId="841" w:customStyle="1">
    <w:name w:val="标题 5 Char1"/>
    <w:link w:val="777"/>
    <w:uiPriority w:val="9"/>
    <w:qFormat/>
    <w:rPr>
      <w:rFonts w:ascii="Arial" w:hAnsi="Arial" w:eastAsia="Arial" w:cs="Arial"/>
      <w:b/>
      <w:bCs/>
      <w:sz w:val="24"/>
      <w:szCs w:val="24"/>
    </w:rPr>
  </w:style>
  <w:style w:type="character" w:styleId="842" w:customStyle="1">
    <w:name w:val="标题 6 Char1"/>
    <w:link w:val="778"/>
    <w:uiPriority w:val="9"/>
    <w:qFormat/>
    <w:rPr>
      <w:rFonts w:ascii="Arial" w:hAnsi="Arial" w:eastAsia="Arial" w:cs="Arial"/>
      <w:b/>
      <w:bCs/>
      <w:sz w:val="22"/>
      <w:szCs w:val="22"/>
    </w:rPr>
  </w:style>
  <w:style w:type="character" w:styleId="843" w:customStyle="1">
    <w:name w:val="标题 7 Char1"/>
    <w:link w:val="779"/>
    <w:uiPriority w:val="9"/>
    <w:qFormat/>
    <w:rPr>
      <w:rFonts w:ascii="Arial" w:hAnsi="Arial" w:eastAsia="Arial" w:cs="Arial"/>
      <w:b/>
      <w:bCs/>
      <w:i/>
      <w:iCs/>
      <w:sz w:val="22"/>
      <w:szCs w:val="22"/>
    </w:rPr>
  </w:style>
  <w:style w:type="character" w:styleId="844" w:customStyle="1">
    <w:name w:val="标题 8 Char1"/>
    <w:link w:val="780"/>
    <w:uiPriority w:val="9"/>
    <w:qFormat/>
    <w:rPr>
      <w:rFonts w:ascii="Arial" w:hAnsi="Arial" w:eastAsia="Arial" w:cs="Arial"/>
      <w:i/>
      <w:iCs/>
      <w:sz w:val="22"/>
      <w:szCs w:val="22"/>
    </w:rPr>
  </w:style>
  <w:style w:type="character" w:styleId="845" w:customStyle="1">
    <w:name w:val="标题 9 Char1"/>
    <w:link w:val="781"/>
    <w:uiPriority w:val="9"/>
    <w:qFormat/>
    <w:rPr>
      <w:rFonts w:ascii="Arial" w:hAnsi="Arial" w:eastAsia="Arial" w:cs="Arial"/>
      <w:i/>
      <w:iCs/>
      <w:sz w:val="21"/>
      <w:szCs w:val="21"/>
    </w:rPr>
  </w:style>
  <w:style w:type="paragraph" w:styleId="846">
    <w:name w:val="List Paragraph"/>
    <w:basedOn w:val="772"/>
    <w:uiPriority w:val="34"/>
    <w:qFormat/>
    <w:pPr>
      <w:contextualSpacing/>
      <w:ind w:left="720"/>
    </w:pPr>
  </w:style>
  <w:style w:type="paragraph" w:styleId="847">
    <w:name w:val="No Spacing"/>
    <w:uiPriority w:val="1"/>
    <w:qFormat/>
    <w:rPr>
      <w:rFonts w:hint="default" w:ascii="Times New Roman" w:hAnsi="Times New Roman" w:eastAsia="宋体" w:cs="Times New Roman"/>
      <w:lang w:val="en-US" w:eastAsia="zh-CN" w:bidi="ar-SA"/>
    </w:rPr>
  </w:style>
  <w:style w:type="character" w:styleId="848" w:customStyle="1">
    <w:name w:val="标题 Char"/>
    <w:link w:val="809"/>
    <w:uiPriority w:val="10"/>
    <w:qFormat/>
    <w:rPr>
      <w:sz w:val="48"/>
      <w:szCs w:val="48"/>
    </w:rPr>
  </w:style>
  <w:style w:type="character" w:styleId="849" w:customStyle="1">
    <w:name w:val="副标题 Char"/>
    <w:link w:val="801"/>
    <w:uiPriority w:val="11"/>
    <w:qFormat/>
    <w:rPr>
      <w:sz w:val="24"/>
      <w:szCs w:val="24"/>
    </w:rPr>
  </w:style>
  <w:style w:type="paragraph" w:styleId="850">
    <w:name w:val="Quote"/>
    <w:basedOn w:val="772"/>
    <w:next w:val="772"/>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72"/>
    <w:next w:val="772"/>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眉 Char1"/>
    <w:link w:val="798"/>
    <w:uiPriority w:val="99"/>
    <w:qFormat/>
  </w:style>
  <w:style w:type="character" w:styleId="855" w:customStyle="1">
    <w:name w:val="Footer Char"/>
    <w:link w:val="797"/>
    <w:uiPriority w:val="99"/>
    <w:qFormat/>
  </w:style>
  <w:style w:type="character" w:styleId="856" w:customStyle="1">
    <w:name w:val="页脚 Char1"/>
    <w:link w:val="797"/>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Char"/>
    <w:link w:val="802"/>
    <w:uiPriority w:val="99"/>
    <w:qFormat/>
    <w:rPr>
      <w:sz w:val="18"/>
    </w:rPr>
  </w:style>
  <w:style w:type="character" w:styleId="983" w:customStyle="1">
    <w:name w:val="尾注文本 Char"/>
    <w:link w:val="795"/>
    <w:uiPriority w:val="99"/>
    <w:qFormat/>
    <w:rPr>
      <w:sz w:val="20"/>
    </w:r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标题 11"/>
    <w:basedOn w:val="772"/>
    <w:next w:val="772"/>
    <w:link w:val="997"/>
    <w:uiPriority w:val="0"/>
    <w:qFormat/>
    <w:pPr>
      <w:jc w:val="center"/>
      <w:keepNext/>
      <w:outlineLvl w:val="0"/>
    </w:pPr>
    <w:rPr>
      <w:rFonts w:ascii="楷体_GB2312" w:eastAsia="楷体_GB2312"/>
      <w:sz w:val="28"/>
      <w:szCs w:val="28"/>
    </w:rPr>
  </w:style>
  <w:style w:type="paragraph" w:styleId="986" w:customStyle="1">
    <w:name w:val="标题 21"/>
    <w:basedOn w:val="772"/>
    <w:next w:val="772"/>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7" w:customStyle="1">
    <w:name w:val="标题 311"/>
    <w:basedOn w:val="772"/>
    <w:next w:val="988"/>
    <w:link w:val="999"/>
    <w:uiPriority w:val="0"/>
    <w:qFormat/>
    <w:pPr>
      <w:keepLines/>
      <w:keepNext/>
      <w:spacing w:before="260" w:after="260" w:line="416" w:lineRule="auto"/>
      <w:outlineLvl w:val="2"/>
    </w:pPr>
    <w:rPr>
      <w:b/>
      <w:bCs/>
      <w:sz w:val="32"/>
      <w:szCs w:val="32"/>
    </w:rPr>
  </w:style>
  <w:style w:type="paragraph" w:styleId="988" w:customStyle="1">
    <w:name w:val="正文缩进1"/>
    <w:basedOn w:val="772"/>
    <w:link w:val="1000"/>
    <w:uiPriority w:val="0"/>
    <w:qFormat/>
    <w:pPr>
      <w:ind w:firstLine="420"/>
    </w:pPr>
  </w:style>
  <w:style w:type="paragraph" w:styleId="989" w:customStyle="1">
    <w:name w:val="标题 41"/>
    <w:basedOn w:val="772"/>
    <w:next w:val="988"/>
    <w:link w:val="1001"/>
    <w:uiPriority w:val="0"/>
    <w:qFormat/>
    <w:pPr>
      <w:keepLines/>
      <w:keepNext/>
      <w:spacing w:before="280" w:after="290" w:line="376" w:lineRule="auto"/>
      <w:outlineLvl w:val="3"/>
    </w:pPr>
    <w:rPr>
      <w:rFonts w:ascii="Arial" w:hAnsi="Arial" w:eastAsia="黑体" w:cs="Arial"/>
      <w:b/>
      <w:bCs/>
      <w:sz w:val="28"/>
      <w:szCs w:val="28"/>
    </w:rPr>
  </w:style>
  <w:style w:type="paragraph" w:styleId="990" w:customStyle="1">
    <w:name w:val="标题 51"/>
    <w:basedOn w:val="772"/>
    <w:next w:val="988"/>
    <w:link w:val="1002"/>
    <w:uiPriority w:val="0"/>
    <w:qFormat/>
    <w:pPr>
      <w:keepNext/>
      <w:outlineLvl w:val="4"/>
    </w:pPr>
    <w:rPr>
      <w:rFonts w:ascii="宋体"/>
      <w:color w:val="000000"/>
      <w:sz w:val="28"/>
      <w:szCs w:val="28"/>
    </w:rPr>
  </w:style>
  <w:style w:type="paragraph" w:styleId="991" w:customStyle="1">
    <w:name w:val="标题 61"/>
    <w:basedOn w:val="772"/>
    <w:next w:val="772"/>
    <w:link w:val="10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2" w:customStyle="1">
    <w:name w:val="标题 71"/>
    <w:basedOn w:val="772"/>
    <w:next w:val="772"/>
    <w:link w:val="1004"/>
    <w:uiPriority w:val="0"/>
    <w:qFormat/>
    <w:pPr>
      <w:numPr>
        <w:ilvl w:val="6"/>
        <w:numId w:val="1"/>
      </w:numPr>
      <w:keepLines/>
      <w:keepNext/>
      <w:spacing w:before="240" w:after="64" w:line="320" w:lineRule="auto"/>
      <w:outlineLvl w:val="6"/>
    </w:pPr>
    <w:rPr>
      <w:b/>
      <w:bCs/>
      <w:sz w:val="24"/>
      <w:szCs w:val="24"/>
    </w:rPr>
  </w:style>
  <w:style w:type="paragraph" w:styleId="993" w:customStyle="1">
    <w:name w:val="标题 81"/>
    <w:basedOn w:val="772"/>
    <w:next w:val="772"/>
    <w:link w:val="10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4" w:customStyle="1">
    <w:name w:val="标题 91"/>
    <w:basedOn w:val="772"/>
    <w:next w:val="772"/>
    <w:link w:val="1006"/>
    <w:uiPriority w:val="0"/>
    <w:qFormat/>
    <w:pPr>
      <w:numPr>
        <w:ilvl w:val="8"/>
        <w:numId w:val="1"/>
      </w:numPr>
      <w:keepLines/>
      <w:keepNext/>
      <w:spacing w:before="240" w:after="64" w:line="320" w:lineRule="auto"/>
      <w:outlineLvl w:val="8"/>
    </w:pPr>
    <w:rPr>
      <w:rFonts w:ascii="Arial" w:hAnsi="Arial" w:eastAsia="黑体"/>
    </w:rPr>
  </w:style>
  <w:style w:type="character" w:styleId="995" w:customStyle="1">
    <w:name w:val="默认段落字体1"/>
    <w:uiPriority w:val="1"/>
    <w:unhideWhenUsed/>
    <w:qFormat/>
  </w:style>
  <w:style w:type="table" w:styleId="996" w:customStyle="1">
    <w:name w:val="普通表格1"/>
    <w:uiPriority w:val="99"/>
    <w:unhideWhenUsed/>
    <w:qFormat/>
    <w:tblPr>
      <w:tblCellMar>
        <w:left w:w="0" w:type="dxa"/>
        <w:top w:w="0" w:type="dxa"/>
        <w:right w:w="0" w:type="dxa"/>
        <w:bottom w:w="0" w:type="dxa"/>
      </w:tblCellMar>
    </w:tblPr>
  </w:style>
  <w:style w:type="character" w:styleId="997" w:customStyle="1">
    <w:name w:val="标题 1 Char"/>
    <w:link w:val="985"/>
    <w:uiPriority w:val="0"/>
    <w:qFormat/>
    <w:rPr>
      <w:rFonts w:ascii="楷体_GB2312" w:hAnsi="Times New Roman" w:eastAsia="楷体_GB2312" w:cs="Times New Roman"/>
      <w:sz w:val="28"/>
      <w:szCs w:val="28"/>
    </w:rPr>
  </w:style>
  <w:style w:type="character" w:styleId="998" w:customStyle="1">
    <w:name w:val="标题 2 Char"/>
    <w:link w:val="986"/>
    <w:uiPriority w:val="0"/>
    <w:qFormat/>
    <w:rPr>
      <w:rFonts w:ascii="Arial" w:hAnsi="Arial" w:eastAsia="幼圆" w:cs="Arial"/>
      <w:b/>
      <w:bCs/>
      <w:sz w:val="44"/>
      <w:szCs w:val="44"/>
    </w:rPr>
  </w:style>
  <w:style w:type="character" w:styleId="999" w:customStyle="1">
    <w:name w:val="标题 3 Char"/>
    <w:link w:val="987"/>
    <w:uiPriority w:val="0"/>
    <w:qFormat/>
    <w:rPr>
      <w:rFonts w:ascii="Times New Roman" w:hAnsi="Times New Roman" w:eastAsia="宋体" w:cs="Times New Roman"/>
      <w:b/>
      <w:bCs/>
      <w:sz w:val="32"/>
      <w:szCs w:val="32"/>
    </w:rPr>
  </w:style>
  <w:style w:type="character" w:styleId="1000" w:customStyle="1">
    <w:name w:val="正文缩进 Char"/>
    <w:link w:val="988"/>
    <w:uiPriority w:val="0"/>
    <w:qFormat/>
    <w:rPr>
      <w:rFonts w:ascii="Times New Roman" w:hAnsi="Times New Roman" w:eastAsia="宋体" w:cs="Times New Roman"/>
      <w:szCs w:val="21"/>
    </w:rPr>
  </w:style>
  <w:style w:type="character" w:styleId="1001" w:customStyle="1">
    <w:name w:val="标题 4 Char"/>
    <w:link w:val="989"/>
    <w:uiPriority w:val="0"/>
    <w:qFormat/>
    <w:rPr>
      <w:rFonts w:ascii="Arial" w:hAnsi="Arial" w:eastAsia="黑体" w:cs="Arial"/>
      <w:b/>
      <w:bCs/>
      <w:sz w:val="28"/>
      <w:szCs w:val="28"/>
    </w:rPr>
  </w:style>
  <w:style w:type="character" w:styleId="1002" w:customStyle="1">
    <w:name w:val="标题 5 Char"/>
    <w:link w:val="990"/>
    <w:uiPriority w:val="0"/>
    <w:qFormat/>
    <w:rPr>
      <w:rFonts w:ascii="宋体" w:hAnsi="Times New Roman" w:eastAsia="宋体" w:cs="Times New Roman"/>
      <w:color w:val="000000"/>
      <w:sz w:val="28"/>
      <w:szCs w:val="28"/>
    </w:rPr>
  </w:style>
  <w:style w:type="character" w:styleId="1003" w:customStyle="1">
    <w:name w:val="标题 6 Char"/>
    <w:link w:val="991"/>
    <w:uiPriority w:val="0"/>
    <w:qFormat/>
    <w:rPr>
      <w:rFonts w:ascii="Arial" w:hAnsi="Arial" w:eastAsia="黑体" w:cs="Times New Roman"/>
      <w:b/>
      <w:bCs/>
      <w:sz w:val="24"/>
      <w:szCs w:val="24"/>
    </w:rPr>
  </w:style>
  <w:style w:type="character" w:styleId="1004" w:customStyle="1">
    <w:name w:val="标题 7 Char"/>
    <w:link w:val="992"/>
    <w:uiPriority w:val="0"/>
    <w:qFormat/>
    <w:rPr>
      <w:rFonts w:ascii="Times New Roman" w:hAnsi="Times New Roman" w:eastAsia="宋体" w:cs="Times New Roman"/>
      <w:b/>
      <w:bCs/>
      <w:sz w:val="24"/>
      <w:szCs w:val="24"/>
    </w:rPr>
  </w:style>
  <w:style w:type="character" w:styleId="1005" w:customStyle="1">
    <w:name w:val="标题 8 Char"/>
    <w:link w:val="993"/>
    <w:uiPriority w:val="0"/>
    <w:qFormat/>
    <w:rPr>
      <w:rFonts w:ascii="Arial" w:hAnsi="Arial" w:eastAsia="黑体" w:cs="Times New Roman"/>
      <w:sz w:val="24"/>
      <w:szCs w:val="24"/>
    </w:rPr>
  </w:style>
  <w:style w:type="character" w:styleId="1006" w:customStyle="1">
    <w:name w:val="标题 9 Char"/>
    <w:link w:val="994"/>
    <w:uiPriority w:val="0"/>
    <w:qFormat/>
    <w:rPr>
      <w:rFonts w:ascii="Arial" w:hAnsi="Arial" w:eastAsia="黑体" w:cs="Times New Roman"/>
      <w:szCs w:val="21"/>
    </w:rPr>
  </w:style>
  <w:style w:type="paragraph" w:styleId="1007" w:customStyle="1">
    <w:name w:val="列表 31"/>
    <w:basedOn w:val="772"/>
    <w:uiPriority w:val="0"/>
    <w:qFormat/>
    <w:pPr>
      <w:ind w:left="100" w:hanging="200"/>
    </w:pPr>
  </w:style>
  <w:style w:type="paragraph" w:styleId="1008" w:customStyle="1">
    <w:name w:val="目录 71"/>
    <w:basedOn w:val="772"/>
    <w:next w:val="772"/>
    <w:uiPriority w:val="0"/>
    <w:semiHidden/>
    <w:qFormat/>
    <w:pPr>
      <w:ind w:left="1260"/>
      <w:jc w:val="left"/>
    </w:pPr>
  </w:style>
  <w:style w:type="paragraph" w:styleId="1009" w:customStyle="1">
    <w:name w:val="文档结构图1"/>
    <w:basedOn w:val="772"/>
    <w:link w:val="1010"/>
    <w:uiPriority w:val="0"/>
    <w:semiHidden/>
    <w:qFormat/>
    <w:pPr>
      <w:shd w:val="clear" w:color="auto" w:fill="000080"/>
    </w:pPr>
  </w:style>
  <w:style w:type="character" w:styleId="1010" w:customStyle="1">
    <w:name w:val="文档结构图 Char"/>
    <w:link w:val="1009"/>
    <w:uiPriority w:val="0"/>
    <w:semiHidden/>
    <w:qFormat/>
    <w:rPr>
      <w:rFonts w:ascii="Times New Roman" w:hAnsi="Times New Roman" w:eastAsia="宋体" w:cs="Times New Roman"/>
      <w:szCs w:val="21"/>
      <w:shd w:val="clear" w:color="auto" w:fill="000080"/>
    </w:rPr>
  </w:style>
  <w:style w:type="paragraph" w:styleId="1011" w:customStyle="1">
    <w:name w:val="批注文字1"/>
    <w:basedOn w:val="772"/>
    <w:link w:val="1012"/>
    <w:uiPriority w:val="0"/>
    <w:semiHidden/>
    <w:qFormat/>
    <w:pPr>
      <w:jc w:val="left"/>
    </w:pPr>
  </w:style>
  <w:style w:type="character" w:styleId="1012" w:customStyle="1">
    <w:name w:val="批注文字 Char"/>
    <w:link w:val="1011"/>
    <w:uiPriority w:val="0"/>
    <w:semiHidden/>
    <w:qFormat/>
    <w:rPr>
      <w:rFonts w:ascii="Times New Roman" w:hAnsi="Times New Roman" w:eastAsia="宋体" w:cs="Times New Roman"/>
      <w:szCs w:val="21"/>
    </w:rPr>
  </w:style>
  <w:style w:type="paragraph" w:styleId="1013" w:customStyle="1">
    <w:name w:val="正文文本 31"/>
    <w:basedOn w:val="772"/>
    <w:link w:val="1014"/>
    <w:uiPriority w:val="0"/>
    <w:qFormat/>
    <w:rPr>
      <w:rFonts w:ascii="仿宋_GB2312" w:hAnsi="Arial" w:eastAsia="仿宋_GB2312"/>
      <w:sz w:val="32"/>
      <w:szCs w:val="32"/>
    </w:rPr>
  </w:style>
  <w:style w:type="character" w:styleId="1014" w:customStyle="1">
    <w:name w:val="正文文本 3 Char"/>
    <w:link w:val="1013"/>
    <w:uiPriority w:val="0"/>
    <w:qFormat/>
    <w:rPr>
      <w:rFonts w:ascii="仿宋_GB2312" w:hAnsi="Arial" w:eastAsia="仿宋_GB2312" w:cs="Times New Roman"/>
      <w:sz w:val="32"/>
      <w:szCs w:val="32"/>
    </w:rPr>
  </w:style>
  <w:style w:type="paragraph" w:styleId="1015" w:customStyle="1">
    <w:name w:val="正文文本1"/>
    <w:basedOn w:val="772"/>
    <w:link w:val="1016"/>
    <w:uiPriority w:val="0"/>
    <w:qFormat/>
    <w:rPr>
      <w:rFonts w:ascii="楷体_GB2312" w:hAnsi="Arial" w:eastAsia="楷体_GB2312"/>
      <w:sz w:val="28"/>
      <w:szCs w:val="28"/>
    </w:rPr>
  </w:style>
  <w:style w:type="character" w:styleId="1016" w:customStyle="1">
    <w:name w:val="正文文本 Char"/>
    <w:link w:val="1015"/>
    <w:uiPriority w:val="0"/>
    <w:qFormat/>
    <w:rPr>
      <w:rFonts w:ascii="楷体_GB2312" w:hAnsi="Arial" w:eastAsia="楷体_GB2312" w:cs="Times New Roman"/>
      <w:sz w:val="28"/>
      <w:szCs w:val="28"/>
    </w:rPr>
  </w:style>
  <w:style w:type="paragraph" w:styleId="1017" w:customStyle="1">
    <w:name w:val="正文文本缩进1"/>
    <w:basedOn w:val="772"/>
    <w:link w:val="1018"/>
    <w:uiPriority w:val="0"/>
    <w:qFormat/>
    <w:pPr>
      <w:ind w:firstLine="645"/>
    </w:pPr>
    <w:rPr>
      <w:rFonts w:ascii="楷体_GB2312" w:eastAsia="楷体_GB2312"/>
      <w:sz w:val="32"/>
      <w:szCs w:val="32"/>
    </w:rPr>
  </w:style>
  <w:style w:type="character" w:styleId="1018" w:customStyle="1">
    <w:name w:val="正文文本缩进 Char"/>
    <w:link w:val="1017"/>
    <w:uiPriority w:val="0"/>
    <w:qFormat/>
    <w:rPr>
      <w:rFonts w:ascii="楷体_GB2312" w:hAnsi="Times New Roman" w:eastAsia="楷体_GB2312" w:cs="Times New Roman"/>
      <w:sz w:val="32"/>
      <w:szCs w:val="32"/>
    </w:rPr>
  </w:style>
  <w:style w:type="paragraph" w:styleId="1019" w:customStyle="1">
    <w:name w:val="列表 21"/>
    <w:basedOn w:val="772"/>
    <w:uiPriority w:val="0"/>
    <w:qFormat/>
    <w:pPr>
      <w:ind w:left="100" w:hanging="200"/>
    </w:pPr>
  </w:style>
  <w:style w:type="paragraph" w:styleId="1020" w:customStyle="1">
    <w:name w:val="目录 51"/>
    <w:basedOn w:val="772"/>
    <w:next w:val="772"/>
    <w:uiPriority w:val="0"/>
    <w:semiHidden/>
    <w:qFormat/>
    <w:pPr>
      <w:ind w:left="840"/>
      <w:jc w:val="left"/>
    </w:pPr>
  </w:style>
  <w:style w:type="paragraph" w:styleId="1021" w:customStyle="1">
    <w:name w:val="目录 31"/>
    <w:basedOn w:val="772"/>
    <w:next w:val="772"/>
    <w:uiPriority w:val="0"/>
    <w:semiHidden/>
    <w:qFormat/>
    <w:pPr>
      <w:ind w:left="420"/>
      <w:jc w:val="left"/>
    </w:pPr>
    <w:rPr>
      <w:i/>
      <w:iCs/>
      <w:szCs w:val="24"/>
    </w:rPr>
  </w:style>
  <w:style w:type="paragraph" w:styleId="1022" w:customStyle="1">
    <w:name w:val="纯文本11"/>
    <w:basedOn w:val="772"/>
    <w:link w:val="1023"/>
    <w:uiPriority w:val="0"/>
    <w:qFormat/>
    <w:rPr>
      <w:rFonts w:ascii="宋体" w:hAnsi="Courier New" w:cs="Courier New"/>
    </w:rPr>
  </w:style>
  <w:style w:type="character" w:styleId="1023" w:customStyle="1">
    <w:name w:val="纯文本 Char"/>
    <w:link w:val="1022"/>
    <w:uiPriority w:val="0"/>
    <w:qFormat/>
    <w:rPr>
      <w:rFonts w:ascii="宋体" w:hAnsi="Courier New" w:eastAsia="宋体" w:cs="Courier New"/>
      <w:szCs w:val="21"/>
    </w:rPr>
  </w:style>
  <w:style w:type="paragraph" w:styleId="1024" w:customStyle="1">
    <w:name w:val="目录 81"/>
    <w:basedOn w:val="772"/>
    <w:next w:val="772"/>
    <w:uiPriority w:val="0"/>
    <w:semiHidden/>
    <w:qFormat/>
    <w:pPr>
      <w:ind w:left="1470"/>
      <w:jc w:val="left"/>
    </w:pPr>
  </w:style>
  <w:style w:type="paragraph" w:styleId="1025" w:customStyle="1">
    <w:name w:val="日期1"/>
    <w:basedOn w:val="772"/>
    <w:next w:val="772"/>
    <w:link w:val="1026"/>
    <w:uiPriority w:val="0"/>
    <w:qFormat/>
    <w:rPr>
      <w:sz w:val="24"/>
      <w:szCs w:val="24"/>
    </w:rPr>
  </w:style>
  <w:style w:type="character" w:styleId="1026" w:customStyle="1">
    <w:name w:val="日期 Char"/>
    <w:link w:val="1025"/>
    <w:uiPriority w:val="0"/>
    <w:qFormat/>
    <w:rPr>
      <w:rFonts w:ascii="Times New Roman" w:hAnsi="Times New Roman" w:eastAsia="宋体" w:cs="Times New Roman"/>
      <w:sz w:val="24"/>
      <w:szCs w:val="24"/>
    </w:rPr>
  </w:style>
  <w:style w:type="paragraph" w:styleId="1027" w:customStyle="1">
    <w:name w:val="正文文本缩进 21"/>
    <w:basedOn w:val="772"/>
    <w:link w:val="1028"/>
    <w:uiPriority w:val="0"/>
    <w:qFormat/>
    <w:pPr>
      <w:ind w:left="630" w:firstLine="645"/>
    </w:pPr>
    <w:rPr>
      <w:rFonts w:ascii="Arial" w:hAnsi="Arial" w:eastAsia="仿宋_GB2312" w:cs="Arial"/>
      <w:sz w:val="32"/>
      <w:szCs w:val="32"/>
    </w:rPr>
  </w:style>
  <w:style w:type="character" w:styleId="1028" w:customStyle="1">
    <w:name w:val="正文文本缩进 2 Char"/>
    <w:link w:val="1027"/>
    <w:uiPriority w:val="0"/>
    <w:qFormat/>
    <w:rPr>
      <w:rFonts w:ascii="Arial" w:hAnsi="Arial" w:eastAsia="仿宋_GB2312" w:cs="Arial"/>
      <w:sz w:val="32"/>
      <w:szCs w:val="32"/>
    </w:rPr>
  </w:style>
  <w:style w:type="paragraph" w:styleId="1029" w:customStyle="1">
    <w:name w:val="批注框文本1"/>
    <w:basedOn w:val="772"/>
    <w:link w:val="1030"/>
    <w:uiPriority w:val="0"/>
    <w:semiHidden/>
    <w:qFormat/>
    <w:rPr>
      <w:sz w:val="18"/>
      <w:szCs w:val="18"/>
    </w:rPr>
  </w:style>
  <w:style w:type="character" w:styleId="1030" w:customStyle="1">
    <w:name w:val="批注框文本 Char"/>
    <w:link w:val="1029"/>
    <w:uiPriority w:val="0"/>
    <w:semiHidden/>
    <w:qFormat/>
    <w:rPr>
      <w:rFonts w:ascii="Times New Roman" w:hAnsi="Times New Roman" w:eastAsia="宋体" w:cs="Times New Roman"/>
      <w:sz w:val="18"/>
      <w:szCs w:val="18"/>
    </w:rPr>
  </w:style>
  <w:style w:type="paragraph" w:styleId="1031" w:customStyle="1">
    <w:name w:val="页脚1"/>
    <w:basedOn w:val="772"/>
    <w:link w:val="1032"/>
    <w:uiPriority w:val="0"/>
    <w:qFormat/>
    <w:pPr>
      <w:jc w:val="left"/>
      <w:tabs>
        <w:tab w:val="center" w:pos="4153" w:leader="none"/>
        <w:tab w:val="right" w:pos="8306" w:leader="none"/>
      </w:tabs>
    </w:pPr>
    <w:rPr>
      <w:sz w:val="18"/>
      <w:szCs w:val="18"/>
    </w:rPr>
  </w:style>
  <w:style w:type="character" w:styleId="1032" w:customStyle="1">
    <w:name w:val="页脚 Char"/>
    <w:link w:val="1031"/>
    <w:uiPriority w:val="0"/>
    <w:qFormat/>
    <w:rPr>
      <w:rFonts w:ascii="Times New Roman" w:hAnsi="Times New Roman" w:eastAsia="宋体" w:cs="Times New Roman"/>
      <w:sz w:val="18"/>
      <w:szCs w:val="18"/>
    </w:rPr>
  </w:style>
  <w:style w:type="paragraph" w:styleId="1033" w:customStyle="1">
    <w:name w:val="页眉1"/>
    <w:basedOn w:val="772"/>
    <w:link w:val="1034"/>
    <w:uiPriority w:val="0"/>
    <w:qFormat/>
    <w:pPr>
      <w:jc w:val="center"/>
      <w:tabs>
        <w:tab w:val="center" w:pos="4153" w:leader="none"/>
        <w:tab w:val="right" w:pos="8306" w:leader="none"/>
      </w:tabs>
      <w:pBdr>
        <w:bottom w:val="single" w:color="000000" w:sz="6" w:space="1"/>
      </w:pBdr>
    </w:pPr>
    <w:rPr>
      <w:sz w:val="18"/>
      <w:szCs w:val="18"/>
    </w:rPr>
  </w:style>
  <w:style w:type="character" w:styleId="1034" w:customStyle="1">
    <w:name w:val="页眉 Char"/>
    <w:link w:val="1033"/>
    <w:uiPriority w:val="0"/>
    <w:qFormat/>
    <w:rPr>
      <w:rFonts w:ascii="Times New Roman" w:hAnsi="Times New Roman" w:eastAsia="宋体" w:cs="Times New Roman"/>
      <w:sz w:val="18"/>
      <w:szCs w:val="18"/>
    </w:rPr>
  </w:style>
  <w:style w:type="paragraph" w:styleId="1035" w:customStyle="1">
    <w:name w:val="目录 11"/>
    <w:basedOn w:val="772"/>
    <w:next w:val="772"/>
    <w:uiPriority w:val="0"/>
    <w:semiHidden/>
    <w:qFormat/>
    <w:pPr>
      <w:jc w:val="left"/>
      <w:spacing w:before="120" w:after="120" w:line="400" w:lineRule="exact"/>
      <w:tabs>
        <w:tab w:val="right" w:pos="8720" w:leader="dot"/>
      </w:tabs>
    </w:pPr>
    <w:rPr>
      <w:rFonts w:ascii="宋体" w:hAnsi="宋体"/>
      <w:caps/>
      <w:sz w:val="24"/>
      <w:szCs w:val="24"/>
    </w:rPr>
  </w:style>
  <w:style w:type="paragraph" w:styleId="1036" w:customStyle="1">
    <w:name w:val="目录 41"/>
    <w:basedOn w:val="772"/>
    <w:next w:val="772"/>
    <w:uiPriority w:val="0"/>
    <w:semiHidden/>
    <w:qFormat/>
    <w:pPr>
      <w:ind w:left="630"/>
      <w:jc w:val="left"/>
    </w:pPr>
  </w:style>
  <w:style w:type="paragraph" w:styleId="1037" w:customStyle="1">
    <w:name w:val="列表1"/>
    <w:basedOn w:val="772"/>
    <w:uiPriority w:val="0"/>
    <w:qFormat/>
    <w:pPr>
      <w:ind w:left="200" w:hanging="200"/>
    </w:pPr>
  </w:style>
  <w:style w:type="paragraph" w:styleId="1038" w:customStyle="1">
    <w:name w:val="目录 61"/>
    <w:basedOn w:val="772"/>
    <w:next w:val="772"/>
    <w:uiPriority w:val="0"/>
    <w:semiHidden/>
    <w:qFormat/>
    <w:pPr>
      <w:ind w:left="1050"/>
      <w:jc w:val="left"/>
    </w:pPr>
  </w:style>
  <w:style w:type="paragraph" w:styleId="1039" w:customStyle="1">
    <w:name w:val="正文文本缩进 31"/>
    <w:basedOn w:val="772"/>
    <w:link w:val="1040"/>
    <w:uiPriority w:val="0"/>
    <w:qFormat/>
    <w:pPr>
      <w:ind w:left="645" w:firstLine="645"/>
    </w:pPr>
    <w:rPr>
      <w:rFonts w:ascii="Arial" w:hAnsi="Arial" w:eastAsia="仿宋_GB2312" w:cs="Arial"/>
      <w:color w:val="ffff00"/>
      <w:sz w:val="32"/>
      <w:szCs w:val="32"/>
    </w:rPr>
  </w:style>
  <w:style w:type="character" w:styleId="1040" w:customStyle="1">
    <w:name w:val="正文文本缩进 3 Char"/>
    <w:link w:val="1039"/>
    <w:uiPriority w:val="0"/>
    <w:qFormat/>
    <w:rPr>
      <w:rFonts w:ascii="Arial" w:hAnsi="Arial" w:eastAsia="仿宋_GB2312" w:cs="Arial"/>
      <w:color w:val="ffff00"/>
      <w:sz w:val="32"/>
      <w:szCs w:val="32"/>
    </w:rPr>
  </w:style>
  <w:style w:type="paragraph" w:styleId="1041" w:customStyle="1">
    <w:name w:val="图表目录1"/>
    <w:basedOn w:val="772"/>
    <w:next w:val="772"/>
    <w:uiPriority w:val="0"/>
    <w:semiHidden/>
    <w:qFormat/>
    <w:pPr>
      <w:ind w:left="840" w:hanging="420"/>
    </w:pPr>
  </w:style>
  <w:style w:type="paragraph" w:styleId="1042" w:customStyle="1">
    <w:name w:val="目录 21"/>
    <w:basedOn w:val="772"/>
    <w:next w:val="772"/>
    <w:uiPriority w:val="0"/>
    <w:semiHidden/>
    <w:qFormat/>
    <w:pPr>
      <w:ind w:left="210"/>
      <w:jc w:val="left"/>
    </w:pPr>
    <w:rPr>
      <w:smallCaps/>
      <w:szCs w:val="24"/>
    </w:rPr>
  </w:style>
  <w:style w:type="paragraph" w:styleId="1043" w:customStyle="1">
    <w:name w:val="目录 91"/>
    <w:basedOn w:val="772"/>
    <w:next w:val="772"/>
    <w:uiPriority w:val="0"/>
    <w:semiHidden/>
    <w:qFormat/>
    <w:pPr>
      <w:ind w:left="1680"/>
      <w:jc w:val="left"/>
    </w:pPr>
  </w:style>
  <w:style w:type="paragraph" w:styleId="1044" w:customStyle="1">
    <w:name w:val="正文文本 21"/>
    <w:basedOn w:val="772"/>
    <w:link w:val="1045"/>
    <w:uiPriority w:val="0"/>
    <w:qFormat/>
    <w:pPr>
      <w:jc w:val="center"/>
      <w:widowControl/>
    </w:pPr>
    <w:rPr>
      <w:rFonts w:ascii="楷体_GB2312" w:eastAsia="楷体_GB2312"/>
      <w:sz w:val="28"/>
      <w:szCs w:val="28"/>
    </w:rPr>
  </w:style>
  <w:style w:type="character" w:styleId="1045" w:customStyle="1">
    <w:name w:val="正文文本 2 Char"/>
    <w:link w:val="1044"/>
    <w:uiPriority w:val="0"/>
    <w:qFormat/>
    <w:rPr>
      <w:rFonts w:ascii="楷体_GB2312" w:hAnsi="Times New Roman" w:eastAsia="楷体_GB2312" w:cs="Times New Roman"/>
      <w:sz w:val="28"/>
      <w:szCs w:val="28"/>
    </w:rPr>
  </w:style>
  <w:style w:type="paragraph" w:styleId="1046" w:customStyle="1">
    <w:name w:val="HTML 预设格式1"/>
    <w:basedOn w:val="7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7"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048" w:customStyle="1">
    <w:name w:val="索引 11"/>
    <w:basedOn w:val="772"/>
    <w:next w:val="772"/>
    <w:uiPriority w:val="0"/>
    <w:semiHidden/>
    <w:qFormat/>
    <w:pPr>
      <w:spacing w:line="240" w:lineRule="atLeast"/>
    </w:pPr>
    <w:rPr>
      <w:b/>
      <w:bCs/>
    </w:rPr>
  </w:style>
  <w:style w:type="paragraph" w:styleId="1049" w:customStyle="1">
    <w:name w:val="批注主题1"/>
    <w:basedOn w:val="1011"/>
    <w:next w:val="1011"/>
    <w:link w:val="1050"/>
    <w:uiPriority w:val="0"/>
    <w:semiHidden/>
    <w:qFormat/>
    <w:rPr>
      <w:b/>
      <w:bCs/>
    </w:rPr>
  </w:style>
  <w:style w:type="character" w:styleId="1050" w:customStyle="1">
    <w:name w:val="批注主题 Char"/>
    <w:link w:val="1049"/>
    <w:uiPriority w:val="0"/>
    <w:semiHidden/>
    <w:qFormat/>
    <w:rPr>
      <w:rFonts w:ascii="Times New Roman" w:hAnsi="Times New Roman" w:eastAsia="宋体" w:cs="Times New Roman"/>
      <w:b/>
      <w:bCs/>
      <w:szCs w:val="21"/>
    </w:rPr>
  </w:style>
  <w:style w:type="paragraph" w:styleId="1051" w:customStyle="1">
    <w:name w:val="正文首行缩进1"/>
    <w:basedOn w:val="772"/>
    <w:link w:val="1052"/>
    <w:uiPriority w:val="0"/>
    <w:qFormat/>
    <w:pPr>
      <w:ind w:firstLine="200"/>
      <w:spacing w:line="360" w:lineRule="auto"/>
    </w:pPr>
    <w:rPr>
      <w:rFonts w:ascii="仿宋_GB2312" w:eastAsia="仿宋_GB2312"/>
      <w:sz w:val="30"/>
      <w:szCs w:val="30"/>
    </w:rPr>
  </w:style>
  <w:style w:type="character" w:styleId="1052" w:customStyle="1">
    <w:name w:val="正文首行缩进 Char"/>
    <w:link w:val="1051"/>
    <w:uiPriority w:val="0"/>
    <w:qFormat/>
    <w:rPr>
      <w:rFonts w:ascii="仿宋_GB2312" w:hAnsi="Times New Roman" w:eastAsia="仿宋_GB2312" w:cs="Times New Roman"/>
      <w:sz w:val="30"/>
      <w:szCs w:val="30"/>
    </w:rPr>
  </w:style>
  <w:style w:type="paragraph" w:styleId="1053" w:customStyle="1">
    <w:name w:val="正文首行缩进 21"/>
    <w:basedOn w:val="1017"/>
    <w:link w:val="1054"/>
    <w:uiPriority w:val="0"/>
    <w:qFormat/>
    <w:pPr>
      <w:ind w:firstLine="420"/>
      <w:spacing w:line="360" w:lineRule="auto"/>
    </w:pPr>
    <w:rPr>
      <w:rFonts w:ascii="宋体" w:hAnsi="宋体" w:eastAsia="宋体"/>
      <w:sz w:val="21"/>
      <w:szCs w:val="20"/>
    </w:rPr>
  </w:style>
  <w:style w:type="character" w:styleId="1054" w:customStyle="1">
    <w:name w:val="正文首行缩进 2 Char"/>
    <w:link w:val="1053"/>
    <w:uiPriority w:val="0"/>
    <w:qFormat/>
    <w:rPr>
      <w:rFonts w:ascii="宋体" w:hAnsi="宋体" w:eastAsia="宋体" w:cs="Times New Roman"/>
      <w:sz w:val="32"/>
      <w:szCs w:val="20"/>
    </w:rPr>
  </w:style>
  <w:style w:type="table" w:styleId="1055" w:customStyle="1">
    <w:name w:val="网格型1"/>
    <w:basedOn w:val="996"/>
    <w:uiPriority w:val="0"/>
    <w:qFormat/>
    <w:pPr>
      <w:jc w:val="both"/>
      <w:widowControl w:val="off"/>
    </w:pPr>
    <w:tblPr>
      <w:tblCellMar>
        <w:left w:w="0" w:type="dxa"/>
        <w:top w:w="0" w:type="dxa"/>
        <w:right w:w="0" w:type="dxa"/>
        <w:bottom w:w="0" w:type="dxa"/>
      </w:tblCellMar>
    </w:tblPr>
  </w:style>
  <w:style w:type="character" w:styleId="1056" w:customStyle="1">
    <w:name w:val="要点1"/>
    <w:uiPriority w:val="0"/>
    <w:qFormat/>
    <w:rPr>
      <w:b/>
      <w:bCs/>
    </w:rPr>
  </w:style>
  <w:style w:type="character" w:styleId="1057" w:customStyle="1">
    <w:name w:val="页码1"/>
    <w:uiPriority w:val="0"/>
    <w:qFormat/>
  </w:style>
  <w:style w:type="character" w:styleId="1058" w:customStyle="1">
    <w:name w:val="已访问的超链接1"/>
    <w:uiPriority w:val="0"/>
    <w:qFormat/>
    <w:rPr>
      <w:color w:val="800080"/>
      <w:u w:val="single"/>
    </w:rPr>
  </w:style>
  <w:style w:type="character" w:styleId="1059" w:customStyle="1">
    <w:name w:val="强调1"/>
    <w:basedOn w:val="995"/>
    <w:uiPriority w:val="20"/>
    <w:qFormat/>
    <w:rPr>
      <w:i/>
    </w:rPr>
  </w:style>
  <w:style w:type="character" w:styleId="1060" w:customStyle="1">
    <w:name w:val="超链接1"/>
    <w:uiPriority w:val="0"/>
    <w:qFormat/>
    <w:rPr>
      <w:color w:val="0000ff"/>
      <w:u w:val="single"/>
    </w:rPr>
  </w:style>
  <w:style w:type="character" w:styleId="1061" w:customStyle="1">
    <w:name w:val="批注引用1"/>
    <w:uiPriority w:val="0"/>
    <w:semiHidden/>
    <w:qFormat/>
    <w:rPr>
      <w:sz w:val="21"/>
      <w:szCs w:val="21"/>
    </w:rPr>
  </w:style>
  <w:style w:type="paragraph" w:styleId="1062" w:customStyle="1">
    <w:name w:val="标题 5（有编号）（绿盟科技）"/>
    <w:basedOn w:val="772"/>
    <w:next w:val="1063"/>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63"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64" w:customStyle="1">
    <w:name w:val="二级目录 Char"/>
    <w:link w:val="1065"/>
    <w:uiPriority w:val="0"/>
    <w:qFormat/>
    <w:rPr>
      <w:b/>
      <w:sz w:val="30"/>
      <w:szCs w:val="28"/>
    </w:rPr>
  </w:style>
  <w:style w:type="paragraph" w:styleId="1065" w:customStyle="1">
    <w:name w:val="二级目录"/>
    <w:next w:val="772"/>
    <w:link w:val="106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列出段落 Char"/>
    <w:link w:val="1068"/>
    <w:uiPriority w:val="0"/>
    <w:qFormat/>
    <w:rPr>
      <w:rFonts w:ascii="Calibri" w:hAnsi="Calibri"/>
      <w:sz w:val="24"/>
      <w:szCs w:val="24"/>
      <w:lang w:eastAsia="en-US" w:bidi="en-US"/>
    </w:rPr>
  </w:style>
  <w:style w:type="paragraph" w:styleId="1068" w:customStyle="1">
    <w:name w:val="列出段落1"/>
    <w:basedOn w:val="772"/>
    <w:link w:val="1067"/>
    <w:uiPriority w:val="0"/>
    <w:qFormat/>
    <w:pPr>
      <w:contextualSpacing/>
      <w:ind w:left="720"/>
      <w:jc w:val="left"/>
      <w:widowControl/>
    </w:pPr>
    <w:rPr>
      <w:rFonts w:ascii="Calibri" w:hAnsi="Calibri"/>
      <w:sz w:val="24"/>
      <w:szCs w:val="24"/>
      <w:lang w:eastAsia="en-US" w:bidi="en-US"/>
    </w:rPr>
  </w:style>
  <w:style w:type="character" w:styleId="1069"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070" w:customStyle="1">
    <w:name w:val="table_lines"/>
    <w:basedOn w:val="772"/>
    <w:uiPriority w:val="0"/>
    <w:qFormat/>
    <w:pPr>
      <w:jc w:val="left"/>
      <w:widowControl/>
    </w:pPr>
    <w:rPr>
      <w:sz w:val="20"/>
      <w:szCs w:val="20"/>
      <w:lang w:val="de-DE" w:eastAsia="de-DE"/>
    </w:rPr>
  </w:style>
  <w:style w:type="paragraph" w:styleId="1071"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072"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4"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75" w:customStyle="1">
    <w:name w:val="font6"/>
    <w:basedOn w:val="772"/>
    <w:uiPriority w:val="0"/>
    <w:qFormat/>
    <w:pPr>
      <w:jc w:val="left"/>
      <w:spacing w:before="100" w:beforeAutospacing="1" w:after="100" w:afterAutospacing="1"/>
      <w:widowControl/>
    </w:pPr>
    <w:rPr>
      <w:rFonts w:hint="eastAsia" w:ascii="宋体" w:hAnsi="宋体"/>
      <w:sz w:val="28"/>
      <w:szCs w:val="28"/>
      <w:u w:val="single"/>
    </w:rPr>
  </w:style>
  <w:style w:type="paragraph" w:styleId="1076"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Char Char Char Char"/>
    <w:basedOn w:val="1009"/>
    <w:uiPriority w:val="0"/>
    <w:qFormat/>
    <w:pPr>
      <w:spacing w:line="360" w:lineRule="auto"/>
    </w:pPr>
    <w:rPr>
      <w:rFonts w:ascii="Tahoma" w:hAnsi="Tahoma"/>
      <w:sz w:val="24"/>
      <w:szCs w:val="24"/>
    </w:rPr>
  </w:style>
  <w:style w:type="paragraph" w:styleId="107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9" w:customStyle="1">
    <w:name w:val="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080" w:customStyle="1">
    <w:name w:val="列出段落2"/>
    <w:basedOn w:val="772"/>
    <w:uiPriority w:val="0"/>
    <w:qFormat/>
    <w:pPr>
      <w:ind w:firstLine="200"/>
    </w:pPr>
    <w:rPr>
      <w:szCs w:val="20"/>
    </w:rPr>
  </w:style>
  <w:style w:type="paragraph" w:styleId="1081"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Body Text(ch)"/>
    <w:basedOn w:val="772"/>
    <w:next w:val="1015"/>
    <w:uiPriority w:val="0"/>
    <w:qFormat/>
    <w:pPr>
      <w:spacing w:after="120"/>
    </w:pPr>
    <w:rPr>
      <w:rFonts w:ascii="宋体" w:hAnsi="Arial"/>
      <w:bCs/>
      <w:iCs/>
      <w:szCs w:val="24"/>
    </w:rPr>
  </w:style>
  <w:style w:type="paragraph" w:styleId="1083" w:customStyle="1">
    <w:name w:val="Char Char Char Char Char Char Char Char1"/>
    <w:basedOn w:val="772"/>
    <w:uiPriority w:val="0"/>
    <w:qFormat/>
    <w:pPr>
      <w:jc w:val="left"/>
      <w:spacing w:after="160" w:line="240" w:lineRule="exact"/>
      <w:widowControl/>
    </w:pPr>
    <w:rPr>
      <w:rFonts w:ascii="Verdana" w:hAnsi="Verdana"/>
      <w:sz w:val="20"/>
      <w:szCs w:val="20"/>
      <w:lang w:eastAsia="en-US"/>
    </w:rPr>
  </w:style>
  <w:style w:type="paragraph" w:styleId="1084"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customStyle="1">
    <w:name w:val="Char Char Char Char1"/>
    <w:basedOn w:val="1009"/>
    <w:uiPriority w:val="0"/>
    <w:qFormat/>
    <w:pPr>
      <w:spacing w:line="360" w:lineRule="auto"/>
    </w:pPr>
    <w:rPr>
      <w:rFonts w:ascii="Tahoma" w:hAnsi="Tahoma"/>
      <w:sz w:val="24"/>
      <w:szCs w:val="24"/>
    </w:rPr>
  </w:style>
  <w:style w:type="paragraph" w:styleId="1086" w:customStyle="1">
    <w:name w:val="Char"/>
    <w:basedOn w:val="772"/>
    <w:uiPriority w:val="0"/>
    <w:qFormat/>
    <w:pPr>
      <w:ind w:firstLine="200"/>
      <w:tabs>
        <w:tab w:val="left" w:pos="360" w:leader="none"/>
      </w:tabs>
    </w:pPr>
    <w:rPr>
      <w:sz w:val="28"/>
      <w:szCs w:val="30"/>
    </w:rPr>
  </w:style>
  <w:style w:type="paragraph" w:styleId="1087" w:customStyle="1">
    <w:name w:val="font7"/>
    <w:basedOn w:val="772"/>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Char1"/>
    <w:basedOn w:val="1009"/>
    <w:uiPriority w:val="0"/>
    <w:qFormat/>
    <w:rPr>
      <w:rFonts w:ascii="Tahoma" w:hAnsi="Tahoma"/>
      <w:sz w:val="24"/>
      <w:szCs w:val="24"/>
    </w:rPr>
  </w:style>
  <w:style w:type="paragraph" w:styleId="1089" w:customStyle="1">
    <w:name w:val="列出段落3"/>
    <w:basedOn w:val="772"/>
    <w:uiPriority w:val="0"/>
    <w:qFormat/>
    <w:pPr>
      <w:contextualSpacing/>
      <w:ind w:left="720"/>
      <w:jc w:val="left"/>
      <w:widowControl/>
    </w:pPr>
    <w:rPr>
      <w:rFonts w:ascii="Calibri" w:hAnsi="Calibri"/>
      <w:sz w:val="24"/>
      <w:szCs w:val="24"/>
      <w:lang w:eastAsia="en-US" w:bidi="en-US"/>
    </w:rPr>
  </w:style>
  <w:style w:type="paragraph" w:styleId="1090" w:customStyle="1">
    <w:name w:val="4"/>
    <w:basedOn w:val="772"/>
    <w:next w:val="1039"/>
    <w:uiPriority w:val="0"/>
    <w:qFormat/>
    <w:pPr>
      <w:ind w:firstLine="420"/>
      <w:spacing w:line="360" w:lineRule="auto"/>
    </w:pPr>
    <w:rPr>
      <w:color w:val="ff0000"/>
      <w:sz w:val="24"/>
      <w:szCs w:val="24"/>
    </w:rPr>
  </w:style>
  <w:style w:type="paragraph" w:styleId="1091" w:customStyle="1">
    <w:name w:val="普通 (Web)"/>
    <w:basedOn w:val="772"/>
    <w:uiPriority w:val="0"/>
    <w:qFormat/>
    <w:pPr>
      <w:jc w:val="left"/>
      <w:spacing w:before="100" w:beforeAutospacing="1" w:after="100" w:afterAutospacing="1"/>
      <w:widowControl/>
    </w:pPr>
    <w:rPr>
      <w:rFonts w:ascii="宋体" w:hAnsi="宋体"/>
      <w:sz w:val="24"/>
      <w:szCs w:val="24"/>
    </w:rPr>
  </w:style>
  <w:style w:type="paragraph" w:styleId="1092" w:customStyle="1">
    <w:name w:val="Char Char Char Char Char Char Char Char Char Char"/>
    <w:basedOn w:val="772"/>
    <w:uiPriority w:val="0"/>
    <w:qFormat/>
    <w:pPr>
      <w:spacing w:line="360" w:lineRule="auto"/>
    </w:pPr>
    <w:rPr>
      <w:sz w:val="24"/>
      <w:szCs w:val="20"/>
    </w:rPr>
  </w:style>
  <w:style w:type="paragraph" w:styleId="1093" w:customStyle="1">
    <w:name w:val="样式1"/>
    <w:basedOn w:val="772"/>
    <w:uiPriority w:val="0"/>
    <w:qFormat/>
    <w:pPr>
      <w:numPr>
        <w:ilvl w:val="0"/>
        <w:numId w:val="4"/>
      </w:numPr>
    </w:pPr>
    <w:rPr>
      <w:rFonts w:ascii="宋体" w:hAnsi="宋体"/>
    </w:rPr>
  </w:style>
  <w:style w:type="paragraph" w:styleId="109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5"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6"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7" w:customStyle="1">
    <w:name w:val="标题3"/>
    <w:basedOn w:val="772"/>
    <w:next w:val="772"/>
    <w:uiPriority w:val="0"/>
    <w:qFormat/>
    <w:pPr>
      <w:ind w:firstLine="624"/>
      <w:spacing w:line="590" w:lineRule="atLeast"/>
    </w:pPr>
    <w:rPr>
      <w:rFonts w:ascii="方正黑体_GBK" w:eastAsia="方正黑体_GBK"/>
      <w:sz w:val="32"/>
      <w:szCs w:val="32"/>
    </w:rPr>
  </w:style>
  <w:style w:type="paragraph" w:styleId="1098"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xl30"/>
    <w:basedOn w:val="772"/>
    <w:uiPriority w:val="0"/>
    <w:qFormat/>
    <w:pPr>
      <w:jc w:val="center"/>
      <w:spacing w:before="100" w:beforeAutospacing="1" w:after="100" w:afterAutospacing="1"/>
      <w:widowControl/>
    </w:pPr>
    <w:rPr>
      <w:rFonts w:ascii="宋体" w:hAnsi="宋体"/>
      <w:b/>
      <w:bCs/>
      <w:sz w:val="36"/>
      <w:szCs w:val="36"/>
    </w:rPr>
  </w:style>
  <w:style w:type="paragraph" w:styleId="1100" w:customStyle="1">
    <w:name w:val="table_1stline"/>
    <w:basedOn w:val="772"/>
    <w:uiPriority w:val="0"/>
    <w:qFormat/>
    <w:pPr>
      <w:jc w:val="left"/>
      <w:spacing w:before="120"/>
      <w:widowControl/>
    </w:pPr>
    <w:rPr>
      <w:bCs/>
      <w:sz w:val="20"/>
      <w:szCs w:val="20"/>
      <w:lang w:val="de-DE" w:eastAsia="de-DE"/>
    </w:rPr>
  </w:style>
  <w:style w:type="paragraph" w:styleId="1101" w:customStyle="1">
    <w:name w:val="font5"/>
    <w:basedOn w:val="772"/>
    <w:uiPriority w:val="0"/>
    <w:qFormat/>
    <w:pPr>
      <w:jc w:val="left"/>
      <w:spacing w:before="100" w:beforeAutospacing="1" w:after="100" w:afterAutospacing="1"/>
      <w:widowControl/>
    </w:pPr>
    <w:rPr>
      <w:rFonts w:hint="eastAsia" w:ascii="宋体" w:hAnsi="宋体"/>
      <w:sz w:val="28"/>
      <w:szCs w:val="28"/>
    </w:rPr>
  </w:style>
  <w:style w:type="paragraph" w:styleId="1102" w:customStyle="1">
    <w:name w:val="纯文本1"/>
    <w:basedOn w:val="772"/>
    <w:uiPriority w:val="0"/>
    <w:qFormat/>
    <w:rPr>
      <w:rFonts w:ascii="宋体" w:hAnsi="Courier New" w:cs="Courier New"/>
    </w:rPr>
  </w:style>
  <w:style w:type="paragraph" w:styleId="1103" w:customStyle="1">
    <w:name w:val="标题 31"/>
    <w:basedOn w:val="772"/>
    <w:next w:val="772"/>
    <w:uiPriority w:val="9"/>
    <w:qFormat/>
    <w:pPr>
      <w:keepLines/>
      <w:keepNext/>
      <w:spacing w:before="260" w:after="260" w:line="416" w:lineRule="auto"/>
      <w:outlineLvl w:val="2"/>
    </w:pPr>
    <w:rPr>
      <w:b/>
      <w:bCs/>
      <w:sz w:val="32"/>
      <w:szCs w:val="32"/>
    </w:rPr>
  </w:style>
  <w:style w:type="character" w:styleId="1104" w:customStyle="1">
    <w:name w:val="NormalCharacter"/>
    <w:uiPriority w:val="0"/>
    <w:qFormat/>
  </w:style>
  <w:style w:type="paragraph" w:styleId="1105" w:customStyle="1">
    <w:name w:val=".o.a"/>
    <w:basedOn w:val="836"/>
    <w:next w:val="836"/>
    <w:uiPriority w:val="0"/>
    <w:qFormat/>
    <w:rPr>
      <w:rFonts w:ascii="宋体"/>
      <w:color w:val="auto"/>
    </w:rPr>
  </w:style>
  <w:style w:type="paragraph" w:styleId="1106" w:customStyle="1">
    <w:name w:val="Table Paragraph"/>
    <w:basedOn w:val="772"/>
    <w:uiPriority w:val="1"/>
    <w:unhideWhenUsed/>
    <w:qFormat/>
    <w:pPr>
      <w:jc w:val="center"/>
    </w:pPr>
    <w:rPr>
      <w:rFonts w:hint="eastAsia" w:ascii="楷体" w:hAnsi="楷体" w:eastAsia="楷体" w:cs="楷体"/>
      <w:sz w:val="22"/>
      <w:lang w:val="zh-CN"/>
    </w:rPr>
  </w:style>
  <w:style w:type="character" w:styleId="1107" w:customStyle="1">
    <w:name w:val="批注框文本 Char1"/>
    <w:basedOn w:val="782"/>
    <w:link w:val="796"/>
    <w:uiPriority w:val="99"/>
    <w:semiHidden/>
    <w:qFormat/>
    <w:rPr>
      <w:sz w:val="18"/>
      <w:szCs w:val="18"/>
    </w:rPr>
  </w:style>
  <w:style w:type="character" w:styleId="1108" w:customStyle="1">
    <w:name w:val="font81"/>
    <w:basedOn w:val="782"/>
    <w:uiPriority w:val="0"/>
    <w:qFormat/>
    <w:rPr>
      <w:rFonts w:hint="eastAsia" w:ascii="宋体" w:hAnsi="宋体" w:eastAsia="宋体" w:cs="宋体"/>
      <w:color w:val="000000"/>
      <w:sz w:val="24"/>
      <w:szCs w:val="24"/>
      <w:u w:val="none"/>
    </w:rPr>
  </w:style>
  <w:style w:type="character" w:styleId="1109" w:customStyle="1">
    <w:name w:val="font61"/>
    <w:basedOn w:val="782"/>
    <w:uiPriority w:val="0"/>
    <w:qFormat/>
    <w:rPr>
      <w:rFonts w:hint="eastAsia" w:ascii="仿宋_GB2312" w:eastAsia="仿宋_GB2312" w:cs="仿宋_GB2312"/>
      <w:color w:val="000000"/>
      <w:sz w:val="24"/>
      <w:szCs w:val="24"/>
      <w:u w:val="none"/>
    </w:rPr>
  </w:style>
  <w:style w:type="character" w:styleId="1110" w:customStyle="1">
    <w:name w:val="font71"/>
    <w:basedOn w:val="782"/>
    <w:uiPriority w:val="0"/>
    <w:qFormat/>
    <w:rPr>
      <w:rFonts w:hint="eastAsia" w:ascii="仿宋_GB2312" w:eastAsia="仿宋_GB2312" w:cs="仿宋_GB2312"/>
      <w:color w:val="000000"/>
      <w:sz w:val="24"/>
      <w:szCs w:val="24"/>
      <w:u w:val="none"/>
    </w:rPr>
  </w:style>
  <w:style w:type="character" w:styleId="1111" w:customStyle="1">
    <w:name w:val="font21"/>
    <w:basedOn w:val="782"/>
    <w:uiPriority w:val="0"/>
    <w:qFormat/>
    <w:rPr>
      <w:rFonts w:hint="default" w:ascii="Times New Roman" w:hAnsi="Times New Roman" w:cs="Times New Roman"/>
      <w:color w:val="000000"/>
      <w:sz w:val="24"/>
      <w:szCs w:val="24"/>
      <w:u w:val="none"/>
    </w:rPr>
  </w:style>
  <w:style w:type="character" w:styleId="1112" w:customStyle="1">
    <w:name w:val="font91"/>
    <w:basedOn w:val="782"/>
    <w:uiPriority w:val="0"/>
    <w:qFormat/>
    <w:rPr>
      <w:rFonts w:hint="eastAsia" w:ascii="仿宋_GB2312" w:eastAsia="仿宋_GB2312" w:cs="仿宋_GB2312"/>
      <w:color w:val="000000"/>
      <w:sz w:val="24"/>
      <w:szCs w:val="24"/>
      <w:u w:val="none"/>
    </w:rPr>
  </w:style>
  <w:style w:type="character" w:styleId="1113" w:customStyle="1">
    <w:name w:val="font51"/>
    <w:basedOn w:val="782"/>
    <w:uiPriority w:val="0"/>
    <w:qFormat/>
    <w:rPr>
      <w:rFonts w:hint="default" w:ascii="Times New Roman" w:hAnsi="Times New Roman" w:cs="Times New Roman"/>
      <w:color w:val="000000"/>
      <w:sz w:val="24"/>
      <w:szCs w:val="24"/>
      <w:u w:val="none"/>
    </w:rPr>
  </w:style>
  <w:style w:type="character" w:styleId="1114" w:customStyle="1">
    <w:name w:val="font11"/>
    <w:basedOn w:val="782"/>
    <w:uiPriority w:val="0"/>
    <w:qFormat/>
    <w:rPr>
      <w:rFonts w:hint="default" w:ascii="Times New Roman" w:hAnsi="Times New Roman" w:cs="Times New Roman"/>
      <w:color w:val="000000"/>
      <w:sz w:val="24"/>
      <w:szCs w:val="24"/>
      <w:u w:val="none"/>
    </w:rPr>
  </w:style>
  <w:style w:type="paragraph" w:styleId="1115" w:customStyle="1">
    <w:name w:val="样式 行距: 固定值 28.9 磅"/>
    <w:basedOn w:val="772"/>
    <w:uiPriority w:val="0"/>
    <w:qFormat/>
    <w:pPr>
      <w:spacing w:line="578" w:lineRule="exact"/>
    </w:pPr>
    <w:rPr>
      <w:rFonts w:cs="宋体"/>
      <w:szCs w:val="20"/>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纪婷婷</cp:lastModifiedBy>
  <cp:revision>10</cp:revision>
  <dcterms:created xsi:type="dcterms:W3CDTF">2025-09-30T04:12:00Z</dcterms:created>
  <dcterms:modified xsi:type="dcterms:W3CDTF">2026-08-31T08:03:54Z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eyJoZGlkIjoiNzgyZDQwZDEyMzg5MzExZGViMmI4YmE0YjNjOWIyZmEiLCJ1c2VySWQiOiI5MzE4OTM5NDMifQ==</vt:lpwstr>
  </property>
  <property fmtid="{D5CDD505-2E9C-101B-9397-08002B2CF9AE}" pid="3" name="KSOProductBuildVer">
    <vt:lpwstr>2052-12.1.0.28043</vt:lpwstr>
  </property>
  <property fmtid="{D5CDD505-2E9C-101B-9397-08002B2CF9AE}" pid="4" name="ICV">
    <vt:lpwstr>E5FABE395DCF4DDA9C235DAC286E5172_13</vt:lpwstr>
  </property>
</Properties>
</file>