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JSZC-320206-JZCG-G2026-0047</w:t>
      </w:r>
    </w:p>
    <w:p w14:paraId="7F779A4A">
      <w:pPr>
        <w:spacing w:line="360" w:lineRule="auto"/>
        <w:ind w:left="1534" w:leftChars="426" w:hanging="639" w:hangingChars="213"/>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堰桥街道九里河公园管养项目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八月</w:t>
      </w:r>
    </w:p>
    <w:p w14:paraId="00FADB71">
      <w:pPr>
        <w:ind w:firstLine="960"/>
        <w:rPr>
          <w:rStyle w:val="243"/>
          <w:rFonts w:eastAsia="黑体"/>
          <w:bCs/>
          <w:color w:val="auto"/>
          <w:sz w:val="48"/>
          <w:highlight w:val="none"/>
        </w:rPr>
        <w:sectPr>
          <w:headerReference r:id="rId3" w:type="default"/>
          <w:footerReference r:id="rId4" w:type="even"/>
          <w:pgSz w:w="11906" w:h="16838"/>
          <w:pgMar w:top="567" w:right="851" w:bottom="567" w:left="1134" w:header="624" w:footer="907" w:gutter="0"/>
          <w:pgNumType w:fmt="decimal" w:start="1"/>
          <w:cols w:space="720" w:num="1"/>
          <w:titlePg/>
          <w:docGrid w:linePitch="360" w:charSpace="0"/>
        </w:sectPr>
      </w:pPr>
    </w:p>
    <w:p w14:paraId="28236539">
      <w:pPr>
        <w:pageBreakBefore/>
        <w:ind w:firstLine="960"/>
        <w:jc w:val="center"/>
        <w:rPr>
          <w:rStyle w:val="243"/>
          <w:rFonts w:eastAsia="黑体"/>
          <w:bCs/>
          <w:color w:val="auto"/>
          <w:sz w:val="48"/>
          <w:highlight w:val="none"/>
        </w:rPr>
      </w:pPr>
      <w:r>
        <w:rPr>
          <w:rStyle w:val="243"/>
          <w:rFonts w:hint="eastAsia" w:eastAsia="黑体"/>
          <w:bCs/>
          <w:color w:val="auto"/>
          <w:sz w:val="48"/>
          <w:highlight w:val="none"/>
        </w:rPr>
        <w:t>目</w:t>
      </w:r>
      <w:r>
        <w:rPr>
          <w:rStyle w:val="243"/>
          <w:rFonts w:eastAsia="黑体"/>
          <w:bCs/>
          <w:color w:val="auto"/>
          <w:sz w:val="48"/>
          <w:highlight w:val="none"/>
        </w:rPr>
        <w:t xml:space="preserve">     </w:t>
      </w:r>
      <w:r>
        <w:rPr>
          <w:rStyle w:val="243"/>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4"/>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5"/>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2</w:t>
      </w:r>
      <w:r>
        <w:rPr>
          <w:rFonts w:hint="eastAsia" w:ascii="宋体" w:hAnsi="宋体"/>
          <w:color w:val="auto"/>
          <w:sz w:val="32"/>
          <w:szCs w:val="32"/>
          <w:highlight w:val="none"/>
        </w:rPr>
        <w:fldChar w:fldCharType="end"/>
      </w:r>
    </w:p>
    <w:p w14:paraId="6D407FED">
      <w:pPr>
        <w:pStyle w:val="224"/>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5"/>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5</w:t>
      </w:r>
      <w:r>
        <w:rPr>
          <w:rFonts w:hint="eastAsia" w:ascii="宋体" w:hAnsi="宋体"/>
          <w:color w:val="auto"/>
          <w:sz w:val="32"/>
          <w:szCs w:val="32"/>
          <w:highlight w:val="none"/>
        </w:rPr>
        <w:fldChar w:fldCharType="end"/>
      </w:r>
    </w:p>
    <w:p w14:paraId="70F15297">
      <w:pPr>
        <w:pStyle w:val="224"/>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5"/>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5"/>
          <w:rFonts w:hint="eastAsia" w:ascii="宋体" w:hAnsi="宋体"/>
          <w:color w:val="auto"/>
          <w:sz w:val="32"/>
          <w:szCs w:val="32"/>
          <w:highlight w:val="none"/>
        </w:rPr>
        <w:t>1</w:t>
      </w:r>
      <w:r>
        <w:rPr>
          <w:rStyle w:val="245"/>
          <w:rFonts w:hint="eastAsia" w:ascii="宋体" w:hAnsi="宋体"/>
          <w:color w:val="auto"/>
          <w:sz w:val="32"/>
          <w:szCs w:val="32"/>
          <w:highlight w:val="none"/>
          <w:lang w:val="en-US" w:eastAsia="zh-CN"/>
        </w:rPr>
        <w:t>8</w:t>
      </w:r>
    </w:p>
    <w:p w14:paraId="52F50D06">
      <w:pPr>
        <w:pStyle w:val="224"/>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5"/>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5"/>
          <w:rFonts w:hint="eastAsia" w:ascii="宋体" w:hAnsi="宋体"/>
          <w:color w:val="auto"/>
          <w:sz w:val="32"/>
          <w:szCs w:val="32"/>
          <w:highlight w:val="none"/>
          <w:lang w:val="en-US" w:eastAsia="zh-CN"/>
        </w:rPr>
        <w:t>31</w:t>
      </w:r>
    </w:p>
    <w:p w14:paraId="023EAF18">
      <w:pPr>
        <w:pStyle w:val="224"/>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5"/>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5"/>
          <w:rFonts w:hint="eastAsia" w:ascii="宋体" w:hAnsi="宋体"/>
          <w:color w:val="auto"/>
          <w:sz w:val="32"/>
          <w:szCs w:val="32"/>
          <w:highlight w:val="none"/>
          <w:lang w:val="en-US" w:eastAsia="zh-CN"/>
        </w:rPr>
        <w:t>36</w:t>
      </w:r>
    </w:p>
    <w:p w14:paraId="04ED4D09">
      <w:pPr>
        <w:pStyle w:val="224"/>
        <w:tabs>
          <w:tab w:val="right" w:leader="dot" w:pos="9911"/>
        </w:tabs>
        <w:spacing w:line="720" w:lineRule="auto"/>
        <w:ind w:firstLine="480"/>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5"/>
          <w:rFonts w:hint="eastAsia" w:ascii="宋体" w:hAnsi="宋体"/>
          <w:color w:val="auto"/>
          <w:sz w:val="32"/>
          <w:szCs w:val="32"/>
          <w:highlight w:val="none"/>
        </w:rPr>
        <w:t>六</w:t>
      </w:r>
      <w:r>
        <w:rPr>
          <w:rStyle w:val="245"/>
          <w:rFonts w:ascii="宋体" w:hAnsi="宋体"/>
          <w:color w:val="auto"/>
          <w:sz w:val="32"/>
          <w:szCs w:val="32"/>
          <w:highlight w:val="none"/>
        </w:rPr>
        <w:t>.</w:t>
      </w:r>
      <w:r>
        <w:rPr>
          <w:rStyle w:val="245"/>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5"/>
          <w:rFonts w:hint="eastAsia" w:ascii="宋体" w:hAnsi="宋体" w:eastAsia="黑体"/>
          <w:color w:val="auto"/>
          <w:sz w:val="32"/>
          <w:szCs w:val="32"/>
          <w:highlight w:val="none"/>
          <w:lang w:val="en-US" w:eastAsia="zh-CN"/>
        </w:rPr>
        <w:t>43</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2"/>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无锡市惠山区堰桥街道办事处</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堰桥街道九里河公园管养项目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堰桥街道九里河公园管养项目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JSZC-320206-JZCG-G2026-0047</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s="Times New Roman"/>
          <w:sz w:val="24"/>
          <w:lang w:val="en-US" w:eastAsia="zh-CN"/>
        </w:rPr>
        <w:t>372</w:t>
      </w:r>
      <w:r>
        <w:rPr>
          <w:rFonts w:hint="eastAsia" w:ascii="宋体" w:hAnsi="宋体" w:eastAsia="宋体" w:cs="Times New Roman"/>
          <w:sz w:val="24"/>
          <w:lang w:val="en-US" w:eastAsia="zh-CN"/>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default" w:ascii="宋体" w:hAnsi="宋体" w:eastAsia="宋体" w:cs="Times New Roman"/>
          <w:sz w:val="24"/>
          <w:lang w:val="en-US" w:eastAsia="zh-CN"/>
        </w:rPr>
        <w:t>：</w:t>
      </w:r>
      <w:r>
        <w:rPr>
          <w:rFonts w:hint="eastAsia" w:ascii="宋体" w:hAnsi="宋体" w:eastAsia="宋体" w:cs="Times New Roman"/>
          <w:sz w:val="24"/>
          <w:lang w:val="en-US" w:eastAsia="zh-CN"/>
        </w:rPr>
        <w:t>371.1688</w:t>
      </w:r>
      <w:r>
        <w:rPr>
          <w:rFonts w:hint="default" w:ascii="宋体" w:hAnsi="宋体" w:cs="Times New Roman"/>
          <w:bCs/>
          <w:color w:val="auto"/>
          <w:sz w:val="24"/>
          <w:szCs w:val="24"/>
          <w:highlight w:val="none"/>
          <w:lang w:val="en-US" w:eastAsia="zh-CN"/>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两年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无锡市惠山区堰桥街道办事处</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lang w:eastAsia="zh-CN"/>
        </w:rPr>
        <w:t>投标文件截止时间前</w:t>
      </w:r>
      <w:r>
        <w:rPr>
          <w:rFonts w:hint="eastAsia" w:ascii="宋体" w:hAnsi="宋体" w:cs="宋体"/>
          <w:color w:val="auto"/>
          <w:sz w:val="24"/>
          <w:szCs w:val="24"/>
          <w:highlight w:val="none"/>
        </w:rPr>
        <w:t>（有效获取期内的）</w:t>
      </w:r>
      <w:r>
        <w:rPr>
          <w:rFonts w:hint="eastAsia" w:ascii="宋体" w:hAnsi="宋体" w:cs="宋体"/>
          <w:color w:val="auto"/>
          <w:sz w:val="24"/>
          <w:szCs w:val="24"/>
          <w:highlight w:val="none"/>
          <w:lang w:eastAsia="zh-CN"/>
        </w:rPr>
        <w:t>，</w:t>
      </w:r>
      <w:bookmarkStart w:id="137" w:name="_GoBack"/>
      <w:bookmarkEnd w:id="137"/>
      <w:r>
        <w:rPr>
          <w:rFonts w:hint="eastAsia" w:ascii="宋体" w:hAnsi="宋体" w:cs="宋体"/>
          <w:color w:val="auto"/>
          <w:sz w:val="24"/>
          <w:szCs w:val="24"/>
          <w:highlight w:val="none"/>
        </w:rPr>
        <w:t>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9"/>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28</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14</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无锡市惠山区堰桥街道办事处</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址：无锡市惠山区堰玉路4号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人：周婉媛</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rPr>
        <w:t>0510-83591533</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2"/>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8"/>
        <w:keepNext w:val="0"/>
        <w:keepLines w:val="0"/>
        <w:spacing w:before="0" w:after="0"/>
        <w:ind w:left="0" w:leftChars="0" w:firstLine="643" w:firstLineChars="0"/>
        <w:rPr>
          <w:color w:val="auto"/>
          <w:szCs w:val="32"/>
          <w:highlight w:val="none"/>
        </w:rPr>
      </w:pPr>
      <w:bookmarkStart w:id="5" w:name="_Toc16938519"/>
      <w:bookmarkStart w:id="6" w:name="_Toc513029203"/>
      <w:bookmarkStart w:id="7" w:name="_Toc20823275"/>
      <w:bookmarkStart w:id="8" w:name="_Toc120614214"/>
      <w:r>
        <w:rPr>
          <w:rFonts w:hint="eastAsia"/>
          <w:color w:val="auto"/>
          <w:szCs w:val="32"/>
          <w:highlight w:val="none"/>
        </w:rPr>
        <w:t>一、总则</w:t>
      </w:r>
      <w:bookmarkEnd w:id="5"/>
      <w:bookmarkEnd w:id="6"/>
      <w:bookmarkEnd w:id="7"/>
      <w:bookmarkEnd w:id="8"/>
    </w:p>
    <w:p w14:paraId="0AC8AD17">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20823276"/>
      <w:bookmarkStart w:id="11" w:name="_Toc16938520"/>
      <w:bookmarkStart w:id="12" w:name="_Toc513029204"/>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16938521"/>
      <w:bookmarkStart w:id="14" w:name="_Toc20823277"/>
      <w:bookmarkStart w:id="15" w:name="_Toc513029205"/>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513029206"/>
      <w:bookmarkStart w:id="17" w:name="_Toc20823278"/>
      <w:bookmarkStart w:id="18" w:name="_Toc16938522"/>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16938523"/>
      <w:bookmarkStart w:id="20" w:name="_Toc462564067"/>
      <w:bookmarkStart w:id="21" w:name="_Toc20823279"/>
      <w:bookmarkStart w:id="22" w:name="_Toc513029207"/>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8"/>
        <w:keepNext w:val="0"/>
        <w:keepLines w:val="0"/>
        <w:spacing w:before="0" w:after="0" w:line="500" w:lineRule="exact"/>
        <w:jc w:val="center"/>
        <w:rPr>
          <w:rFonts w:hint="eastAsia"/>
          <w:i w:val="0"/>
          <w:iCs w:val="0"/>
          <w:color w:val="auto"/>
          <w:sz w:val="32"/>
          <w:szCs w:val="32"/>
          <w:highlight w:val="none"/>
        </w:rPr>
      </w:pPr>
      <w:bookmarkStart w:id="23" w:name="_Toc16938525"/>
      <w:bookmarkStart w:id="24" w:name="_Toc513029209"/>
      <w:bookmarkStart w:id="25" w:name="_Toc20823281"/>
      <w:bookmarkStart w:id="26" w:name="_Toc120614215"/>
      <w:r>
        <w:rPr>
          <w:rFonts w:hint="eastAsia"/>
          <w:i w:val="0"/>
          <w:iCs w:val="0"/>
          <w:color w:val="auto"/>
          <w:sz w:val="32"/>
          <w:szCs w:val="32"/>
          <w:highlight w:val="none"/>
        </w:rPr>
        <w:t>二、招标文件</w:t>
      </w:r>
      <w:bookmarkEnd w:id="23"/>
      <w:bookmarkEnd w:id="24"/>
      <w:bookmarkEnd w:id="25"/>
      <w:bookmarkEnd w:id="26"/>
    </w:p>
    <w:p w14:paraId="7C98BEF6">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16938526"/>
      <w:bookmarkStart w:id="28" w:name="_Toc513029210"/>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513029211"/>
      <w:bookmarkStart w:id="31" w:name="_Toc462564070"/>
      <w:bookmarkStart w:id="32" w:name="_Toc16938527"/>
      <w:bookmarkStart w:id="33" w:name="_Toc20823283"/>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20823284"/>
      <w:bookmarkStart w:id="35" w:name="_Toc513029212"/>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8"/>
        <w:keepNext w:val="0"/>
        <w:keepLines w:val="0"/>
        <w:spacing w:before="0" w:after="0" w:line="500" w:lineRule="exact"/>
        <w:jc w:val="center"/>
        <w:rPr>
          <w:rFonts w:hint="eastAsia"/>
          <w:i w:val="0"/>
          <w:iCs w:val="0"/>
          <w:color w:val="auto"/>
          <w:sz w:val="32"/>
          <w:szCs w:val="32"/>
          <w:highlight w:val="none"/>
        </w:rPr>
      </w:pPr>
      <w:bookmarkStart w:id="38" w:name="_Toc16938529"/>
      <w:bookmarkStart w:id="39" w:name="_Toc462564072"/>
      <w:bookmarkStart w:id="40" w:name="_Toc513029213"/>
      <w:bookmarkStart w:id="41" w:name="_Toc120614216"/>
      <w:bookmarkStart w:id="42" w:name="_Toc20823285"/>
      <w:r>
        <w:rPr>
          <w:rFonts w:hint="eastAsia"/>
          <w:i w:val="0"/>
          <w:iCs w:val="0"/>
          <w:color w:val="auto"/>
          <w:sz w:val="32"/>
          <w:szCs w:val="32"/>
          <w:highlight w:val="none"/>
        </w:rPr>
        <w:t>三、投标文件的编制</w:t>
      </w:r>
      <w:bookmarkEnd w:id="38"/>
      <w:bookmarkEnd w:id="39"/>
      <w:bookmarkEnd w:id="40"/>
      <w:bookmarkEnd w:id="41"/>
      <w:bookmarkEnd w:id="42"/>
    </w:p>
    <w:p w14:paraId="6CA59F8B">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3" w:name="_Toc513029214"/>
      <w:bookmarkStart w:id="44" w:name="_Toc20823286"/>
      <w:bookmarkStart w:id="45" w:name="_Toc16938530"/>
      <w:bookmarkStart w:id="46" w:name="_Toc462564073"/>
      <w:r>
        <w:rPr>
          <w:rFonts w:hint="eastAsia" w:ascii="宋体" w:hAnsi="宋体" w:eastAsia="宋体"/>
          <w:bCs w:val="0"/>
          <w:i w:val="0"/>
          <w:iCs w:val="0"/>
          <w:color w:val="auto"/>
          <w:sz w:val="24"/>
          <w:szCs w:val="24"/>
          <w:highlight w:val="none"/>
        </w:rPr>
        <w:t>9.投标文件的语言及度量衡单位</w:t>
      </w:r>
      <w:bookmarkEnd w:id="43"/>
      <w:bookmarkEnd w:id="44"/>
      <w:bookmarkEnd w:id="45"/>
      <w:bookmarkEnd w:id="46"/>
    </w:p>
    <w:p w14:paraId="2D5E73C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9.1投标人提交的投标文件以及投标人与</w:t>
      </w:r>
      <w:r>
        <w:rPr>
          <w:rFonts w:hint="eastAsia" w:ascii="宋体" w:hAnsi="宋体" w:eastAsia="宋体" w:cs="Times New Roman"/>
          <w:bCs/>
          <w:i w:val="0"/>
          <w:iCs w:val="0"/>
          <w:color w:val="auto"/>
          <w:sz w:val="24"/>
          <w:szCs w:val="24"/>
          <w:highlight w:val="none"/>
          <w:lang w:eastAsia="zh-CN"/>
        </w:rPr>
        <w:t>采购中心</w:t>
      </w:r>
      <w:r>
        <w:rPr>
          <w:rFonts w:hint="eastAsia" w:ascii="宋体" w:hAnsi="宋体" w:eastAsia="宋体" w:cs="Times New Roman"/>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zh-CN"/>
        </w:rPr>
        <w:t>9.4如无特别说明，</w:t>
      </w:r>
      <w:r>
        <w:rPr>
          <w:rFonts w:hint="eastAsia" w:ascii="宋体" w:hAnsi="宋体" w:eastAsia="宋体" w:cs="Times New Roman"/>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9.7投标费用自理。</w:t>
      </w:r>
    </w:p>
    <w:p w14:paraId="37791677">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9.8本项目技术文件为暗标，须按下列格式编制，否则视为无效投标文件：</w:t>
      </w:r>
    </w:p>
    <w:p w14:paraId="23EF69FC">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（1）技术文件正文所用文字采用“宋体”四号“常规”字（黑色），表格中所用文字采用“宋体”“常规”字（黑色），字号不限。需设置目录，不得设置页码、页眉、页脚，纸张必须为A4纸。</w:t>
      </w:r>
    </w:p>
    <w:p w14:paraId="1644B01E">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（2）技术文件内不得出现可识别投标供应商身份的任何字符和徽标（包括文字、符号、图案、标识、标志、人员姓名、企业名称等），相关人员姓名应以职务或职称代替。</w:t>
      </w:r>
    </w:p>
    <w:p w14:paraId="6B031869">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（3）对技术方案中的效果图、照片、图片的颜色以及图中的字体、字号、颜色均不做限制要求，但不得出现能体现投标供应商身份的信息。</w:t>
      </w:r>
    </w:p>
    <w:p w14:paraId="63A53DCB">
      <w:pPr>
        <w:spacing w:line="500" w:lineRule="exact"/>
        <w:ind w:firstLine="480"/>
        <w:rPr>
          <w:rFonts w:hint="eastAsia" w:ascii="宋体" w:hAnsi="宋体" w:eastAsia="宋体" w:cs="宋体"/>
          <w:b/>
          <w:bCs w:val="0"/>
          <w:i w:val="0"/>
          <w:iCs w:val="0"/>
          <w:color w:val="auto"/>
          <w:sz w:val="24"/>
          <w:szCs w:val="24"/>
          <w:highlight w:val="none"/>
        </w:rPr>
      </w:pPr>
      <w:bookmarkStart w:id="47" w:name="_Toc513029215"/>
      <w:bookmarkStart w:id="48" w:name="_Toc16938531"/>
      <w:bookmarkStart w:id="49" w:name="_Toc20823287"/>
      <w:bookmarkStart w:id="50" w:name="_Toc462564074"/>
      <w:r>
        <w:rPr>
          <w:rFonts w:hint="eastAsia" w:ascii="宋体" w:hAnsi="宋体" w:eastAsia="宋体" w:cs="宋体"/>
          <w:b/>
          <w:bCs w:val="0"/>
          <w:i w:val="0"/>
          <w:iCs w:val="0"/>
          <w:color w:val="auto"/>
          <w:sz w:val="24"/>
          <w:szCs w:val="24"/>
          <w:highlight w:val="none"/>
        </w:rPr>
        <w:t>10.投标文件构成</w:t>
      </w:r>
      <w:bookmarkEnd w:id="47"/>
      <w:bookmarkEnd w:id="48"/>
      <w:bookmarkEnd w:id="49"/>
      <w:bookmarkEnd w:id="50"/>
    </w:p>
    <w:p w14:paraId="7B1EB53B">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w:t>
      </w:r>
      <w:r>
        <w:rPr>
          <w:rFonts w:hint="eastAsia" w:ascii="宋体" w:hAnsi="宋体"/>
          <w:i w:val="0"/>
          <w:iCs w:val="0"/>
          <w:color w:val="auto"/>
          <w:sz w:val="24"/>
          <w:szCs w:val="24"/>
          <w:highlight w:val="none"/>
          <w:lang w:eastAsia="zh-CN"/>
        </w:rPr>
        <w:t>需</w:t>
      </w:r>
      <w:r>
        <w:rPr>
          <w:rFonts w:hint="eastAsia" w:ascii="宋体" w:hAnsi="宋体"/>
          <w:i w:val="0"/>
          <w:iCs w:val="0"/>
          <w:color w:val="auto"/>
          <w:sz w:val="24"/>
          <w:szCs w:val="24"/>
          <w:highlight w:val="none"/>
        </w:rPr>
        <w:t>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70360"/>
      <w:bookmarkEnd w:id="51"/>
      <w:bookmarkStart w:id="52" w:name="_Hlt26954838"/>
      <w:bookmarkEnd w:id="52"/>
      <w:bookmarkStart w:id="53" w:name="_Hlt26668975"/>
      <w:bookmarkEnd w:id="53"/>
      <w:bookmarkStart w:id="54" w:name="_Toc513029219"/>
      <w:bookmarkStart w:id="55" w:name="_Toc49090509"/>
      <w:bookmarkStart w:id="56" w:name="_Toc14577357"/>
      <w:bookmarkStart w:id="57" w:name="_Toc513029216"/>
      <w:bookmarkStart w:id="58" w:name="_Toc49090507"/>
      <w:bookmarkStart w:id="59" w:name="_Toc14577354"/>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49090508"/>
      <w:bookmarkStart w:id="61"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49090510"/>
      <w:bookmarkStart w:id="63" w:name="_Toc14577359"/>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668983"/>
      <w:bookmarkEnd w:id="66"/>
      <w:bookmarkStart w:id="67" w:name="_Hlt26670403"/>
      <w:bookmarkEnd w:id="67"/>
      <w:bookmarkStart w:id="68" w:name="_Hlt26954846"/>
      <w:bookmarkEnd w:id="68"/>
      <w:bookmarkStart w:id="69" w:name="_Hlt26954844"/>
      <w:bookmarkEnd w:id="69"/>
      <w:bookmarkStart w:id="70" w:name="_Hlt26954848"/>
      <w:bookmarkEnd w:id="70"/>
      <w:bookmarkStart w:id="71" w:name="_Hlt26670425"/>
      <w:bookmarkEnd w:id="71"/>
      <w:bookmarkStart w:id="72" w:name="_Hlt26954731"/>
      <w:bookmarkEnd w:id="72"/>
      <w:bookmarkStart w:id="73" w:name="_Hlt26670482"/>
      <w:bookmarkEnd w:id="73"/>
      <w:bookmarkStart w:id="74" w:name="_Hlt26670486"/>
      <w:bookmarkEnd w:id="74"/>
      <w:bookmarkStart w:id="75" w:name="_Hlt26954842"/>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670489"/>
      <w:bookmarkEnd w:id="76"/>
      <w:bookmarkStart w:id="77" w:name="_Hlt26954734"/>
      <w:bookmarkEnd w:id="77"/>
      <w:bookmarkStart w:id="78" w:name="_Hlt26954850"/>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8"/>
        <w:keepNext w:val="0"/>
        <w:keepLines w:val="0"/>
        <w:spacing w:before="0" w:after="0" w:line="500" w:lineRule="exact"/>
        <w:jc w:val="center"/>
        <w:rPr>
          <w:rFonts w:hint="eastAsia"/>
          <w:i w:val="0"/>
          <w:iCs w:val="0"/>
          <w:color w:val="auto"/>
          <w:sz w:val="32"/>
          <w:szCs w:val="32"/>
          <w:highlight w:val="none"/>
        </w:rPr>
      </w:pPr>
      <w:bookmarkStart w:id="81" w:name="_Hlt26954739"/>
      <w:bookmarkEnd w:id="81"/>
      <w:bookmarkStart w:id="82" w:name="_Hlt26954852"/>
      <w:bookmarkEnd w:id="82"/>
      <w:bookmarkStart w:id="83" w:name="_Toc120614217"/>
      <w:bookmarkStart w:id="84" w:name="_Toc20823296"/>
      <w:bookmarkStart w:id="85" w:name="_Toc16938540"/>
      <w:bookmarkStart w:id="86" w:name="_Toc513029224"/>
      <w:r>
        <w:rPr>
          <w:rFonts w:hint="eastAsia"/>
          <w:i w:val="0"/>
          <w:iCs w:val="0"/>
          <w:color w:val="auto"/>
          <w:sz w:val="32"/>
          <w:szCs w:val="32"/>
          <w:highlight w:val="none"/>
        </w:rPr>
        <w:t>四、投标文件的递交</w:t>
      </w:r>
      <w:bookmarkEnd w:id="83"/>
      <w:bookmarkEnd w:id="84"/>
      <w:bookmarkEnd w:id="85"/>
      <w:bookmarkEnd w:id="86"/>
    </w:p>
    <w:p w14:paraId="0087F770">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513029225"/>
      <w:bookmarkStart w:id="88" w:name="_Toc20823297"/>
      <w:bookmarkStart w:id="89" w:name="_Toc16938541"/>
      <w:bookmarkStart w:id="90" w:name="_Toc462564084"/>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1"/>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16938542"/>
      <w:bookmarkStart w:id="92" w:name="_Toc513029226"/>
      <w:bookmarkStart w:id="93" w:name="_Toc20823298"/>
    </w:p>
    <w:p w14:paraId="2ECB8046">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16938543"/>
      <w:bookmarkStart w:id="95" w:name="_Toc513029227"/>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16938544"/>
      <w:bookmarkStart w:id="98" w:name="_Toc20823300"/>
      <w:bookmarkStart w:id="99" w:name="_Toc513029228"/>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8"/>
        <w:keepNext w:val="0"/>
        <w:keepLines w:val="0"/>
        <w:spacing w:before="0" w:after="0" w:line="500" w:lineRule="exact"/>
        <w:jc w:val="center"/>
        <w:rPr>
          <w:rFonts w:hint="eastAsia"/>
          <w:i w:val="0"/>
          <w:iCs w:val="0"/>
          <w:color w:val="auto"/>
          <w:sz w:val="32"/>
          <w:szCs w:val="32"/>
          <w:highlight w:val="none"/>
        </w:rPr>
      </w:pPr>
      <w:bookmarkStart w:id="100" w:name="_Toc513029229"/>
      <w:bookmarkStart w:id="101" w:name="_Toc120614218"/>
      <w:bookmarkStart w:id="102" w:name="_Toc20823301"/>
      <w:bookmarkStart w:id="103" w:name="_Toc16938545"/>
      <w:r>
        <w:rPr>
          <w:rFonts w:hint="eastAsia"/>
          <w:i w:val="0"/>
          <w:iCs w:val="0"/>
          <w:color w:val="auto"/>
          <w:sz w:val="32"/>
          <w:szCs w:val="32"/>
          <w:highlight w:val="none"/>
        </w:rPr>
        <w:t>五、开标与评标</w:t>
      </w:r>
      <w:bookmarkEnd w:id="100"/>
      <w:bookmarkEnd w:id="101"/>
      <w:bookmarkEnd w:id="102"/>
      <w:bookmarkEnd w:id="103"/>
    </w:p>
    <w:p w14:paraId="5B13937F">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16938546"/>
      <w:bookmarkStart w:id="105" w:name="_Toc513029230"/>
      <w:bookmarkStart w:id="106" w:name="_Toc20823302"/>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20823303"/>
      <w:bookmarkStart w:id="108" w:name="_Toc513029231"/>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513029232"/>
      <w:bookmarkStart w:id="111" w:name="_Toc16938548"/>
      <w:bookmarkStart w:id="112" w:name="_Toc20823304"/>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513029233"/>
      <w:bookmarkStart w:id="114" w:name="_Toc16938549"/>
      <w:bookmarkStart w:id="115" w:name="_Toc20823305"/>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513029234"/>
      <w:bookmarkStart w:id="117" w:name="_Toc20823306"/>
      <w:bookmarkStart w:id="118" w:name="_Toc16938550"/>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20823307"/>
      <w:bookmarkStart w:id="120" w:name="_Toc16938551"/>
      <w:bookmarkStart w:id="121" w:name="_Toc513029235"/>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7C69DF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26.1.22评审过程中出现下列情形之一的，评审委员会</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启动异常低价投标（响应）审查程序：</w:t>
      </w:r>
    </w:p>
    <w:p w14:paraId="614A8313">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a</w:t>
      </w:r>
      <w:r>
        <w:rPr>
          <w:rFonts w:hint="eastAsia" w:ascii="宋体" w:hAnsi="宋体"/>
          <w:bCs/>
          <w:i w:val="0"/>
          <w:iCs w:val="0"/>
          <w:color w:val="auto"/>
          <w:sz w:val="24"/>
          <w:szCs w:val="24"/>
          <w:highlight w:val="none"/>
        </w:rPr>
        <w:t>．投标（响应）报价低于采购项目预算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的，即投标（响应）报价</w:t>
      </w:r>
      <w:r>
        <w:rPr>
          <w:rFonts w:hint="default" w:ascii="宋体" w:hAnsi="宋体"/>
          <w:bCs/>
          <w:i w:val="0"/>
          <w:iCs w:val="0"/>
          <w:color w:val="auto"/>
          <w:sz w:val="24"/>
          <w:szCs w:val="24"/>
          <w:highlight w:val="none"/>
        </w:rPr>
        <w:t>&lt;</w:t>
      </w:r>
      <w:r>
        <w:rPr>
          <w:rFonts w:hint="eastAsia" w:ascii="宋体" w:hAnsi="宋体"/>
          <w:bCs/>
          <w:i w:val="0"/>
          <w:iCs w:val="0"/>
          <w:color w:val="auto"/>
          <w:sz w:val="24"/>
          <w:szCs w:val="24"/>
          <w:highlight w:val="none"/>
        </w:rPr>
        <w:t>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w:t>
      </w:r>
    </w:p>
    <w:p w14:paraId="48C60DD5">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b</w:t>
      </w:r>
      <w:r>
        <w:rPr>
          <w:rFonts w:hint="eastAsia" w:ascii="宋体" w:hAnsi="宋体"/>
          <w:bCs/>
          <w:i w:val="0"/>
          <w:iCs w:val="0"/>
          <w:color w:val="auto"/>
          <w:sz w:val="24"/>
          <w:szCs w:val="24"/>
          <w:highlight w:val="none"/>
        </w:rPr>
        <w:t>．投标（响应）报价低于采购项目最高限价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的，即投标（响应）报价&lt;采购项目最高限价×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w:t>
      </w:r>
    </w:p>
    <w:p w14:paraId="1D676FEF">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c</w:t>
      </w:r>
      <w:r>
        <w:rPr>
          <w:rFonts w:hint="default" w:ascii="宋体" w:hAnsi="宋体"/>
          <w:bCs/>
          <w:i w:val="0"/>
          <w:iCs w:val="0"/>
          <w:color w:val="auto"/>
          <w:sz w:val="24"/>
          <w:szCs w:val="24"/>
          <w:highlight w:val="none"/>
        </w:rPr>
        <w:t>.</w:t>
      </w:r>
      <w:r>
        <w:rPr>
          <w:rFonts w:hint="eastAsia" w:ascii="宋体" w:hAnsi="宋体"/>
          <w:bCs/>
          <w:i w:val="0"/>
          <w:iCs w:val="0"/>
          <w:color w:val="auto"/>
          <w:sz w:val="24"/>
          <w:szCs w:val="24"/>
          <w:highlight w:val="none"/>
        </w:rPr>
        <w:t>评审委员会认定的供应商报价过低、有可能影响产品质量或者不能诚信履约的其他情形。</w:t>
      </w:r>
    </w:p>
    <w:p w14:paraId="3C83362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6E7E99B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8"/>
        <w:keepNext w:val="0"/>
        <w:keepLines w:val="0"/>
        <w:spacing w:before="0" w:after="0" w:line="500" w:lineRule="exact"/>
        <w:jc w:val="center"/>
        <w:rPr>
          <w:rFonts w:hint="eastAsia"/>
          <w:i w:val="0"/>
          <w:iCs w:val="0"/>
          <w:color w:val="auto"/>
          <w:sz w:val="32"/>
          <w:szCs w:val="32"/>
          <w:highlight w:val="none"/>
        </w:rPr>
      </w:pPr>
      <w:bookmarkStart w:id="122" w:name="_Toc120614219"/>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8"/>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16938552"/>
      <w:bookmarkStart w:id="129" w:name="_Toc20823308"/>
      <w:bookmarkStart w:id="130" w:name="_Toc513029236"/>
      <w:r>
        <w:rPr>
          <w:rFonts w:hint="eastAsia"/>
          <w:i w:val="0"/>
          <w:iCs w:val="0"/>
          <w:color w:val="auto"/>
          <w:sz w:val="32"/>
          <w:szCs w:val="32"/>
          <w:highlight w:val="none"/>
        </w:rPr>
        <w:t>七、授予合同</w:t>
      </w:r>
      <w:bookmarkEnd w:id="127"/>
    </w:p>
    <w:bookmarkEnd w:id="128"/>
    <w:bookmarkEnd w:id="129"/>
    <w:bookmarkEnd w:id="130"/>
    <w:p w14:paraId="78ED8046">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2"/>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4724BAD8">
      <w:pPr>
        <w:adjustRightInd w:val="0"/>
        <w:snapToGrid w:val="0"/>
        <w:spacing w:line="360" w:lineRule="auto"/>
        <w:ind w:firstLine="480" w:firstLineChars="200"/>
        <w:jc w:val="left"/>
        <w:rPr>
          <w:rFonts w:hint="eastAsia" w:ascii="宋体" w:hAnsi="宋体" w:eastAsia="宋体" w:cs="宋体"/>
          <w:sz w:val="24"/>
          <w:szCs w:val="24"/>
          <w:lang w:eastAsia="zh-CN"/>
        </w:rPr>
      </w:pPr>
    </w:p>
    <w:p w14:paraId="404A9741">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投标供应商所投内容必须满足以下要求，不得有负偏离。</w:t>
      </w:r>
    </w:p>
    <w:p w14:paraId="1A598E37">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第一部分  项目技术要求</w:t>
      </w:r>
    </w:p>
    <w:p w14:paraId="71A5CA32">
      <w:pPr>
        <w:keepNext w:val="0"/>
        <w:keepLines w:val="0"/>
        <w:pageBreakBefore w:val="0"/>
        <w:numPr>
          <w:ilvl w:val="0"/>
          <w:numId w:val="0"/>
        </w:numPr>
        <w:kinsoku/>
        <w:wordWrap/>
        <w:overflowPunct/>
        <w:topLinePunct w:val="0"/>
        <w:bidi w:val="0"/>
        <w:snapToGrid/>
        <w:spacing w:line="360" w:lineRule="auto"/>
        <w:ind w:lef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一、</w:t>
      </w:r>
      <w:r>
        <w:rPr>
          <w:rFonts w:hint="eastAsia" w:ascii="宋体" w:hAnsi="宋体" w:eastAsia="宋体" w:cs="宋体"/>
          <w:b/>
          <w:bCs/>
          <w:sz w:val="24"/>
          <w:szCs w:val="24"/>
          <w:lang w:val="en-US" w:eastAsia="zh-CN"/>
        </w:rPr>
        <w:t>项目名称：</w:t>
      </w:r>
      <w:r>
        <w:rPr>
          <w:rFonts w:hint="eastAsia" w:ascii="宋体" w:hAnsi="宋体" w:eastAsia="宋体" w:cs="宋体"/>
          <w:sz w:val="24"/>
          <w:szCs w:val="24"/>
          <w:lang w:val="en-US" w:eastAsia="zh-CN"/>
        </w:rPr>
        <w:t>九里</w:t>
      </w:r>
      <w:r>
        <w:rPr>
          <w:rFonts w:hint="eastAsia" w:ascii="宋体" w:hAnsi="宋体" w:cs="宋体"/>
          <w:sz w:val="24"/>
          <w:szCs w:val="24"/>
          <w:lang w:val="en-US" w:eastAsia="zh-CN"/>
        </w:rPr>
        <w:t>河</w:t>
      </w:r>
      <w:r>
        <w:rPr>
          <w:rFonts w:hint="eastAsia" w:ascii="宋体" w:hAnsi="宋体" w:eastAsia="宋体" w:cs="宋体"/>
          <w:sz w:val="24"/>
          <w:szCs w:val="24"/>
          <w:lang w:val="en-US" w:eastAsia="zh-CN"/>
        </w:rPr>
        <w:t>公园物业管理服务项目</w:t>
      </w:r>
    </w:p>
    <w:p w14:paraId="146341A0">
      <w:pPr>
        <w:keepNext w:val="0"/>
        <w:keepLines w:val="0"/>
        <w:pageBreakBefore w:val="0"/>
        <w:numPr>
          <w:ilvl w:val="0"/>
          <w:numId w:val="0"/>
        </w:numPr>
        <w:kinsoku/>
        <w:wordWrap/>
        <w:overflowPunct/>
        <w:topLinePunct w:val="0"/>
        <w:bidi w:val="0"/>
        <w:snapToGrid/>
        <w:spacing w:line="360" w:lineRule="auto"/>
        <w:ind w:left="0" w:firstLine="482" w:firstLineChars="200"/>
        <w:textAlignment w:val="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二、项目预算/最高限价：</w:t>
      </w:r>
      <w:r>
        <w:rPr>
          <w:rFonts w:hint="eastAsia" w:ascii="宋体" w:hAnsi="宋体" w:eastAsia="宋体" w:cs="宋体"/>
          <w:sz w:val="24"/>
          <w:szCs w:val="24"/>
          <w:lang w:val="en-US" w:eastAsia="zh-CN"/>
        </w:rPr>
        <w:t>372万元/371.1688万元</w:t>
      </w:r>
    </w:p>
    <w:p w14:paraId="04F9D0F8">
      <w:pPr>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三、服务期限：</w:t>
      </w:r>
      <w:r>
        <w:rPr>
          <w:rFonts w:hint="eastAsia" w:ascii="宋体" w:hAnsi="宋体" w:eastAsia="宋体" w:cs="宋体"/>
          <w:sz w:val="24"/>
          <w:szCs w:val="24"/>
          <w:lang w:val="en-US" w:eastAsia="zh-CN"/>
        </w:rPr>
        <w:t>两年（具体起始时间以合同签订日期为准）</w:t>
      </w:r>
      <w:r>
        <w:rPr>
          <w:rFonts w:hint="eastAsia" w:ascii="宋体" w:hAnsi="宋体" w:eastAsia="宋体" w:cs="宋体"/>
          <w:sz w:val="24"/>
          <w:szCs w:val="24"/>
          <w:lang w:val="zh-CN" w:eastAsia="zh-CN"/>
        </w:rPr>
        <w:t>。采取“</w:t>
      </w:r>
      <w:r>
        <w:rPr>
          <w:rFonts w:hint="eastAsia" w:ascii="宋体" w:hAnsi="宋体" w:eastAsia="宋体" w:cs="宋体"/>
          <w:sz w:val="24"/>
          <w:szCs w:val="24"/>
          <w:lang w:val="en-US" w:eastAsia="zh-CN"/>
        </w:rPr>
        <w:t>1+1</w:t>
      </w:r>
      <w:r>
        <w:rPr>
          <w:rFonts w:hint="eastAsia" w:ascii="宋体" w:hAnsi="宋体" w:eastAsia="宋体" w:cs="宋体"/>
          <w:sz w:val="24"/>
          <w:szCs w:val="24"/>
          <w:lang w:val="zh-CN" w:eastAsia="zh-CN"/>
        </w:rPr>
        <w:t>”模式，合同一年一签，若上一年度的物业管理</w:t>
      </w:r>
      <w:r>
        <w:rPr>
          <w:rFonts w:hint="eastAsia" w:ascii="宋体" w:hAnsi="宋体" w:eastAsia="宋体" w:cs="宋体"/>
          <w:sz w:val="24"/>
          <w:szCs w:val="24"/>
          <w:lang w:val="en-US" w:eastAsia="zh-CN"/>
        </w:rPr>
        <w:t>服务</w:t>
      </w:r>
      <w:r>
        <w:rPr>
          <w:rFonts w:hint="eastAsia" w:ascii="宋体" w:hAnsi="宋体" w:eastAsia="宋体" w:cs="宋体"/>
          <w:sz w:val="24"/>
          <w:szCs w:val="24"/>
          <w:lang w:val="zh-CN" w:eastAsia="zh-CN"/>
        </w:rPr>
        <w:t>未达到</w:t>
      </w:r>
      <w:r>
        <w:rPr>
          <w:rFonts w:hint="eastAsia" w:ascii="宋体" w:hAnsi="宋体" w:eastAsia="宋体" w:cs="宋体"/>
          <w:sz w:val="24"/>
          <w:szCs w:val="24"/>
          <w:lang w:val="en-US" w:eastAsia="zh-CN"/>
        </w:rPr>
        <w:t>采购人</w:t>
      </w:r>
      <w:r>
        <w:rPr>
          <w:rFonts w:hint="eastAsia" w:ascii="宋体" w:hAnsi="宋体" w:eastAsia="宋体" w:cs="宋体"/>
          <w:sz w:val="24"/>
          <w:szCs w:val="24"/>
          <w:lang w:val="zh-CN" w:eastAsia="zh-CN"/>
        </w:rPr>
        <w:t>要求，</w:t>
      </w:r>
      <w:r>
        <w:rPr>
          <w:rFonts w:hint="eastAsia" w:ascii="宋体" w:hAnsi="宋体" w:eastAsia="宋体" w:cs="宋体"/>
          <w:sz w:val="24"/>
          <w:szCs w:val="24"/>
          <w:lang w:val="en-US" w:eastAsia="zh-CN"/>
        </w:rPr>
        <w:t>采购人</w:t>
      </w:r>
      <w:r>
        <w:rPr>
          <w:rFonts w:hint="eastAsia" w:ascii="宋体" w:hAnsi="宋体" w:eastAsia="宋体" w:cs="宋体"/>
          <w:sz w:val="24"/>
          <w:szCs w:val="24"/>
          <w:lang w:val="zh-CN" w:eastAsia="zh-CN"/>
        </w:rPr>
        <w:t>有权拒签下一年度的物业管理合同</w:t>
      </w:r>
      <w:r>
        <w:rPr>
          <w:rFonts w:hint="eastAsia" w:ascii="宋体" w:hAnsi="宋体" w:eastAsia="宋体" w:cs="宋体"/>
          <w:sz w:val="24"/>
          <w:szCs w:val="24"/>
          <w:lang w:val="en-US" w:eastAsia="zh-CN"/>
        </w:rPr>
        <w:t>。</w:t>
      </w:r>
    </w:p>
    <w:p w14:paraId="40D32F14">
      <w:pPr>
        <w:keepNext w:val="0"/>
        <w:keepLines w:val="0"/>
        <w:pageBreakBefore w:val="0"/>
        <w:kinsoku/>
        <w:wordWrap/>
        <w:overflowPunct/>
        <w:topLinePunct w:val="0"/>
        <w:bidi w:val="0"/>
        <w:snapToGrid/>
        <w:spacing w:line="360" w:lineRule="auto"/>
        <w:ind w:left="0" w:firstLine="482" w:firstLineChars="200"/>
        <w:textAlignment w:val="auto"/>
        <w:outlineLvl w:val="0"/>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、项目情况</w:t>
      </w:r>
    </w:p>
    <w:p w14:paraId="7A6C2B2B">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九里公园坐落于堰桥街道西漳</w:t>
      </w:r>
      <w:r>
        <w:rPr>
          <w:rFonts w:hint="eastAsia" w:ascii="宋体" w:hAnsi="宋体" w:eastAsia="宋体" w:cs="宋体"/>
          <w:kern w:val="2"/>
          <w:sz w:val="24"/>
          <w:szCs w:val="24"/>
          <w:lang w:val="en-US" w:eastAsia="zh-CN"/>
        </w:rPr>
        <w:t>342</w:t>
      </w:r>
      <w:r>
        <w:rPr>
          <w:rFonts w:hint="eastAsia" w:ascii="宋体" w:hAnsi="宋体" w:eastAsia="宋体" w:cs="宋体"/>
          <w:kern w:val="2"/>
          <w:sz w:val="24"/>
          <w:szCs w:val="24"/>
        </w:rPr>
        <w:t>省道北侧，占地面积小计</w:t>
      </w:r>
      <w:r>
        <w:rPr>
          <w:rFonts w:hint="eastAsia" w:ascii="宋体" w:hAnsi="宋体" w:eastAsia="宋体" w:cs="宋体"/>
          <w:kern w:val="2"/>
          <w:sz w:val="24"/>
          <w:szCs w:val="24"/>
          <w:lang w:val="en-US" w:eastAsia="zh-CN"/>
        </w:rPr>
        <w:t>18.14</w:t>
      </w:r>
      <w:r>
        <w:rPr>
          <w:rFonts w:hint="eastAsia" w:ascii="宋体" w:hAnsi="宋体" w:eastAsia="宋体" w:cs="宋体"/>
          <w:kern w:val="2"/>
          <w:sz w:val="24"/>
          <w:szCs w:val="24"/>
        </w:rPr>
        <w:t>公顷，其中绿化及花海面积约</w:t>
      </w:r>
      <w:r>
        <w:rPr>
          <w:rFonts w:hint="eastAsia" w:ascii="宋体" w:hAnsi="宋体" w:eastAsia="宋体" w:cs="宋体"/>
          <w:kern w:val="2"/>
          <w:sz w:val="24"/>
          <w:szCs w:val="24"/>
          <w:lang w:val="en-US" w:eastAsia="zh-CN"/>
        </w:rPr>
        <w:t>135000</w:t>
      </w:r>
      <w:r>
        <w:rPr>
          <w:rFonts w:hint="eastAsia" w:ascii="宋体" w:hAnsi="宋体" w:eastAsia="宋体" w:cs="宋体"/>
          <w:kern w:val="2"/>
          <w:sz w:val="24"/>
          <w:szCs w:val="24"/>
        </w:rPr>
        <w:t>平米</w:t>
      </w:r>
      <w:r>
        <w:rPr>
          <w:rFonts w:hint="eastAsia" w:ascii="宋体" w:hAnsi="宋体" w:eastAsia="宋体" w:cs="宋体"/>
          <w:kern w:val="2"/>
          <w:sz w:val="24"/>
          <w:szCs w:val="24"/>
          <w:lang w:eastAsia="zh-CN"/>
        </w:rPr>
        <w:t>。</w:t>
      </w:r>
    </w:p>
    <w:p w14:paraId="5A35238C">
      <w:pPr>
        <w:keepNext w:val="0"/>
        <w:keepLines w:val="0"/>
        <w:pageBreakBefore w:val="0"/>
        <w:kinsoku/>
        <w:wordWrap/>
        <w:overflowPunct/>
        <w:topLinePunct w:val="0"/>
        <w:bidi w:val="0"/>
        <w:snapToGrid/>
        <w:spacing w:line="360" w:lineRule="auto"/>
        <w:ind w:left="0" w:firstLine="482" w:firstLineChars="200"/>
        <w:textAlignment w:val="auto"/>
        <w:outlineLvl w:val="0"/>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、项目需求</w:t>
      </w:r>
    </w:p>
    <w:p w14:paraId="0DD07431">
      <w:pPr>
        <w:pStyle w:val="15"/>
        <w:keepNext w:val="0"/>
        <w:keepLines w:val="0"/>
        <w:pageBreakBefore w:val="0"/>
        <w:kinsoku/>
        <w:wordWrap/>
        <w:overflowPunct/>
        <w:topLinePunct w:val="0"/>
        <w:bidi w:val="0"/>
        <w:snapToGrid/>
        <w:spacing w:line="360" w:lineRule="auto"/>
        <w:ind w:left="0" w:firstLine="480" w:firstLineChars="200"/>
        <w:textAlignment w:val="auto"/>
        <w:outlineLvl w:val="1"/>
        <w:rPr>
          <w:rFonts w:hint="eastAsia" w:ascii="宋体" w:hAnsi="宋体" w:eastAsia="宋体" w:cs="宋体"/>
          <w:kern w:val="2"/>
          <w:sz w:val="24"/>
          <w:szCs w:val="24"/>
          <w:lang w:eastAsia="zh-CN"/>
        </w:rPr>
      </w:pPr>
      <w:r>
        <w:rPr>
          <w:rFonts w:hint="eastAsia" w:ascii="宋体" w:hAnsi="宋体" w:eastAsia="宋体" w:cs="宋体"/>
          <w:kern w:val="2"/>
          <w:sz w:val="24"/>
          <w:szCs w:val="24"/>
          <w:lang w:val="en-US" w:eastAsia="zh-CN"/>
        </w:rPr>
        <w:t>（一）</w:t>
      </w:r>
      <w:r>
        <w:rPr>
          <w:rFonts w:hint="eastAsia" w:ascii="宋体" w:hAnsi="宋体" w:eastAsia="宋体" w:cs="宋体"/>
          <w:kern w:val="2"/>
          <w:sz w:val="24"/>
          <w:szCs w:val="24"/>
        </w:rPr>
        <w:t>人员基本要求</w:t>
      </w:r>
    </w:p>
    <w:p w14:paraId="3E5CD361">
      <w:pPr>
        <w:pStyle w:val="15"/>
        <w:keepNext w:val="0"/>
        <w:keepLines w:val="0"/>
        <w:pageBreakBefore w:val="0"/>
        <w:kinsoku/>
        <w:wordWrap/>
        <w:overflowPunct/>
        <w:topLinePunct w:val="0"/>
        <w:bidi w:val="0"/>
        <w:snapToGrid/>
        <w:spacing w:line="360" w:lineRule="auto"/>
        <w:ind w:left="0"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人员</w:t>
      </w:r>
      <w:r>
        <w:rPr>
          <w:rFonts w:hint="eastAsia" w:ascii="宋体" w:hAnsi="宋体" w:eastAsia="宋体" w:cs="宋体"/>
          <w:kern w:val="2"/>
          <w:sz w:val="24"/>
          <w:szCs w:val="24"/>
          <w:lang w:val="en-US" w:eastAsia="zh-CN"/>
        </w:rPr>
        <w:t>最低</w:t>
      </w:r>
      <w:r>
        <w:rPr>
          <w:rFonts w:hint="eastAsia" w:ascii="宋体" w:hAnsi="宋体" w:eastAsia="宋体" w:cs="宋体"/>
          <w:kern w:val="2"/>
          <w:sz w:val="24"/>
          <w:szCs w:val="24"/>
        </w:rPr>
        <w:t>配置要求：</w:t>
      </w:r>
    </w:p>
    <w:p w14:paraId="48DAE991">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（1）九里公园项目管理员1人，工程维保1人，保安领班1人，保安12人，机动1人，保洁领班1人，保洁4人，总共21人；</w:t>
      </w:r>
    </w:p>
    <w:tbl>
      <w:tblPr>
        <w:tblStyle w:val="36"/>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840"/>
        <w:gridCol w:w="1696"/>
        <w:gridCol w:w="751"/>
        <w:gridCol w:w="1759"/>
        <w:gridCol w:w="805"/>
        <w:gridCol w:w="1977"/>
        <w:gridCol w:w="1367"/>
      </w:tblGrid>
      <w:tr w14:paraId="1AC3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3152" w:type="dxa"/>
            <w:gridSpan w:val="3"/>
            <w:noWrap w:val="0"/>
            <w:tcMar>
              <w:top w:w="15" w:type="dxa"/>
              <w:left w:w="15" w:type="dxa"/>
              <w:bottom w:w="15" w:type="dxa"/>
              <w:right w:w="15" w:type="dxa"/>
            </w:tcMar>
            <w:vAlign w:val="center"/>
          </w:tcPr>
          <w:p w14:paraId="53653BDA">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项目</w:t>
            </w:r>
          </w:p>
        </w:tc>
        <w:tc>
          <w:tcPr>
            <w:tcW w:w="751" w:type="dxa"/>
            <w:noWrap w:val="0"/>
            <w:tcMar>
              <w:top w:w="15" w:type="dxa"/>
              <w:left w:w="15" w:type="dxa"/>
              <w:bottom w:w="15" w:type="dxa"/>
              <w:right w:w="15" w:type="dxa"/>
            </w:tcMar>
            <w:vAlign w:val="center"/>
          </w:tcPr>
          <w:p w14:paraId="4AA19ED2">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性别</w:t>
            </w:r>
          </w:p>
        </w:tc>
        <w:tc>
          <w:tcPr>
            <w:tcW w:w="1759" w:type="dxa"/>
            <w:noWrap w:val="0"/>
            <w:tcMar>
              <w:top w:w="15" w:type="dxa"/>
              <w:left w:w="15" w:type="dxa"/>
              <w:bottom w:w="15" w:type="dxa"/>
              <w:right w:w="15" w:type="dxa"/>
            </w:tcMar>
            <w:vAlign w:val="center"/>
          </w:tcPr>
          <w:p w14:paraId="6F10A894">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年龄要求</w:t>
            </w:r>
          </w:p>
        </w:tc>
        <w:tc>
          <w:tcPr>
            <w:tcW w:w="805" w:type="dxa"/>
            <w:noWrap w:val="0"/>
            <w:tcMar>
              <w:top w:w="15" w:type="dxa"/>
              <w:left w:w="15" w:type="dxa"/>
              <w:bottom w:w="15" w:type="dxa"/>
              <w:right w:w="15" w:type="dxa"/>
            </w:tcMar>
            <w:vAlign w:val="center"/>
          </w:tcPr>
          <w:p w14:paraId="5A406331">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人数</w:t>
            </w:r>
          </w:p>
        </w:tc>
        <w:tc>
          <w:tcPr>
            <w:tcW w:w="1977" w:type="dxa"/>
            <w:noWrap w:val="0"/>
            <w:tcMar>
              <w:top w:w="15" w:type="dxa"/>
              <w:left w:w="15" w:type="dxa"/>
              <w:bottom w:w="15" w:type="dxa"/>
              <w:right w:w="15" w:type="dxa"/>
            </w:tcMar>
            <w:vAlign w:val="center"/>
          </w:tcPr>
          <w:p w14:paraId="101060F7">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上班时制</w:t>
            </w:r>
          </w:p>
        </w:tc>
        <w:tc>
          <w:tcPr>
            <w:tcW w:w="1367" w:type="dxa"/>
            <w:noWrap w:val="0"/>
            <w:tcMar>
              <w:top w:w="15" w:type="dxa"/>
              <w:left w:w="15" w:type="dxa"/>
              <w:bottom w:w="15" w:type="dxa"/>
              <w:right w:w="15" w:type="dxa"/>
            </w:tcMar>
            <w:vAlign w:val="center"/>
          </w:tcPr>
          <w:p w14:paraId="7FBFD2CC">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说明</w:t>
            </w:r>
          </w:p>
        </w:tc>
      </w:tr>
      <w:tr w14:paraId="6832C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6" w:type="dxa"/>
            <w:noWrap w:val="0"/>
            <w:tcMar>
              <w:top w:w="15" w:type="dxa"/>
              <w:left w:w="15" w:type="dxa"/>
              <w:bottom w:w="15" w:type="dxa"/>
              <w:right w:w="15" w:type="dxa"/>
            </w:tcMar>
            <w:vAlign w:val="center"/>
          </w:tcPr>
          <w:p w14:paraId="2FC905C9">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840" w:type="dxa"/>
            <w:noWrap w:val="0"/>
            <w:tcMar>
              <w:top w:w="15" w:type="dxa"/>
              <w:left w:w="15" w:type="dxa"/>
              <w:bottom w:w="15" w:type="dxa"/>
              <w:right w:w="15" w:type="dxa"/>
            </w:tcMar>
            <w:vAlign w:val="center"/>
          </w:tcPr>
          <w:p w14:paraId="51A7CE2D">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管理部</w:t>
            </w:r>
          </w:p>
        </w:tc>
        <w:tc>
          <w:tcPr>
            <w:tcW w:w="1696" w:type="dxa"/>
            <w:noWrap w:val="0"/>
            <w:tcMar>
              <w:top w:w="15" w:type="dxa"/>
              <w:left w:w="15" w:type="dxa"/>
              <w:bottom w:w="15" w:type="dxa"/>
              <w:right w:w="15" w:type="dxa"/>
            </w:tcMar>
            <w:vAlign w:val="center"/>
          </w:tcPr>
          <w:p w14:paraId="6469804C">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项目管理员</w:t>
            </w:r>
          </w:p>
        </w:tc>
        <w:tc>
          <w:tcPr>
            <w:tcW w:w="751" w:type="dxa"/>
            <w:noWrap w:val="0"/>
            <w:tcMar>
              <w:top w:w="15" w:type="dxa"/>
              <w:left w:w="15" w:type="dxa"/>
              <w:bottom w:w="15" w:type="dxa"/>
              <w:right w:w="15" w:type="dxa"/>
            </w:tcMar>
            <w:vAlign w:val="center"/>
          </w:tcPr>
          <w:p w14:paraId="6B33CB17">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不限</w:t>
            </w:r>
          </w:p>
        </w:tc>
        <w:tc>
          <w:tcPr>
            <w:tcW w:w="1759" w:type="dxa"/>
            <w:noWrap w:val="0"/>
            <w:tcMar>
              <w:top w:w="15" w:type="dxa"/>
              <w:left w:w="15" w:type="dxa"/>
              <w:bottom w:w="15" w:type="dxa"/>
              <w:right w:w="15" w:type="dxa"/>
            </w:tcMar>
            <w:vAlign w:val="center"/>
          </w:tcPr>
          <w:p w14:paraId="7EFEE38C">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50周岁以下</w:t>
            </w:r>
          </w:p>
        </w:tc>
        <w:tc>
          <w:tcPr>
            <w:tcW w:w="805" w:type="dxa"/>
            <w:noWrap w:val="0"/>
            <w:tcMar>
              <w:top w:w="15" w:type="dxa"/>
              <w:left w:w="15" w:type="dxa"/>
              <w:bottom w:w="15" w:type="dxa"/>
              <w:right w:w="15" w:type="dxa"/>
            </w:tcMar>
            <w:vAlign w:val="center"/>
          </w:tcPr>
          <w:p w14:paraId="204E1E9E">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977" w:type="dxa"/>
            <w:noWrap w:val="0"/>
            <w:tcMar>
              <w:top w:w="15" w:type="dxa"/>
              <w:left w:w="15" w:type="dxa"/>
              <w:bottom w:w="15" w:type="dxa"/>
              <w:right w:w="15" w:type="dxa"/>
            </w:tcMar>
            <w:vAlign w:val="center"/>
          </w:tcPr>
          <w:p w14:paraId="43CEFEC1">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天8小时制</w:t>
            </w:r>
          </w:p>
        </w:tc>
        <w:tc>
          <w:tcPr>
            <w:tcW w:w="1367" w:type="dxa"/>
            <w:noWrap w:val="0"/>
            <w:tcMar>
              <w:top w:w="15" w:type="dxa"/>
              <w:left w:w="15" w:type="dxa"/>
              <w:bottom w:w="15" w:type="dxa"/>
              <w:right w:w="15" w:type="dxa"/>
            </w:tcMar>
            <w:vAlign w:val="center"/>
          </w:tcPr>
          <w:p w14:paraId="26056561">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r>
      <w:tr w14:paraId="555F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6" w:type="dxa"/>
            <w:vMerge w:val="restart"/>
            <w:noWrap w:val="0"/>
            <w:tcMar>
              <w:top w:w="15" w:type="dxa"/>
              <w:left w:w="15" w:type="dxa"/>
              <w:bottom w:w="15" w:type="dxa"/>
              <w:right w:w="15" w:type="dxa"/>
            </w:tcMar>
            <w:vAlign w:val="center"/>
          </w:tcPr>
          <w:p w14:paraId="50B14A10">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c>
          <w:tcPr>
            <w:tcW w:w="840" w:type="dxa"/>
            <w:vMerge w:val="restart"/>
            <w:noWrap w:val="0"/>
            <w:tcMar>
              <w:top w:w="15" w:type="dxa"/>
              <w:left w:w="15" w:type="dxa"/>
              <w:bottom w:w="15" w:type="dxa"/>
              <w:right w:w="15" w:type="dxa"/>
            </w:tcMar>
            <w:vAlign w:val="center"/>
          </w:tcPr>
          <w:p w14:paraId="003A3067">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保安部</w:t>
            </w:r>
          </w:p>
        </w:tc>
        <w:tc>
          <w:tcPr>
            <w:tcW w:w="1696" w:type="dxa"/>
            <w:noWrap w:val="0"/>
            <w:tcMar>
              <w:top w:w="15" w:type="dxa"/>
              <w:left w:w="15" w:type="dxa"/>
              <w:bottom w:w="15" w:type="dxa"/>
              <w:right w:w="15" w:type="dxa"/>
            </w:tcMar>
            <w:vAlign w:val="center"/>
          </w:tcPr>
          <w:p w14:paraId="1DB79C5A">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保安领班</w:t>
            </w:r>
          </w:p>
        </w:tc>
        <w:tc>
          <w:tcPr>
            <w:tcW w:w="751" w:type="dxa"/>
            <w:noWrap w:val="0"/>
            <w:tcMar>
              <w:top w:w="15" w:type="dxa"/>
              <w:left w:w="15" w:type="dxa"/>
              <w:bottom w:w="15" w:type="dxa"/>
              <w:right w:w="15" w:type="dxa"/>
            </w:tcMar>
            <w:vAlign w:val="center"/>
          </w:tcPr>
          <w:p w14:paraId="798C81E2">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男</w:t>
            </w:r>
          </w:p>
        </w:tc>
        <w:tc>
          <w:tcPr>
            <w:tcW w:w="1759" w:type="dxa"/>
            <w:noWrap w:val="0"/>
            <w:tcMar>
              <w:top w:w="15" w:type="dxa"/>
              <w:left w:w="15" w:type="dxa"/>
              <w:bottom w:w="15" w:type="dxa"/>
              <w:right w:w="15" w:type="dxa"/>
            </w:tcMar>
            <w:vAlign w:val="center"/>
          </w:tcPr>
          <w:p w14:paraId="624398CB">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60周岁以下</w:t>
            </w:r>
          </w:p>
        </w:tc>
        <w:tc>
          <w:tcPr>
            <w:tcW w:w="805" w:type="dxa"/>
            <w:noWrap w:val="0"/>
            <w:tcMar>
              <w:top w:w="15" w:type="dxa"/>
              <w:left w:w="15" w:type="dxa"/>
              <w:bottom w:w="15" w:type="dxa"/>
              <w:right w:w="15" w:type="dxa"/>
            </w:tcMar>
            <w:vAlign w:val="center"/>
          </w:tcPr>
          <w:p w14:paraId="440A2F19">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977" w:type="dxa"/>
            <w:noWrap w:val="0"/>
            <w:tcMar>
              <w:top w:w="15" w:type="dxa"/>
              <w:left w:w="15" w:type="dxa"/>
              <w:bottom w:w="15" w:type="dxa"/>
              <w:right w:w="15" w:type="dxa"/>
            </w:tcMar>
            <w:vAlign w:val="center"/>
          </w:tcPr>
          <w:p w14:paraId="55690381">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天8小时制</w:t>
            </w:r>
          </w:p>
        </w:tc>
        <w:tc>
          <w:tcPr>
            <w:tcW w:w="1367" w:type="dxa"/>
            <w:noWrap w:val="0"/>
            <w:tcMar>
              <w:top w:w="15" w:type="dxa"/>
              <w:left w:w="15" w:type="dxa"/>
              <w:bottom w:w="15" w:type="dxa"/>
              <w:right w:w="15" w:type="dxa"/>
            </w:tcMar>
            <w:vAlign w:val="center"/>
          </w:tcPr>
          <w:p w14:paraId="3A99FF45">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r>
      <w:tr w14:paraId="6EE5B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6" w:type="dxa"/>
            <w:vMerge w:val="continue"/>
            <w:noWrap w:val="0"/>
            <w:tcMar>
              <w:top w:w="15" w:type="dxa"/>
              <w:left w:w="15" w:type="dxa"/>
              <w:bottom w:w="15" w:type="dxa"/>
              <w:right w:w="15" w:type="dxa"/>
            </w:tcMar>
            <w:vAlign w:val="center"/>
          </w:tcPr>
          <w:p w14:paraId="12B66CBD">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c>
          <w:tcPr>
            <w:tcW w:w="840" w:type="dxa"/>
            <w:vMerge w:val="continue"/>
            <w:noWrap w:val="0"/>
            <w:tcMar>
              <w:top w:w="15" w:type="dxa"/>
              <w:left w:w="15" w:type="dxa"/>
              <w:bottom w:w="15" w:type="dxa"/>
              <w:right w:w="15" w:type="dxa"/>
            </w:tcMar>
            <w:vAlign w:val="center"/>
          </w:tcPr>
          <w:p w14:paraId="6DCA17A7">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c>
          <w:tcPr>
            <w:tcW w:w="1696" w:type="dxa"/>
            <w:noWrap w:val="0"/>
            <w:tcMar>
              <w:top w:w="15" w:type="dxa"/>
              <w:left w:w="15" w:type="dxa"/>
              <w:bottom w:w="15" w:type="dxa"/>
              <w:right w:w="15" w:type="dxa"/>
            </w:tcMar>
            <w:vAlign w:val="center"/>
          </w:tcPr>
          <w:p w14:paraId="62ED566E">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保安</w:t>
            </w:r>
          </w:p>
        </w:tc>
        <w:tc>
          <w:tcPr>
            <w:tcW w:w="751" w:type="dxa"/>
            <w:noWrap w:val="0"/>
            <w:tcMar>
              <w:top w:w="15" w:type="dxa"/>
              <w:left w:w="15" w:type="dxa"/>
              <w:bottom w:w="15" w:type="dxa"/>
              <w:right w:w="15" w:type="dxa"/>
            </w:tcMar>
            <w:vAlign w:val="center"/>
          </w:tcPr>
          <w:p w14:paraId="585BD9A1">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男</w:t>
            </w:r>
          </w:p>
        </w:tc>
        <w:tc>
          <w:tcPr>
            <w:tcW w:w="1759" w:type="dxa"/>
            <w:noWrap w:val="0"/>
            <w:tcMar>
              <w:top w:w="15" w:type="dxa"/>
              <w:left w:w="15" w:type="dxa"/>
              <w:bottom w:w="15" w:type="dxa"/>
              <w:right w:w="15" w:type="dxa"/>
            </w:tcMar>
            <w:vAlign w:val="center"/>
          </w:tcPr>
          <w:p w14:paraId="595DBF26">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60周岁以下</w:t>
            </w:r>
          </w:p>
        </w:tc>
        <w:tc>
          <w:tcPr>
            <w:tcW w:w="805" w:type="dxa"/>
            <w:noWrap w:val="0"/>
            <w:tcMar>
              <w:top w:w="15" w:type="dxa"/>
              <w:left w:w="15" w:type="dxa"/>
              <w:bottom w:w="15" w:type="dxa"/>
              <w:right w:w="15" w:type="dxa"/>
            </w:tcMar>
            <w:vAlign w:val="center"/>
          </w:tcPr>
          <w:p w14:paraId="4CFEE674">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w:t>
            </w:r>
          </w:p>
        </w:tc>
        <w:tc>
          <w:tcPr>
            <w:tcW w:w="1977" w:type="dxa"/>
            <w:noWrap w:val="0"/>
            <w:tcMar>
              <w:top w:w="15" w:type="dxa"/>
              <w:left w:w="15" w:type="dxa"/>
              <w:bottom w:w="15" w:type="dxa"/>
              <w:right w:w="15" w:type="dxa"/>
            </w:tcMar>
            <w:vAlign w:val="center"/>
          </w:tcPr>
          <w:p w14:paraId="7D46944F">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四班三运转8小时</w:t>
            </w:r>
          </w:p>
        </w:tc>
        <w:tc>
          <w:tcPr>
            <w:tcW w:w="1367" w:type="dxa"/>
            <w:noWrap w:val="0"/>
            <w:tcMar>
              <w:top w:w="15" w:type="dxa"/>
              <w:left w:w="15" w:type="dxa"/>
              <w:bottom w:w="15" w:type="dxa"/>
              <w:right w:w="15" w:type="dxa"/>
            </w:tcMar>
            <w:vAlign w:val="center"/>
          </w:tcPr>
          <w:p w14:paraId="1DA9A504">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固定岗位（门岗、监控、停车场引导）</w:t>
            </w:r>
          </w:p>
        </w:tc>
      </w:tr>
      <w:tr w14:paraId="5DAF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6" w:type="dxa"/>
            <w:vMerge w:val="continue"/>
            <w:noWrap w:val="0"/>
            <w:tcMar>
              <w:top w:w="15" w:type="dxa"/>
              <w:left w:w="15" w:type="dxa"/>
              <w:bottom w:w="15" w:type="dxa"/>
              <w:right w:w="15" w:type="dxa"/>
            </w:tcMar>
            <w:vAlign w:val="center"/>
          </w:tcPr>
          <w:p w14:paraId="1D560359">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c>
          <w:tcPr>
            <w:tcW w:w="840" w:type="dxa"/>
            <w:vMerge w:val="continue"/>
            <w:noWrap w:val="0"/>
            <w:tcMar>
              <w:top w:w="15" w:type="dxa"/>
              <w:left w:w="15" w:type="dxa"/>
              <w:bottom w:w="15" w:type="dxa"/>
              <w:right w:w="15" w:type="dxa"/>
            </w:tcMar>
            <w:vAlign w:val="center"/>
          </w:tcPr>
          <w:p w14:paraId="074073F6">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c>
          <w:tcPr>
            <w:tcW w:w="1696" w:type="dxa"/>
            <w:noWrap w:val="0"/>
            <w:tcMar>
              <w:top w:w="15" w:type="dxa"/>
              <w:left w:w="15" w:type="dxa"/>
              <w:bottom w:w="15" w:type="dxa"/>
              <w:right w:w="15" w:type="dxa"/>
            </w:tcMar>
            <w:vAlign w:val="center"/>
          </w:tcPr>
          <w:p w14:paraId="4E405FA3">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机动</w:t>
            </w:r>
          </w:p>
        </w:tc>
        <w:tc>
          <w:tcPr>
            <w:tcW w:w="751" w:type="dxa"/>
            <w:noWrap w:val="0"/>
            <w:tcMar>
              <w:top w:w="15" w:type="dxa"/>
              <w:left w:w="15" w:type="dxa"/>
              <w:bottom w:w="15" w:type="dxa"/>
              <w:right w:w="15" w:type="dxa"/>
            </w:tcMar>
            <w:vAlign w:val="center"/>
          </w:tcPr>
          <w:p w14:paraId="778EB5EF">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男</w:t>
            </w:r>
          </w:p>
        </w:tc>
        <w:tc>
          <w:tcPr>
            <w:tcW w:w="1759" w:type="dxa"/>
            <w:noWrap w:val="0"/>
            <w:tcMar>
              <w:top w:w="15" w:type="dxa"/>
              <w:left w:w="15" w:type="dxa"/>
              <w:bottom w:w="15" w:type="dxa"/>
              <w:right w:w="15" w:type="dxa"/>
            </w:tcMar>
            <w:vAlign w:val="center"/>
          </w:tcPr>
          <w:p w14:paraId="7388444A">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60周岁以下</w:t>
            </w:r>
          </w:p>
        </w:tc>
        <w:tc>
          <w:tcPr>
            <w:tcW w:w="805" w:type="dxa"/>
            <w:noWrap w:val="0"/>
            <w:tcMar>
              <w:top w:w="15" w:type="dxa"/>
              <w:left w:w="15" w:type="dxa"/>
              <w:bottom w:w="15" w:type="dxa"/>
              <w:right w:w="15" w:type="dxa"/>
            </w:tcMar>
            <w:vAlign w:val="center"/>
          </w:tcPr>
          <w:p w14:paraId="71699044">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977" w:type="dxa"/>
            <w:noWrap w:val="0"/>
            <w:tcMar>
              <w:top w:w="15" w:type="dxa"/>
              <w:left w:w="15" w:type="dxa"/>
              <w:bottom w:w="15" w:type="dxa"/>
              <w:right w:w="15" w:type="dxa"/>
            </w:tcMar>
            <w:vAlign w:val="center"/>
          </w:tcPr>
          <w:p w14:paraId="1E376868">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天8小时制</w:t>
            </w:r>
          </w:p>
        </w:tc>
        <w:tc>
          <w:tcPr>
            <w:tcW w:w="1367" w:type="dxa"/>
            <w:noWrap w:val="0"/>
            <w:tcMar>
              <w:top w:w="15" w:type="dxa"/>
              <w:left w:w="15" w:type="dxa"/>
              <w:bottom w:w="15" w:type="dxa"/>
              <w:right w:w="15" w:type="dxa"/>
            </w:tcMar>
            <w:vAlign w:val="center"/>
          </w:tcPr>
          <w:p w14:paraId="74E4EEAA">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r>
      <w:tr w14:paraId="50AB8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6" w:type="dxa"/>
            <w:vMerge w:val="restart"/>
            <w:noWrap w:val="0"/>
            <w:tcMar>
              <w:top w:w="15" w:type="dxa"/>
              <w:left w:w="15" w:type="dxa"/>
              <w:bottom w:w="15" w:type="dxa"/>
              <w:right w:w="15" w:type="dxa"/>
            </w:tcMar>
            <w:vAlign w:val="center"/>
          </w:tcPr>
          <w:p w14:paraId="7C8D8E2E">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p>
        </w:tc>
        <w:tc>
          <w:tcPr>
            <w:tcW w:w="840" w:type="dxa"/>
            <w:vMerge w:val="restart"/>
            <w:noWrap w:val="0"/>
            <w:tcMar>
              <w:top w:w="15" w:type="dxa"/>
              <w:left w:w="15" w:type="dxa"/>
              <w:bottom w:w="15" w:type="dxa"/>
              <w:right w:w="15" w:type="dxa"/>
            </w:tcMar>
            <w:vAlign w:val="center"/>
          </w:tcPr>
          <w:p w14:paraId="3181D9B2">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保洁部</w:t>
            </w:r>
          </w:p>
        </w:tc>
        <w:tc>
          <w:tcPr>
            <w:tcW w:w="1696" w:type="dxa"/>
            <w:noWrap w:val="0"/>
            <w:tcMar>
              <w:top w:w="15" w:type="dxa"/>
              <w:left w:w="15" w:type="dxa"/>
              <w:bottom w:w="15" w:type="dxa"/>
              <w:right w:w="15" w:type="dxa"/>
            </w:tcMar>
            <w:vAlign w:val="center"/>
          </w:tcPr>
          <w:p w14:paraId="7A81DB5E">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保洁领班</w:t>
            </w:r>
          </w:p>
        </w:tc>
        <w:tc>
          <w:tcPr>
            <w:tcW w:w="751" w:type="dxa"/>
            <w:noWrap w:val="0"/>
            <w:tcMar>
              <w:top w:w="15" w:type="dxa"/>
              <w:left w:w="15" w:type="dxa"/>
              <w:bottom w:w="15" w:type="dxa"/>
              <w:right w:w="15" w:type="dxa"/>
            </w:tcMar>
            <w:vAlign w:val="center"/>
          </w:tcPr>
          <w:p w14:paraId="1743DDB1">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不限</w:t>
            </w:r>
          </w:p>
        </w:tc>
        <w:tc>
          <w:tcPr>
            <w:tcW w:w="1759" w:type="dxa"/>
            <w:noWrap w:val="0"/>
            <w:tcMar>
              <w:top w:w="15" w:type="dxa"/>
              <w:left w:w="15" w:type="dxa"/>
              <w:bottom w:w="15" w:type="dxa"/>
              <w:right w:w="15" w:type="dxa"/>
            </w:tcMar>
            <w:vAlign w:val="center"/>
          </w:tcPr>
          <w:p w14:paraId="42948175">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男：60周岁以下，女：5</w:t>
            </w:r>
            <w:r>
              <w:rPr>
                <w:rFonts w:hint="eastAsia" w:ascii="宋体" w:hAnsi="宋体" w:cs="宋体"/>
                <w:kern w:val="2"/>
                <w:sz w:val="24"/>
                <w:szCs w:val="24"/>
                <w:lang w:val="en-US" w:eastAsia="zh-CN" w:bidi="ar-SA"/>
              </w:rPr>
              <w:t>0</w:t>
            </w:r>
            <w:r>
              <w:rPr>
                <w:rFonts w:hint="eastAsia" w:ascii="宋体" w:hAnsi="宋体" w:eastAsia="宋体" w:cs="宋体"/>
                <w:kern w:val="2"/>
                <w:sz w:val="24"/>
                <w:szCs w:val="24"/>
                <w:lang w:val="en-US" w:eastAsia="zh-CN" w:bidi="ar-SA"/>
              </w:rPr>
              <w:t>周岁以下</w:t>
            </w:r>
          </w:p>
        </w:tc>
        <w:tc>
          <w:tcPr>
            <w:tcW w:w="805" w:type="dxa"/>
            <w:noWrap w:val="0"/>
            <w:tcMar>
              <w:top w:w="15" w:type="dxa"/>
              <w:left w:w="15" w:type="dxa"/>
              <w:bottom w:w="15" w:type="dxa"/>
              <w:right w:w="15" w:type="dxa"/>
            </w:tcMar>
            <w:vAlign w:val="center"/>
          </w:tcPr>
          <w:p w14:paraId="5A9B3662">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977" w:type="dxa"/>
            <w:noWrap w:val="0"/>
            <w:tcMar>
              <w:top w:w="15" w:type="dxa"/>
              <w:left w:w="15" w:type="dxa"/>
              <w:bottom w:w="15" w:type="dxa"/>
              <w:right w:w="15" w:type="dxa"/>
            </w:tcMar>
            <w:vAlign w:val="center"/>
          </w:tcPr>
          <w:p w14:paraId="6FD73289">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天8小时制</w:t>
            </w:r>
          </w:p>
        </w:tc>
        <w:tc>
          <w:tcPr>
            <w:tcW w:w="1367" w:type="dxa"/>
            <w:noWrap w:val="0"/>
            <w:tcMar>
              <w:top w:w="15" w:type="dxa"/>
              <w:left w:w="15" w:type="dxa"/>
              <w:bottom w:w="15" w:type="dxa"/>
              <w:right w:w="15" w:type="dxa"/>
            </w:tcMar>
            <w:vAlign w:val="center"/>
          </w:tcPr>
          <w:p w14:paraId="78670995">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r>
      <w:tr w14:paraId="2A224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6" w:type="dxa"/>
            <w:vMerge w:val="continue"/>
            <w:noWrap w:val="0"/>
            <w:tcMar>
              <w:top w:w="15" w:type="dxa"/>
              <w:left w:w="15" w:type="dxa"/>
              <w:bottom w:w="15" w:type="dxa"/>
              <w:right w:w="15" w:type="dxa"/>
            </w:tcMar>
            <w:vAlign w:val="center"/>
          </w:tcPr>
          <w:p w14:paraId="7793F01B">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c>
          <w:tcPr>
            <w:tcW w:w="840" w:type="dxa"/>
            <w:vMerge w:val="continue"/>
            <w:noWrap w:val="0"/>
            <w:tcMar>
              <w:top w:w="15" w:type="dxa"/>
              <w:left w:w="15" w:type="dxa"/>
              <w:bottom w:w="15" w:type="dxa"/>
              <w:right w:w="15" w:type="dxa"/>
            </w:tcMar>
            <w:vAlign w:val="center"/>
          </w:tcPr>
          <w:p w14:paraId="3B0240E7">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c>
          <w:tcPr>
            <w:tcW w:w="1696" w:type="dxa"/>
            <w:noWrap w:val="0"/>
            <w:tcMar>
              <w:top w:w="15" w:type="dxa"/>
              <w:left w:w="15" w:type="dxa"/>
              <w:bottom w:w="15" w:type="dxa"/>
              <w:right w:w="15" w:type="dxa"/>
            </w:tcMar>
            <w:vAlign w:val="center"/>
          </w:tcPr>
          <w:p w14:paraId="72FE527E">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保洁</w:t>
            </w:r>
          </w:p>
        </w:tc>
        <w:tc>
          <w:tcPr>
            <w:tcW w:w="751" w:type="dxa"/>
            <w:noWrap w:val="0"/>
            <w:tcMar>
              <w:top w:w="15" w:type="dxa"/>
              <w:left w:w="15" w:type="dxa"/>
              <w:bottom w:w="15" w:type="dxa"/>
              <w:right w:w="15" w:type="dxa"/>
            </w:tcMar>
            <w:vAlign w:val="center"/>
          </w:tcPr>
          <w:p w14:paraId="40C010A1">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不限</w:t>
            </w:r>
          </w:p>
        </w:tc>
        <w:tc>
          <w:tcPr>
            <w:tcW w:w="1759" w:type="dxa"/>
            <w:noWrap w:val="0"/>
            <w:tcMar>
              <w:top w:w="15" w:type="dxa"/>
              <w:left w:w="15" w:type="dxa"/>
              <w:bottom w:w="15" w:type="dxa"/>
              <w:right w:w="15" w:type="dxa"/>
            </w:tcMar>
            <w:vAlign w:val="center"/>
          </w:tcPr>
          <w:p w14:paraId="1B9715CD">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男：60周岁以下，女：5</w:t>
            </w:r>
            <w:r>
              <w:rPr>
                <w:rFonts w:hint="eastAsia" w:ascii="宋体" w:hAnsi="宋体" w:cs="宋体"/>
                <w:kern w:val="2"/>
                <w:sz w:val="24"/>
                <w:szCs w:val="24"/>
                <w:lang w:val="en-US" w:eastAsia="zh-CN" w:bidi="ar-SA"/>
              </w:rPr>
              <w:t>0</w:t>
            </w:r>
            <w:r>
              <w:rPr>
                <w:rFonts w:hint="eastAsia" w:ascii="宋体" w:hAnsi="宋体" w:eastAsia="宋体" w:cs="宋体"/>
                <w:kern w:val="2"/>
                <w:sz w:val="24"/>
                <w:szCs w:val="24"/>
                <w:lang w:val="en-US" w:eastAsia="zh-CN" w:bidi="ar-SA"/>
              </w:rPr>
              <w:t>周岁以下</w:t>
            </w:r>
          </w:p>
        </w:tc>
        <w:tc>
          <w:tcPr>
            <w:tcW w:w="805" w:type="dxa"/>
            <w:noWrap w:val="0"/>
            <w:tcMar>
              <w:top w:w="15" w:type="dxa"/>
              <w:left w:w="15" w:type="dxa"/>
              <w:bottom w:w="15" w:type="dxa"/>
              <w:right w:w="15" w:type="dxa"/>
            </w:tcMar>
            <w:vAlign w:val="center"/>
          </w:tcPr>
          <w:p w14:paraId="23FCFEB6">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1977" w:type="dxa"/>
            <w:noWrap w:val="0"/>
            <w:tcMar>
              <w:top w:w="15" w:type="dxa"/>
              <w:left w:w="15" w:type="dxa"/>
              <w:bottom w:w="15" w:type="dxa"/>
              <w:right w:w="15" w:type="dxa"/>
            </w:tcMar>
            <w:vAlign w:val="center"/>
          </w:tcPr>
          <w:p w14:paraId="09B6D2AD">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天8小时制</w:t>
            </w:r>
          </w:p>
        </w:tc>
        <w:tc>
          <w:tcPr>
            <w:tcW w:w="1367" w:type="dxa"/>
            <w:noWrap w:val="0"/>
            <w:tcMar>
              <w:top w:w="15" w:type="dxa"/>
              <w:left w:w="15" w:type="dxa"/>
              <w:bottom w:w="15" w:type="dxa"/>
              <w:right w:w="15" w:type="dxa"/>
            </w:tcMar>
            <w:vAlign w:val="center"/>
          </w:tcPr>
          <w:p w14:paraId="0D169182">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r>
      <w:tr w14:paraId="0589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6" w:type="dxa"/>
            <w:noWrap w:val="0"/>
            <w:tcMar>
              <w:top w:w="15" w:type="dxa"/>
              <w:left w:w="15" w:type="dxa"/>
              <w:bottom w:w="15" w:type="dxa"/>
              <w:right w:w="15" w:type="dxa"/>
            </w:tcMar>
            <w:vAlign w:val="center"/>
          </w:tcPr>
          <w:p w14:paraId="2FD7C975">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840" w:type="dxa"/>
            <w:noWrap w:val="0"/>
            <w:tcMar>
              <w:top w:w="15" w:type="dxa"/>
              <w:left w:w="15" w:type="dxa"/>
              <w:bottom w:w="15" w:type="dxa"/>
              <w:right w:w="15" w:type="dxa"/>
            </w:tcMar>
            <w:vAlign w:val="center"/>
          </w:tcPr>
          <w:p w14:paraId="015211E0">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工程部</w:t>
            </w:r>
          </w:p>
        </w:tc>
        <w:tc>
          <w:tcPr>
            <w:tcW w:w="1696" w:type="dxa"/>
            <w:noWrap w:val="0"/>
            <w:tcMar>
              <w:top w:w="15" w:type="dxa"/>
              <w:left w:w="15" w:type="dxa"/>
              <w:bottom w:w="15" w:type="dxa"/>
              <w:right w:w="15" w:type="dxa"/>
            </w:tcMar>
            <w:vAlign w:val="center"/>
          </w:tcPr>
          <w:p w14:paraId="5663A6F5">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工程维保</w:t>
            </w:r>
          </w:p>
        </w:tc>
        <w:tc>
          <w:tcPr>
            <w:tcW w:w="751" w:type="dxa"/>
            <w:noWrap w:val="0"/>
            <w:tcMar>
              <w:top w:w="15" w:type="dxa"/>
              <w:left w:w="15" w:type="dxa"/>
              <w:bottom w:w="15" w:type="dxa"/>
              <w:right w:w="15" w:type="dxa"/>
            </w:tcMar>
            <w:vAlign w:val="center"/>
          </w:tcPr>
          <w:p w14:paraId="59E807A7">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男</w:t>
            </w:r>
          </w:p>
        </w:tc>
        <w:tc>
          <w:tcPr>
            <w:tcW w:w="1759" w:type="dxa"/>
            <w:noWrap w:val="0"/>
            <w:tcMar>
              <w:top w:w="15" w:type="dxa"/>
              <w:left w:w="15" w:type="dxa"/>
              <w:bottom w:w="15" w:type="dxa"/>
              <w:right w:w="15" w:type="dxa"/>
            </w:tcMar>
            <w:vAlign w:val="center"/>
          </w:tcPr>
          <w:p w14:paraId="7AF7179D">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60周岁以下</w:t>
            </w:r>
          </w:p>
        </w:tc>
        <w:tc>
          <w:tcPr>
            <w:tcW w:w="805" w:type="dxa"/>
            <w:noWrap w:val="0"/>
            <w:tcMar>
              <w:top w:w="15" w:type="dxa"/>
              <w:left w:w="15" w:type="dxa"/>
              <w:bottom w:w="15" w:type="dxa"/>
              <w:right w:w="15" w:type="dxa"/>
            </w:tcMar>
            <w:vAlign w:val="center"/>
          </w:tcPr>
          <w:p w14:paraId="4B522902">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977" w:type="dxa"/>
            <w:noWrap w:val="0"/>
            <w:tcMar>
              <w:top w:w="15" w:type="dxa"/>
              <w:left w:w="15" w:type="dxa"/>
              <w:bottom w:w="15" w:type="dxa"/>
              <w:right w:w="15" w:type="dxa"/>
            </w:tcMar>
            <w:vAlign w:val="center"/>
          </w:tcPr>
          <w:p w14:paraId="684FF9ED">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天8小时制</w:t>
            </w:r>
          </w:p>
        </w:tc>
        <w:tc>
          <w:tcPr>
            <w:tcW w:w="1367" w:type="dxa"/>
            <w:noWrap w:val="0"/>
            <w:tcMar>
              <w:top w:w="15" w:type="dxa"/>
              <w:left w:w="15" w:type="dxa"/>
              <w:bottom w:w="15" w:type="dxa"/>
              <w:right w:w="15" w:type="dxa"/>
            </w:tcMar>
            <w:vAlign w:val="center"/>
          </w:tcPr>
          <w:p w14:paraId="08882ED1">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r>
      <w:tr w14:paraId="0338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6" w:type="dxa"/>
            <w:noWrap w:val="0"/>
            <w:tcMar>
              <w:top w:w="15" w:type="dxa"/>
              <w:left w:w="15" w:type="dxa"/>
              <w:bottom w:w="15" w:type="dxa"/>
              <w:right w:w="15" w:type="dxa"/>
            </w:tcMar>
            <w:vAlign w:val="center"/>
          </w:tcPr>
          <w:p w14:paraId="78ED4D66">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w:t>
            </w:r>
          </w:p>
        </w:tc>
        <w:tc>
          <w:tcPr>
            <w:tcW w:w="5046" w:type="dxa"/>
            <w:gridSpan w:val="4"/>
            <w:noWrap w:val="0"/>
            <w:tcMar>
              <w:top w:w="15" w:type="dxa"/>
              <w:left w:w="15" w:type="dxa"/>
              <w:bottom w:w="15" w:type="dxa"/>
              <w:right w:w="15" w:type="dxa"/>
            </w:tcMar>
            <w:vAlign w:val="center"/>
          </w:tcPr>
          <w:p w14:paraId="30CCDA49">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合计</w:t>
            </w:r>
          </w:p>
        </w:tc>
        <w:tc>
          <w:tcPr>
            <w:tcW w:w="805" w:type="dxa"/>
            <w:noWrap w:val="0"/>
            <w:tcMar>
              <w:top w:w="15" w:type="dxa"/>
              <w:left w:w="15" w:type="dxa"/>
              <w:bottom w:w="15" w:type="dxa"/>
              <w:right w:w="15" w:type="dxa"/>
            </w:tcMar>
            <w:vAlign w:val="center"/>
          </w:tcPr>
          <w:p w14:paraId="3ABD77D1">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w:t>
            </w:r>
          </w:p>
        </w:tc>
        <w:tc>
          <w:tcPr>
            <w:tcW w:w="1977" w:type="dxa"/>
            <w:noWrap w:val="0"/>
            <w:tcMar>
              <w:top w:w="15" w:type="dxa"/>
              <w:left w:w="15" w:type="dxa"/>
              <w:bottom w:w="15" w:type="dxa"/>
              <w:right w:w="15" w:type="dxa"/>
            </w:tcMar>
            <w:vAlign w:val="center"/>
          </w:tcPr>
          <w:p w14:paraId="6E5AE529">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c>
          <w:tcPr>
            <w:tcW w:w="1367" w:type="dxa"/>
            <w:noWrap w:val="0"/>
            <w:tcMar>
              <w:top w:w="15" w:type="dxa"/>
              <w:left w:w="15" w:type="dxa"/>
              <w:bottom w:w="15" w:type="dxa"/>
              <w:right w:w="15" w:type="dxa"/>
            </w:tcMar>
            <w:vAlign w:val="center"/>
          </w:tcPr>
          <w:p w14:paraId="315FF787">
            <w:pPr>
              <w:keepNext w:val="0"/>
              <w:keepLines w:val="0"/>
              <w:pageBreakBefore w:val="0"/>
              <w:widowControl/>
              <w:kinsoku/>
              <w:wordWrap/>
              <w:overflowPunct/>
              <w:topLinePunct w:val="0"/>
              <w:bidi w:val="0"/>
              <w:snapToGrid/>
              <w:spacing w:line="360" w:lineRule="auto"/>
              <w:ind w:left="0" w:firstLine="480" w:firstLineChars="200"/>
              <w:jc w:val="center"/>
              <w:textAlignment w:val="auto"/>
              <w:rPr>
                <w:rFonts w:hint="eastAsia" w:ascii="宋体" w:hAnsi="宋体" w:eastAsia="宋体" w:cs="宋体"/>
                <w:kern w:val="2"/>
                <w:sz w:val="24"/>
                <w:szCs w:val="24"/>
                <w:lang w:val="en-US" w:eastAsia="zh-CN" w:bidi="ar-SA"/>
              </w:rPr>
            </w:pPr>
          </w:p>
        </w:tc>
      </w:tr>
      <w:tr w14:paraId="2D1F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811" w:type="dxa"/>
            <w:gridSpan w:val="8"/>
            <w:noWrap w:val="0"/>
            <w:tcMar>
              <w:top w:w="15" w:type="dxa"/>
              <w:left w:w="15" w:type="dxa"/>
              <w:bottom w:w="15" w:type="dxa"/>
              <w:right w:w="15" w:type="dxa"/>
            </w:tcMar>
            <w:vAlign w:val="center"/>
          </w:tcPr>
          <w:p w14:paraId="741383CC">
            <w:pPr>
              <w:pStyle w:val="15"/>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注：1）除项目负责人外，中标供应商必须在取得中标资格后30日内，按上述最低配置要求，将人员配置齐全并递交人员证书供采购人备案；如未能按期配置齐全或人员证书未提供齐全，视为中标供应商放弃中标资格， 采购人有权取消其中标资格，并由第二中标候选人顺序替补为中标供应商，并与采购人签订合同。采购人也可以重新招标。给采购人造成的损失，原中标供应商还应当予以赔偿。</w:t>
            </w:r>
          </w:p>
          <w:p w14:paraId="49F103E4">
            <w:pPr>
              <w:pStyle w:val="15"/>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2）项目总配置人数不低于21人，项目管理员和工程部人员必须专岗专职不得变动；其余岗位设置可由中标供应商机动调整，但必须符合项目的管理要求。在本项目中，需缴纳社保和住房公积金人员不少于21人，购买意外险人员不少于21人，高温费的计算人数不少于17人，法定节假日加班工资的计算人数不少于18人。</w:t>
            </w:r>
          </w:p>
          <w:p w14:paraId="073853F4">
            <w:pPr>
              <w:pStyle w:val="15"/>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3）根据《中华人民共和国劳动合同法》《中华人民共和国社会保险法》，中标供应商必须依法规范用工，符合规定条件的人员须依法参加社会保险，人员工资应不低于最新公布的无锡市最低工资标准。</w:t>
            </w:r>
          </w:p>
          <w:p w14:paraId="46012F98">
            <w:pPr>
              <w:pStyle w:val="15"/>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4）在合同履行过程中，如检查发现有人员不到位现象的，视为违约，需承担违约责任。中标供应商所有服务人员相关证件（包括身份证复印件）等需交采购人备案，如人员发生变动，人员变动资料需交采购人备案。</w:t>
            </w:r>
          </w:p>
          <w:p w14:paraId="1E090A3D">
            <w:pPr>
              <w:pStyle w:val="15"/>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5）中标供应商应按要求定期加强对员工的培训、管理，以达到符合采购人管理要求。</w:t>
            </w:r>
          </w:p>
          <w:p w14:paraId="530EEF4A">
            <w:pPr>
              <w:pStyle w:val="15"/>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6）中标供应商应严格督导员工的行为规范，并要求员工严格执行采购人相关管理规定维护采购人整体形象。</w:t>
            </w:r>
          </w:p>
          <w:p w14:paraId="4091EB98">
            <w:pPr>
              <w:pStyle w:val="15"/>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7）中标供应商应加强对服务人员安全生产的宣传，抓好安全管理工作，工作中注意安全防范。在合同履行期间发生的安全事故，由中标供应商负责。</w:t>
            </w:r>
          </w:p>
          <w:p w14:paraId="5A9D9373">
            <w:pPr>
              <w:pStyle w:val="15"/>
              <w:keepNext w:val="0"/>
              <w:keepLines w:val="0"/>
              <w:pageBreakBefore w:val="0"/>
              <w:kinsoku/>
              <w:wordWrap/>
              <w:overflowPunct/>
              <w:topLinePunct w:val="0"/>
              <w:bidi w:val="0"/>
              <w:snapToGrid/>
              <w:spacing w:line="360" w:lineRule="auto"/>
              <w:ind w:left="0" w:firstLine="482" w:firstLineChars="200"/>
              <w:textAlignment w:val="auto"/>
              <w:rPr>
                <w:rFonts w:hint="default"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rPr>
              <w:t>8）合同签订前，采购人有权对中标供应商的投标文件中的相关证书、检测报告、社保证明等资料进行检验核对，如提供虚假材料将依法上报行业监管部门，供应商自行承担不利后果。</w:t>
            </w:r>
          </w:p>
        </w:tc>
      </w:tr>
    </w:tbl>
    <w:p w14:paraId="24932052">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2、综合服务范围为：清洁卫生管理，秩序管理及巡查，工程维护，绿化维护及保养。</w:t>
      </w:r>
    </w:p>
    <w:p w14:paraId="6EE54EC2">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3、人员要求：</w:t>
      </w:r>
    </w:p>
    <w:p w14:paraId="59295412">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①项目管理员人员要求：</w:t>
      </w:r>
    </w:p>
    <w:p w14:paraId="47569686">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（1）掌握与本职工作相关的安全管理知识、质量管理知识等基本专业知识；</w:t>
      </w:r>
    </w:p>
    <w:p w14:paraId="068429FA">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（2）能够熟练使用各种办公软件；</w:t>
      </w:r>
    </w:p>
    <w:p w14:paraId="18DFF3A6">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（3）有项目运营工作经验，具有较强的口头和文字表达能力；</w:t>
      </w:r>
    </w:p>
    <w:p w14:paraId="063EE963">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（4）有管理岗工作经验3年以</w:t>
      </w:r>
      <w:r>
        <w:rPr>
          <w:rFonts w:hint="eastAsia" w:ascii="宋体" w:hAnsi="宋体" w:eastAsia="宋体" w:cs="宋体"/>
          <w:kern w:val="2"/>
          <w:sz w:val="24"/>
          <w:szCs w:val="24"/>
          <w:highlight w:val="none"/>
          <w:lang w:val="en-US" w:eastAsia="zh-CN"/>
        </w:rPr>
        <w:t>上，50周岁以下；</w:t>
      </w:r>
    </w:p>
    <w:p w14:paraId="7C83508E">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②工程维保人员要求：</w:t>
      </w:r>
    </w:p>
    <w:p w14:paraId="2FEC4B2C">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（1）熟练掌握专业基础知识和专业技能，熟悉工程管理工作的内容和程序；</w:t>
      </w:r>
    </w:p>
    <w:p w14:paraId="355B54C3">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（2）具有良好的组织、协调、沟通及推动能力；</w:t>
      </w:r>
    </w:p>
    <w:p w14:paraId="1BFDDD5A">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rPr>
        <w:t>（3）有相关工作经验2年以上</w:t>
      </w:r>
      <w:r>
        <w:rPr>
          <w:rFonts w:hint="eastAsia" w:ascii="宋体" w:hAnsi="宋体" w:eastAsia="宋体" w:cs="宋体"/>
          <w:kern w:val="2"/>
          <w:sz w:val="24"/>
          <w:szCs w:val="24"/>
          <w:highlight w:val="none"/>
          <w:lang w:val="en-US" w:eastAsia="zh-CN"/>
        </w:rPr>
        <w:t>，男60周岁以下；</w:t>
      </w:r>
    </w:p>
    <w:p w14:paraId="6306CF0D">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（4）熟练掌握各类维修基础知识和专业技能</w:t>
      </w:r>
    </w:p>
    <w:p w14:paraId="4AD4ACBA">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③保安领班人员要求：</w:t>
      </w:r>
    </w:p>
    <w:p w14:paraId="0CB11EC2">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（1）、身体健康，穿着夏装工作服未覆盖处不得有明显疤痕及纹身；</w:t>
      </w:r>
    </w:p>
    <w:p w14:paraId="1747053A">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rPr>
        <w:t>（2）、学历：高中学历以</w:t>
      </w:r>
      <w:r>
        <w:rPr>
          <w:rFonts w:hint="eastAsia" w:ascii="宋体" w:hAnsi="宋体" w:eastAsia="宋体" w:cs="宋体"/>
          <w:kern w:val="2"/>
          <w:sz w:val="24"/>
          <w:szCs w:val="24"/>
          <w:highlight w:val="none"/>
          <w:lang w:val="en-US" w:eastAsia="zh-CN"/>
        </w:rPr>
        <w:t>上，男60周岁以下；</w:t>
      </w:r>
    </w:p>
    <w:p w14:paraId="52A808FE">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（3）、经验：有类似工作经验2年以上，具有良好的沟通组织能力；</w:t>
      </w:r>
    </w:p>
    <w:p w14:paraId="04458BB9">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④保安人员要求：</w:t>
      </w:r>
    </w:p>
    <w:p w14:paraId="13D2C5D9">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（1）身体健康，穿着夏装工作服未覆盖处不得有明显疤痕及纹身；</w:t>
      </w:r>
    </w:p>
    <w:p w14:paraId="4C9AFB65">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（2）学历：初中学历以上；</w:t>
      </w:r>
    </w:p>
    <w:p w14:paraId="3FA38673">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highlight w:val="none"/>
          <w:lang w:val="en-US" w:eastAsia="zh-CN"/>
        </w:rPr>
        <w:t>年龄：男60周岁以内，女50周岁以内；</w:t>
      </w:r>
    </w:p>
    <w:p w14:paraId="4D80BE4C">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（4）经验：有类似工作经验，需经培训合格后，我方现场管理人员考核合格后方可上岗；</w:t>
      </w:r>
    </w:p>
    <w:p w14:paraId="19AF6AA9">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（5）其他：无不良犯罪记录、无残疾障碍。</w:t>
      </w:r>
    </w:p>
    <w:p w14:paraId="0F7CB7E2">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⑤机动人员要求：</w:t>
      </w:r>
    </w:p>
    <w:p w14:paraId="796D44B8">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（1）身体健康，穿着夏装工作服未覆盖处不得有明显疤痕及纹身；</w:t>
      </w:r>
    </w:p>
    <w:p w14:paraId="08B3B7B5">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（2）学历：初中学历以上；</w:t>
      </w:r>
    </w:p>
    <w:p w14:paraId="54ABCB4D">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rPr>
        <w:t>（3）年龄：</w:t>
      </w:r>
      <w:r>
        <w:rPr>
          <w:rFonts w:hint="eastAsia" w:ascii="宋体" w:hAnsi="宋体" w:eastAsia="宋体" w:cs="宋体"/>
          <w:kern w:val="2"/>
          <w:sz w:val="24"/>
          <w:szCs w:val="24"/>
          <w:highlight w:val="none"/>
          <w:lang w:val="en-US" w:eastAsia="zh-CN"/>
        </w:rPr>
        <w:t>男60周岁以内，女50周岁以内；</w:t>
      </w:r>
    </w:p>
    <w:p w14:paraId="5F7C9E60">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（4）经验：有类似工作经验，需经培训合格后，我方现场管理人员考核合格后方可上岗；</w:t>
      </w:r>
    </w:p>
    <w:p w14:paraId="7943DAC5">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（5）其他：无不良犯罪记录、无残疾障碍。</w:t>
      </w:r>
    </w:p>
    <w:p w14:paraId="7576E274">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⑥保洁领班人员要求：</w:t>
      </w:r>
    </w:p>
    <w:p w14:paraId="05FAD2D5">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（1）身体健康，穿着夏装工作服未覆盖处不得有明显疤痕及纹身；</w:t>
      </w:r>
    </w:p>
    <w:p w14:paraId="05E9E28B">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rPr>
        <w:t>（2）学历：高中学历以上</w:t>
      </w:r>
      <w:r>
        <w:rPr>
          <w:rFonts w:hint="eastAsia" w:ascii="宋体" w:hAnsi="宋体" w:eastAsia="宋体" w:cs="宋体"/>
          <w:kern w:val="2"/>
          <w:sz w:val="24"/>
          <w:szCs w:val="24"/>
          <w:highlight w:val="none"/>
          <w:lang w:val="en-US" w:eastAsia="zh-CN"/>
        </w:rPr>
        <w:t>；男60周岁以内，女50周岁以内；</w:t>
      </w:r>
    </w:p>
    <w:p w14:paraId="56CB9E8B">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highlight w:val="none"/>
          <w:lang w:val="en-US" w:eastAsia="zh-CN"/>
        </w:rPr>
        <w:t>（3）经验：有类似工作经验3年以上，具有良</w:t>
      </w:r>
      <w:r>
        <w:rPr>
          <w:rFonts w:hint="eastAsia" w:ascii="宋体" w:hAnsi="宋体" w:eastAsia="宋体" w:cs="宋体"/>
          <w:kern w:val="2"/>
          <w:sz w:val="24"/>
          <w:szCs w:val="24"/>
          <w:lang w:val="en-US" w:eastAsia="zh-CN"/>
        </w:rPr>
        <w:t>好的沟通组织能力；</w:t>
      </w:r>
    </w:p>
    <w:p w14:paraId="1DCF538A">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（4）具有高级保洁证书的优先。</w:t>
      </w:r>
    </w:p>
    <w:p w14:paraId="277EA199">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⑦保洁人员要求：</w:t>
      </w:r>
    </w:p>
    <w:p w14:paraId="42410B83">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（1）身高：身体健康，穿着工作服未覆盖处不得有明显疤痕及纹身；</w:t>
      </w:r>
    </w:p>
    <w:p w14:paraId="15F404BE">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（2）学历：初中以上学历；条件优秀者放宽至小学，不得有文盲；</w:t>
      </w:r>
    </w:p>
    <w:p w14:paraId="04843235">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rPr>
        <w:t>（3）年</w:t>
      </w:r>
      <w:r>
        <w:rPr>
          <w:rFonts w:hint="eastAsia" w:ascii="宋体" w:hAnsi="宋体" w:eastAsia="宋体" w:cs="宋体"/>
          <w:kern w:val="2"/>
          <w:sz w:val="24"/>
          <w:szCs w:val="24"/>
          <w:highlight w:val="none"/>
          <w:lang w:val="en-US" w:eastAsia="zh-CN"/>
        </w:rPr>
        <w:t>龄：男60周岁以内，女50周岁以内；</w:t>
      </w:r>
    </w:p>
    <w:p w14:paraId="75DEC16E">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（4）经验：有类似工作经验，需经培训合格后，我方现场管理人员考核合格后方可上岗；</w:t>
      </w:r>
    </w:p>
    <w:p w14:paraId="20B8516B">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（5）其他：无不良犯罪记录、无残疾障碍。</w:t>
      </w:r>
    </w:p>
    <w:p w14:paraId="57A17FBA">
      <w:pPr>
        <w:pStyle w:val="15"/>
        <w:keepNext w:val="0"/>
        <w:keepLines w:val="0"/>
        <w:pageBreakBefore w:val="0"/>
        <w:kinsoku/>
        <w:wordWrap/>
        <w:overflowPunct/>
        <w:topLinePunct w:val="0"/>
        <w:bidi w:val="0"/>
        <w:snapToGrid/>
        <w:spacing w:line="360" w:lineRule="auto"/>
        <w:ind w:left="0" w:firstLine="480" w:firstLineChars="200"/>
        <w:textAlignment w:val="auto"/>
        <w:outlineLvl w:val="1"/>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（二）工作要求</w:t>
      </w:r>
    </w:p>
    <w:p w14:paraId="39C7355D">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1、保安服务内容：</w:t>
      </w:r>
    </w:p>
    <w:p w14:paraId="152B2C08">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（1）负责对九里公园区域内的秩序维护服务；</w:t>
      </w:r>
    </w:p>
    <w:p w14:paraId="0CF06544">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（2）指定时间段内不间断区域内巡视；指定时间段内巡视检查值班，发现问题应及时处理解决；正确使用秩序巡视器材，确保项目所属区域内的安全；负责及时发现并处理消防安全隐患；</w:t>
      </w:r>
    </w:p>
    <w:p w14:paraId="4FF1B841">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2、保安服务标准：</w:t>
      </w:r>
    </w:p>
    <w:p w14:paraId="225D9D47">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上岗时必须统一着装上岗，必须身着秩序服装，佩戴统一的标志符号。不得留须、长发、戴墨镜等影响仪表端庄的行为，值班人员无特殊情况不得擅离岗位，不得下棋、打牌。不得会私客，不得酗酒、抽烟、打瞌睡；</w:t>
      </w:r>
    </w:p>
    <w:p w14:paraId="1164F308">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（2）在管理区域内及时制止闲杂人员对游园内的设备设施、建筑物、构筑物、绿化景点、电信等公共设施、设备的破坏性侵害；</w:t>
      </w:r>
    </w:p>
    <w:p w14:paraId="7E402B8A">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（3）维护市民活动休闲秩序做好便民服务；</w:t>
      </w:r>
    </w:p>
    <w:p w14:paraId="06380E62">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（4）维护游园出入口及景观河内的秩序，保持景观河内良好环境；</w:t>
      </w:r>
    </w:p>
    <w:p w14:paraId="46890901">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（5）保护景观河内公共设施、设备；</w:t>
      </w:r>
    </w:p>
    <w:p w14:paraId="72961770">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（6）预防和制止景观河范围内各种违法犯罪行为；</w:t>
      </w:r>
    </w:p>
    <w:p w14:paraId="39AE02CD">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（7）检查发现安全防范方面的漏洞、要针对巡逻范围和特点切实做好防火、防盗、防破坏性等安全防范工作，维护良好的治安秩序；</w:t>
      </w:r>
    </w:p>
    <w:p w14:paraId="43916328">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（8）发生突发性事件或意外事故、消防安全事故等要全力维护好现场秩序并根据事态的发展逐级向上级部门进行汇报进及时与公安110、消防119、救护112联系；</w:t>
      </w:r>
    </w:p>
    <w:p w14:paraId="1BD71A3C">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（9）认真配合公安部门的安全检查，认真填写和保存原始记录资料；</w:t>
      </w:r>
    </w:p>
    <w:p w14:paraId="66433E0B">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（10）发现不安全隐患或事故苗头时应立即汇报，不得拖延，配合做好对应急事件的处理以及与公安110的联络。</w:t>
      </w:r>
    </w:p>
    <w:p w14:paraId="5B6273BF">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3、保洁服务内容：</w:t>
      </w:r>
    </w:p>
    <w:p w14:paraId="63FC8C66">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（1）园区道路、园区内建筑物、园区公厕等，负责广场道路保洁、建筑构筑物保洁、公厕保洁、设备设施保洁、垃圾收集，全路范围秩序维护，不文明行为劝阻等；</w:t>
      </w:r>
    </w:p>
    <w:p w14:paraId="4BEF9C0E">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（2）对本项目区域及设施提供保洁服务，每天首次清扫工作应在早上9:00前结束，其他工作时间循环保洁。</w:t>
      </w:r>
    </w:p>
    <w:p w14:paraId="39D32B08">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对本项目中涉及的区域河道及公共河道水域周边，开展各类白色垃圾清理工作，移除各类白色垃圾、杂物及其他废弃物，以维护河道的整洁与美观，提升整体环境质量，保障周边区域的生态平衡与公共卫生安全。</w:t>
      </w:r>
    </w:p>
    <w:p w14:paraId="7F27E558">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4、保洁服务标准</w:t>
      </w:r>
    </w:p>
    <w:tbl>
      <w:tblPr>
        <w:tblStyle w:val="36"/>
        <w:tblW w:w="9713" w:type="dxa"/>
        <w:jc w:val="center"/>
        <w:tblLayout w:type="fixed"/>
        <w:tblCellMar>
          <w:top w:w="0" w:type="dxa"/>
          <w:left w:w="108" w:type="dxa"/>
          <w:bottom w:w="0" w:type="dxa"/>
          <w:right w:w="108" w:type="dxa"/>
        </w:tblCellMar>
      </w:tblPr>
      <w:tblGrid>
        <w:gridCol w:w="1195"/>
        <w:gridCol w:w="837"/>
        <w:gridCol w:w="1538"/>
        <w:gridCol w:w="4198"/>
        <w:gridCol w:w="1945"/>
      </w:tblGrid>
      <w:tr w14:paraId="219876C5">
        <w:tblPrEx>
          <w:tblCellMar>
            <w:top w:w="0" w:type="dxa"/>
            <w:left w:w="108" w:type="dxa"/>
            <w:bottom w:w="0" w:type="dxa"/>
            <w:right w:w="108" w:type="dxa"/>
          </w:tblCellMar>
        </w:tblPrEx>
        <w:trPr>
          <w:trHeight w:val="600" w:hRule="atLeast"/>
          <w:jc w:val="center"/>
        </w:trPr>
        <w:tc>
          <w:tcPr>
            <w:tcW w:w="1195" w:type="dxa"/>
            <w:tcBorders>
              <w:top w:val="single" w:color="auto" w:sz="4" w:space="0"/>
              <w:left w:val="single" w:color="auto" w:sz="4" w:space="0"/>
              <w:bottom w:val="single" w:color="auto" w:sz="4" w:space="0"/>
              <w:right w:val="single" w:color="auto" w:sz="4" w:space="0"/>
            </w:tcBorders>
            <w:shd w:val="clear" w:color="000000" w:fill="D9D9D9"/>
            <w:noWrap w:val="0"/>
            <w:vAlign w:val="center"/>
          </w:tcPr>
          <w:p w14:paraId="3D382B68">
            <w:pPr>
              <w:pStyle w:val="15"/>
              <w:keepNext w:val="0"/>
              <w:keepLines w:val="0"/>
              <w:pageBreakBefore w:val="0"/>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kern w:val="2"/>
                <w:sz w:val="18"/>
                <w:szCs w:val="18"/>
              </w:rPr>
            </w:pPr>
            <w:r>
              <w:rPr>
                <w:rFonts w:hint="eastAsia" w:ascii="宋体" w:hAnsi="宋体" w:eastAsia="宋体" w:cs="宋体"/>
                <w:kern w:val="2"/>
                <w:sz w:val="18"/>
                <w:szCs w:val="18"/>
              </w:rPr>
              <w:t>服务项目</w:t>
            </w:r>
          </w:p>
        </w:tc>
        <w:tc>
          <w:tcPr>
            <w:tcW w:w="837" w:type="dxa"/>
            <w:tcBorders>
              <w:top w:val="single" w:color="auto" w:sz="4" w:space="0"/>
              <w:left w:val="single" w:color="auto" w:sz="4" w:space="0"/>
              <w:bottom w:val="single" w:color="auto" w:sz="4" w:space="0"/>
              <w:right w:val="single" w:color="auto" w:sz="4" w:space="0"/>
            </w:tcBorders>
            <w:shd w:val="clear" w:color="000000" w:fill="D9D9D9"/>
            <w:noWrap w:val="0"/>
            <w:vAlign w:val="center"/>
          </w:tcPr>
          <w:p w14:paraId="1DBE9575">
            <w:pPr>
              <w:pStyle w:val="15"/>
              <w:keepNext w:val="0"/>
              <w:keepLines w:val="0"/>
              <w:pageBreakBefore w:val="0"/>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kern w:val="2"/>
                <w:sz w:val="18"/>
                <w:szCs w:val="18"/>
              </w:rPr>
            </w:pPr>
            <w:r>
              <w:rPr>
                <w:rFonts w:hint="eastAsia" w:ascii="宋体" w:hAnsi="宋体" w:eastAsia="宋体" w:cs="宋体"/>
                <w:kern w:val="2"/>
                <w:sz w:val="18"/>
                <w:szCs w:val="18"/>
              </w:rPr>
              <w:t>序号</w:t>
            </w:r>
          </w:p>
        </w:tc>
        <w:tc>
          <w:tcPr>
            <w:tcW w:w="1538" w:type="dxa"/>
            <w:tcBorders>
              <w:top w:val="single" w:color="auto" w:sz="4" w:space="0"/>
              <w:left w:val="single" w:color="auto" w:sz="4" w:space="0"/>
              <w:bottom w:val="single" w:color="auto" w:sz="4" w:space="0"/>
              <w:right w:val="single" w:color="auto" w:sz="4" w:space="0"/>
            </w:tcBorders>
            <w:shd w:val="clear" w:color="000000" w:fill="D9D9D9"/>
            <w:noWrap w:val="0"/>
            <w:vAlign w:val="center"/>
          </w:tcPr>
          <w:p w14:paraId="4CDC30E4">
            <w:pPr>
              <w:pStyle w:val="15"/>
              <w:keepNext w:val="0"/>
              <w:keepLines w:val="0"/>
              <w:pageBreakBefore w:val="0"/>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kern w:val="2"/>
                <w:sz w:val="18"/>
                <w:szCs w:val="18"/>
              </w:rPr>
            </w:pPr>
            <w:r>
              <w:rPr>
                <w:rFonts w:hint="eastAsia" w:ascii="宋体" w:hAnsi="宋体" w:eastAsia="宋体" w:cs="宋体"/>
                <w:kern w:val="2"/>
                <w:sz w:val="18"/>
                <w:szCs w:val="18"/>
              </w:rPr>
              <w:t>内容</w:t>
            </w:r>
          </w:p>
        </w:tc>
        <w:tc>
          <w:tcPr>
            <w:tcW w:w="4198" w:type="dxa"/>
            <w:tcBorders>
              <w:top w:val="single" w:color="auto" w:sz="4" w:space="0"/>
              <w:left w:val="single" w:color="auto" w:sz="4" w:space="0"/>
              <w:bottom w:val="single" w:color="auto" w:sz="4" w:space="0"/>
              <w:right w:val="single" w:color="auto" w:sz="4" w:space="0"/>
            </w:tcBorders>
            <w:shd w:val="clear" w:color="000000" w:fill="D9D9D9"/>
            <w:noWrap w:val="0"/>
            <w:vAlign w:val="center"/>
          </w:tcPr>
          <w:p w14:paraId="66A79F94">
            <w:pPr>
              <w:pStyle w:val="15"/>
              <w:keepNext w:val="0"/>
              <w:keepLines w:val="0"/>
              <w:pageBreakBefore w:val="0"/>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kern w:val="2"/>
                <w:sz w:val="18"/>
                <w:szCs w:val="18"/>
              </w:rPr>
            </w:pPr>
            <w:r>
              <w:rPr>
                <w:rFonts w:hint="eastAsia" w:ascii="宋体" w:hAnsi="宋体" w:eastAsia="宋体" w:cs="宋体"/>
                <w:kern w:val="2"/>
                <w:sz w:val="18"/>
                <w:szCs w:val="18"/>
              </w:rPr>
              <w:t>服务标准</w:t>
            </w:r>
          </w:p>
        </w:tc>
        <w:tc>
          <w:tcPr>
            <w:tcW w:w="1945" w:type="dxa"/>
            <w:tcBorders>
              <w:top w:val="single" w:color="auto" w:sz="4" w:space="0"/>
              <w:left w:val="single" w:color="auto" w:sz="4" w:space="0"/>
              <w:bottom w:val="single" w:color="auto" w:sz="4" w:space="0"/>
              <w:right w:val="single" w:color="auto" w:sz="4" w:space="0"/>
            </w:tcBorders>
            <w:shd w:val="clear" w:color="000000" w:fill="D9D9D9"/>
            <w:noWrap w:val="0"/>
            <w:vAlign w:val="center"/>
          </w:tcPr>
          <w:p w14:paraId="1C5B50BE">
            <w:pPr>
              <w:pStyle w:val="15"/>
              <w:keepNext w:val="0"/>
              <w:keepLines w:val="0"/>
              <w:pageBreakBefore w:val="0"/>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kern w:val="2"/>
                <w:sz w:val="18"/>
                <w:szCs w:val="18"/>
              </w:rPr>
            </w:pPr>
            <w:r>
              <w:rPr>
                <w:rFonts w:hint="eastAsia" w:ascii="宋体" w:hAnsi="宋体" w:eastAsia="宋体" w:cs="宋体"/>
                <w:kern w:val="2"/>
                <w:sz w:val="18"/>
                <w:szCs w:val="18"/>
              </w:rPr>
              <w:t>客户感受</w:t>
            </w:r>
          </w:p>
        </w:tc>
      </w:tr>
      <w:tr w14:paraId="1EAC8212">
        <w:tblPrEx>
          <w:tblCellMar>
            <w:top w:w="0" w:type="dxa"/>
            <w:left w:w="108" w:type="dxa"/>
            <w:bottom w:w="0" w:type="dxa"/>
            <w:right w:w="108" w:type="dxa"/>
          </w:tblCellMar>
        </w:tblPrEx>
        <w:trPr>
          <w:trHeight w:val="600" w:hRule="atLeast"/>
          <w:jc w:val="center"/>
        </w:trPr>
        <w:tc>
          <w:tcPr>
            <w:tcW w:w="1195" w:type="dxa"/>
            <w:vMerge w:val="restart"/>
            <w:tcBorders>
              <w:top w:val="single" w:color="auto" w:sz="4" w:space="0"/>
              <w:left w:val="single" w:color="auto" w:sz="4" w:space="0"/>
              <w:right w:val="single" w:color="auto" w:sz="4" w:space="0"/>
            </w:tcBorders>
            <w:shd w:val="clear" w:color="auto" w:fill="auto"/>
            <w:noWrap w:val="0"/>
            <w:vAlign w:val="center"/>
          </w:tcPr>
          <w:p w14:paraId="47BB1E75">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p w14:paraId="0DE7BE46">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p w14:paraId="2C61A4F1">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p w14:paraId="366FA4C0">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p w14:paraId="7B252EAD">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p w14:paraId="6E5A1430">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p w14:paraId="7EB322D3">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室外公共区域</w:t>
            </w: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B2F973">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1</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E0D137">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道路地面</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2D725F">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每天巡视保洁两次，每月冲洗一次。路面目视垃圾、烟头、积水停留时间不超过4小时。</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2CA42A">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目视道路干净无尘灰、无杂物、无积水</w:t>
            </w:r>
          </w:p>
        </w:tc>
      </w:tr>
      <w:tr w14:paraId="09438318">
        <w:tblPrEx>
          <w:tblCellMar>
            <w:top w:w="0" w:type="dxa"/>
            <w:left w:w="108" w:type="dxa"/>
            <w:bottom w:w="0" w:type="dxa"/>
            <w:right w:w="108" w:type="dxa"/>
          </w:tblCellMar>
        </w:tblPrEx>
        <w:trPr>
          <w:trHeight w:val="735" w:hRule="atLeast"/>
          <w:jc w:val="center"/>
        </w:trPr>
        <w:tc>
          <w:tcPr>
            <w:tcW w:w="1195" w:type="dxa"/>
            <w:vMerge w:val="continue"/>
            <w:tcBorders>
              <w:left w:val="single" w:color="auto" w:sz="4" w:space="0"/>
              <w:right w:val="single" w:color="auto" w:sz="4" w:space="0"/>
            </w:tcBorders>
            <w:shd w:val="clear" w:color="auto" w:fill="auto"/>
            <w:noWrap w:val="0"/>
            <w:vAlign w:val="center"/>
          </w:tcPr>
          <w:p w14:paraId="604CCB47">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9B67C7">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2</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09C744">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明沟</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611E24">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明沟每周清扫一次，每天循环保洁，发现垃圾杂物及时清除。</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D2EDDD">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干净</w:t>
            </w:r>
          </w:p>
        </w:tc>
      </w:tr>
      <w:tr w14:paraId="656FAD73">
        <w:tblPrEx>
          <w:tblCellMar>
            <w:top w:w="0" w:type="dxa"/>
            <w:left w:w="108" w:type="dxa"/>
            <w:bottom w:w="0" w:type="dxa"/>
            <w:right w:w="108" w:type="dxa"/>
          </w:tblCellMar>
        </w:tblPrEx>
        <w:trPr>
          <w:trHeight w:val="600" w:hRule="atLeast"/>
          <w:jc w:val="center"/>
        </w:trPr>
        <w:tc>
          <w:tcPr>
            <w:tcW w:w="1195" w:type="dxa"/>
            <w:vMerge w:val="continue"/>
            <w:tcBorders>
              <w:left w:val="single" w:color="auto" w:sz="4" w:space="0"/>
              <w:right w:val="single" w:color="auto" w:sz="4" w:space="0"/>
            </w:tcBorders>
            <w:shd w:val="clear" w:color="auto" w:fill="auto"/>
            <w:noWrap w:val="0"/>
            <w:vAlign w:val="center"/>
          </w:tcPr>
          <w:p w14:paraId="00B13898">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0C581B">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3</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EE6BE1">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公共卫生间</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E7319B">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每4小时清理一次卫生间，室内保持通风，空气清新，地面清洁、干燥，</w:t>
            </w:r>
            <w:r>
              <w:rPr>
                <w:rFonts w:hint="eastAsia" w:ascii="宋体" w:hAnsi="宋体" w:eastAsia="宋体" w:cs="宋体"/>
                <w:kern w:val="2"/>
                <w:sz w:val="18"/>
                <w:szCs w:val="18"/>
                <w:lang w:eastAsia="zh-CN"/>
              </w:rPr>
              <w:t>坐便器</w:t>
            </w:r>
            <w:r>
              <w:rPr>
                <w:rFonts w:hint="eastAsia" w:ascii="宋体" w:hAnsi="宋体" w:eastAsia="宋体" w:cs="宋体"/>
                <w:kern w:val="2"/>
                <w:sz w:val="18"/>
                <w:szCs w:val="18"/>
              </w:rPr>
              <w:t>周围无水迹</w:t>
            </w:r>
            <w:r>
              <w:rPr>
                <w:rFonts w:hint="eastAsia" w:ascii="宋体" w:hAnsi="宋体" w:eastAsia="宋体" w:cs="宋体"/>
                <w:kern w:val="2"/>
                <w:sz w:val="18"/>
                <w:szCs w:val="18"/>
                <w:lang w:eastAsia="zh-CN"/>
              </w:rPr>
              <w:t>，无</w:t>
            </w:r>
            <w:r>
              <w:rPr>
                <w:rFonts w:hint="eastAsia" w:ascii="宋体" w:hAnsi="宋体" w:eastAsia="宋体" w:cs="宋体"/>
                <w:kern w:val="2"/>
                <w:sz w:val="18"/>
                <w:szCs w:val="18"/>
              </w:rPr>
              <w:t>污渍，无堵塞。</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17C593">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干净清新</w:t>
            </w:r>
          </w:p>
        </w:tc>
      </w:tr>
      <w:tr w14:paraId="0B16963B">
        <w:tblPrEx>
          <w:tblCellMar>
            <w:top w:w="0" w:type="dxa"/>
            <w:left w:w="108" w:type="dxa"/>
            <w:bottom w:w="0" w:type="dxa"/>
            <w:right w:w="108" w:type="dxa"/>
          </w:tblCellMar>
        </w:tblPrEx>
        <w:trPr>
          <w:trHeight w:val="825" w:hRule="atLeast"/>
          <w:jc w:val="center"/>
        </w:trPr>
        <w:tc>
          <w:tcPr>
            <w:tcW w:w="1195" w:type="dxa"/>
            <w:vMerge w:val="continue"/>
            <w:tcBorders>
              <w:left w:val="single" w:color="auto" w:sz="4" w:space="0"/>
              <w:right w:val="single" w:color="auto" w:sz="4" w:space="0"/>
            </w:tcBorders>
            <w:shd w:val="clear" w:color="auto" w:fill="auto"/>
            <w:noWrap w:val="0"/>
            <w:vAlign w:val="center"/>
          </w:tcPr>
          <w:p w14:paraId="3109ACE5">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D611CD">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4</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C9C1F7">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垃圾箱（桶）、果皮箱</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CF5E80">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垃圾桶夏季每周清洗、换垃圾袋一次，冬季每周清洗、换垃圾袋一次，果皮箱每天清理1次。</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2C6E0A">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垃圾无漫溢，垃圾箱（桶）、果皮箱周围地面干净整洁、无垃圾、无污迹、无异味</w:t>
            </w:r>
          </w:p>
        </w:tc>
      </w:tr>
      <w:tr w14:paraId="69E4F972">
        <w:tblPrEx>
          <w:tblCellMar>
            <w:top w:w="0" w:type="dxa"/>
            <w:left w:w="108" w:type="dxa"/>
            <w:bottom w:w="0" w:type="dxa"/>
            <w:right w:w="108" w:type="dxa"/>
          </w:tblCellMar>
        </w:tblPrEx>
        <w:trPr>
          <w:trHeight w:val="600" w:hRule="atLeast"/>
          <w:jc w:val="center"/>
        </w:trPr>
        <w:tc>
          <w:tcPr>
            <w:tcW w:w="1195" w:type="dxa"/>
            <w:vMerge w:val="continue"/>
            <w:tcBorders>
              <w:left w:val="single" w:color="auto" w:sz="4" w:space="0"/>
              <w:right w:val="single" w:color="auto" w:sz="4" w:space="0"/>
            </w:tcBorders>
            <w:shd w:val="clear" w:color="auto" w:fill="auto"/>
            <w:noWrap w:val="0"/>
            <w:vAlign w:val="center"/>
          </w:tcPr>
          <w:p w14:paraId="74B29ED3">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88B75C">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5</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002C58">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公共灯具、宣传栏</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B4EEC8">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每天上午擦抹一次，2米以上部分每月擦抹、除尘一次。</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A68EA7">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目视无灰尘，光亮清洁，</w:t>
            </w:r>
          </w:p>
        </w:tc>
      </w:tr>
      <w:tr w14:paraId="15365BFD">
        <w:tblPrEx>
          <w:tblCellMar>
            <w:top w:w="0" w:type="dxa"/>
            <w:left w:w="108" w:type="dxa"/>
            <w:bottom w:w="0" w:type="dxa"/>
            <w:right w:w="108" w:type="dxa"/>
          </w:tblCellMar>
        </w:tblPrEx>
        <w:trPr>
          <w:trHeight w:val="600" w:hRule="atLeast"/>
          <w:jc w:val="center"/>
        </w:trPr>
        <w:tc>
          <w:tcPr>
            <w:tcW w:w="1195" w:type="dxa"/>
            <w:vMerge w:val="continue"/>
            <w:tcBorders>
              <w:left w:val="single" w:color="auto" w:sz="4" w:space="0"/>
              <w:right w:val="single" w:color="auto" w:sz="4" w:space="0"/>
            </w:tcBorders>
            <w:shd w:val="clear" w:color="auto" w:fill="auto"/>
            <w:noWrap w:val="0"/>
            <w:vAlign w:val="center"/>
          </w:tcPr>
          <w:p w14:paraId="4D350F40">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824981">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6</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3FFDE9">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非机动车停车场</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EA223A">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地面清扫一次，每月冲洗一次；采光玻璃每月擦抹一次。</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EF829E">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地面无杂物、设施表面无积灰</w:t>
            </w:r>
          </w:p>
        </w:tc>
      </w:tr>
      <w:tr w14:paraId="2F01C0CD">
        <w:tblPrEx>
          <w:tblCellMar>
            <w:top w:w="0" w:type="dxa"/>
            <w:left w:w="108" w:type="dxa"/>
            <w:bottom w:w="0" w:type="dxa"/>
            <w:right w:w="108" w:type="dxa"/>
          </w:tblCellMar>
        </w:tblPrEx>
        <w:trPr>
          <w:trHeight w:val="795" w:hRule="atLeast"/>
          <w:jc w:val="center"/>
        </w:trPr>
        <w:tc>
          <w:tcPr>
            <w:tcW w:w="1195" w:type="dxa"/>
            <w:vMerge w:val="continue"/>
            <w:tcBorders>
              <w:left w:val="single" w:color="auto" w:sz="4" w:space="0"/>
              <w:right w:val="single" w:color="auto" w:sz="4" w:space="0"/>
            </w:tcBorders>
            <w:shd w:val="clear" w:color="auto" w:fill="auto"/>
            <w:noWrap w:val="0"/>
            <w:vAlign w:val="center"/>
          </w:tcPr>
          <w:p w14:paraId="123D1123">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CF8EB9">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7</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278432">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汽车停车场</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CEAC68">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出入口坡道每天清扫一次，每周冲洗一次。地面每天循环保洁，确保目视无垃圾、积水、积灰，各管道、机械车位器材每周擦抹、掸灰一次。</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C5E9E2">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清洁</w:t>
            </w:r>
          </w:p>
        </w:tc>
      </w:tr>
      <w:tr w14:paraId="7CDC9500">
        <w:tblPrEx>
          <w:tblCellMar>
            <w:top w:w="0" w:type="dxa"/>
            <w:left w:w="108" w:type="dxa"/>
            <w:bottom w:w="0" w:type="dxa"/>
            <w:right w:w="108" w:type="dxa"/>
          </w:tblCellMar>
        </w:tblPrEx>
        <w:trPr>
          <w:trHeight w:val="975" w:hRule="atLeast"/>
          <w:jc w:val="center"/>
        </w:trPr>
        <w:tc>
          <w:tcPr>
            <w:tcW w:w="1195" w:type="dxa"/>
            <w:vMerge w:val="continue"/>
            <w:tcBorders>
              <w:left w:val="single" w:color="auto" w:sz="4" w:space="0"/>
              <w:right w:val="single" w:color="auto" w:sz="4" w:space="0"/>
            </w:tcBorders>
            <w:shd w:val="clear" w:color="auto" w:fill="auto"/>
            <w:noWrap w:val="0"/>
            <w:vAlign w:val="center"/>
          </w:tcPr>
          <w:p w14:paraId="507D126D">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4E3CD1">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8</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0EC026">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外围各类表箱</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EE9D8A">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每日上午擦抹一次。</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5C4ABA">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无浮灰</w:t>
            </w:r>
          </w:p>
        </w:tc>
      </w:tr>
      <w:tr w14:paraId="5921CCD6">
        <w:tblPrEx>
          <w:tblCellMar>
            <w:top w:w="0" w:type="dxa"/>
            <w:left w:w="108" w:type="dxa"/>
            <w:bottom w:w="0" w:type="dxa"/>
            <w:right w:w="108" w:type="dxa"/>
          </w:tblCellMar>
        </w:tblPrEx>
        <w:trPr>
          <w:trHeight w:val="600" w:hRule="atLeast"/>
          <w:jc w:val="center"/>
        </w:trPr>
        <w:tc>
          <w:tcPr>
            <w:tcW w:w="1195" w:type="dxa"/>
            <w:vMerge w:val="continue"/>
            <w:tcBorders>
              <w:left w:val="single" w:color="auto" w:sz="4" w:space="0"/>
              <w:right w:val="single" w:color="auto" w:sz="4" w:space="0"/>
            </w:tcBorders>
            <w:shd w:val="clear" w:color="auto" w:fill="auto"/>
            <w:noWrap w:val="0"/>
            <w:vAlign w:val="center"/>
          </w:tcPr>
          <w:p w14:paraId="5EFC0B2A">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7A0A30">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9</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7BF316">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雕塑、装饰等小品</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3DED4D">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雕塑、装饰物每星期掸尘一次。</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A69E83">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无积灰、无蛛网</w:t>
            </w:r>
          </w:p>
        </w:tc>
      </w:tr>
      <w:tr w14:paraId="2633132D">
        <w:tblPrEx>
          <w:tblCellMar>
            <w:top w:w="0" w:type="dxa"/>
            <w:left w:w="108" w:type="dxa"/>
            <w:bottom w:w="0" w:type="dxa"/>
            <w:right w:w="108" w:type="dxa"/>
          </w:tblCellMar>
        </w:tblPrEx>
        <w:trPr>
          <w:trHeight w:val="600" w:hRule="atLeast"/>
          <w:jc w:val="center"/>
        </w:trPr>
        <w:tc>
          <w:tcPr>
            <w:tcW w:w="1195" w:type="dxa"/>
            <w:vMerge w:val="continue"/>
            <w:tcBorders>
              <w:left w:val="single" w:color="auto" w:sz="4" w:space="0"/>
              <w:bottom w:val="single" w:color="auto" w:sz="4" w:space="0"/>
              <w:right w:val="single" w:color="auto" w:sz="4" w:space="0"/>
            </w:tcBorders>
            <w:shd w:val="clear" w:color="auto" w:fill="auto"/>
            <w:noWrap w:val="0"/>
            <w:vAlign w:val="center"/>
          </w:tcPr>
          <w:p w14:paraId="21128C1A">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C0735A">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default" w:ascii="宋体" w:hAnsi="宋体" w:eastAsia="宋体" w:cs="宋体"/>
                <w:kern w:val="2"/>
                <w:sz w:val="18"/>
                <w:szCs w:val="18"/>
                <w:lang w:val="en-US" w:eastAsia="zh-CN"/>
              </w:rPr>
            </w:pPr>
            <w:r>
              <w:rPr>
                <w:rFonts w:hint="eastAsia" w:ascii="宋体" w:hAnsi="宋体" w:eastAsia="宋体" w:cs="宋体"/>
                <w:kern w:val="2"/>
                <w:sz w:val="18"/>
                <w:szCs w:val="18"/>
                <w:lang w:val="en-US" w:eastAsia="zh-CN"/>
              </w:rPr>
              <w:t>10</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74529C">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lang w:val="en-US" w:eastAsia="zh-CN"/>
              </w:rPr>
            </w:pPr>
            <w:r>
              <w:rPr>
                <w:rFonts w:hint="eastAsia" w:ascii="宋体" w:hAnsi="宋体" w:eastAsia="宋体" w:cs="宋体"/>
                <w:kern w:val="2"/>
                <w:sz w:val="18"/>
                <w:szCs w:val="18"/>
                <w:lang w:val="en-US" w:eastAsia="zh-CN"/>
              </w:rPr>
              <w:t>河道</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A6301F">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河道管理区域沿岸及周边</w:t>
            </w:r>
            <w:r>
              <w:rPr>
                <w:rFonts w:hint="eastAsia" w:ascii="宋体" w:hAnsi="宋体" w:eastAsia="宋体" w:cs="宋体"/>
                <w:kern w:val="2"/>
                <w:sz w:val="18"/>
                <w:szCs w:val="18"/>
                <w:lang w:val="en-US" w:eastAsia="zh-CN"/>
              </w:rPr>
              <w:t>每周清理一次</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547741">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无烟头、杂物、白色垃圾等杂物</w:t>
            </w:r>
          </w:p>
        </w:tc>
      </w:tr>
      <w:tr w14:paraId="59D90C12">
        <w:tblPrEx>
          <w:tblCellMar>
            <w:top w:w="0" w:type="dxa"/>
            <w:left w:w="108" w:type="dxa"/>
            <w:bottom w:w="0" w:type="dxa"/>
            <w:right w:w="108" w:type="dxa"/>
          </w:tblCellMar>
        </w:tblPrEx>
        <w:trPr>
          <w:trHeight w:val="600" w:hRule="atLeast"/>
          <w:jc w:val="center"/>
        </w:trPr>
        <w:tc>
          <w:tcPr>
            <w:tcW w:w="11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E2C895">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其他</w:t>
            </w: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774058">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10</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BF8529">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特殊活动（室外活动）保洁</w:t>
            </w: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A3E1EF">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保持活动区域地面干净无杂物。擦拭活动用的贵重、陈列品时，切记要小心、抓稳、轻抹、轻放，一般情况下不得使用有腐蚀性的清洁剂。</w:t>
            </w:r>
          </w:p>
          <w:p w14:paraId="06955F8A">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由于受时间的制约，需在规定时间内完成作业，并制定相应周密的清洁计划，实现设计好作业内容、作业路线、作业程序、作业时间，保洁人员按计划作业，动作利索快捷。</w:t>
            </w:r>
          </w:p>
          <w:p w14:paraId="3B0861E7">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准备足够的清洁工具，以减少往返清洗时间，提高短时间内突击作业的效率。</w:t>
            </w:r>
          </w:p>
          <w:p w14:paraId="65F07287">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在活动前一天完成所有地面集中清洗等大型作业，活动结束后也进行集中扫尾工作。</w:t>
            </w:r>
          </w:p>
          <w:p w14:paraId="39380BB1">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活动时不间断巡视周围，所需要清理的地方及时打扫，清洁工具按规范摆放，遇</w:t>
            </w:r>
            <w:r>
              <w:rPr>
                <w:rFonts w:hint="eastAsia" w:ascii="宋体" w:hAnsi="宋体" w:eastAsia="宋体" w:cs="宋体"/>
                <w:kern w:val="2"/>
                <w:sz w:val="18"/>
                <w:szCs w:val="18"/>
                <w:lang w:eastAsia="zh-CN"/>
              </w:rPr>
              <w:t>采购人</w:t>
            </w:r>
            <w:r>
              <w:rPr>
                <w:rFonts w:hint="eastAsia" w:ascii="宋体" w:hAnsi="宋体" w:eastAsia="宋体" w:cs="宋体"/>
                <w:kern w:val="2"/>
                <w:sz w:val="18"/>
                <w:szCs w:val="18"/>
              </w:rPr>
              <w:t>/承租方（或游客）礼貌相待，工作时</w:t>
            </w:r>
            <w:r>
              <w:rPr>
                <w:rFonts w:hint="eastAsia" w:ascii="宋体" w:hAnsi="宋体" w:eastAsia="宋体" w:cs="宋体"/>
                <w:kern w:val="2"/>
                <w:sz w:val="18"/>
                <w:szCs w:val="18"/>
                <w:lang w:eastAsia="zh-CN"/>
              </w:rPr>
              <w:t>严禁</w:t>
            </w:r>
            <w:r>
              <w:rPr>
                <w:rFonts w:hint="eastAsia" w:ascii="宋体" w:hAnsi="宋体" w:eastAsia="宋体" w:cs="宋体"/>
                <w:kern w:val="2"/>
                <w:sz w:val="18"/>
                <w:szCs w:val="18"/>
              </w:rPr>
              <w:t>聊天、嬉笑。</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351347">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效率、专用</w:t>
            </w:r>
          </w:p>
        </w:tc>
      </w:tr>
      <w:tr w14:paraId="1598F5A4">
        <w:tblPrEx>
          <w:tblCellMar>
            <w:top w:w="0" w:type="dxa"/>
            <w:left w:w="108" w:type="dxa"/>
            <w:bottom w:w="0" w:type="dxa"/>
            <w:right w:w="108" w:type="dxa"/>
          </w:tblCellMar>
        </w:tblPrEx>
        <w:trPr>
          <w:trHeight w:val="2765" w:hRule="atLeast"/>
          <w:jc w:val="center"/>
        </w:trPr>
        <w:tc>
          <w:tcPr>
            <w:tcW w:w="11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3ED62E">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作业规范</w:t>
            </w:r>
          </w:p>
        </w:tc>
        <w:tc>
          <w:tcPr>
            <w:tcW w:w="8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0FC5D2">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lang w:val="en-US" w:eastAsia="zh-CN"/>
              </w:rPr>
            </w:pPr>
            <w:r>
              <w:rPr>
                <w:rFonts w:hint="eastAsia" w:ascii="宋体" w:hAnsi="宋体" w:eastAsia="宋体" w:cs="宋体"/>
                <w:kern w:val="2"/>
                <w:sz w:val="18"/>
                <w:szCs w:val="18"/>
                <w:lang w:val="en-US" w:eastAsia="zh-CN"/>
              </w:rPr>
              <w:t>11</w:t>
            </w:r>
          </w:p>
        </w:tc>
        <w:tc>
          <w:tcPr>
            <w:tcW w:w="1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744E08">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kern w:val="2"/>
                <w:sz w:val="18"/>
                <w:szCs w:val="18"/>
              </w:rPr>
            </w:pPr>
          </w:p>
        </w:tc>
        <w:tc>
          <w:tcPr>
            <w:tcW w:w="4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819660">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1、统一着工服、工牌上岗，着装干净、清爽，精神面貌好，作业动作干练、利索；</w:t>
            </w:r>
            <w:r>
              <w:rPr>
                <w:rFonts w:hint="eastAsia" w:ascii="宋体" w:hAnsi="宋体" w:eastAsia="宋体" w:cs="宋体"/>
                <w:kern w:val="2"/>
                <w:sz w:val="18"/>
                <w:szCs w:val="18"/>
              </w:rPr>
              <w:br w:type="textWrapping"/>
            </w:r>
            <w:r>
              <w:rPr>
                <w:rFonts w:hint="eastAsia" w:ascii="宋体" w:hAnsi="宋体" w:eastAsia="宋体" w:cs="宋体"/>
                <w:kern w:val="2"/>
                <w:sz w:val="18"/>
                <w:szCs w:val="18"/>
              </w:rPr>
              <w:t>2、工具放置规范，上下班进行班前班后会，列队进入工作地点；</w:t>
            </w:r>
            <w:r>
              <w:rPr>
                <w:rFonts w:hint="eastAsia" w:ascii="宋体" w:hAnsi="宋体" w:eastAsia="宋体" w:cs="宋体"/>
                <w:kern w:val="2"/>
                <w:sz w:val="18"/>
                <w:szCs w:val="18"/>
              </w:rPr>
              <w:br w:type="textWrapping"/>
            </w:r>
            <w:r>
              <w:rPr>
                <w:rFonts w:hint="eastAsia" w:ascii="宋体" w:hAnsi="宋体" w:eastAsia="宋体" w:cs="宋体"/>
                <w:kern w:val="2"/>
                <w:sz w:val="18"/>
                <w:szCs w:val="18"/>
              </w:rPr>
              <w:t>3、不得在工作期间吃零食，谈八卦；</w:t>
            </w:r>
            <w:r>
              <w:rPr>
                <w:rFonts w:hint="eastAsia" w:ascii="宋体" w:hAnsi="宋体" w:eastAsia="宋体" w:cs="宋体"/>
                <w:kern w:val="2"/>
                <w:sz w:val="18"/>
                <w:szCs w:val="18"/>
              </w:rPr>
              <w:br w:type="textWrapping"/>
            </w:r>
            <w:r>
              <w:rPr>
                <w:rFonts w:hint="eastAsia" w:ascii="宋体" w:hAnsi="宋体" w:eastAsia="宋体" w:cs="宋体"/>
                <w:kern w:val="2"/>
                <w:sz w:val="18"/>
                <w:szCs w:val="18"/>
              </w:rPr>
              <w:t>4、全员保洁意识，做到人过地净；</w:t>
            </w:r>
            <w:r>
              <w:rPr>
                <w:rFonts w:hint="eastAsia" w:ascii="宋体" w:hAnsi="宋体" w:eastAsia="宋体" w:cs="宋体"/>
                <w:kern w:val="2"/>
                <w:sz w:val="18"/>
                <w:szCs w:val="18"/>
              </w:rPr>
              <w:br w:type="textWrapping"/>
            </w:r>
            <w:r>
              <w:rPr>
                <w:rFonts w:hint="eastAsia" w:ascii="宋体" w:hAnsi="宋体" w:eastAsia="宋体" w:cs="宋体"/>
                <w:kern w:val="2"/>
                <w:sz w:val="18"/>
                <w:szCs w:val="18"/>
              </w:rPr>
              <w:t>5、全员安防意识，发现安全隐患、可疑人员、需维修的设施设备及时上报管家；</w:t>
            </w:r>
          </w:p>
          <w:p w14:paraId="6A71D30E">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6、保持施工现场的卫生及设备良好，不刮花石面，不</w:t>
            </w:r>
            <w:r>
              <w:rPr>
                <w:rFonts w:hint="eastAsia" w:ascii="宋体" w:hAnsi="宋体" w:eastAsia="宋体" w:cs="宋体"/>
                <w:kern w:val="2"/>
                <w:sz w:val="18"/>
                <w:szCs w:val="18"/>
                <w:lang w:eastAsia="zh-CN"/>
              </w:rPr>
              <w:t>玷污</w:t>
            </w:r>
            <w:r>
              <w:rPr>
                <w:rFonts w:hint="eastAsia" w:ascii="宋体" w:hAnsi="宋体" w:eastAsia="宋体" w:cs="宋体"/>
                <w:kern w:val="2"/>
                <w:sz w:val="18"/>
                <w:szCs w:val="18"/>
              </w:rPr>
              <w:t>地面。</w:t>
            </w:r>
          </w:p>
        </w:tc>
        <w:tc>
          <w:tcPr>
            <w:tcW w:w="19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D341CB">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kern w:val="2"/>
                <w:sz w:val="18"/>
                <w:szCs w:val="18"/>
              </w:rPr>
            </w:pPr>
            <w:r>
              <w:rPr>
                <w:rFonts w:hint="eastAsia" w:ascii="宋体" w:hAnsi="宋体" w:eastAsia="宋体" w:cs="宋体"/>
                <w:kern w:val="2"/>
                <w:sz w:val="18"/>
                <w:szCs w:val="18"/>
              </w:rPr>
              <w:t>队伍规范、团队协作</w:t>
            </w:r>
          </w:p>
        </w:tc>
      </w:tr>
    </w:tbl>
    <w:p w14:paraId="5F91E918">
      <w:pPr>
        <w:pStyle w:val="15"/>
        <w:keepNext w:val="0"/>
        <w:keepLines w:val="0"/>
        <w:pageBreakBefore w:val="0"/>
        <w:numPr>
          <w:ilvl w:val="0"/>
          <w:numId w:val="0"/>
        </w:numPr>
        <w:kinsoku/>
        <w:wordWrap/>
        <w:overflowPunct/>
        <w:topLinePunct w:val="0"/>
        <w:bidi w:val="0"/>
        <w:snapToGrid/>
        <w:spacing w:line="360" w:lineRule="auto"/>
        <w:ind w:left="0" w:leftChars="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bidi="ar-SA"/>
        </w:rPr>
        <w:t>5、</w:t>
      </w:r>
      <w:r>
        <w:rPr>
          <w:rFonts w:hint="eastAsia" w:ascii="宋体" w:hAnsi="宋体" w:eastAsia="宋体" w:cs="宋体"/>
          <w:kern w:val="2"/>
          <w:sz w:val="24"/>
          <w:szCs w:val="24"/>
          <w:lang w:val="en-US" w:eastAsia="zh-CN"/>
        </w:rPr>
        <w:t>绿化养护服务内容</w:t>
      </w:r>
    </w:p>
    <w:p w14:paraId="7873B884">
      <w:pPr>
        <w:pStyle w:val="15"/>
        <w:keepNext w:val="0"/>
        <w:keepLines w:val="0"/>
        <w:pageBreakBefore w:val="0"/>
        <w:kinsoku/>
        <w:wordWrap/>
        <w:overflowPunct/>
        <w:topLinePunct w:val="0"/>
        <w:bidi w:val="0"/>
        <w:snapToGrid/>
        <w:spacing w:line="360" w:lineRule="auto"/>
        <w:ind w:left="0" w:firstLine="480" w:firstLineChars="200"/>
        <w:textAlignment w:val="auto"/>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绿化养护服务内容主要包括：本项目服务范围内绿化的养护，具体详见绿化养护服务的服务标准。</w:t>
      </w:r>
    </w:p>
    <w:tbl>
      <w:tblPr>
        <w:tblStyle w:val="37"/>
        <w:tblpPr w:leftFromText="180" w:rightFromText="180" w:vertAnchor="text" w:horzAnchor="page" w:tblpXSpec="center" w:tblpY="452"/>
        <w:tblOverlap w:val="never"/>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5"/>
        <w:gridCol w:w="7145"/>
      </w:tblGrid>
      <w:tr w14:paraId="09E1C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5E4EAE0C">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b w:val="0"/>
                <w:bCs w:val="0"/>
                <w:spacing w:val="0"/>
                <w:kern w:val="2"/>
                <w:sz w:val="18"/>
                <w:szCs w:val="18"/>
              </w:rPr>
              <w:t>类别</w:t>
            </w:r>
          </w:p>
        </w:tc>
        <w:tc>
          <w:tcPr>
            <w:tcW w:w="7145" w:type="dxa"/>
            <w:vAlign w:val="center"/>
          </w:tcPr>
          <w:p w14:paraId="1FC777EB">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b w:val="0"/>
                <w:bCs w:val="0"/>
                <w:spacing w:val="0"/>
                <w:kern w:val="2"/>
                <w:sz w:val="18"/>
                <w:szCs w:val="18"/>
              </w:rPr>
              <w:t>标准区域(二级)</w:t>
            </w:r>
          </w:p>
        </w:tc>
      </w:tr>
      <w:tr w14:paraId="0BBD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39819778">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乔木</w:t>
            </w:r>
          </w:p>
        </w:tc>
        <w:tc>
          <w:tcPr>
            <w:tcW w:w="7145" w:type="dxa"/>
            <w:vAlign w:val="center"/>
          </w:tcPr>
          <w:p w14:paraId="4113D0E6">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生长正常，树冠完整，树形较优美。分枝点较合适，基本无枯枝死权；主侧枝分布匀称、数量较适宜；修剪及时、合理，内膛不乱，通风透光；树木基本不歪斜(造型树木除外)。每年常规修剪不少于1次。叶片大小、颜色正常，无明显黄叶、焦叶、卷叶。应视干旱情况，不定期进行浇水，夏季浇水安排在早晚，冬季浇水安排在午后。基本无枯死株。基本无可视的病虫危害症状，被害株率≤5%。</w:t>
            </w:r>
          </w:p>
        </w:tc>
      </w:tr>
      <w:tr w14:paraId="556A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3C31232D">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行道树</w:t>
            </w:r>
          </w:p>
        </w:tc>
        <w:tc>
          <w:tcPr>
            <w:tcW w:w="7145" w:type="dxa"/>
            <w:vAlign w:val="center"/>
          </w:tcPr>
          <w:p w14:paraId="6B2D9F8F">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树形、树冠舒展，分枝点偏差在正负20cm内；保留2级及以上分枝，长势良好，无明显徒长枝、病虫枝、交叉枝、重叠枝、下垂枝、扭伤枝、萌蘖枝、枯枝以及烂头等。每年常规修剪不少于1次。补植的行道树品种与原行道树一致，规格适宜，一般为：落叶树种的胸径在</w:t>
            </w:r>
            <w:r>
              <w:rPr>
                <w:rFonts w:hint="eastAsia" w:ascii="宋体" w:hAnsi="宋体" w:eastAsia="宋体" w:cs="宋体"/>
                <w:kern w:val="2"/>
                <w:sz w:val="18"/>
                <w:szCs w:val="18"/>
              </w:rPr>
              <w:t>15cm以下，常绿树种的胸径在12cm以</w:t>
            </w:r>
            <w:r>
              <w:rPr>
                <w:rFonts w:hint="eastAsia" w:ascii="宋体" w:hAnsi="宋体" w:eastAsia="宋体" w:cs="宋体"/>
                <w:spacing w:val="0"/>
                <w:kern w:val="2"/>
                <w:sz w:val="18"/>
                <w:szCs w:val="18"/>
              </w:rPr>
              <w:t>下。基本无可视的病虫危害症状，被害株率≤5%。</w:t>
            </w:r>
          </w:p>
        </w:tc>
      </w:tr>
      <w:tr w14:paraId="338A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4D4FBB88">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花灌木</w:t>
            </w:r>
          </w:p>
        </w:tc>
        <w:tc>
          <w:tcPr>
            <w:tcW w:w="7145" w:type="dxa"/>
            <w:vAlign w:val="center"/>
          </w:tcPr>
          <w:p w14:paraId="1B3ED3EF">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花灌木株型丰满，开花适时，花后修剪及时合理。基本无可视的病虫危害症状，被害株率≤5%。</w:t>
            </w:r>
          </w:p>
        </w:tc>
      </w:tr>
      <w:tr w14:paraId="79CD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0B7A2418">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绿篱(模纹、色块)等</w:t>
            </w:r>
          </w:p>
        </w:tc>
        <w:tc>
          <w:tcPr>
            <w:tcW w:w="7145" w:type="dxa"/>
            <w:vAlign w:val="center"/>
          </w:tcPr>
          <w:p w14:paraId="0B2A9437">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kern w:val="2"/>
                <w:sz w:val="18"/>
                <w:szCs w:val="18"/>
              </w:rPr>
              <w:t>绿篱、模纹和色块等修剪较及时，枝</w:t>
            </w:r>
            <w:r>
              <w:rPr>
                <w:rFonts w:hint="eastAsia" w:ascii="宋体" w:hAnsi="宋体" w:eastAsia="宋体" w:cs="宋体"/>
                <w:spacing w:val="0"/>
                <w:kern w:val="2"/>
                <w:sz w:val="18"/>
                <w:szCs w:val="18"/>
              </w:rPr>
              <w:t>叶茂密，造型优美。基本无可视的病虫危害症状，被害株率≤5%。</w:t>
            </w:r>
          </w:p>
        </w:tc>
      </w:tr>
      <w:tr w14:paraId="27AB7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0208B0E3">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草坪</w:t>
            </w:r>
          </w:p>
        </w:tc>
        <w:tc>
          <w:tcPr>
            <w:tcW w:w="7145" w:type="dxa"/>
            <w:vAlign w:val="center"/>
          </w:tcPr>
          <w:p w14:paraId="3B793C13">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草坪覆盖率95%以上，单块斑秃面积不超过0.2m2或10m2绿地内斑秃面积不超过3块；黑麦草补播及时，草坪内杂草率≤10%。草坪绿色期：冷季型草坪不得少于260天，暖季型草坪不得少于170天。基本无可视的病虫危害症状，被害面</w:t>
            </w:r>
            <w:r>
              <w:rPr>
                <w:rFonts w:hint="eastAsia" w:ascii="宋体" w:hAnsi="宋体" w:eastAsia="宋体" w:cs="宋体"/>
                <w:kern w:val="2"/>
                <w:sz w:val="18"/>
                <w:szCs w:val="18"/>
              </w:rPr>
              <w:t>积≤5%,地下害虫≤5头/m2。</w:t>
            </w:r>
          </w:p>
        </w:tc>
      </w:tr>
      <w:tr w14:paraId="446D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46E4502F">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攀缘植物</w:t>
            </w:r>
          </w:p>
        </w:tc>
        <w:tc>
          <w:tcPr>
            <w:tcW w:w="7145" w:type="dxa"/>
            <w:vAlign w:val="center"/>
          </w:tcPr>
          <w:p w14:paraId="31067802">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根据不同植物的攀缘特点，能及时采取相应的技术措施，生长良好。及时清除枯枝，疏删老弱藤蔓；开花的攀缘植物能适时开花。基本无可视的病虫危害症状，被害株率≤5%。</w:t>
            </w:r>
          </w:p>
        </w:tc>
      </w:tr>
      <w:tr w14:paraId="0AAF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0C175EB0">
            <w:pPr>
              <w:pStyle w:val="15"/>
              <w:keepNext w:val="0"/>
              <w:keepLines w:val="0"/>
              <w:pageBreakBefore w:val="0"/>
              <w:kinsoku/>
              <w:wordWrap/>
              <w:overflowPunct/>
              <w:topLinePunct w:val="0"/>
              <w:bidi w:val="0"/>
              <w:snapToGrid/>
              <w:spacing w:line="360" w:lineRule="auto"/>
              <w:ind w:left="0" w:leftChars="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spacing w:val="0"/>
                <w:kern w:val="2"/>
                <w:sz w:val="18"/>
                <w:szCs w:val="18"/>
              </w:rPr>
              <w:t>籽播花卉及宿根植物</w:t>
            </w:r>
          </w:p>
        </w:tc>
        <w:tc>
          <w:tcPr>
            <w:tcW w:w="7145" w:type="dxa"/>
            <w:vAlign w:val="center"/>
          </w:tcPr>
          <w:p w14:paraId="43509CC3">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vertAlign w:val="baseline"/>
              </w:rPr>
            </w:pPr>
            <w:r>
              <w:rPr>
                <w:rFonts w:hint="eastAsia" w:ascii="宋体" w:hAnsi="宋体" w:eastAsia="宋体" w:cs="宋体"/>
                <w:kern w:val="2"/>
                <w:sz w:val="18"/>
                <w:szCs w:val="18"/>
              </w:rPr>
              <w:t>多年生地被植物和露地一二年生花卉栽植轮廓较清晰、美观，覆盖率98%以上。</w:t>
            </w:r>
            <w:r>
              <w:rPr>
                <w:rFonts w:hint="eastAsia" w:ascii="宋体" w:hAnsi="宋体" w:eastAsia="宋体" w:cs="宋体"/>
                <w:spacing w:val="0"/>
                <w:kern w:val="2"/>
                <w:sz w:val="18"/>
                <w:szCs w:val="18"/>
              </w:rPr>
              <w:t>无明显残缺、残花、残叶、杂草等，</w:t>
            </w:r>
            <w:r>
              <w:rPr>
                <w:rFonts w:hint="eastAsia" w:ascii="宋体" w:hAnsi="宋体" w:eastAsia="宋体" w:cs="宋体"/>
                <w:kern w:val="2"/>
                <w:sz w:val="18"/>
                <w:szCs w:val="18"/>
              </w:rPr>
              <w:t>残花量不大于15%。</w:t>
            </w:r>
            <w:r>
              <w:rPr>
                <w:rFonts w:hint="eastAsia" w:ascii="宋体" w:hAnsi="宋体" w:eastAsia="宋体" w:cs="宋体"/>
                <w:spacing w:val="0"/>
                <w:kern w:val="2"/>
                <w:sz w:val="18"/>
                <w:szCs w:val="18"/>
              </w:rPr>
              <w:t>基本无可视的病虫危害症状，被害面积≤5%,地下害虫≤5头/m2。</w:t>
            </w:r>
          </w:p>
        </w:tc>
      </w:tr>
      <w:tr w14:paraId="504C7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6564E6E2">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竹类植物</w:t>
            </w:r>
          </w:p>
        </w:tc>
        <w:tc>
          <w:tcPr>
            <w:tcW w:w="7145" w:type="dxa"/>
            <w:vAlign w:val="center"/>
          </w:tcPr>
          <w:p w14:paraId="6DD28BC5">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竹林保持较适宜密度，通风透光良好、生长较健壮，叶色基本正常，能及时清除老鞭、砍伐后的竹蔸、干枯株等。基本无可视的病虫危害症状，被害株率≤5%,地下害虫≤5头/m2。</w:t>
            </w:r>
          </w:p>
        </w:tc>
      </w:tr>
      <w:tr w14:paraId="2416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55EB9398">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水生植物</w:t>
            </w:r>
          </w:p>
        </w:tc>
        <w:tc>
          <w:tcPr>
            <w:tcW w:w="7145" w:type="dxa"/>
            <w:vAlign w:val="center"/>
          </w:tcPr>
          <w:p w14:paraId="672E1EB5">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水生植物密度适宜，花期、花色正常，无明显干枯叶、残花等。基本无可视的病虫危害症状，被害株率≤5%。</w:t>
            </w:r>
          </w:p>
        </w:tc>
      </w:tr>
      <w:tr w14:paraId="61F9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2DCF6F53">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树穴</w:t>
            </w:r>
          </w:p>
        </w:tc>
        <w:tc>
          <w:tcPr>
            <w:tcW w:w="7145" w:type="dxa"/>
            <w:vAlign w:val="center"/>
          </w:tcPr>
          <w:p w14:paraId="09BAEEB4">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侧石及盖板坚固无松动，无缺损；盖板基本平整，无明显坑洼、沉陷、倾覆、</w:t>
            </w:r>
            <w:r>
              <w:rPr>
                <w:rFonts w:hint="eastAsia" w:ascii="宋体" w:hAnsi="宋体" w:eastAsia="宋体" w:cs="宋体"/>
                <w:kern w:val="2"/>
                <w:sz w:val="18"/>
                <w:szCs w:val="18"/>
              </w:rPr>
              <w:t>腐朽、锈蚀；池体基本整洁。</w:t>
            </w:r>
          </w:p>
        </w:tc>
      </w:tr>
      <w:tr w14:paraId="6E589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6F56EC03">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古树名木</w:t>
            </w:r>
          </w:p>
        </w:tc>
        <w:tc>
          <w:tcPr>
            <w:tcW w:w="7145" w:type="dxa"/>
            <w:vAlign w:val="center"/>
          </w:tcPr>
          <w:p w14:paraId="2C933D0A">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kern w:val="2"/>
                <w:sz w:val="18"/>
                <w:szCs w:val="18"/>
              </w:rPr>
              <w:t>按照国家、省相关要求进行养护，各项养护管理措施到位，植株生长正常</w:t>
            </w:r>
            <w:r>
              <w:rPr>
                <w:rFonts w:hint="eastAsia" w:ascii="宋体" w:hAnsi="宋体" w:eastAsia="宋体" w:cs="宋体"/>
                <w:spacing w:val="0"/>
                <w:kern w:val="2"/>
                <w:sz w:val="18"/>
                <w:szCs w:val="18"/>
              </w:rPr>
              <w:t>，状态良好。</w:t>
            </w:r>
          </w:p>
        </w:tc>
      </w:tr>
      <w:tr w14:paraId="414DC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2CD5B92F">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建筑物</w:t>
            </w:r>
          </w:p>
        </w:tc>
        <w:tc>
          <w:tcPr>
            <w:tcW w:w="7145" w:type="dxa"/>
            <w:vAlign w:val="center"/>
          </w:tcPr>
          <w:p w14:paraId="04915D3F">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外观完整；构件、陈设较清洁、较完好；墙面、屋面、地面基本无污染、无渗漏；定期维修，无安全隐患。防火、防雪、防台风暴</w:t>
            </w:r>
            <w:r>
              <w:rPr>
                <w:rFonts w:hint="eastAsia" w:ascii="宋体" w:hAnsi="宋体" w:eastAsia="宋体" w:cs="宋体"/>
                <w:spacing w:val="0"/>
                <w:kern w:val="2"/>
                <w:sz w:val="18"/>
                <w:szCs w:val="18"/>
              </w:rPr>
              <w:t>雨、防蚁等保护措施落实有效。</w:t>
            </w:r>
          </w:p>
        </w:tc>
      </w:tr>
      <w:tr w14:paraId="0C63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6CA1A518">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假山</w:t>
            </w:r>
          </w:p>
        </w:tc>
        <w:tc>
          <w:tcPr>
            <w:tcW w:w="7145" w:type="dxa"/>
            <w:vAlign w:val="center"/>
          </w:tcPr>
          <w:p w14:paraId="41E1374B">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假山叠石完整、稳固、安全。禁止攀爬的假山有醒目标志和防护设施；假山周围5m及石缝内无影响安全和景观的杂草、杂物；假</w:t>
            </w:r>
            <w:r>
              <w:rPr>
                <w:rFonts w:hint="eastAsia" w:ascii="宋体" w:hAnsi="宋体" w:eastAsia="宋体" w:cs="宋体"/>
                <w:spacing w:val="0"/>
                <w:kern w:val="2"/>
                <w:sz w:val="18"/>
                <w:szCs w:val="18"/>
              </w:rPr>
              <w:t>山及孤赏石表面无明显的乱涂乱刻痕迹。</w:t>
            </w:r>
          </w:p>
        </w:tc>
      </w:tr>
      <w:tr w14:paraId="365ED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29B2E8A0">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花坛</w:t>
            </w:r>
          </w:p>
        </w:tc>
        <w:tc>
          <w:tcPr>
            <w:tcW w:w="7145" w:type="dxa"/>
            <w:vAlign w:val="center"/>
          </w:tcPr>
          <w:p w14:paraId="72E91C0E">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花坛表面整洁、无明显破损；叠石花坛的叠石无明显松动；补缝颜色与石</w:t>
            </w:r>
            <w:r>
              <w:rPr>
                <w:rFonts w:hint="eastAsia" w:ascii="宋体" w:hAnsi="宋体" w:eastAsia="宋体" w:cs="宋体"/>
                <w:spacing w:val="0"/>
                <w:kern w:val="2"/>
                <w:sz w:val="18"/>
                <w:szCs w:val="18"/>
              </w:rPr>
              <w:t>材基本接近。</w:t>
            </w:r>
          </w:p>
        </w:tc>
      </w:tr>
      <w:tr w14:paraId="6FCC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15738ACB">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雕塑</w:t>
            </w:r>
          </w:p>
        </w:tc>
        <w:tc>
          <w:tcPr>
            <w:tcW w:w="7145" w:type="dxa"/>
            <w:vAlign w:val="center"/>
          </w:tcPr>
          <w:p w14:paraId="1B698A81">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雕塑结构、基础安全完整。表面基本清洁，无明显污垢，无明显刻写痕迹。</w:t>
            </w:r>
          </w:p>
        </w:tc>
      </w:tr>
      <w:tr w14:paraId="1D2A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3F8B975F">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喷泉(水景设施)</w:t>
            </w:r>
          </w:p>
        </w:tc>
        <w:tc>
          <w:tcPr>
            <w:tcW w:w="7145" w:type="dxa"/>
            <w:vAlign w:val="center"/>
          </w:tcPr>
          <w:p w14:paraId="2496568E">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设备按照规定检查维护，损坏部件及时更换，确保安全运行。喷嘴基本无堵塞，喷涌效果较好，基本保证景观质量；循环、动力及水位控制设施完好，运行正常。</w:t>
            </w:r>
          </w:p>
        </w:tc>
      </w:tr>
      <w:tr w14:paraId="4B542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0D17FEFA">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栏杆</w:t>
            </w:r>
          </w:p>
        </w:tc>
        <w:tc>
          <w:tcPr>
            <w:tcW w:w="7145" w:type="dxa"/>
            <w:vAlign w:val="center"/>
          </w:tcPr>
          <w:p w14:paraId="3D79B9A2">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完整、清洁、无缺损，无明显刻画痕迹。竹、木材质无明显腐朽，金属类材质无明显锈蚀，无安全隐患。</w:t>
            </w:r>
          </w:p>
        </w:tc>
      </w:tr>
      <w:tr w14:paraId="508F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52354238">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桌凳</w:t>
            </w:r>
          </w:p>
        </w:tc>
        <w:tc>
          <w:tcPr>
            <w:tcW w:w="7145" w:type="dxa"/>
            <w:vAlign w:val="center"/>
          </w:tcPr>
          <w:p w14:paraId="0531153B">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桌凳表面基本清洁。竹木类无明显腐朽，其他类材料，无明显锈蚀和刻画。安全坚固，无松动，基本无缺损。</w:t>
            </w:r>
          </w:p>
        </w:tc>
      </w:tr>
      <w:tr w14:paraId="53DCC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63A1BD9F">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围墙</w:t>
            </w:r>
          </w:p>
        </w:tc>
        <w:tc>
          <w:tcPr>
            <w:tcW w:w="7145" w:type="dxa"/>
            <w:vAlign w:val="center"/>
          </w:tcPr>
          <w:p w14:paraId="00BDBC57">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外观基本完整；墙面、顶面无明显污染、基本无渗漏；常规维修，无安全隐患。防火、防雪、防台风暴雨、防蚁等保护措施落实有</w:t>
            </w:r>
            <w:r>
              <w:rPr>
                <w:rFonts w:hint="eastAsia" w:ascii="宋体" w:hAnsi="宋体" w:eastAsia="宋体" w:cs="宋体"/>
                <w:spacing w:val="0"/>
                <w:kern w:val="2"/>
                <w:sz w:val="18"/>
                <w:szCs w:val="18"/>
              </w:rPr>
              <w:t>效。</w:t>
            </w:r>
          </w:p>
        </w:tc>
      </w:tr>
      <w:tr w14:paraId="722BA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792A477A">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园路</w:t>
            </w:r>
          </w:p>
        </w:tc>
        <w:tc>
          <w:tcPr>
            <w:tcW w:w="7145" w:type="dxa"/>
            <w:vAlign w:val="center"/>
          </w:tcPr>
          <w:p w14:paraId="0F9CD669">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路面平整，无明显坑洼破损，无面层松动、沉陷、倾覆或面层脱落；伸嵌缝无明显漏嵌。路面基本清洁，</w:t>
            </w:r>
            <w:r>
              <w:rPr>
                <w:rFonts w:hint="eastAsia" w:ascii="宋体" w:hAnsi="宋体" w:eastAsia="宋体" w:cs="宋体"/>
                <w:spacing w:val="0"/>
                <w:kern w:val="2"/>
                <w:sz w:val="18"/>
                <w:szCs w:val="18"/>
              </w:rPr>
              <w:t>无明显垃圾和痰迹。无障</w:t>
            </w:r>
            <w:r>
              <w:rPr>
                <w:rFonts w:hint="eastAsia" w:ascii="宋体" w:hAnsi="宋体" w:eastAsia="宋体" w:cs="宋体"/>
                <w:kern w:val="2"/>
                <w:sz w:val="18"/>
                <w:szCs w:val="18"/>
              </w:rPr>
              <w:t>碍通道及应急通道畅通，基本整洁。</w:t>
            </w:r>
          </w:p>
        </w:tc>
      </w:tr>
      <w:tr w14:paraId="097E8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5BF7450D">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桥梁</w:t>
            </w:r>
          </w:p>
        </w:tc>
        <w:tc>
          <w:tcPr>
            <w:tcW w:w="7145" w:type="dxa"/>
            <w:vAlign w:val="center"/>
          </w:tcPr>
          <w:p w14:paraId="67BACDC6">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spacing w:val="0"/>
                <w:kern w:val="2"/>
                <w:sz w:val="18"/>
                <w:szCs w:val="18"/>
              </w:rPr>
              <w:t>桥面平整，无坑洼，排水通畅。栏杆无缺损，墩台无混凝土剥落、露筋等。桥梁限高、限载及相关交通和安全警示标志清</w:t>
            </w:r>
            <w:r>
              <w:rPr>
                <w:rFonts w:hint="eastAsia" w:ascii="宋体" w:hAnsi="宋体" w:eastAsia="宋体" w:cs="宋体"/>
                <w:kern w:val="2"/>
                <w:sz w:val="18"/>
                <w:szCs w:val="18"/>
              </w:rPr>
              <w:t>晰齐全；</w:t>
            </w:r>
            <w:r>
              <w:rPr>
                <w:rFonts w:hint="eastAsia" w:ascii="宋体" w:hAnsi="宋体" w:eastAsia="宋体" w:cs="宋体"/>
                <w:spacing w:val="0"/>
                <w:kern w:val="2"/>
                <w:sz w:val="18"/>
                <w:szCs w:val="18"/>
              </w:rPr>
              <w:t>雨雪冰冻季节防范措施落实有效。</w:t>
            </w:r>
          </w:p>
        </w:tc>
      </w:tr>
      <w:tr w14:paraId="3A2E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3D0EAF7A">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停车场</w:t>
            </w:r>
          </w:p>
        </w:tc>
        <w:tc>
          <w:tcPr>
            <w:tcW w:w="7145" w:type="dxa"/>
            <w:vAlign w:val="center"/>
          </w:tcPr>
          <w:p w14:paraId="36AC2FC2">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场地基本平整、清洁，排水较通畅，有车位标志。乔木枝下高满足停车需要，无影响驾驶视线的植物枝叶。收费明示。</w:t>
            </w:r>
          </w:p>
        </w:tc>
      </w:tr>
      <w:tr w14:paraId="0669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176E5C06">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标识</w:t>
            </w:r>
          </w:p>
        </w:tc>
        <w:tc>
          <w:tcPr>
            <w:tcW w:w="7145" w:type="dxa"/>
            <w:vAlign w:val="center"/>
          </w:tcPr>
          <w:p w14:paraId="211AFD8C">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spacing w:val="0"/>
                <w:kern w:val="2"/>
                <w:sz w:val="18"/>
                <w:szCs w:val="18"/>
              </w:rPr>
              <w:t>牌示齐全、完整、整洁，文字及图案清晰。</w:t>
            </w:r>
          </w:p>
        </w:tc>
      </w:tr>
      <w:tr w14:paraId="49417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32DBA144">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spacing w:val="0"/>
                <w:kern w:val="2"/>
                <w:sz w:val="18"/>
                <w:szCs w:val="18"/>
              </w:rPr>
              <w:t>游乐、健身</w:t>
            </w:r>
          </w:p>
          <w:p w14:paraId="492B3974">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设施</w:t>
            </w:r>
          </w:p>
        </w:tc>
        <w:tc>
          <w:tcPr>
            <w:tcW w:w="7145" w:type="dxa"/>
            <w:vAlign w:val="center"/>
          </w:tcPr>
          <w:p w14:paraId="6F177FA1">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所有设施明示生产单位及使用要求、操作规程；维护管理人员经培训合格，持证上岗。设施按照规定检查维护，安全运转；管理档</w:t>
            </w:r>
            <w:r>
              <w:rPr>
                <w:rFonts w:hint="eastAsia" w:ascii="宋体" w:hAnsi="宋体" w:eastAsia="宋体" w:cs="宋体"/>
                <w:spacing w:val="0"/>
                <w:kern w:val="2"/>
                <w:sz w:val="18"/>
                <w:szCs w:val="18"/>
              </w:rPr>
              <w:t>案清晰完整。环境整洁。</w:t>
            </w:r>
          </w:p>
        </w:tc>
      </w:tr>
      <w:tr w14:paraId="41BCD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2E04A209">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人员管理</w:t>
            </w:r>
          </w:p>
        </w:tc>
        <w:tc>
          <w:tcPr>
            <w:tcW w:w="7145" w:type="dxa"/>
            <w:vAlign w:val="center"/>
          </w:tcPr>
          <w:p w14:paraId="52217F7F">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lang w:eastAsia="zh-CN"/>
              </w:rPr>
            </w:pPr>
            <w:r>
              <w:rPr>
                <w:rFonts w:hint="eastAsia" w:ascii="宋体" w:hAnsi="宋体" w:eastAsia="宋体" w:cs="宋体"/>
                <w:kern w:val="2"/>
                <w:sz w:val="18"/>
                <w:szCs w:val="18"/>
              </w:rPr>
              <w:t>在岗的绿化养护等人员统一着装，衣帽整齐，佩戴工号牌，且有所属单位的明显标志</w:t>
            </w:r>
            <w:r>
              <w:rPr>
                <w:rFonts w:hint="eastAsia" w:ascii="宋体" w:hAnsi="宋体" w:eastAsia="宋体" w:cs="宋体"/>
                <w:kern w:val="2"/>
                <w:sz w:val="18"/>
                <w:szCs w:val="18"/>
                <w:lang w:eastAsia="zh-CN"/>
              </w:rPr>
              <w:t>。</w:t>
            </w:r>
          </w:p>
        </w:tc>
      </w:tr>
      <w:tr w14:paraId="1215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435C9F36">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档案管理</w:t>
            </w:r>
          </w:p>
        </w:tc>
        <w:tc>
          <w:tcPr>
            <w:tcW w:w="7145" w:type="dxa"/>
            <w:vAlign w:val="center"/>
          </w:tcPr>
          <w:p w14:paraId="7B2D7D05">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养护管理技术档案健全，记录清晰，并有专人负责。使用智慧管理系统的，应按照规定按时完整录</w:t>
            </w:r>
            <w:r>
              <w:rPr>
                <w:rFonts w:hint="eastAsia" w:ascii="宋体" w:hAnsi="宋体" w:eastAsia="宋体" w:cs="宋体"/>
                <w:spacing w:val="0"/>
                <w:kern w:val="2"/>
                <w:sz w:val="18"/>
                <w:szCs w:val="18"/>
              </w:rPr>
              <w:t>入相关信息。</w:t>
            </w:r>
          </w:p>
        </w:tc>
      </w:tr>
      <w:tr w14:paraId="1A26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382BECC9">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安全生产</w:t>
            </w:r>
          </w:p>
        </w:tc>
        <w:tc>
          <w:tcPr>
            <w:tcW w:w="7145" w:type="dxa"/>
            <w:vAlign w:val="center"/>
          </w:tcPr>
          <w:p w14:paraId="609384C6">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及时做好防汛、抗台、抗旱、防雪、抗冻等应急处置工作。安全生产网络完整，单位制定安全生产规章制度全</w:t>
            </w:r>
            <w:r>
              <w:rPr>
                <w:rFonts w:hint="eastAsia" w:ascii="宋体" w:hAnsi="宋体" w:eastAsia="宋体" w:cs="宋体"/>
                <w:spacing w:val="0"/>
                <w:kern w:val="2"/>
                <w:sz w:val="18"/>
                <w:szCs w:val="18"/>
              </w:rPr>
              <w:t>面、合理，严格执行</w:t>
            </w:r>
            <w:r>
              <w:rPr>
                <w:rFonts w:hint="eastAsia" w:ascii="宋体" w:hAnsi="宋体" w:eastAsia="宋体" w:cs="宋体"/>
                <w:kern w:val="2"/>
                <w:sz w:val="18"/>
                <w:szCs w:val="18"/>
              </w:rPr>
              <w:t>安全生产操作规程，发生安全生产事故及时上报及抄</w:t>
            </w:r>
            <w:r>
              <w:rPr>
                <w:rFonts w:hint="eastAsia" w:ascii="宋体" w:hAnsi="宋体" w:eastAsia="宋体" w:cs="宋体"/>
                <w:spacing w:val="0"/>
                <w:kern w:val="2"/>
                <w:sz w:val="18"/>
                <w:szCs w:val="18"/>
              </w:rPr>
              <w:t>送有关单位。</w:t>
            </w:r>
          </w:p>
        </w:tc>
      </w:tr>
      <w:tr w14:paraId="2F6A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5" w:type="dxa"/>
            <w:vAlign w:val="center"/>
          </w:tcPr>
          <w:p w14:paraId="70E7852C">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废弃物处置</w:t>
            </w:r>
          </w:p>
        </w:tc>
        <w:tc>
          <w:tcPr>
            <w:tcW w:w="7145" w:type="dxa"/>
            <w:vAlign w:val="center"/>
          </w:tcPr>
          <w:p w14:paraId="5DA3636E">
            <w:pPr>
              <w:pStyle w:val="15"/>
              <w:keepNext w:val="0"/>
              <w:keepLines w:val="0"/>
              <w:pageBreakBefore w:val="0"/>
              <w:kinsoku/>
              <w:wordWrap/>
              <w:overflowPunct/>
              <w:topLinePunct w:val="0"/>
              <w:bidi w:val="0"/>
              <w:snapToGrid/>
              <w:spacing w:line="360" w:lineRule="auto"/>
              <w:ind w:left="0" w:firstLine="360" w:firstLineChars="200"/>
              <w:textAlignment w:val="auto"/>
              <w:rPr>
                <w:rFonts w:hint="eastAsia" w:ascii="宋体" w:hAnsi="宋体" w:eastAsia="宋体" w:cs="宋体"/>
                <w:kern w:val="2"/>
                <w:sz w:val="18"/>
                <w:szCs w:val="18"/>
              </w:rPr>
            </w:pPr>
            <w:r>
              <w:rPr>
                <w:rFonts w:hint="eastAsia" w:ascii="宋体" w:hAnsi="宋体" w:eastAsia="宋体" w:cs="宋体"/>
                <w:kern w:val="2"/>
                <w:sz w:val="18"/>
                <w:szCs w:val="18"/>
              </w:rPr>
              <w:t>养护作业时，园林废弃物(如树枝、树叶、草屑等)堆放有序，文明施工；园林废弃物日产日清，送至指定</w:t>
            </w:r>
            <w:r>
              <w:rPr>
                <w:rFonts w:hint="eastAsia" w:ascii="宋体" w:hAnsi="宋体" w:eastAsia="宋体" w:cs="宋体"/>
                <w:spacing w:val="0"/>
                <w:kern w:val="2"/>
                <w:sz w:val="18"/>
                <w:szCs w:val="18"/>
              </w:rPr>
              <w:t>收集点处置；园林废弃物收集、处置符合综合利用规范要求。</w:t>
            </w:r>
          </w:p>
        </w:tc>
      </w:tr>
    </w:tbl>
    <w:p w14:paraId="3B329E06">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6、绿化养护标准</w:t>
      </w:r>
    </w:p>
    <w:p w14:paraId="41C21A14">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7、设备设施日常维保内容</w:t>
      </w:r>
    </w:p>
    <w:p w14:paraId="66AFA1A0">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设备设施日常维保内容主要包括：建筑公共部位的结构破损巡查及零星修复，设备设施的日常维护保养及维修等，具体详见设备设施日常维保服务的服务标准。</w:t>
      </w:r>
    </w:p>
    <w:p w14:paraId="7EA1D8A7">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8、设备设施日常维保服务标准</w:t>
      </w:r>
    </w:p>
    <w:tbl>
      <w:tblPr>
        <w:tblStyle w:val="37"/>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1418"/>
        <w:gridCol w:w="3763"/>
        <w:gridCol w:w="3000"/>
      </w:tblGrid>
      <w:tr w14:paraId="7B3C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D967572">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default" w:ascii="宋体" w:hAnsi="宋体" w:eastAsia="宋体" w:cs="宋体"/>
                <w:spacing w:val="0"/>
                <w:kern w:val="2"/>
                <w:sz w:val="18"/>
                <w:szCs w:val="18"/>
                <w:lang w:val="en-US" w:eastAsia="zh-CN"/>
              </w:rPr>
            </w:pPr>
            <w:r>
              <w:rPr>
                <w:rFonts w:hint="eastAsia" w:ascii="宋体" w:hAnsi="宋体" w:eastAsia="宋体" w:cs="宋体"/>
                <w:spacing w:val="0"/>
                <w:kern w:val="2"/>
                <w:sz w:val="18"/>
                <w:szCs w:val="18"/>
                <w:lang w:val="en-US" w:eastAsia="zh-CN"/>
              </w:rPr>
              <w:t>区域</w:t>
            </w:r>
          </w:p>
        </w:tc>
        <w:tc>
          <w:tcPr>
            <w:tcW w:w="1418" w:type="dxa"/>
            <w:vAlign w:val="center"/>
          </w:tcPr>
          <w:p w14:paraId="2D857D05">
            <w:pPr>
              <w:pStyle w:val="15"/>
              <w:keepNext w:val="0"/>
              <w:keepLines w:val="0"/>
              <w:pageBreakBefore w:val="0"/>
              <w:kinsoku/>
              <w:wordWrap/>
              <w:overflowPunct/>
              <w:topLinePunct w:val="0"/>
              <w:bidi w:val="0"/>
              <w:snapToGrid/>
              <w:spacing w:line="360" w:lineRule="auto"/>
              <w:jc w:val="both"/>
              <w:textAlignment w:val="auto"/>
              <w:rPr>
                <w:rFonts w:hint="default" w:ascii="宋体" w:hAnsi="宋体" w:eastAsia="宋体" w:cs="宋体"/>
                <w:spacing w:val="0"/>
                <w:kern w:val="2"/>
                <w:sz w:val="18"/>
                <w:szCs w:val="18"/>
                <w:lang w:val="en-US" w:eastAsia="zh-CN"/>
              </w:rPr>
            </w:pPr>
            <w:r>
              <w:rPr>
                <w:rFonts w:hint="eastAsia" w:ascii="宋体" w:hAnsi="宋体" w:eastAsia="宋体" w:cs="宋体"/>
                <w:spacing w:val="0"/>
                <w:kern w:val="2"/>
                <w:sz w:val="18"/>
                <w:szCs w:val="18"/>
                <w:lang w:val="en-US" w:eastAsia="zh-CN"/>
              </w:rPr>
              <w:t>内容</w:t>
            </w:r>
          </w:p>
        </w:tc>
        <w:tc>
          <w:tcPr>
            <w:tcW w:w="3763" w:type="dxa"/>
            <w:vAlign w:val="center"/>
          </w:tcPr>
          <w:p w14:paraId="54509933">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服务标准</w:t>
            </w:r>
          </w:p>
        </w:tc>
        <w:tc>
          <w:tcPr>
            <w:tcW w:w="3000" w:type="dxa"/>
            <w:vAlign w:val="center"/>
          </w:tcPr>
          <w:p w14:paraId="0715745E">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服务要求</w:t>
            </w:r>
          </w:p>
        </w:tc>
      </w:tr>
      <w:tr w14:paraId="31AE9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restart"/>
            <w:vAlign w:val="center"/>
          </w:tcPr>
          <w:p w14:paraId="0E6F45C4">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公共部位</w:t>
            </w:r>
          </w:p>
        </w:tc>
        <w:tc>
          <w:tcPr>
            <w:tcW w:w="1418" w:type="dxa"/>
            <w:vAlign w:val="center"/>
          </w:tcPr>
          <w:p w14:paraId="48BD70C2">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房屋结构</w:t>
            </w:r>
          </w:p>
        </w:tc>
        <w:tc>
          <w:tcPr>
            <w:tcW w:w="3763" w:type="dxa"/>
            <w:vAlign w:val="center"/>
          </w:tcPr>
          <w:p w14:paraId="7891BA8E">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每年一次以上对房屋结构、涉及使用安全的部位进行检查并有记录。</w:t>
            </w:r>
          </w:p>
        </w:tc>
        <w:tc>
          <w:tcPr>
            <w:tcW w:w="3000" w:type="dxa"/>
            <w:vAlign w:val="center"/>
          </w:tcPr>
          <w:p w14:paraId="39385E14">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发现损坏及时告知相关甲方、使用人</w:t>
            </w:r>
          </w:p>
        </w:tc>
      </w:tr>
      <w:tr w14:paraId="059D4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1973B0EE">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lang w:val="en-US" w:eastAsia="zh-CN"/>
              </w:rPr>
            </w:pPr>
          </w:p>
        </w:tc>
        <w:tc>
          <w:tcPr>
            <w:tcW w:w="1418" w:type="dxa"/>
            <w:vAlign w:val="center"/>
          </w:tcPr>
          <w:p w14:paraId="3EA6C7CA">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门窗</w:t>
            </w:r>
          </w:p>
        </w:tc>
        <w:tc>
          <w:tcPr>
            <w:tcW w:w="3763" w:type="dxa"/>
            <w:vAlign w:val="center"/>
          </w:tcPr>
          <w:p w14:paraId="0EE49962">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每月一次巡视楼内公共部位门窗，保持玻璃、门窗配件完好，开闭正常。</w:t>
            </w:r>
          </w:p>
        </w:tc>
        <w:tc>
          <w:tcPr>
            <w:tcW w:w="3000" w:type="dxa"/>
            <w:vAlign w:val="center"/>
          </w:tcPr>
          <w:p w14:paraId="08D59077">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门窗完好</w:t>
            </w:r>
          </w:p>
        </w:tc>
      </w:tr>
      <w:tr w14:paraId="7215F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6A6E8E28">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lang w:val="en-US" w:eastAsia="zh-CN"/>
              </w:rPr>
            </w:pPr>
          </w:p>
        </w:tc>
        <w:tc>
          <w:tcPr>
            <w:tcW w:w="1418" w:type="dxa"/>
            <w:vAlign w:val="center"/>
          </w:tcPr>
          <w:p w14:paraId="7BDDF0C7">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屋顶</w:t>
            </w:r>
          </w:p>
        </w:tc>
        <w:tc>
          <w:tcPr>
            <w:tcW w:w="3763" w:type="dxa"/>
            <w:vAlign w:val="center"/>
          </w:tcPr>
          <w:p w14:paraId="1A404F45">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每半年检查一次。</w:t>
            </w:r>
          </w:p>
        </w:tc>
        <w:tc>
          <w:tcPr>
            <w:tcW w:w="3000" w:type="dxa"/>
            <w:vAlign w:val="center"/>
          </w:tcPr>
          <w:p w14:paraId="3091754C">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发现屋顶防水层碎裂、隔热板断裂缺损和屋面瓦破碎应及时告知相关甲方、使用人并安排专项维修（台风、暴雨到来前增加检查1次）。</w:t>
            </w:r>
          </w:p>
        </w:tc>
      </w:tr>
      <w:tr w14:paraId="063B7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61BDE91E">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lang w:val="en-US" w:eastAsia="zh-CN"/>
              </w:rPr>
            </w:pPr>
          </w:p>
        </w:tc>
        <w:tc>
          <w:tcPr>
            <w:tcW w:w="1418" w:type="dxa"/>
            <w:vAlign w:val="center"/>
          </w:tcPr>
          <w:p w14:paraId="643E216A">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道路、路面、侧石、窨井盖</w:t>
            </w:r>
          </w:p>
        </w:tc>
        <w:tc>
          <w:tcPr>
            <w:tcW w:w="3763" w:type="dxa"/>
            <w:vAlign w:val="center"/>
          </w:tcPr>
          <w:p w14:paraId="637D99D9">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每季度覆盖一次对道路、路面、侧石、窨井盖等设施进行巡检。</w:t>
            </w:r>
          </w:p>
        </w:tc>
        <w:tc>
          <w:tcPr>
            <w:tcW w:w="3000" w:type="dxa"/>
            <w:vAlign w:val="center"/>
          </w:tcPr>
          <w:p w14:paraId="5CA6497C">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发现损坏及时告知相关甲方、使用人并安排专项维修，井盖不缺损，能正常使用。</w:t>
            </w:r>
          </w:p>
        </w:tc>
      </w:tr>
      <w:tr w14:paraId="1E7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76AE0410">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lang w:val="en-US" w:eastAsia="zh-CN"/>
              </w:rPr>
            </w:pPr>
          </w:p>
        </w:tc>
        <w:tc>
          <w:tcPr>
            <w:tcW w:w="1418" w:type="dxa"/>
            <w:vAlign w:val="center"/>
          </w:tcPr>
          <w:p w14:paraId="0D8BAB63">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屋面泄水沟、楼外排水管道及化粪池</w:t>
            </w:r>
          </w:p>
        </w:tc>
        <w:tc>
          <w:tcPr>
            <w:tcW w:w="3763" w:type="dxa"/>
            <w:vAlign w:val="center"/>
          </w:tcPr>
          <w:p w14:paraId="1918CFB1">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每半年一次对屋面泄水沟、楼外排水管道清扫、疏通一次，雨季前专项清理一次；化粪池每年检查两次，保证化粪池出入口畅通。</w:t>
            </w:r>
          </w:p>
        </w:tc>
        <w:tc>
          <w:tcPr>
            <w:tcW w:w="3000" w:type="dxa"/>
            <w:vAlign w:val="center"/>
          </w:tcPr>
          <w:p w14:paraId="162EEC69">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保证化粪池出入口畅通，明沟畅通。</w:t>
            </w:r>
          </w:p>
        </w:tc>
      </w:tr>
      <w:tr w14:paraId="49EE9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2718DF08">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lang w:val="en-US" w:eastAsia="zh-CN"/>
              </w:rPr>
            </w:pPr>
          </w:p>
        </w:tc>
        <w:tc>
          <w:tcPr>
            <w:tcW w:w="1418" w:type="dxa"/>
            <w:vAlign w:val="center"/>
          </w:tcPr>
          <w:p w14:paraId="2541595C">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围墙</w:t>
            </w:r>
          </w:p>
        </w:tc>
        <w:tc>
          <w:tcPr>
            <w:tcW w:w="3763" w:type="dxa"/>
            <w:vAlign w:val="center"/>
          </w:tcPr>
          <w:p w14:paraId="22E65990">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每季度巡查围墙一次。</w:t>
            </w:r>
          </w:p>
        </w:tc>
        <w:tc>
          <w:tcPr>
            <w:tcW w:w="3000" w:type="dxa"/>
            <w:vAlign w:val="center"/>
          </w:tcPr>
          <w:p w14:paraId="14801549">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发现损坏及时修复。</w:t>
            </w:r>
          </w:p>
        </w:tc>
      </w:tr>
      <w:tr w14:paraId="6FAD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60B173F3">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lang w:val="en-US" w:eastAsia="zh-CN"/>
              </w:rPr>
            </w:pPr>
          </w:p>
        </w:tc>
        <w:tc>
          <w:tcPr>
            <w:tcW w:w="1418" w:type="dxa"/>
            <w:vAlign w:val="center"/>
          </w:tcPr>
          <w:p w14:paraId="485D9E58">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楼梯间、公用走廊的室内墙地面</w:t>
            </w:r>
          </w:p>
        </w:tc>
        <w:tc>
          <w:tcPr>
            <w:tcW w:w="3763" w:type="dxa"/>
            <w:vAlign w:val="center"/>
          </w:tcPr>
          <w:p w14:paraId="06584EC3">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墙面、顶面粉刷层无剥落，面砖、地砖平整不起壳，无缺损。</w:t>
            </w:r>
          </w:p>
        </w:tc>
        <w:tc>
          <w:tcPr>
            <w:tcW w:w="3000" w:type="dxa"/>
            <w:vAlign w:val="center"/>
          </w:tcPr>
          <w:p w14:paraId="71024F96">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墙面、顶面粉刷层无明显剥落，面砖、地砖平整不起壳，有缺损及时修补</w:t>
            </w:r>
          </w:p>
        </w:tc>
      </w:tr>
      <w:tr w14:paraId="4C49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13C1C0E7">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lang w:val="en-US" w:eastAsia="zh-CN"/>
              </w:rPr>
            </w:pPr>
          </w:p>
        </w:tc>
        <w:tc>
          <w:tcPr>
            <w:tcW w:w="1418" w:type="dxa"/>
            <w:vAlign w:val="center"/>
          </w:tcPr>
          <w:p w14:paraId="1DE73670">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雕塑、景观小品</w:t>
            </w:r>
          </w:p>
        </w:tc>
        <w:tc>
          <w:tcPr>
            <w:tcW w:w="3763" w:type="dxa"/>
            <w:vAlign w:val="center"/>
          </w:tcPr>
          <w:p w14:paraId="0AC87E03">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每周一次对雕塑、景观小品等进行巡查，发现损坏立即修复，保持原有面貌，保证其安全使用。</w:t>
            </w:r>
          </w:p>
        </w:tc>
        <w:tc>
          <w:tcPr>
            <w:tcW w:w="3000" w:type="dxa"/>
            <w:vAlign w:val="center"/>
          </w:tcPr>
          <w:p w14:paraId="757BD94C">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安全、完好</w:t>
            </w:r>
          </w:p>
        </w:tc>
      </w:tr>
      <w:tr w14:paraId="4D0E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2D293756">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lang w:val="en-US" w:eastAsia="zh-CN"/>
              </w:rPr>
            </w:pPr>
          </w:p>
        </w:tc>
        <w:tc>
          <w:tcPr>
            <w:tcW w:w="1418" w:type="dxa"/>
            <w:vAlign w:val="center"/>
          </w:tcPr>
          <w:p w14:paraId="70C57223">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安全标志</w:t>
            </w:r>
          </w:p>
        </w:tc>
        <w:tc>
          <w:tcPr>
            <w:tcW w:w="3763" w:type="dxa"/>
            <w:vAlign w:val="center"/>
          </w:tcPr>
          <w:p w14:paraId="33823EFB">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对危险隐患部位设置安全防范警示标志，并在主要通道设置安全疏散指示和事故照明设施，每月检查一次。</w:t>
            </w:r>
          </w:p>
        </w:tc>
        <w:tc>
          <w:tcPr>
            <w:tcW w:w="3000" w:type="dxa"/>
            <w:vAlign w:val="center"/>
          </w:tcPr>
          <w:p w14:paraId="6FD32D01">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缺损及时补齐，保证标志清晰完整。</w:t>
            </w:r>
          </w:p>
        </w:tc>
      </w:tr>
      <w:tr w14:paraId="7B52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restart"/>
            <w:vAlign w:val="center"/>
          </w:tcPr>
          <w:p w14:paraId="2ADCFE33">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共用部位、设施设备日常运行、保养、维修</w:t>
            </w:r>
          </w:p>
        </w:tc>
        <w:tc>
          <w:tcPr>
            <w:tcW w:w="1418" w:type="dxa"/>
            <w:vAlign w:val="center"/>
          </w:tcPr>
          <w:p w14:paraId="044E4F9E">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设备房</w:t>
            </w:r>
          </w:p>
        </w:tc>
        <w:tc>
          <w:tcPr>
            <w:tcW w:w="3763" w:type="dxa"/>
            <w:shd w:val="clear" w:color="auto" w:fill="auto"/>
            <w:vAlign w:val="center"/>
          </w:tcPr>
          <w:p w14:paraId="7504B360">
            <w:pPr>
              <w:pStyle w:val="15"/>
              <w:keepNext w:val="0"/>
              <w:keepLines w:val="0"/>
              <w:pageBreakBefore w:val="0"/>
              <w:kinsoku/>
              <w:wordWrap/>
              <w:overflowPunct/>
              <w:topLinePunct w:val="0"/>
              <w:bidi w:val="0"/>
              <w:snapToGrid/>
              <w:spacing w:line="360" w:lineRule="auto"/>
              <w:ind w:left="156" w:leftChars="0"/>
              <w:jc w:val="both"/>
              <w:textAlignment w:val="auto"/>
              <w:rPr>
                <w:rFonts w:hint="eastAsia" w:ascii="宋体" w:hAnsi="宋体" w:eastAsia="宋体" w:cs="宋体"/>
                <w:spacing w:val="0"/>
                <w:kern w:val="2"/>
                <w:sz w:val="18"/>
                <w:szCs w:val="18"/>
                <w:lang w:val="en-US" w:eastAsia="zh-CN" w:bidi="ar-SA"/>
              </w:rPr>
            </w:pPr>
            <w:r>
              <w:rPr>
                <w:rFonts w:hint="eastAsia" w:ascii="宋体" w:hAnsi="宋体" w:eastAsia="宋体" w:cs="宋体"/>
                <w:spacing w:val="0"/>
                <w:kern w:val="2"/>
                <w:sz w:val="18"/>
                <w:szCs w:val="18"/>
              </w:rPr>
              <w:t>风机房、消防泵房、配电房等每周巡检一次；中水处理泵房每天巡检两次；水泵房每天巡检不少于两次。</w:t>
            </w:r>
          </w:p>
        </w:tc>
        <w:tc>
          <w:tcPr>
            <w:tcW w:w="3000" w:type="dxa"/>
            <w:vAlign w:val="center"/>
          </w:tcPr>
          <w:p w14:paraId="465E1977">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正常运行</w:t>
            </w:r>
          </w:p>
        </w:tc>
      </w:tr>
      <w:tr w14:paraId="2315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548E805E">
            <w:pPr>
              <w:pStyle w:val="15"/>
              <w:keepNext w:val="0"/>
              <w:keepLines w:val="0"/>
              <w:pageBreakBefore w:val="0"/>
              <w:kinsoku/>
              <w:wordWrap/>
              <w:overflowPunct/>
              <w:topLinePunct w:val="0"/>
              <w:bidi w:val="0"/>
              <w:snapToGrid/>
              <w:spacing w:line="360" w:lineRule="auto"/>
              <w:ind w:left="0" w:firstLine="360" w:firstLineChars="200"/>
              <w:jc w:val="both"/>
              <w:textAlignment w:val="auto"/>
              <w:rPr>
                <w:rFonts w:hint="eastAsia" w:ascii="宋体" w:hAnsi="宋体" w:eastAsia="宋体" w:cs="宋体"/>
                <w:spacing w:val="0"/>
                <w:kern w:val="2"/>
                <w:sz w:val="18"/>
                <w:szCs w:val="18"/>
              </w:rPr>
            </w:pPr>
          </w:p>
        </w:tc>
        <w:tc>
          <w:tcPr>
            <w:tcW w:w="1418" w:type="dxa"/>
            <w:vAlign w:val="center"/>
          </w:tcPr>
          <w:p w14:paraId="094668DA">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排水系统</w:t>
            </w:r>
          </w:p>
        </w:tc>
        <w:tc>
          <w:tcPr>
            <w:tcW w:w="3763" w:type="dxa"/>
            <w:vAlign w:val="center"/>
          </w:tcPr>
          <w:p w14:paraId="53F2E7D8">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每月覆盖巡查一次污水泵、提升泵、排出泵，每半年润滑加油一次。每月清扫1次以上排水明沟，每半年对地下管井清理1次，每年对地下管井彻底疏通1次，雨季、台风暴雨来临前巡检，及时处理隐患。</w:t>
            </w:r>
          </w:p>
        </w:tc>
        <w:tc>
          <w:tcPr>
            <w:tcW w:w="3000" w:type="dxa"/>
            <w:vAlign w:val="center"/>
          </w:tcPr>
          <w:p w14:paraId="0B959A20">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正常运行</w:t>
            </w:r>
          </w:p>
        </w:tc>
      </w:tr>
      <w:tr w14:paraId="4AC4D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19D806D">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维修服务标准</w:t>
            </w:r>
          </w:p>
        </w:tc>
        <w:tc>
          <w:tcPr>
            <w:tcW w:w="1418" w:type="dxa"/>
            <w:vAlign w:val="center"/>
          </w:tcPr>
          <w:p w14:paraId="1ABA3D2E">
            <w:pPr>
              <w:pStyle w:val="15"/>
              <w:keepNext w:val="0"/>
              <w:keepLines w:val="0"/>
              <w:pageBreakBefore w:val="0"/>
              <w:kinsoku/>
              <w:wordWrap/>
              <w:overflowPunct/>
              <w:topLinePunct w:val="0"/>
              <w:bidi w:val="0"/>
              <w:snapToGrid/>
              <w:spacing w:line="360" w:lineRule="auto"/>
              <w:ind w:left="0" w:leftChars="0" w:firstLine="180" w:firstLineChars="10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日常维修</w:t>
            </w:r>
          </w:p>
        </w:tc>
        <w:tc>
          <w:tcPr>
            <w:tcW w:w="3763" w:type="dxa"/>
            <w:vAlign w:val="center"/>
          </w:tcPr>
          <w:p w14:paraId="34167491">
            <w:pPr>
              <w:pStyle w:val="15"/>
              <w:keepNext w:val="0"/>
              <w:keepLines w:val="0"/>
              <w:pageBreakBefore w:val="0"/>
              <w:kinsoku/>
              <w:wordWrap/>
              <w:overflowPunct/>
              <w:topLinePunct w:val="0"/>
              <w:bidi w:val="0"/>
              <w:snapToGrid/>
              <w:spacing w:line="360" w:lineRule="auto"/>
              <w:jc w:val="both"/>
              <w:textAlignment w:val="auto"/>
              <w:rPr>
                <w:rFonts w:hint="default" w:ascii="宋体" w:hAnsi="宋体" w:eastAsia="宋体" w:cs="宋体"/>
                <w:spacing w:val="0"/>
                <w:kern w:val="2"/>
                <w:sz w:val="18"/>
                <w:szCs w:val="18"/>
                <w:lang w:val="en-US" w:eastAsia="zh-CN"/>
              </w:rPr>
            </w:pPr>
            <w:r>
              <w:rPr>
                <w:rFonts w:hint="eastAsia" w:ascii="宋体" w:hAnsi="宋体" w:eastAsia="宋体" w:cs="宋体"/>
                <w:spacing w:val="0"/>
                <w:kern w:val="2"/>
                <w:sz w:val="18"/>
                <w:szCs w:val="18"/>
              </w:rPr>
              <w:t>1、报修时，填写《工程维修通知单》，</w:t>
            </w:r>
            <w:r>
              <w:rPr>
                <w:rFonts w:hint="eastAsia" w:ascii="宋体" w:hAnsi="宋体" w:eastAsia="宋体" w:cs="宋体"/>
                <w:spacing w:val="0"/>
                <w:kern w:val="2"/>
                <w:sz w:val="18"/>
                <w:szCs w:val="18"/>
                <w:lang w:val="en-US" w:eastAsia="zh-CN"/>
              </w:rPr>
              <w:t>24小时上报，3日内整改完。</w:t>
            </w:r>
          </w:p>
          <w:p w14:paraId="73E00B86">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2、值班人员收到《工程维修通知单》时，在值班日志上做好登记。</w:t>
            </w:r>
          </w:p>
          <w:p w14:paraId="030BA9BB">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3、维修人员根据维修单的紧急情况，按先后次序进行维修。</w:t>
            </w:r>
          </w:p>
          <w:p w14:paraId="5182141E">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4、维修人员带好必要的工具，准时到达维修点，按质量标准完成任务后，请报修人及有关部门在维修单上签字验收。如有困难不能按期完成，如实向项目经理汇报，与报修部门协商解决办法。</w:t>
            </w:r>
          </w:p>
          <w:p w14:paraId="321D44BD">
            <w:pPr>
              <w:pStyle w:val="15"/>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5、完成任务回到值班室时，在维修单上写上日期、完成时间和姓名。如果用了材料、配件，也应写清楚。</w:t>
            </w:r>
          </w:p>
        </w:tc>
        <w:tc>
          <w:tcPr>
            <w:tcW w:w="3000" w:type="dxa"/>
            <w:vAlign w:val="center"/>
          </w:tcPr>
          <w:p w14:paraId="44B7F7CF">
            <w:pPr>
              <w:pStyle w:val="15"/>
              <w:keepNext w:val="0"/>
              <w:keepLines w:val="0"/>
              <w:pageBreakBefore w:val="0"/>
              <w:kinsoku/>
              <w:wordWrap/>
              <w:overflowPunct/>
              <w:topLinePunct w:val="0"/>
              <w:bidi w:val="0"/>
              <w:snapToGrid/>
              <w:spacing w:line="360" w:lineRule="auto"/>
              <w:ind w:left="0" w:leftChars="0" w:firstLine="0" w:firstLineChars="0"/>
              <w:jc w:val="both"/>
              <w:textAlignment w:val="auto"/>
              <w:rPr>
                <w:rFonts w:hint="eastAsia" w:ascii="宋体" w:hAnsi="宋体" w:eastAsia="宋体" w:cs="宋体"/>
                <w:spacing w:val="0"/>
                <w:kern w:val="2"/>
                <w:sz w:val="18"/>
                <w:szCs w:val="18"/>
              </w:rPr>
            </w:pPr>
            <w:r>
              <w:rPr>
                <w:rFonts w:hint="eastAsia" w:ascii="宋体" w:hAnsi="宋体" w:eastAsia="宋体" w:cs="宋体"/>
                <w:spacing w:val="0"/>
                <w:kern w:val="2"/>
                <w:sz w:val="18"/>
                <w:szCs w:val="18"/>
              </w:rPr>
              <w:t>规范有序</w:t>
            </w:r>
          </w:p>
        </w:tc>
      </w:tr>
    </w:tbl>
    <w:p w14:paraId="6F5188C7">
      <w:pPr>
        <w:pStyle w:val="15"/>
        <w:keepNext w:val="0"/>
        <w:keepLines w:val="0"/>
        <w:pageBreakBefore w:val="0"/>
        <w:numPr>
          <w:ilvl w:val="0"/>
          <w:numId w:val="4"/>
        </w:numPr>
        <w:kinsoku/>
        <w:wordWrap/>
        <w:overflowPunct/>
        <w:topLinePunct w:val="0"/>
        <w:bidi w:val="0"/>
        <w:snapToGrid/>
        <w:spacing w:line="360" w:lineRule="auto"/>
        <w:ind w:left="0" w:firstLine="482" w:firstLineChars="200"/>
        <w:textAlignment w:val="auto"/>
        <w:outlineLvl w:val="0"/>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合同价款支付方式</w:t>
      </w:r>
    </w:p>
    <w:p w14:paraId="312CEFBA">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（1）合同价款的支付：服务费每半年结算支付一次，中标方提供当期六个月的《物业管理服务结算单》，经采购人审核无误，并结合实际的考核情况，确认实际应支付的服务费金额。</w:t>
      </w:r>
    </w:p>
    <w:p w14:paraId="31E357DE">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2）支付时间：每次支付服务费，扣除当期六个月的实际扣款后一次性支付，以此类推。每次付款时中标方向采购人递交当期六个月服务费支付的书面申请单，采购人于第七个月的20号前向中标方支付当期相应服务费（如遇法定节假日顺延）。</w:t>
      </w:r>
    </w:p>
    <w:p w14:paraId="28BBFD51">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（3）支付标准：合同期内，采购人每次向中标方支付的服务费＝（合同价款÷2）－当期六个月累计扣款。</w:t>
      </w:r>
    </w:p>
    <w:p w14:paraId="3F630818">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（4）新增服务内容的情况下（新增服务费不超过合同价的10%）：采购人向中标方支付的增加部分的服务费=新增服务内容工作量×相应中标单价，结合实际发生的时间以及考核情况予以支付。</w:t>
      </w:r>
    </w:p>
    <w:p w14:paraId="2CDEC84F">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（5）若因采购人发出书面函件或提出特殊要求，相关费用由双方协商一致后，另行结算。</w:t>
      </w:r>
    </w:p>
    <w:p w14:paraId="62FEF1E1">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（6）</w:t>
      </w:r>
      <w:r>
        <w:rPr>
          <w:rFonts w:hint="eastAsia" w:ascii="宋体" w:hAnsi="宋体" w:eastAsia="宋体" w:cs="宋体"/>
          <w:kern w:val="2"/>
          <w:sz w:val="24"/>
          <w:szCs w:val="24"/>
          <w:lang w:val="en-US" w:eastAsia="zh-CN"/>
        </w:rPr>
        <w:t>采购人按照本合同约定的服务标准对中标方进行月度考核，</w:t>
      </w:r>
      <w:r>
        <w:rPr>
          <w:rFonts w:hint="eastAsia" w:ascii="宋体" w:hAnsi="宋体" w:eastAsia="宋体" w:cs="宋体"/>
          <w:spacing w:val="0"/>
          <w:kern w:val="2"/>
          <w:sz w:val="24"/>
          <w:szCs w:val="24"/>
        </w:rPr>
        <w:t>每月</w:t>
      </w:r>
      <w:r>
        <w:rPr>
          <w:rFonts w:hint="eastAsia" w:ascii="宋体" w:hAnsi="宋体" w:eastAsia="宋体" w:cs="宋体"/>
          <w:spacing w:val="0"/>
          <w:kern w:val="2"/>
          <w:sz w:val="24"/>
          <w:szCs w:val="24"/>
          <w:lang w:val="en-US" w:eastAsia="zh-CN"/>
        </w:rPr>
        <w:t>考核得分</w:t>
      </w:r>
      <w:r>
        <w:rPr>
          <w:rFonts w:hint="eastAsia" w:ascii="宋体" w:hAnsi="宋体" w:eastAsia="宋体" w:cs="宋体"/>
          <w:spacing w:val="0"/>
          <w:kern w:val="2"/>
          <w:sz w:val="24"/>
          <w:szCs w:val="24"/>
        </w:rPr>
        <w:t>九十分以上支付全额，九十分以下每一分扣当月养护费用的</w:t>
      </w:r>
      <w:r>
        <w:rPr>
          <w:rFonts w:hint="eastAsia" w:ascii="宋体" w:hAnsi="宋体" w:eastAsia="宋体" w:cs="宋体"/>
          <w:spacing w:val="0"/>
          <w:kern w:val="2"/>
          <w:sz w:val="24"/>
          <w:szCs w:val="24"/>
          <w:lang w:val="en-US" w:eastAsia="zh-CN"/>
        </w:rPr>
        <w:t>1%</w:t>
      </w:r>
      <w:r>
        <w:rPr>
          <w:rFonts w:hint="eastAsia" w:ascii="宋体" w:hAnsi="宋体" w:eastAsia="宋体" w:cs="宋体"/>
          <w:kern w:val="2"/>
          <w:sz w:val="24"/>
          <w:szCs w:val="24"/>
          <w:lang w:val="en-US" w:eastAsia="zh-CN"/>
        </w:rPr>
        <w:t>。（具体考核打分表见附件）。</w:t>
      </w:r>
    </w:p>
    <w:p w14:paraId="0778896D">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 xml:space="preserve">服务内容减少的情况下：减少部分的服务费=减少的服务内容工作量×相应中标单价。由采购人根据实际发生的时间，在结算实际应付的服务费时进行扣减。 </w:t>
      </w:r>
    </w:p>
    <w:p w14:paraId="1917A608">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b/>
          <w:bCs/>
          <w:kern w:val="2"/>
          <w:sz w:val="24"/>
          <w:szCs w:val="24"/>
          <w:lang w:val="en-US" w:eastAsia="zh-CN"/>
        </w:rPr>
      </w:pPr>
      <w:r>
        <w:rPr>
          <w:rFonts w:hint="eastAsia" w:ascii="宋体" w:hAnsi="宋体" w:eastAsia="宋体" w:cs="宋体"/>
          <w:kern w:val="2"/>
          <w:sz w:val="24"/>
          <w:szCs w:val="24"/>
          <w:highlight w:val="none"/>
          <w:lang w:val="en-US" w:eastAsia="zh-CN"/>
        </w:rPr>
        <w:t>注：以上价款均不计息。每次付款时，中标方需提供符合采购人财务要求的相应金额的税金发票（如遇法定节假日顺延）。</w:t>
      </w:r>
    </w:p>
    <w:p w14:paraId="66713EE8">
      <w:pPr>
        <w:pStyle w:val="15"/>
        <w:keepNext w:val="0"/>
        <w:keepLines w:val="0"/>
        <w:pageBreakBefore w:val="0"/>
        <w:kinsoku/>
        <w:wordWrap/>
        <w:overflowPunct/>
        <w:topLinePunct w:val="0"/>
        <w:bidi w:val="0"/>
        <w:snapToGrid/>
        <w:spacing w:line="360" w:lineRule="auto"/>
        <w:ind w:left="0" w:firstLine="482" w:firstLineChars="200"/>
        <w:textAlignment w:val="auto"/>
        <w:outlineLvl w:val="0"/>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rPr>
        <w:t>七</w:t>
      </w:r>
      <w:r>
        <w:rPr>
          <w:rFonts w:hint="eastAsia" w:ascii="宋体" w:hAnsi="宋体" w:eastAsia="宋体" w:cs="宋体"/>
          <w:b/>
          <w:bCs/>
          <w:kern w:val="2"/>
          <w:sz w:val="24"/>
          <w:szCs w:val="24"/>
        </w:rPr>
        <w:t>、其他要求</w:t>
      </w:r>
    </w:p>
    <w:p w14:paraId="53623B34">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1、采购人对中标方的日常管理享有监督权及检查权，发现问题及时通知中标方现场管理人员，要求中标方返工，直至达到合同要求质量标准；</w:t>
      </w:r>
    </w:p>
    <w:p w14:paraId="442994F3">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2、采购人有权教育中标方人员遵守制度，共同维护内外环境，爱护设备设施；</w:t>
      </w:r>
    </w:p>
    <w:p w14:paraId="39F1176F">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3、采购人有权对中标方所提供服务提出意见和建议；</w:t>
      </w:r>
    </w:p>
    <w:p w14:paraId="50B9A87B">
      <w:pPr>
        <w:pStyle w:val="15"/>
        <w:keepNext w:val="0"/>
        <w:keepLines w:val="0"/>
        <w:pageBreakBefore w:val="0"/>
        <w:numPr>
          <w:ilvl w:val="-1"/>
          <w:numId w:val="0"/>
        </w:numPr>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4、如采购人对中标方员工服务不满意，可责令中标方调换，中标方应无条件的在15日内调换。</w:t>
      </w:r>
    </w:p>
    <w:p w14:paraId="29578D49">
      <w:pPr>
        <w:pStyle w:val="15"/>
        <w:keepNext w:val="0"/>
        <w:keepLines w:val="0"/>
        <w:pageBreakBefore w:val="0"/>
        <w:numPr>
          <w:ilvl w:val="-1"/>
          <w:numId w:val="0"/>
        </w:numPr>
        <w:kinsoku/>
        <w:wordWrap/>
        <w:overflowPunct/>
        <w:topLinePunct w:val="0"/>
        <w:bidi w:val="0"/>
        <w:snapToGrid/>
        <w:spacing w:line="360" w:lineRule="auto"/>
        <w:ind w:left="0" w:firstLine="482" w:firstLineChars="200"/>
        <w:textAlignment w:val="auto"/>
        <w:rPr>
          <w:rFonts w:hint="eastAsia" w:ascii="宋体" w:hAnsi="宋体" w:eastAsia="宋体" w:cs="宋体"/>
          <w:b/>
          <w:sz w:val="24"/>
          <w:szCs w:val="24"/>
          <w:highlight w:val="none"/>
          <w:u w:val="none" w:color="000000"/>
          <w:lang w:eastAsia="zh-CN"/>
        </w:rPr>
      </w:pPr>
      <w:r>
        <w:rPr>
          <w:rFonts w:hint="eastAsia" w:ascii="宋体" w:hAnsi="宋体" w:eastAsia="宋体" w:cs="宋体"/>
          <w:b/>
          <w:sz w:val="24"/>
          <w:szCs w:val="24"/>
          <w:highlight w:val="none"/>
          <w:u w:val="none" w:color="000000"/>
          <w:lang w:val="en-US" w:eastAsia="zh-CN"/>
        </w:rPr>
        <w:t>八、</w:t>
      </w:r>
      <w:r>
        <w:rPr>
          <w:rFonts w:hint="eastAsia" w:ascii="宋体" w:hAnsi="宋体" w:eastAsia="宋体" w:cs="宋体"/>
          <w:b/>
          <w:sz w:val="24"/>
          <w:szCs w:val="24"/>
          <w:highlight w:val="none"/>
          <w:u w:val="none" w:color="000000"/>
          <w:lang w:eastAsia="zh-CN"/>
        </w:rPr>
        <w:t>有关说明：</w:t>
      </w:r>
    </w:p>
    <w:p w14:paraId="02A943BD">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1、中标人应根据国家、省、市有关法律法规、政策及与招标人签订的合同提供合格的服务，中标人须自行综合考虑报价，自主经营、自负盈亏。</w:t>
      </w:r>
    </w:p>
    <w:p w14:paraId="0D62E9F9">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中标人接受招标人对秩序维护服务，保洁服务，建筑、道路、设备、设施日常维保维修服务，绿化养护服务的监督和考核；招标人发现不足之处及时通知中标人进行整改，中标人整改不到位的，招标人有权根据考核得分从当期服务费应付款中扣除违约金。</w:t>
      </w:r>
    </w:p>
    <w:p w14:paraId="266F5C6F">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本项目总报价除应包括员工工资、社保费用、公积金、税金、意外保险、高温费、加班费及其他所有可能影响到报价的费用还应包括检测、管理、劳务、服装、培训、保修、通讯、安全保卫、调整风险及政策性文件规定等各项应有费用，常用耗材（包括垃圾清运费、保洁用品、安保用品、设备维护所需用品费用等）以及为完成采购文件规定的物业管理工作所涉及到的一切相关费用。报价人报价时应充分考虑服务期内所有可能影响到报价的因素，一旦中标，总价将包定，即为合同价，不予调整。如发生漏、缺、少项，都将被认为是报价人的报价让利行为，损失自负。</w:t>
      </w:r>
    </w:p>
    <w:p w14:paraId="44562842">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4、中标方应根据国家、省、市有关法律、法规、政策及与委托单位签订的物业管理委托合同，统一管理。</w:t>
      </w:r>
    </w:p>
    <w:p w14:paraId="47B5ED2F">
      <w:pPr>
        <w:pStyle w:val="15"/>
        <w:keepNext w:val="0"/>
        <w:keepLines w:val="0"/>
        <w:pageBreakBefore w:val="0"/>
        <w:kinsoku/>
        <w:wordWrap/>
        <w:overflowPunct/>
        <w:topLinePunct w:val="0"/>
        <w:bidi w:val="0"/>
        <w:snapToGrid/>
        <w:spacing w:line="360" w:lineRule="auto"/>
        <w:ind w:left="0" w:firstLine="480" w:firstLineChars="200"/>
        <w:textAlignment w:val="auto"/>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w:t>
      </w:r>
      <w:r>
        <w:rPr>
          <w:rFonts w:hint="eastAsia" w:ascii="宋体" w:hAnsi="宋体" w:eastAsia="宋体" w:cs="宋体"/>
          <w:i w:val="0"/>
          <w:iCs w:val="0"/>
          <w:caps w:val="0"/>
          <w:spacing w:val="0"/>
          <w:kern w:val="2"/>
          <w:sz w:val="24"/>
          <w:szCs w:val="24"/>
          <w:shd w:val="clear"/>
          <w:lang w:val="en-US" w:eastAsia="zh-CN"/>
        </w:rPr>
        <w:t>中</w:t>
      </w:r>
      <w:r>
        <w:rPr>
          <w:rFonts w:hint="eastAsia" w:ascii="宋体" w:hAnsi="宋体" w:eastAsia="宋体" w:cs="宋体"/>
          <w:sz w:val="24"/>
          <w:szCs w:val="24"/>
          <w:lang w:val="en-US" w:eastAsia="zh-CN"/>
        </w:rPr>
        <w:t>标人应按照相关规定，为所有为本项目服务的员工购买意外险，并于签订合同三日前交招标人备案，若中标人无法提供或提供虚假材料，招标人将提请相关部门严肃处理，中标人将承担一切社会经济责任，并且招标人有权拒绝与其签订合同，给招标人造成经济损失的，中标人应全额赔偿。</w:t>
      </w:r>
    </w:p>
    <w:p w14:paraId="1FB319E8">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6、绿化养护费用的计算依据参照惠城管[2026]5号文，由无锡市惠山区城市管理局与无锡市惠山区财政局联合制定并发布的《惠山区城市绿化及景观设施养护预算支出标准》通知中的相关规定与具体标准执行。</w:t>
      </w:r>
    </w:p>
    <w:p w14:paraId="1368D02B">
      <w:pPr>
        <w:pStyle w:val="15"/>
        <w:keepNext w:val="0"/>
        <w:keepLines w:val="0"/>
        <w:pageBreakBefore w:val="0"/>
        <w:kinsoku/>
        <w:wordWrap/>
        <w:overflowPunct/>
        <w:topLinePunct w:val="0"/>
        <w:bidi w:val="0"/>
        <w:snapToGrid/>
        <w:spacing w:line="360" w:lineRule="auto"/>
        <w:ind w:left="0" w:firstLine="480" w:firstLineChars="200"/>
        <w:textAlignment w:val="auto"/>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7、</w:t>
      </w:r>
      <w:r>
        <w:rPr>
          <w:rFonts w:hint="eastAsia" w:ascii="宋体" w:hAnsi="宋体" w:eastAsia="宋体" w:cs="宋体"/>
          <w:sz w:val="24"/>
          <w:szCs w:val="24"/>
          <w:lang w:bidi="ar-SA"/>
        </w:rPr>
        <w:t>原则上，大、中修由堰桥街道承担费用，小修问题由</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自行解决，以</w:t>
      </w: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00元</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单件或单处</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为分界点</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大、中修（即单件或单处维修费用≥</w:t>
      </w: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00元）所产生的费用，原则上由堰桥街道承担</w:t>
      </w:r>
      <w:r>
        <w:rPr>
          <w:rFonts w:hint="eastAsia" w:ascii="宋体" w:hAnsi="宋体" w:eastAsia="宋体" w:cs="宋体"/>
          <w:sz w:val="24"/>
          <w:szCs w:val="24"/>
          <w:lang w:eastAsia="zh-CN" w:bidi="ar-SA"/>
        </w:rPr>
        <w:t>，</w:t>
      </w:r>
      <w:r>
        <w:rPr>
          <w:rFonts w:hint="eastAsia" w:ascii="宋体" w:hAnsi="宋体" w:eastAsia="宋体" w:cs="宋体"/>
          <w:sz w:val="24"/>
          <w:szCs w:val="24"/>
          <w:lang w:val="en-US" w:eastAsia="zh-CN" w:bidi="ar-SA"/>
        </w:rPr>
        <w:t>如因为中标供应商未及时上报和处置，导致维修费用≥500元由中标供应商承担</w:t>
      </w:r>
      <w:r>
        <w:rPr>
          <w:rFonts w:hint="eastAsia" w:ascii="宋体" w:hAnsi="宋体" w:eastAsia="宋体" w:cs="宋体"/>
          <w:sz w:val="24"/>
          <w:szCs w:val="24"/>
          <w:lang w:bidi="ar-SA"/>
        </w:rPr>
        <w:t>；小修（即单件或单处维修费用＜</w:t>
      </w: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00元）所产生的费用，由中标供应商承担。保质期内的非维保单位承担的费用由</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承担，保质期外的都由</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承担。</w:t>
      </w:r>
    </w:p>
    <w:p w14:paraId="138372DE">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8、中标供应商应按照相关规定，与所有聘用人员依法签订劳动合同，服务人员的工资须符合国家、省、市的相关规定，符合无锡市最低工资标准且缴纳社会保险费。中标方必须依法参加工伤社会保险，为聘用人员缴纳保险费。</w:t>
      </w:r>
    </w:p>
    <w:p w14:paraId="1C4F04AD">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9、物业管理执行国务院《物业管理条例》、《江苏省物业管理条例》等，中标供应商要严格履行投标文件的承诺和与采购方签订的物业管理服务合同的约定，如发现管理服务达不到规定要求，中标供应商管理服务水平下降，投诉多等现象或管理服务中发生重大失误的，采购方有权依照法律程序解除合同，并要求进行财务审计，责任由中标方承担。</w:t>
      </w:r>
    </w:p>
    <w:p w14:paraId="710653D2">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10、采购方不提供开办费及前期接管等费用，不提供任何服务工具、装备和装备费，供应商需要将以上费用计入分项报价中。供应商必须在满足招标文件要求的基础上进行报价，如有技术偏离请于投标偏离表中说明。</w:t>
      </w:r>
    </w:p>
    <w:p w14:paraId="2A5E6C21">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11、中标供应商应控制所聘用人员的留退率，未经采购方同意，不得自行更换管理人员和服务人员。人员须定岗定位，空缺岗位人员须在一周内补齐。采购方在应急突发事件的情况下，有直接管理、设置和调动中标供应商岗位的权力并有权要求中标供应商及时更换不服从管理、违纪、不称职或其他原因不适合继续在管理服务的人员。</w:t>
      </w:r>
    </w:p>
    <w:p w14:paraId="0B684D67">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12、中标供应商服务期内由于管理与服务失职造成采购方财产损失，中标供应商应承担赔偿义务。中标供应商在日常管理活动中有出现违法乱纪现象，有出现重大安全事故，有出现聘用人员发生的一切伤害事故，有与第三方发生任何经济与合同纠纷等，责任均由中标供应商自负，采购方不负任何连带责任。</w:t>
      </w:r>
    </w:p>
    <w:p w14:paraId="4207A0E4">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13、履约保证金要求</w:t>
      </w:r>
    </w:p>
    <w:p w14:paraId="4C57E1FA">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为保证中标供应商按合同约定的服务质量履行合同，中标供应商需向采购人提交履约保证金。中标供应商在收到中标通知书后十个工作日内，并在签订合同协议书之前，按年度合同价款10%的金额向采购人提交履约保证金。</w:t>
      </w:r>
    </w:p>
    <w:p w14:paraId="6B949C1A">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（2）履约保证金缴纳形式：支票、汇票、本票、保函、电汇等非现金方式缴纳。中标供应商提交履约保证金所需费用均由中标供应商承担。</w:t>
      </w:r>
    </w:p>
    <w:p w14:paraId="145493CB">
      <w:pPr>
        <w:pStyle w:val="15"/>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kern w:val="2"/>
          <w:sz w:val="24"/>
          <w:szCs w:val="24"/>
          <w:lang w:val="en-US" w:eastAsia="zh-CN"/>
        </w:rPr>
      </w:pPr>
    </w:p>
    <w:p w14:paraId="4192F58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第二部分  有关说明</w:t>
      </w:r>
    </w:p>
    <w:p w14:paraId="46B2296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sz w:val="24"/>
          <w:szCs w:val="24"/>
        </w:rPr>
        <w:t>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0F373B6E">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sz w:val="24"/>
          <w:szCs w:val="24"/>
        </w:rPr>
        <w:t>中标供应商为残疾人福利性单位的，其《残疾人福利性单位声明函》将随中标公告同时发布，接受社会监督。</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提供的《残疾人福利性单位声明函》与事实不符的，依照《</w:t>
      </w:r>
      <w:r>
        <w:rPr>
          <w:rFonts w:hint="eastAsia" w:ascii="宋体" w:hAnsi="宋体" w:eastAsia="宋体" w:cs="宋体"/>
          <w:color w:val="auto"/>
          <w:sz w:val="24"/>
          <w:szCs w:val="24"/>
          <w:lang w:eastAsia="zh-CN"/>
        </w:rPr>
        <w:t>中华人民共和国政府采购法</w:t>
      </w:r>
      <w:r>
        <w:rPr>
          <w:rFonts w:hint="eastAsia" w:ascii="宋体" w:hAnsi="宋体" w:eastAsia="宋体" w:cs="宋体"/>
          <w:color w:val="auto"/>
          <w:sz w:val="24"/>
          <w:szCs w:val="24"/>
        </w:rPr>
        <w:t>》第七十七条第一款的规定追究法律责任。</w:t>
      </w:r>
    </w:p>
    <w:p w14:paraId="14750A31">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sz w:val="24"/>
          <w:szCs w:val="24"/>
        </w:rPr>
        <w:t>依据《政府采购促进中小企业发展管理办法》规定享受扶持政策获得政府采购合同的，小微企业不得将合同分包给大中型企业，中型企业不得将合同分包给大型企业。</w:t>
      </w:r>
    </w:p>
    <w:p w14:paraId="50B92637">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sz w:val="24"/>
          <w:szCs w:val="24"/>
        </w:rPr>
        <w:t>开标后，</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须自行准备设备（包括但不限于笔记本电脑、无线网络）登录“苏采云”系统，按招标文件规定时间解密后，在评标过程中保持在线，等待评标委员会的询标和评标结果，中途不得离开。如未按要求应答，由此所产生的损失及风险由</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自行承担。</w:t>
      </w:r>
    </w:p>
    <w:p w14:paraId="766DEBDD">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p>
    <w:p w14:paraId="0B45067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第三部分  政府采购政策</w:t>
      </w:r>
    </w:p>
    <w:p w14:paraId="1AF9ACC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（包括但不限于下列具体政策要求）</w:t>
      </w:r>
    </w:p>
    <w:p w14:paraId="5BB0F678">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66B467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31D0BE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3.根据国家扶持中小企业的有关政策，在我中心组织的采购项目中标的供应商，如需要政府采购合同融资，请按锡财购【2022】7号文件执行。</w:t>
      </w:r>
    </w:p>
    <w:p w14:paraId="5516B1D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合同融资</w:t>
      </w:r>
      <w:r>
        <w:rPr>
          <w:rFonts w:hint="eastAsia" w:ascii="宋体" w:hAnsi="宋体" w:eastAsia="宋体" w:cs="宋体"/>
          <w:bCs/>
          <w:color w:val="auto"/>
          <w:sz w:val="24"/>
          <w:szCs w:val="24"/>
          <w:lang w:val="en"/>
        </w:rPr>
        <w:t>,</w:t>
      </w:r>
      <w:r>
        <w:rPr>
          <w:rFonts w:hint="eastAsia" w:ascii="宋体" w:hAnsi="宋体" w:eastAsia="宋体" w:cs="宋体"/>
          <w:bCs/>
          <w:color w:val="auto"/>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105DE8D2">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中标、成交供应商可根据自身情况，自行决定是否选择采用合同融资形式， 在无锡政府采购网——政采贷专栏提供的银行名录内自主选择合作银行。</w:t>
      </w:r>
    </w:p>
    <w:p w14:paraId="366E2E03">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3EDBAA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
        </w:rPr>
        <w:t>中标、成交供应商可以根据自身情况，自行决定是否采用电子履约保函形式，具体操作可登陆江苏政府采购网的保险保函模块进行办理。</w:t>
      </w:r>
    </w:p>
    <w:p w14:paraId="05DD20AA">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5.本项目中如有涉及到数据库、操作系统、通用服务器、工作站、一体式计算机、便携式计算机、台式计算机等七种软硬件的，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应满足招标文件要求。</w:t>
      </w:r>
      <w:r>
        <w:rPr>
          <w:rFonts w:hint="eastAsia" w:ascii="宋体" w:hAnsi="宋体" w:eastAsia="宋体" w:cs="宋体"/>
          <w:bCs/>
          <w:color w:val="auto"/>
          <w:sz w:val="24"/>
          <w:szCs w:val="24"/>
        </w:rPr>
        <w:t>采购人可在合同中约定，</w:t>
      </w:r>
      <w:r>
        <w:rPr>
          <w:rFonts w:hint="eastAsia" w:ascii="宋体" w:hAnsi="宋体" w:eastAsia="宋体" w:cs="宋体"/>
          <w:color w:val="auto"/>
          <w:sz w:val="24"/>
          <w:szCs w:val="24"/>
        </w:rPr>
        <w:t>在</w:t>
      </w:r>
      <w:r>
        <w:rPr>
          <w:rFonts w:hint="eastAsia" w:ascii="宋体" w:hAnsi="宋体" w:eastAsia="宋体" w:cs="宋体"/>
          <w:bCs/>
          <w:color w:val="auto"/>
          <w:sz w:val="24"/>
          <w:szCs w:val="24"/>
        </w:rPr>
        <w:t>履约验收管理时，可对所提供的七种软硬件进行验收，必要时可以委托依法取得检测、认证资质的机构进行检测、认证。</w:t>
      </w:r>
    </w:p>
    <w:p w14:paraId="288F7671">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CF1056F">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政府采购合同的双方当事人不得擅自变更合同，依照政府采购法确需变更政府采购合同内容的，采购人应当自合同变更之日起</w:t>
      </w:r>
    </w:p>
    <w:p w14:paraId="13D02CEB">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2个工作日内在省级以上财政部门指定的媒体上发布政府采购合同变更公告，但涉及国家秘密、商业秘密的信息和其他依法不得公开的信息除外。</w:t>
      </w:r>
    </w:p>
    <w:p w14:paraId="47984643">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采购人原则上应当自收到发票后10个工作日内将资金支付到合同约定的供应商账户。</w:t>
      </w:r>
    </w:p>
    <w:p w14:paraId="40FC9C6D">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45CF630">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1AD29D1">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6AFF3A1">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5D427A51">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14407187">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6851A808">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AFC7BA5">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11DA4E5B">
      <w:pPr>
        <w:widowControl/>
        <w:jc w:val="left"/>
        <w:rPr>
          <w:rFonts w:hint="eastAsia" w:ascii="宋体" w:hAnsi="宋体" w:cs="宋体"/>
          <w:bCs/>
          <w:color w:val="auto"/>
          <w:sz w:val="32"/>
          <w:szCs w:val="32"/>
          <w:highlight w:val="none"/>
        </w:rPr>
      </w:pPr>
    </w:p>
    <w:p w14:paraId="7CC28020">
      <w:pPr>
        <w:pStyle w:val="249"/>
        <w:spacing w:line="360" w:lineRule="auto"/>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54140E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0D82A84F">
      <w:pPr>
        <w:spacing w:line="360" w:lineRule="auto"/>
        <w:ind w:firstLine="602"/>
        <w:jc w:val="center"/>
        <w:outlineLvl w:val="0"/>
        <w:rPr>
          <w:rFonts w:hint="eastAsia" w:ascii="宋体" w:hAnsi="宋体"/>
          <w:b/>
          <w:bCs/>
          <w:color w:val="auto"/>
          <w:sz w:val="30"/>
          <w:highlight w:val="none"/>
        </w:rPr>
      </w:pPr>
      <w:r>
        <w:rPr>
          <w:rFonts w:hint="eastAsia" w:ascii="宋体" w:hAnsi="宋体"/>
          <w:b/>
          <w:color w:val="auto"/>
          <w:sz w:val="30"/>
          <w:highlight w:val="none"/>
        </w:rPr>
        <w:t>江苏省政府采购合同（服务）（合同编号）</w:t>
      </w:r>
    </w:p>
    <w:p w14:paraId="071F27C5">
      <w:pPr>
        <w:pStyle w:val="373"/>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28130B51">
      <w:pPr>
        <w:pStyle w:val="373"/>
        <w:spacing w:line="360" w:lineRule="auto"/>
        <w:rPr>
          <w:rFonts w:hint="eastAsia" w:hAnsi="宋体"/>
          <w:color w:val="auto"/>
          <w:sz w:val="24"/>
          <w:szCs w:val="24"/>
          <w:highlight w:val="none"/>
        </w:rPr>
      </w:pPr>
      <w:r>
        <w:rPr>
          <w:rFonts w:hAnsi="宋体"/>
          <w:color w:val="auto"/>
          <w:sz w:val="24"/>
          <w:szCs w:val="24"/>
          <w:highlight w:val="none"/>
        </w:rPr>
        <w:t>甲方：（买方、需方、采购人）_________</w:t>
      </w:r>
    </w:p>
    <w:p w14:paraId="41EC9786">
      <w:pPr>
        <w:pStyle w:val="373"/>
        <w:spacing w:line="360" w:lineRule="auto"/>
        <w:rPr>
          <w:rFonts w:hint="eastAsia" w:hAnsi="宋体"/>
          <w:color w:val="auto"/>
          <w:sz w:val="24"/>
          <w:szCs w:val="24"/>
          <w:highlight w:val="none"/>
        </w:rPr>
      </w:pPr>
      <w:r>
        <w:rPr>
          <w:rFonts w:hAnsi="宋体"/>
          <w:color w:val="auto"/>
          <w:sz w:val="24"/>
          <w:szCs w:val="24"/>
          <w:highlight w:val="none"/>
        </w:rPr>
        <w:t>乙方：（卖方、供方、供应商）_________</w:t>
      </w:r>
    </w:p>
    <w:p w14:paraId="5A0CE704">
      <w:pPr>
        <w:pStyle w:val="373"/>
        <w:spacing w:line="360" w:lineRule="auto"/>
        <w:ind w:firstLine="482"/>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1BC8E8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合同标的</w:t>
      </w:r>
    </w:p>
    <w:p w14:paraId="7853271D">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5533B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二、项目</w:t>
      </w:r>
      <w:r>
        <w:rPr>
          <w:rFonts w:hint="eastAsia" w:ascii="宋体" w:hAnsi="宋体" w:cs="宋体"/>
          <w:color w:val="auto"/>
          <w:sz w:val="24"/>
          <w:highlight w:val="none"/>
          <w:lang w:eastAsia="zh-CN"/>
        </w:rPr>
        <w:t>坐落位置</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15B1D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50E5AD3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第二条 委托管理事项</w:t>
      </w:r>
    </w:p>
    <w:p w14:paraId="2C72AEE4">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1A5D9453">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第三条 合同总价款</w:t>
      </w:r>
    </w:p>
    <w:p w14:paraId="26A75C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66905A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二、本合同执行期间总价不变。</w:t>
      </w:r>
    </w:p>
    <w:p w14:paraId="209EF8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三、履约保证金的缴纳和退付</w:t>
      </w:r>
    </w:p>
    <w:p w14:paraId="64989535">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5D11834">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7964F28D">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15927E75">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5A48F873">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E116F6D">
      <w:pPr>
        <w:tabs>
          <w:tab w:val="left" w:pos="945"/>
          <w:tab w:val="left" w:pos="2100"/>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6DBD6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4FC86E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61EF80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一、乙方提供的投标文件和报价表；</w:t>
      </w:r>
    </w:p>
    <w:p w14:paraId="26A805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二、中标通知书；</w:t>
      </w:r>
    </w:p>
    <w:p w14:paraId="4BE4CE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三、甲乙双方商定的其他文件。</w:t>
      </w:r>
    </w:p>
    <w:p w14:paraId="5EA0045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第五条 双方权利义务</w:t>
      </w:r>
    </w:p>
    <w:p w14:paraId="6E7D20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一、甲方权利义务</w:t>
      </w:r>
    </w:p>
    <w:p w14:paraId="4B824E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3074DC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58E6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07131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w:t>
      </w:r>
      <w:r>
        <w:rPr>
          <w:rFonts w:hint="eastAsia" w:ascii="宋体" w:hAnsi="宋体"/>
          <w:color w:val="auto"/>
          <w:sz w:val="24"/>
          <w:szCs w:val="24"/>
          <w:highlight w:val="none"/>
          <w:lang w:eastAsia="zh-CN"/>
        </w:rPr>
        <w:t>必需的</w:t>
      </w:r>
      <w:r>
        <w:rPr>
          <w:rFonts w:hint="eastAsia" w:ascii="宋体" w:hAnsi="宋体"/>
          <w:color w:val="auto"/>
          <w:sz w:val="24"/>
          <w:szCs w:val="24"/>
          <w:highlight w:val="none"/>
        </w:rPr>
        <w:t>水、电供应</w:t>
      </w:r>
      <w:r>
        <w:rPr>
          <w:rFonts w:hint="eastAsia" w:ascii="宋体" w:hAnsi="宋体" w:cs="宋体"/>
          <w:color w:val="auto"/>
          <w:sz w:val="24"/>
          <w:highlight w:val="none"/>
        </w:rPr>
        <w:t>。</w:t>
      </w:r>
    </w:p>
    <w:p w14:paraId="5B3ADDC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1FFECC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1F2C79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16A1D9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3B2E03F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4E5AC8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二、乙方权利义务</w:t>
      </w:r>
    </w:p>
    <w:p w14:paraId="08A6306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w:t>
      </w:r>
      <w:r>
        <w:rPr>
          <w:rFonts w:hint="eastAsia" w:ascii="宋体" w:hAnsi="宋体" w:cs="宋体"/>
          <w:color w:val="auto"/>
          <w:sz w:val="24"/>
          <w:highlight w:val="none"/>
          <w:lang w:eastAsia="zh-CN"/>
        </w:rPr>
        <w:t>，</w:t>
      </w:r>
      <w:r>
        <w:rPr>
          <w:rFonts w:hint="eastAsia" w:ascii="宋体" w:hAnsi="宋体" w:cs="宋体"/>
          <w:color w:val="auto"/>
          <w:sz w:val="24"/>
          <w:highlight w:val="none"/>
        </w:rPr>
        <w:t>并做好书面确认工作；对所有图、档、卡、册等资料应做好建档工作。</w:t>
      </w:r>
    </w:p>
    <w:p w14:paraId="149A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1F1DF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6BE203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97687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170A8D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943EF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728C6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4C9BFE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（九）投保物业公众责任险。</w:t>
      </w:r>
    </w:p>
    <w:p w14:paraId="7A69A5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8C260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76A72DB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18020F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115E61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597E04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06DE78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60280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4412E4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（六）除上述各款外，</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不可归责于乙方之事由的。</w:t>
      </w:r>
    </w:p>
    <w:p w14:paraId="27FF0EEF">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55168B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w:t>
      </w:r>
      <w:r>
        <w:rPr>
          <w:rFonts w:hint="eastAsia" w:ascii="宋体" w:hAnsi="宋体" w:cs="宋体"/>
          <w:color w:val="auto"/>
          <w:sz w:val="24"/>
          <w:highlight w:val="none"/>
          <w:lang w:eastAsia="zh-CN"/>
        </w:rPr>
        <w:t>漏</w:t>
      </w:r>
      <w:r>
        <w:rPr>
          <w:rFonts w:hint="eastAsia" w:ascii="宋体" w:hAnsi="宋体" w:cs="宋体"/>
          <w:color w:val="auto"/>
          <w:sz w:val="24"/>
          <w:highlight w:val="none"/>
        </w:rPr>
        <w:t>、漏电、火灾、水管破裂、救助人命、协助公安机关执行任务等情况，乙方因采取紧急避险措施造成财产损失的，按有关法律规定处理。</w:t>
      </w:r>
    </w:p>
    <w:p w14:paraId="6441D73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第六条 质量保证</w:t>
      </w:r>
    </w:p>
    <w:p w14:paraId="1FA593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7597BD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545A02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255F84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67564AB9">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第七条 款项支付</w:t>
      </w:r>
    </w:p>
    <w:p w14:paraId="7D0949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56F698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207922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485970A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第八条 违约责任</w:t>
      </w:r>
    </w:p>
    <w:p w14:paraId="71377D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 xml:space="preserve"> 或依照法律程序解除部分或全部合同。</w:t>
      </w:r>
    </w:p>
    <w:p w14:paraId="6EC4B8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二、甲方未按合同约定向乙方支付款项的，每逾期1天甲方向乙方偿付欠款总额的5‰违约金，但累计违约金总额不超过欠款总额的5%。</w:t>
      </w:r>
    </w:p>
    <w:p w14:paraId="08B767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074ACA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479F1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128B86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28EF20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045FB77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4CB50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一、本合同自签订之日起生效。除《</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》第五十条第二款规定的情形外，本合同一经签订，甲乙双方不得擅自变更、中止或终止合同。</w:t>
      </w:r>
    </w:p>
    <w:p w14:paraId="7927A5B8">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5211D2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D8CF7BB">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60B11D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w:t>
      </w:r>
      <w:r>
        <w:rPr>
          <w:rFonts w:hint="eastAsia" w:ascii="宋体" w:hAnsi="宋体" w:cs="宋体"/>
          <w:color w:val="auto"/>
          <w:sz w:val="24"/>
          <w:highlight w:val="none"/>
          <w:lang w:eastAsia="zh-CN"/>
        </w:rPr>
        <w:t>做好</w:t>
      </w:r>
      <w:r>
        <w:rPr>
          <w:rFonts w:hint="eastAsia" w:ascii="宋体" w:hAnsi="宋体" w:cs="宋体"/>
          <w:color w:val="auto"/>
          <w:sz w:val="24"/>
          <w:highlight w:val="none"/>
        </w:rPr>
        <w:t>服务的交接和善后工作，移交或配合甲方移交管理用房和管理的全部档案资料等。</w:t>
      </w:r>
    </w:p>
    <w:p w14:paraId="75F4CD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693A7791">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第十条 争议的解决</w:t>
      </w:r>
    </w:p>
    <w:p w14:paraId="5755459D">
      <w:pPr>
        <w:tabs>
          <w:tab w:val="left" w:pos="0"/>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521780D6">
      <w:pPr>
        <w:tabs>
          <w:tab w:val="left" w:pos="525"/>
          <w:tab w:val="left" w:pos="945"/>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1887D0D7">
      <w:pPr>
        <w:tabs>
          <w:tab w:val="left" w:pos="0"/>
          <w:tab w:val="left" w:pos="525"/>
          <w:tab w:val="left" w:pos="945"/>
        </w:tabs>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D809F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46D678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7A82C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3BC2AB08">
      <w:pPr>
        <w:spacing w:line="360" w:lineRule="auto"/>
        <w:ind w:firstLine="480"/>
        <w:rPr>
          <w:rFonts w:hint="eastAsia" w:ascii="宋体" w:hAnsi="宋体" w:cs="宋体"/>
          <w:color w:val="auto"/>
          <w:sz w:val="24"/>
          <w:highlight w:val="none"/>
        </w:rPr>
      </w:pPr>
    </w:p>
    <w:p w14:paraId="691C6A5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F9DDB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009CB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p>
    <w:p w14:paraId="10147A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电话：                               电话： </w:t>
      </w:r>
    </w:p>
    <w:p w14:paraId="371547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p>
    <w:p w14:paraId="0A0538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p>
    <w:p w14:paraId="66B26467">
      <w:pPr>
        <w:spacing w:line="360" w:lineRule="auto"/>
        <w:ind w:firstLine="480"/>
        <w:rPr>
          <w:rFonts w:hint="eastAsia" w:ascii="宋体" w:hAnsi="宋体" w:cs="宋体"/>
          <w:color w:val="auto"/>
          <w:sz w:val="24"/>
          <w:highlight w:val="none"/>
        </w:rPr>
      </w:pPr>
    </w:p>
    <w:p w14:paraId="50D64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签订日期：    年    月    日</w:t>
      </w:r>
    </w:p>
    <w:p w14:paraId="3D405DE3">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2"/>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4"/>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4"/>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4"/>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4"/>
        <w:spacing w:before="0" w:after="0" w:line="500" w:lineRule="exact"/>
        <w:rPr>
          <w:rStyle w:val="369"/>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w:t>
      </w:r>
      <w:r>
        <w:rPr>
          <w:rFonts w:hint="eastAsia" w:ascii="宋体" w:hAnsi="宋体"/>
          <w:bCs/>
          <w:color w:val="auto"/>
          <w:highlight w:val="none"/>
        </w:rPr>
        <w:t>投标文件满足招标文件全部实质性要求，且按照评审因素的量化指标评审得分最高的投标人排名第一</w:t>
      </w:r>
      <w:r>
        <w:rPr>
          <w:rFonts w:hint="eastAsia" w:ascii="宋体" w:hAnsi="宋体"/>
          <w:bCs/>
          <w:color w:val="auto"/>
          <w:highlight w:val="none"/>
          <w:lang w:eastAsia="zh-CN"/>
        </w:rPr>
        <w:t>。</w:t>
      </w:r>
      <w:r>
        <w:rPr>
          <w:rFonts w:hint="eastAsia" w:ascii="宋体" w:hAnsi="宋体"/>
          <w:bCs/>
          <w:color w:val="auto"/>
          <w:highlight w:val="none"/>
        </w:rPr>
        <w:t>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4"/>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6D35460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4"/>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4"/>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4"/>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141FBD5A">
      <w:pPr>
        <w:tabs>
          <w:tab w:val="left" w:pos="945"/>
          <w:tab w:val="left" w:pos="1155"/>
          <w:tab w:val="left" w:pos="2250"/>
          <w:tab w:val="left" w:pos="3823"/>
        </w:tabs>
        <w:spacing w:line="360" w:lineRule="auto"/>
        <w:ind w:firstLine="482" w:firstLineChars="200"/>
        <w:rPr>
          <w:rFonts w:ascii="宋体" w:hAnsi="宋体" w:eastAsia="宋体" w:cs="Times New Roman"/>
          <w:b/>
          <w:bCs/>
          <w:color w:val="auto"/>
          <w:kern w:val="0"/>
          <w:sz w:val="24"/>
          <w:szCs w:val="24"/>
          <w:highlight w:val="none"/>
        </w:rPr>
      </w:pPr>
      <w:r>
        <w:rPr>
          <w:rFonts w:hint="eastAsia" w:ascii="宋体" w:hAnsi="宋体" w:cs="Times New Roman"/>
          <w:b/>
          <w:bCs/>
          <w:color w:val="auto"/>
          <w:kern w:val="0"/>
          <w:sz w:val="24"/>
          <w:szCs w:val="24"/>
          <w:highlight w:val="none"/>
          <w:lang w:val="en-US" w:eastAsia="zh-CN"/>
        </w:rPr>
        <w:t>1.</w:t>
      </w:r>
      <w:r>
        <w:rPr>
          <w:rFonts w:hint="eastAsia" w:ascii="宋体" w:hAnsi="宋体" w:eastAsia="宋体" w:cs="Times New Roman"/>
          <w:b/>
          <w:bCs/>
          <w:color w:val="auto"/>
          <w:kern w:val="0"/>
          <w:sz w:val="24"/>
          <w:szCs w:val="24"/>
          <w:highlight w:val="none"/>
        </w:rPr>
        <w:t>价格</w:t>
      </w:r>
      <w:r>
        <w:rPr>
          <w:rFonts w:hint="eastAsia" w:ascii="宋体" w:hAnsi="宋体" w:eastAsia="宋体" w:cs="宋体"/>
          <w:b/>
          <w:bCs/>
          <w:color w:val="auto"/>
          <w:kern w:val="0"/>
          <w:sz w:val="24"/>
          <w:szCs w:val="24"/>
          <w:highlight w:val="none"/>
        </w:rPr>
        <w:t>（2</w:t>
      </w:r>
      <w:r>
        <w:rPr>
          <w:rFonts w:hint="eastAsia" w:ascii="宋体" w:hAnsi="宋体" w:eastAsia="宋体" w:cs="宋体"/>
          <w:b/>
          <w:bCs/>
          <w:color w:val="auto"/>
          <w:kern w:val="0"/>
          <w:sz w:val="24"/>
          <w:szCs w:val="24"/>
          <w:highlight w:val="none"/>
          <w:lang w:val="en-US" w:eastAsia="zh-CN"/>
        </w:rPr>
        <w:t>8</w:t>
      </w:r>
      <w:r>
        <w:rPr>
          <w:rFonts w:hint="eastAsia" w:ascii="宋体" w:hAnsi="宋体" w:eastAsia="宋体" w:cs="宋体"/>
          <w:b/>
          <w:bCs/>
          <w:color w:val="auto"/>
          <w:kern w:val="0"/>
          <w:sz w:val="24"/>
          <w:szCs w:val="24"/>
          <w:highlight w:val="none"/>
        </w:rPr>
        <w:t>分）</w:t>
      </w:r>
    </w:p>
    <w:p w14:paraId="25DEF8C7">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kern w:val="0"/>
          <w:sz w:val="24"/>
          <w:szCs w:val="24"/>
          <w:highlight w:val="none"/>
          <w:lang w:eastAsia="zh-CN"/>
        </w:rPr>
        <w:t>投标供应商</w:t>
      </w:r>
      <w:r>
        <w:rPr>
          <w:rFonts w:hint="eastAsia" w:ascii="宋体" w:hAnsi="宋体" w:eastAsia="宋体" w:cs="Times New Roman"/>
          <w:bCs/>
          <w:color w:val="auto"/>
          <w:kern w:val="0"/>
          <w:sz w:val="24"/>
          <w:szCs w:val="24"/>
          <w:highlight w:val="none"/>
        </w:rPr>
        <w:t>的价格分统一按照下列公式计算：</w:t>
      </w:r>
    </w:p>
    <w:p w14:paraId="4FF974AD">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投标报价得分</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评标基准价／投标报价</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×价格权值×</w:t>
      </w:r>
      <w:r>
        <w:rPr>
          <w:rFonts w:ascii="宋体" w:hAnsi="宋体" w:eastAsia="宋体" w:cs="Times New Roman"/>
          <w:bCs/>
          <w:color w:val="auto"/>
          <w:kern w:val="0"/>
          <w:sz w:val="24"/>
          <w:szCs w:val="24"/>
          <w:highlight w:val="none"/>
        </w:rPr>
        <w:t>100</w:t>
      </w:r>
      <w:r>
        <w:rPr>
          <w:rFonts w:hint="eastAsia" w:ascii="宋体" w:hAnsi="宋体" w:eastAsia="宋体" w:cs="Times New Roman"/>
          <w:bCs/>
          <w:color w:val="auto"/>
          <w:kern w:val="0"/>
          <w:sz w:val="24"/>
          <w:szCs w:val="24"/>
          <w:highlight w:val="none"/>
        </w:rPr>
        <w:t>。</w:t>
      </w:r>
    </w:p>
    <w:p w14:paraId="3621CC6B">
      <w:pPr>
        <w:spacing w:line="360" w:lineRule="auto"/>
        <w:ind w:firstLine="480"/>
        <w:jc w:val="left"/>
        <w:rPr>
          <w:rFonts w:hint="eastAsia"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关于价格扣除详见本章第二部分“一、落实政府采购政策的价格调整”。</w:t>
      </w:r>
    </w:p>
    <w:p w14:paraId="530F644E">
      <w:pPr>
        <w:pStyle w:val="388"/>
        <w:spacing w:line="360" w:lineRule="auto"/>
        <w:ind w:firstLine="482" w:firstLineChars="20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w:t>
      </w:r>
      <w:r>
        <w:rPr>
          <w:rFonts w:hint="eastAsia" w:ascii="宋体" w:hAnsi="宋体" w:cs="宋体"/>
          <w:b/>
          <w:bCs/>
          <w:sz w:val="24"/>
          <w:szCs w:val="24"/>
          <w:highlight w:val="none"/>
          <w:lang w:val="en-US" w:eastAsia="zh-CN"/>
        </w:rPr>
        <w:t>.</w:t>
      </w:r>
      <w:r>
        <w:rPr>
          <w:rFonts w:hint="eastAsia" w:ascii="宋体" w:hAnsi="宋体" w:eastAsia="宋体" w:cs="宋体"/>
          <w:b/>
          <w:bCs/>
          <w:sz w:val="24"/>
          <w:szCs w:val="24"/>
          <w:highlight w:val="none"/>
          <w:lang w:val="en-US" w:eastAsia="zh-CN"/>
        </w:rPr>
        <w:t>投标人综合情况（</w:t>
      </w:r>
      <w:r>
        <w:rPr>
          <w:rFonts w:hint="eastAsia" w:ascii="宋体" w:hAnsi="宋体" w:cs="宋体"/>
          <w:b/>
          <w:bCs/>
          <w:sz w:val="24"/>
          <w:szCs w:val="24"/>
          <w:highlight w:val="none"/>
          <w:lang w:val="en-US" w:eastAsia="zh-CN"/>
        </w:rPr>
        <w:t>22</w:t>
      </w:r>
      <w:r>
        <w:rPr>
          <w:rFonts w:hint="eastAsia" w:ascii="宋体" w:hAnsi="宋体" w:eastAsia="宋体" w:cs="宋体"/>
          <w:b/>
          <w:bCs/>
          <w:sz w:val="24"/>
          <w:szCs w:val="24"/>
          <w:highlight w:val="none"/>
          <w:lang w:val="en-US" w:eastAsia="zh-CN"/>
        </w:rPr>
        <w:t>分）</w:t>
      </w:r>
    </w:p>
    <w:p w14:paraId="24FC0D7A">
      <w:pPr>
        <w:pStyle w:val="388"/>
        <w:spacing w:line="360" w:lineRule="auto"/>
        <w:ind w:firstLine="482" w:firstLineChars="200"/>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（1）</w:t>
      </w:r>
      <w:r>
        <w:rPr>
          <w:rFonts w:hint="eastAsia" w:ascii="宋体" w:hAnsi="宋体" w:eastAsia="宋体" w:cs="宋体"/>
          <w:b/>
          <w:bCs/>
          <w:sz w:val="24"/>
          <w:szCs w:val="24"/>
          <w:highlight w:val="none"/>
        </w:rPr>
        <w:t>投标人业绩（</w:t>
      </w: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rPr>
        <w:t>分）</w:t>
      </w:r>
    </w:p>
    <w:p w14:paraId="62F52D37">
      <w:pPr>
        <w:pStyle w:val="388"/>
        <w:spacing w:line="360" w:lineRule="auto"/>
        <w:ind w:firstLine="480" w:firstLineChars="200"/>
        <w:rPr>
          <w:rFonts w:hint="eastAsia" w:ascii="宋体" w:hAnsi="宋体" w:eastAsia="宋体" w:cs="Times New Roman"/>
          <w:bCs/>
          <w:color w:val="auto"/>
          <w:kern w:val="0"/>
          <w:sz w:val="24"/>
          <w:szCs w:val="20"/>
        </w:rPr>
      </w:pPr>
      <w:r>
        <w:rPr>
          <w:rFonts w:hint="eastAsia" w:ascii="宋体" w:hAnsi="宋体" w:eastAsia="宋体" w:cs="Times New Roman"/>
          <w:bCs/>
          <w:color w:val="auto"/>
          <w:kern w:val="0"/>
          <w:sz w:val="24"/>
          <w:szCs w:val="20"/>
          <w:lang w:eastAsia="zh-CN"/>
        </w:rPr>
        <w:t>投标供应商</w:t>
      </w:r>
      <w:r>
        <w:rPr>
          <w:rFonts w:hint="eastAsia" w:ascii="宋体" w:hAnsi="宋体" w:eastAsia="宋体" w:cs="Times New Roman"/>
          <w:bCs/>
          <w:color w:val="auto"/>
          <w:kern w:val="0"/>
          <w:sz w:val="24"/>
          <w:szCs w:val="20"/>
          <w:lang w:val="en-US" w:eastAsia="zh-CN"/>
        </w:rPr>
        <w:t>近三年</w:t>
      </w:r>
      <w:r>
        <w:rPr>
          <w:rFonts w:hint="eastAsia" w:ascii="宋体" w:hAnsi="宋体" w:eastAsia="宋体" w:cs="Times New Roman"/>
          <w:bCs/>
          <w:color w:val="auto"/>
          <w:kern w:val="0"/>
          <w:sz w:val="24"/>
          <w:szCs w:val="20"/>
        </w:rPr>
        <w:t>（自本项目</w:t>
      </w:r>
      <w:r>
        <w:rPr>
          <w:rFonts w:hint="eastAsia" w:ascii="宋体" w:hAnsi="宋体" w:eastAsia="宋体" w:cs="Times New Roman"/>
          <w:bCs/>
          <w:color w:val="auto"/>
          <w:kern w:val="0"/>
          <w:sz w:val="24"/>
          <w:szCs w:val="20"/>
          <w:lang w:val="en-US" w:eastAsia="zh-CN"/>
        </w:rPr>
        <w:t>采购</w:t>
      </w:r>
      <w:r>
        <w:rPr>
          <w:rFonts w:hint="eastAsia" w:ascii="宋体" w:hAnsi="宋体" w:eastAsia="宋体" w:cs="Times New Roman"/>
          <w:bCs/>
          <w:color w:val="auto"/>
          <w:kern w:val="0"/>
          <w:sz w:val="24"/>
          <w:szCs w:val="20"/>
        </w:rPr>
        <w:t>公告发布之日起往前顺推，以合同签订日期为准）承担过同类物业管理项目的，</w:t>
      </w:r>
      <w:r>
        <w:rPr>
          <w:rFonts w:hint="eastAsia" w:ascii="宋体" w:hAnsi="宋体" w:eastAsia="宋体" w:cs="Times New Roman"/>
          <w:bCs/>
          <w:color w:val="auto"/>
          <w:kern w:val="0"/>
          <w:sz w:val="24"/>
          <w:szCs w:val="20"/>
          <w:lang w:val="en-US" w:eastAsia="zh-CN"/>
        </w:rPr>
        <w:t>每个</w:t>
      </w:r>
      <w:r>
        <w:rPr>
          <w:rFonts w:hint="eastAsia" w:ascii="宋体" w:hAnsi="宋体" w:eastAsia="宋体" w:cs="Times New Roman"/>
          <w:bCs/>
          <w:color w:val="auto"/>
          <w:kern w:val="0"/>
          <w:sz w:val="24"/>
          <w:szCs w:val="20"/>
        </w:rPr>
        <w:t>得</w:t>
      </w:r>
      <w:r>
        <w:rPr>
          <w:rFonts w:hint="eastAsia" w:ascii="宋体" w:hAnsi="宋体" w:eastAsia="宋体" w:cs="Times New Roman"/>
          <w:bCs/>
          <w:color w:val="auto"/>
          <w:kern w:val="0"/>
          <w:sz w:val="24"/>
          <w:szCs w:val="20"/>
          <w:lang w:val="en-US" w:eastAsia="zh-CN"/>
        </w:rPr>
        <w:t>2</w:t>
      </w:r>
      <w:r>
        <w:rPr>
          <w:rFonts w:hint="eastAsia" w:ascii="宋体" w:hAnsi="宋体" w:eastAsia="宋体" w:cs="Times New Roman"/>
          <w:bCs/>
          <w:color w:val="auto"/>
          <w:kern w:val="0"/>
          <w:sz w:val="24"/>
          <w:szCs w:val="20"/>
        </w:rPr>
        <w:t>分，最高得</w:t>
      </w:r>
      <w:r>
        <w:rPr>
          <w:rFonts w:hint="eastAsia" w:ascii="宋体" w:hAnsi="宋体" w:cs="Times New Roman"/>
          <w:bCs/>
          <w:color w:val="auto"/>
          <w:kern w:val="0"/>
          <w:sz w:val="24"/>
          <w:szCs w:val="20"/>
          <w:lang w:val="en-US" w:eastAsia="zh-CN"/>
        </w:rPr>
        <w:t>4</w:t>
      </w:r>
      <w:r>
        <w:rPr>
          <w:rFonts w:hint="eastAsia" w:ascii="宋体" w:hAnsi="宋体" w:eastAsia="宋体" w:cs="Times New Roman"/>
          <w:bCs/>
          <w:color w:val="auto"/>
          <w:kern w:val="0"/>
          <w:sz w:val="24"/>
          <w:szCs w:val="20"/>
        </w:rPr>
        <w:t>分</w:t>
      </w:r>
      <w:r>
        <w:rPr>
          <w:rFonts w:hint="eastAsia" w:ascii="宋体" w:hAnsi="宋体" w:eastAsia="宋体" w:cs="Times New Roman"/>
          <w:b/>
          <w:color w:val="auto"/>
          <w:kern w:val="0"/>
          <w:sz w:val="24"/>
          <w:szCs w:val="20"/>
        </w:rPr>
        <w:t>（投标文件中提供合同原件扫描件并加盖公章或签电子公章，不提供或提供不符合要求的不得分</w:t>
      </w:r>
      <w:r>
        <w:rPr>
          <w:rFonts w:hint="eastAsia" w:ascii="宋体" w:hAnsi="宋体" w:eastAsia="宋体" w:cs="宋体"/>
          <w:b/>
          <w:color w:val="auto"/>
          <w:kern w:val="0"/>
          <w:sz w:val="24"/>
          <w:szCs w:val="20"/>
        </w:rPr>
        <w:t>，续签的合同按一份合同认定</w:t>
      </w:r>
      <w:r>
        <w:rPr>
          <w:rFonts w:hint="eastAsia" w:ascii="宋体" w:hAnsi="宋体" w:eastAsia="宋体" w:cs="Times New Roman"/>
          <w:b/>
          <w:color w:val="auto"/>
          <w:kern w:val="0"/>
          <w:sz w:val="24"/>
          <w:szCs w:val="20"/>
        </w:rPr>
        <w:t>）</w:t>
      </w:r>
      <w:r>
        <w:rPr>
          <w:rFonts w:hint="eastAsia" w:ascii="宋体" w:hAnsi="宋体" w:eastAsia="宋体" w:cs="Times New Roman"/>
          <w:b/>
          <w:color w:val="auto"/>
          <w:kern w:val="0"/>
          <w:sz w:val="24"/>
          <w:szCs w:val="20"/>
          <w:lang w:eastAsia="zh-CN"/>
        </w:rPr>
        <w:t>。</w:t>
      </w:r>
    </w:p>
    <w:p w14:paraId="2F497C60">
      <w:pPr>
        <w:pStyle w:val="388"/>
        <w:spacing w:line="360" w:lineRule="auto"/>
        <w:ind w:firstLine="482" w:firstLineChars="200"/>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体系认证（</w:t>
      </w: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rPr>
        <w:t>分）</w:t>
      </w:r>
    </w:p>
    <w:p w14:paraId="1F67F3A8">
      <w:pPr>
        <w:pStyle w:val="388"/>
        <w:spacing w:line="360" w:lineRule="auto"/>
        <w:ind w:firstLine="480" w:firstLineChars="200"/>
        <w:rPr>
          <w:rFonts w:hint="eastAsia" w:ascii="宋体" w:hAnsi="宋体" w:eastAsia="宋体" w:cs="Times New Roman"/>
          <w:b/>
          <w:color w:val="auto"/>
          <w:kern w:val="0"/>
          <w:sz w:val="24"/>
          <w:szCs w:val="20"/>
          <w:lang w:eastAsia="zh-CN"/>
        </w:rPr>
      </w:pPr>
      <w:r>
        <w:rPr>
          <w:rFonts w:hint="eastAsia" w:ascii="宋体" w:hAnsi="宋体" w:eastAsia="宋体" w:cs="宋体"/>
          <w:sz w:val="24"/>
          <w:szCs w:val="24"/>
          <w:highlight w:val="none"/>
        </w:rPr>
        <w:t>投标人具有有效期内的质量管理体系认证证书的得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分，具有有效期内的</w:t>
      </w:r>
      <w:r>
        <w:rPr>
          <w:rFonts w:hint="eastAsia" w:ascii="宋体" w:hAnsi="宋体" w:cs="宋体"/>
          <w:sz w:val="24"/>
          <w:highlight w:val="none"/>
        </w:rPr>
        <w:t>职业安全健康管理体系认证</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分，具有有效期内的环境管理体系认证证书的得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分，本项最高得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w:t>
      </w:r>
      <w:r>
        <w:rPr>
          <w:rFonts w:hint="eastAsia" w:ascii="宋体" w:hAnsi="宋体" w:eastAsia="宋体" w:cs="Times New Roman"/>
          <w:b/>
          <w:color w:val="auto"/>
          <w:kern w:val="0"/>
          <w:sz w:val="24"/>
          <w:szCs w:val="20"/>
        </w:rPr>
        <w:t>（投标文件中提供证书原件扫描件及证书在国家认监委官方网站http://www.cnca.gov.cn/</w:t>
      </w:r>
      <w:r>
        <w:rPr>
          <w:rFonts w:hint="eastAsia" w:ascii="宋体" w:hAnsi="宋体" w:eastAsia="宋体" w:cs="Times New Roman"/>
          <w:b/>
          <w:color w:val="auto"/>
          <w:kern w:val="0"/>
          <w:sz w:val="24"/>
          <w:szCs w:val="20"/>
          <w:lang w:eastAsia="zh-CN"/>
        </w:rPr>
        <w:t>的</w:t>
      </w:r>
      <w:r>
        <w:rPr>
          <w:rFonts w:hint="eastAsia" w:ascii="宋体" w:hAnsi="宋体" w:eastAsia="宋体" w:cs="Times New Roman"/>
          <w:b/>
          <w:color w:val="auto"/>
          <w:kern w:val="0"/>
          <w:sz w:val="24"/>
          <w:szCs w:val="20"/>
        </w:rPr>
        <w:t>查验截图加盖公章或签电子公章，不提供或提供不符合要求的不得分）</w:t>
      </w:r>
      <w:r>
        <w:rPr>
          <w:rFonts w:hint="eastAsia" w:ascii="宋体" w:hAnsi="宋体" w:eastAsia="宋体" w:cs="Times New Roman"/>
          <w:b/>
          <w:color w:val="auto"/>
          <w:kern w:val="0"/>
          <w:sz w:val="24"/>
          <w:szCs w:val="20"/>
          <w:lang w:eastAsia="zh-CN"/>
        </w:rPr>
        <w:t>。</w:t>
      </w:r>
    </w:p>
    <w:p w14:paraId="5B3FAA87">
      <w:pPr>
        <w:spacing w:line="360" w:lineRule="auto"/>
        <w:ind w:firstLine="482" w:firstLineChars="200"/>
        <w:rPr>
          <w:rFonts w:hint="eastAsia" w:ascii="宋体" w:hAnsi="宋体"/>
          <w:b/>
          <w:sz w:val="24"/>
          <w:highlight w:val="none"/>
        </w:rPr>
      </w:pPr>
      <w:r>
        <w:rPr>
          <w:rFonts w:hint="eastAsia" w:ascii="宋体" w:hAnsi="宋体"/>
          <w:b/>
          <w:sz w:val="24"/>
          <w:highlight w:val="none"/>
          <w:lang w:eastAsia="zh-CN"/>
        </w:rPr>
        <w:t>（</w:t>
      </w:r>
      <w:r>
        <w:rPr>
          <w:rFonts w:hint="eastAsia" w:ascii="宋体" w:hAnsi="宋体"/>
          <w:b/>
          <w:sz w:val="24"/>
          <w:highlight w:val="none"/>
          <w:lang w:val="en-US" w:eastAsia="zh-CN"/>
        </w:rPr>
        <w:t>3</w:t>
      </w:r>
      <w:r>
        <w:rPr>
          <w:rFonts w:hint="eastAsia" w:ascii="宋体" w:hAnsi="宋体"/>
          <w:b/>
          <w:sz w:val="24"/>
          <w:highlight w:val="none"/>
          <w:lang w:eastAsia="zh-CN"/>
        </w:rPr>
        <w:t>）</w:t>
      </w:r>
      <w:r>
        <w:rPr>
          <w:rFonts w:hint="eastAsia" w:ascii="宋体" w:hAnsi="宋体"/>
          <w:b/>
          <w:sz w:val="24"/>
          <w:highlight w:val="none"/>
        </w:rPr>
        <w:t>拟派项目人员配置情况（</w:t>
      </w:r>
      <w:r>
        <w:rPr>
          <w:rFonts w:hint="eastAsia" w:ascii="宋体" w:hAnsi="宋体"/>
          <w:b/>
          <w:sz w:val="24"/>
          <w:highlight w:val="none"/>
          <w:lang w:val="en-US" w:eastAsia="zh-CN"/>
        </w:rPr>
        <w:t>15</w:t>
      </w:r>
      <w:r>
        <w:rPr>
          <w:rFonts w:hint="eastAsia" w:ascii="宋体" w:hAnsi="宋体"/>
          <w:b/>
          <w:sz w:val="24"/>
          <w:highlight w:val="none"/>
        </w:rPr>
        <w:t>分）</w:t>
      </w:r>
    </w:p>
    <w:p w14:paraId="1E70C5A9">
      <w:pPr>
        <w:spacing w:line="360" w:lineRule="auto"/>
        <w:ind w:firstLine="482" w:firstLineChars="200"/>
        <w:rPr>
          <w:rFonts w:hint="eastAsia" w:ascii="宋体" w:hAnsi="宋体"/>
          <w:b/>
          <w:sz w:val="24"/>
          <w:highlight w:val="none"/>
        </w:rPr>
      </w:pPr>
      <w:r>
        <w:rPr>
          <w:rFonts w:hint="eastAsia" w:ascii="宋体" w:hAnsi="宋体"/>
          <w:b/>
          <w:sz w:val="24"/>
          <w:highlight w:val="none"/>
          <w:lang w:val="en-US" w:eastAsia="zh-CN"/>
        </w:rPr>
        <w:t>①</w:t>
      </w:r>
      <w:r>
        <w:rPr>
          <w:rFonts w:hint="eastAsia" w:ascii="宋体" w:hAnsi="宋体" w:eastAsia="宋体" w:cs="宋体"/>
          <w:bCs/>
          <w:color w:val="auto"/>
          <w:kern w:val="0"/>
          <w:sz w:val="24"/>
          <w:szCs w:val="20"/>
          <w:lang w:val="en-US" w:eastAsia="zh-CN"/>
        </w:rPr>
        <w:t>项目负责人</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2</w:t>
      </w:r>
      <w:r>
        <w:rPr>
          <w:rFonts w:hint="eastAsia" w:ascii="宋体" w:hAnsi="宋体" w:eastAsia="宋体" w:cs="宋体"/>
          <w:bCs/>
          <w:color w:val="auto"/>
          <w:kern w:val="0"/>
          <w:sz w:val="24"/>
          <w:szCs w:val="20"/>
        </w:rPr>
        <w:t>分）：拟为本项目配备的项目负责人</w:t>
      </w:r>
      <w:r>
        <w:rPr>
          <w:rFonts w:hint="eastAsia" w:ascii="宋体" w:hAnsi="宋体" w:eastAsia="宋体" w:cs="宋体"/>
          <w:bCs/>
          <w:color w:val="auto"/>
          <w:kern w:val="0"/>
          <w:sz w:val="24"/>
          <w:szCs w:val="20"/>
          <w:lang w:val="en-US" w:eastAsia="zh-CN"/>
        </w:rPr>
        <w:t>年龄在45周岁（含）以下且</w:t>
      </w:r>
      <w:r>
        <w:rPr>
          <w:rFonts w:hint="eastAsia" w:ascii="宋体" w:hAnsi="宋体" w:eastAsia="宋体" w:cs="宋体"/>
          <w:bCs/>
          <w:color w:val="auto"/>
          <w:kern w:val="0"/>
          <w:sz w:val="24"/>
          <w:szCs w:val="20"/>
        </w:rPr>
        <w:t>具有本科</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含</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以上学历的得1分；</w:t>
      </w:r>
      <w:r>
        <w:rPr>
          <w:rFonts w:hint="eastAsia" w:ascii="宋体" w:hAnsi="宋体" w:eastAsia="宋体" w:cs="宋体"/>
          <w:bCs/>
          <w:color w:val="auto"/>
          <w:kern w:val="0"/>
          <w:sz w:val="24"/>
          <w:szCs w:val="20"/>
          <w:highlight w:val="none"/>
        </w:rPr>
        <w:t>具有</w:t>
      </w:r>
      <w:r>
        <w:rPr>
          <w:rFonts w:hint="eastAsia" w:ascii="宋体" w:hAnsi="宋体" w:eastAsia="宋体" w:cs="宋体"/>
          <w:bCs/>
          <w:color w:val="auto"/>
          <w:kern w:val="0"/>
          <w:sz w:val="24"/>
          <w:szCs w:val="20"/>
          <w:highlight w:val="none"/>
          <w:lang w:val="en-US" w:eastAsia="zh-CN"/>
        </w:rPr>
        <w:t>物业管理师（三级）含以上</w:t>
      </w:r>
      <w:r>
        <w:rPr>
          <w:rFonts w:hint="eastAsia" w:ascii="宋体" w:hAnsi="宋体" w:eastAsia="宋体" w:cs="宋体"/>
          <w:bCs/>
          <w:color w:val="auto"/>
          <w:kern w:val="0"/>
          <w:sz w:val="24"/>
          <w:szCs w:val="20"/>
          <w:lang w:val="en-US" w:eastAsia="zh-CN"/>
        </w:rPr>
        <w:t>或</w:t>
      </w:r>
      <w:r>
        <w:rPr>
          <w:rFonts w:hint="eastAsia" w:ascii="宋体" w:hAnsi="宋体" w:eastAsia="宋体" w:cs="宋体"/>
          <w:bCs/>
          <w:color w:val="auto"/>
          <w:kern w:val="0"/>
          <w:sz w:val="24"/>
          <w:szCs w:val="20"/>
        </w:rPr>
        <w:t>具有全国物业管理企业经理岗位证书的，得1分。本项最高得</w:t>
      </w:r>
      <w:r>
        <w:rPr>
          <w:rFonts w:hint="eastAsia" w:ascii="宋体" w:hAnsi="宋体" w:eastAsia="宋体" w:cs="宋体"/>
          <w:bCs/>
          <w:color w:val="auto"/>
          <w:kern w:val="0"/>
          <w:sz w:val="24"/>
          <w:szCs w:val="20"/>
          <w:lang w:val="en-US" w:eastAsia="zh-CN"/>
        </w:rPr>
        <w:t>2</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（投标文件中提供身份证、学历证明、相关证书的原件扫描件并加盖公章或签电子公章，不提供或提供不符合要求的不得分）。</w:t>
      </w:r>
    </w:p>
    <w:p w14:paraId="1E38D081">
      <w:pPr>
        <w:spacing w:line="360" w:lineRule="auto"/>
        <w:ind w:firstLine="482" w:firstLineChars="200"/>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t>②</w:t>
      </w:r>
      <w:r>
        <w:rPr>
          <w:rFonts w:hint="eastAsia" w:ascii="宋体" w:hAnsi="宋体" w:eastAsia="宋体" w:cs="宋体"/>
          <w:bCs/>
          <w:color w:val="auto"/>
          <w:kern w:val="0"/>
          <w:sz w:val="24"/>
          <w:szCs w:val="20"/>
          <w:lang w:val="en-US" w:eastAsia="zh-CN"/>
        </w:rPr>
        <w:t>保安领班（2分）：</w:t>
      </w:r>
      <w:r>
        <w:rPr>
          <w:rFonts w:hint="eastAsia" w:ascii="宋体" w:hAnsi="宋体" w:eastAsia="宋体" w:cs="Times New Roman"/>
          <w:b w:val="0"/>
          <w:bCs/>
          <w:sz w:val="24"/>
          <w:highlight w:val="none"/>
          <w:lang w:val="en-US" w:eastAsia="zh-CN"/>
        </w:rPr>
        <w:t>拟派往本次项目现场的保安主管年龄在45周岁（含）以下且具有专科（含）以上学历的得1分；具有高级/三级及以上保安员证书或退伍证的，得1分。本项最高得</w:t>
      </w:r>
      <w:r>
        <w:rPr>
          <w:rFonts w:hint="eastAsia" w:ascii="宋体" w:hAnsi="宋体" w:cs="Times New Roman"/>
          <w:b w:val="0"/>
          <w:bCs/>
          <w:sz w:val="24"/>
          <w:highlight w:val="none"/>
          <w:lang w:val="en-US" w:eastAsia="zh-CN"/>
        </w:rPr>
        <w:t>2</w:t>
      </w:r>
      <w:r>
        <w:rPr>
          <w:rFonts w:hint="eastAsia" w:ascii="宋体" w:hAnsi="宋体" w:eastAsia="宋体" w:cs="Times New Roman"/>
          <w:b w:val="0"/>
          <w:bCs/>
          <w:sz w:val="24"/>
          <w:highlight w:val="none"/>
          <w:lang w:val="en-US" w:eastAsia="zh-CN"/>
        </w:rPr>
        <w:t>分</w:t>
      </w:r>
      <w:r>
        <w:rPr>
          <w:rFonts w:hint="eastAsia" w:ascii="宋体" w:hAnsi="宋体" w:eastAsia="宋体" w:cs="Times New Roman"/>
          <w:b/>
          <w:sz w:val="24"/>
          <w:highlight w:val="none"/>
          <w:lang w:val="en-US" w:eastAsia="zh-CN"/>
        </w:rPr>
        <w:t>（投标文件中提供身份证、学历证明、相关证书的原件扫描件并加盖公章或签电子公章，不提供或提供不符合要求的不得分）。</w:t>
      </w:r>
    </w:p>
    <w:p w14:paraId="1095725A">
      <w:pPr>
        <w:numPr>
          <w:ilvl w:val="0"/>
          <w:numId w:val="0"/>
        </w:numPr>
        <w:spacing w:line="360" w:lineRule="auto"/>
        <w:ind w:firstLine="482" w:firstLineChars="200"/>
        <w:rPr>
          <w:rFonts w:hint="eastAsia" w:ascii="宋体" w:hAnsi="宋体" w:eastAsia="宋体" w:cs="Times New Roman"/>
          <w:b/>
          <w:bCs w:val="0"/>
          <w:sz w:val="24"/>
          <w:highlight w:val="none"/>
          <w:lang w:val="en-US" w:eastAsia="zh-CN"/>
        </w:rPr>
      </w:pPr>
      <w:r>
        <w:rPr>
          <w:rFonts w:hint="eastAsia" w:ascii="宋体" w:hAnsi="宋体" w:eastAsia="宋体" w:cs="Times New Roman"/>
          <w:b/>
          <w:sz w:val="24"/>
          <w:highlight w:val="none"/>
          <w:lang w:val="en-US" w:eastAsia="zh-CN"/>
        </w:rPr>
        <w:t>③</w:t>
      </w:r>
      <w:r>
        <w:rPr>
          <w:rFonts w:hint="eastAsia" w:ascii="宋体" w:hAnsi="宋体" w:eastAsia="宋体" w:cs="Times New Roman"/>
          <w:b w:val="0"/>
          <w:bCs/>
          <w:sz w:val="24"/>
          <w:highlight w:val="none"/>
          <w:lang w:val="en-US" w:eastAsia="zh-CN"/>
        </w:rPr>
        <w:t>保洁</w:t>
      </w:r>
      <w:r>
        <w:rPr>
          <w:rFonts w:hint="eastAsia" w:ascii="宋体" w:hAnsi="宋体" w:cs="Times New Roman"/>
          <w:b w:val="0"/>
          <w:bCs/>
          <w:sz w:val="24"/>
          <w:highlight w:val="none"/>
          <w:lang w:val="en-US" w:eastAsia="zh-CN"/>
        </w:rPr>
        <w:t>领班</w:t>
      </w:r>
      <w:r>
        <w:rPr>
          <w:rFonts w:hint="eastAsia" w:ascii="宋体" w:hAnsi="宋体" w:eastAsia="宋体" w:cs="Times New Roman"/>
          <w:b w:val="0"/>
          <w:bCs/>
          <w:sz w:val="24"/>
          <w:highlight w:val="none"/>
          <w:lang w:val="en-US" w:eastAsia="zh-CN"/>
        </w:rPr>
        <w:t>（2分）：拟派往本次项目现场保洁主管年龄在45周岁（含）以下且具有专科（含）以上学历的得1分；具有高级保洁员证书的，得1分</w:t>
      </w:r>
      <w:r>
        <w:rPr>
          <w:rFonts w:hint="eastAsia" w:ascii="宋体" w:hAnsi="宋体" w:cs="Times New Roman"/>
          <w:b w:val="0"/>
          <w:bCs/>
          <w:sz w:val="24"/>
          <w:highlight w:val="none"/>
          <w:lang w:val="en-US" w:eastAsia="zh-CN"/>
        </w:rPr>
        <w:t>，</w:t>
      </w:r>
      <w:r>
        <w:rPr>
          <w:rFonts w:hint="eastAsia" w:ascii="宋体" w:hAnsi="宋体" w:eastAsia="宋体" w:cs="Times New Roman"/>
          <w:b w:val="0"/>
          <w:bCs/>
          <w:sz w:val="24"/>
          <w:highlight w:val="none"/>
          <w:lang w:val="en-US" w:eastAsia="zh-CN"/>
        </w:rPr>
        <w:t>本项最高得2分</w:t>
      </w:r>
      <w:r>
        <w:rPr>
          <w:rFonts w:hint="eastAsia" w:ascii="宋体" w:hAnsi="宋体" w:eastAsia="宋体" w:cs="Times New Roman"/>
          <w:b/>
          <w:bCs w:val="0"/>
          <w:sz w:val="24"/>
          <w:highlight w:val="none"/>
          <w:lang w:val="en-US" w:eastAsia="zh-CN"/>
        </w:rPr>
        <w:t>（投标文件中提供身份证、学历证明、相关证书的原件扫描件并加盖公章或签电子公章，不提供或提供不符合要求的不得分）。</w:t>
      </w:r>
    </w:p>
    <w:p w14:paraId="0A723845">
      <w:pPr>
        <w:numPr>
          <w:ilvl w:val="0"/>
          <w:numId w:val="0"/>
        </w:numPr>
        <w:spacing w:line="360" w:lineRule="auto"/>
        <w:ind w:firstLine="482" w:firstLineChars="200"/>
        <w:rPr>
          <w:rFonts w:hint="eastAsia" w:ascii="宋体" w:hAnsi="宋体" w:eastAsia="宋体" w:cs="Times New Roman"/>
          <w:b/>
          <w:bCs w:val="0"/>
          <w:sz w:val="24"/>
          <w:highlight w:val="none"/>
          <w:lang w:val="en-US" w:eastAsia="zh-CN"/>
        </w:rPr>
      </w:pPr>
      <w:r>
        <w:rPr>
          <w:rFonts w:hint="eastAsia" w:ascii="宋体" w:hAnsi="宋体" w:eastAsia="宋体" w:cs="Times New Roman"/>
          <w:b/>
          <w:sz w:val="24"/>
          <w:highlight w:val="none"/>
          <w:lang w:val="en-US" w:eastAsia="zh-CN"/>
        </w:rPr>
        <w:t>④</w:t>
      </w:r>
      <w:r>
        <w:rPr>
          <w:rFonts w:hint="eastAsia" w:ascii="宋体" w:hAnsi="宋体" w:eastAsia="宋体" w:cs="Times New Roman"/>
          <w:b w:val="0"/>
          <w:bCs/>
          <w:sz w:val="24"/>
          <w:highlight w:val="none"/>
          <w:lang w:val="en-US" w:eastAsia="zh-CN"/>
        </w:rPr>
        <w:t>工程</w:t>
      </w:r>
      <w:r>
        <w:rPr>
          <w:rFonts w:hint="eastAsia" w:ascii="宋体" w:hAnsi="宋体" w:cs="Times New Roman"/>
          <w:b w:val="0"/>
          <w:bCs/>
          <w:sz w:val="24"/>
          <w:highlight w:val="none"/>
          <w:lang w:val="en-US" w:eastAsia="zh-CN"/>
        </w:rPr>
        <w:t>维保</w:t>
      </w:r>
      <w:r>
        <w:rPr>
          <w:rFonts w:hint="eastAsia" w:ascii="宋体" w:hAnsi="宋体" w:eastAsia="宋体" w:cs="Times New Roman"/>
          <w:b w:val="0"/>
          <w:bCs/>
          <w:sz w:val="24"/>
          <w:highlight w:val="none"/>
          <w:lang w:val="en-US" w:eastAsia="zh-CN"/>
        </w:rPr>
        <w:t>（</w:t>
      </w:r>
      <w:r>
        <w:rPr>
          <w:rFonts w:hint="eastAsia" w:ascii="宋体" w:hAnsi="宋体" w:cs="Times New Roman"/>
          <w:b w:val="0"/>
          <w:bCs/>
          <w:sz w:val="24"/>
          <w:highlight w:val="none"/>
          <w:lang w:val="en-US" w:eastAsia="zh-CN"/>
        </w:rPr>
        <w:t>2</w:t>
      </w:r>
      <w:r>
        <w:rPr>
          <w:rFonts w:hint="eastAsia" w:ascii="宋体" w:hAnsi="宋体" w:eastAsia="宋体" w:cs="Times New Roman"/>
          <w:b w:val="0"/>
          <w:bCs/>
          <w:sz w:val="24"/>
          <w:highlight w:val="none"/>
          <w:lang w:val="en-US" w:eastAsia="zh-CN"/>
        </w:rPr>
        <w:t>分）：拟派往本次项目现场工程人员年龄在45周岁（含）以下且具有本科（含）以上学历的得1分；具有特种设备安全管理和作业人员证（代号为A）的得1分；本项最高得</w:t>
      </w:r>
      <w:r>
        <w:rPr>
          <w:rFonts w:hint="eastAsia" w:ascii="宋体" w:hAnsi="宋体" w:cs="Times New Roman"/>
          <w:b w:val="0"/>
          <w:bCs/>
          <w:sz w:val="24"/>
          <w:highlight w:val="none"/>
          <w:lang w:val="en-US" w:eastAsia="zh-CN"/>
        </w:rPr>
        <w:t>2</w:t>
      </w:r>
      <w:r>
        <w:rPr>
          <w:rFonts w:hint="eastAsia" w:ascii="宋体" w:hAnsi="宋体" w:eastAsia="宋体" w:cs="Times New Roman"/>
          <w:b w:val="0"/>
          <w:bCs/>
          <w:sz w:val="24"/>
          <w:highlight w:val="none"/>
          <w:lang w:val="en-US" w:eastAsia="zh-CN"/>
        </w:rPr>
        <w:t>分</w:t>
      </w:r>
      <w:r>
        <w:rPr>
          <w:rFonts w:hint="eastAsia" w:ascii="宋体" w:hAnsi="宋体" w:eastAsia="宋体" w:cs="Times New Roman"/>
          <w:b/>
          <w:bCs w:val="0"/>
          <w:sz w:val="24"/>
          <w:highlight w:val="none"/>
          <w:lang w:val="en-US" w:eastAsia="zh-CN"/>
        </w:rPr>
        <w:t>（投标文件中提供身份证、学历证明、相关证书的原件扫描件并加盖公章或签电子公章，不提供或提供不符合要求的不得分）。</w:t>
      </w:r>
    </w:p>
    <w:p w14:paraId="759185E1">
      <w:pPr>
        <w:numPr>
          <w:ilvl w:val="0"/>
          <w:numId w:val="0"/>
        </w:numPr>
        <w:spacing w:line="360" w:lineRule="auto"/>
        <w:ind w:firstLine="482" w:firstLineChars="200"/>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t>⑤其他人员配置情况（</w:t>
      </w:r>
      <w:r>
        <w:rPr>
          <w:rFonts w:hint="eastAsia" w:ascii="宋体" w:hAnsi="宋体" w:cs="Times New Roman"/>
          <w:b/>
          <w:sz w:val="24"/>
          <w:highlight w:val="none"/>
          <w:lang w:val="en-US" w:eastAsia="zh-CN"/>
        </w:rPr>
        <w:t>3</w:t>
      </w:r>
      <w:r>
        <w:rPr>
          <w:rFonts w:hint="eastAsia" w:ascii="宋体" w:hAnsi="宋体" w:eastAsia="宋体" w:cs="Times New Roman"/>
          <w:b/>
          <w:sz w:val="24"/>
          <w:highlight w:val="none"/>
          <w:lang w:val="en-US" w:eastAsia="zh-CN"/>
        </w:rPr>
        <w:t>分）</w:t>
      </w:r>
    </w:p>
    <w:p w14:paraId="6E1F3D08">
      <w:pPr>
        <w:spacing w:line="360" w:lineRule="auto"/>
        <w:ind w:firstLine="480" w:firstLineChars="200"/>
        <w:rPr>
          <w:rFonts w:hint="eastAsia" w:ascii="宋体" w:hAnsi="宋体"/>
          <w:b/>
          <w:bCs w:val="0"/>
          <w:sz w:val="24"/>
          <w:highlight w:val="none"/>
        </w:rPr>
      </w:pPr>
      <w:r>
        <w:rPr>
          <w:rFonts w:hint="eastAsia" w:ascii="宋体" w:hAnsi="宋体" w:eastAsia="宋体" w:cs="Times New Roman"/>
          <w:b w:val="0"/>
          <w:bCs/>
          <w:sz w:val="24"/>
          <w:highlight w:val="none"/>
          <w:lang w:val="en-US" w:eastAsia="zh-CN"/>
        </w:rPr>
        <w:t>除上述人员外，拟派本项目现场的服务人员中具有物业管理师（三级）含以上证书的，每个得1分，</w:t>
      </w:r>
      <w:r>
        <w:rPr>
          <w:rFonts w:hint="eastAsia" w:ascii="宋体" w:hAnsi="宋体" w:cs="Times New Roman"/>
          <w:b w:val="0"/>
          <w:bCs/>
          <w:sz w:val="24"/>
          <w:highlight w:val="none"/>
          <w:lang w:val="en-US" w:eastAsia="zh-CN"/>
        </w:rPr>
        <w:t>本项</w:t>
      </w:r>
      <w:r>
        <w:rPr>
          <w:rFonts w:hint="eastAsia" w:ascii="宋体" w:hAnsi="宋体" w:eastAsia="宋体" w:cs="Times New Roman"/>
          <w:b w:val="0"/>
          <w:bCs/>
          <w:sz w:val="24"/>
          <w:highlight w:val="none"/>
          <w:lang w:val="en-US" w:eastAsia="zh-CN"/>
        </w:rPr>
        <w:t>最高得3分</w:t>
      </w:r>
      <w:r>
        <w:rPr>
          <w:rFonts w:hint="eastAsia" w:ascii="宋体" w:hAnsi="宋体" w:eastAsia="宋体" w:cs="Times New Roman"/>
          <w:b/>
          <w:bCs w:val="0"/>
          <w:sz w:val="24"/>
          <w:highlight w:val="none"/>
          <w:lang w:val="en-US" w:eastAsia="zh-CN"/>
        </w:rPr>
        <w:t>（以上人员一人一证，不重复得分。投标文件中提供身份证、</w:t>
      </w:r>
      <w:r>
        <w:rPr>
          <w:rFonts w:hint="eastAsia" w:ascii="宋体" w:hAnsi="宋体"/>
          <w:b/>
          <w:bCs w:val="0"/>
          <w:sz w:val="24"/>
          <w:highlight w:val="none"/>
        </w:rPr>
        <w:t>以上</w:t>
      </w:r>
      <w:r>
        <w:rPr>
          <w:rFonts w:hint="eastAsia" w:ascii="宋体" w:hAnsi="宋体" w:eastAsia="宋体" w:cs="Times New Roman"/>
          <w:b/>
          <w:bCs w:val="0"/>
          <w:sz w:val="24"/>
          <w:highlight w:val="none"/>
          <w:lang w:val="en-US" w:eastAsia="zh-CN"/>
        </w:rPr>
        <w:t>相关</w:t>
      </w:r>
      <w:r>
        <w:rPr>
          <w:rFonts w:hint="eastAsia" w:ascii="宋体" w:hAnsi="宋体"/>
          <w:b/>
          <w:bCs w:val="0"/>
          <w:sz w:val="24"/>
          <w:highlight w:val="none"/>
        </w:rPr>
        <w:t>证书</w:t>
      </w:r>
      <w:r>
        <w:rPr>
          <w:rFonts w:hint="eastAsia" w:ascii="宋体" w:hAnsi="宋体"/>
          <w:b/>
          <w:bCs w:val="0"/>
          <w:sz w:val="24"/>
          <w:highlight w:val="none"/>
          <w:lang w:val="en-US" w:eastAsia="zh-CN"/>
        </w:rPr>
        <w:t>的</w:t>
      </w:r>
      <w:r>
        <w:rPr>
          <w:rFonts w:hint="eastAsia" w:ascii="宋体" w:hAnsi="宋体"/>
          <w:b/>
          <w:bCs w:val="0"/>
          <w:sz w:val="24"/>
          <w:highlight w:val="none"/>
        </w:rPr>
        <w:t>原件扫描件</w:t>
      </w:r>
      <w:r>
        <w:rPr>
          <w:rFonts w:hint="eastAsia" w:ascii="宋体" w:hAnsi="宋体" w:eastAsia="宋体" w:cs="Times New Roman"/>
          <w:b/>
          <w:bCs w:val="0"/>
          <w:sz w:val="24"/>
          <w:highlight w:val="none"/>
          <w:lang w:val="en-US" w:eastAsia="zh-CN"/>
        </w:rPr>
        <w:t>并加盖公章或签电子公章，不提供或提供不符合要求的不得分</w:t>
      </w:r>
      <w:r>
        <w:rPr>
          <w:rFonts w:hint="eastAsia" w:ascii="宋体" w:hAnsi="宋体"/>
          <w:b/>
          <w:bCs w:val="0"/>
          <w:sz w:val="24"/>
          <w:highlight w:val="none"/>
        </w:rPr>
        <w:t>。</w:t>
      </w:r>
    </w:p>
    <w:p w14:paraId="1FD91539">
      <w:pPr>
        <w:spacing w:line="360" w:lineRule="auto"/>
        <w:ind w:firstLine="482" w:firstLineChars="200"/>
        <w:rPr>
          <w:rFonts w:hint="eastAsia" w:ascii="宋体" w:hAnsi="宋体" w:eastAsia="宋体" w:cs="Times New Roman"/>
          <w:b/>
          <w:sz w:val="24"/>
          <w:highlight w:val="none"/>
          <w:lang w:val="en-US" w:eastAsia="zh-CN"/>
        </w:rPr>
      </w:pPr>
      <w:r>
        <w:rPr>
          <w:rFonts w:hint="eastAsia" w:ascii="宋体" w:hAnsi="宋体" w:eastAsia="宋体" w:cs="Times New Roman"/>
          <w:b/>
          <w:sz w:val="24"/>
          <w:highlight w:val="none"/>
          <w:lang w:val="en-US" w:eastAsia="zh-CN"/>
        </w:rPr>
        <w:t>注：【提供上述证书等相关证明材料原件扫描件上传至投标文件中并加盖投标供应商公章或签电子公章；同时提供区级及以上社保部门出具的近三个月中任意一个月份的供应商为其缴纳的社保缴费证明，社保缴费证明必须提交带有社保部门红章或含有县（区）级及以上社保部门电子签章或带二维码验证的扫描件（新成立的公司若无法提供为其缴纳的社保，则需提供此员工与企业签订的劳动合同），需提供带有清晰二维码的官网打印件或劳动合同原件扫描件上传至电子标书中并加盖投标供应商公章或签电子公章；不提供或提供不全的不得分】</w:t>
      </w:r>
    </w:p>
    <w:p w14:paraId="12450F78">
      <w:pPr>
        <w:spacing w:line="360" w:lineRule="auto"/>
        <w:ind w:firstLine="482" w:firstLineChars="200"/>
        <w:rPr>
          <w:rFonts w:hint="eastAsia" w:ascii="宋体" w:hAnsi="宋体" w:eastAsia="宋体" w:cs="Times New Roman"/>
          <w:b/>
          <w:sz w:val="24"/>
          <w:highlight w:val="none"/>
          <w:lang w:eastAsia="zh-CN"/>
        </w:rPr>
      </w:pPr>
      <w:r>
        <w:rPr>
          <w:rFonts w:hint="eastAsia" w:ascii="宋体" w:hAnsi="宋体" w:eastAsia="宋体" w:cs="Times New Roman"/>
          <w:b/>
          <w:sz w:val="24"/>
          <w:highlight w:val="none"/>
          <w:lang w:val="en-US" w:eastAsia="zh-CN"/>
        </w:rPr>
        <w:t>（4）</w:t>
      </w:r>
      <w:r>
        <w:rPr>
          <w:rFonts w:hint="eastAsia" w:ascii="宋体" w:hAnsi="宋体" w:eastAsia="宋体" w:cs="Times New Roman"/>
          <w:b/>
          <w:sz w:val="24"/>
          <w:highlight w:val="none"/>
          <w:lang w:eastAsia="zh-CN"/>
        </w:rPr>
        <w:t>设备配置情况（</w:t>
      </w:r>
      <w:r>
        <w:rPr>
          <w:rFonts w:hint="eastAsia" w:ascii="宋体" w:hAnsi="宋体" w:cs="Times New Roman"/>
          <w:b/>
          <w:sz w:val="24"/>
          <w:highlight w:val="none"/>
          <w:lang w:val="en-US" w:eastAsia="zh-CN"/>
        </w:rPr>
        <w:t>4</w:t>
      </w:r>
      <w:r>
        <w:rPr>
          <w:rFonts w:hint="eastAsia" w:ascii="宋体" w:hAnsi="宋体" w:eastAsia="宋体" w:cs="Times New Roman"/>
          <w:b/>
          <w:sz w:val="24"/>
          <w:highlight w:val="none"/>
          <w:lang w:eastAsia="zh-CN"/>
        </w:rPr>
        <w:t>分）</w:t>
      </w:r>
    </w:p>
    <w:p w14:paraId="637265CB">
      <w:pPr>
        <w:spacing w:line="360" w:lineRule="auto"/>
        <w:ind w:firstLine="480" w:firstLineChars="200"/>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①配备自有（或租赁）扫地车的得</w:t>
      </w:r>
      <w:r>
        <w:rPr>
          <w:rFonts w:hint="eastAsia" w:ascii="宋体" w:hAnsi="宋体" w:cs="Times New Roman"/>
          <w:b w:val="0"/>
          <w:bCs/>
          <w:sz w:val="24"/>
          <w:highlight w:val="none"/>
          <w:lang w:val="en-US" w:eastAsia="zh-CN"/>
        </w:rPr>
        <w:t>2</w:t>
      </w:r>
      <w:r>
        <w:rPr>
          <w:rFonts w:hint="eastAsia" w:ascii="宋体" w:hAnsi="宋体" w:eastAsia="宋体" w:cs="Times New Roman"/>
          <w:b w:val="0"/>
          <w:bCs/>
          <w:sz w:val="24"/>
          <w:highlight w:val="none"/>
          <w:lang w:val="en-US" w:eastAsia="zh-CN"/>
        </w:rPr>
        <w:t>分；</w:t>
      </w:r>
    </w:p>
    <w:p w14:paraId="5ED9047A">
      <w:pPr>
        <w:spacing w:line="360" w:lineRule="auto"/>
        <w:ind w:firstLine="480" w:firstLineChars="200"/>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②配备自有（或租赁）两轮电动巡逻车的，有一辆得1分，最多2分；</w:t>
      </w:r>
    </w:p>
    <w:p w14:paraId="79E2A989">
      <w:pPr>
        <w:tabs>
          <w:tab w:val="left" w:pos="525"/>
          <w:tab w:val="left" w:pos="1050"/>
        </w:tabs>
        <w:spacing w:line="360" w:lineRule="auto"/>
        <w:ind w:firstLine="602" w:firstLineChars="250"/>
        <w:rPr>
          <w:rFonts w:hint="eastAsia" w:ascii="宋体" w:hAnsi="宋体" w:cs="宋体"/>
          <w:bCs/>
          <w:sz w:val="24"/>
          <w:szCs w:val="24"/>
          <w:highlight w:val="none"/>
        </w:rPr>
      </w:pPr>
      <w:r>
        <w:rPr>
          <w:rFonts w:hint="eastAsia" w:ascii="宋体" w:hAnsi="宋体"/>
          <w:b/>
          <w:bCs w:val="0"/>
          <w:sz w:val="24"/>
          <w:highlight w:val="none"/>
        </w:rPr>
        <w:t>注：</w:t>
      </w:r>
      <w:r>
        <w:rPr>
          <w:rFonts w:hint="eastAsia" w:ascii="宋体" w:hAnsi="宋体" w:cs="宋体"/>
          <w:b/>
          <w:bCs w:val="0"/>
          <w:sz w:val="24"/>
          <w:szCs w:val="24"/>
          <w:highlight w:val="none"/>
        </w:rPr>
        <w:t>以上车辆在拟投入的</w:t>
      </w:r>
      <w:r>
        <w:rPr>
          <w:rFonts w:hint="eastAsia" w:ascii="宋体" w:hAnsi="宋体" w:eastAsia="宋体" w:cs="宋体"/>
          <w:b/>
          <w:bCs w:val="0"/>
          <w:sz w:val="24"/>
          <w:szCs w:val="24"/>
          <w:highlight w:val="none"/>
        </w:rPr>
        <w:t>机械设备表中列明。投标人需在标书中提供车辆发票（若为租赁则提供租赁协议），车辆（含车牌）或设备实景清晰图片扫描件加盖投标人电子公章计入投标文件，否则不得分。</w:t>
      </w:r>
    </w:p>
    <w:p w14:paraId="33F7719C">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eastAsia="宋体"/>
          <w:lang w:eastAsia="zh-CN"/>
        </w:rPr>
      </w:pPr>
      <w:r>
        <w:rPr>
          <w:rFonts w:hint="eastAsia" w:ascii="宋体" w:hAnsi="宋体" w:eastAsia="宋体" w:cs="宋体"/>
          <w:b/>
          <w:bCs/>
          <w:color w:val="000000"/>
          <w:spacing w:val="0"/>
          <w:position w:val="0"/>
          <w:sz w:val="24"/>
          <w:szCs w:val="24"/>
          <w:lang w:val="en-US" w:eastAsia="zh-CN"/>
        </w:rPr>
        <w:t>3</w:t>
      </w:r>
      <w:r>
        <w:rPr>
          <w:rFonts w:hint="eastAsia" w:ascii="宋体" w:hAnsi="宋体" w:cs="宋体"/>
          <w:b/>
          <w:bCs/>
          <w:color w:val="000000"/>
          <w:spacing w:val="0"/>
          <w:position w:val="0"/>
          <w:sz w:val="24"/>
          <w:szCs w:val="24"/>
          <w:lang w:val="en-US" w:eastAsia="zh-CN"/>
        </w:rPr>
        <w:t>.</w:t>
      </w:r>
      <w:r>
        <w:rPr>
          <w:rFonts w:hint="eastAsia" w:ascii="宋体" w:hAnsi="宋体" w:eastAsia="宋体" w:cs="宋体"/>
          <w:b/>
          <w:bCs/>
          <w:color w:val="000000"/>
          <w:spacing w:val="0"/>
          <w:position w:val="0"/>
          <w:sz w:val="24"/>
          <w:szCs w:val="24"/>
        </w:rPr>
        <w:t>服务方案</w:t>
      </w:r>
      <w:r>
        <w:rPr>
          <w:rFonts w:hint="eastAsia" w:ascii="宋体" w:hAnsi="宋体" w:eastAsia="宋体" w:cs="宋体"/>
          <w:b/>
          <w:bCs/>
          <w:color w:val="000000"/>
          <w:spacing w:val="0"/>
          <w:position w:val="0"/>
          <w:sz w:val="24"/>
          <w:szCs w:val="24"/>
          <w:lang w:eastAsia="zh-CN"/>
        </w:rPr>
        <w:t>（</w:t>
      </w:r>
      <w:r>
        <w:rPr>
          <w:rFonts w:hint="eastAsia" w:ascii="宋体" w:hAnsi="宋体" w:eastAsia="宋体" w:cs="宋体"/>
          <w:b/>
          <w:bCs/>
          <w:color w:val="000000"/>
          <w:spacing w:val="0"/>
          <w:position w:val="0"/>
          <w:sz w:val="24"/>
          <w:szCs w:val="24"/>
          <w:lang w:val="en-US" w:eastAsia="zh-CN"/>
        </w:rPr>
        <w:t>50分</w:t>
      </w:r>
      <w:r>
        <w:rPr>
          <w:rFonts w:hint="eastAsia" w:ascii="宋体" w:hAnsi="宋体" w:eastAsia="宋体" w:cs="宋体"/>
          <w:b/>
          <w:bCs/>
          <w:color w:val="000000"/>
          <w:spacing w:val="0"/>
          <w:position w:val="0"/>
          <w:sz w:val="24"/>
          <w:szCs w:val="24"/>
          <w:lang w:eastAsia="zh-CN"/>
        </w:rPr>
        <w:t>）</w:t>
      </w:r>
    </w:p>
    <w:p w14:paraId="32A840B4">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针对下列各部分进行评价，要求体现科学合理性、条理性、可行性、完善性、针对性,无方案不得分。</w:t>
      </w:r>
    </w:p>
    <w:p w14:paraId="527A03CF">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投标人编制服务方案时请按以下顺序编制，以便评审。</w:t>
      </w:r>
    </w:p>
    <w:p w14:paraId="18402E8C">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eastAsia="zh-CN"/>
        </w:rPr>
      </w:pPr>
      <w:r>
        <w:rPr>
          <w:rFonts w:hint="eastAsia" w:ascii="宋体" w:hAnsi="宋体" w:eastAsia="宋体" w:cs="宋体"/>
          <w:b/>
          <w:bCs/>
          <w:color w:val="000000"/>
          <w:spacing w:val="0"/>
          <w:position w:val="0"/>
          <w:sz w:val="24"/>
          <w:szCs w:val="24"/>
          <w:lang w:val="en-US" w:eastAsia="zh-CN"/>
        </w:rPr>
        <w:t>（1）</w:t>
      </w:r>
      <w:r>
        <w:rPr>
          <w:rFonts w:hint="eastAsia" w:ascii="宋体" w:hAnsi="宋体" w:eastAsia="宋体" w:cs="宋体"/>
          <w:b/>
          <w:bCs/>
          <w:color w:val="000000"/>
          <w:spacing w:val="0"/>
          <w:position w:val="0"/>
          <w:sz w:val="24"/>
          <w:szCs w:val="24"/>
        </w:rPr>
        <w:t>目标及整体设想</w:t>
      </w:r>
      <w:r>
        <w:rPr>
          <w:rFonts w:hint="eastAsia" w:ascii="宋体" w:hAnsi="宋体" w:eastAsia="宋体" w:cs="宋体"/>
          <w:b/>
          <w:bCs/>
          <w:color w:val="000000"/>
          <w:spacing w:val="0"/>
          <w:position w:val="0"/>
          <w:sz w:val="24"/>
          <w:szCs w:val="24"/>
          <w:lang w:eastAsia="zh-CN"/>
        </w:rPr>
        <w:t>（</w:t>
      </w:r>
      <w:r>
        <w:rPr>
          <w:rFonts w:hint="eastAsia" w:ascii="宋体" w:hAnsi="宋体" w:eastAsia="宋体" w:cs="宋体"/>
          <w:b/>
          <w:bCs/>
          <w:color w:val="000000"/>
          <w:spacing w:val="0"/>
          <w:position w:val="0"/>
          <w:sz w:val="24"/>
          <w:szCs w:val="24"/>
          <w:lang w:val="en-US" w:eastAsia="zh-CN"/>
        </w:rPr>
        <w:t>6分</w:t>
      </w:r>
      <w:r>
        <w:rPr>
          <w:rFonts w:hint="eastAsia" w:ascii="宋体" w:hAnsi="宋体" w:eastAsia="宋体" w:cs="宋体"/>
          <w:b/>
          <w:bCs/>
          <w:color w:val="000000"/>
          <w:spacing w:val="0"/>
          <w:position w:val="0"/>
          <w:sz w:val="24"/>
          <w:szCs w:val="24"/>
          <w:lang w:eastAsia="zh-CN"/>
        </w:rPr>
        <w:t>）</w:t>
      </w:r>
    </w:p>
    <w:p w14:paraId="0038B084">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①项目目标</w:t>
      </w:r>
    </w:p>
    <w:p w14:paraId="5EF4F35D">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②整体设想</w:t>
      </w:r>
    </w:p>
    <w:p w14:paraId="474683BD">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③管理服务理念</w:t>
      </w:r>
    </w:p>
    <w:p w14:paraId="6BBECAA5">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分，未进行阐述或不满足采购需求或内容存在2处以上瑕疵的得0分；本项共计3点内容，本项最高得</w:t>
      </w:r>
      <w:r>
        <w:rPr>
          <w:rFonts w:hint="eastAsia" w:ascii="宋体" w:hAnsi="宋体" w:cs="宋体"/>
          <w:sz w:val="24"/>
          <w:lang w:val="en-US" w:eastAsia="zh-CN"/>
        </w:rPr>
        <w:t>6</w:t>
      </w:r>
      <w:r>
        <w:rPr>
          <w:rFonts w:hint="eastAsia" w:ascii="宋体" w:hAnsi="宋体" w:cs="宋体"/>
          <w:sz w:val="24"/>
        </w:rPr>
        <w:t>分。</w:t>
      </w:r>
    </w:p>
    <w:p w14:paraId="5DB4E99D">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（2）管理服务体系（6分）</w:t>
      </w:r>
    </w:p>
    <w:p w14:paraId="625B008D">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lang w:val="en-US" w:eastAsia="zh-CN"/>
        </w:rPr>
      </w:pPr>
      <w:r>
        <w:rPr>
          <w:rFonts w:hint="eastAsia" w:ascii="宋体" w:hAnsi="宋体" w:eastAsia="宋体" w:cs="宋体"/>
          <w:color w:val="000000"/>
          <w:spacing w:val="0"/>
          <w:position w:val="0"/>
          <w:sz w:val="24"/>
          <w:szCs w:val="24"/>
          <w:lang w:val="en-US" w:eastAsia="zh-CN"/>
        </w:rPr>
        <w:t>①项目管理架构、体系及运作流程</w:t>
      </w:r>
    </w:p>
    <w:p w14:paraId="0BDD9AF7">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lang w:val="en-US" w:eastAsia="zh-CN"/>
        </w:rPr>
      </w:pPr>
      <w:r>
        <w:rPr>
          <w:rFonts w:hint="eastAsia" w:ascii="宋体" w:hAnsi="宋体" w:eastAsia="宋体" w:cs="宋体"/>
          <w:color w:val="000000"/>
          <w:spacing w:val="0"/>
          <w:position w:val="0"/>
          <w:sz w:val="24"/>
          <w:szCs w:val="24"/>
          <w:lang w:val="en-US" w:eastAsia="zh-CN"/>
        </w:rPr>
        <w:t>②项目岗位职责</w:t>
      </w:r>
    </w:p>
    <w:p w14:paraId="44CCFBFA">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lang w:val="en-US" w:eastAsia="zh-CN"/>
        </w:rPr>
      </w:pPr>
      <w:r>
        <w:rPr>
          <w:rFonts w:hint="eastAsia" w:ascii="宋体" w:hAnsi="宋体" w:eastAsia="宋体" w:cs="宋体"/>
          <w:color w:val="000000"/>
          <w:spacing w:val="0"/>
          <w:position w:val="0"/>
          <w:sz w:val="24"/>
          <w:szCs w:val="24"/>
          <w:lang w:val="en-US" w:eastAsia="zh-CN"/>
        </w:rPr>
        <w:t>③管理工作流程、重点、难点和措施</w:t>
      </w:r>
    </w:p>
    <w:p w14:paraId="79A0E040">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lang w:val="en-US" w:eastAsia="zh-CN"/>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分，未进行阐述或不满足采购需求或内容存在2处以上瑕疵的得0分；本项共计3点内容，本项最高得</w:t>
      </w:r>
      <w:r>
        <w:rPr>
          <w:rFonts w:hint="eastAsia" w:ascii="宋体" w:hAnsi="宋体" w:cs="宋体"/>
          <w:sz w:val="24"/>
          <w:lang w:val="en-US" w:eastAsia="zh-CN"/>
        </w:rPr>
        <w:t>6</w:t>
      </w:r>
      <w:r>
        <w:rPr>
          <w:rFonts w:hint="eastAsia" w:ascii="宋体" w:hAnsi="宋体" w:cs="宋体"/>
          <w:sz w:val="24"/>
        </w:rPr>
        <w:t>分</w:t>
      </w:r>
      <w:r>
        <w:rPr>
          <w:rFonts w:hint="eastAsia" w:ascii="宋体" w:hAnsi="宋体" w:cs="宋体"/>
          <w:sz w:val="24"/>
          <w:lang w:eastAsia="zh-CN"/>
        </w:rPr>
        <w:t>。</w:t>
      </w:r>
    </w:p>
    <w:p w14:paraId="5B5B4B8F">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（3）岗前培训及阶段性培训管理（4分）</w:t>
      </w:r>
    </w:p>
    <w:p w14:paraId="44A009DF">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lang w:val="en-US" w:eastAsia="zh-CN"/>
        </w:rPr>
      </w:pPr>
      <w:r>
        <w:rPr>
          <w:rFonts w:hint="eastAsia" w:ascii="宋体" w:hAnsi="宋体" w:eastAsia="宋体" w:cs="宋体"/>
          <w:color w:val="000000"/>
          <w:spacing w:val="0"/>
          <w:position w:val="0"/>
          <w:sz w:val="24"/>
          <w:szCs w:val="24"/>
          <w:lang w:val="en-US" w:eastAsia="zh-CN"/>
        </w:rPr>
        <w:t>①人员招聘及培训管理</w:t>
      </w:r>
    </w:p>
    <w:p w14:paraId="1BEA62D8">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lang w:val="en-US" w:eastAsia="zh-CN"/>
        </w:rPr>
      </w:pPr>
      <w:r>
        <w:rPr>
          <w:rFonts w:hint="eastAsia" w:ascii="宋体" w:hAnsi="宋体" w:eastAsia="宋体" w:cs="宋体"/>
          <w:color w:val="000000"/>
          <w:spacing w:val="0"/>
          <w:position w:val="0"/>
          <w:sz w:val="24"/>
          <w:szCs w:val="24"/>
          <w:lang w:val="en-US" w:eastAsia="zh-CN"/>
        </w:rPr>
        <w:t>②人员考核管理</w:t>
      </w:r>
    </w:p>
    <w:p w14:paraId="494341AC">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lang w:val="en-US" w:eastAsia="zh-CN"/>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eastAsia="zh-CN"/>
        </w:rPr>
        <w:t>。</w:t>
      </w:r>
    </w:p>
    <w:p w14:paraId="631C2B8F">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（4）物资装备的配备及维保使用方案（4分）</w:t>
      </w:r>
    </w:p>
    <w:p w14:paraId="1D352A12">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①管理设备及物品的配备</w:t>
      </w:r>
    </w:p>
    <w:p w14:paraId="2483DEBF">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②日常维护保养措施方案</w:t>
      </w:r>
    </w:p>
    <w:p w14:paraId="348EDC79">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eastAsia="zh-CN"/>
        </w:rPr>
        <w:t>。</w:t>
      </w:r>
    </w:p>
    <w:p w14:paraId="1550A312">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（5）日常管理标准及措施（4分）</w:t>
      </w:r>
    </w:p>
    <w:p w14:paraId="591F21D2">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①日常管理标准</w:t>
      </w:r>
    </w:p>
    <w:p w14:paraId="2AD66CED">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②具体管理措施</w:t>
      </w:r>
    </w:p>
    <w:p w14:paraId="70DA862E">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eastAsia="zh-CN"/>
        </w:rPr>
        <w:t>。</w:t>
      </w:r>
    </w:p>
    <w:p w14:paraId="573B4AF8">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（6）管理规章制度（4分）</w:t>
      </w:r>
    </w:p>
    <w:p w14:paraId="4C426DFC">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①制度适用范围</w:t>
      </w:r>
    </w:p>
    <w:p w14:paraId="5EDBA520">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②各项管理制度</w:t>
      </w:r>
    </w:p>
    <w:p w14:paraId="3459CF94">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color w:val="000000"/>
          <w:spacing w:val="0"/>
          <w:position w:val="0"/>
          <w:sz w:val="24"/>
          <w:szCs w:val="24"/>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eastAsia="zh-CN"/>
        </w:rPr>
        <w:t>。</w:t>
      </w:r>
    </w:p>
    <w:p w14:paraId="26B61341">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（7）管理重点难点和措施（6分）</w:t>
      </w:r>
    </w:p>
    <w:p w14:paraId="3F9E95DB">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①保洁服务重难点和措施</w:t>
      </w:r>
    </w:p>
    <w:p w14:paraId="37F2C48D">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②秩序维护服务重难点和措施</w:t>
      </w:r>
    </w:p>
    <w:p w14:paraId="5DE1D8C1">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③工程维修服务重难点和措施</w:t>
      </w:r>
    </w:p>
    <w:p w14:paraId="5A0C0296">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cs="宋体"/>
          <w:sz w:val="24"/>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分，未进行阐述或不满足采购需求或内容存在2处以上瑕疵的得0分；本项共计3点内容，本项最高得</w:t>
      </w:r>
      <w:r>
        <w:rPr>
          <w:rFonts w:hint="eastAsia" w:ascii="宋体" w:hAnsi="宋体" w:cs="宋体"/>
          <w:sz w:val="24"/>
          <w:lang w:val="en-US" w:eastAsia="zh-CN"/>
        </w:rPr>
        <w:t>6</w:t>
      </w:r>
      <w:r>
        <w:rPr>
          <w:rFonts w:hint="eastAsia" w:ascii="宋体" w:hAnsi="宋体" w:cs="宋体"/>
          <w:sz w:val="24"/>
        </w:rPr>
        <w:t>分</w:t>
      </w:r>
      <w:r>
        <w:rPr>
          <w:rFonts w:hint="eastAsia" w:ascii="宋体" w:hAnsi="宋体" w:cs="宋体"/>
          <w:sz w:val="24"/>
          <w:lang w:eastAsia="zh-CN"/>
        </w:rPr>
        <w:t>。</w:t>
      </w:r>
    </w:p>
    <w:p w14:paraId="3B4A6D88">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（8）特殊情况应急预案，过失及意外保障措施（4分）</w:t>
      </w:r>
    </w:p>
    <w:p w14:paraId="1AF9FE05">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①特殊情况预案</w:t>
      </w:r>
    </w:p>
    <w:p w14:paraId="7ABB2F2D">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②特殊情况应对措施</w:t>
      </w:r>
    </w:p>
    <w:p w14:paraId="6F28B247">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eastAsia="zh-CN"/>
        </w:rPr>
        <w:t>。</w:t>
      </w:r>
    </w:p>
    <w:p w14:paraId="10737797">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（9）档案资料管理（4分）</w:t>
      </w:r>
    </w:p>
    <w:p w14:paraId="4AAA4ECD">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①档案资料管理的基本要求</w:t>
      </w:r>
    </w:p>
    <w:p w14:paraId="3703EBBF">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②档案资料管理的保障措施</w:t>
      </w:r>
    </w:p>
    <w:p w14:paraId="00F26A65">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eastAsia="zh-CN"/>
        </w:rPr>
        <w:t>。</w:t>
      </w:r>
    </w:p>
    <w:p w14:paraId="72FBD74C">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（10）服务响应时间（4分）</w:t>
      </w:r>
    </w:p>
    <w:p w14:paraId="3A8AB5B4">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①日常响应时间服务方案</w:t>
      </w:r>
    </w:p>
    <w:p w14:paraId="557C3C64">
      <w:pPr>
        <w:pStyle w:val="3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②应急响应服务方案</w:t>
      </w:r>
    </w:p>
    <w:p w14:paraId="233415D7">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eastAsia="zh-CN"/>
        </w:rPr>
        <w:t>。</w:t>
      </w:r>
    </w:p>
    <w:p w14:paraId="5D2C2BC3">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2" w:firstLineChars="200"/>
        <w:jc w:val="left"/>
        <w:textAlignment w:val="center"/>
        <w:rPr>
          <w:rFonts w:hint="eastAsia" w:ascii="宋体" w:hAnsi="宋体" w:eastAsia="宋体" w:cs="宋体"/>
          <w:b/>
          <w:bCs/>
          <w:color w:val="000000"/>
          <w:spacing w:val="0"/>
          <w:position w:val="0"/>
          <w:sz w:val="24"/>
          <w:szCs w:val="24"/>
          <w:lang w:val="en-US" w:eastAsia="zh-CN"/>
        </w:rPr>
      </w:pPr>
      <w:r>
        <w:rPr>
          <w:rFonts w:hint="eastAsia" w:ascii="宋体" w:hAnsi="宋体" w:eastAsia="宋体" w:cs="宋体"/>
          <w:b/>
          <w:bCs/>
          <w:color w:val="000000"/>
          <w:spacing w:val="0"/>
          <w:position w:val="0"/>
          <w:sz w:val="24"/>
          <w:szCs w:val="24"/>
          <w:lang w:val="en-US" w:eastAsia="zh-CN"/>
        </w:rPr>
        <w:t>（11）特色与创新（4分）</w:t>
      </w:r>
    </w:p>
    <w:p w14:paraId="0C9D7616">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①管理特色</w:t>
      </w:r>
    </w:p>
    <w:p w14:paraId="7AB5B639">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480" w:firstLineChars="200"/>
        <w:contextualSpacing/>
        <w:jc w:val="left"/>
        <w:rPr>
          <w:rFonts w:hint="eastAsia" w:ascii="宋体" w:hAnsi="宋体" w:eastAsia="宋体" w:cs="宋体"/>
          <w:color w:val="000000"/>
          <w:spacing w:val="0"/>
          <w:position w:val="0"/>
          <w:sz w:val="24"/>
          <w:szCs w:val="24"/>
        </w:rPr>
      </w:pPr>
      <w:r>
        <w:rPr>
          <w:rFonts w:hint="eastAsia" w:ascii="宋体" w:hAnsi="宋体" w:eastAsia="宋体" w:cs="宋体"/>
          <w:color w:val="000000"/>
          <w:spacing w:val="0"/>
          <w:position w:val="0"/>
          <w:sz w:val="24"/>
          <w:szCs w:val="24"/>
        </w:rPr>
        <w:t>②创新措施</w:t>
      </w:r>
    </w:p>
    <w:p w14:paraId="231EB9D2">
      <w:pPr>
        <w:pStyle w:val="3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eastAsia" w:ascii="宋体" w:hAnsi="宋体" w:cs="宋体"/>
          <w:sz w:val="24"/>
        </w:rPr>
      </w:pPr>
      <w:r>
        <w:rPr>
          <w:rFonts w:hint="eastAsia" w:ascii="宋体" w:hAnsi="宋体" w:cs="宋体"/>
          <w:sz w:val="24"/>
        </w:rPr>
        <w:t>投标供应商须针对上述内容进行阐述，要求阐述内容合理、针对性强、切实可行有效。以上每点内容不存在瑕疵的得</w:t>
      </w:r>
      <w:r>
        <w:rPr>
          <w:rFonts w:hint="eastAsia" w:ascii="宋体" w:hAnsi="宋体" w:cs="宋体"/>
          <w:sz w:val="24"/>
          <w:lang w:val="en-US" w:eastAsia="zh-CN"/>
        </w:rPr>
        <w:t>2</w:t>
      </w:r>
      <w:r>
        <w:rPr>
          <w:rFonts w:hint="eastAsia" w:ascii="宋体" w:hAnsi="宋体" w:cs="宋体"/>
          <w:sz w:val="24"/>
        </w:rPr>
        <w:t>分，存在1处瑕疵的得</w:t>
      </w:r>
      <w:r>
        <w:rPr>
          <w:rFonts w:hint="eastAsia" w:ascii="宋体" w:hAnsi="宋体" w:cs="宋体"/>
          <w:sz w:val="24"/>
          <w:lang w:val="en-US" w:eastAsia="zh-CN"/>
        </w:rPr>
        <w:t>1</w:t>
      </w:r>
      <w:r>
        <w:rPr>
          <w:rFonts w:hint="eastAsia" w:ascii="宋体" w:hAnsi="宋体" w:cs="宋体"/>
          <w:sz w:val="24"/>
        </w:rPr>
        <w:t>分，存在2处瑕疵的，有基本的解释说明的得</w:t>
      </w:r>
      <w:r>
        <w:rPr>
          <w:rFonts w:hint="eastAsia" w:ascii="宋体" w:hAnsi="宋体" w:cs="宋体"/>
          <w:sz w:val="24"/>
          <w:lang w:val="en-US" w:eastAsia="zh-CN"/>
        </w:rPr>
        <w:t>0.5</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sz w:val="24"/>
          <w:lang w:eastAsia="zh-CN"/>
        </w:rPr>
        <w:t>。</w:t>
      </w:r>
    </w:p>
    <w:p w14:paraId="50BBFB7B">
      <w:pPr>
        <w:spacing w:line="360" w:lineRule="auto"/>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A7BD175">
      <w:pPr>
        <w:adjustRightInd w:val="0"/>
        <w:snapToGrid w:val="0"/>
        <w:spacing w:line="360" w:lineRule="auto"/>
        <w:ind w:firstLine="480" w:firstLineChars="200"/>
        <w:jc w:val="left"/>
        <w:rPr>
          <w:rFonts w:hint="eastAsia" w:ascii="宋体" w:hAnsi="宋体"/>
          <w:sz w:val="24"/>
          <w:szCs w:val="24"/>
        </w:rPr>
      </w:pPr>
    </w:p>
    <w:p w14:paraId="56674819">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A3F5BBE">
      <w:pPr>
        <w:numPr>
          <w:ilvl w:val="0"/>
          <w:numId w:val="5"/>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4"/>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4"/>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9"/>
                <w:rFonts w:hint="eastAsia" w:ascii="宋体" w:hAnsi="宋体" w:cs="宋体"/>
                <w:color w:val="auto"/>
                <w:sz w:val="24"/>
                <w:highlight w:val="none"/>
              </w:rPr>
              <w:t>。</w:t>
            </w:r>
          </w:p>
        </w:tc>
        <w:tc>
          <w:tcPr>
            <w:tcW w:w="2449" w:type="dxa"/>
            <w:vMerge w:val="continue"/>
            <w:vAlign w:val="center"/>
          </w:tcPr>
          <w:p w14:paraId="7CAF973B">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3"/>
        <w:rPr>
          <w:rFonts w:ascii="黑体" w:eastAsia="黑体"/>
          <w:bCs/>
          <w:color w:val="auto"/>
          <w:sz w:val="32"/>
          <w:szCs w:val="32"/>
          <w:highlight w:val="none"/>
        </w:rPr>
      </w:pPr>
    </w:p>
    <w:p w14:paraId="7B7C0ABF">
      <w:pPr>
        <w:pStyle w:val="43"/>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5D392D48">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4"/>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JSZC-320206-JZCG-G2026-0047</w:t>
      </w:r>
    </w:p>
    <w:p w14:paraId="6F471DE9">
      <w:pPr>
        <w:ind w:firstLine="1200" w:firstLineChars="4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堰桥街道九里河公园管养项目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5"/>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JSZC-320206-JZCG-G2026-0047</w:t>
      </w:r>
      <w:r>
        <w:rPr>
          <w:rFonts w:hint="eastAsia" w:ascii="宋体" w:hAnsi="宋体"/>
          <w:bCs/>
          <w:color w:val="auto"/>
          <w:sz w:val="24"/>
          <w:szCs w:val="24"/>
          <w:highlight w:val="none"/>
        </w:rPr>
        <w:t>项目，兹授权：</w:t>
      </w:r>
    </w:p>
    <w:p w14:paraId="631CE529">
      <w:pPr>
        <w:pStyle w:val="375"/>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5"/>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5"/>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5"/>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5"/>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5"/>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5"/>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5"/>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5"/>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5"/>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5"/>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5"/>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5"/>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7D2CDFE4">
      <w:pPr>
        <w:tabs>
          <w:tab w:val="left" w:pos="1050"/>
        </w:tabs>
        <w:spacing w:line="400" w:lineRule="exact"/>
        <w:ind w:firstLine="640"/>
        <w:rPr>
          <w:rFonts w:ascii="黑体" w:eastAsia="黑体"/>
          <w:bCs/>
          <w:color w:val="auto"/>
          <w:sz w:val="32"/>
          <w:szCs w:val="32"/>
          <w:highlight w:val="none"/>
        </w:rPr>
      </w:pPr>
    </w:p>
    <w:p w14:paraId="6813DB08">
      <w:pPr>
        <w:pStyle w:val="375"/>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1" w:name="报价方关于资格的声明函（格式）"/>
      <w:bookmarkEnd w:id="131"/>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JSZC-320206-JZCG-G2026-0047</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0939DEB7">
      <w:pPr>
        <w:spacing w:line="360" w:lineRule="auto"/>
        <w:rPr>
          <w:rFonts w:hint="eastAsia"/>
          <w:color w:val="auto"/>
          <w:highlight w:val="none"/>
        </w:rPr>
      </w:pPr>
    </w:p>
    <w:p w14:paraId="093B4C95">
      <w:pPr>
        <w:bidi w:val="0"/>
        <w:rPr>
          <w:rFonts w:hint="eastAsia"/>
          <w:color w:val="auto"/>
          <w:highlight w:val="none"/>
        </w:rPr>
      </w:pPr>
    </w:p>
    <w:p w14:paraId="7BB33390">
      <w:pPr>
        <w:bidi w:val="0"/>
        <w:rPr>
          <w:rFonts w:hint="eastAsia"/>
          <w:color w:val="auto"/>
          <w:highlight w:val="none"/>
        </w:rPr>
      </w:pPr>
    </w:p>
    <w:p w14:paraId="2EEB188D">
      <w:pPr>
        <w:bidi w:val="0"/>
        <w:rPr>
          <w:rFonts w:hint="eastAsia"/>
          <w:color w:val="auto"/>
          <w:highlight w:val="none"/>
        </w:rPr>
      </w:pPr>
    </w:p>
    <w:p w14:paraId="259DB0EF">
      <w:pPr>
        <w:bidi w:val="0"/>
        <w:rPr>
          <w:rFonts w:hint="eastAsia"/>
          <w:color w:val="auto"/>
          <w:highlight w:val="none"/>
        </w:rPr>
      </w:pPr>
    </w:p>
    <w:p w14:paraId="54A665B5">
      <w:pPr>
        <w:bidi w:val="0"/>
        <w:jc w:val="left"/>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JSZC-320206-JZCG-G2026-0047</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6"/>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JSZC-320206-JZCG-G2026-0047</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JSZC-320206-JZCG-G2026-0047</w:t>
      </w:r>
    </w:p>
    <w:tbl>
      <w:tblPr>
        <w:tblStyle w:val="36"/>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7"/>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堰桥街道九里河公园管养项目</w:t>
            </w:r>
          </w:p>
        </w:tc>
        <w:tc>
          <w:tcPr>
            <w:tcW w:w="4229" w:type="dxa"/>
            <w:vAlign w:val="center"/>
          </w:tcPr>
          <w:p w14:paraId="311E87DB">
            <w:pPr>
              <w:pStyle w:val="327"/>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2"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JSZC-320206-JZCG-G2026-0047</w:t>
      </w:r>
    </w:p>
    <w:tbl>
      <w:tblPr>
        <w:tblStyle w:val="36"/>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2</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6"/>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2104"/>
        <w:gridCol w:w="651"/>
        <w:gridCol w:w="1559"/>
        <w:gridCol w:w="1134"/>
        <w:gridCol w:w="1510"/>
        <w:gridCol w:w="1590"/>
      </w:tblGrid>
      <w:tr w14:paraId="3A90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979448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104" w:type="dxa"/>
            <w:noWrap w:val="0"/>
            <w:vAlign w:val="center"/>
          </w:tcPr>
          <w:p w14:paraId="531FC04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项目名称</w:t>
            </w:r>
          </w:p>
        </w:tc>
        <w:tc>
          <w:tcPr>
            <w:tcW w:w="651" w:type="dxa"/>
            <w:noWrap w:val="0"/>
            <w:vAlign w:val="center"/>
          </w:tcPr>
          <w:p w14:paraId="24E63E5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人数</w:t>
            </w:r>
          </w:p>
          <w:p w14:paraId="2B497EC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配置</w:t>
            </w:r>
          </w:p>
        </w:tc>
        <w:tc>
          <w:tcPr>
            <w:tcW w:w="1559" w:type="dxa"/>
            <w:noWrap w:val="0"/>
            <w:vAlign w:val="center"/>
          </w:tcPr>
          <w:p w14:paraId="3C19D87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人员费用标准</w:t>
            </w:r>
          </w:p>
          <w:p w14:paraId="638DDA1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134" w:type="dxa"/>
            <w:noWrap w:val="0"/>
            <w:vAlign w:val="center"/>
          </w:tcPr>
          <w:p w14:paraId="334DB0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442A0F0B">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年</w:t>
            </w:r>
            <w:r>
              <w:rPr>
                <w:rFonts w:hint="eastAsia" w:ascii="宋体" w:hAnsi="宋体" w:eastAsia="宋体" w:cs="宋体"/>
                <w:b/>
                <w:color w:val="auto"/>
                <w:sz w:val="21"/>
                <w:szCs w:val="21"/>
              </w:rPr>
              <w:t>）</w:t>
            </w:r>
          </w:p>
        </w:tc>
        <w:tc>
          <w:tcPr>
            <w:tcW w:w="1510" w:type="dxa"/>
            <w:noWrap w:val="0"/>
            <w:vAlign w:val="center"/>
          </w:tcPr>
          <w:p w14:paraId="2B8504C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18735BB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二年</w:t>
            </w:r>
            <w:r>
              <w:rPr>
                <w:rFonts w:hint="eastAsia" w:ascii="宋体" w:hAnsi="宋体" w:eastAsia="宋体" w:cs="宋体"/>
                <w:b/>
                <w:color w:val="auto"/>
                <w:sz w:val="21"/>
                <w:szCs w:val="21"/>
              </w:rPr>
              <w:t>）</w:t>
            </w:r>
          </w:p>
        </w:tc>
        <w:tc>
          <w:tcPr>
            <w:tcW w:w="1590" w:type="dxa"/>
            <w:noWrap w:val="0"/>
            <w:vAlign w:val="center"/>
          </w:tcPr>
          <w:p w14:paraId="33DD0E02">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54DD9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89E415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1</w:t>
            </w:r>
          </w:p>
        </w:tc>
        <w:tc>
          <w:tcPr>
            <w:tcW w:w="2104" w:type="dxa"/>
            <w:noWrap w:val="0"/>
            <w:vAlign w:val="center"/>
          </w:tcPr>
          <w:p w14:paraId="37274781">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员工工资及福利</w:t>
            </w:r>
          </w:p>
        </w:tc>
        <w:tc>
          <w:tcPr>
            <w:tcW w:w="651" w:type="dxa"/>
            <w:noWrap w:val="0"/>
            <w:vAlign w:val="center"/>
          </w:tcPr>
          <w:p w14:paraId="1E84500D">
            <w:pPr>
              <w:jc w:val="center"/>
              <w:rPr>
                <w:rFonts w:hint="eastAsia" w:ascii="宋体" w:hAnsi="宋体" w:eastAsia="宋体" w:cs="宋体"/>
                <w:color w:val="auto"/>
                <w:sz w:val="21"/>
                <w:szCs w:val="21"/>
              </w:rPr>
            </w:pPr>
          </w:p>
        </w:tc>
        <w:tc>
          <w:tcPr>
            <w:tcW w:w="1559" w:type="dxa"/>
            <w:noWrap w:val="0"/>
            <w:vAlign w:val="center"/>
          </w:tcPr>
          <w:p w14:paraId="6AC4BF26">
            <w:pPr>
              <w:jc w:val="center"/>
              <w:rPr>
                <w:rFonts w:hint="eastAsia" w:ascii="宋体" w:hAnsi="宋体" w:eastAsia="宋体" w:cs="宋体"/>
                <w:color w:val="auto"/>
                <w:sz w:val="21"/>
                <w:szCs w:val="21"/>
              </w:rPr>
            </w:pPr>
          </w:p>
        </w:tc>
        <w:tc>
          <w:tcPr>
            <w:tcW w:w="1134" w:type="dxa"/>
            <w:noWrap w:val="0"/>
            <w:vAlign w:val="center"/>
          </w:tcPr>
          <w:p w14:paraId="7E5BA08F">
            <w:pPr>
              <w:jc w:val="center"/>
              <w:rPr>
                <w:rFonts w:hint="eastAsia" w:ascii="宋体" w:hAnsi="宋体" w:eastAsia="宋体" w:cs="宋体"/>
                <w:color w:val="auto"/>
                <w:sz w:val="21"/>
                <w:szCs w:val="21"/>
              </w:rPr>
            </w:pPr>
          </w:p>
        </w:tc>
        <w:tc>
          <w:tcPr>
            <w:tcW w:w="1510" w:type="dxa"/>
            <w:noWrap w:val="0"/>
            <w:vAlign w:val="center"/>
          </w:tcPr>
          <w:p w14:paraId="160FE592">
            <w:pPr>
              <w:jc w:val="center"/>
              <w:rPr>
                <w:rFonts w:hint="eastAsia" w:ascii="宋体" w:hAnsi="宋体" w:eastAsia="宋体" w:cs="宋体"/>
                <w:color w:val="auto"/>
                <w:sz w:val="21"/>
                <w:szCs w:val="21"/>
              </w:rPr>
            </w:pPr>
          </w:p>
        </w:tc>
        <w:tc>
          <w:tcPr>
            <w:tcW w:w="1590" w:type="dxa"/>
            <w:noWrap w:val="0"/>
            <w:vAlign w:val="center"/>
          </w:tcPr>
          <w:p w14:paraId="40B97691">
            <w:pPr>
              <w:rPr>
                <w:rFonts w:hint="eastAsia" w:ascii="宋体" w:hAnsi="宋体" w:eastAsia="宋体" w:cs="宋体"/>
                <w:color w:val="auto"/>
                <w:sz w:val="21"/>
                <w:szCs w:val="21"/>
              </w:rPr>
            </w:pPr>
          </w:p>
        </w:tc>
      </w:tr>
      <w:tr w14:paraId="7040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317CA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704A3F91">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项目</w:t>
            </w:r>
            <w:r>
              <w:rPr>
                <w:rFonts w:hint="eastAsia" w:ascii="宋体" w:hAnsi="宋体" w:cs="宋体"/>
                <w:color w:val="auto"/>
                <w:sz w:val="21"/>
                <w:szCs w:val="21"/>
                <w:lang w:val="en-US" w:eastAsia="zh-CN"/>
              </w:rPr>
              <w:t>管理员</w:t>
            </w:r>
          </w:p>
        </w:tc>
        <w:tc>
          <w:tcPr>
            <w:tcW w:w="651" w:type="dxa"/>
            <w:noWrap w:val="0"/>
            <w:vAlign w:val="center"/>
          </w:tcPr>
          <w:p w14:paraId="59ED6B58">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2D64A0E0">
            <w:pPr>
              <w:jc w:val="center"/>
              <w:rPr>
                <w:rFonts w:hint="eastAsia" w:ascii="宋体" w:hAnsi="宋体" w:eastAsia="宋体" w:cs="宋体"/>
                <w:color w:val="auto"/>
                <w:sz w:val="21"/>
                <w:szCs w:val="21"/>
              </w:rPr>
            </w:pPr>
          </w:p>
        </w:tc>
        <w:tc>
          <w:tcPr>
            <w:tcW w:w="1134" w:type="dxa"/>
            <w:noWrap w:val="0"/>
            <w:vAlign w:val="center"/>
          </w:tcPr>
          <w:p w14:paraId="78C72F19">
            <w:pPr>
              <w:jc w:val="center"/>
              <w:rPr>
                <w:rFonts w:hint="eastAsia" w:ascii="宋体" w:hAnsi="宋体" w:eastAsia="宋体" w:cs="宋体"/>
                <w:color w:val="auto"/>
                <w:sz w:val="21"/>
                <w:szCs w:val="21"/>
              </w:rPr>
            </w:pPr>
          </w:p>
        </w:tc>
        <w:tc>
          <w:tcPr>
            <w:tcW w:w="1510" w:type="dxa"/>
            <w:noWrap w:val="0"/>
            <w:vAlign w:val="center"/>
          </w:tcPr>
          <w:p w14:paraId="46BDC687">
            <w:pPr>
              <w:jc w:val="center"/>
              <w:rPr>
                <w:rFonts w:hint="eastAsia" w:ascii="宋体" w:hAnsi="宋体" w:eastAsia="宋体" w:cs="宋体"/>
                <w:color w:val="auto"/>
                <w:sz w:val="21"/>
                <w:szCs w:val="21"/>
              </w:rPr>
            </w:pPr>
          </w:p>
        </w:tc>
        <w:tc>
          <w:tcPr>
            <w:tcW w:w="1590" w:type="dxa"/>
            <w:noWrap w:val="0"/>
            <w:vAlign w:val="center"/>
          </w:tcPr>
          <w:p w14:paraId="5F0E86FC">
            <w:pPr>
              <w:jc w:val="center"/>
              <w:rPr>
                <w:rFonts w:hint="eastAsia" w:ascii="宋体" w:hAnsi="宋体" w:eastAsia="宋体" w:cs="宋体"/>
                <w:color w:val="auto"/>
                <w:sz w:val="21"/>
                <w:szCs w:val="21"/>
              </w:rPr>
            </w:pPr>
          </w:p>
        </w:tc>
      </w:tr>
      <w:tr w14:paraId="113D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610FE70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2104" w:type="dxa"/>
            <w:noWrap w:val="0"/>
            <w:vAlign w:val="center"/>
          </w:tcPr>
          <w:p w14:paraId="6B479FD8">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保安领班</w:t>
            </w:r>
          </w:p>
        </w:tc>
        <w:tc>
          <w:tcPr>
            <w:tcW w:w="651" w:type="dxa"/>
            <w:noWrap w:val="0"/>
            <w:vAlign w:val="center"/>
          </w:tcPr>
          <w:p w14:paraId="4F635042">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73933883">
            <w:pPr>
              <w:jc w:val="center"/>
              <w:rPr>
                <w:rFonts w:hint="eastAsia" w:ascii="宋体" w:hAnsi="宋体" w:eastAsia="宋体" w:cs="宋体"/>
                <w:color w:val="auto"/>
                <w:sz w:val="21"/>
                <w:szCs w:val="21"/>
              </w:rPr>
            </w:pPr>
          </w:p>
        </w:tc>
        <w:tc>
          <w:tcPr>
            <w:tcW w:w="1134" w:type="dxa"/>
            <w:noWrap w:val="0"/>
            <w:vAlign w:val="center"/>
          </w:tcPr>
          <w:p w14:paraId="5E11834D">
            <w:pPr>
              <w:jc w:val="center"/>
              <w:rPr>
                <w:rFonts w:hint="eastAsia" w:ascii="宋体" w:hAnsi="宋体" w:eastAsia="宋体" w:cs="宋体"/>
                <w:color w:val="auto"/>
                <w:sz w:val="21"/>
                <w:szCs w:val="21"/>
              </w:rPr>
            </w:pPr>
          </w:p>
        </w:tc>
        <w:tc>
          <w:tcPr>
            <w:tcW w:w="1510" w:type="dxa"/>
            <w:noWrap w:val="0"/>
            <w:vAlign w:val="center"/>
          </w:tcPr>
          <w:p w14:paraId="78126813">
            <w:pPr>
              <w:jc w:val="center"/>
              <w:rPr>
                <w:rFonts w:hint="eastAsia" w:ascii="宋体" w:hAnsi="宋体" w:eastAsia="宋体" w:cs="宋体"/>
                <w:color w:val="auto"/>
                <w:sz w:val="21"/>
                <w:szCs w:val="21"/>
              </w:rPr>
            </w:pPr>
          </w:p>
        </w:tc>
        <w:tc>
          <w:tcPr>
            <w:tcW w:w="1590" w:type="dxa"/>
            <w:noWrap w:val="0"/>
            <w:vAlign w:val="center"/>
          </w:tcPr>
          <w:p w14:paraId="2EAEE821">
            <w:pPr>
              <w:jc w:val="center"/>
              <w:rPr>
                <w:rFonts w:hint="eastAsia" w:ascii="宋体" w:hAnsi="宋体" w:eastAsia="宋体" w:cs="宋体"/>
                <w:color w:val="auto"/>
                <w:sz w:val="21"/>
                <w:szCs w:val="21"/>
              </w:rPr>
            </w:pPr>
          </w:p>
        </w:tc>
      </w:tr>
      <w:tr w14:paraId="32572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67CDF8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p>
        </w:tc>
        <w:tc>
          <w:tcPr>
            <w:tcW w:w="2104" w:type="dxa"/>
            <w:noWrap w:val="0"/>
            <w:vAlign w:val="center"/>
          </w:tcPr>
          <w:p w14:paraId="43CA4FFD">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保安（机动）</w:t>
            </w:r>
          </w:p>
        </w:tc>
        <w:tc>
          <w:tcPr>
            <w:tcW w:w="651" w:type="dxa"/>
            <w:noWrap w:val="0"/>
            <w:vAlign w:val="center"/>
          </w:tcPr>
          <w:p w14:paraId="57F8EE46">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13</w:t>
            </w:r>
          </w:p>
        </w:tc>
        <w:tc>
          <w:tcPr>
            <w:tcW w:w="1559" w:type="dxa"/>
            <w:noWrap w:val="0"/>
            <w:vAlign w:val="center"/>
          </w:tcPr>
          <w:p w14:paraId="1CA17680">
            <w:pPr>
              <w:jc w:val="center"/>
              <w:rPr>
                <w:rFonts w:hint="eastAsia" w:ascii="宋体" w:hAnsi="宋体" w:eastAsia="宋体" w:cs="宋体"/>
                <w:color w:val="auto"/>
                <w:sz w:val="21"/>
                <w:szCs w:val="21"/>
              </w:rPr>
            </w:pPr>
          </w:p>
        </w:tc>
        <w:tc>
          <w:tcPr>
            <w:tcW w:w="1134" w:type="dxa"/>
            <w:noWrap w:val="0"/>
            <w:vAlign w:val="center"/>
          </w:tcPr>
          <w:p w14:paraId="7A2D7235">
            <w:pPr>
              <w:jc w:val="center"/>
              <w:rPr>
                <w:rFonts w:hint="eastAsia" w:ascii="宋体" w:hAnsi="宋体" w:eastAsia="宋体" w:cs="宋体"/>
                <w:color w:val="auto"/>
                <w:sz w:val="21"/>
                <w:szCs w:val="21"/>
              </w:rPr>
            </w:pPr>
          </w:p>
        </w:tc>
        <w:tc>
          <w:tcPr>
            <w:tcW w:w="1510" w:type="dxa"/>
            <w:noWrap w:val="0"/>
            <w:vAlign w:val="center"/>
          </w:tcPr>
          <w:p w14:paraId="62D8AE36">
            <w:pPr>
              <w:jc w:val="center"/>
              <w:rPr>
                <w:rFonts w:hint="eastAsia" w:ascii="宋体" w:hAnsi="宋体" w:eastAsia="宋体" w:cs="宋体"/>
                <w:color w:val="auto"/>
                <w:sz w:val="21"/>
                <w:szCs w:val="21"/>
              </w:rPr>
            </w:pPr>
          </w:p>
        </w:tc>
        <w:tc>
          <w:tcPr>
            <w:tcW w:w="1590" w:type="dxa"/>
            <w:noWrap w:val="0"/>
            <w:vAlign w:val="center"/>
          </w:tcPr>
          <w:p w14:paraId="068CB0D2">
            <w:pPr>
              <w:jc w:val="center"/>
              <w:rPr>
                <w:rFonts w:hint="eastAsia" w:ascii="宋体" w:hAnsi="宋体" w:eastAsia="宋体" w:cs="宋体"/>
                <w:color w:val="auto"/>
                <w:sz w:val="21"/>
                <w:szCs w:val="21"/>
              </w:rPr>
            </w:pPr>
          </w:p>
        </w:tc>
      </w:tr>
      <w:tr w14:paraId="17206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61F49C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p>
        </w:tc>
        <w:tc>
          <w:tcPr>
            <w:tcW w:w="2104" w:type="dxa"/>
            <w:noWrap w:val="0"/>
            <w:vAlign w:val="center"/>
          </w:tcPr>
          <w:p w14:paraId="63BBA6B2">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保洁领班</w:t>
            </w:r>
          </w:p>
        </w:tc>
        <w:tc>
          <w:tcPr>
            <w:tcW w:w="651" w:type="dxa"/>
            <w:noWrap w:val="0"/>
            <w:vAlign w:val="center"/>
          </w:tcPr>
          <w:p w14:paraId="06AD29B7">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08CF565F">
            <w:pPr>
              <w:jc w:val="center"/>
              <w:rPr>
                <w:rFonts w:hint="eastAsia" w:ascii="宋体" w:hAnsi="宋体" w:eastAsia="宋体" w:cs="宋体"/>
                <w:color w:val="auto"/>
                <w:sz w:val="21"/>
                <w:szCs w:val="21"/>
              </w:rPr>
            </w:pPr>
          </w:p>
        </w:tc>
        <w:tc>
          <w:tcPr>
            <w:tcW w:w="1134" w:type="dxa"/>
            <w:noWrap w:val="0"/>
            <w:vAlign w:val="center"/>
          </w:tcPr>
          <w:p w14:paraId="1B786F90">
            <w:pPr>
              <w:jc w:val="center"/>
              <w:rPr>
                <w:rFonts w:hint="eastAsia" w:ascii="宋体" w:hAnsi="宋体" w:eastAsia="宋体" w:cs="宋体"/>
                <w:color w:val="auto"/>
                <w:sz w:val="21"/>
                <w:szCs w:val="21"/>
              </w:rPr>
            </w:pPr>
          </w:p>
        </w:tc>
        <w:tc>
          <w:tcPr>
            <w:tcW w:w="1510" w:type="dxa"/>
            <w:noWrap w:val="0"/>
            <w:vAlign w:val="center"/>
          </w:tcPr>
          <w:p w14:paraId="0804BB0F">
            <w:pPr>
              <w:jc w:val="center"/>
              <w:rPr>
                <w:rFonts w:hint="eastAsia" w:ascii="宋体" w:hAnsi="宋体" w:eastAsia="宋体" w:cs="宋体"/>
                <w:color w:val="auto"/>
                <w:sz w:val="21"/>
                <w:szCs w:val="21"/>
              </w:rPr>
            </w:pPr>
          </w:p>
        </w:tc>
        <w:tc>
          <w:tcPr>
            <w:tcW w:w="1590" w:type="dxa"/>
            <w:noWrap w:val="0"/>
            <w:vAlign w:val="center"/>
          </w:tcPr>
          <w:p w14:paraId="106128E6">
            <w:pPr>
              <w:jc w:val="center"/>
              <w:rPr>
                <w:rFonts w:hint="eastAsia" w:ascii="宋体" w:hAnsi="宋体" w:eastAsia="宋体" w:cs="宋体"/>
                <w:color w:val="auto"/>
                <w:sz w:val="21"/>
                <w:szCs w:val="21"/>
              </w:rPr>
            </w:pPr>
          </w:p>
        </w:tc>
      </w:tr>
      <w:tr w14:paraId="5184E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3590CDC5">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w:t>
            </w:r>
          </w:p>
        </w:tc>
        <w:tc>
          <w:tcPr>
            <w:tcW w:w="2104" w:type="dxa"/>
            <w:noWrap w:val="0"/>
            <w:vAlign w:val="center"/>
          </w:tcPr>
          <w:p w14:paraId="2911FA45">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保洁</w:t>
            </w:r>
          </w:p>
        </w:tc>
        <w:tc>
          <w:tcPr>
            <w:tcW w:w="651" w:type="dxa"/>
            <w:noWrap w:val="0"/>
            <w:vAlign w:val="center"/>
          </w:tcPr>
          <w:p w14:paraId="5D0F4633">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p>
        </w:tc>
        <w:tc>
          <w:tcPr>
            <w:tcW w:w="1559" w:type="dxa"/>
            <w:noWrap w:val="0"/>
            <w:vAlign w:val="center"/>
          </w:tcPr>
          <w:p w14:paraId="543C685F">
            <w:pPr>
              <w:jc w:val="center"/>
              <w:rPr>
                <w:rFonts w:hint="eastAsia" w:ascii="宋体" w:hAnsi="宋体" w:eastAsia="宋体" w:cs="宋体"/>
                <w:color w:val="auto"/>
                <w:sz w:val="21"/>
                <w:szCs w:val="21"/>
              </w:rPr>
            </w:pPr>
          </w:p>
        </w:tc>
        <w:tc>
          <w:tcPr>
            <w:tcW w:w="1134" w:type="dxa"/>
            <w:noWrap w:val="0"/>
            <w:vAlign w:val="center"/>
          </w:tcPr>
          <w:p w14:paraId="358095B0">
            <w:pPr>
              <w:jc w:val="center"/>
              <w:rPr>
                <w:rFonts w:hint="eastAsia" w:ascii="宋体" w:hAnsi="宋体" w:eastAsia="宋体" w:cs="宋体"/>
                <w:color w:val="auto"/>
                <w:sz w:val="21"/>
                <w:szCs w:val="21"/>
              </w:rPr>
            </w:pPr>
          </w:p>
        </w:tc>
        <w:tc>
          <w:tcPr>
            <w:tcW w:w="1510" w:type="dxa"/>
            <w:noWrap w:val="0"/>
            <w:vAlign w:val="center"/>
          </w:tcPr>
          <w:p w14:paraId="54D9CE76">
            <w:pPr>
              <w:jc w:val="center"/>
              <w:rPr>
                <w:rFonts w:hint="eastAsia" w:ascii="宋体" w:hAnsi="宋体" w:eastAsia="宋体" w:cs="宋体"/>
                <w:color w:val="auto"/>
                <w:sz w:val="21"/>
                <w:szCs w:val="21"/>
              </w:rPr>
            </w:pPr>
          </w:p>
        </w:tc>
        <w:tc>
          <w:tcPr>
            <w:tcW w:w="1590" w:type="dxa"/>
            <w:noWrap w:val="0"/>
            <w:vAlign w:val="center"/>
          </w:tcPr>
          <w:p w14:paraId="06046539">
            <w:pPr>
              <w:jc w:val="center"/>
              <w:rPr>
                <w:rFonts w:hint="eastAsia" w:ascii="宋体" w:hAnsi="宋体" w:eastAsia="宋体" w:cs="宋体"/>
                <w:color w:val="auto"/>
                <w:sz w:val="21"/>
                <w:szCs w:val="21"/>
              </w:rPr>
            </w:pPr>
          </w:p>
        </w:tc>
      </w:tr>
      <w:tr w14:paraId="346A9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81CDCC9">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w:t>
            </w:r>
          </w:p>
        </w:tc>
        <w:tc>
          <w:tcPr>
            <w:tcW w:w="2104" w:type="dxa"/>
            <w:noWrap w:val="0"/>
            <w:vAlign w:val="center"/>
          </w:tcPr>
          <w:p w14:paraId="56462535">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工程</w:t>
            </w:r>
            <w:r>
              <w:rPr>
                <w:rFonts w:hint="eastAsia" w:ascii="宋体" w:hAnsi="宋体" w:cs="宋体"/>
                <w:color w:val="auto"/>
                <w:sz w:val="21"/>
                <w:szCs w:val="21"/>
                <w:lang w:val="en-US" w:eastAsia="zh-CN"/>
              </w:rPr>
              <w:t>维保</w:t>
            </w:r>
          </w:p>
        </w:tc>
        <w:tc>
          <w:tcPr>
            <w:tcW w:w="651" w:type="dxa"/>
            <w:noWrap w:val="0"/>
            <w:vAlign w:val="center"/>
          </w:tcPr>
          <w:p w14:paraId="445F8070">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1E29879E">
            <w:pPr>
              <w:jc w:val="center"/>
              <w:rPr>
                <w:rFonts w:hint="eastAsia" w:ascii="宋体" w:hAnsi="宋体" w:eastAsia="宋体" w:cs="宋体"/>
                <w:color w:val="auto"/>
                <w:sz w:val="21"/>
                <w:szCs w:val="21"/>
              </w:rPr>
            </w:pPr>
          </w:p>
        </w:tc>
        <w:tc>
          <w:tcPr>
            <w:tcW w:w="1134" w:type="dxa"/>
            <w:noWrap w:val="0"/>
            <w:vAlign w:val="center"/>
          </w:tcPr>
          <w:p w14:paraId="509CDF07">
            <w:pPr>
              <w:jc w:val="center"/>
              <w:rPr>
                <w:rFonts w:hint="eastAsia" w:ascii="宋体" w:hAnsi="宋体" w:eastAsia="宋体" w:cs="宋体"/>
                <w:color w:val="auto"/>
                <w:sz w:val="21"/>
                <w:szCs w:val="21"/>
              </w:rPr>
            </w:pPr>
          </w:p>
        </w:tc>
        <w:tc>
          <w:tcPr>
            <w:tcW w:w="1510" w:type="dxa"/>
            <w:noWrap w:val="0"/>
            <w:vAlign w:val="center"/>
          </w:tcPr>
          <w:p w14:paraId="4FAE7EDB">
            <w:pPr>
              <w:jc w:val="center"/>
              <w:rPr>
                <w:rFonts w:hint="eastAsia" w:ascii="宋体" w:hAnsi="宋体" w:eastAsia="宋体" w:cs="宋体"/>
                <w:color w:val="auto"/>
                <w:sz w:val="21"/>
                <w:szCs w:val="21"/>
              </w:rPr>
            </w:pPr>
          </w:p>
        </w:tc>
        <w:tc>
          <w:tcPr>
            <w:tcW w:w="1590" w:type="dxa"/>
            <w:noWrap w:val="0"/>
            <w:vAlign w:val="center"/>
          </w:tcPr>
          <w:p w14:paraId="67897076">
            <w:pPr>
              <w:jc w:val="center"/>
              <w:rPr>
                <w:rFonts w:hint="eastAsia" w:ascii="宋体" w:hAnsi="宋体" w:eastAsia="宋体" w:cs="宋体"/>
                <w:color w:val="auto"/>
                <w:sz w:val="21"/>
                <w:szCs w:val="21"/>
              </w:rPr>
            </w:pPr>
          </w:p>
        </w:tc>
      </w:tr>
      <w:tr w14:paraId="209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CFB4818">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7</w:t>
            </w:r>
            <w:r>
              <w:rPr>
                <w:rFonts w:hint="eastAsia" w:ascii="宋体" w:hAnsi="宋体" w:eastAsia="宋体" w:cs="宋体"/>
                <w:color w:val="auto"/>
                <w:sz w:val="21"/>
                <w:szCs w:val="21"/>
              </w:rPr>
              <w:t>）</w:t>
            </w:r>
          </w:p>
        </w:tc>
        <w:tc>
          <w:tcPr>
            <w:tcW w:w="2104" w:type="dxa"/>
            <w:noWrap w:val="0"/>
            <w:vAlign w:val="center"/>
          </w:tcPr>
          <w:p w14:paraId="51EE403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法定节假日加班工资</w:t>
            </w:r>
          </w:p>
        </w:tc>
        <w:tc>
          <w:tcPr>
            <w:tcW w:w="651" w:type="dxa"/>
            <w:noWrap w:val="0"/>
            <w:vAlign w:val="center"/>
          </w:tcPr>
          <w:p w14:paraId="2FF68212">
            <w:pPr>
              <w:jc w:val="center"/>
              <w:rPr>
                <w:rFonts w:hint="eastAsia" w:ascii="宋体" w:hAnsi="宋体" w:eastAsia="宋体" w:cs="宋体"/>
                <w:color w:val="auto"/>
                <w:sz w:val="21"/>
                <w:szCs w:val="21"/>
              </w:rPr>
            </w:pPr>
          </w:p>
        </w:tc>
        <w:tc>
          <w:tcPr>
            <w:tcW w:w="1559" w:type="dxa"/>
            <w:noWrap w:val="0"/>
            <w:vAlign w:val="center"/>
          </w:tcPr>
          <w:p w14:paraId="64ED7C28">
            <w:pPr>
              <w:jc w:val="center"/>
              <w:rPr>
                <w:rFonts w:hint="eastAsia" w:ascii="宋体" w:hAnsi="宋体" w:eastAsia="宋体" w:cs="宋体"/>
                <w:color w:val="auto"/>
                <w:sz w:val="21"/>
                <w:szCs w:val="21"/>
              </w:rPr>
            </w:pPr>
          </w:p>
        </w:tc>
        <w:tc>
          <w:tcPr>
            <w:tcW w:w="1134" w:type="dxa"/>
            <w:noWrap w:val="0"/>
            <w:vAlign w:val="center"/>
          </w:tcPr>
          <w:p w14:paraId="3102EF4B">
            <w:pPr>
              <w:jc w:val="center"/>
              <w:rPr>
                <w:rFonts w:hint="eastAsia" w:ascii="宋体" w:hAnsi="宋体" w:eastAsia="宋体" w:cs="宋体"/>
                <w:color w:val="auto"/>
                <w:sz w:val="21"/>
                <w:szCs w:val="21"/>
              </w:rPr>
            </w:pPr>
          </w:p>
        </w:tc>
        <w:tc>
          <w:tcPr>
            <w:tcW w:w="1510" w:type="dxa"/>
            <w:noWrap w:val="0"/>
            <w:vAlign w:val="center"/>
          </w:tcPr>
          <w:p w14:paraId="3EF5FFFD">
            <w:pPr>
              <w:jc w:val="center"/>
              <w:rPr>
                <w:rFonts w:hint="eastAsia" w:ascii="宋体" w:hAnsi="宋体" w:eastAsia="宋体" w:cs="宋体"/>
                <w:color w:val="auto"/>
                <w:sz w:val="21"/>
                <w:szCs w:val="21"/>
              </w:rPr>
            </w:pPr>
          </w:p>
        </w:tc>
        <w:tc>
          <w:tcPr>
            <w:tcW w:w="1590" w:type="dxa"/>
            <w:noWrap w:val="0"/>
            <w:vAlign w:val="top"/>
          </w:tcPr>
          <w:p w14:paraId="10FACB3C">
            <w:pPr>
              <w:rPr>
                <w:rFonts w:hint="eastAsia" w:ascii="宋体" w:hAnsi="宋体" w:eastAsia="宋体" w:cs="宋体"/>
                <w:color w:val="auto"/>
                <w:sz w:val="21"/>
                <w:szCs w:val="21"/>
              </w:rPr>
            </w:pPr>
            <w:bookmarkStart w:id="133" w:name="OLE_LINK17"/>
            <w:bookmarkStart w:id="134" w:name="OLE_LINK18"/>
            <w:r>
              <w:rPr>
                <w:rFonts w:hint="eastAsia" w:ascii="宋体" w:hAnsi="宋体" w:eastAsia="宋体" w:cs="宋体"/>
                <w:color w:val="auto"/>
                <w:sz w:val="21"/>
                <w:szCs w:val="21"/>
              </w:rPr>
              <w:t>按人员配置总数</w:t>
            </w:r>
            <w:r>
              <w:rPr>
                <w:rFonts w:hint="eastAsia" w:ascii="宋体" w:hAnsi="宋体" w:cs="宋体"/>
                <w:color w:val="auto"/>
                <w:sz w:val="21"/>
                <w:szCs w:val="21"/>
                <w:lang w:val="en-US" w:eastAsia="zh-CN"/>
              </w:rPr>
              <w:t>18</w:t>
            </w:r>
            <w:r>
              <w:rPr>
                <w:rFonts w:hint="eastAsia" w:ascii="宋体" w:hAnsi="宋体" w:eastAsia="宋体" w:cs="宋体"/>
                <w:color w:val="auto"/>
                <w:sz w:val="21"/>
                <w:szCs w:val="21"/>
              </w:rPr>
              <w:t>人计算</w:t>
            </w:r>
            <w:bookmarkEnd w:id="133"/>
            <w:bookmarkEnd w:id="134"/>
          </w:p>
        </w:tc>
      </w:tr>
      <w:tr w14:paraId="6835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FB6594A">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8</w:t>
            </w:r>
            <w:r>
              <w:rPr>
                <w:rFonts w:hint="eastAsia" w:ascii="宋体" w:hAnsi="宋体" w:eastAsia="宋体" w:cs="宋体"/>
                <w:color w:val="auto"/>
                <w:sz w:val="21"/>
                <w:szCs w:val="21"/>
              </w:rPr>
              <w:t>）</w:t>
            </w:r>
          </w:p>
        </w:tc>
        <w:tc>
          <w:tcPr>
            <w:tcW w:w="2104" w:type="dxa"/>
            <w:noWrap w:val="0"/>
            <w:vAlign w:val="center"/>
          </w:tcPr>
          <w:p w14:paraId="7620129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员工人身意外保险费</w:t>
            </w:r>
          </w:p>
        </w:tc>
        <w:tc>
          <w:tcPr>
            <w:tcW w:w="651" w:type="dxa"/>
            <w:noWrap w:val="0"/>
            <w:vAlign w:val="center"/>
          </w:tcPr>
          <w:p w14:paraId="37326985">
            <w:pPr>
              <w:jc w:val="center"/>
              <w:rPr>
                <w:rFonts w:hint="eastAsia" w:ascii="宋体" w:hAnsi="宋体" w:eastAsia="宋体" w:cs="宋体"/>
                <w:color w:val="auto"/>
                <w:sz w:val="21"/>
                <w:szCs w:val="21"/>
              </w:rPr>
            </w:pPr>
          </w:p>
        </w:tc>
        <w:tc>
          <w:tcPr>
            <w:tcW w:w="1559" w:type="dxa"/>
            <w:noWrap w:val="0"/>
            <w:vAlign w:val="center"/>
          </w:tcPr>
          <w:p w14:paraId="3BB11214">
            <w:pPr>
              <w:jc w:val="center"/>
              <w:rPr>
                <w:rFonts w:hint="eastAsia" w:ascii="宋体" w:hAnsi="宋体" w:eastAsia="宋体" w:cs="宋体"/>
                <w:color w:val="auto"/>
                <w:sz w:val="21"/>
                <w:szCs w:val="21"/>
              </w:rPr>
            </w:pPr>
          </w:p>
        </w:tc>
        <w:tc>
          <w:tcPr>
            <w:tcW w:w="1134" w:type="dxa"/>
            <w:noWrap w:val="0"/>
            <w:vAlign w:val="center"/>
          </w:tcPr>
          <w:p w14:paraId="16B53669">
            <w:pPr>
              <w:jc w:val="center"/>
              <w:rPr>
                <w:rFonts w:hint="eastAsia" w:ascii="宋体" w:hAnsi="宋体" w:eastAsia="宋体" w:cs="宋体"/>
                <w:color w:val="auto"/>
                <w:sz w:val="21"/>
                <w:szCs w:val="21"/>
              </w:rPr>
            </w:pPr>
          </w:p>
        </w:tc>
        <w:tc>
          <w:tcPr>
            <w:tcW w:w="1510" w:type="dxa"/>
            <w:noWrap w:val="0"/>
            <w:vAlign w:val="center"/>
          </w:tcPr>
          <w:p w14:paraId="4BE50F96">
            <w:pPr>
              <w:jc w:val="center"/>
              <w:rPr>
                <w:rFonts w:hint="eastAsia" w:ascii="宋体" w:hAnsi="宋体" w:eastAsia="宋体" w:cs="宋体"/>
                <w:color w:val="auto"/>
                <w:sz w:val="21"/>
                <w:szCs w:val="21"/>
              </w:rPr>
            </w:pPr>
          </w:p>
        </w:tc>
        <w:tc>
          <w:tcPr>
            <w:tcW w:w="1590" w:type="dxa"/>
            <w:noWrap w:val="0"/>
            <w:vAlign w:val="top"/>
          </w:tcPr>
          <w:p w14:paraId="75ECD570">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p>
        </w:tc>
      </w:tr>
      <w:tr w14:paraId="2DE6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08840F9F">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eastAsia="zh-CN"/>
              </w:rPr>
              <w:t>）</w:t>
            </w:r>
          </w:p>
        </w:tc>
        <w:tc>
          <w:tcPr>
            <w:tcW w:w="2104" w:type="dxa"/>
            <w:noWrap w:val="0"/>
            <w:vAlign w:val="center"/>
          </w:tcPr>
          <w:p w14:paraId="2FDA126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高温费</w:t>
            </w:r>
          </w:p>
        </w:tc>
        <w:tc>
          <w:tcPr>
            <w:tcW w:w="651" w:type="dxa"/>
            <w:noWrap w:val="0"/>
            <w:vAlign w:val="center"/>
          </w:tcPr>
          <w:p w14:paraId="3E9931F8">
            <w:pPr>
              <w:jc w:val="center"/>
              <w:rPr>
                <w:rFonts w:hint="eastAsia" w:ascii="宋体" w:hAnsi="宋体" w:eastAsia="宋体" w:cs="宋体"/>
                <w:color w:val="auto"/>
                <w:sz w:val="21"/>
                <w:szCs w:val="21"/>
              </w:rPr>
            </w:pPr>
          </w:p>
        </w:tc>
        <w:tc>
          <w:tcPr>
            <w:tcW w:w="1559" w:type="dxa"/>
            <w:noWrap w:val="0"/>
            <w:vAlign w:val="center"/>
          </w:tcPr>
          <w:p w14:paraId="1FC8DBB4">
            <w:pPr>
              <w:jc w:val="center"/>
              <w:rPr>
                <w:rFonts w:hint="eastAsia" w:ascii="宋体" w:hAnsi="宋体" w:eastAsia="宋体" w:cs="宋体"/>
                <w:color w:val="auto"/>
                <w:sz w:val="21"/>
                <w:szCs w:val="21"/>
              </w:rPr>
            </w:pPr>
          </w:p>
        </w:tc>
        <w:tc>
          <w:tcPr>
            <w:tcW w:w="1134" w:type="dxa"/>
            <w:noWrap w:val="0"/>
            <w:vAlign w:val="center"/>
          </w:tcPr>
          <w:p w14:paraId="151494FB">
            <w:pPr>
              <w:jc w:val="center"/>
              <w:rPr>
                <w:rFonts w:hint="eastAsia" w:ascii="宋体" w:hAnsi="宋体" w:eastAsia="宋体" w:cs="宋体"/>
                <w:color w:val="auto"/>
                <w:sz w:val="21"/>
                <w:szCs w:val="21"/>
              </w:rPr>
            </w:pPr>
          </w:p>
        </w:tc>
        <w:tc>
          <w:tcPr>
            <w:tcW w:w="1510" w:type="dxa"/>
            <w:noWrap w:val="0"/>
            <w:vAlign w:val="center"/>
          </w:tcPr>
          <w:p w14:paraId="70FDBEA0">
            <w:pPr>
              <w:jc w:val="center"/>
              <w:rPr>
                <w:rFonts w:hint="eastAsia" w:ascii="宋体" w:hAnsi="宋体" w:eastAsia="宋体" w:cs="宋体"/>
                <w:color w:val="auto"/>
                <w:sz w:val="21"/>
                <w:szCs w:val="21"/>
              </w:rPr>
            </w:pPr>
          </w:p>
        </w:tc>
        <w:tc>
          <w:tcPr>
            <w:tcW w:w="1590" w:type="dxa"/>
            <w:noWrap w:val="0"/>
            <w:vAlign w:val="top"/>
          </w:tcPr>
          <w:p w14:paraId="44174F0E">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val="en-US" w:eastAsia="zh-CN"/>
              </w:rPr>
              <w:t>17</w:t>
            </w:r>
            <w:r>
              <w:rPr>
                <w:rFonts w:hint="eastAsia" w:ascii="宋体" w:hAnsi="宋体" w:eastAsia="宋体" w:cs="宋体"/>
                <w:color w:val="auto"/>
                <w:sz w:val="21"/>
                <w:szCs w:val="21"/>
              </w:rPr>
              <w:t>人计算</w:t>
            </w:r>
          </w:p>
        </w:tc>
      </w:tr>
      <w:tr w14:paraId="75A93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13ADDAB">
            <w:pPr>
              <w:jc w:val="center"/>
              <w:rPr>
                <w:rFonts w:hint="eastAsia" w:ascii="宋体" w:hAnsi="宋体" w:eastAsia="宋体" w:cs="宋体"/>
                <w:color w:val="auto"/>
                <w:sz w:val="21"/>
                <w:szCs w:val="21"/>
                <w:lang w:val="en-US" w:eastAsia="zh-CN" w:bidi="ar-SA"/>
              </w:rPr>
            </w:pPr>
          </w:p>
        </w:tc>
        <w:tc>
          <w:tcPr>
            <w:tcW w:w="2104" w:type="dxa"/>
            <w:noWrap w:val="0"/>
            <w:vAlign w:val="center"/>
          </w:tcPr>
          <w:p w14:paraId="3F05E17D">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其他员工福利</w:t>
            </w:r>
          </w:p>
        </w:tc>
        <w:tc>
          <w:tcPr>
            <w:tcW w:w="651" w:type="dxa"/>
            <w:noWrap w:val="0"/>
            <w:vAlign w:val="center"/>
          </w:tcPr>
          <w:p w14:paraId="0FA61ABE">
            <w:pPr>
              <w:jc w:val="center"/>
              <w:rPr>
                <w:rFonts w:hint="eastAsia" w:ascii="宋体" w:hAnsi="宋体" w:eastAsia="宋体" w:cs="宋体"/>
                <w:color w:val="auto"/>
                <w:sz w:val="21"/>
                <w:szCs w:val="21"/>
              </w:rPr>
            </w:pPr>
          </w:p>
        </w:tc>
        <w:tc>
          <w:tcPr>
            <w:tcW w:w="1559" w:type="dxa"/>
            <w:noWrap w:val="0"/>
            <w:vAlign w:val="center"/>
          </w:tcPr>
          <w:p w14:paraId="4BE64782">
            <w:pPr>
              <w:jc w:val="center"/>
              <w:rPr>
                <w:rFonts w:hint="eastAsia" w:ascii="宋体" w:hAnsi="宋体" w:eastAsia="宋体" w:cs="宋体"/>
                <w:color w:val="auto"/>
                <w:sz w:val="21"/>
                <w:szCs w:val="21"/>
              </w:rPr>
            </w:pPr>
          </w:p>
        </w:tc>
        <w:tc>
          <w:tcPr>
            <w:tcW w:w="1134" w:type="dxa"/>
            <w:noWrap w:val="0"/>
            <w:vAlign w:val="center"/>
          </w:tcPr>
          <w:p w14:paraId="58CCD3D1">
            <w:pPr>
              <w:jc w:val="center"/>
              <w:rPr>
                <w:rFonts w:hint="eastAsia" w:ascii="宋体" w:hAnsi="宋体" w:eastAsia="宋体" w:cs="宋体"/>
                <w:color w:val="auto"/>
                <w:sz w:val="21"/>
                <w:szCs w:val="21"/>
              </w:rPr>
            </w:pPr>
          </w:p>
        </w:tc>
        <w:tc>
          <w:tcPr>
            <w:tcW w:w="1510" w:type="dxa"/>
            <w:noWrap w:val="0"/>
            <w:vAlign w:val="center"/>
          </w:tcPr>
          <w:p w14:paraId="36DB1C6E">
            <w:pPr>
              <w:jc w:val="center"/>
              <w:rPr>
                <w:rFonts w:hint="eastAsia" w:ascii="宋体" w:hAnsi="宋体" w:eastAsia="宋体" w:cs="宋体"/>
                <w:color w:val="auto"/>
                <w:sz w:val="21"/>
                <w:szCs w:val="21"/>
              </w:rPr>
            </w:pPr>
          </w:p>
        </w:tc>
        <w:tc>
          <w:tcPr>
            <w:tcW w:w="1590" w:type="dxa"/>
            <w:noWrap w:val="0"/>
            <w:vAlign w:val="top"/>
          </w:tcPr>
          <w:p w14:paraId="6B5CD553">
            <w:pPr>
              <w:rPr>
                <w:rFonts w:hint="eastAsia" w:ascii="宋体" w:hAnsi="宋体" w:eastAsia="宋体" w:cs="宋体"/>
                <w:color w:val="auto"/>
                <w:sz w:val="21"/>
                <w:szCs w:val="21"/>
              </w:rPr>
            </w:pPr>
          </w:p>
        </w:tc>
      </w:tr>
      <w:tr w14:paraId="3EC6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775D9D2">
            <w:pP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35100C3C">
            <w:pPr>
              <w:jc w:val="center"/>
              <w:rPr>
                <w:rFonts w:hint="eastAsia" w:ascii="宋体" w:hAnsi="宋体" w:eastAsia="宋体" w:cs="宋体"/>
                <w:color w:val="auto"/>
                <w:sz w:val="21"/>
                <w:szCs w:val="21"/>
              </w:rPr>
            </w:pPr>
          </w:p>
        </w:tc>
        <w:tc>
          <w:tcPr>
            <w:tcW w:w="651" w:type="dxa"/>
            <w:noWrap w:val="0"/>
            <w:vAlign w:val="center"/>
          </w:tcPr>
          <w:p w14:paraId="526367E3">
            <w:pPr>
              <w:jc w:val="center"/>
              <w:rPr>
                <w:rFonts w:hint="eastAsia" w:ascii="宋体" w:hAnsi="宋体" w:eastAsia="宋体" w:cs="宋体"/>
                <w:color w:val="auto"/>
                <w:sz w:val="21"/>
                <w:szCs w:val="21"/>
              </w:rPr>
            </w:pPr>
          </w:p>
        </w:tc>
        <w:tc>
          <w:tcPr>
            <w:tcW w:w="1559" w:type="dxa"/>
            <w:noWrap w:val="0"/>
            <w:vAlign w:val="center"/>
          </w:tcPr>
          <w:p w14:paraId="6D144423">
            <w:pPr>
              <w:jc w:val="center"/>
              <w:rPr>
                <w:rFonts w:hint="eastAsia" w:ascii="宋体" w:hAnsi="宋体" w:eastAsia="宋体" w:cs="宋体"/>
                <w:color w:val="auto"/>
                <w:sz w:val="21"/>
                <w:szCs w:val="21"/>
              </w:rPr>
            </w:pPr>
          </w:p>
        </w:tc>
        <w:tc>
          <w:tcPr>
            <w:tcW w:w="1134" w:type="dxa"/>
            <w:noWrap w:val="0"/>
            <w:vAlign w:val="center"/>
          </w:tcPr>
          <w:p w14:paraId="7CE5750D">
            <w:pPr>
              <w:jc w:val="center"/>
              <w:rPr>
                <w:rFonts w:hint="eastAsia" w:ascii="宋体" w:hAnsi="宋体" w:eastAsia="宋体" w:cs="宋体"/>
                <w:color w:val="auto"/>
                <w:sz w:val="21"/>
                <w:szCs w:val="21"/>
              </w:rPr>
            </w:pPr>
          </w:p>
        </w:tc>
        <w:tc>
          <w:tcPr>
            <w:tcW w:w="1510" w:type="dxa"/>
            <w:noWrap w:val="0"/>
            <w:vAlign w:val="center"/>
          </w:tcPr>
          <w:p w14:paraId="23F8F25A">
            <w:pPr>
              <w:jc w:val="center"/>
              <w:rPr>
                <w:rFonts w:hint="eastAsia" w:ascii="宋体" w:hAnsi="宋体" w:eastAsia="宋体" w:cs="宋体"/>
                <w:color w:val="auto"/>
                <w:sz w:val="21"/>
                <w:szCs w:val="21"/>
              </w:rPr>
            </w:pPr>
          </w:p>
        </w:tc>
        <w:tc>
          <w:tcPr>
            <w:tcW w:w="1590" w:type="dxa"/>
            <w:noWrap w:val="0"/>
            <w:vAlign w:val="center"/>
          </w:tcPr>
          <w:p w14:paraId="2DCBDE3A">
            <w:pPr>
              <w:rPr>
                <w:rFonts w:hint="eastAsia" w:ascii="宋体" w:hAnsi="宋体" w:eastAsia="宋体" w:cs="宋体"/>
                <w:color w:val="auto"/>
                <w:sz w:val="21"/>
                <w:szCs w:val="21"/>
              </w:rPr>
            </w:pPr>
          </w:p>
        </w:tc>
      </w:tr>
      <w:tr w14:paraId="3920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7EAA29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2</w:t>
            </w:r>
          </w:p>
        </w:tc>
        <w:tc>
          <w:tcPr>
            <w:tcW w:w="2104" w:type="dxa"/>
            <w:noWrap w:val="0"/>
            <w:vAlign w:val="center"/>
          </w:tcPr>
          <w:p w14:paraId="32BE31DA">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法定计提费用</w:t>
            </w:r>
          </w:p>
        </w:tc>
        <w:tc>
          <w:tcPr>
            <w:tcW w:w="651" w:type="dxa"/>
            <w:noWrap w:val="0"/>
            <w:vAlign w:val="center"/>
          </w:tcPr>
          <w:p w14:paraId="20AC4638">
            <w:pPr>
              <w:jc w:val="center"/>
              <w:rPr>
                <w:rFonts w:hint="eastAsia" w:ascii="宋体" w:hAnsi="宋体" w:eastAsia="宋体" w:cs="宋体"/>
                <w:b/>
                <w:color w:val="auto"/>
                <w:sz w:val="21"/>
                <w:szCs w:val="21"/>
              </w:rPr>
            </w:pPr>
          </w:p>
        </w:tc>
        <w:tc>
          <w:tcPr>
            <w:tcW w:w="1559" w:type="dxa"/>
            <w:noWrap w:val="0"/>
            <w:vAlign w:val="center"/>
          </w:tcPr>
          <w:p w14:paraId="6A1C58D4">
            <w:pPr>
              <w:jc w:val="center"/>
              <w:rPr>
                <w:rFonts w:hint="eastAsia" w:ascii="宋体" w:hAnsi="宋体" w:eastAsia="宋体" w:cs="宋体"/>
                <w:color w:val="auto"/>
                <w:sz w:val="21"/>
                <w:szCs w:val="21"/>
              </w:rPr>
            </w:pPr>
          </w:p>
        </w:tc>
        <w:tc>
          <w:tcPr>
            <w:tcW w:w="1134" w:type="dxa"/>
            <w:noWrap w:val="0"/>
            <w:vAlign w:val="center"/>
          </w:tcPr>
          <w:p w14:paraId="2BA0E4E7">
            <w:pPr>
              <w:jc w:val="center"/>
              <w:rPr>
                <w:rFonts w:hint="eastAsia" w:ascii="宋体" w:hAnsi="宋体" w:eastAsia="宋体" w:cs="宋体"/>
                <w:color w:val="auto"/>
                <w:sz w:val="21"/>
                <w:szCs w:val="21"/>
              </w:rPr>
            </w:pPr>
          </w:p>
        </w:tc>
        <w:tc>
          <w:tcPr>
            <w:tcW w:w="1510" w:type="dxa"/>
            <w:noWrap w:val="0"/>
            <w:vAlign w:val="center"/>
          </w:tcPr>
          <w:p w14:paraId="6E5C7495">
            <w:pPr>
              <w:jc w:val="center"/>
              <w:rPr>
                <w:rFonts w:hint="eastAsia" w:ascii="宋体" w:hAnsi="宋体" w:eastAsia="宋体" w:cs="宋体"/>
                <w:color w:val="auto"/>
                <w:sz w:val="21"/>
                <w:szCs w:val="21"/>
              </w:rPr>
            </w:pPr>
          </w:p>
        </w:tc>
        <w:tc>
          <w:tcPr>
            <w:tcW w:w="1590" w:type="dxa"/>
            <w:noWrap w:val="0"/>
            <w:vAlign w:val="center"/>
          </w:tcPr>
          <w:p w14:paraId="45370620">
            <w:pPr>
              <w:rPr>
                <w:rFonts w:hint="eastAsia" w:ascii="宋体" w:hAnsi="宋体" w:eastAsia="宋体" w:cs="宋体"/>
                <w:color w:val="auto"/>
                <w:sz w:val="21"/>
                <w:szCs w:val="21"/>
              </w:rPr>
            </w:pPr>
          </w:p>
        </w:tc>
      </w:tr>
      <w:tr w14:paraId="787B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08DDB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1E108E0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养老保险</w:t>
            </w:r>
          </w:p>
        </w:tc>
        <w:tc>
          <w:tcPr>
            <w:tcW w:w="651" w:type="dxa"/>
            <w:noWrap w:val="0"/>
            <w:vAlign w:val="center"/>
          </w:tcPr>
          <w:p w14:paraId="3ECFEE46">
            <w:pPr>
              <w:jc w:val="center"/>
              <w:rPr>
                <w:rFonts w:hint="eastAsia" w:ascii="宋体" w:hAnsi="宋体" w:eastAsia="宋体" w:cs="宋体"/>
                <w:color w:val="auto"/>
                <w:sz w:val="21"/>
                <w:szCs w:val="21"/>
              </w:rPr>
            </w:pPr>
          </w:p>
        </w:tc>
        <w:tc>
          <w:tcPr>
            <w:tcW w:w="1559" w:type="dxa"/>
            <w:noWrap w:val="0"/>
            <w:vAlign w:val="center"/>
          </w:tcPr>
          <w:p w14:paraId="13FDC907">
            <w:pPr>
              <w:jc w:val="center"/>
              <w:rPr>
                <w:rFonts w:hint="eastAsia" w:ascii="宋体" w:hAnsi="宋体" w:eastAsia="宋体" w:cs="宋体"/>
                <w:color w:val="auto"/>
                <w:sz w:val="21"/>
                <w:szCs w:val="21"/>
              </w:rPr>
            </w:pPr>
          </w:p>
        </w:tc>
        <w:tc>
          <w:tcPr>
            <w:tcW w:w="1134" w:type="dxa"/>
            <w:noWrap w:val="0"/>
            <w:vAlign w:val="center"/>
          </w:tcPr>
          <w:p w14:paraId="492DE03E">
            <w:pPr>
              <w:jc w:val="center"/>
              <w:rPr>
                <w:rFonts w:hint="eastAsia" w:ascii="宋体" w:hAnsi="宋体" w:eastAsia="宋体" w:cs="宋体"/>
                <w:color w:val="auto"/>
                <w:sz w:val="21"/>
                <w:szCs w:val="21"/>
              </w:rPr>
            </w:pPr>
          </w:p>
        </w:tc>
        <w:tc>
          <w:tcPr>
            <w:tcW w:w="1510" w:type="dxa"/>
            <w:noWrap w:val="0"/>
            <w:vAlign w:val="center"/>
          </w:tcPr>
          <w:p w14:paraId="35EC6666">
            <w:pPr>
              <w:jc w:val="center"/>
              <w:rPr>
                <w:rFonts w:hint="eastAsia" w:ascii="宋体" w:hAnsi="宋体" w:eastAsia="宋体" w:cs="宋体"/>
                <w:color w:val="auto"/>
                <w:sz w:val="21"/>
                <w:szCs w:val="21"/>
              </w:rPr>
            </w:pPr>
          </w:p>
        </w:tc>
        <w:tc>
          <w:tcPr>
            <w:tcW w:w="1590" w:type="dxa"/>
            <w:noWrap w:val="0"/>
            <w:vAlign w:val="top"/>
          </w:tcPr>
          <w:p w14:paraId="190973A4">
            <w:pPr>
              <w:rPr>
                <w:rFonts w:hint="eastAsia" w:ascii="宋体" w:hAnsi="宋体" w:eastAsia="宋体" w:cs="宋体"/>
                <w:color w:val="auto"/>
                <w:sz w:val="21"/>
                <w:szCs w:val="21"/>
              </w:rPr>
            </w:pPr>
            <w:bookmarkStart w:id="135" w:name="OLE_LINK15"/>
            <w:bookmarkStart w:id="136" w:name="OLE_LINK16"/>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bookmarkEnd w:id="135"/>
            <w:bookmarkEnd w:id="136"/>
          </w:p>
        </w:tc>
      </w:tr>
      <w:tr w14:paraId="3D78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D17598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04" w:type="dxa"/>
            <w:noWrap w:val="0"/>
            <w:vAlign w:val="center"/>
          </w:tcPr>
          <w:p w14:paraId="14E5E3E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医疗统筹</w:t>
            </w:r>
          </w:p>
        </w:tc>
        <w:tc>
          <w:tcPr>
            <w:tcW w:w="651" w:type="dxa"/>
            <w:noWrap w:val="0"/>
            <w:vAlign w:val="center"/>
          </w:tcPr>
          <w:p w14:paraId="14FFE227">
            <w:pPr>
              <w:jc w:val="center"/>
              <w:rPr>
                <w:rFonts w:hint="eastAsia" w:ascii="宋体" w:hAnsi="宋体" w:eastAsia="宋体" w:cs="宋体"/>
                <w:color w:val="auto"/>
                <w:sz w:val="21"/>
                <w:szCs w:val="21"/>
              </w:rPr>
            </w:pPr>
          </w:p>
        </w:tc>
        <w:tc>
          <w:tcPr>
            <w:tcW w:w="1559" w:type="dxa"/>
            <w:noWrap w:val="0"/>
            <w:vAlign w:val="center"/>
          </w:tcPr>
          <w:p w14:paraId="38BD578A">
            <w:pPr>
              <w:jc w:val="center"/>
              <w:rPr>
                <w:rFonts w:hint="eastAsia" w:ascii="宋体" w:hAnsi="宋体" w:eastAsia="宋体" w:cs="宋体"/>
                <w:color w:val="auto"/>
                <w:sz w:val="21"/>
                <w:szCs w:val="21"/>
              </w:rPr>
            </w:pPr>
          </w:p>
        </w:tc>
        <w:tc>
          <w:tcPr>
            <w:tcW w:w="1134" w:type="dxa"/>
            <w:noWrap w:val="0"/>
            <w:vAlign w:val="center"/>
          </w:tcPr>
          <w:p w14:paraId="2AA38FC9">
            <w:pPr>
              <w:jc w:val="center"/>
              <w:rPr>
                <w:rFonts w:hint="eastAsia" w:ascii="宋体" w:hAnsi="宋体" w:eastAsia="宋体" w:cs="宋体"/>
                <w:color w:val="auto"/>
                <w:sz w:val="21"/>
                <w:szCs w:val="21"/>
              </w:rPr>
            </w:pPr>
          </w:p>
        </w:tc>
        <w:tc>
          <w:tcPr>
            <w:tcW w:w="1510" w:type="dxa"/>
            <w:noWrap w:val="0"/>
            <w:vAlign w:val="center"/>
          </w:tcPr>
          <w:p w14:paraId="0887B09A">
            <w:pPr>
              <w:jc w:val="center"/>
              <w:rPr>
                <w:rFonts w:hint="eastAsia" w:ascii="宋体" w:hAnsi="宋体" w:eastAsia="宋体" w:cs="宋体"/>
                <w:color w:val="auto"/>
                <w:sz w:val="21"/>
                <w:szCs w:val="21"/>
              </w:rPr>
            </w:pPr>
          </w:p>
        </w:tc>
        <w:tc>
          <w:tcPr>
            <w:tcW w:w="1590" w:type="dxa"/>
            <w:noWrap w:val="0"/>
            <w:vAlign w:val="top"/>
          </w:tcPr>
          <w:p w14:paraId="44835F97">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p>
        </w:tc>
      </w:tr>
      <w:tr w14:paraId="252F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B76BF3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04" w:type="dxa"/>
            <w:noWrap w:val="0"/>
            <w:vAlign w:val="center"/>
          </w:tcPr>
          <w:p w14:paraId="718A8B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失业</w:t>
            </w:r>
          </w:p>
        </w:tc>
        <w:tc>
          <w:tcPr>
            <w:tcW w:w="651" w:type="dxa"/>
            <w:noWrap w:val="0"/>
            <w:vAlign w:val="center"/>
          </w:tcPr>
          <w:p w14:paraId="6E31DECE">
            <w:pPr>
              <w:jc w:val="center"/>
              <w:rPr>
                <w:rFonts w:hint="eastAsia" w:ascii="宋体" w:hAnsi="宋体" w:eastAsia="宋体" w:cs="宋体"/>
                <w:color w:val="auto"/>
                <w:sz w:val="21"/>
                <w:szCs w:val="21"/>
              </w:rPr>
            </w:pPr>
          </w:p>
        </w:tc>
        <w:tc>
          <w:tcPr>
            <w:tcW w:w="1559" w:type="dxa"/>
            <w:noWrap w:val="0"/>
            <w:vAlign w:val="center"/>
          </w:tcPr>
          <w:p w14:paraId="72C61840">
            <w:pPr>
              <w:jc w:val="center"/>
              <w:rPr>
                <w:rFonts w:hint="eastAsia" w:ascii="宋体" w:hAnsi="宋体" w:eastAsia="宋体" w:cs="宋体"/>
                <w:color w:val="auto"/>
                <w:sz w:val="21"/>
                <w:szCs w:val="21"/>
              </w:rPr>
            </w:pPr>
          </w:p>
        </w:tc>
        <w:tc>
          <w:tcPr>
            <w:tcW w:w="1134" w:type="dxa"/>
            <w:noWrap w:val="0"/>
            <w:vAlign w:val="center"/>
          </w:tcPr>
          <w:p w14:paraId="5810D77A">
            <w:pPr>
              <w:jc w:val="center"/>
              <w:rPr>
                <w:rFonts w:hint="eastAsia" w:ascii="宋体" w:hAnsi="宋体" w:eastAsia="宋体" w:cs="宋体"/>
                <w:color w:val="auto"/>
                <w:sz w:val="21"/>
                <w:szCs w:val="21"/>
              </w:rPr>
            </w:pPr>
          </w:p>
        </w:tc>
        <w:tc>
          <w:tcPr>
            <w:tcW w:w="1510" w:type="dxa"/>
            <w:noWrap w:val="0"/>
            <w:vAlign w:val="center"/>
          </w:tcPr>
          <w:p w14:paraId="6C596A22">
            <w:pPr>
              <w:jc w:val="center"/>
              <w:rPr>
                <w:rFonts w:hint="eastAsia" w:ascii="宋体" w:hAnsi="宋体" w:eastAsia="宋体" w:cs="宋体"/>
                <w:color w:val="auto"/>
                <w:sz w:val="21"/>
                <w:szCs w:val="21"/>
              </w:rPr>
            </w:pPr>
          </w:p>
        </w:tc>
        <w:tc>
          <w:tcPr>
            <w:tcW w:w="1590" w:type="dxa"/>
            <w:noWrap w:val="0"/>
            <w:vAlign w:val="top"/>
          </w:tcPr>
          <w:p w14:paraId="7B5204A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p>
        </w:tc>
      </w:tr>
      <w:tr w14:paraId="1F8C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93B0A4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04" w:type="dxa"/>
            <w:noWrap w:val="0"/>
            <w:vAlign w:val="center"/>
          </w:tcPr>
          <w:p w14:paraId="02D33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工伤</w:t>
            </w:r>
          </w:p>
        </w:tc>
        <w:tc>
          <w:tcPr>
            <w:tcW w:w="651" w:type="dxa"/>
            <w:noWrap w:val="0"/>
            <w:vAlign w:val="center"/>
          </w:tcPr>
          <w:p w14:paraId="3628D248">
            <w:pPr>
              <w:jc w:val="center"/>
              <w:rPr>
                <w:rFonts w:hint="eastAsia" w:ascii="宋体" w:hAnsi="宋体" w:eastAsia="宋体" w:cs="宋体"/>
                <w:color w:val="auto"/>
                <w:sz w:val="21"/>
                <w:szCs w:val="21"/>
              </w:rPr>
            </w:pPr>
          </w:p>
        </w:tc>
        <w:tc>
          <w:tcPr>
            <w:tcW w:w="1559" w:type="dxa"/>
            <w:noWrap w:val="0"/>
            <w:vAlign w:val="center"/>
          </w:tcPr>
          <w:p w14:paraId="78DDF82F">
            <w:pPr>
              <w:jc w:val="center"/>
              <w:rPr>
                <w:rFonts w:hint="eastAsia" w:ascii="宋体" w:hAnsi="宋体" w:eastAsia="宋体" w:cs="宋体"/>
                <w:color w:val="auto"/>
                <w:sz w:val="21"/>
                <w:szCs w:val="21"/>
              </w:rPr>
            </w:pPr>
          </w:p>
        </w:tc>
        <w:tc>
          <w:tcPr>
            <w:tcW w:w="1134" w:type="dxa"/>
            <w:noWrap w:val="0"/>
            <w:vAlign w:val="center"/>
          </w:tcPr>
          <w:p w14:paraId="066C0511">
            <w:pPr>
              <w:jc w:val="center"/>
              <w:rPr>
                <w:rFonts w:hint="eastAsia" w:ascii="宋体" w:hAnsi="宋体" w:eastAsia="宋体" w:cs="宋体"/>
                <w:color w:val="auto"/>
                <w:sz w:val="21"/>
                <w:szCs w:val="21"/>
              </w:rPr>
            </w:pPr>
          </w:p>
        </w:tc>
        <w:tc>
          <w:tcPr>
            <w:tcW w:w="1510" w:type="dxa"/>
            <w:noWrap w:val="0"/>
            <w:vAlign w:val="center"/>
          </w:tcPr>
          <w:p w14:paraId="77C9DB74">
            <w:pPr>
              <w:jc w:val="center"/>
              <w:rPr>
                <w:rFonts w:hint="eastAsia" w:ascii="宋体" w:hAnsi="宋体" w:eastAsia="宋体" w:cs="宋体"/>
                <w:color w:val="auto"/>
                <w:sz w:val="21"/>
                <w:szCs w:val="21"/>
              </w:rPr>
            </w:pPr>
          </w:p>
        </w:tc>
        <w:tc>
          <w:tcPr>
            <w:tcW w:w="1590" w:type="dxa"/>
            <w:noWrap w:val="0"/>
            <w:vAlign w:val="top"/>
          </w:tcPr>
          <w:p w14:paraId="3D86132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p>
        </w:tc>
      </w:tr>
      <w:tr w14:paraId="7C39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EA44C9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04" w:type="dxa"/>
            <w:noWrap w:val="0"/>
            <w:vAlign w:val="center"/>
          </w:tcPr>
          <w:p w14:paraId="3B13797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生育</w:t>
            </w:r>
          </w:p>
        </w:tc>
        <w:tc>
          <w:tcPr>
            <w:tcW w:w="651" w:type="dxa"/>
            <w:noWrap w:val="0"/>
            <w:vAlign w:val="center"/>
          </w:tcPr>
          <w:p w14:paraId="657216FD">
            <w:pPr>
              <w:jc w:val="center"/>
              <w:rPr>
                <w:rFonts w:hint="eastAsia" w:ascii="宋体" w:hAnsi="宋体" w:eastAsia="宋体" w:cs="宋体"/>
                <w:color w:val="auto"/>
                <w:sz w:val="21"/>
                <w:szCs w:val="21"/>
              </w:rPr>
            </w:pPr>
          </w:p>
        </w:tc>
        <w:tc>
          <w:tcPr>
            <w:tcW w:w="1559" w:type="dxa"/>
            <w:noWrap w:val="0"/>
            <w:vAlign w:val="center"/>
          </w:tcPr>
          <w:p w14:paraId="28EB828D">
            <w:pPr>
              <w:jc w:val="center"/>
              <w:rPr>
                <w:rFonts w:hint="eastAsia" w:ascii="宋体" w:hAnsi="宋体" w:eastAsia="宋体" w:cs="宋体"/>
                <w:color w:val="auto"/>
                <w:sz w:val="21"/>
                <w:szCs w:val="21"/>
              </w:rPr>
            </w:pPr>
          </w:p>
        </w:tc>
        <w:tc>
          <w:tcPr>
            <w:tcW w:w="1134" w:type="dxa"/>
            <w:noWrap w:val="0"/>
            <w:vAlign w:val="center"/>
          </w:tcPr>
          <w:p w14:paraId="3BDCBD1C">
            <w:pPr>
              <w:jc w:val="center"/>
              <w:rPr>
                <w:rFonts w:hint="eastAsia" w:ascii="宋体" w:hAnsi="宋体" w:eastAsia="宋体" w:cs="宋体"/>
                <w:color w:val="auto"/>
                <w:sz w:val="21"/>
                <w:szCs w:val="21"/>
              </w:rPr>
            </w:pPr>
          </w:p>
        </w:tc>
        <w:tc>
          <w:tcPr>
            <w:tcW w:w="1510" w:type="dxa"/>
            <w:noWrap w:val="0"/>
            <w:vAlign w:val="center"/>
          </w:tcPr>
          <w:p w14:paraId="1660C76C">
            <w:pPr>
              <w:jc w:val="center"/>
              <w:rPr>
                <w:rFonts w:hint="eastAsia" w:ascii="宋体" w:hAnsi="宋体" w:eastAsia="宋体" w:cs="宋体"/>
                <w:color w:val="auto"/>
                <w:sz w:val="21"/>
                <w:szCs w:val="21"/>
              </w:rPr>
            </w:pPr>
          </w:p>
        </w:tc>
        <w:tc>
          <w:tcPr>
            <w:tcW w:w="1590" w:type="dxa"/>
            <w:noWrap w:val="0"/>
            <w:vAlign w:val="top"/>
          </w:tcPr>
          <w:p w14:paraId="65C1BFF1">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人计算</w:t>
            </w:r>
          </w:p>
        </w:tc>
      </w:tr>
      <w:tr w14:paraId="359B2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19A95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04" w:type="dxa"/>
            <w:noWrap w:val="0"/>
            <w:vAlign w:val="center"/>
          </w:tcPr>
          <w:p w14:paraId="2AB283B7">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住房公积金</w:t>
            </w:r>
          </w:p>
        </w:tc>
        <w:tc>
          <w:tcPr>
            <w:tcW w:w="651" w:type="dxa"/>
            <w:noWrap w:val="0"/>
            <w:vAlign w:val="center"/>
          </w:tcPr>
          <w:p w14:paraId="7694F6BE">
            <w:pPr>
              <w:jc w:val="center"/>
              <w:rPr>
                <w:rFonts w:hint="eastAsia" w:ascii="宋体" w:hAnsi="宋体" w:eastAsia="宋体" w:cs="宋体"/>
                <w:color w:val="auto"/>
                <w:sz w:val="21"/>
                <w:szCs w:val="21"/>
              </w:rPr>
            </w:pPr>
          </w:p>
        </w:tc>
        <w:tc>
          <w:tcPr>
            <w:tcW w:w="1559" w:type="dxa"/>
            <w:noWrap w:val="0"/>
            <w:vAlign w:val="center"/>
          </w:tcPr>
          <w:p w14:paraId="5EA1B6C8">
            <w:pPr>
              <w:jc w:val="center"/>
              <w:rPr>
                <w:rFonts w:hint="eastAsia" w:ascii="宋体" w:hAnsi="宋体" w:eastAsia="宋体" w:cs="宋体"/>
                <w:color w:val="auto"/>
                <w:sz w:val="21"/>
                <w:szCs w:val="21"/>
              </w:rPr>
            </w:pPr>
          </w:p>
        </w:tc>
        <w:tc>
          <w:tcPr>
            <w:tcW w:w="1134" w:type="dxa"/>
            <w:noWrap w:val="0"/>
            <w:vAlign w:val="center"/>
          </w:tcPr>
          <w:p w14:paraId="75DD40D1">
            <w:pPr>
              <w:jc w:val="center"/>
              <w:rPr>
                <w:rFonts w:hint="eastAsia" w:ascii="宋体" w:hAnsi="宋体" w:eastAsia="宋体" w:cs="宋体"/>
                <w:color w:val="auto"/>
                <w:sz w:val="21"/>
                <w:szCs w:val="21"/>
              </w:rPr>
            </w:pPr>
          </w:p>
        </w:tc>
        <w:tc>
          <w:tcPr>
            <w:tcW w:w="1510" w:type="dxa"/>
            <w:noWrap w:val="0"/>
            <w:vAlign w:val="center"/>
          </w:tcPr>
          <w:p w14:paraId="6A46E6B1">
            <w:pPr>
              <w:jc w:val="center"/>
              <w:rPr>
                <w:rFonts w:hint="eastAsia" w:ascii="宋体" w:hAnsi="宋体" w:eastAsia="宋体" w:cs="宋体"/>
                <w:color w:val="auto"/>
                <w:sz w:val="21"/>
                <w:szCs w:val="21"/>
              </w:rPr>
            </w:pPr>
          </w:p>
        </w:tc>
        <w:tc>
          <w:tcPr>
            <w:tcW w:w="1590" w:type="dxa"/>
            <w:noWrap w:val="0"/>
            <w:vAlign w:val="center"/>
          </w:tcPr>
          <w:p w14:paraId="06B065FE">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按人员配置不少于</w:t>
            </w:r>
            <w:r>
              <w:rPr>
                <w:rFonts w:hint="eastAsia" w:ascii="宋体" w:hAnsi="宋体" w:cs="宋体"/>
                <w:color w:val="auto"/>
                <w:sz w:val="21"/>
                <w:szCs w:val="21"/>
                <w:lang w:val="en-US" w:eastAsia="zh-CN"/>
              </w:rPr>
              <w:t>21人计算</w:t>
            </w:r>
          </w:p>
        </w:tc>
      </w:tr>
      <w:tr w14:paraId="497A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F8DEFD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05715F6F">
            <w:pPr>
              <w:jc w:val="center"/>
              <w:rPr>
                <w:rFonts w:hint="eastAsia" w:ascii="宋体" w:hAnsi="宋体" w:eastAsia="宋体" w:cs="宋体"/>
                <w:color w:val="auto"/>
                <w:sz w:val="21"/>
                <w:szCs w:val="21"/>
              </w:rPr>
            </w:pPr>
          </w:p>
        </w:tc>
        <w:tc>
          <w:tcPr>
            <w:tcW w:w="651" w:type="dxa"/>
            <w:noWrap w:val="0"/>
            <w:vAlign w:val="center"/>
          </w:tcPr>
          <w:p w14:paraId="0247E104">
            <w:pPr>
              <w:jc w:val="center"/>
              <w:rPr>
                <w:rFonts w:hint="eastAsia" w:ascii="宋体" w:hAnsi="宋体" w:eastAsia="宋体" w:cs="宋体"/>
                <w:color w:val="auto"/>
                <w:sz w:val="21"/>
                <w:szCs w:val="21"/>
              </w:rPr>
            </w:pPr>
          </w:p>
        </w:tc>
        <w:tc>
          <w:tcPr>
            <w:tcW w:w="1559" w:type="dxa"/>
            <w:noWrap w:val="0"/>
            <w:vAlign w:val="center"/>
          </w:tcPr>
          <w:p w14:paraId="4289E714">
            <w:pPr>
              <w:jc w:val="center"/>
              <w:rPr>
                <w:rFonts w:hint="eastAsia" w:ascii="宋体" w:hAnsi="宋体" w:eastAsia="宋体" w:cs="宋体"/>
                <w:color w:val="auto"/>
                <w:sz w:val="21"/>
                <w:szCs w:val="21"/>
              </w:rPr>
            </w:pPr>
          </w:p>
        </w:tc>
        <w:tc>
          <w:tcPr>
            <w:tcW w:w="1134" w:type="dxa"/>
            <w:noWrap w:val="0"/>
            <w:vAlign w:val="center"/>
          </w:tcPr>
          <w:p w14:paraId="1D6AC0A1">
            <w:pPr>
              <w:jc w:val="center"/>
              <w:rPr>
                <w:rFonts w:hint="eastAsia" w:ascii="宋体" w:hAnsi="宋体" w:eastAsia="宋体" w:cs="宋体"/>
                <w:color w:val="auto"/>
                <w:sz w:val="21"/>
                <w:szCs w:val="21"/>
              </w:rPr>
            </w:pPr>
          </w:p>
        </w:tc>
        <w:tc>
          <w:tcPr>
            <w:tcW w:w="1510" w:type="dxa"/>
            <w:noWrap w:val="0"/>
            <w:vAlign w:val="center"/>
          </w:tcPr>
          <w:p w14:paraId="0B0D38BC">
            <w:pPr>
              <w:jc w:val="center"/>
              <w:rPr>
                <w:rFonts w:hint="eastAsia" w:ascii="宋体" w:hAnsi="宋体" w:eastAsia="宋体" w:cs="宋体"/>
                <w:color w:val="auto"/>
                <w:sz w:val="21"/>
                <w:szCs w:val="21"/>
              </w:rPr>
            </w:pPr>
          </w:p>
        </w:tc>
        <w:tc>
          <w:tcPr>
            <w:tcW w:w="1590" w:type="dxa"/>
            <w:noWrap w:val="0"/>
            <w:vAlign w:val="center"/>
          </w:tcPr>
          <w:p w14:paraId="755309B5">
            <w:pPr>
              <w:jc w:val="center"/>
              <w:rPr>
                <w:rFonts w:hint="eastAsia" w:ascii="宋体" w:hAnsi="宋体" w:eastAsia="宋体" w:cs="宋体"/>
                <w:color w:val="auto"/>
                <w:sz w:val="21"/>
                <w:szCs w:val="21"/>
              </w:rPr>
            </w:pPr>
          </w:p>
        </w:tc>
      </w:tr>
      <w:tr w14:paraId="614E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7" w:type="dxa"/>
            <w:gridSpan w:val="2"/>
            <w:noWrap w:val="0"/>
            <w:vAlign w:val="center"/>
          </w:tcPr>
          <w:p w14:paraId="22E24C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c>
          <w:tcPr>
            <w:tcW w:w="651" w:type="dxa"/>
            <w:noWrap w:val="0"/>
            <w:vAlign w:val="center"/>
          </w:tcPr>
          <w:p w14:paraId="54842C59">
            <w:pPr>
              <w:jc w:val="center"/>
              <w:rPr>
                <w:rFonts w:hint="eastAsia" w:ascii="宋体" w:hAnsi="宋体" w:eastAsia="宋体" w:cs="宋体"/>
                <w:color w:val="auto"/>
                <w:sz w:val="21"/>
                <w:szCs w:val="21"/>
              </w:rPr>
            </w:pPr>
          </w:p>
        </w:tc>
        <w:tc>
          <w:tcPr>
            <w:tcW w:w="1559" w:type="dxa"/>
            <w:noWrap w:val="0"/>
            <w:vAlign w:val="center"/>
          </w:tcPr>
          <w:p w14:paraId="55FCB610">
            <w:pPr>
              <w:jc w:val="center"/>
              <w:rPr>
                <w:rFonts w:hint="eastAsia" w:ascii="宋体" w:hAnsi="宋体" w:eastAsia="宋体" w:cs="宋体"/>
                <w:color w:val="auto"/>
                <w:sz w:val="21"/>
                <w:szCs w:val="21"/>
              </w:rPr>
            </w:pPr>
          </w:p>
        </w:tc>
        <w:tc>
          <w:tcPr>
            <w:tcW w:w="1134" w:type="dxa"/>
            <w:noWrap w:val="0"/>
            <w:vAlign w:val="center"/>
          </w:tcPr>
          <w:p w14:paraId="28F943F2">
            <w:pPr>
              <w:jc w:val="center"/>
              <w:rPr>
                <w:rFonts w:hint="eastAsia" w:ascii="宋体" w:hAnsi="宋体" w:eastAsia="宋体" w:cs="宋体"/>
                <w:color w:val="auto"/>
                <w:sz w:val="21"/>
                <w:szCs w:val="21"/>
              </w:rPr>
            </w:pPr>
          </w:p>
        </w:tc>
        <w:tc>
          <w:tcPr>
            <w:tcW w:w="1510" w:type="dxa"/>
            <w:noWrap w:val="0"/>
            <w:vAlign w:val="center"/>
          </w:tcPr>
          <w:p w14:paraId="53FE9013">
            <w:pPr>
              <w:jc w:val="center"/>
              <w:rPr>
                <w:rFonts w:hint="eastAsia" w:ascii="宋体" w:hAnsi="宋体" w:eastAsia="宋体" w:cs="宋体"/>
                <w:color w:val="auto"/>
                <w:sz w:val="21"/>
                <w:szCs w:val="21"/>
              </w:rPr>
            </w:pPr>
          </w:p>
        </w:tc>
        <w:tc>
          <w:tcPr>
            <w:tcW w:w="1590" w:type="dxa"/>
            <w:noWrap w:val="0"/>
            <w:vAlign w:val="center"/>
          </w:tcPr>
          <w:p w14:paraId="439194A7">
            <w:pPr>
              <w:jc w:val="center"/>
              <w:rPr>
                <w:rFonts w:hint="eastAsia" w:ascii="宋体" w:hAnsi="宋体" w:eastAsia="宋体" w:cs="宋体"/>
                <w:color w:val="auto"/>
                <w:sz w:val="21"/>
                <w:szCs w:val="21"/>
              </w:rPr>
            </w:pPr>
          </w:p>
        </w:tc>
      </w:tr>
    </w:tbl>
    <w:p w14:paraId="1F58EAA8">
      <w:pPr>
        <w:ind w:firstLine="630" w:firstLineChars="300"/>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0"/>
        </w:numPr>
        <w:ind w:left="150" w:leftChars="0" w:firstLine="420" w:firstLineChars="200"/>
        <w:rPr>
          <w:rFonts w:hint="eastAsia" w:ascii="宋体" w:hAnsi="宋体"/>
          <w:bCs/>
          <w:color w:val="auto"/>
          <w:highlight w:val="none"/>
        </w:rPr>
      </w:pPr>
      <w:r>
        <w:rPr>
          <w:rFonts w:hint="eastAsia" w:ascii="宋体" w:hAnsi="宋体"/>
          <w:bCs/>
          <w:color w:val="auto"/>
          <w:highlight w:val="none"/>
          <w:lang w:val="en-US" w:eastAsia="zh-CN"/>
        </w:rPr>
        <w:t>2.</w:t>
      </w:r>
      <w:r>
        <w:rPr>
          <w:rFonts w:hint="eastAsia" w:ascii="宋体" w:hAnsi="宋体"/>
          <w:bCs/>
          <w:color w:val="auto"/>
          <w:highlight w:val="none"/>
        </w:rPr>
        <w:t>上述报价表由投标单位参照，不限于此，可根据采购需求自行添加条目进行投报。</w:t>
      </w:r>
    </w:p>
    <w:p w14:paraId="5C150FAE">
      <w:pPr>
        <w:numPr>
          <w:ilvl w:val="0"/>
          <w:numId w:val="0"/>
        </w:numPr>
        <w:ind w:left="150" w:leftChars="0" w:firstLine="420" w:firstLineChars="200"/>
        <w:rPr>
          <w:rFonts w:hint="eastAsia" w:ascii="宋体" w:hAnsi="宋体"/>
          <w:bCs/>
          <w:color w:val="auto"/>
          <w:highlight w:val="none"/>
        </w:rPr>
      </w:pPr>
      <w:r>
        <w:rPr>
          <w:rFonts w:hint="eastAsia" w:ascii="宋体" w:hAnsi="宋体"/>
          <w:bCs/>
          <w:color w:val="auto"/>
          <w:highlight w:val="none"/>
          <w:lang w:val="en-US" w:eastAsia="zh-CN"/>
        </w:rPr>
        <w:t>3.投标人应当自行为服务人员办理必需的保险，有关人员伤亡及第三者责任险均应当考虑在报价因素中。</w:t>
      </w:r>
    </w:p>
    <w:p w14:paraId="63C93B46">
      <w:pPr>
        <w:ind w:firstLine="480"/>
        <w:rPr>
          <w:rFonts w:hint="eastAsia" w:ascii="宋体" w:hAnsi="宋体"/>
          <w:bCs/>
          <w:color w:val="auto"/>
          <w:highlight w:val="none"/>
        </w:rPr>
      </w:pPr>
    </w:p>
    <w:p w14:paraId="284C48F1">
      <w:pPr>
        <w:ind w:firstLine="480"/>
        <w:rPr>
          <w:rFonts w:hint="eastAsia" w:ascii="宋体" w:hAnsi="宋体"/>
          <w:bCs/>
          <w:color w:val="auto"/>
          <w:highlight w:val="none"/>
        </w:rPr>
      </w:pPr>
    </w:p>
    <w:p w14:paraId="4810D7D4">
      <w:pPr>
        <w:ind w:firstLine="480"/>
        <w:rPr>
          <w:rFonts w:hint="eastAsia" w:ascii="宋体" w:hAnsi="宋体"/>
          <w:bCs/>
          <w:color w:val="auto"/>
          <w:highlight w:val="none"/>
        </w:rPr>
      </w:pPr>
    </w:p>
    <w:p w14:paraId="3C142E97">
      <w:pPr>
        <w:ind w:firstLine="480"/>
        <w:rPr>
          <w:rFonts w:hint="eastAsia" w:ascii="宋体" w:hAnsi="宋体"/>
          <w:bCs/>
          <w:color w:val="auto"/>
          <w:highlight w:val="none"/>
        </w:rPr>
      </w:pPr>
    </w:p>
    <w:p w14:paraId="505C79E1">
      <w:pPr>
        <w:ind w:firstLine="480"/>
        <w:rPr>
          <w:rFonts w:hint="eastAsia" w:ascii="宋体" w:hAnsi="宋体"/>
          <w:bCs/>
          <w:color w:val="auto"/>
          <w:highlight w:val="none"/>
        </w:rPr>
      </w:pPr>
    </w:p>
    <w:p w14:paraId="7832DFC8">
      <w:pPr>
        <w:ind w:firstLine="480"/>
        <w:rPr>
          <w:rFonts w:hint="eastAsia" w:ascii="宋体" w:hAnsi="宋体"/>
          <w:bCs/>
          <w:color w:val="auto"/>
          <w:highlight w:val="none"/>
        </w:rPr>
      </w:pPr>
    </w:p>
    <w:p w14:paraId="2CFC46A3">
      <w:pPr>
        <w:ind w:firstLine="480"/>
        <w:rPr>
          <w:rFonts w:hint="eastAsia" w:ascii="宋体" w:hAnsi="宋体"/>
          <w:bCs/>
          <w:color w:val="auto"/>
          <w:highlight w:val="none"/>
        </w:rPr>
      </w:pPr>
    </w:p>
    <w:p w14:paraId="7A4BA7E5">
      <w:pPr>
        <w:pStyle w:val="43"/>
        <w:ind w:left="0" w:leftChars="0" w:firstLine="0" w:firstLineChars="0"/>
        <w:rPr>
          <w:rFonts w:hint="eastAsia" w:ascii="宋体" w:hAnsi="宋体"/>
          <w:bCs/>
          <w:color w:val="auto"/>
          <w:highlight w:val="none"/>
        </w:rPr>
      </w:pPr>
    </w:p>
    <w:p w14:paraId="79D6E573">
      <w:pPr>
        <w:pStyle w:val="43"/>
        <w:ind w:left="0" w:leftChars="0" w:firstLine="0" w:firstLineChars="0"/>
        <w:rPr>
          <w:rFonts w:hint="eastAsia" w:ascii="宋体" w:hAnsi="宋体"/>
          <w:bCs/>
          <w:color w:val="auto"/>
          <w:highlight w:val="none"/>
        </w:rPr>
      </w:pPr>
    </w:p>
    <w:p w14:paraId="5F3F5DB4">
      <w:pPr>
        <w:pStyle w:val="43"/>
        <w:ind w:left="0" w:leftChars="0" w:firstLine="0" w:firstLineChars="0"/>
        <w:rPr>
          <w:rFonts w:hint="eastAsia" w:ascii="宋体" w:hAnsi="宋体"/>
          <w:bCs/>
          <w:color w:val="auto"/>
          <w:highlight w:val="none"/>
        </w:rPr>
      </w:pPr>
    </w:p>
    <w:p w14:paraId="6FC42429">
      <w:pPr>
        <w:pStyle w:val="43"/>
        <w:ind w:left="0" w:leftChars="0" w:firstLine="0" w:firstLineChars="0"/>
        <w:rPr>
          <w:rFonts w:hint="eastAsia" w:ascii="宋体" w:hAnsi="宋体"/>
          <w:bCs/>
          <w:color w:val="auto"/>
          <w:highlight w:val="none"/>
        </w:rPr>
      </w:pPr>
    </w:p>
    <w:p w14:paraId="74970F28">
      <w:pPr>
        <w:pStyle w:val="43"/>
        <w:ind w:left="0" w:leftChars="0" w:firstLine="0" w:firstLineChars="0"/>
        <w:rPr>
          <w:rFonts w:hint="eastAsia" w:ascii="宋体" w:hAnsi="宋体"/>
          <w:bCs/>
          <w:color w:val="auto"/>
          <w:highlight w:val="none"/>
        </w:rPr>
      </w:pPr>
    </w:p>
    <w:p w14:paraId="1CB2E95F">
      <w:pPr>
        <w:pStyle w:val="43"/>
        <w:ind w:left="0" w:leftChars="0" w:firstLine="0" w:firstLineChars="0"/>
        <w:rPr>
          <w:rFonts w:hint="eastAsia" w:ascii="宋体" w:hAnsi="宋体"/>
          <w:bCs/>
          <w:color w:val="auto"/>
          <w:highlight w:val="none"/>
        </w:rPr>
      </w:pPr>
    </w:p>
    <w:p w14:paraId="3E3B4191">
      <w:pPr>
        <w:pStyle w:val="43"/>
        <w:ind w:left="0" w:leftChars="0" w:firstLine="0" w:firstLineChars="0"/>
        <w:rPr>
          <w:rFonts w:hint="eastAsia" w:ascii="宋体" w:hAnsi="宋体"/>
          <w:bCs/>
          <w:color w:val="auto"/>
          <w:highlight w:val="none"/>
        </w:rPr>
      </w:pPr>
    </w:p>
    <w:p w14:paraId="5420BDC9">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6"/>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6"/>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6"/>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JSZC-320206-JZCG-G2026-0047</w:t>
      </w:r>
    </w:p>
    <w:tbl>
      <w:tblPr>
        <w:tblStyle w:val="36"/>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2"/>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footerReference r:id="rId7" w:type="first"/>
      <w:headerReference r:id="rId5" w:type="default"/>
      <w:footerReference r:id="rId6"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20"/>
      <w:framePr w:wrap="around" w:vAnchor="text" w:hAnchor="margin" w:xAlign="center" w:y="1"/>
      <w:rPr>
        <w:rStyle w:val="242"/>
      </w:rPr>
    </w:pPr>
    <w:r>
      <w:fldChar w:fldCharType="begin"/>
    </w:r>
    <w:r>
      <w:rPr>
        <w:rStyle w:val="242"/>
      </w:rPr>
      <w:instrText xml:space="preserve">PAGE  </w:instrText>
    </w:r>
    <w:r>
      <w:fldChar w:fldCharType="separate"/>
    </w:r>
    <w:r>
      <w:rPr>
        <w:rStyle w:val="242"/>
      </w:rPr>
      <w:t>1</w:t>
    </w:r>
    <w:r>
      <w:fldChar w:fldCharType="end"/>
    </w:r>
  </w:p>
  <w:p w14:paraId="58DD5DFB">
    <w:pPr>
      <w:pStyle w:val="220"/>
      <w:ind w:right="360"/>
    </w:pPr>
  </w:p>
  <w:p w14:paraId="3E6EA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61DCE">
    <w:pPr>
      <w:spacing w:line="169" w:lineRule="auto"/>
      <w:ind w:left="4782"/>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336BB">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8E336BB">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737D7">
    <w:pPr>
      <w:pStyle w:val="22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51D354D">
                          <w:pPr>
                            <w:pStyle w:val="220"/>
                          </w:pPr>
                          <w:r>
                            <w:fldChar w:fldCharType="begin"/>
                          </w:r>
                          <w:r>
                            <w:instrText xml:space="preserve"> PAGE  \* MERGEFORMAT </w:instrText>
                          </w:r>
                          <w:r>
                            <w:fldChar w:fldCharType="separate"/>
                          </w:r>
                          <w:r>
                            <w:t>0</w:t>
                          </w:r>
                          <w:r>
                            <w:fldChar w:fldCharType="end"/>
                          </w:r>
                        </w:p>
                        <w:p w14:paraId="0457CAB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51D354D">
                    <w:pPr>
                      <w:pStyle w:val="220"/>
                    </w:pPr>
                    <w:r>
                      <w:fldChar w:fldCharType="begin"/>
                    </w:r>
                    <w:r>
                      <w:instrText xml:space="preserve"> PAGE  \* MERGEFORMAT </w:instrText>
                    </w:r>
                    <w:r>
                      <w:fldChar w:fldCharType="separate"/>
                    </w:r>
                    <w:r>
                      <w:t>0</w:t>
                    </w:r>
                    <w:r>
                      <w:fldChar w:fldCharType="end"/>
                    </w:r>
                  </w:p>
                  <w:p w14:paraId="0457CAB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3"/>
      <w:pBdr>
        <w:bottom w:val="none" w:color="auto" w:sz="0" w:space="0"/>
      </w:pBdr>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3"/>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upperLetter"/>
      <w:pStyle w:val="196"/>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7F9895FC"/>
    <w:multiLevelType w:val="singleLevel"/>
    <w:tmpl w:val="7F9895FC"/>
    <w:lvl w:ilvl="0" w:tentative="0">
      <w:start w:val="6"/>
      <w:numFmt w:val="chineseCounting"/>
      <w:suff w:val="nothing"/>
      <w:lvlText w:val="%1、"/>
      <w:lvlJc w:val="left"/>
      <w:rPr>
        <w:rFonts w:hint="eastAsia"/>
      </w:rPr>
    </w:lvl>
  </w:abstractNum>
  <w:num w:numId="1">
    <w:abstractNumId w:val="3"/>
  </w:num>
  <w:num w:numId="2">
    <w:abstractNumId w:val="1"/>
    <w:lvlOverride w:ilvl="0">
      <w:lvl w:ilvl="0" w:tentative="1">
        <w:start w:val="1"/>
        <w:numFmt w:val="decimal"/>
        <w:pStyle w:val="227"/>
        <w:lvlText w:val="第%1章"/>
        <w:lvlJc w:val="left"/>
        <w:pPr>
          <w:ind w:left="465" w:hanging="465"/>
        </w:pPr>
      </w:lvl>
    </w:lvlOverride>
    <w:lvlOverride w:ilvl="1">
      <w:lvl w:ilvl="1" w:tentative="1">
        <w:start w:val="1"/>
        <w:numFmt w:val="decimal"/>
        <w:pStyle w:val="292"/>
        <w:lvlText w:val="%1.%2"/>
        <w:lvlJc w:val="left"/>
        <w:pPr>
          <w:ind w:left="465" w:hanging="465"/>
        </w:pPr>
      </w:lvl>
    </w:lvlOverride>
    <w:lvlOverride w:ilvl="2">
      <w:lvl w:ilvl="2" w:tentative="1">
        <w:start w:val="1"/>
        <w:numFmt w:val="decimal"/>
        <w:pStyle w:val="331"/>
        <w:lvlText w:val="%1.%2.%3"/>
        <w:lvlJc w:val="left"/>
        <w:pPr>
          <w:ind w:left="720" w:hanging="720"/>
        </w:pPr>
      </w:lvl>
    </w:lvlOverride>
    <w:lvlOverride w:ilvl="3">
      <w:lvl w:ilvl="3" w:tentative="1">
        <w:start w:val="1"/>
        <w:numFmt w:val="decimal"/>
        <w:pStyle w:val="294"/>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B6D1F"/>
    <w:rsid w:val="006C6F0E"/>
    <w:rsid w:val="00705F4E"/>
    <w:rsid w:val="0071435D"/>
    <w:rsid w:val="00741CBC"/>
    <w:rsid w:val="00771B68"/>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D52B9"/>
    <w:rsid w:val="00C53E20"/>
    <w:rsid w:val="00C574DC"/>
    <w:rsid w:val="00D454D3"/>
    <w:rsid w:val="00D54CEA"/>
    <w:rsid w:val="00D60A9C"/>
    <w:rsid w:val="00DE2432"/>
    <w:rsid w:val="00DF22D0"/>
    <w:rsid w:val="00E40CD9"/>
    <w:rsid w:val="00E85BAC"/>
    <w:rsid w:val="00EB7ED0"/>
    <w:rsid w:val="00ED4FC9"/>
    <w:rsid w:val="00F13C49"/>
    <w:rsid w:val="00F1414C"/>
    <w:rsid w:val="00F968F7"/>
    <w:rsid w:val="00FA5DE0"/>
    <w:rsid w:val="00FF730A"/>
    <w:rsid w:val="011473B7"/>
    <w:rsid w:val="01172A03"/>
    <w:rsid w:val="01396E1E"/>
    <w:rsid w:val="014337F8"/>
    <w:rsid w:val="01545A05"/>
    <w:rsid w:val="015679D0"/>
    <w:rsid w:val="015B3238"/>
    <w:rsid w:val="018067FB"/>
    <w:rsid w:val="018856AF"/>
    <w:rsid w:val="01A86A05"/>
    <w:rsid w:val="01B77FDC"/>
    <w:rsid w:val="01B96C47"/>
    <w:rsid w:val="01EB45BC"/>
    <w:rsid w:val="02034A03"/>
    <w:rsid w:val="02496FDA"/>
    <w:rsid w:val="02597332"/>
    <w:rsid w:val="025D08EA"/>
    <w:rsid w:val="02667537"/>
    <w:rsid w:val="02761211"/>
    <w:rsid w:val="028642E4"/>
    <w:rsid w:val="02AC5412"/>
    <w:rsid w:val="02B50726"/>
    <w:rsid w:val="02B524D4"/>
    <w:rsid w:val="02D84414"/>
    <w:rsid w:val="02E132C9"/>
    <w:rsid w:val="02E42DB9"/>
    <w:rsid w:val="0305345B"/>
    <w:rsid w:val="0314051C"/>
    <w:rsid w:val="033E696D"/>
    <w:rsid w:val="03433F84"/>
    <w:rsid w:val="034675D0"/>
    <w:rsid w:val="0360556D"/>
    <w:rsid w:val="03977E2B"/>
    <w:rsid w:val="039B791C"/>
    <w:rsid w:val="03B804CE"/>
    <w:rsid w:val="04011D9C"/>
    <w:rsid w:val="04123410"/>
    <w:rsid w:val="043D09D3"/>
    <w:rsid w:val="04455AD9"/>
    <w:rsid w:val="045D1075"/>
    <w:rsid w:val="04651CD8"/>
    <w:rsid w:val="04675A50"/>
    <w:rsid w:val="047828C4"/>
    <w:rsid w:val="047D389E"/>
    <w:rsid w:val="049B394B"/>
    <w:rsid w:val="04B179CA"/>
    <w:rsid w:val="04CB2483"/>
    <w:rsid w:val="04E7163B"/>
    <w:rsid w:val="04E81F69"/>
    <w:rsid w:val="04F26E33"/>
    <w:rsid w:val="04FD4A64"/>
    <w:rsid w:val="052F6180"/>
    <w:rsid w:val="05693656"/>
    <w:rsid w:val="05934538"/>
    <w:rsid w:val="05B71F0C"/>
    <w:rsid w:val="05BC5A66"/>
    <w:rsid w:val="05D7022B"/>
    <w:rsid w:val="05D90BCF"/>
    <w:rsid w:val="0619721E"/>
    <w:rsid w:val="0622233D"/>
    <w:rsid w:val="066435D0"/>
    <w:rsid w:val="066C559F"/>
    <w:rsid w:val="066F3697"/>
    <w:rsid w:val="06BB1A50"/>
    <w:rsid w:val="06CB0518"/>
    <w:rsid w:val="06DF5D71"/>
    <w:rsid w:val="06F16D7B"/>
    <w:rsid w:val="06F6179A"/>
    <w:rsid w:val="07153256"/>
    <w:rsid w:val="07293490"/>
    <w:rsid w:val="076C4208"/>
    <w:rsid w:val="076D7821"/>
    <w:rsid w:val="079335E8"/>
    <w:rsid w:val="07A82607"/>
    <w:rsid w:val="07A91952"/>
    <w:rsid w:val="07AF43CA"/>
    <w:rsid w:val="07B216D8"/>
    <w:rsid w:val="07B95303"/>
    <w:rsid w:val="07BC60B3"/>
    <w:rsid w:val="07ED2710"/>
    <w:rsid w:val="07F615C4"/>
    <w:rsid w:val="080A5070"/>
    <w:rsid w:val="082D2D8F"/>
    <w:rsid w:val="0833620A"/>
    <w:rsid w:val="08517143"/>
    <w:rsid w:val="087B7D1C"/>
    <w:rsid w:val="087D3A94"/>
    <w:rsid w:val="08844E22"/>
    <w:rsid w:val="08AE1E9F"/>
    <w:rsid w:val="08D15B8E"/>
    <w:rsid w:val="08F17FDE"/>
    <w:rsid w:val="096A36FA"/>
    <w:rsid w:val="09842C00"/>
    <w:rsid w:val="0A7B2255"/>
    <w:rsid w:val="0A7E3AF3"/>
    <w:rsid w:val="0A851326"/>
    <w:rsid w:val="0AB67731"/>
    <w:rsid w:val="0AB94B2B"/>
    <w:rsid w:val="0AC7549A"/>
    <w:rsid w:val="0ADB7197"/>
    <w:rsid w:val="0AEE2A27"/>
    <w:rsid w:val="0AFD0EBC"/>
    <w:rsid w:val="0B026EC9"/>
    <w:rsid w:val="0B352404"/>
    <w:rsid w:val="0B903ADE"/>
    <w:rsid w:val="0BA650B0"/>
    <w:rsid w:val="0BB2614A"/>
    <w:rsid w:val="0BBE4333"/>
    <w:rsid w:val="0BBE689D"/>
    <w:rsid w:val="0BC55E54"/>
    <w:rsid w:val="0BD7098D"/>
    <w:rsid w:val="0BE65DF4"/>
    <w:rsid w:val="0BFF2A12"/>
    <w:rsid w:val="0C0D15D3"/>
    <w:rsid w:val="0C346DC3"/>
    <w:rsid w:val="0C49412F"/>
    <w:rsid w:val="0C725B23"/>
    <w:rsid w:val="0C774C9E"/>
    <w:rsid w:val="0CD36378"/>
    <w:rsid w:val="0CF12CA2"/>
    <w:rsid w:val="0D397CED"/>
    <w:rsid w:val="0D4252AC"/>
    <w:rsid w:val="0D510B45"/>
    <w:rsid w:val="0D541E51"/>
    <w:rsid w:val="0D5867A2"/>
    <w:rsid w:val="0D9755F8"/>
    <w:rsid w:val="0D991370"/>
    <w:rsid w:val="0DE243F0"/>
    <w:rsid w:val="0DE6451F"/>
    <w:rsid w:val="0E356BBF"/>
    <w:rsid w:val="0E8116C4"/>
    <w:rsid w:val="0EA55AF2"/>
    <w:rsid w:val="0EBA2435"/>
    <w:rsid w:val="0EEE56EB"/>
    <w:rsid w:val="0F2133A0"/>
    <w:rsid w:val="0F2E3930"/>
    <w:rsid w:val="0F8B405D"/>
    <w:rsid w:val="0FC43855"/>
    <w:rsid w:val="0FCB1589"/>
    <w:rsid w:val="10091983"/>
    <w:rsid w:val="100D394F"/>
    <w:rsid w:val="1017657C"/>
    <w:rsid w:val="108A31F2"/>
    <w:rsid w:val="10915F18"/>
    <w:rsid w:val="10CF50A9"/>
    <w:rsid w:val="11131439"/>
    <w:rsid w:val="111637D2"/>
    <w:rsid w:val="111E4FAD"/>
    <w:rsid w:val="11260DDA"/>
    <w:rsid w:val="11366ED6"/>
    <w:rsid w:val="11876D9C"/>
    <w:rsid w:val="11DF756D"/>
    <w:rsid w:val="11E64458"/>
    <w:rsid w:val="11F35990"/>
    <w:rsid w:val="12011292"/>
    <w:rsid w:val="120343C6"/>
    <w:rsid w:val="1218482D"/>
    <w:rsid w:val="12374CB3"/>
    <w:rsid w:val="126857B5"/>
    <w:rsid w:val="128D521B"/>
    <w:rsid w:val="12957C2C"/>
    <w:rsid w:val="12A165D1"/>
    <w:rsid w:val="12A460C1"/>
    <w:rsid w:val="12AD766B"/>
    <w:rsid w:val="12B77FA2"/>
    <w:rsid w:val="12DE7825"/>
    <w:rsid w:val="12ED2893"/>
    <w:rsid w:val="130628D8"/>
    <w:rsid w:val="131A6A04"/>
    <w:rsid w:val="13294C16"/>
    <w:rsid w:val="136F6B5A"/>
    <w:rsid w:val="13767A5D"/>
    <w:rsid w:val="13804F34"/>
    <w:rsid w:val="13876010"/>
    <w:rsid w:val="13E26EA1"/>
    <w:rsid w:val="13F51B73"/>
    <w:rsid w:val="14107EB2"/>
    <w:rsid w:val="141F00F5"/>
    <w:rsid w:val="14425B91"/>
    <w:rsid w:val="14444988"/>
    <w:rsid w:val="14495172"/>
    <w:rsid w:val="147D6BCA"/>
    <w:rsid w:val="14860174"/>
    <w:rsid w:val="149D47C6"/>
    <w:rsid w:val="149E726C"/>
    <w:rsid w:val="14A2724B"/>
    <w:rsid w:val="14AA20B4"/>
    <w:rsid w:val="14BB6147"/>
    <w:rsid w:val="14C12F5A"/>
    <w:rsid w:val="14E05AD6"/>
    <w:rsid w:val="14E13D7A"/>
    <w:rsid w:val="15080B89"/>
    <w:rsid w:val="15363948"/>
    <w:rsid w:val="15453B8B"/>
    <w:rsid w:val="154B53F1"/>
    <w:rsid w:val="156E54F0"/>
    <w:rsid w:val="158A25F3"/>
    <w:rsid w:val="159D1783"/>
    <w:rsid w:val="15B14D7D"/>
    <w:rsid w:val="15BB5BFB"/>
    <w:rsid w:val="15C31523"/>
    <w:rsid w:val="15C40F54"/>
    <w:rsid w:val="160E21CF"/>
    <w:rsid w:val="163634D4"/>
    <w:rsid w:val="16443E43"/>
    <w:rsid w:val="164756E1"/>
    <w:rsid w:val="16816E45"/>
    <w:rsid w:val="16922E00"/>
    <w:rsid w:val="169B0125"/>
    <w:rsid w:val="169E17A5"/>
    <w:rsid w:val="16AE139D"/>
    <w:rsid w:val="16B5089D"/>
    <w:rsid w:val="16CD25C8"/>
    <w:rsid w:val="16CF5E02"/>
    <w:rsid w:val="173C4B1A"/>
    <w:rsid w:val="17525714"/>
    <w:rsid w:val="17981331"/>
    <w:rsid w:val="17AD5A18"/>
    <w:rsid w:val="17C43F85"/>
    <w:rsid w:val="17E86A50"/>
    <w:rsid w:val="17EF4FE8"/>
    <w:rsid w:val="182757CA"/>
    <w:rsid w:val="183A54FD"/>
    <w:rsid w:val="18412583"/>
    <w:rsid w:val="18754ED1"/>
    <w:rsid w:val="18950986"/>
    <w:rsid w:val="18A62B93"/>
    <w:rsid w:val="18C748B7"/>
    <w:rsid w:val="18CF162B"/>
    <w:rsid w:val="18D80F53"/>
    <w:rsid w:val="190873AA"/>
    <w:rsid w:val="1917583F"/>
    <w:rsid w:val="19212219"/>
    <w:rsid w:val="192F2B88"/>
    <w:rsid w:val="194B54E8"/>
    <w:rsid w:val="195B488E"/>
    <w:rsid w:val="19742C91"/>
    <w:rsid w:val="197B5DCD"/>
    <w:rsid w:val="198D78AF"/>
    <w:rsid w:val="19927A56"/>
    <w:rsid w:val="19B93A2E"/>
    <w:rsid w:val="19E25E4D"/>
    <w:rsid w:val="1A1324AA"/>
    <w:rsid w:val="1A1656B7"/>
    <w:rsid w:val="1A3348FA"/>
    <w:rsid w:val="1A427AAC"/>
    <w:rsid w:val="1ABA2925"/>
    <w:rsid w:val="1ADD03C2"/>
    <w:rsid w:val="1B1A7868"/>
    <w:rsid w:val="1B1D4C62"/>
    <w:rsid w:val="1B4D72F6"/>
    <w:rsid w:val="1B6E407B"/>
    <w:rsid w:val="1B77374A"/>
    <w:rsid w:val="1BA54A74"/>
    <w:rsid w:val="1BBB6955"/>
    <w:rsid w:val="1BE06ADF"/>
    <w:rsid w:val="1BF178BF"/>
    <w:rsid w:val="1BF53B0B"/>
    <w:rsid w:val="1BFE7442"/>
    <w:rsid w:val="1C1D37CC"/>
    <w:rsid w:val="1C313BDC"/>
    <w:rsid w:val="1C6C40F3"/>
    <w:rsid w:val="1C790574"/>
    <w:rsid w:val="1CAE0268"/>
    <w:rsid w:val="1CD57563"/>
    <w:rsid w:val="1CE617B0"/>
    <w:rsid w:val="1D175E0D"/>
    <w:rsid w:val="1D28001A"/>
    <w:rsid w:val="1DB50D67"/>
    <w:rsid w:val="1DB83859"/>
    <w:rsid w:val="1DE72E9D"/>
    <w:rsid w:val="1E0F2F88"/>
    <w:rsid w:val="1E2A7DC2"/>
    <w:rsid w:val="1E4D0963"/>
    <w:rsid w:val="1E574E31"/>
    <w:rsid w:val="1E71154D"/>
    <w:rsid w:val="1E7A2AF8"/>
    <w:rsid w:val="1EC16291"/>
    <w:rsid w:val="1ED55F80"/>
    <w:rsid w:val="1EF108E0"/>
    <w:rsid w:val="1F122D30"/>
    <w:rsid w:val="1F3031B6"/>
    <w:rsid w:val="1F30765A"/>
    <w:rsid w:val="1F3A2287"/>
    <w:rsid w:val="1F5C15E9"/>
    <w:rsid w:val="1F7B6261"/>
    <w:rsid w:val="1F9574BD"/>
    <w:rsid w:val="1F9E2816"/>
    <w:rsid w:val="1FAE057F"/>
    <w:rsid w:val="1FE67D19"/>
    <w:rsid w:val="1FF13FC9"/>
    <w:rsid w:val="20000DDB"/>
    <w:rsid w:val="20117531"/>
    <w:rsid w:val="20216FA3"/>
    <w:rsid w:val="20370574"/>
    <w:rsid w:val="208C6B12"/>
    <w:rsid w:val="20DC028A"/>
    <w:rsid w:val="211D3C0E"/>
    <w:rsid w:val="211D4C6B"/>
    <w:rsid w:val="21410299"/>
    <w:rsid w:val="21562C7C"/>
    <w:rsid w:val="21723F5A"/>
    <w:rsid w:val="218D2B42"/>
    <w:rsid w:val="2190748C"/>
    <w:rsid w:val="21931DA4"/>
    <w:rsid w:val="21B005DE"/>
    <w:rsid w:val="21CA5B44"/>
    <w:rsid w:val="21CE6CB6"/>
    <w:rsid w:val="21E40288"/>
    <w:rsid w:val="21F21801"/>
    <w:rsid w:val="222B1363"/>
    <w:rsid w:val="225D52A7"/>
    <w:rsid w:val="22665141"/>
    <w:rsid w:val="22B67E76"/>
    <w:rsid w:val="22F83FEB"/>
    <w:rsid w:val="23201B77"/>
    <w:rsid w:val="23476863"/>
    <w:rsid w:val="235843BA"/>
    <w:rsid w:val="2389558B"/>
    <w:rsid w:val="239C5C07"/>
    <w:rsid w:val="23A128D5"/>
    <w:rsid w:val="23B1699D"/>
    <w:rsid w:val="23EB4896"/>
    <w:rsid w:val="23EB6DA1"/>
    <w:rsid w:val="23FA0331"/>
    <w:rsid w:val="24002E90"/>
    <w:rsid w:val="241237D2"/>
    <w:rsid w:val="24521E21"/>
    <w:rsid w:val="24620035"/>
    <w:rsid w:val="247C0C4C"/>
    <w:rsid w:val="248A3369"/>
    <w:rsid w:val="24936675"/>
    <w:rsid w:val="249E6E14"/>
    <w:rsid w:val="24F46A34"/>
    <w:rsid w:val="250C6474"/>
    <w:rsid w:val="25237319"/>
    <w:rsid w:val="253A4D8F"/>
    <w:rsid w:val="253D03DB"/>
    <w:rsid w:val="256A4F48"/>
    <w:rsid w:val="25835AD1"/>
    <w:rsid w:val="259D0E7A"/>
    <w:rsid w:val="25AF25E6"/>
    <w:rsid w:val="25EA51C1"/>
    <w:rsid w:val="266B7849"/>
    <w:rsid w:val="26C22739"/>
    <w:rsid w:val="26F31699"/>
    <w:rsid w:val="270A69E3"/>
    <w:rsid w:val="27160EE4"/>
    <w:rsid w:val="27392E24"/>
    <w:rsid w:val="275A34C6"/>
    <w:rsid w:val="275C6A6B"/>
    <w:rsid w:val="27AA5AD0"/>
    <w:rsid w:val="27AC6936"/>
    <w:rsid w:val="27CC1EEA"/>
    <w:rsid w:val="27CC3C98"/>
    <w:rsid w:val="27DF39CB"/>
    <w:rsid w:val="28074CD0"/>
    <w:rsid w:val="28123DA1"/>
    <w:rsid w:val="281E2746"/>
    <w:rsid w:val="28285372"/>
    <w:rsid w:val="284D6B87"/>
    <w:rsid w:val="286823DD"/>
    <w:rsid w:val="28771E56"/>
    <w:rsid w:val="28862099"/>
    <w:rsid w:val="28CF1C92"/>
    <w:rsid w:val="28E0094C"/>
    <w:rsid w:val="28E82D54"/>
    <w:rsid w:val="2916341D"/>
    <w:rsid w:val="29226266"/>
    <w:rsid w:val="293D522B"/>
    <w:rsid w:val="294D2BB7"/>
    <w:rsid w:val="295D49CD"/>
    <w:rsid w:val="296D5007"/>
    <w:rsid w:val="297D349C"/>
    <w:rsid w:val="29835806"/>
    <w:rsid w:val="299A7D67"/>
    <w:rsid w:val="29A4069D"/>
    <w:rsid w:val="29B9024C"/>
    <w:rsid w:val="29BB3FC4"/>
    <w:rsid w:val="29D76728"/>
    <w:rsid w:val="29F51213"/>
    <w:rsid w:val="29F714A0"/>
    <w:rsid w:val="2A003359"/>
    <w:rsid w:val="2A0E6DD8"/>
    <w:rsid w:val="2A133E00"/>
    <w:rsid w:val="2A2C0A1E"/>
    <w:rsid w:val="2A331DAD"/>
    <w:rsid w:val="2A337A92"/>
    <w:rsid w:val="2A663F30"/>
    <w:rsid w:val="2A697EC4"/>
    <w:rsid w:val="2A750617"/>
    <w:rsid w:val="2A8A2314"/>
    <w:rsid w:val="2A917A18"/>
    <w:rsid w:val="2AD43590"/>
    <w:rsid w:val="2ADE61BC"/>
    <w:rsid w:val="2AE15CAC"/>
    <w:rsid w:val="2AE20089"/>
    <w:rsid w:val="2B391645"/>
    <w:rsid w:val="2B3E4EAD"/>
    <w:rsid w:val="2B4029D3"/>
    <w:rsid w:val="2B6640B7"/>
    <w:rsid w:val="2B6E213B"/>
    <w:rsid w:val="2B936FA7"/>
    <w:rsid w:val="2BA72A52"/>
    <w:rsid w:val="2BB1567F"/>
    <w:rsid w:val="2BC76C50"/>
    <w:rsid w:val="2BD01692"/>
    <w:rsid w:val="2BFC0FF0"/>
    <w:rsid w:val="2C0A7AA4"/>
    <w:rsid w:val="2C2916B9"/>
    <w:rsid w:val="2C3B13EC"/>
    <w:rsid w:val="2C477D91"/>
    <w:rsid w:val="2C8325AE"/>
    <w:rsid w:val="2CAA1544"/>
    <w:rsid w:val="2CB25B52"/>
    <w:rsid w:val="2CC969F8"/>
    <w:rsid w:val="2D0143E4"/>
    <w:rsid w:val="2D784137"/>
    <w:rsid w:val="2DA1451F"/>
    <w:rsid w:val="2DA27975"/>
    <w:rsid w:val="2DF177E1"/>
    <w:rsid w:val="2DF6182C"/>
    <w:rsid w:val="2E107C6F"/>
    <w:rsid w:val="2E222864"/>
    <w:rsid w:val="2E4E5407"/>
    <w:rsid w:val="2E627104"/>
    <w:rsid w:val="2E6764C9"/>
    <w:rsid w:val="2E6A3E61"/>
    <w:rsid w:val="2E7B3D22"/>
    <w:rsid w:val="2EAE5EA6"/>
    <w:rsid w:val="2EEB0D06"/>
    <w:rsid w:val="2EF10A6E"/>
    <w:rsid w:val="2F1F1AC1"/>
    <w:rsid w:val="2F2443BA"/>
    <w:rsid w:val="2F342400"/>
    <w:rsid w:val="2F4D3910"/>
    <w:rsid w:val="2F594063"/>
    <w:rsid w:val="2F631E13"/>
    <w:rsid w:val="2F642A08"/>
    <w:rsid w:val="2FA044E5"/>
    <w:rsid w:val="2FD95F39"/>
    <w:rsid w:val="300A7A53"/>
    <w:rsid w:val="301F3EE8"/>
    <w:rsid w:val="3025663B"/>
    <w:rsid w:val="30470360"/>
    <w:rsid w:val="307D6477"/>
    <w:rsid w:val="307D72E2"/>
    <w:rsid w:val="30837BD8"/>
    <w:rsid w:val="30B8125D"/>
    <w:rsid w:val="30CD0A85"/>
    <w:rsid w:val="30D16C82"/>
    <w:rsid w:val="30DF4A3C"/>
    <w:rsid w:val="30EE4C7F"/>
    <w:rsid w:val="31400EAF"/>
    <w:rsid w:val="31440D43"/>
    <w:rsid w:val="315A2E0D"/>
    <w:rsid w:val="31684A32"/>
    <w:rsid w:val="316B4522"/>
    <w:rsid w:val="316D2048"/>
    <w:rsid w:val="317E24A7"/>
    <w:rsid w:val="31946BD3"/>
    <w:rsid w:val="31AC14CC"/>
    <w:rsid w:val="31C679AA"/>
    <w:rsid w:val="31C73F29"/>
    <w:rsid w:val="31D74ED9"/>
    <w:rsid w:val="31DD5420"/>
    <w:rsid w:val="32026530"/>
    <w:rsid w:val="320F4EAD"/>
    <w:rsid w:val="32214672"/>
    <w:rsid w:val="322425CE"/>
    <w:rsid w:val="32790CE2"/>
    <w:rsid w:val="328E2276"/>
    <w:rsid w:val="32A41A99"/>
    <w:rsid w:val="32C71C2C"/>
    <w:rsid w:val="32C75788"/>
    <w:rsid w:val="32F96D61"/>
    <w:rsid w:val="332143CC"/>
    <w:rsid w:val="334B61C4"/>
    <w:rsid w:val="33633703"/>
    <w:rsid w:val="3369683F"/>
    <w:rsid w:val="33AA1331"/>
    <w:rsid w:val="33AF4B9A"/>
    <w:rsid w:val="33E30D1D"/>
    <w:rsid w:val="341113B0"/>
    <w:rsid w:val="342E6414"/>
    <w:rsid w:val="34384B8F"/>
    <w:rsid w:val="344F3C87"/>
    <w:rsid w:val="34525525"/>
    <w:rsid w:val="345257C1"/>
    <w:rsid w:val="34871673"/>
    <w:rsid w:val="34916B65"/>
    <w:rsid w:val="34927C06"/>
    <w:rsid w:val="34CC52D7"/>
    <w:rsid w:val="34E03EE7"/>
    <w:rsid w:val="34FC3E0F"/>
    <w:rsid w:val="35094033"/>
    <w:rsid w:val="350E769E"/>
    <w:rsid w:val="3529272A"/>
    <w:rsid w:val="35411821"/>
    <w:rsid w:val="35531555"/>
    <w:rsid w:val="355D23D3"/>
    <w:rsid w:val="35763888"/>
    <w:rsid w:val="3588705D"/>
    <w:rsid w:val="35AD6EB7"/>
    <w:rsid w:val="35E87EEF"/>
    <w:rsid w:val="35EB3E83"/>
    <w:rsid w:val="35F66AB0"/>
    <w:rsid w:val="362058DB"/>
    <w:rsid w:val="362F2838"/>
    <w:rsid w:val="36367635"/>
    <w:rsid w:val="36855EDF"/>
    <w:rsid w:val="36CA1CEB"/>
    <w:rsid w:val="36D13079"/>
    <w:rsid w:val="36E7464B"/>
    <w:rsid w:val="36E92F59"/>
    <w:rsid w:val="36FE3457"/>
    <w:rsid w:val="370228AA"/>
    <w:rsid w:val="37217B5C"/>
    <w:rsid w:val="3733163E"/>
    <w:rsid w:val="373B04F2"/>
    <w:rsid w:val="37465815"/>
    <w:rsid w:val="374B6987"/>
    <w:rsid w:val="374F792C"/>
    <w:rsid w:val="37661A13"/>
    <w:rsid w:val="37CF2144"/>
    <w:rsid w:val="37D526F5"/>
    <w:rsid w:val="37F0752F"/>
    <w:rsid w:val="37F54B45"/>
    <w:rsid w:val="380D3A6D"/>
    <w:rsid w:val="383C09C6"/>
    <w:rsid w:val="384925F3"/>
    <w:rsid w:val="38775EE4"/>
    <w:rsid w:val="38840C87"/>
    <w:rsid w:val="389B749B"/>
    <w:rsid w:val="38BC6B40"/>
    <w:rsid w:val="38C43E25"/>
    <w:rsid w:val="38C5276A"/>
    <w:rsid w:val="38D44413"/>
    <w:rsid w:val="38E01351"/>
    <w:rsid w:val="38F55C32"/>
    <w:rsid w:val="38F65019"/>
    <w:rsid w:val="394C4699"/>
    <w:rsid w:val="39901051"/>
    <w:rsid w:val="39914B8B"/>
    <w:rsid w:val="39A131D7"/>
    <w:rsid w:val="39B822CE"/>
    <w:rsid w:val="39DF3CFF"/>
    <w:rsid w:val="39F96EC0"/>
    <w:rsid w:val="3A024B77"/>
    <w:rsid w:val="3A1A4D37"/>
    <w:rsid w:val="3A322081"/>
    <w:rsid w:val="3A323597"/>
    <w:rsid w:val="3A4B6C9E"/>
    <w:rsid w:val="3A59760D"/>
    <w:rsid w:val="3A7A7584"/>
    <w:rsid w:val="3A8A13AB"/>
    <w:rsid w:val="3A934296"/>
    <w:rsid w:val="3A946897"/>
    <w:rsid w:val="3A975602"/>
    <w:rsid w:val="3AAB598F"/>
    <w:rsid w:val="3ABC194A"/>
    <w:rsid w:val="3AF40B60"/>
    <w:rsid w:val="3AF47336"/>
    <w:rsid w:val="3B077073"/>
    <w:rsid w:val="3B0A4DAB"/>
    <w:rsid w:val="3B133C60"/>
    <w:rsid w:val="3B324532"/>
    <w:rsid w:val="3B384ABA"/>
    <w:rsid w:val="3B464036"/>
    <w:rsid w:val="3B4C2CCE"/>
    <w:rsid w:val="3B6169C8"/>
    <w:rsid w:val="3B620744"/>
    <w:rsid w:val="3B781D15"/>
    <w:rsid w:val="3B7F12F6"/>
    <w:rsid w:val="3B993E4F"/>
    <w:rsid w:val="3BAA57F0"/>
    <w:rsid w:val="3BBA0580"/>
    <w:rsid w:val="3BFD4725"/>
    <w:rsid w:val="3C017F5D"/>
    <w:rsid w:val="3C067321"/>
    <w:rsid w:val="3C074E47"/>
    <w:rsid w:val="3C187054"/>
    <w:rsid w:val="3C495460"/>
    <w:rsid w:val="3C502C92"/>
    <w:rsid w:val="3C8A1D00"/>
    <w:rsid w:val="3C8F7DB0"/>
    <w:rsid w:val="3CB65BDF"/>
    <w:rsid w:val="3CB94393"/>
    <w:rsid w:val="3CC019CB"/>
    <w:rsid w:val="3CDC15A9"/>
    <w:rsid w:val="3D0C6BB9"/>
    <w:rsid w:val="3D6940F4"/>
    <w:rsid w:val="3D8B7DB9"/>
    <w:rsid w:val="3DC9047D"/>
    <w:rsid w:val="3DDF3943"/>
    <w:rsid w:val="3DE511B8"/>
    <w:rsid w:val="3DF064DB"/>
    <w:rsid w:val="3DF15DAF"/>
    <w:rsid w:val="3E047890"/>
    <w:rsid w:val="3E0B50C2"/>
    <w:rsid w:val="3E31202F"/>
    <w:rsid w:val="3E312F90"/>
    <w:rsid w:val="3E3C1720"/>
    <w:rsid w:val="3E412892"/>
    <w:rsid w:val="3E4F1453"/>
    <w:rsid w:val="3E5E705F"/>
    <w:rsid w:val="3E68335F"/>
    <w:rsid w:val="3E7A5DA4"/>
    <w:rsid w:val="3E7E5894"/>
    <w:rsid w:val="3E9E25C2"/>
    <w:rsid w:val="3EE55913"/>
    <w:rsid w:val="3F063C21"/>
    <w:rsid w:val="3F2521B4"/>
    <w:rsid w:val="3F283AEB"/>
    <w:rsid w:val="3F294227"/>
    <w:rsid w:val="3F60143E"/>
    <w:rsid w:val="3F6A25B2"/>
    <w:rsid w:val="3F80388E"/>
    <w:rsid w:val="3F8A2017"/>
    <w:rsid w:val="3FA26167"/>
    <w:rsid w:val="3FB928FC"/>
    <w:rsid w:val="3FEE25A6"/>
    <w:rsid w:val="40342640"/>
    <w:rsid w:val="404E62E0"/>
    <w:rsid w:val="406E7B8B"/>
    <w:rsid w:val="407F1BFB"/>
    <w:rsid w:val="4090365D"/>
    <w:rsid w:val="409B4DCD"/>
    <w:rsid w:val="40A23390"/>
    <w:rsid w:val="40BC6B48"/>
    <w:rsid w:val="40BE01CA"/>
    <w:rsid w:val="40CC5EF5"/>
    <w:rsid w:val="40E13EB9"/>
    <w:rsid w:val="40E35E83"/>
    <w:rsid w:val="40E47653"/>
    <w:rsid w:val="41036525"/>
    <w:rsid w:val="41232723"/>
    <w:rsid w:val="41306BEE"/>
    <w:rsid w:val="41560B72"/>
    <w:rsid w:val="41B33AA7"/>
    <w:rsid w:val="41D61543"/>
    <w:rsid w:val="41DA7286"/>
    <w:rsid w:val="42075BA1"/>
    <w:rsid w:val="423821FE"/>
    <w:rsid w:val="42402DBA"/>
    <w:rsid w:val="42750D5C"/>
    <w:rsid w:val="42903DE8"/>
    <w:rsid w:val="42D56E6D"/>
    <w:rsid w:val="42D82436"/>
    <w:rsid w:val="42DF267A"/>
    <w:rsid w:val="43056584"/>
    <w:rsid w:val="43195B8C"/>
    <w:rsid w:val="43483F4D"/>
    <w:rsid w:val="434A3F97"/>
    <w:rsid w:val="435629F7"/>
    <w:rsid w:val="43C408AE"/>
    <w:rsid w:val="43D1290A"/>
    <w:rsid w:val="442962A2"/>
    <w:rsid w:val="444C1F91"/>
    <w:rsid w:val="446D4BAF"/>
    <w:rsid w:val="448D568B"/>
    <w:rsid w:val="449851D6"/>
    <w:rsid w:val="449A0F4E"/>
    <w:rsid w:val="44A122DD"/>
    <w:rsid w:val="44B10046"/>
    <w:rsid w:val="44B813D4"/>
    <w:rsid w:val="451023FC"/>
    <w:rsid w:val="452847AC"/>
    <w:rsid w:val="45291F17"/>
    <w:rsid w:val="454A2974"/>
    <w:rsid w:val="459260C9"/>
    <w:rsid w:val="45AC1B90"/>
    <w:rsid w:val="46004DE1"/>
    <w:rsid w:val="46164604"/>
    <w:rsid w:val="46195EA3"/>
    <w:rsid w:val="46517D32"/>
    <w:rsid w:val="4656746E"/>
    <w:rsid w:val="46715CDF"/>
    <w:rsid w:val="46AE2A8F"/>
    <w:rsid w:val="46C67DD9"/>
    <w:rsid w:val="46E82445"/>
    <w:rsid w:val="46EE10DD"/>
    <w:rsid w:val="46F72659"/>
    <w:rsid w:val="47175674"/>
    <w:rsid w:val="47334EC3"/>
    <w:rsid w:val="475B3840"/>
    <w:rsid w:val="475C24EB"/>
    <w:rsid w:val="47635DAA"/>
    <w:rsid w:val="479559FD"/>
    <w:rsid w:val="47B7128B"/>
    <w:rsid w:val="47D169E9"/>
    <w:rsid w:val="47D6229D"/>
    <w:rsid w:val="47E26E94"/>
    <w:rsid w:val="481743FE"/>
    <w:rsid w:val="48390A7E"/>
    <w:rsid w:val="48566986"/>
    <w:rsid w:val="48592ECE"/>
    <w:rsid w:val="486378A9"/>
    <w:rsid w:val="488E0DCA"/>
    <w:rsid w:val="489B71D0"/>
    <w:rsid w:val="48D11FAA"/>
    <w:rsid w:val="48F6071D"/>
    <w:rsid w:val="490002A0"/>
    <w:rsid w:val="4948541D"/>
    <w:rsid w:val="494F4E40"/>
    <w:rsid w:val="495042D1"/>
    <w:rsid w:val="495D254A"/>
    <w:rsid w:val="496E7D4E"/>
    <w:rsid w:val="49795019"/>
    <w:rsid w:val="499706C9"/>
    <w:rsid w:val="49A63EF1"/>
    <w:rsid w:val="49BA799D"/>
    <w:rsid w:val="49BB5BEF"/>
    <w:rsid w:val="49DC7359"/>
    <w:rsid w:val="49E36EF3"/>
    <w:rsid w:val="49F556AA"/>
    <w:rsid w:val="4A0F5F3A"/>
    <w:rsid w:val="4A54394D"/>
    <w:rsid w:val="4A5C0958"/>
    <w:rsid w:val="4A6B64B3"/>
    <w:rsid w:val="4A8204BA"/>
    <w:rsid w:val="4A82495E"/>
    <w:rsid w:val="4AD4683C"/>
    <w:rsid w:val="4ADA6548"/>
    <w:rsid w:val="4AFC7BF7"/>
    <w:rsid w:val="4B201A81"/>
    <w:rsid w:val="4B2257F9"/>
    <w:rsid w:val="4B2B2900"/>
    <w:rsid w:val="4B692C1A"/>
    <w:rsid w:val="4BBF4A43"/>
    <w:rsid w:val="4BDB7219"/>
    <w:rsid w:val="4C03387D"/>
    <w:rsid w:val="4C4A325A"/>
    <w:rsid w:val="4C6D0CF6"/>
    <w:rsid w:val="4C881F66"/>
    <w:rsid w:val="4C9C42CF"/>
    <w:rsid w:val="4CA66CB4"/>
    <w:rsid w:val="4CB12166"/>
    <w:rsid w:val="4CE865CF"/>
    <w:rsid w:val="4D1A0E7E"/>
    <w:rsid w:val="4D3833FE"/>
    <w:rsid w:val="4D42793C"/>
    <w:rsid w:val="4D471547"/>
    <w:rsid w:val="4D4B7289"/>
    <w:rsid w:val="4D700A9E"/>
    <w:rsid w:val="4D783DF7"/>
    <w:rsid w:val="4D7F0CE1"/>
    <w:rsid w:val="4D8B1D7C"/>
    <w:rsid w:val="4D9053D6"/>
    <w:rsid w:val="4DA7561A"/>
    <w:rsid w:val="4DD05D5D"/>
    <w:rsid w:val="4DD74FC1"/>
    <w:rsid w:val="4DF21A2E"/>
    <w:rsid w:val="4E2536B9"/>
    <w:rsid w:val="4E45017D"/>
    <w:rsid w:val="4E4A08F5"/>
    <w:rsid w:val="4E4E1B7C"/>
    <w:rsid w:val="4E645BBE"/>
    <w:rsid w:val="4E6D76D3"/>
    <w:rsid w:val="4E7C3F6A"/>
    <w:rsid w:val="4E8A2033"/>
    <w:rsid w:val="4E944C60"/>
    <w:rsid w:val="4ED27537"/>
    <w:rsid w:val="4EE03A01"/>
    <w:rsid w:val="4EF7020E"/>
    <w:rsid w:val="4EFC5E7F"/>
    <w:rsid w:val="4F361873"/>
    <w:rsid w:val="4F9F566B"/>
    <w:rsid w:val="4FA233AD"/>
    <w:rsid w:val="4FD31B9F"/>
    <w:rsid w:val="4FDF015D"/>
    <w:rsid w:val="4FE90184"/>
    <w:rsid w:val="4FF04118"/>
    <w:rsid w:val="503009B9"/>
    <w:rsid w:val="50363EAE"/>
    <w:rsid w:val="503C735D"/>
    <w:rsid w:val="50616DC4"/>
    <w:rsid w:val="5066262C"/>
    <w:rsid w:val="50A078EC"/>
    <w:rsid w:val="50B22743"/>
    <w:rsid w:val="50BD56BE"/>
    <w:rsid w:val="50BF5B17"/>
    <w:rsid w:val="50E74663"/>
    <w:rsid w:val="50E772C9"/>
    <w:rsid w:val="50FE4613"/>
    <w:rsid w:val="51035853"/>
    <w:rsid w:val="511B51C5"/>
    <w:rsid w:val="5124051D"/>
    <w:rsid w:val="51301891"/>
    <w:rsid w:val="51422751"/>
    <w:rsid w:val="51622DF4"/>
    <w:rsid w:val="517C610B"/>
    <w:rsid w:val="519531C9"/>
    <w:rsid w:val="51982514"/>
    <w:rsid w:val="51C94C21"/>
    <w:rsid w:val="51DC0DF8"/>
    <w:rsid w:val="52024883"/>
    <w:rsid w:val="52377DDC"/>
    <w:rsid w:val="524424F9"/>
    <w:rsid w:val="524D13AE"/>
    <w:rsid w:val="52691BE6"/>
    <w:rsid w:val="527032EE"/>
    <w:rsid w:val="5284469A"/>
    <w:rsid w:val="528D5C4E"/>
    <w:rsid w:val="52A91000"/>
    <w:rsid w:val="52D63A99"/>
    <w:rsid w:val="52DC5F09"/>
    <w:rsid w:val="52E767E5"/>
    <w:rsid w:val="53165C44"/>
    <w:rsid w:val="53226DCB"/>
    <w:rsid w:val="53430012"/>
    <w:rsid w:val="535F3A8F"/>
    <w:rsid w:val="536A41E2"/>
    <w:rsid w:val="53B86CFB"/>
    <w:rsid w:val="53D33B35"/>
    <w:rsid w:val="53E144A4"/>
    <w:rsid w:val="54161C73"/>
    <w:rsid w:val="54190C8F"/>
    <w:rsid w:val="5419327A"/>
    <w:rsid w:val="54316AAD"/>
    <w:rsid w:val="54B22CCC"/>
    <w:rsid w:val="54CB6F02"/>
    <w:rsid w:val="552501DE"/>
    <w:rsid w:val="552D196B"/>
    <w:rsid w:val="554E0887"/>
    <w:rsid w:val="555D2250"/>
    <w:rsid w:val="555E1B24"/>
    <w:rsid w:val="557E3F74"/>
    <w:rsid w:val="55937A20"/>
    <w:rsid w:val="55CA0F67"/>
    <w:rsid w:val="55CF657E"/>
    <w:rsid w:val="55D02A22"/>
    <w:rsid w:val="55E673AB"/>
    <w:rsid w:val="55F45FE4"/>
    <w:rsid w:val="5603632F"/>
    <w:rsid w:val="560426CB"/>
    <w:rsid w:val="56334D98"/>
    <w:rsid w:val="56376E63"/>
    <w:rsid w:val="56554CD5"/>
    <w:rsid w:val="568022D3"/>
    <w:rsid w:val="56D269BF"/>
    <w:rsid w:val="56D93B58"/>
    <w:rsid w:val="570010E5"/>
    <w:rsid w:val="570A5633"/>
    <w:rsid w:val="5712706A"/>
    <w:rsid w:val="57272B15"/>
    <w:rsid w:val="575765D4"/>
    <w:rsid w:val="576A0C54"/>
    <w:rsid w:val="57983DAB"/>
    <w:rsid w:val="57AE24C6"/>
    <w:rsid w:val="57DD31D4"/>
    <w:rsid w:val="57FA1966"/>
    <w:rsid w:val="5820511C"/>
    <w:rsid w:val="58445001"/>
    <w:rsid w:val="58CE0D6F"/>
    <w:rsid w:val="58D77C23"/>
    <w:rsid w:val="58F46A27"/>
    <w:rsid w:val="596040BD"/>
    <w:rsid w:val="59934492"/>
    <w:rsid w:val="599D779C"/>
    <w:rsid w:val="59CD7278"/>
    <w:rsid w:val="5A0E434D"/>
    <w:rsid w:val="5A504131"/>
    <w:rsid w:val="5A663955"/>
    <w:rsid w:val="5A737E20"/>
    <w:rsid w:val="5A7F67C4"/>
    <w:rsid w:val="5A957D96"/>
    <w:rsid w:val="5AD36B10"/>
    <w:rsid w:val="5AD7215D"/>
    <w:rsid w:val="5AE34FA5"/>
    <w:rsid w:val="5B0217C4"/>
    <w:rsid w:val="5B2B06FA"/>
    <w:rsid w:val="5B6071F1"/>
    <w:rsid w:val="5B6360E6"/>
    <w:rsid w:val="5B6A1223"/>
    <w:rsid w:val="5B7976B8"/>
    <w:rsid w:val="5B8E639F"/>
    <w:rsid w:val="5BBB7CD0"/>
    <w:rsid w:val="5BFE196B"/>
    <w:rsid w:val="5C3417CF"/>
    <w:rsid w:val="5C4C26D6"/>
    <w:rsid w:val="5C9614B2"/>
    <w:rsid w:val="5CB87611"/>
    <w:rsid w:val="5CBD1826"/>
    <w:rsid w:val="5CDC1CAC"/>
    <w:rsid w:val="5CE70651"/>
    <w:rsid w:val="5D327B1E"/>
    <w:rsid w:val="5D447851"/>
    <w:rsid w:val="5D6B3945"/>
    <w:rsid w:val="5D7F5CBD"/>
    <w:rsid w:val="5D861C18"/>
    <w:rsid w:val="5D900CE9"/>
    <w:rsid w:val="5D9555C5"/>
    <w:rsid w:val="5D9B4F65"/>
    <w:rsid w:val="5DAB77EA"/>
    <w:rsid w:val="5DB42C29"/>
    <w:rsid w:val="5DCA5FA9"/>
    <w:rsid w:val="5DDB01B6"/>
    <w:rsid w:val="5DDE7679"/>
    <w:rsid w:val="5DEF1EB3"/>
    <w:rsid w:val="5DF43025"/>
    <w:rsid w:val="5DF748C4"/>
    <w:rsid w:val="5DFC012C"/>
    <w:rsid w:val="5E365F47"/>
    <w:rsid w:val="5E426F07"/>
    <w:rsid w:val="5E7F2BC2"/>
    <w:rsid w:val="5E8720EC"/>
    <w:rsid w:val="5EA66A16"/>
    <w:rsid w:val="5EAB5E7A"/>
    <w:rsid w:val="5EB17168"/>
    <w:rsid w:val="5EC724E8"/>
    <w:rsid w:val="5EE70DDC"/>
    <w:rsid w:val="5EEC3FB6"/>
    <w:rsid w:val="5EF05EE3"/>
    <w:rsid w:val="5EF77271"/>
    <w:rsid w:val="5F0454EA"/>
    <w:rsid w:val="5F0B0627"/>
    <w:rsid w:val="5F1B1CE8"/>
    <w:rsid w:val="5F585836"/>
    <w:rsid w:val="5F634CB3"/>
    <w:rsid w:val="5FBA7BE4"/>
    <w:rsid w:val="5FEA0F07"/>
    <w:rsid w:val="5FED0904"/>
    <w:rsid w:val="605C4EB2"/>
    <w:rsid w:val="608C03F7"/>
    <w:rsid w:val="60B8658C"/>
    <w:rsid w:val="60E76E71"/>
    <w:rsid w:val="60F4333C"/>
    <w:rsid w:val="610822EC"/>
    <w:rsid w:val="61447E20"/>
    <w:rsid w:val="61834DEC"/>
    <w:rsid w:val="61D05B58"/>
    <w:rsid w:val="61D92C5E"/>
    <w:rsid w:val="61FC4B9F"/>
    <w:rsid w:val="620E0D6B"/>
    <w:rsid w:val="62404A8B"/>
    <w:rsid w:val="624B1D04"/>
    <w:rsid w:val="628154A2"/>
    <w:rsid w:val="62830E1C"/>
    <w:rsid w:val="62AC7438"/>
    <w:rsid w:val="62B97655"/>
    <w:rsid w:val="62E42D41"/>
    <w:rsid w:val="62F56D26"/>
    <w:rsid w:val="62F81674"/>
    <w:rsid w:val="63075994"/>
    <w:rsid w:val="634F11DC"/>
    <w:rsid w:val="63643710"/>
    <w:rsid w:val="637A3FCD"/>
    <w:rsid w:val="63807109"/>
    <w:rsid w:val="63A16F83"/>
    <w:rsid w:val="63A454EE"/>
    <w:rsid w:val="63F55C10"/>
    <w:rsid w:val="6401649C"/>
    <w:rsid w:val="6417181C"/>
    <w:rsid w:val="642D6105"/>
    <w:rsid w:val="64300B2F"/>
    <w:rsid w:val="646C600B"/>
    <w:rsid w:val="64790728"/>
    <w:rsid w:val="649410BE"/>
    <w:rsid w:val="64DC40FC"/>
    <w:rsid w:val="64E71438"/>
    <w:rsid w:val="651915C4"/>
    <w:rsid w:val="652E506F"/>
    <w:rsid w:val="654C7BEB"/>
    <w:rsid w:val="657607C4"/>
    <w:rsid w:val="65815AE7"/>
    <w:rsid w:val="65984BDE"/>
    <w:rsid w:val="659F5F6D"/>
    <w:rsid w:val="65CE17C5"/>
    <w:rsid w:val="65CF3628"/>
    <w:rsid w:val="65D24D0D"/>
    <w:rsid w:val="65F20792"/>
    <w:rsid w:val="65F55B8D"/>
    <w:rsid w:val="66010A5C"/>
    <w:rsid w:val="66132DDA"/>
    <w:rsid w:val="66140692"/>
    <w:rsid w:val="663C7C5F"/>
    <w:rsid w:val="663E3CEC"/>
    <w:rsid w:val="66410DD2"/>
    <w:rsid w:val="66417024"/>
    <w:rsid w:val="665F74AA"/>
    <w:rsid w:val="667C5B80"/>
    <w:rsid w:val="667E5B82"/>
    <w:rsid w:val="66805DB2"/>
    <w:rsid w:val="66867873"/>
    <w:rsid w:val="668D2269"/>
    <w:rsid w:val="66FE6CC3"/>
    <w:rsid w:val="671A2A3A"/>
    <w:rsid w:val="672E28B2"/>
    <w:rsid w:val="6736682F"/>
    <w:rsid w:val="67391E53"/>
    <w:rsid w:val="673D6A15"/>
    <w:rsid w:val="674A63AC"/>
    <w:rsid w:val="67696832"/>
    <w:rsid w:val="679338AF"/>
    <w:rsid w:val="67954634"/>
    <w:rsid w:val="679F4002"/>
    <w:rsid w:val="67DB7004"/>
    <w:rsid w:val="67EB7B2E"/>
    <w:rsid w:val="67FF0F45"/>
    <w:rsid w:val="680C5410"/>
    <w:rsid w:val="68115652"/>
    <w:rsid w:val="684A1FF3"/>
    <w:rsid w:val="68582403"/>
    <w:rsid w:val="686176FB"/>
    <w:rsid w:val="689A4CBF"/>
    <w:rsid w:val="689C5480"/>
    <w:rsid w:val="68A94E70"/>
    <w:rsid w:val="68C161FA"/>
    <w:rsid w:val="68CF4DBB"/>
    <w:rsid w:val="693E784B"/>
    <w:rsid w:val="69574EC3"/>
    <w:rsid w:val="697604D9"/>
    <w:rsid w:val="69872FA0"/>
    <w:rsid w:val="69925649"/>
    <w:rsid w:val="69934A91"/>
    <w:rsid w:val="69AB1384"/>
    <w:rsid w:val="69AE2790"/>
    <w:rsid w:val="69D70A46"/>
    <w:rsid w:val="69EB79D2"/>
    <w:rsid w:val="69FA40E3"/>
    <w:rsid w:val="6A10568B"/>
    <w:rsid w:val="6A211646"/>
    <w:rsid w:val="6A3550F2"/>
    <w:rsid w:val="6A6B28C1"/>
    <w:rsid w:val="6AA015F2"/>
    <w:rsid w:val="6AA701F3"/>
    <w:rsid w:val="6AC16A1E"/>
    <w:rsid w:val="6AD00976"/>
    <w:rsid w:val="6AD55F8D"/>
    <w:rsid w:val="6AF02DC7"/>
    <w:rsid w:val="6AF04462"/>
    <w:rsid w:val="6B0A20DA"/>
    <w:rsid w:val="6B317667"/>
    <w:rsid w:val="6B340F05"/>
    <w:rsid w:val="6B362ECF"/>
    <w:rsid w:val="6B5A2FD8"/>
    <w:rsid w:val="6B6F1F3D"/>
    <w:rsid w:val="6B80414A"/>
    <w:rsid w:val="6B855C05"/>
    <w:rsid w:val="6B9B2D32"/>
    <w:rsid w:val="6BA02A3F"/>
    <w:rsid w:val="6BC02799"/>
    <w:rsid w:val="6BC56001"/>
    <w:rsid w:val="6BCC55E2"/>
    <w:rsid w:val="6BFD579B"/>
    <w:rsid w:val="6C152B1D"/>
    <w:rsid w:val="6C30791F"/>
    <w:rsid w:val="6C557385"/>
    <w:rsid w:val="6C5C6966"/>
    <w:rsid w:val="6C643A6C"/>
    <w:rsid w:val="6C64581A"/>
    <w:rsid w:val="6C692E30"/>
    <w:rsid w:val="6C77379F"/>
    <w:rsid w:val="6CA6001D"/>
    <w:rsid w:val="6CB22A29"/>
    <w:rsid w:val="6CBA7B30"/>
    <w:rsid w:val="6CE0536C"/>
    <w:rsid w:val="6CEA21C3"/>
    <w:rsid w:val="6CFA7283"/>
    <w:rsid w:val="6CFE7A1D"/>
    <w:rsid w:val="6D140FEE"/>
    <w:rsid w:val="6D212753"/>
    <w:rsid w:val="6D325918"/>
    <w:rsid w:val="6D342975"/>
    <w:rsid w:val="6D7E46BA"/>
    <w:rsid w:val="6D8141AA"/>
    <w:rsid w:val="6D8C142E"/>
    <w:rsid w:val="6DA700B4"/>
    <w:rsid w:val="6DB90BB2"/>
    <w:rsid w:val="6DC02F24"/>
    <w:rsid w:val="6DC742B3"/>
    <w:rsid w:val="6DD86BE4"/>
    <w:rsid w:val="6DDA5C7F"/>
    <w:rsid w:val="6DEC2AC9"/>
    <w:rsid w:val="6DF75950"/>
    <w:rsid w:val="6E3971CF"/>
    <w:rsid w:val="6E3C2B6A"/>
    <w:rsid w:val="6E4476B1"/>
    <w:rsid w:val="6E461CB0"/>
    <w:rsid w:val="6E55366C"/>
    <w:rsid w:val="6E624EC8"/>
    <w:rsid w:val="6E645FA5"/>
    <w:rsid w:val="6E7640FD"/>
    <w:rsid w:val="6E764C33"/>
    <w:rsid w:val="6EA92939"/>
    <w:rsid w:val="6EA939B8"/>
    <w:rsid w:val="6EB00668"/>
    <w:rsid w:val="6EB34837"/>
    <w:rsid w:val="6EC95E08"/>
    <w:rsid w:val="6ECB392F"/>
    <w:rsid w:val="6ED24CBD"/>
    <w:rsid w:val="6ED61CB2"/>
    <w:rsid w:val="6F116467"/>
    <w:rsid w:val="6F176B74"/>
    <w:rsid w:val="6F502EBF"/>
    <w:rsid w:val="6F5C0A2B"/>
    <w:rsid w:val="6F690481"/>
    <w:rsid w:val="6F6A1399"/>
    <w:rsid w:val="6F6D291C"/>
    <w:rsid w:val="6F796576"/>
    <w:rsid w:val="6F7B1AEF"/>
    <w:rsid w:val="6F89432C"/>
    <w:rsid w:val="6F9E54E7"/>
    <w:rsid w:val="6FA0300D"/>
    <w:rsid w:val="6FA04DBB"/>
    <w:rsid w:val="6FA97CBF"/>
    <w:rsid w:val="6FDE3B35"/>
    <w:rsid w:val="6FE5312D"/>
    <w:rsid w:val="6FFD3FBC"/>
    <w:rsid w:val="70253512"/>
    <w:rsid w:val="70381498"/>
    <w:rsid w:val="70605E21"/>
    <w:rsid w:val="7064228D"/>
    <w:rsid w:val="70723CA2"/>
    <w:rsid w:val="707A1AB0"/>
    <w:rsid w:val="70A73F27"/>
    <w:rsid w:val="70E707C8"/>
    <w:rsid w:val="71306613"/>
    <w:rsid w:val="717B44A3"/>
    <w:rsid w:val="71970440"/>
    <w:rsid w:val="71973F9C"/>
    <w:rsid w:val="71D90A58"/>
    <w:rsid w:val="71E63D76"/>
    <w:rsid w:val="71E72C94"/>
    <w:rsid w:val="71E847F7"/>
    <w:rsid w:val="720A716D"/>
    <w:rsid w:val="72134C39"/>
    <w:rsid w:val="72181581"/>
    <w:rsid w:val="72192C03"/>
    <w:rsid w:val="723D2D95"/>
    <w:rsid w:val="723E5D38"/>
    <w:rsid w:val="7242215A"/>
    <w:rsid w:val="726D6547"/>
    <w:rsid w:val="72AA149E"/>
    <w:rsid w:val="72EC19C2"/>
    <w:rsid w:val="72FF629D"/>
    <w:rsid w:val="73124222"/>
    <w:rsid w:val="73143478"/>
    <w:rsid w:val="731868F5"/>
    <w:rsid w:val="7349576A"/>
    <w:rsid w:val="734E2D80"/>
    <w:rsid w:val="73A82490"/>
    <w:rsid w:val="73AD3F4B"/>
    <w:rsid w:val="73DD4830"/>
    <w:rsid w:val="73E6120B"/>
    <w:rsid w:val="73FB2F08"/>
    <w:rsid w:val="740C6EC3"/>
    <w:rsid w:val="7476433D"/>
    <w:rsid w:val="74820899"/>
    <w:rsid w:val="748702F8"/>
    <w:rsid w:val="749B1FF5"/>
    <w:rsid w:val="74E84703"/>
    <w:rsid w:val="752E6625"/>
    <w:rsid w:val="755A2F3D"/>
    <w:rsid w:val="75610B49"/>
    <w:rsid w:val="75C335B1"/>
    <w:rsid w:val="75CA0DE4"/>
    <w:rsid w:val="75CB4B5C"/>
    <w:rsid w:val="75DD0891"/>
    <w:rsid w:val="75DF5F11"/>
    <w:rsid w:val="7614205F"/>
    <w:rsid w:val="76197675"/>
    <w:rsid w:val="76312C11"/>
    <w:rsid w:val="768F16E6"/>
    <w:rsid w:val="76937428"/>
    <w:rsid w:val="769907B6"/>
    <w:rsid w:val="769F4CD6"/>
    <w:rsid w:val="77423580"/>
    <w:rsid w:val="77721026"/>
    <w:rsid w:val="778B00FF"/>
    <w:rsid w:val="77B5517C"/>
    <w:rsid w:val="77DC4DFE"/>
    <w:rsid w:val="77E65C7D"/>
    <w:rsid w:val="78551B0B"/>
    <w:rsid w:val="787B4617"/>
    <w:rsid w:val="78CE7F55"/>
    <w:rsid w:val="78D21D5D"/>
    <w:rsid w:val="78EE303B"/>
    <w:rsid w:val="79116D2A"/>
    <w:rsid w:val="791B54B2"/>
    <w:rsid w:val="79297BCF"/>
    <w:rsid w:val="794744F9"/>
    <w:rsid w:val="79596F05"/>
    <w:rsid w:val="79905EA0"/>
    <w:rsid w:val="79982FA7"/>
    <w:rsid w:val="79A656C4"/>
    <w:rsid w:val="79DD11B9"/>
    <w:rsid w:val="79E24E87"/>
    <w:rsid w:val="79F0693F"/>
    <w:rsid w:val="79FA156C"/>
    <w:rsid w:val="7A0027B8"/>
    <w:rsid w:val="7A1B6C6C"/>
    <w:rsid w:val="7A2B7977"/>
    <w:rsid w:val="7A2F2DF2"/>
    <w:rsid w:val="7ABB67B8"/>
    <w:rsid w:val="7AC1208A"/>
    <w:rsid w:val="7AFE32DE"/>
    <w:rsid w:val="7B2745E3"/>
    <w:rsid w:val="7B4707E1"/>
    <w:rsid w:val="7B601165"/>
    <w:rsid w:val="7B9B36C4"/>
    <w:rsid w:val="7BAE449F"/>
    <w:rsid w:val="7BB253C3"/>
    <w:rsid w:val="7BE6624C"/>
    <w:rsid w:val="7BEB3862"/>
    <w:rsid w:val="7C2154D6"/>
    <w:rsid w:val="7C2A25DC"/>
    <w:rsid w:val="7C337A1C"/>
    <w:rsid w:val="7C354ADD"/>
    <w:rsid w:val="7C5E4034"/>
    <w:rsid w:val="7C626ED3"/>
    <w:rsid w:val="7C817D22"/>
    <w:rsid w:val="7CB3214E"/>
    <w:rsid w:val="7CB60F13"/>
    <w:rsid w:val="7CBD530B"/>
    <w:rsid w:val="7CD51320"/>
    <w:rsid w:val="7CE04A49"/>
    <w:rsid w:val="7CFD1A9F"/>
    <w:rsid w:val="7D2C615F"/>
    <w:rsid w:val="7DA214AB"/>
    <w:rsid w:val="7DAC46A0"/>
    <w:rsid w:val="7DC15CF3"/>
    <w:rsid w:val="7DDC1A7B"/>
    <w:rsid w:val="7DE94C40"/>
    <w:rsid w:val="7DEB6A33"/>
    <w:rsid w:val="7E1B7046"/>
    <w:rsid w:val="7E462FD2"/>
    <w:rsid w:val="7E581698"/>
    <w:rsid w:val="7E691A85"/>
    <w:rsid w:val="7E6B6EDC"/>
    <w:rsid w:val="7E786213"/>
    <w:rsid w:val="7E91202B"/>
    <w:rsid w:val="7EBC3294"/>
    <w:rsid w:val="7F1615DE"/>
    <w:rsid w:val="7F1B7FBA"/>
    <w:rsid w:val="7F201A75"/>
    <w:rsid w:val="7F390D88"/>
    <w:rsid w:val="7F4A4D43"/>
    <w:rsid w:val="7F824029"/>
    <w:rsid w:val="7FAF4BA7"/>
    <w:rsid w:val="7FC70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5"/>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6"/>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7"/>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8"/>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autoRedefine/>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autoRedefine/>
    <w:qFormat/>
    <w:uiPriority w:val="0"/>
    <w:rPr>
      <w:sz w:val="20"/>
    </w:rPr>
  </w:style>
  <w:style w:type="paragraph" w:styleId="15">
    <w:name w:val="Body Text Indent"/>
    <w:basedOn w:val="1"/>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16">
    <w:name w:val="index 4"/>
    <w:basedOn w:val="1"/>
    <w:next w:val="1"/>
    <w:qFormat/>
    <w:uiPriority w:val="99"/>
    <w:pPr>
      <w:ind w:left="600" w:leftChars="600"/>
    </w:pPr>
    <w:rPr>
      <w:szCs w:val="24"/>
    </w:rPr>
  </w:style>
  <w:style w:type="paragraph" w:styleId="17">
    <w:name w:val="toc 5"/>
    <w:basedOn w:val="1"/>
    <w:next w:val="1"/>
    <w:autoRedefine/>
    <w:unhideWhenUsed/>
    <w:qFormat/>
    <w:uiPriority w:val="39"/>
    <w:pPr>
      <w:spacing w:after="57"/>
      <w:ind w:left="1134"/>
    </w:pPr>
  </w:style>
  <w:style w:type="paragraph" w:styleId="18">
    <w:name w:val="toc 3"/>
    <w:basedOn w:val="1"/>
    <w:next w:val="1"/>
    <w:autoRedefine/>
    <w:unhideWhenUsed/>
    <w:qFormat/>
    <w:uiPriority w:val="39"/>
    <w:pPr>
      <w:spacing w:after="57"/>
      <w:ind w:left="567"/>
    </w:pPr>
  </w:style>
  <w:style w:type="paragraph" w:styleId="19">
    <w:name w:val="Plain Text"/>
    <w:basedOn w:val="1"/>
    <w:autoRedefine/>
    <w:qFormat/>
    <w:uiPriority w:val="0"/>
    <w:rPr>
      <w:rFonts w:ascii="宋体" w:hAnsi="Courier New" w:eastAsia="楷体_GB2312"/>
      <w:sz w:val="26"/>
    </w:rPr>
  </w:style>
  <w:style w:type="paragraph" w:styleId="20">
    <w:name w:val="toc 8"/>
    <w:basedOn w:val="1"/>
    <w:next w:val="1"/>
    <w:autoRedefine/>
    <w:unhideWhenUsed/>
    <w:qFormat/>
    <w:uiPriority w:val="39"/>
    <w:pPr>
      <w:spacing w:after="57"/>
      <w:ind w:left="1984"/>
    </w:pPr>
  </w:style>
  <w:style w:type="paragraph" w:styleId="21">
    <w:name w:val="endnote text"/>
    <w:basedOn w:val="1"/>
    <w:link w:val="190"/>
    <w:autoRedefine/>
    <w:semiHidden/>
    <w:unhideWhenUsed/>
    <w:qFormat/>
    <w:uiPriority w:val="99"/>
    <w:rPr>
      <w:sz w:val="20"/>
    </w:rPr>
  </w:style>
  <w:style w:type="paragraph" w:styleId="22">
    <w:name w:val="footer"/>
    <w:basedOn w:val="1"/>
    <w:link w:val="63"/>
    <w:autoRedefine/>
    <w:unhideWhenUsed/>
    <w:qFormat/>
    <w:uiPriority w:val="99"/>
    <w:pPr>
      <w:tabs>
        <w:tab w:val="center" w:pos="7143"/>
        <w:tab w:val="right" w:pos="14287"/>
      </w:tabs>
    </w:pPr>
  </w:style>
  <w:style w:type="paragraph" w:styleId="23">
    <w:name w:val="header"/>
    <w:basedOn w:val="1"/>
    <w:link w:val="61"/>
    <w:autoRedefine/>
    <w:unhideWhenUsed/>
    <w:qFormat/>
    <w:uiPriority w:val="99"/>
    <w:pPr>
      <w:tabs>
        <w:tab w:val="center" w:pos="7143"/>
        <w:tab w:val="right" w:pos="14287"/>
      </w:tabs>
    </w:pPr>
  </w:style>
  <w:style w:type="paragraph" w:styleId="24">
    <w:name w:val="toc 1"/>
    <w:basedOn w:val="1"/>
    <w:next w:val="1"/>
    <w:autoRedefine/>
    <w:unhideWhenUsed/>
    <w:qFormat/>
    <w:uiPriority w:val="39"/>
    <w:pPr>
      <w:spacing w:after="57"/>
    </w:pPr>
  </w:style>
  <w:style w:type="paragraph" w:styleId="25">
    <w:name w:val="toc 4"/>
    <w:basedOn w:val="1"/>
    <w:next w:val="1"/>
    <w:autoRedefine/>
    <w:unhideWhenUsed/>
    <w:qFormat/>
    <w:uiPriority w:val="39"/>
    <w:pPr>
      <w:spacing w:after="57"/>
      <w:ind w:left="850"/>
    </w:pPr>
  </w:style>
  <w:style w:type="paragraph" w:styleId="26">
    <w:name w:val="Subtitle"/>
    <w:basedOn w:val="1"/>
    <w:next w:val="1"/>
    <w:link w:val="56"/>
    <w:autoRedefine/>
    <w:qFormat/>
    <w:uiPriority w:val="11"/>
    <w:pPr>
      <w:spacing w:before="200" w:after="200"/>
    </w:pPr>
    <w:rPr>
      <w:sz w:val="24"/>
      <w:szCs w:val="24"/>
    </w:rPr>
  </w:style>
  <w:style w:type="paragraph" w:styleId="27">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8">
    <w:name w:val="footnote text"/>
    <w:basedOn w:val="1"/>
    <w:link w:val="189"/>
    <w:autoRedefine/>
    <w:semiHidden/>
    <w:unhideWhenUsed/>
    <w:qFormat/>
    <w:uiPriority w:val="99"/>
    <w:pPr>
      <w:spacing w:after="40"/>
    </w:pPr>
    <w:rPr>
      <w:sz w:val="18"/>
    </w:rPr>
  </w:style>
  <w:style w:type="paragraph" w:styleId="29">
    <w:name w:val="toc 6"/>
    <w:basedOn w:val="1"/>
    <w:next w:val="1"/>
    <w:autoRedefine/>
    <w:unhideWhenUsed/>
    <w:qFormat/>
    <w:uiPriority w:val="39"/>
    <w:pPr>
      <w:spacing w:after="57"/>
      <w:ind w:left="1417"/>
    </w:pPr>
  </w:style>
  <w:style w:type="paragraph" w:styleId="30">
    <w:name w:val="table of figures"/>
    <w:basedOn w:val="1"/>
    <w:next w:val="1"/>
    <w:autoRedefine/>
    <w:unhideWhenUsed/>
    <w:qFormat/>
    <w:uiPriority w:val="99"/>
  </w:style>
  <w:style w:type="paragraph" w:styleId="31">
    <w:name w:val="toc 2"/>
    <w:basedOn w:val="1"/>
    <w:next w:val="1"/>
    <w:autoRedefine/>
    <w:unhideWhenUsed/>
    <w:qFormat/>
    <w:uiPriority w:val="39"/>
    <w:pPr>
      <w:spacing w:after="57"/>
      <w:ind w:left="283"/>
    </w:pPr>
  </w:style>
  <w:style w:type="paragraph" w:styleId="32">
    <w:name w:val="toc 9"/>
    <w:basedOn w:val="1"/>
    <w:next w:val="1"/>
    <w:autoRedefine/>
    <w:unhideWhenUsed/>
    <w:qFormat/>
    <w:uiPriority w:val="39"/>
    <w:pPr>
      <w:spacing w:after="57"/>
      <w:ind w:left="2268"/>
    </w:pPr>
  </w:style>
  <w:style w:type="paragraph" w:styleId="3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4">
    <w:name w:val="Title"/>
    <w:basedOn w:val="1"/>
    <w:next w:val="1"/>
    <w:link w:val="55"/>
    <w:autoRedefine/>
    <w:qFormat/>
    <w:uiPriority w:val="10"/>
    <w:pPr>
      <w:spacing w:before="300" w:after="200"/>
      <w:contextualSpacing/>
    </w:pPr>
    <w:rPr>
      <w:sz w:val="48"/>
      <w:szCs w:val="48"/>
    </w:rPr>
  </w:style>
  <w:style w:type="paragraph" w:styleId="35">
    <w:name w:val="Body Text First Indent"/>
    <w:basedOn w:val="14"/>
    <w:autoRedefine/>
    <w:qFormat/>
    <w:uiPriority w:val="99"/>
    <w:pPr>
      <w:widowControl/>
      <w:spacing w:after="120"/>
      <w:ind w:firstLine="420" w:firstLineChars="100"/>
      <w:jc w:val="left"/>
    </w:pPr>
    <w:rPr>
      <w:sz w:val="30"/>
      <w:szCs w:val="30"/>
    </w:rPr>
  </w:style>
  <w:style w:type="table" w:styleId="37">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autoRedefine/>
    <w:qFormat/>
    <w:uiPriority w:val="22"/>
    <w:rPr>
      <w:b/>
      <w:bCs/>
    </w:rPr>
  </w:style>
  <w:style w:type="character" w:styleId="40">
    <w:name w:val="endnote reference"/>
    <w:autoRedefine/>
    <w:semiHidden/>
    <w:unhideWhenUsed/>
    <w:qFormat/>
    <w:uiPriority w:val="99"/>
    <w:rPr>
      <w:vertAlign w:val="superscript"/>
    </w:rPr>
  </w:style>
  <w:style w:type="character" w:styleId="41">
    <w:name w:val="Hyperlink"/>
    <w:autoRedefine/>
    <w:unhideWhenUsed/>
    <w:qFormat/>
    <w:uiPriority w:val="99"/>
    <w:rPr>
      <w:color w:val="0000FF" w:themeColor="hyperlink"/>
      <w:u w:val="single"/>
      <w14:textFill>
        <w14:solidFill>
          <w14:schemeClr w14:val="hlink"/>
        </w14:solidFill>
      </w14:textFill>
    </w:rPr>
  </w:style>
  <w:style w:type="character" w:styleId="42">
    <w:name w:val="footnote reference"/>
    <w:autoRedefine/>
    <w:unhideWhenUsed/>
    <w:qFormat/>
    <w:uiPriority w:val="99"/>
    <w:rPr>
      <w:vertAlign w:val="superscript"/>
    </w:rPr>
  </w:style>
  <w:style w:type="paragraph" w:styleId="43">
    <w:name w:val="List Paragraph"/>
    <w:basedOn w:val="1"/>
    <w:autoRedefine/>
    <w:qFormat/>
    <w:uiPriority w:val="99"/>
    <w:pPr>
      <w:ind w:firstLine="420"/>
    </w:pPr>
  </w:style>
  <w:style w:type="paragraph" w:customStyle="1" w:styleId="44">
    <w:name w:val="索引 41"/>
    <w:basedOn w:val="1"/>
    <w:next w:val="1"/>
    <w:qFormat/>
    <w:uiPriority w:val="99"/>
    <w:pPr>
      <w:ind w:left="600"/>
    </w:pPr>
    <w:rPr>
      <w:szCs w:val="24"/>
    </w:rPr>
  </w:style>
  <w:style w:type="character" w:customStyle="1" w:styleId="45">
    <w:name w:val="标题 1 字符2"/>
    <w:link w:val="2"/>
    <w:autoRedefine/>
    <w:qFormat/>
    <w:uiPriority w:val="9"/>
    <w:rPr>
      <w:rFonts w:ascii="Arial" w:hAnsi="Arial" w:eastAsia="Arial" w:cs="Arial"/>
      <w:sz w:val="40"/>
      <w:szCs w:val="40"/>
    </w:rPr>
  </w:style>
  <w:style w:type="character" w:customStyle="1" w:styleId="46">
    <w:name w:val="标题 2 字符1"/>
    <w:link w:val="3"/>
    <w:autoRedefine/>
    <w:qFormat/>
    <w:uiPriority w:val="9"/>
    <w:rPr>
      <w:rFonts w:ascii="Arial" w:hAnsi="Arial" w:eastAsia="Arial" w:cs="Arial"/>
      <w:sz w:val="34"/>
    </w:rPr>
  </w:style>
  <w:style w:type="character" w:customStyle="1" w:styleId="47">
    <w:name w:val="标题 3 字符1"/>
    <w:link w:val="4"/>
    <w:autoRedefine/>
    <w:qFormat/>
    <w:uiPriority w:val="9"/>
    <w:rPr>
      <w:rFonts w:ascii="Arial" w:hAnsi="Arial" w:eastAsia="Arial" w:cs="Arial"/>
      <w:sz w:val="30"/>
      <w:szCs w:val="30"/>
    </w:rPr>
  </w:style>
  <w:style w:type="character" w:customStyle="1" w:styleId="48">
    <w:name w:val="标题 4 字符1"/>
    <w:link w:val="5"/>
    <w:autoRedefine/>
    <w:qFormat/>
    <w:uiPriority w:val="9"/>
    <w:rPr>
      <w:rFonts w:ascii="Arial" w:hAnsi="Arial" w:eastAsia="Arial" w:cs="Arial"/>
      <w:b/>
      <w:bCs/>
      <w:sz w:val="26"/>
      <w:szCs w:val="26"/>
    </w:rPr>
  </w:style>
  <w:style w:type="character" w:customStyle="1" w:styleId="49">
    <w:name w:val="标题 5 字符1"/>
    <w:link w:val="6"/>
    <w:autoRedefine/>
    <w:qFormat/>
    <w:uiPriority w:val="9"/>
    <w:rPr>
      <w:rFonts w:ascii="Arial" w:hAnsi="Arial" w:eastAsia="Arial" w:cs="Arial"/>
      <w:b/>
      <w:bCs/>
      <w:sz w:val="24"/>
      <w:szCs w:val="24"/>
    </w:rPr>
  </w:style>
  <w:style w:type="character" w:customStyle="1" w:styleId="50">
    <w:name w:val="标题 6 字符"/>
    <w:link w:val="7"/>
    <w:autoRedefine/>
    <w:qFormat/>
    <w:uiPriority w:val="9"/>
    <w:rPr>
      <w:rFonts w:ascii="Arial" w:hAnsi="Arial" w:eastAsia="Arial" w:cs="Arial"/>
      <w:b/>
      <w:bCs/>
      <w:sz w:val="22"/>
      <w:szCs w:val="22"/>
    </w:rPr>
  </w:style>
  <w:style w:type="character" w:customStyle="1" w:styleId="51">
    <w:name w:val="标题 7 字符"/>
    <w:link w:val="8"/>
    <w:autoRedefine/>
    <w:qFormat/>
    <w:uiPriority w:val="9"/>
    <w:rPr>
      <w:rFonts w:ascii="Arial" w:hAnsi="Arial" w:eastAsia="Arial" w:cs="Arial"/>
      <w:b/>
      <w:bCs/>
      <w:i/>
      <w:iCs/>
      <w:sz w:val="22"/>
      <w:szCs w:val="22"/>
    </w:rPr>
  </w:style>
  <w:style w:type="character" w:customStyle="1" w:styleId="52">
    <w:name w:val="标题 8 字符"/>
    <w:link w:val="9"/>
    <w:autoRedefine/>
    <w:qFormat/>
    <w:uiPriority w:val="9"/>
    <w:rPr>
      <w:rFonts w:ascii="Arial" w:hAnsi="Arial" w:eastAsia="Arial" w:cs="Arial"/>
      <w:i/>
      <w:iCs/>
      <w:sz w:val="22"/>
      <w:szCs w:val="22"/>
    </w:rPr>
  </w:style>
  <w:style w:type="character" w:customStyle="1" w:styleId="53">
    <w:name w:val="标题 9 字符"/>
    <w:link w:val="10"/>
    <w:autoRedefine/>
    <w:qFormat/>
    <w:uiPriority w:val="9"/>
    <w:rPr>
      <w:rFonts w:ascii="Arial" w:hAnsi="Arial" w:eastAsia="Arial" w:cs="Arial"/>
      <w:i/>
      <w:iCs/>
      <w:sz w:val="21"/>
      <w:szCs w:val="21"/>
    </w:rPr>
  </w:style>
  <w:style w:type="paragraph" w:styleId="54">
    <w:name w:val="No Spacing"/>
    <w:autoRedefine/>
    <w:qFormat/>
    <w:uiPriority w:val="1"/>
    <w:rPr>
      <w:rFonts w:ascii="Times New Roman" w:hAnsi="Times New Roman" w:eastAsia="宋体" w:cs="Times New Roman"/>
      <w:lang w:val="en-US" w:eastAsia="zh-CN" w:bidi="ar-SA"/>
    </w:rPr>
  </w:style>
  <w:style w:type="character" w:customStyle="1" w:styleId="55">
    <w:name w:val="标题 字符1"/>
    <w:link w:val="34"/>
    <w:autoRedefine/>
    <w:qFormat/>
    <w:uiPriority w:val="10"/>
    <w:rPr>
      <w:sz w:val="48"/>
      <w:szCs w:val="48"/>
    </w:rPr>
  </w:style>
  <w:style w:type="character" w:customStyle="1" w:styleId="56">
    <w:name w:val="副标题 字符1"/>
    <w:link w:val="26"/>
    <w:autoRedefine/>
    <w:qFormat/>
    <w:uiPriority w:val="11"/>
    <w:rPr>
      <w:sz w:val="24"/>
      <w:szCs w:val="24"/>
    </w:rPr>
  </w:style>
  <w:style w:type="paragraph" w:styleId="57">
    <w:name w:val="Quote"/>
    <w:basedOn w:val="1"/>
    <w:next w:val="1"/>
    <w:link w:val="58"/>
    <w:autoRedefine/>
    <w:qFormat/>
    <w:uiPriority w:val="29"/>
    <w:pPr>
      <w:ind w:left="720" w:right="720"/>
    </w:pPr>
    <w:rPr>
      <w:i/>
    </w:rPr>
  </w:style>
  <w:style w:type="character" w:customStyle="1" w:styleId="58">
    <w:name w:val="引用 字符"/>
    <w:link w:val="57"/>
    <w:autoRedefine/>
    <w:qFormat/>
    <w:uiPriority w:val="29"/>
    <w:rPr>
      <w:i/>
    </w:rPr>
  </w:style>
  <w:style w:type="paragraph" w:styleId="59">
    <w:name w:val="Intense Quote"/>
    <w:basedOn w:val="1"/>
    <w:next w:val="1"/>
    <w:link w:val="6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autoRedefine/>
    <w:qFormat/>
    <w:uiPriority w:val="30"/>
    <w:rPr>
      <w:i/>
    </w:rPr>
  </w:style>
  <w:style w:type="character" w:customStyle="1" w:styleId="61">
    <w:name w:val="页眉 字符2"/>
    <w:link w:val="23"/>
    <w:autoRedefine/>
    <w:qFormat/>
    <w:uiPriority w:val="99"/>
  </w:style>
  <w:style w:type="character" w:customStyle="1" w:styleId="62">
    <w:name w:val="Footer Char"/>
    <w:autoRedefine/>
    <w:qFormat/>
    <w:uiPriority w:val="99"/>
  </w:style>
  <w:style w:type="character" w:customStyle="1" w:styleId="63">
    <w:name w:val="页脚 字符1"/>
    <w:link w:val="22"/>
    <w:autoRedefine/>
    <w:qFormat/>
    <w:uiPriority w:val="99"/>
  </w:style>
  <w:style w:type="table" w:customStyle="1" w:styleId="64">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字符"/>
    <w:link w:val="28"/>
    <w:autoRedefine/>
    <w:qFormat/>
    <w:uiPriority w:val="99"/>
    <w:rPr>
      <w:sz w:val="18"/>
    </w:rPr>
  </w:style>
  <w:style w:type="character" w:customStyle="1" w:styleId="190">
    <w:name w:val="尾注文本 字符"/>
    <w:link w:val="21"/>
    <w:autoRedefine/>
    <w:qFormat/>
    <w:uiPriority w:val="99"/>
    <w:rPr>
      <w:sz w:val="20"/>
    </w:rPr>
  </w:style>
  <w:style w:type="paragraph" w:customStyle="1" w:styleId="191">
    <w:name w:val="TOC 标题1"/>
    <w:autoRedefine/>
    <w:unhideWhenUsed/>
    <w:qFormat/>
    <w:uiPriority w:val="39"/>
    <w:rPr>
      <w:rFonts w:ascii="Times New Roman" w:hAnsi="Times New Roman" w:eastAsia="宋体" w:cs="Times New Roman"/>
      <w:lang w:val="en-US" w:eastAsia="zh-CN" w:bidi="ar-SA"/>
    </w:rPr>
  </w:style>
  <w:style w:type="paragraph" w:customStyle="1" w:styleId="192">
    <w:name w:val="标题 11"/>
    <w:basedOn w:val="1"/>
    <w:next w:val="1"/>
    <w:link w:val="199"/>
    <w:autoRedefine/>
    <w:qFormat/>
    <w:uiPriority w:val="0"/>
    <w:pPr>
      <w:keepNext/>
      <w:jc w:val="center"/>
      <w:outlineLvl w:val="0"/>
    </w:pPr>
    <w:rPr>
      <w:b/>
      <w:bCs/>
      <w:sz w:val="44"/>
      <w:szCs w:val="44"/>
      <w:lang w:eastAsia="en-US"/>
    </w:rPr>
  </w:style>
  <w:style w:type="paragraph" w:customStyle="1" w:styleId="193">
    <w:name w:val="标题 21"/>
    <w:basedOn w:val="1"/>
    <w:next w:val="1"/>
    <w:link w:val="200"/>
    <w:autoRedefine/>
    <w:qFormat/>
    <w:uiPriority w:val="0"/>
    <w:pPr>
      <w:keepNext/>
      <w:jc w:val="center"/>
      <w:outlineLvl w:val="1"/>
    </w:pPr>
    <w:rPr>
      <w:rFonts w:ascii="Cambria" w:hAnsi="Cambria"/>
      <w:b/>
      <w:bCs/>
      <w:sz w:val="32"/>
      <w:szCs w:val="32"/>
      <w:lang w:eastAsia="en-US"/>
    </w:rPr>
  </w:style>
  <w:style w:type="paragraph" w:customStyle="1" w:styleId="194">
    <w:name w:val="标题 311"/>
    <w:basedOn w:val="1"/>
    <w:next w:val="1"/>
    <w:link w:val="201"/>
    <w:autoRedefine/>
    <w:qFormat/>
    <w:uiPriority w:val="0"/>
    <w:pPr>
      <w:keepNext/>
      <w:jc w:val="center"/>
      <w:outlineLvl w:val="2"/>
    </w:pPr>
    <w:rPr>
      <w:b/>
      <w:bCs/>
      <w:sz w:val="32"/>
      <w:szCs w:val="32"/>
      <w:lang w:eastAsia="en-US"/>
    </w:rPr>
  </w:style>
  <w:style w:type="paragraph" w:customStyle="1" w:styleId="195">
    <w:name w:val="标题 411"/>
    <w:basedOn w:val="1"/>
    <w:next w:val="1"/>
    <w:link w:val="202"/>
    <w:autoRedefine/>
    <w:qFormat/>
    <w:uiPriority w:val="0"/>
    <w:pPr>
      <w:keepNext/>
      <w:jc w:val="center"/>
      <w:outlineLvl w:val="3"/>
    </w:pPr>
    <w:rPr>
      <w:rFonts w:ascii="Cambria" w:hAnsi="Cambria"/>
      <w:b/>
      <w:bCs/>
      <w:sz w:val="28"/>
      <w:szCs w:val="28"/>
      <w:lang w:eastAsia="en-US"/>
    </w:rPr>
  </w:style>
  <w:style w:type="paragraph" w:customStyle="1" w:styleId="196">
    <w:name w:val="标题 51"/>
    <w:basedOn w:val="1"/>
    <w:next w:val="1"/>
    <w:link w:val="203"/>
    <w:autoRedefine/>
    <w:qFormat/>
    <w:uiPriority w:val="0"/>
    <w:pPr>
      <w:keepNext/>
      <w:numPr>
        <w:ilvl w:val="0"/>
        <w:numId w:val="1"/>
      </w:numPr>
      <w:outlineLvl w:val="4"/>
    </w:pPr>
    <w:rPr>
      <w:rFonts w:ascii="楷体_GB2312" w:eastAsia="楷体_GB2312"/>
      <w:bCs/>
      <w:sz w:val="28"/>
      <w:lang w:eastAsia="en-US"/>
    </w:rPr>
  </w:style>
  <w:style w:type="character" w:customStyle="1" w:styleId="197">
    <w:name w:val="默认段落字体11"/>
    <w:autoRedefine/>
    <w:unhideWhenUsed/>
    <w:qFormat/>
    <w:uiPriority w:val="1"/>
  </w:style>
  <w:style w:type="table" w:customStyle="1" w:styleId="198">
    <w:name w:val="普通表格1"/>
    <w:autoRedefine/>
    <w:unhideWhenUsed/>
    <w:qFormat/>
    <w:uiPriority w:val="99"/>
    <w:tblPr>
      <w:tblCellMar>
        <w:top w:w="0" w:type="dxa"/>
        <w:left w:w="0" w:type="dxa"/>
        <w:bottom w:w="0" w:type="dxa"/>
        <w:right w:w="0" w:type="dxa"/>
      </w:tblCellMar>
    </w:tblPr>
  </w:style>
  <w:style w:type="character" w:customStyle="1" w:styleId="199">
    <w:name w:val="标题 1 Char"/>
    <w:link w:val="192"/>
    <w:autoRedefine/>
    <w:qFormat/>
    <w:uiPriority w:val="0"/>
    <w:rPr>
      <w:rFonts w:cs="Times New Roman"/>
      <w:b/>
      <w:bCs/>
      <w:sz w:val="44"/>
      <w:szCs w:val="44"/>
    </w:rPr>
  </w:style>
  <w:style w:type="character" w:customStyle="1" w:styleId="200">
    <w:name w:val="标题 2 Char"/>
    <w:link w:val="193"/>
    <w:autoRedefine/>
    <w:semiHidden/>
    <w:qFormat/>
    <w:uiPriority w:val="0"/>
    <w:rPr>
      <w:rFonts w:ascii="Cambria" w:hAnsi="Cambria" w:eastAsia="宋体" w:cs="Times New Roman"/>
      <w:b/>
      <w:bCs/>
      <w:sz w:val="32"/>
      <w:szCs w:val="32"/>
    </w:rPr>
  </w:style>
  <w:style w:type="character" w:customStyle="1" w:styleId="201">
    <w:name w:val="标题 3 Char"/>
    <w:link w:val="194"/>
    <w:autoRedefine/>
    <w:qFormat/>
    <w:uiPriority w:val="0"/>
    <w:rPr>
      <w:rFonts w:cs="Times New Roman"/>
      <w:b/>
      <w:bCs/>
      <w:sz w:val="32"/>
      <w:szCs w:val="32"/>
    </w:rPr>
  </w:style>
  <w:style w:type="character" w:customStyle="1" w:styleId="202">
    <w:name w:val="标题 4 Char"/>
    <w:link w:val="195"/>
    <w:autoRedefine/>
    <w:semiHidden/>
    <w:qFormat/>
    <w:uiPriority w:val="0"/>
    <w:rPr>
      <w:rFonts w:ascii="Cambria" w:hAnsi="Cambria" w:eastAsia="宋体" w:cs="Times New Roman"/>
      <w:b/>
      <w:bCs/>
      <w:sz w:val="28"/>
      <w:szCs w:val="28"/>
    </w:rPr>
  </w:style>
  <w:style w:type="character" w:customStyle="1" w:styleId="203">
    <w:name w:val="标题 5 Char"/>
    <w:link w:val="196"/>
    <w:autoRedefine/>
    <w:qFormat/>
    <w:uiPriority w:val="0"/>
    <w:rPr>
      <w:rFonts w:ascii="楷体_GB2312" w:eastAsia="楷体_GB2312"/>
      <w:bCs/>
      <w:sz w:val="28"/>
    </w:rPr>
  </w:style>
  <w:style w:type="paragraph" w:customStyle="1" w:styleId="204">
    <w:name w:val="正文缩进11"/>
    <w:basedOn w:val="1"/>
    <w:link w:val="205"/>
    <w:autoRedefine/>
    <w:qFormat/>
    <w:uiPriority w:val="0"/>
    <w:pPr>
      <w:ind w:firstLine="420"/>
    </w:pPr>
    <w:rPr>
      <w:lang w:eastAsia="en-US"/>
    </w:rPr>
  </w:style>
  <w:style w:type="character" w:customStyle="1" w:styleId="205">
    <w:name w:val="正文缩进 Char"/>
    <w:link w:val="204"/>
    <w:autoRedefine/>
    <w:qFormat/>
    <w:uiPriority w:val="0"/>
    <w:rPr>
      <w:sz w:val="21"/>
    </w:rPr>
  </w:style>
  <w:style w:type="paragraph" w:customStyle="1" w:styleId="206">
    <w:name w:val="文档结构图1"/>
    <w:basedOn w:val="1"/>
    <w:link w:val="207"/>
    <w:autoRedefine/>
    <w:semiHidden/>
    <w:qFormat/>
    <w:uiPriority w:val="0"/>
    <w:pPr>
      <w:shd w:val="clear" w:color="auto" w:fill="000080"/>
    </w:pPr>
    <w:rPr>
      <w:sz w:val="2"/>
      <w:lang w:eastAsia="en-US"/>
    </w:rPr>
  </w:style>
  <w:style w:type="character" w:customStyle="1" w:styleId="207">
    <w:name w:val="文档结构图 Char"/>
    <w:link w:val="206"/>
    <w:autoRedefine/>
    <w:semiHidden/>
    <w:qFormat/>
    <w:uiPriority w:val="0"/>
    <w:rPr>
      <w:rFonts w:cs="Times New Roman"/>
      <w:sz w:val="2"/>
    </w:rPr>
  </w:style>
  <w:style w:type="paragraph" w:customStyle="1" w:styleId="208">
    <w:name w:val="批注文字1"/>
    <w:basedOn w:val="1"/>
    <w:link w:val="209"/>
    <w:autoRedefine/>
    <w:unhideWhenUsed/>
    <w:qFormat/>
    <w:uiPriority w:val="99"/>
    <w:pPr>
      <w:jc w:val="left"/>
    </w:pPr>
    <w:rPr>
      <w:lang w:eastAsia="en-US"/>
    </w:rPr>
  </w:style>
  <w:style w:type="character" w:customStyle="1" w:styleId="209">
    <w:name w:val="批注文字 Char"/>
    <w:link w:val="208"/>
    <w:autoRedefine/>
    <w:semiHidden/>
    <w:qFormat/>
    <w:uiPriority w:val="99"/>
    <w:rPr>
      <w:sz w:val="21"/>
    </w:rPr>
  </w:style>
  <w:style w:type="paragraph" w:customStyle="1" w:styleId="210">
    <w:name w:val="正文文本1"/>
    <w:basedOn w:val="1"/>
    <w:link w:val="211"/>
    <w:autoRedefine/>
    <w:qFormat/>
    <w:uiPriority w:val="0"/>
    <w:rPr>
      <w:sz w:val="20"/>
      <w:lang w:eastAsia="en-US"/>
    </w:rPr>
  </w:style>
  <w:style w:type="character" w:customStyle="1" w:styleId="211">
    <w:name w:val="正文文本 Char"/>
    <w:link w:val="210"/>
    <w:autoRedefine/>
    <w:semiHidden/>
    <w:qFormat/>
    <w:uiPriority w:val="0"/>
    <w:rPr>
      <w:rFonts w:cs="Times New Roman"/>
      <w:sz w:val="20"/>
      <w:szCs w:val="20"/>
    </w:rPr>
  </w:style>
  <w:style w:type="paragraph" w:customStyle="1" w:styleId="212">
    <w:name w:val="正文文本缩进1"/>
    <w:basedOn w:val="1"/>
    <w:link w:val="213"/>
    <w:autoRedefine/>
    <w:qFormat/>
    <w:uiPriority w:val="0"/>
    <w:pPr>
      <w:ind w:firstLine="576"/>
    </w:pPr>
    <w:rPr>
      <w:sz w:val="20"/>
      <w:lang w:eastAsia="en-US"/>
    </w:rPr>
  </w:style>
  <w:style w:type="character" w:customStyle="1" w:styleId="213">
    <w:name w:val="正文文本缩进 Char"/>
    <w:link w:val="212"/>
    <w:autoRedefine/>
    <w:semiHidden/>
    <w:qFormat/>
    <w:uiPriority w:val="0"/>
    <w:rPr>
      <w:rFonts w:cs="Times New Roman"/>
      <w:sz w:val="20"/>
      <w:szCs w:val="20"/>
    </w:rPr>
  </w:style>
  <w:style w:type="paragraph" w:customStyle="1" w:styleId="214">
    <w:name w:val="日期1"/>
    <w:basedOn w:val="1"/>
    <w:next w:val="1"/>
    <w:link w:val="215"/>
    <w:autoRedefine/>
    <w:qFormat/>
    <w:uiPriority w:val="0"/>
    <w:rPr>
      <w:sz w:val="20"/>
      <w:lang w:eastAsia="en-US"/>
    </w:rPr>
  </w:style>
  <w:style w:type="character" w:customStyle="1" w:styleId="215">
    <w:name w:val="日期 Char"/>
    <w:link w:val="214"/>
    <w:autoRedefine/>
    <w:semiHidden/>
    <w:qFormat/>
    <w:uiPriority w:val="0"/>
    <w:rPr>
      <w:rFonts w:cs="Times New Roman"/>
      <w:sz w:val="20"/>
      <w:szCs w:val="20"/>
    </w:rPr>
  </w:style>
  <w:style w:type="paragraph" w:customStyle="1" w:styleId="216">
    <w:name w:val="正文文本缩进 21"/>
    <w:basedOn w:val="1"/>
    <w:link w:val="217"/>
    <w:autoRedefine/>
    <w:qFormat/>
    <w:uiPriority w:val="0"/>
    <w:pPr>
      <w:ind w:left="900"/>
    </w:pPr>
    <w:rPr>
      <w:sz w:val="20"/>
      <w:lang w:eastAsia="en-US"/>
    </w:rPr>
  </w:style>
  <w:style w:type="character" w:customStyle="1" w:styleId="217">
    <w:name w:val="正文文本缩进 2 Char"/>
    <w:link w:val="216"/>
    <w:autoRedefine/>
    <w:semiHidden/>
    <w:qFormat/>
    <w:uiPriority w:val="0"/>
    <w:rPr>
      <w:rFonts w:cs="Times New Roman"/>
      <w:sz w:val="20"/>
      <w:szCs w:val="20"/>
    </w:rPr>
  </w:style>
  <w:style w:type="paragraph" w:customStyle="1" w:styleId="218">
    <w:name w:val="批注框文本1"/>
    <w:basedOn w:val="1"/>
    <w:link w:val="219"/>
    <w:autoRedefine/>
    <w:unhideWhenUsed/>
    <w:qFormat/>
    <w:uiPriority w:val="0"/>
    <w:rPr>
      <w:sz w:val="18"/>
      <w:szCs w:val="18"/>
      <w:lang w:eastAsia="en-US"/>
    </w:rPr>
  </w:style>
  <w:style w:type="character" w:customStyle="1" w:styleId="219">
    <w:name w:val="批注框文本 Char"/>
    <w:link w:val="218"/>
    <w:autoRedefine/>
    <w:qFormat/>
    <w:uiPriority w:val="0"/>
    <w:rPr>
      <w:sz w:val="18"/>
      <w:szCs w:val="18"/>
    </w:rPr>
  </w:style>
  <w:style w:type="paragraph" w:customStyle="1" w:styleId="220">
    <w:name w:val="页脚11"/>
    <w:basedOn w:val="1"/>
    <w:link w:val="221"/>
    <w:autoRedefine/>
    <w:qFormat/>
    <w:uiPriority w:val="99"/>
    <w:pPr>
      <w:tabs>
        <w:tab w:val="center" w:pos="4153"/>
        <w:tab w:val="right" w:pos="8306"/>
      </w:tabs>
      <w:jc w:val="left"/>
    </w:pPr>
    <w:rPr>
      <w:sz w:val="18"/>
      <w:szCs w:val="18"/>
      <w:lang w:eastAsia="en-US"/>
    </w:rPr>
  </w:style>
  <w:style w:type="character" w:customStyle="1" w:styleId="221">
    <w:name w:val="页脚 Char"/>
    <w:link w:val="220"/>
    <w:autoRedefine/>
    <w:qFormat/>
    <w:uiPriority w:val="99"/>
    <w:rPr>
      <w:rFonts w:cs="Times New Roman"/>
      <w:sz w:val="18"/>
      <w:szCs w:val="18"/>
    </w:rPr>
  </w:style>
  <w:style w:type="paragraph" w:customStyle="1" w:styleId="222">
    <w:name w:val="页眉11"/>
    <w:basedOn w:val="1"/>
    <w:link w:val="223"/>
    <w:autoRedefine/>
    <w:qFormat/>
    <w:uiPriority w:val="99"/>
    <w:pPr>
      <w:pBdr>
        <w:bottom w:val="single" w:color="000000" w:sz="6" w:space="1"/>
      </w:pBdr>
      <w:tabs>
        <w:tab w:val="center" w:pos="4153"/>
        <w:tab w:val="right" w:pos="8306"/>
      </w:tabs>
    </w:pPr>
    <w:rPr>
      <w:sz w:val="18"/>
      <w:szCs w:val="18"/>
      <w:lang w:eastAsia="en-US"/>
    </w:rPr>
  </w:style>
  <w:style w:type="character" w:customStyle="1" w:styleId="223">
    <w:name w:val="页眉 Char"/>
    <w:link w:val="222"/>
    <w:autoRedefine/>
    <w:qFormat/>
    <w:uiPriority w:val="99"/>
    <w:rPr>
      <w:sz w:val="18"/>
      <w:szCs w:val="18"/>
    </w:rPr>
  </w:style>
  <w:style w:type="paragraph" w:customStyle="1" w:styleId="224">
    <w:name w:val="目录 11"/>
    <w:basedOn w:val="1"/>
    <w:next w:val="1"/>
    <w:autoRedefine/>
    <w:qFormat/>
    <w:uiPriority w:val="39"/>
  </w:style>
  <w:style w:type="paragraph" w:customStyle="1" w:styleId="225">
    <w:name w:val="副标题1"/>
    <w:basedOn w:val="1"/>
    <w:next w:val="1"/>
    <w:link w:val="226"/>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6">
    <w:name w:val="副标题 Char"/>
    <w:link w:val="225"/>
    <w:autoRedefine/>
    <w:qFormat/>
    <w:uiPriority w:val="11"/>
    <w:rPr>
      <w:rFonts w:ascii="Calibri Light" w:hAnsi="Calibri Light"/>
      <w:b/>
      <w:bCs/>
      <w:sz w:val="32"/>
      <w:szCs w:val="32"/>
    </w:rPr>
  </w:style>
  <w:style w:type="paragraph" w:customStyle="1" w:styleId="227">
    <w:name w:val="列表1"/>
    <w:basedOn w:val="1"/>
    <w:autoRedefine/>
    <w:qFormat/>
    <w:uiPriority w:val="99"/>
    <w:pPr>
      <w:numPr>
        <w:ilvl w:val="0"/>
        <w:numId w:val="2"/>
      </w:numPr>
      <w:tabs>
        <w:tab w:val="left" w:pos="420"/>
      </w:tabs>
      <w:spacing w:after="20" w:line="288" w:lineRule="auto"/>
    </w:pPr>
    <w:rPr>
      <w:lang w:val="en-GB"/>
    </w:rPr>
  </w:style>
  <w:style w:type="paragraph" w:customStyle="1" w:styleId="228">
    <w:name w:val="正文文本缩进 31"/>
    <w:basedOn w:val="1"/>
    <w:link w:val="229"/>
    <w:autoRedefine/>
    <w:qFormat/>
    <w:uiPriority w:val="0"/>
    <w:pPr>
      <w:ind w:left="359" w:firstLine="359"/>
    </w:pPr>
    <w:rPr>
      <w:sz w:val="16"/>
      <w:szCs w:val="16"/>
      <w:lang w:eastAsia="en-US"/>
    </w:rPr>
  </w:style>
  <w:style w:type="character" w:customStyle="1" w:styleId="229">
    <w:name w:val="正文文本缩进 3 Char"/>
    <w:link w:val="228"/>
    <w:autoRedefine/>
    <w:semiHidden/>
    <w:qFormat/>
    <w:uiPriority w:val="0"/>
    <w:rPr>
      <w:rFonts w:cs="Times New Roman"/>
      <w:sz w:val="16"/>
      <w:szCs w:val="16"/>
    </w:rPr>
  </w:style>
  <w:style w:type="paragraph" w:customStyle="1" w:styleId="230">
    <w:name w:val="正文文本 21"/>
    <w:basedOn w:val="1"/>
    <w:link w:val="231"/>
    <w:autoRedefine/>
    <w:qFormat/>
    <w:uiPriority w:val="0"/>
    <w:pPr>
      <w:spacing w:after="120" w:line="480" w:lineRule="auto"/>
    </w:pPr>
    <w:rPr>
      <w:sz w:val="20"/>
      <w:lang w:eastAsia="en-US"/>
    </w:rPr>
  </w:style>
  <w:style w:type="character" w:customStyle="1" w:styleId="231">
    <w:name w:val="正文文本 2 Char"/>
    <w:link w:val="230"/>
    <w:autoRedefine/>
    <w:semiHidden/>
    <w:qFormat/>
    <w:uiPriority w:val="0"/>
    <w:rPr>
      <w:rFonts w:cs="Times New Roman"/>
      <w:sz w:val="20"/>
      <w:szCs w:val="20"/>
    </w:rPr>
  </w:style>
  <w:style w:type="paragraph" w:customStyle="1" w:styleId="232">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3">
    <w:name w:val="标题1"/>
    <w:basedOn w:val="1"/>
    <w:next w:val="1"/>
    <w:link w:val="234"/>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4">
    <w:name w:val="标题 Char"/>
    <w:link w:val="233"/>
    <w:autoRedefine/>
    <w:qFormat/>
    <w:uiPriority w:val="99"/>
    <w:rPr>
      <w:rFonts w:ascii="Cambria" w:hAnsi="Cambria" w:cs="Cambria"/>
      <w:b/>
      <w:bCs/>
      <w:sz w:val="32"/>
      <w:szCs w:val="32"/>
    </w:rPr>
  </w:style>
  <w:style w:type="paragraph" w:customStyle="1" w:styleId="235">
    <w:name w:val="批注主题1"/>
    <w:basedOn w:val="208"/>
    <w:next w:val="208"/>
    <w:link w:val="236"/>
    <w:autoRedefine/>
    <w:unhideWhenUsed/>
    <w:qFormat/>
    <w:uiPriority w:val="99"/>
    <w:rPr>
      <w:b/>
      <w:bCs/>
    </w:rPr>
  </w:style>
  <w:style w:type="character" w:customStyle="1" w:styleId="236">
    <w:name w:val="批注主题 Char"/>
    <w:link w:val="235"/>
    <w:autoRedefine/>
    <w:semiHidden/>
    <w:qFormat/>
    <w:uiPriority w:val="99"/>
    <w:rPr>
      <w:b/>
      <w:bCs/>
      <w:sz w:val="21"/>
    </w:rPr>
  </w:style>
  <w:style w:type="paragraph" w:customStyle="1" w:styleId="237">
    <w:name w:val="正文首行缩进1"/>
    <w:basedOn w:val="210"/>
    <w:link w:val="238"/>
    <w:autoRedefine/>
    <w:unhideWhenUsed/>
    <w:qFormat/>
    <w:uiPriority w:val="99"/>
    <w:pPr>
      <w:spacing w:after="120"/>
      <w:ind w:firstLine="420"/>
    </w:pPr>
    <w:rPr>
      <w:sz w:val="21"/>
    </w:rPr>
  </w:style>
  <w:style w:type="character" w:customStyle="1" w:styleId="238">
    <w:name w:val="正文首行缩进 Char"/>
    <w:basedOn w:val="211"/>
    <w:link w:val="237"/>
    <w:autoRedefine/>
    <w:qFormat/>
    <w:uiPriority w:val="99"/>
    <w:rPr>
      <w:rFonts w:cs="Times New Roman"/>
      <w:sz w:val="21"/>
      <w:szCs w:val="20"/>
    </w:rPr>
  </w:style>
  <w:style w:type="paragraph" w:customStyle="1" w:styleId="239">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40">
    <w:name w:val="网格型1"/>
    <w:basedOn w:val="198"/>
    <w:autoRedefine/>
    <w:qFormat/>
    <w:uiPriority w:val="99"/>
    <w:rPr>
      <w:rFonts w:ascii="Times" w:hAnsi="Times" w:cs="Times"/>
    </w:rPr>
  </w:style>
  <w:style w:type="character" w:customStyle="1" w:styleId="241">
    <w:name w:val="要点1"/>
    <w:autoRedefine/>
    <w:qFormat/>
    <w:uiPriority w:val="0"/>
    <w:rPr>
      <w:rFonts w:cs="Times New Roman"/>
      <w:b/>
      <w:bCs/>
    </w:rPr>
  </w:style>
  <w:style w:type="character" w:customStyle="1" w:styleId="242">
    <w:name w:val="页码11"/>
    <w:autoRedefine/>
    <w:qFormat/>
    <w:uiPriority w:val="0"/>
    <w:rPr>
      <w:rFonts w:cs="Times New Roman"/>
    </w:rPr>
  </w:style>
  <w:style w:type="character" w:customStyle="1" w:styleId="243">
    <w:name w:val="已访问的超链接1"/>
    <w:autoRedefine/>
    <w:qFormat/>
    <w:uiPriority w:val="99"/>
    <w:rPr>
      <w:rFonts w:cs="Times New Roman"/>
      <w:color w:val="000000"/>
      <w:u w:val="none"/>
    </w:rPr>
  </w:style>
  <w:style w:type="character" w:customStyle="1" w:styleId="244">
    <w:name w:val="HTML 打字机11"/>
    <w:autoRedefine/>
    <w:qFormat/>
    <w:uiPriority w:val="99"/>
    <w:rPr>
      <w:rFonts w:ascii="宋体" w:hAnsi="宋体" w:eastAsia="宋体" w:cs="宋体"/>
      <w:sz w:val="24"/>
      <w:szCs w:val="24"/>
    </w:rPr>
  </w:style>
  <w:style w:type="character" w:customStyle="1" w:styleId="245">
    <w:name w:val="超链接1"/>
    <w:autoRedefine/>
    <w:qFormat/>
    <w:uiPriority w:val="99"/>
    <w:rPr>
      <w:rFonts w:cs="Times New Roman"/>
      <w:color w:val="000000"/>
      <w:u w:val="none"/>
    </w:rPr>
  </w:style>
  <w:style w:type="character" w:customStyle="1" w:styleId="246">
    <w:name w:val="批注引用11"/>
    <w:autoRedefine/>
    <w:unhideWhenUsed/>
    <w:qFormat/>
    <w:uiPriority w:val="0"/>
    <w:rPr>
      <w:sz w:val="21"/>
      <w:szCs w:val="21"/>
    </w:rPr>
  </w:style>
  <w:style w:type="character" w:customStyle="1" w:styleId="247">
    <w:name w:val="页码1"/>
    <w:autoRedefine/>
    <w:qFormat/>
    <w:uiPriority w:val="0"/>
  </w:style>
  <w:style w:type="paragraph" w:customStyle="1" w:styleId="248">
    <w:name w:val="标题 31"/>
    <w:basedOn w:val="1"/>
    <w:next w:val="249"/>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9">
    <w:name w:val="正文缩进1"/>
    <w:basedOn w:val="1"/>
    <w:autoRedefine/>
    <w:qFormat/>
    <w:uiPriority w:val="0"/>
    <w:pPr>
      <w:ind w:firstLine="420"/>
    </w:pPr>
    <w:rPr>
      <w:sz w:val="20"/>
    </w:rPr>
  </w:style>
  <w:style w:type="character" w:customStyle="1" w:styleId="250">
    <w:name w:val="style21"/>
    <w:autoRedefine/>
    <w:qFormat/>
    <w:uiPriority w:val="99"/>
    <w:rPr>
      <w:sz w:val="22"/>
      <w:szCs w:val="22"/>
    </w:rPr>
  </w:style>
  <w:style w:type="character" w:customStyle="1" w:styleId="251">
    <w:name w:val="列出段落 字符"/>
    <w:autoRedefine/>
    <w:qFormat/>
    <w:uiPriority w:val="34"/>
    <w:rPr>
      <w:sz w:val="21"/>
    </w:rPr>
  </w:style>
  <w:style w:type="character" w:customStyle="1" w:styleId="252">
    <w:name w:val="宋体&amp;Time5# Char"/>
    <w:link w:val="253"/>
    <w:autoRedefine/>
    <w:qFormat/>
    <w:uiPriority w:val="0"/>
    <w:rPr>
      <w:rFonts w:ascii="Calibri" w:hAnsi="Calibri" w:eastAsia="Times New Roman"/>
      <w:sz w:val="21"/>
      <w:szCs w:val="21"/>
    </w:rPr>
  </w:style>
  <w:style w:type="paragraph" w:customStyle="1" w:styleId="253">
    <w:name w:val="宋体&amp;Time5#"/>
    <w:basedOn w:val="1"/>
    <w:link w:val="252"/>
    <w:autoRedefine/>
    <w:qFormat/>
    <w:uiPriority w:val="0"/>
    <w:pPr>
      <w:jc w:val="center"/>
    </w:pPr>
    <w:rPr>
      <w:rFonts w:ascii="Calibri" w:hAnsi="Calibri" w:eastAsia="Times New Roman"/>
      <w:szCs w:val="21"/>
      <w:lang w:eastAsia="en-US"/>
    </w:rPr>
  </w:style>
  <w:style w:type="character" w:customStyle="1" w:styleId="254">
    <w:name w:val="访问过的超链接1"/>
    <w:autoRedefine/>
    <w:qFormat/>
    <w:uiPriority w:val="0"/>
    <w:rPr>
      <w:color w:val="000000"/>
      <w:u w:val="none"/>
    </w:rPr>
  </w:style>
  <w:style w:type="character" w:customStyle="1" w:styleId="255">
    <w:name w:val="列出段落 Char"/>
    <w:link w:val="256"/>
    <w:autoRedefine/>
    <w:qFormat/>
    <w:uiPriority w:val="34"/>
    <w:rPr>
      <w:sz w:val="21"/>
    </w:rPr>
  </w:style>
  <w:style w:type="paragraph" w:customStyle="1" w:styleId="256">
    <w:name w:val="列出段落1"/>
    <w:basedOn w:val="1"/>
    <w:link w:val="255"/>
    <w:autoRedefine/>
    <w:qFormat/>
    <w:uiPriority w:val="34"/>
    <w:pPr>
      <w:ind w:firstLine="420"/>
    </w:pPr>
    <w:rPr>
      <w:lang w:eastAsia="en-US"/>
    </w:rPr>
  </w:style>
  <w:style w:type="character" w:customStyle="1" w:styleId="257">
    <w:name w:val="case31"/>
    <w:autoRedefine/>
    <w:qFormat/>
    <w:uiPriority w:val="0"/>
    <w:rPr>
      <w:rFonts w:cs="Times New Roman"/>
      <w:spacing w:val="390"/>
      <w:sz w:val="21"/>
      <w:szCs w:val="21"/>
    </w:rPr>
  </w:style>
  <w:style w:type="character" w:customStyle="1" w:styleId="258">
    <w:name w:val="_正文 Char"/>
    <w:link w:val="259"/>
    <w:autoRedefine/>
    <w:qFormat/>
    <w:uiPriority w:val="0"/>
    <w:rPr>
      <w:rFonts w:ascii="微软雅黑" w:hAnsi="微软雅黑"/>
    </w:rPr>
  </w:style>
  <w:style w:type="paragraph" w:customStyle="1" w:styleId="259">
    <w:name w:val="_正文"/>
    <w:basedOn w:val="1"/>
    <w:link w:val="258"/>
    <w:autoRedefine/>
    <w:qFormat/>
    <w:uiPriority w:val="0"/>
    <w:pPr>
      <w:widowControl/>
      <w:spacing w:line="360" w:lineRule="auto"/>
      <w:ind w:firstLine="200"/>
      <w:jc w:val="left"/>
    </w:pPr>
    <w:rPr>
      <w:rFonts w:ascii="微软雅黑" w:hAnsi="微软雅黑"/>
      <w:sz w:val="20"/>
      <w:lang w:eastAsia="en-US"/>
    </w:rPr>
  </w:style>
  <w:style w:type="paragraph" w:customStyle="1" w:styleId="260">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1">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2">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3">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4">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5">
    <w:name w:val="font13"/>
    <w:basedOn w:val="1"/>
    <w:autoRedefine/>
    <w:qFormat/>
    <w:uiPriority w:val="0"/>
    <w:pPr>
      <w:widowControl/>
      <w:spacing w:before="100" w:beforeAutospacing="1" w:after="100" w:afterAutospacing="1"/>
      <w:jc w:val="left"/>
    </w:pPr>
    <w:rPr>
      <w:i/>
      <w:iCs/>
      <w:sz w:val="36"/>
      <w:szCs w:val="36"/>
    </w:rPr>
  </w:style>
  <w:style w:type="paragraph" w:customStyle="1" w:styleId="266">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7">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8">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0">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1">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2">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3">
    <w:name w:val="font7"/>
    <w:basedOn w:val="1"/>
    <w:autoRedefine/>
    <w:qFormat/>
    <w:uiPriority w:val="0"/>
    <w:pPr>
      <w:widowControl/>
      <w:spacing w:before="100" w:beforeAutospacing="1" w:after="100" w:afterAutospacing="1"/>
      <w:jc w:val="left"/>
    </w:pPr>
    <w:rPr>
      <w:b/>
      <w:bCs/>
      <w:i/>
      <w:iCs/>
      <w:sz w:val="20"/>
    </w:rPr>
  </w:style>
  <w:style w:type="paragraph" w:customStyle="1" w:styleId="274">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5">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6">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7">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8">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9">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80">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1">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2">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3">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4">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5">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6">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7">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8">
    <w:name w:val="文档正文"/>
    <w:basedOn w:val="1"/>
    <w:autoRedefine/>
    <w:qFormat/>
    <w:uiPriority w:val="0"/>
    <w:pPr>
      <w:spacing w:line="312" w:lineRule="atLeast"/>
      <w:ind w:firstLine="567"/>
    </w:pPr>
    <w:rPr>
      <w:rFonts w:ascii="长城仿宋" w:eastAsia="长城仿宋"/>
      <w:sz w:val="28"/>
    </w:rPr>
  </w:style>
  <w:style w:type="paragraph" w:customStyle="1" w:styleId="289">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90">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1">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2">
    <w:name w:val="_标题 2"/>
    <w:basedOn w:val="193"/>
    <w:next w:val="259"/>
    <w:autoRedefine/>
    <w:qFormat/>
    <w:uiPriority w:val="0"/>
    <w:pPr>
      <w:keepLines/>
      <w:widowControl/>
      <w:numPr>
        <w:ilvl w:val="1"/>
        <w:numId w:val="2"/>
      </w:numPr>
      <w:spacing w:before="260" w:after="260"/>
      <w:jc w:val="left"/>
    </w:pPr>
    <w:rPr>
      <w:rFonts w:ascii="微软雅黑" w:hAnsi="微软雅黑"/>
      <w:sz w:val="21"/>
    </w:rPr>
  </w:style>
  <w:style w:type="paragraph" w:customStyle="1" w:styleId="293">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4">
    <w:name w:val="_标题 4"/>
    <w:basedOn w:val="195"/>
    <w:next w:val="259"/>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5">
    <w:name w:val="Char Char Char Char"/>
    <w:basedOn w:val="206"/>
    <w:autoRedefine/>
    <w:qFormat/>
    <w:uiPriority w:val="0"/>
    <w:pPr>
      <w:spacing w:line="360" w:lineRule="auto"/>
    </w:pPr>
    <w:rPr>
      <w:rFonts w:ascii="Tahoma" w:hAnsi="Tahoma"/>
      <w:sz w:val="24"/>
      <w:szCs w:val="24"/>
    </w:rPr>
  </w:style>
  <w:style w:type="paragraph" w:customStyle="1" w:styleId="296">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7">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8">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9">
    <w:name w:val="默认段落字体 Para Char"/>
    <w:basedOn w:val="1"/>
    <w:qFormat/>
    <w:uiPriority w:val="0"/>
    <w:pPr>
      <w:tabs>
        <w:tab w:val="left" w:pos="552"/>
      </w:tabs>
      <w:ind w:left="552" w:hanging="420"/>
    </w:pPr>
    <w:rPr>
      <w:sz w:val="24"/>
      <w:szCs w:val="24"/>
    </w:rPr>
  </w:style>
  <w:style w:type="paragraph" w:customStyle="1" w:styleId="300">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1">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2">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3">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4">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5">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8">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9">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10">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1">
    <w:name w:val="_Style 22"/>
    <w:basedOn w:val="1"/>
    <w:qFormat/>
    <w:uiPriority w:val="0"/>
    <w:pPr>
      <w:spacing w:line="300" w:lineRule="auto"/>
      <w:ind w:firstLine="200"/>
    </w:pPr>
    <w:rPr>
      <w:rFonts w:ascii="宋体" w:hAnsi="Calibri" w:eastAsia="等线"/>
      <w:sz w:val="24"/>
      <w:szCs w:val="22"/>
    </w:rPr>
  </w:style>
  <w:style w:type="paragraph" w:customStyle="1" w:styleId="312">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3">
    <w:name w:val="Char Char1 Char Char Char Char"/>
    <w:basedOn w:val="206"/>
    <w:autoRedefine/>
    <w:qFormat/>
    <w:uiPriority w:val="0"/>
    <w:pPr>
      <w:spacing w:line="436" w:lineRule="exact"/>
      <w:ind w:left="357"/>
      <w:jc w:val="left"/>
      <w:outlineLvl w:val="3"/>
    </w:pPr>
    <w:rPr>
      <w:rFonts w:ascii="Tahoma" w:hAnsi="Tahoma"/>
      <w:b/>
      <w:sz w:val="24"/>
      <w:szCs w:val="24"/>
    </w:rPr>
  </w:style>
  <w:style w:type="paragraph" w:customStyle="1" w:styleId="314">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5">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6">
    <w:name w:val="font9"/>
    <w:basedOn w:val="1"/>
    <w:qFormat/>
    <w:uiPriority w:val="0"/>
    <w:pPr>
      <w:widowControl/>
      <w:spacing w:before="100" w:beforeAutospacing="1" w:after="100" w:afterAutospacing="1"/>
      <w:jc w:val="left"/>
    </w:pPr>
    <w:rPr>
      <w:b/>
      <w:bCs/>
      <w:sz w:val="20"/>
    </w:rPr>
  </w:style>
  <w:style w:type="paragraph" w:customStyle="1" w:styleId="317">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8">
    <w:name w:val="_Style 1"/>
    <w:basedOn w:val="1"/>
    <w:qFormat/>
    <w:uiPriority w:val="99"/>
    <w:pPr>
      <w:ind w:firstLine="420"/>
    </w:pPr>
    <w:rPr>
      <w:szCs w:val="22"/>
    </w:rPr>
  </w:style>
  <w:style w:type="paragraph" w:customStyle="1" w:styleId="319">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20">
    <w:name w:val="列出段落11"/>
    <w:basedOn w:val="1"/>
    <w:qFormat/>
    <w:uiPriority w:val="34"/>
    <w:pPr>
      <w:ind w:firstLine="420"/>
    </w:pPr>
    <w:rPr>
      <w:sz w:val="20"/>
    </w:rPr>
  </w:style>
  <w:style w:type="paragraph" w:customStyle="1" w:styleId="321">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3">
    <w:name w:val="font11"/>
    <w:basedOn w:val="1"/>
    <w:qFormat/>
    <w:uiPriority w:val="0"/>
    <w:pPr>
      <w:widowControl/>
      <w:spacing w:before="100" w:beforeAutospacing="1" w:after="100" w:afterAutospacing="1"/>
      <w:jc w:val="left"/>
    </w:pPr>
    <w:rPr>
      <w:b/>
      <w:bCs/>
      <w:sz w:val="18"/>
      <w:szCs w:val="18"/>
    </w:rPr>
  </w:style>
  <w:style w:type="paragraph" w:customStyle="1" w:styleId="324">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5">
    <w:name w:val="Char1"/>
    <w:basedOn w:val="1"/>
    <w:qFormat/>
    <w:uiPriority w:val="0"/>
    <w:pPr>
      <w:widowControl/>
      <w:spacing w:after="160" w:line="240" w:lineRule="exact"/>
      <w:jc w:val="left"/>
    </w:pPr>
  </w:style>
  <w:style w:type="paragraph" w:customStyle="1" w:styleId="326">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7">
    <w:name w:val="普通文字"/>
    <w:basedOn w:val="1"/>
    <w:next w:val="1"/>
    <w:autoRedefine/>
    <w:qFormat/>
    <w:uiPriority w:val="99"/>
    <w:rPr>
      <w:rFonts w:ascii="宋体"/>
      <w:sz w:val="24"/>
    </w:rPr>
  </w:style>
  <w:style w:type="paragraph" w:customStyle="1" w:styleId="328">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9">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30">
    <w:name w:val="_标题 1"/>
    <w:basedOn w:val="1"/>
    <w:next w:val="259"/>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1">
    <w:name w:val="_标题 3"/>
    <w:basedOn w:val="194"/>
    <w:next w:val="259"/>
    <w:qFormat/>
    <w:uiPriority w:val="0"/>
    <w:pPr>
      <w:keepLines/>
      <w:widowControl/>
      <w:numPr>
        <w:ilvl w:val="2"/>
        <w:numId w:val="2"/>
      </w:numPr>
      <w:spacing w:before="260" w:after="260"/>
      <w:jc w:val="left"/>
    </w:pPr>
    <w:rPr>
      <w:rFonts w:ascii="微软雅黑" w:hAnsi="微软雅黑"/>
      <w:sz w:val="21"/>
      <w:szCs w:val="21"/>
    </w:rPr>
  </w:style>
  <w:style w:type="paragraph" w:customStyle="1" w:styleId="332">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3">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5">
    <w:name w:val="font14"/>
    <w:basedOn w:val="1"/>
    <w:qFormat/>
    <w:uiPriority w:val="0"/>
    <w:pPr>
      <w:widowControl/>
      <w:spacing w:before="100" w:beforeAutospacing="1" w:after="100" w:afterAutospacing="1"/>
      <w:jc w:val="left"/>
    </w:pPr>
    <w:rPr>
      <w:sz w:val="36"/>
      <w:szCs w:val="36"/>
    </w:rPr>
  </w:style>
  <w:style w:type="paragraph" w:customStyle="1" w:styleId="336">
    <w:name w:val="彩色列表 - 着色 11"/>
    <w:basedOn w:val="1"/>
    <w:qFormat/>
    <w:uiPriority w:val="34"/>
    <w:pPr>
      <w:ind w:firstLine="420"/>
    </w:pPr>
    <w:rPr>
      <w:szCs w:val="24"/>
    </w:rPr>
  </w:style>
  <w:style w:type="paragraph" w:customStyle="1" w:styleId="337">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8">
    <w:name w:val="正文文本 字符"/>
    <w:autoRedefine/>
    <w:semiHidden/>
    <w:qFormat/>
    <w:uiPriority w:val="0"/>
    <w:rPr>
      <w:rFonts w:cs="Times New Roman"/>
      <w:sz w:val="20"/>
      <w:szCs w:val="20"/>
    </w:rPr>
  </w:style>
  <w:style w:type="character" w:customStyle="1" w:styleId="339">
    <w:name w:val="页脚 字符"/>
    <w:autoRedefine/>
    <w:qFormat/>
    <w:uiPriority w:val="99"/>
    <w:rPr>
      <w:rFonts w:cs="Times New Roman"/>
      <w:sz w:val="18"/>
      <w:szCs w:val="18"/>
    </w:rPr>
  </w:style>
  <w:style w:type="character" w:customStyle="1" w:styleId="340">
    <w:name w:val="正文文本缩进 字符"/>
    <w:semiHidden/>
    <w:qFormat/>
    <w:uiPriority w:val="0"/>
    <w:rPr>
      <w:rFonts w:cs="Times New Roman"/>
      <w:sz w:val="20"/>
      <w:szCs w:val="20"/>
    </w:rPr>
  </w:style>
  <w:style w:type="character" w:customStyle="1" w:styleId="341">
    <w:name w:val="批注框文本 字符"/>
    <w:autoRedefine/>
    <w:qFormat/>
    <w:uiPriority w:val="0"/>
    <w:rPr>
      <w:sz w:val="18"/>
      <w:szCs w:val="18"/>
    </w:rPr>
  </w:style>
  <w:style w:type="character" w:customStyle="1" w:styleId="342">
    <w:name w:val="批注主题 字符"/>
    <w:semiHidden/>
    <w:qFormat/>
    <w:uiPriority w:val="99"/>
    <w:rPr>
      <w:b/>
      <w:bCs/>
      <w:sz w:val="21"/>
    </w:rPr>
  </w:style>
  <w:style w:type="character" w:customStyle="1" w:styleId="343">
    <w:name w:val="正文文本缩进 2 字符"/>
    <w:semiHidden/>
    <w:qFormat/>
    <w:uiPriority w:val="0"/>
    <w:rPr>
      <w:rFonts w:cs="Times New Roman"/>
      <w:sz w:val="20"/>
      <w:szCs w:val="20"/>
    </w:rPr>
  </w:style>
  <w:style w:type="character" w:customStyle="1" w:styleId="344">
    <w:name w:val="正文文本 2 字符"/>
    <w:semiHidden/>
    <w:qFormat/>
    <w:uiPriority w:val="0"/>
    <w:rPr>
      <w:rFonts w:cs="Times New Roman"/>
      <w:sz w:val="20"/>
      <w:szCs w:val="20"/>
    </w:rPr>
  </w:style>
  <w:style w:type="character" w:customStyle="1" w:styleId="345">
    <w:name w:val="正文文本缩进 3 字符"/>
    <w:semiHidden/>
    <w:qFormat/>
    <w:uiPriority w:val="0"/>
    <w:rPr>
      <w:rFonts w:cs="Times New Roman"/>
      <w:sz w:val="16"/>
      <w:szCs w:val="16"/>
    </w:rPr>
  </w:style>
  <w:style w:type="character" w:customStyle="1" w:styleId="346">
    <w:name w:val="标题 字符"/>
    <w:qFormat/>
    <w:uiPriority w:val="99"/>
    <w:rPr>
      <w:rFonts w:ascii="Cambria" w:hAnsi="Cambria" w:cs="Cambria"/>
      <w:b/>
      <w:bCs/>
      <w:sz w:val="32"/>
      <w:szCs w:val="32"/>
    </w:rPr>
  </w:style>
  <w:style w:type="character" w:customStyle="1" w:styleId="347">
    <w:name w:val="文档结构图 字符"/>
    <w:semiHidden/>
    <w:qFormat/>
    <w:uiPriority w:val="0"/>
    <w:rPr>
      <w:rFonts w:cs="Times New Roman"/>
      <w:sz w:val="2"/>
    </w:rPr>
  </w:style>
  <w:style w:type="character" w:customStyle="1" w:styleId="348">
    <w:name w:val="日期 字符"/>
    <w:semiHidden/>
    <w:qFormat/>
    <w:uiPriority w:val="0"/>
    <w:rPr>
      <w:rFonts w:cs="Times New Roman"/>
      <w:sz w:val="20"/>
      <w:szCs w:val="20"/>
    </w:rPr>
  </w:style>
  <w:style w:type="character" w:customStyle="1" w:styleId="349">
    <w:name w:val="标题 2 字符"/>
    <w:autoRedefine/>
    <w:semiHidden/>
    <w:qFormat/>
    <w:uiPriority w:val="0"/>
    <w:rPr>
      <w:rFonts w:ascii="Cambria" w:hAnsi="Cambria" w:eastAsia="宋体" w:cs="Times New Roman"/>
      <w:b/>
      <w:bCs/>
      <w:sz w:val="32"/>
      <w:szCs w:val="32"/>
    </w:rPr>
  </w:style>
  <w:style w:type="character" w:customStyle="1" w:styleId="350">
    <w:name w:val="副标题 字符"/>
    <w:qFormat/>
    <w:uiPriority w:val="11"/>
    <w:rPr>
      <w:rFonts w:ascii="Calibri Light" w:hAnsi="Calibri Light"/>
      <w:b/>
      <w:bCs/>
      <w:sz w:val="32"/>
      <w:szCs w:val="32"/>
    </w:rPr>
  </w:style>
  <w:style w:type="character" w:customStyle="1" w:styleId="351">
    <w:name w:val="标题 4 字符"/>
    <w:semiHidden/>
    <w:qFormat/>
    <w:uiPriority w:val="0"/>
    <w:rPr>
      <w:rFonts w:ascii="Cambria" w:hAnsi="Cambria" w:eastAsia="宋体" w:cs="Times New Roman"/>
      <w:b/>
      <w:bCs/>
      <w:sz w:val="28"/>
      <w:szCs w:val="28"/>
    </w:rPr>
  </w:style>
  <w:style w:type="character" w:customStyle="1" w:styleId="352">
    <w:name w:val="标题 1 字符"/>
    <w:qFormat/>
    <w:uiPriority w:val="0"/>
    <w:rPr>
      <w:rFonts w:cs="Times New Roman"/>
      <w:b/>
      <w:bCs/>
      <w:sz w:val="44"/>
      <w:szCs w:val="44"/>
    </w:rPr>
  </w:style>
  <w:style w:type="character" w:customStyle="1" w:styleId="353">
    <w:name w:val="标题 3 字符"/>
    <w:semiHidden/>
    <w:qFormat/>
    <w:uiPriority w:val="0"/>
    <w:rPr>
      <w:rFonts w:cs="Times New Roman"/>
      <w:b/>
      <w:bCs/>
      <w:sz w:val="32"/>
      <w:szCs w:val="32"/>
    </w:rPr>
  </w:style>
  <w:style w:type="character" w:customStyle="1" w:styleId="354">
    <w:name w:val="列出段落 字符1"/>
    <w:qFormat/>
    <w:uiPriority w:val="34"/>
    <w:rPr>
      <w:sz w:val="21"/>
    </w:rPr>
  </w:style>
  <w:style w:type="character" w:customStyle="1" w:styleId="355">
    <w:name w:val="标题 5 字符"/>
    <w:qFormat/>
    <w:uiPriority w:val="0"/>
    <w:rPr>
      <w:rFonts w:ascii="楷体_GB2312" w:eastAsia="楷体_GB2312"/>
      <w:bCs/>
      <w:sz w:val="28"/>
    </w:rPr>
  </w:style>
  <w:style w:type="character" w:customStyle="1" w:styleId="356">
    <w:name w:val="页眉 字符"/>
    <w:qFormat/>
    <w:uiPriority w:val="99"/>
    <w:rPr>
      <w:rFonts w:cs="Times New Roman"/>
      <w:sz w:val="18"/>
      <w:szCs w:val="18"/>
    </w:rPr>
  </w:style>
  <w:style w:type="character" w:customStyle="1" w:styleId="357">
    <w:name w:val="批注文字 字符"/>
    <w:semiHidden/>
    <w:qFormat/>
    <w:uiPriority w:val="99"/>
    <w:rPr>
      <w:sz w:val="21"/>
    </w:rPr>
  </w:style>
  <w:style w:type="paragraph" w:customStyle="1" w:styleId="358">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9">
    <w:name w:val="Char1 Char Char Char"/>
    <w:basedOn w:val="1"/>
    <w:qFormat/>
    <w:uiPriority w:val="0"/>
    <w:rPr>
      <w:rFonts w:ascii="Tahoma" w:hAnsi="Tahoma"/>
      <w:sz w:val="24"/>
    </w:rPr>
  </w:style>
  <w:style w:type="paragraph" w:customStyle="1" w:styleId="360">
    <w:name w:val="样式 小四 段前: 5 磅 段后: 5 磅 首行缩进:  2 字符"/>
    <w:basedOn w:val="1"/>
    <w:qFormat/>
    <w:uiPriority w:val="0"/>
    <w:pPr>
      <w:spacing w:line="360" w:lineRule="auto"/>
    </w:pPr>
    <w:rPr>
      <w:rFonts w:ascii="宋体" w:hAnsi="宋体"/>
      <w:szCs w:val="21"/>
    </w:rPr>
  </w:style>
  <w:style w:type="character" w:customStyle="1" w:styleId="361">
    <w:name w:val="font21"/>
    <w:qFormat/>
    <w:uiPriority w:val="0"/>
    <w:rPr>
      <w:rFonts w:hint="eastAsia" w:ascii="宋体" w:hAnsi="宋体" w:eastAsia="宋体" w:cs="宋体"/>
      <w:color w:val="FF0000"/>
      <w:sz w:val="18"/>
      <w:szCs w:val="18"/>
      <w:u w:val="none"/>
    </w:rPr>
  </w:style>
  <w:style w:type="character" w:customStyle="1" w:styleId="362">
    <w:name w:val="font01"/>
    <w:qFormat/>
    <w:uiPriority w:val="0"/>
    <w:rPr>
      <w:rFonts w:hint="eastAsia" w:ascii="宋体" w:hAnsi="宋体" w:eastAsia="宋体" w:cs="宋体"/>
      <w:color w:val="000000"/>
      <w:sz w:val="18"/>
      <w:szCs w:val="18"/>
      <w:u w:val="none"/>
    </w:rPr>
  </w:style>
  <w:style w:type="character" w:customStyle="1" w:styleId="363">
    <w:name w:val="font51"/>
    <w:qFormat/>
    <w:uiPriority w:val="0"/>
    <w:rPr>
      <w:rFonts w:hint="eastAsia" w:ascii="宋体" w:hAnsi="宋体" w:eastAsia="宋体" w:cs="宋体"/>
      <w:color w:val="000000"/>
      <w:sz w:val="18"/>
      <w:szCs w:val="18"/>
      <w:u w:val="none"/>
    </w:rPr>
  </w:style>
  <w:style w:type="paragraph" w:customStyle="1" w:styleId="364">
    <w:name w:val="Other|1"/>
    <w:basedOn w:val="1"/>
    <w:qFormat/>
    <w:uiPriority w:val="0"/>
    <w:pPr>
      <w:spacing w:line="389" w:lineRule="auto"/>
    </w:pPr>
    <w:rPr>
      <w:rFonts w:ascii="宋体" w:hAnsi="宋体" w:cs="宋体"/>
      <w:sz w:val="22"/>
      <w:szCs w:val="22"/>
      <w:lang w:val="zh-TW" w:eastAsia="zh-TW" w:bidi="zh-TW"/>
    </w:rPr>
  </w:style>
  <w:style w:type="character" w:customStyle="1" w:styleId="365">
    <w:name w:val="标题 1 字符1"/>
    <w:qFormat/>
    <w:uiPriority w:val="0"/>
    <w:rPr>
      <w:rFonts w:cs="Times New Roman"/>
      <w:b/>
      <w:bCs/>
      <w:sz w:val="44"/>
      <w:szCs w:val="44"/>
    </w:rPr>
  </w:style>
  <w:style w:type="character" w:customStyle="1" w:styleId="366">
    <w:name w:val="页眉 字符1"/>
    <w:qFormat/>
    <w:uiPriority w:val="0"/>
    <w:rPr>
      <w:sz w:val="18"/>
      <w:szCs w:val="18"/>
    </w:rPr>
  </w:style>
  <w:style w:type="paragraph" w:customStyle="1" w:styleId="367">
    <w:name w:val="Plain Text1"/>
    <w:basedOn w:val="1"/>
    <w:qFormat/>
    <w:uiPriority w:val="99"/>
    <w:rPr>
      <w:rFonts w:ascii="宋体" w:hAnsi="Courier New" w:eastAsia="楷体_GB2312" w:cs="宋体"/>
      <w:sz w:val="26"/>
      <w:szCs w:val="26"/>
    </w:rPr>
  </w:style>
  <w:style w:type="paragraph" w:customStyle="1" w:styleId="368">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9">
    <w:name w:val="批注引用1"/>
    <w:basedOn w:val="370"/>
    <w:semiHidden/>
    <w:qFormat/>
    <w:uiPriority w:val="0"/>
    <w:rPr>
      <w:sz w:val="21"/>
      <w:lang w:val="en-US" w:eastAsia="zh-CN" w:bidi="ar-SA"/>
    </w:rPr>
  </w:style>
  <w:style w:type="character" w:customStyle="1" w:styleId="370">
    <w:name w:val="默认段落字体1"/>
    <w:autoRedefine/>
    <w:unhideWhenUsed/>
    <w:qFormat/>
    <w:uiPriority w:val="1"/>
  </w:style>
  <w:style w:type="paragraph" w:customStyle="1" w:styleId="371">
    <w:name w:val="标题 41"/>
    <w:basedOn w:val="1"/>
    <w:next w:val="249"/>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2">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3">
    <w:name w:val="纯文本1"/>
    <w:basedOn w:val="1"/>
    <w:autoRedefine/>
    <w:qFormat/>
    <w:uiPriority w:val="0"/>
    <w:rPr>
      <w:rFonts w:ascii="宋体" w:hAnsi="Courier New"/>
      <w:sz w:val="20"/>
    </w:rPr>
  </w:style>
  <w:style w:type="paragraph" w:customStyle="1" w:styleId="37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5">
    <w:name w:val="Char"/>
    <w:basedOn w:val="1"/>
    <w:qFormat/>
    <w:uiPriority w:val="0"/>
    <w:pPr>
      <w:tabs>
        <w:tab w:val="left" w:pos="360"/>
      </w:tabs>
      <w:ind w:firstLine="200"/>
    </w:pPr>
    <w:rPr>
      <w:sz w:val="28"/>
      <w:szCs w:val="30"/>
    </w:rPr>
  </w:style>
  <w:style w:type="character" w:customStyle="1" w:styleId="376">
    <w:name w:val="HTML 打字机1"/>
    <w:qFormat/>
    <w:uiPriority w:val="99"/>
    <w:rPr>
      <w:rFonts w:ascii="宋体" w:hAnsi="宋体" w:eastAsia="宋体" w:cs="宋体"/>
      <w:sz w:val="24"/>
      <w:szCs w:val="24"/>
    </w:rPr>
  </w:style>
  <w:style w:type="paragraph" w:customStyle="1" w:styleId="377">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8">
    <w:name w:val="页脚1"/>
    <w:basedOn w:val="1"/>
    <w:qFormat/>
    <w:uiPriority w:val="0"/>
    <w:pPr>
      <w:tabs>
        <w:tab w:val="center" w:pos="4153"/>
        <w:tab w:val="right" w:pos="8306"/>
      </w:tabs>
      <w:jc w:val="left"/>
    </w:pPr>
    <w:rPr>
      <w:sz w:val="18"/>
      <w:szCs w:val="18"/>
    </w:rPr>
  </w:style>
  <w:style w:type="paragraph" w:customStyle="1" w:styleId="379">
    <w:name w:val="纯文本2"/>
    <w:basedOn w:val="1"/>
    <w:link w:val="380"/>
    <w:qFormat/>
    <w:uiPriority w:val="0"/>
    <w:rPr>
      <w:rFonts w:ascii="宋体" w:hAnsi="Calibri" w:cs="Calibri"/>
      <w:sz w:val="20"/>
      <w:szCs w:val="21"/>
    </w:rPr>
  </w:style>
  <w:style w:type="character" w:customStyle="1" w:styleId="380">
    <w:name w:val="纯文本 Char"/>
    <w:basedOn w:val="197"/>
    <w:link w:val="379"/>
    <w:qFormat/>
    <w:uiPriority w:val="0"/>
    <w:rPr>
      <w:rFonts w:ascii="宋体" w:hAnsi="Calibri" w:eastAsia="宋体" w:cs="Calibri"/>
      <w:szCs w:val="21"/>
    </w:rPr>
  </w:style>
  <w:style w:type="paragraph" w:customStyle="1" w:styleId="38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3">
    <w:name w:val="正文文本11"/>
    <w:basedOn w:val="1"/>
    <w:next w:val="1"/>
    <w:qFormat/>
    <w:uiPriority w:val="0"/>
    <w:rPr>
      <w:rFonts w:ascii="仿宋_GB2312" w:eastAsia="仿宋_GB2312"/>
      <w:sz w:val="28"/>
      <w:szCs w:val="20"/>
    </w:rPr>
  </w:style>
  <w:style w:type="character" w:customStyle="1" w:styleId="384">
    <w:name w:val="NormalCharacter1"/>
    <w:qFormat/>
    <w:uiPriority w:val="0"/>
    <w:rPr>
      <w:rFonts w:ascii="宋体" w:hAnsi="宋体" w:cs="宋体"/>
      <w:kern w:val="2"/>
      <w:sz w:val="21"/>
      <w:szCs w:val="21"/>
      <w:lang w:val="en-US" w:eastAsia="zh-CN" w:bidi="ar-SA"/>
    </w:rPr>
  </w:style>
  <w:style w:type="character" w:customStyle="1" w:styleId="385">
    <w:name w:val="NormalCharacter"/>
    <w:link w:val="386"/>
    <w:qFormat/>
    <w:uiPriority w:val="0"/>
  </w:style>
  <w:style w:type="paragraph" w:customStyle="1" w:styleId="386">
    <w:name w:val="UserStyle_4"/>
    <w:basedOn w:val="1"/>
    <w:link w:val="385"/>
    <w:qFormat/>
    <w:uiPriority w:val="99"/>
  </w:style>
  <w:style w:type="paragraph" w:customStyle="1" w:styleId="387">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8">
    <w:name w:val="Table Paragraph"/>
    <w:basedOn w:val="1"/>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57</Pages>
  <Words>17163</Words>
  <Characters>18257</Characters>
  <Lines>306</Lines>
  <Paragraphs>86</Paragraphs>
  <TotalTime>224</TotalTime>
  <ScaleCrop>false</ScaleCrop>
  <LinksUpToDate>false</LinksUpToDate>
  <CharactersWithSpaces>18334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2026-08-03T01:49:15Z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