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caps/>
          <w:color w:val="auto"/>
          <w:sz w:val="44"/>
          <w:szCs w:val="44"/>
          <w:highlight w:val="none"/>
          <w:lang w:val="zh-CN"/>
        </w:rPr>
      </w:pPr>
      <w:r>
        <w:rPr>
          <w:rFonts w:ascii="宋体" w:hAnsi="宋体" w:cs="宋体"/>
          <w:caps/>
          <w:color w:val="auto"/>
          <w:sz w:val="44"/>
          <w:szCs w:val="44"/>
          <w:highlight w:val="none"/>
          <w:lang w:val="zh-CN"/>
        </w:rPr>
      </w:r>
      <w:r/>
    </w:p>
    <w:p>
      <w:pPr>
        <w:rPr>
          <w:rFonts w:ascii="宋体" w:hAnsi="宋体" w:cs="宋体"/>
          <w:caps/>
          <w:color w:val="auto"/>
          <w:sz w:val="44"/>
          <w:szCs w:val="44"/>
          <w:highlight w:val="none"/>
          <w:lang w:val="zh-CN"/>
        </w:rPr>
      </w:pPr>
      <w:r>
        <w:rPr>
          <w:rFonts w:ascii="宋体" w:hAnsi="宋体" w:cs="宋体"/>
          <w:caps/>
          <w:color w:val="auto"/>
          <w:sz w:val="44"/>
          <w:szCs w:val="44"/>
          <w:highlight w:val="none"/>
          <w:lang w:val="zh-CN"/>
        </w:rPr>
      </w:r>
      <w:r/>
    </w:p>
    <w:p>
      <w:pPr>
        <w:rPr>
          <w:rFonts w:ascii="宋体" w:hAnsi="宋体" w:cs="宋体"/>
          <w:caps/>
          <w:color w:val="auto"/>
          <w:sz w:val="44"/>
          <w:szCs w:val="44"/>
          <w:highlight w:val="none"/>
          <w:lang w:val="zh-CN"/>
        </w:rPr>
      </w:pPr>
      <w:r>
        <w:rPr>
          <w:rFonts w:ascii="宋体" w:hAnsi="宋体" w:cs="宋体"/>
          <w:caps/>
          <w:color w:val="auto"/>
          <w:sz w:val="44"/>
          <w:szCs w:val="44"/>
          <w:highlight w:val="none"/>
          <w:lang w:val="zh-CN"/>
        </w:rPr>
      </w:r>
      <w:r/>
    </w:p>
    <w:p>
      <w:pPr>
        <w:jc w:val="center"/>
        <w:rPr>
          <w:rFonts w:ascii="宋体" w:hAnsi="宋体" w:cs="宋体"/>
          <w:color w:val="auto"/>
          <w:sz w:val="100"/>
          <w:szCs w:val="100"/>
          <w:highlight w:val="none"/>
          <w:lang w:val="zh-CN"/>
        </w:rPr>
      </w:pPr>
      <w:r>
        <w:rPr>
          <w:rFonts w:hint="eastAsia" w:ascii="宋体" w:hAnsi="宋体" w:cs="宋体"/>
          <w:color w:val="auto"/>
          <w:sz w:val="100"/>
          <w:szCs w:val="100"/>
          <w:highlight w:val="none"/>
          <w:lang w:val="zh-CN"/>
        </w:rPr>
        <w:t xml:space="preserve">  公开招标文件</w:t>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tbl>
      <w:tblPr>
        <w:tblStyle w:val="725"/>
        <w:tblpPr w:horzAnchor="margin" w:tblpXSpec="center" w:vertAnchor="text" w:tblpY="321" w:leftFromText="180" w:topFromText="0" w:rightFromText="180" w:bottomFromText="0"/>
        <w:tblW w:w="8220" w:type="dxa"/>
        <w:jc w:val="center"/>
        <w:tblLayout w:type="fixed"/>
        <w:tblCellMar>
          <w:left w:w="108" w:type="dxa"/>
          <w:top w:w="0" w:type="dxa"/>
          <w:right w:w="108" w:type="dxa"/>
          <w:bottom w:w="0" w:type="dxa"/>
        </w:tblCellMar>
        <w:tblLook w:val="04A0" w:firstRow="1" w:lastRow="0" w:firstColumn="1" w:lastColumn="0" w:noHBand="0" w:noVBand="1"/>
      </w:tblPr>
      <w:tblGrid>
        <w:gridCol w:w="8220"/>
      </w:tblGrid>
      <w:tr>
        <w:trPr>
          <w:jc w:val="center"/>
          <w:trHeight w:val="2148"/>
        </w:trPr>
        <w:tc>
          <w:tcPr>
            <w:tcBorders>
              <w:top w:val="none" w:color="000000" w:sz="4" w:space="0"/>
              <w:left w:val="none" w:color="000000" w:sz="4" w:space="0"/>
              <w:bottom w:val="none" w:color="000000" w:sz="4" w:space="0"/>
              <w:right w:val="none" w:color="000000" w:sz="4" w:space="0"/>
            </w:tcBorders>
            <w:tcW w:w="8220" w:type="dxa"/>
            <w:vAlign w:val="top"/>
            <w:textDirection w:val="lrTb"/>
            <w:noWrap w:val="false"/>
          </w:tcPr>
          <w:p>
            <w:pPr>
              <w:keepLines w:val="0"/>
              <w:keepNext w:val="0"/>
              <w:pageBreakBefore w:val="0"/>
              <w:spacing w:line="360" w:lineRule="auto"/>
              <w:widowControl/>
              <w:rPr>
                <w:rFonts w:hint="eastAsia" w:ascii="宋体" w:hAnsi="宋体" w:eastAsia="宋体" w:cs="宋体"/>
                <w:color w:val="auto"/>
                <w:sz w:val="36"/>
                <w:szCs w:val="36"/>
                <w:highlight w:val="none"/>
                <w:u w:val="single"/>
                <w:lang w:val="en-US" w:eastAsia="zh-CN"/>
              </w:rPr>
            </w:pPr>
            <w:r>
              <w:rPr>
                <w:rFonts w:hint="eastAsia" w:ascii="宋体" w:hAnsi="宋体" w:cs="宋体"/>
                <w:color w:val="auto"/>
                <w:sz w:val="36"/>
                <w:szCs w:val="36"/>
                <w:highlight w:val="none"/>
                <w:lang w:val="zh-CN"/>
              </w:rPr>
              <w:t xml:space="preserve">项目编号：</w:t>
            </w:r>
            <w:bookmarkStart w:id="108" w:name="_GoBack"/>
            <w:r>
              <w:rPr>
                <w:rFonts w:hint="eastAsia" w:ascii="宋体" w:hAnsi="宋体" w:cs="宋体"/>
                <w:i w:val="0"/>
                <w:iCs w:val="0"/>
                <w:caps w:val="0"/>
                <w:color w:val="auto"/>
                <w:spacing w:val="0"/>
                <w:sz w:val="36"/>
                <w:szCs w:val="36"/>
                <w:highlight w:val="none"/>
                <w:shd w:val="clear" w:color="auto"/>
                <w:lang w:val="zh-CN"/>
              </w:rPr>
              <w:t xml:space="preserve">JSZC-320192-NJNZ-G2026-0004</w:t>
            </w:r>
            <w:bookmarkEnd w:id="108"/>
            <w:r/>
          </w:p>
          <w:p>
            <w:pPr>
              <w:jc w:val="both"/>
              <w:keepLines w:val="0"/>
              <w:keepNext w:val="0"/>
              <w:pageBreakBefore w:val="0"/>
              <w:spacing w:line="360" w:lineRule="auto"/>
              <w:widowControl/>
              <w:rPr>
                <w:rFonts w:ascii="宋体" w:hAnsi="宋体" w:cs="宋体"/>
                <w:color w:val="auto"/>
                <w:sz w:val="44"/>
                <w:szCs w:val="44"/>
                <w:highlight w:val="none"/>
                <w:lang w:val="zh-CN"/>
              </w:rPr>
            </w:pPr>
            <w:r>
              <w:rPr>
                <w:rFonts w:hint="eastAsia" w:ascii="宋体" w:hAnsi="宋体" w:cs="宋体"/>
                <w:color w:val="auto"/>
                <w:sz w:val="36"/>
                <w:szCs w:val="36"/>
                <w:highlight w:val="none"/>
                <w:lang w:val="zh-CN"/>
              </w:rPr>
              <w:t xml:space="preserve">项目名称：南京师范大学附属扬子中学高品质高中创建一期工程</w:t>
            </w:r>
            <w:r>
              <w:rPr>
                <w:rFonts w:hint="eastAsia" w:ascii="宋体" w:hAnsi="宋体" w:cs="宋体"/>
                <w:color w:val="auto"/>
                <w:sz w:val="36"/>
                <w:szCs w:val="36"/>
                <w:highlight w:val="none"/>
                <w:lang w:val="en-US" w:eastAsia="zh-CN"/>
              </w:rPr>
              <w:t xml:space="preserve">普通教室及专用教室装备采购项目</w:t>
            </w:r>
            <w:r/>
          </w:p>
        </w:tc>
      </w:tr>
    </w:tbl>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pStyle w:val="762"/>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pStyle w:val="762"/>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pStyle w:val="762"/>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jc w:val="center"/>
        <w:rPr>
          <w:rFonts w:ascii="宋体" w:hAnsi="宋体" w:cs="宋体"/>
          <w:color w:val="auto"/>
          <w:sz w:val="44"/>
          <w:szCs w:val="44"/>
          <w:highlight w:val="none"/>
          <w:lang w:val="zh-CN"/>
        </w:rPr>
      </w:pPr>
      <w:r>
        <w:rPr>
          <w:rFonts w:hint="eastAsia" w:ascii="宋体" w:hAnsi="宋体" w:cs="宋体"/>
          <w:color w:val="auto"/>
          <w:sz w:val="44"/>
          <w:szCs w:val="44"/>
          <w:highlight w:val="none"/>
          <w:lang w:val="zh-CN"/>
        </w:rPr>
        <w:t xml:space="preserve">南京南咨工程咨询有限公司</w:t>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ascii="宋体" w:hAnsi="宋体" w:cs="宋体"/>
          <w:color w:val="auto"/>
          <w:sz w:val="44"/>
          <w:szCs w:val="44"/>
          <w:highlight w:val="none"/>
        </w:rPr>
      </w:pPr>
      <w:r>
        <w:rPr>
          <w:rFonts w:hint="eastAsia" w:ascii="宋体" w:hAnsi="宋体" w:cs="宋体"/>
          <w:color w:val="auto"/>
          <w:sz w:val="44"/>
          <w:szCs w:val="44"/>
          <w:highlight w:val="none"/>
        </w:rPr>
        <w:t xml:space="preserve">202</w:t>
      </w:r>
      <w:r>
        <w:rPr>
          <w:rFonts w:hint="eastAsia" w:ascii="宋体" w:hAnsi="宋体" w:cs="宋体"/>
          <w:color w:val="auto"/>
          <w:sz w:val="44"/>
          <w:szCs w:val="44"/>
          <w:highlight w:val="none"/>
          <w:lang w:val="en-US" w:eastAsia="zh-CN"/>
        </w:rPr>
        <w:t xml:space="preserve">6</w:t>
      </w:r>
      <w:r>
        <w:rPr>
          <w:rFonts w:hint="eastAsia" w:ascii="宋体" w:hAnsi="宋体" w:cs="宋体"/>
          <w:color w:val="auto"/>
          <w:sz w:val="44"/>
          <w:szCs w:val="44"/>
          <w:highlight w:val="none"/>
          <w:lang w:val="zh-CN"/>
        </w:rPr>
        <w:t xml:space="preserve">年</w:t>
      </w:r>
      <w:r>
        <w:rPr>
          <w:rFonts w:hint="eastAsia" w:ascii="宋体" w:hAnsi="宋体" w:cs="宋体"/>
          <w:color w:val="auto"/>
          <w:sz w:val="44"/>
          <w:szCs w:val="44"/>
          <w:highlight w:val="none"/>
          <w:lang w:val="en-US" w:eastAsia="zh-CN"/>
        </w:rPr>
        <w:t xml:space="preserve">07</w:t>
      </w:r>
      <w:r>
        <w:rPr>
          <w:rFonts w:hint="eastAsia" w:ascii="宋体" w:hAnsi="宋体" w:cs="宋体"/>
          <w:color w:val="auto"/>
          <w:sz w:val="44"/>
          <w:szCs w:val="44"/>
          <w:highlight w:val="none"/>
          <w:lang w:val="zh-CN"/>
        </w:rPr>
        <w:t xml:space="preserve">月</w:t>
      </w:r>
      <w:r/>
    </w:p>
    <w:p>
      <w:pPr>
        <w:jc w:val="center"/>
        <w:rPr>
          <w:rFonts w:ascii="宋体" w:hAnsi="宋体" w:cs="宋体"/>
          <w:color w:val="auto"/>
          <w:sz w:val="44"/>
          <w:szCs w:val="44"/>
          <w:highlight w:val="none"/>
        </w:rPr>
        <w:sectPr>
          <w:headerReference w:type="default" r:id="rId9"/>
          <w:footerReference w:type="first" r:id="rId12"/>
          <w:footnotePr/>
          <w:endnotePr/>
          <w:type w:val="nextPage"/>
          <w:pgSz w:w="11906" w:h="16838" w:orient="portrait"/>
          <w:pgMar w:top="1418" w:right="1134" w:bottom="1247" w:left="1304" w:header="851" w:footer="992" w:gutter="0"/>
          <w:cols w:num="1" w:sep="0" w:space="720" w:equalWidth="1"/>
          <w:docGrid w:linePitch="360"/>
        </w:sectPr>
      </w:pPr>
      <w:r>
        <w:rPr>
          <w:rFonts w:ascii="宋体" w:hAnsi="宋体" w:cs="宋体"/>
          <w:color w:val="auto"/>
          <w:sz w:val="44"/>
          <w:szCs w:val="44"/>
          <w:highlight w:val="none"/>
        </w:rPr>
      </w:r>
      <w:r/>
    </w:p>
    <w:p>
      <w:pPr>
        <w:jc w:val="center"/>
        <w:spacing w:line="360" w:lineRule="auto"/>
        <w:rPr>
          <w:rFonts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目</w:t>
      </w:r>
      <w:r>
        <w:rPr>
          <w:rFonts w:hint="eastAsia" w:ascii="宋体" w:hAnsi="宋体" w:cs="宋体"/>
          <w:color w:val="auto"/>
          <w:sz w:val="32"/>
          <w:szCs w:val="32"/>
          <w:highlight w:val="none"/>
        </w:rPr>
        <w:t xml:space="preserve">  </w:t>
      </w:r>
      <w:r>
        <w:rPr>
          <w:rFonts w:hint="eastAsia" w:ascii="宋体" w:hAnsi="宋体" w:cs="宋体"/>
          <w:color w:val="auto"/>
          <w:sz w:val="32"/>
          <w:szCs w:val="32"/>
          <w:highlight w:val="none"/>
          <w:lang w:val="zh-CN"/>
        </w:rPr>
        <w:t xml:space="preserve">录</w:t>
      </w:r>
      <w:r/>
    </w:p>
    <w:p>
      <w:pPr>
        <w:pStyle w:val="751"/>
        <w:tabs>
          <w:tab w:val="right" w:pos="8640" w:leader="dot"/>
        </w:tabs>
        <w:rPr>
          <w:color w:val="auto"/>
          <w:highlight w:val="none"/>
        </w:rPr>
      </w:pPr>
      <w:r>
        <w:rPr>
          <w:rFonts w:hint="eastAsia" w:ascii="宋体" w:hAnsi="宋体" w:eastAsia="宋体" w:cs="宋体"/>
          <w:color w:val="auto"/>
          <w:sz w:val="24"/>
          <w:szCs w:val="24"/>
          <w:highlight w:val="none"/>
          <w:lang w:val="zh-CN"/>
        </w:rPr>
        <w:fldChar w:fldCharType="begin"/>
      </w:r>
      <w:r>
        <w:rPr>
          <w:rFonts w:hint="eastAsia" w:ascii="宋体" w:hAnsi="宋体" w:eastAsia="宋体" w:cs="宋体"/>
          <w:color w:val="auto"/>
          <w:sz w:val="24"/>
          <w:szCs w:val="24"/>
          <w:highlight w:val="none"/>
        </w:rPr>
        <w:instrText xml:space="preserve">TOC \o "1 - 3" \h \z \u"</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_Toc22856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8"/>
          <w:highlight w:val="none"/>
        </w:rPr>
        <w:t xml:space="preserve">第一章 </w:t>
      </w:r>
      <w:r>
        <w:rPr>
          <w:rFonts w:hint="eastAsia" w:ascii="宋体" w:hAnsi="宋体" w:eastAsia="宋体" w:cs="宋体"/>
          <w:color w:val="auto"/>
          <w:szCs w:val="28"/>
          <w:highlight w:val="none"/>
          <w:lang w:val="en-US" w:eastAsia="zh-CN"/>
        </w:rPr>
        <w:t xml:space="preserve"> </w:t>
      </w:r>
      <w:r>
        <w:rPr>
          <w:rFonts w:hint="eastAsia" w:ascii="宋体" w:hAnsi="宋体" w:eastAsia="宋体" w:cs="宋体"/>
          <w:color w:val="auto"/>
          <w:szCs w:val="28"/>
          <w:highlight w:val="none"/>
        </w:rPr>
        <w:t xml:space="preserve">投标邀请</w:t>
      </w:r>
      <w:r>
        <w:rPr>
          <w:color w:val="auto"/>
          <w:highlight w:val="none"/>
        </w:rPr>
        <w:tab/>
      </w:r>
      <w:r>
        <w:rPr>
          <w:color w:val="auto"/>
          <w:highlight w:val="none"/>
        </w:rPr>
        <w:fldChar w:fldCharType="begin"/>
      </w:r>
      <w:r>
        <w:rPr>
          <w:color w:val="auto"/>
          <w:highlight w:val="none"/>
        </w:rPr>
        <w:instrText xml:space="preserve"> PAGEREF _Toc22856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ascii="宋体" w:hAnsi="宋体" w:eastAsia="宋体" w:cs="宋体"/>
          <w:color w:val="auto"/>
          <w:szCs w:val="24"/>
          <w:highlight w:val="none"/>
        </w:rPr>
        <w:fldChar w:fldCharType="end"/>
      </w:r>
      <w:r/>
    </w:p>
    <w:p>
      <w:pPr>
        <w:pStyle w:val="751"/>
        <w:tabs>
          <w:tab w:val="right" w:pos="8640" w:leader="dot"/>
        </w:tabs>
        <w:rPr>
          <w:color w:val="auto"/>
          <w:highlight w:val="none"/>
        </w:rPr>
      </w:pPr>
      <w:r>
        <w:rPr>
          <w:rFonts w:hint="eastAsia" w:ascii="宋体" w:hAnsi="宋体" w:eastAsia="宋体" w:cs="宋体"/>
          <w:color w:val="auto"/>
          <w:szCs w:val="24"/>
          <w:highlight w:val="none"/>
          <w:lang w:val="zh-CN"/>
        </w:rPr>
        <w:fldChar w:fldCharType="begin"/>
      </w:r>
      <w:r>
        <w:rPr>
          <w:rFonts w:hint="eastAsia" w:ascii="宋体" w:hAnsi="宋体" w:eastAsia="宋体" w:cs="宋体"/>
          <w:color w:val="auto"/>
          <w:szCs w:val="24"/>
          <w:highlight w:val="none"/>
          <w:lang w:val="zh-CN"/>
        </w:rPr>
        <w:instrText xml:space="preserve"> HYPERLINK \l _Toc26473 </w:instrText>
      </w:r>
      <w:r>
        <w:rPr>
          <w:rFonts w:hint="eastAsia" w:ascii="宋体" w:hAnsi="宋体" w:eastAsia="宋体" w:cs="宋体"/>
          <w:color w:val="auto"/>
          <w:szCs w:val="24"/>
          <w:highlight w:val="none"/>
          <w:lang w:val="zh-CN"/>
        </w:rPr>
        <w:fldChar w:fldCharType="separate"/>
      </w:r>
      <w:r>
        <w:rPr>
          <w:rFonts w:hint="eastAsia" w:ascii="宋体" w:hAnsi="宋体" w:cs="宋体"/>
          <w:color w:val="auto"/>
          <w:position w:val="6"/>
          <w:szCs w:val="28"/>
          <w:highlight w:val="none"/>
        </w:rPr>
        <w:t xml:space="preserve">第二章 </w:t>
      </w:r>
      <w:r>
        <w:rPr>
          <w:rFonts w:hint="eastAsia" w:ascii="宋体" w:hAnsi="宋体" w:cs="宋体"/>
          <w:color w:val="auto"/>
          <w:position w:val="6"/>
          <w:szCs w:val="28"/>
          <w:highlight w:val="none"/>
          <w:lang w:val="en-US" w:eastAsia="zh-CN"/>
        </w:rPr>
        <w:t xml:space="preserve"> </w:t>
      </w:r>
      <w:r>
        <w:rPr>
          <w:rFonts w:hint="eastAsia" w:ascii="宋体" w:hAnsi="宋体" w:cs="宋体"/>
          <w:color w:val="auto"/>
          <w:position w:val="6"/>
          <w:szCs w:val="28"/>
          <w:highlight w:val="none"/>
        </w:rPr>
        <w:t xml:space="preserve">供应商须知</w:t>
      </w:r>
      <w:r>
        <w:rPr>
          <w:color w:val="auto"/>
          <w:highlight w:val="none"/>
        </w:rPr>
        <w:tab/>
      </w:r>
      <w:r>
        <w:rPr>
          <w:color w:val="auto"/>
          <w:highlight w:val="none"/>
        </w:rPr>
        <w:fldChar w:fldCharType="begin"/>
      </w:r>
      <w:r>
        <w:rPr>
          <w:color w:val="auto"/>
          <w:highlight w:val="none"/>
        </w:rPr>
        <w:instrText xml:space="preserve"> PAGEREF _Toc26473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color w:val="auto"/>
          <w:szCs w:val="24"/>
          <w:highlight w:val="none"/>
          <w:lang w:val="zh-CN"/>
        </w:rPr>
        <w:fldChar w:fldCharType="end"/>
      </w:r>
      <w:r/>
    </w:p>
    <w:p>
      <w:pPr>
        <w:pStyle w:val="751"/>
        <w:tabs>
          <w:tab w:val="right" w:pos="8640" w:leader="dot"/>
        </w:tabs>
        <w:rPr>
          <w:color w:val="auto"/>
          <w:highlight w:val="none"/>
        </w:rPr>
      </w:pPr>
      <w:r>
        <w:rPr>
          <w:rFonts w:hint="eastAsia" w:ascii="宋体" w:hAnsi="宋体" w:eastAsia="宋体" w:cs="宋体"/>
          <w:color w:val="auto"/>
          <w:szCs w:val="24"/>
          <w:highlight w:val="none"/>
          <w:lang w:val="zh-CN"/>
        </w:rPr>
        <w:fldChar w:fldCharType="begin"/>
      </w:r>
      <w:r>
        <w:rPr>
          <w:rFonts w:hint="eastAsia" w:ascii="宋体" w:hAnsi="宋体" w:eastAsia="宋体" w:cs="宋体"/>
          <w:color w:val="auto"/>
          <w:szCs w:val="24"/>
          <w:highlight w:val="none"/>
          <w:lang w:val="zh-CN"/>
        </w:rPr>
        <w:instrText xml:space="preserve"> HYPERLINK \l _Toc16450 </w:instrText>
      </w:r>
      <w:r>
        <w:rPr>
          <w:rFonts w:hint="eastAsia" w:ascii="宋体" w:hAnsi="宋体" w:eastAsia="宋体" w:cs="宋体"/>
          <w:color w:val="auto"/>
          <w:szCs w:val="24"/>
          <w:highlight w:val="none"/>
          <w:lang w:val="zh-CN"/>
        </w:rPr>
        <w:fldChar w:fldCharType="separate"/>
      </w:r>
      <w:r>
        <w:rPr>
          <w:rFonts w:hint="eastAsia" w:ascii="宋体" w:hAnsi="宋体" w:cs="宋体"/>
          <w:color w:val="auto"/>
          <w:szCs w:val="28"/>
          <w:highlight w:val="none"/>
        </w:rPr>
        <w:t xml:space="preserve">第三章 </w:t>
      </w:r>
      <w:r>
        <w:rPr>
          <w:rFonts w:hint="eastAsia" w:ascii="宋体" w:hAnsi="宋体" w:cs="宋体"/>
          <w:color w:val="auto"/>
          <w:szCs w:val="28"/>
          <w:highlight w:val="none"/>
          <w:lang w:val="en-US" w:eastAsia="zh-CN"/>
        </w:rPr>
        <w:t xml:space="preserve"> </w:t>
      </w:r>
      <w:r>
        <w:rPr>
          <w:rFonts w:hint="eastAsia" w:ascii="宋体" w:hAnsi="宋体" w:cs="宋体"/>
          <w:color w:val="auto"/>
          <w:szCs w:val="28"/>
          <w:highlight w:val="none"/>
        </w:rPr>
        <w:t xml:space="preserve">评标方法</w:t>
      </w:r>
      <w:r>
        <w:rPr>
          <w:color w:val="auto"/>
          <w:highlight w:val="none"/>
        </w:rPr>
        <w:tab/>
      </w:r>
      <w:r>
        <w:rPr>
          <w:color w:val="auto"/>
          <w:highlight w:val="none"/>
        </w:rPr>
        <w:fldChar w:fldCharType="begin"/>
      </w:r>
      <w:r>
        <w:rPr>
          <w:color w:val="auto"/>
          <w:highlight w:val="none"/>
        </w:rPr>
        <w:instrText xml:space="preserve"> PAGEREF _Toc16450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color w:val="auto"/>
          <w:szCs w:val="24"/>
          <w:highlight w:val="none"/>
          <w:lang w:val="zh-CN"/>
        </w:rPr>
        <w:fldChar w:fldCharType="end"/>
      </w:r>
      <w:r/>
    </w:p>
    <w:p>
      <w:pPr>
        <w:pStyle w:val="751"/>
        <w:tabs>
          <w:tab w:val="right" w:pos="8640" w:leader="dot"/>
        </w:tabs>
        <w:rPr>
          <w:color w:val="auto"/>
          <w:highlight w:val="none"/>
        </w:rPr>
      </w:pPr>
      <w:r>
        <w:rPr>
          <w:rFonts w:hint="eastAsia" w:ascii="宋体" w:hAnsi="宋体" w:eastAsia="宋体" w:cs="宋体"/>
          <w:color w:val="auto"/>
          <w:szCs w:val="24"/>
          <w:highlight w:val="none"/>
          <w:lang w:val="zh-CN"/>
        </w:rPr>
        <w:fldChar w:fldCharType="begin"/>
      </w:r>
      <w:r>
        <w:rPr>
          <w:rFonts w:hint="eastAsia" w:ascii="宋体" w:hAnsi="宋体" w:eastAsia="宋体" w:cs="宋体"/>
          <w:color w:val="auto"/>
          <w:szCs w:val="24"/>
          <w:highlight w:val="none"/>
          <w:lang w:val="zh-CN"/>
        </w:rPr>
        <w:instrText xml:space="preserve"> HYPERLINK \l _Toc32643 </w:instrText>
      </w:r>
      <w:r>
        <w:rPr>
          <w:rFonts w:hint="eastAsia" w:ascii="宋体" w:hAnsi="宋体" w:eastAsia="宋体" w:cs="宋体"/>
          <w:color w:val="auto"/>
          <w:szCs w:val="24"/>
          <w:highlight w:val="none"/>
          <w:lang w:val="zh-CN"/>
        </w:rPr>
        <w:fldChar w:fldCharType="separate"/>
      </w:r>
      <w:r>
        <w:rPr>
          <w:rFonts w:hint="eastAsia" w:ascii="宋体" w:hAnsi="宋体" w:cs="宋体"/>
          <w:color w:val="auto"/>
          <w:position w:val="6"/>
          <w:szCs w:val="28"/>
          <w:highlight w:val="none"/>
          <w:lang w:val="en-US" w:eastAsia="zh-CN"/>
        </w:rPr>
        <w:t xml:space="preserve">第四章  </w:t>
      </w:r>
      <w:r>
        <w:rPr>
          <w:rFonts w:hint="eastAsia" w:ascii="宋体" w:hAnsi="宋体" w:cs="宋体"/>
          <w:color w:val="auto"/>
          <w:position w:val="6"/>
          <w:szCs w:val="28"/>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_Toc32643 \h </w:instrText>
      </w:r>
      <w:r>
        <w:rPr>
          <w:color w:val="auto"/>
          <w:highlight w:val="none"/>
        </w:rPr>
        <w:fldChar w:fldCharType="separate"/>
      </w:r>
      <w:r>
        <w:rPr>
          <w:color w:val="auto"/>
          <w:highlight w:val="none"/>
        </w:rPr>
        <w:t xml:space="preserve">23</w:t>
      </w:r>
      <w:r>
        <w:rPr>
          <w:color w:val="auto"/>
          <w:highlight w:val="none"/>
        </w:rPr>
        <w:fldChar w:fldCharType="end"/>
      </w:r>
      <w:r>
        <w:rPr>
          <w:rFonts w:hint="eastAsia" w:ascii="宋体" w:hAnsi="宋体" w:eastAsia="宋体" w:cs="宋体"/>
          <w:color w:val="auto"/>
          <w:szCs w:val="24"/>
          <w:highlight w:val="none"/>
          <w:lang w:val="zh-CN"/>
        </w:rPr>
        <w:fldChar w:fldCharType="end"/>
      </w:r>
      <w:r/>
    </w:p>
    <w:p>
      <w:pPr>
        <w:pStyle w:val="751"/>
        <w:tabs>
          <w:tab w:val="right" w:pos="8640" w:leader="dot"/>
        </w:tabs>
        <w:rPr>
          <w:color w:val="auto"/>
          <w:highlight w:val="none"/>
        </w:rPr>
      </w:pPr>
      <w:r>
        <w:rPr>
          <w:rFonts w:hint="eastAsia" w:ascii="宋体" w:hAnsi="宋体" w:eastAsia="宋体" w:cs="宋体"/>
          <w:color w:val="auto"/>
          <w:szCs w:val="24"/>
          <w:highlight w:val="none"/>
          <w:lang w:val="zh-CN"/>
        </w:rPr>
        <w:fldChar w:fldCharType="begin"/>
      </w:r>
      <w:r>
        <w:rPr>
          <w:rFonts w:hint="eastAsia" w:ascii="宋体" w:hAnsi="宋体" w:eastAsia="宋体" w:cs="宋体"/>
          <w:color w:val="auto"/>
          <w:szCs w:val="24"/>
          <w:highlight w:val="none"/>
          <w:lang w:val="zh-CN"/>
        </w:rPr>
        <w:instrText xml:space="preserve"> HYPERLINK \l _Toc15245 </w:instrText>
      </w:r>
      <w:r>
        <w:rPr>
          <w:rFonts w:hint="eastAsia" w:ascii="宋体" w:hAnsi="宋体" w:eastAsia="宋体" w:cs="宋体"/>
          <w:color w:val="auto"/>
          <w:szCs w:val="24"/>
          <w:highlight w:val="none"/>
          <w:lang w:val="zh-CN"/>
        </w:rPr>
        <w:fldChar w:fldCharType="separate"/>
      </w:r>
      <w:r>
        <w:rPr>
          <w:rFonts w:hint="eastAsia" w:ascii="宋体" w:hAnsi="宋体" w:cs="宋体"/>
          <w:color w:val="auto"/>
          <w:szCs w:val="28"/>
          <w:highlight w:val="none"/>
        </w:rPr>
        <w:t xml:space="preserve">第五章</w:t>
      </w:r>
      <w:r>
        <w:rPr>
          <w:rFonts w:hint="eastAsia" w:ascii="宋体" w:hAnsi="宋体" w:cs="宋体"/>
          <w:color w:val="auto"/>
          <w:szCs w:val="28"/>
          <w:highlight w:val="none"/>
          <w:lang w:val="en-US" w:eastAsia="zh-CN"/>
        </w:rPr>
        <w:t xml:space="preserve"> </w:t>
      </w:r>
      <w:r>
        <w:rPr>
          <w:rFonts w:hint="eastAsia" w:ascii="宋体" w:hAnsi="宋体" w:cs="宋体"/>
          <w:color w:val="auto"/>
          <w:szCs w:val="28"/>
          <w:highlight w:val="none"/>
        </w:rPr>
        <w:t xml:space="preserve"> 合同主要条款及格式</w:t>
      </w:r>
      <w:r>
        <w:rPr>
          <w:color w:val="auto"/>
          <w:highlight w:val="none"/>
        </w:rPr>
        <w:tab/>
      </w:r>
      <w:r>
        <w:rPr>
          <w:color w:val="auto"/>
          <w:highlight w:val="none"/>
        </w:rPr>
        <w:fldChar w:fldCharType="begin"/>
      </w:r>
      <w:r>
        <w:rPr>
          <w:color w:val="auto"/>
          <w:highlight w:val="none"/>
        </w:rPr>
        <w:instrText xml:space="preserve"> PAGEREF _Toc15245 \h </w:instrText>
      </w:r>
      <w:r>
        <w:rPr>
          <w:color w:val="auto"/>
          <w:highlight w:val="none"/>
        </w:rPr>
        <w:fldChar w:fldCharType="separate"/>
      </w:r>
      <w:r>
        <w:rPr>
          <w:color w:val="auto"/>
          <w:highlight w:val="none"/>
        </w:rPr>
        <w:t xml:space="preserve">33</w:t>
      </w:r>
      <w:r>
        <w:rPr>
          <w:color w:val="auto"/>
          <w:highlight w:val="none"/>
        </w:rPr>
        <w:fldChar w:fldCharType="end"/>
      </w:r>
      <w:r>
        <w:rPr>
          <w:rFonts w:hint="eastAsia" w:ascii="宋体" w:hAnsi="宋体" w:eastAsia="宋体" w:cs="宋体"/>
          <w:color w:val="auto"/>
          <w:szCs w:val="24"/>
          <w:highlight w:val="none"/>
          <w:lang w:val="zh-CN"/>
        </w:rPr>
        <w:fldChar w:fldCharType="end"/>
      </w:r>
      <w:r/>
    </w:p>
    <w:p>
      <w:pPr>
        <w:pStyle w:val="751"/>
        <w:tabs>
          <w:tab w:val="right" w:pos="8640" w:leader="dot"/>
        </w:tabs>
        <w:rPr>
          <w:color w:val="auto"/>
          <w:highlight w:val="none"/>
        </w:rPr>
      </w:pPr>
      <w:r>
        <w:rPr>
          <w:rFonts w:hint="eastAsia" w:ascii="宋体" w:hAnsi="宋体" w:eastAsia="宋体" w:cs="宋体"/>
          <w:color w:val="auto"/>
          <w:szCs w:val="24"/>
          <w:highlight w:val="none"/>
          <w:lang w:val="zh-CN"/>
        </w:rPr>
        <w:fldChar w:fldCharType="begin"/>
      </w:r>
      <w:r>
        <w:rPr>
          <w:rFonts w:hint="eastAsia" w:ascii="宋体" w:hAnsi="宋体" w:eastAsia="宋体" w:cs="宋体"/>
          <w:color w:val="auto"/>
          <w:szCs w:val="24"/>
          <w:highlight w:val="none"/>
          <w:lang w:val="zh-CN"/>
        </w:rPr>
        <w:instrText xml:space="preserve"> HYPERLINK \l _Toc14569 </w:instrText>
      </w:r>
      <w:r>
        <w:rPr>
          <w:rFonts w:hint="eastAsia" w:ascii="宋体" w:hAnsi="宋体" w:eastAsia="宋体" w:cs="宋体"/>
          <w:color w:val="auto"/>
          <w:szCs w:val="24"/>
          <w:highlight w:val="none"/>
          <w:lang w:val="zh-CN"/>
        </w:rPr>
        <w:fldChar w:fldCharType="separate"/>
      </w:r>
      <w:r>
        <w:rPr>
          <w:rFonts w:hint="eastAsia" w:ascii="宋体" w:hAnsi="宋体" w:cs="宋体"/>
          <w:bCs/>
          <w:color w:val="auto"/>
          <w:szCs w:val="32"/>
          <w:highlight w:val="none"/>
          <w:lang w:val="zh-CN"/>
        </w:rPr>
        <w:t xml:space="preserve">第六章 </w:t>
      </w:r>
      <w:r>
        <w:rPr>
          <w:rFonts w:hint="eastAsia" w:ascii="宋体" w:hAnsi="宋体" w:cs="宋体"/>
          <w:bCs/>
          <w:color w:val="auto"/>
          <w:szCs w:val="32"/>
          <w:highlight w:val="none"/>
          <w:lang w:val="en-US" w:eastAsia="zh-CN"/>
        </w:rPr>
        <w:t xml:space="preserve"> </w:t>
      </w:r>
      <w:r>
        <w:rPr>
          <w:rFonts w:hint="eastAsia" w:ascii="宋体" w:hAnsi="宋体" w:cs="宋体"/>
          <w:bCs/>
          <w:color w:val="auto"/>
          <w:szCs w:val="32"/>
          <w:highlight w:val="none"/>
        </w:rPr>
        <w:t xml:space="preserve">投标书格式</w:t>
      </w:r>
      <w:r>
        <w:rPr>
          <w:color w:val="auto"/>
          <w:highlight w:val="none"/>
        </w:rPr>
        <w:tab/>
      </w:r>
      <w:r>
        <w:rPr>
          <w:color w:val="auto"/>
          <w:highlight w:val="none"/>
        </w:rPr>
        <w:fldChar w:fldCharType="begin"/>
      </w:r>
      <w:r>
        <w:rPr>
          <w:color w:val="auto"/>
          <w:highlight w:val="none"/>
        </w:rPr>
        <w:instrText xml:space="preserve"> PAGEREF _Toc14569 \h </w:instrText>
      </w:r>
      <w:r>
        <w:rPr>
          <w:color w:val="auto"/>
          <w:highlight w:val="none"/>
        </w:rPr>
        <w:fldChar w:fldCharType="separate"/>
      </w:r>
      <w:r>
        <w:rPr>
          <w:color w:val="auto"/>
          <w:highlight w:val="none"/>
        </w:rPr>
        <w:t xml:space="preserve">39</w:t>
      </w:r>
      <w:r>
        <w:rPr>
          <w:color w:val="auto"/>
          <w:highlight w:val="none"/>
        </w:rPr>
        <w:fldChar w:fldCharType="end"/>
      </w:r>
      <w:r>
        <w:rPr>
          <w:rFonts w:hint="eastAsia" w:ascii="宋体" w:hAnsi="宋体" w:eastAsia="宋体" w:cs="宋体"/>
          <w:color w:val="auto"/>
          <w:szCs w:val="24"/>
          <w:highlight w:val="none"/>
          <w:lang w:val="zh-CN"/>
        </w:rPr>
        <w:fldChar w:fldCharType="end"/>
      </w:r>
      <w:r/>
    </w:p>
    <w:p>
      <w:pPr>
        <w:pStyle w:val="731"/>
        <w:keepLines w:val="0"/>
        <w:keepNext w:val="0"/>
        <w:pageBreakBefore w:val="0"/>
        <w:spacing w:line="288"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Cs w:val="24"/>
          <w:highlight w:val="none"/>
          <w:lang w:val="zh-CN"/>
        </w:rPr>
        <w:fldChar w:fldCharType="end"/>
      </w:r>
      <w:bookmarkStart w:id="0" w:name="_Toc16763"/>
      <w:r/>
      <w:r/>
    </w:p>
    <w:p>
      <w:pPr>
        <w:pStyle w:val="731"/>
        <w:spacing w:line="360" w:lineRule="auto"/>
        <w:rPr>
          <w:rFonts w:hint="eastAsia" w:ascii="宋体" w:hAnsi="宋体" w:eastAsia="宋体" w:cs="宋体"/>
          <w:b/>
          <w:color w:val="auto"/>
          <w:sz w:val="28"/>
          <w:szCs w:val="28"/>
          <w:highlight w:val="none"/>
        </w:rPr>
        <w:sectPr>
          <w:headerReference w:type="default" r:id="rId10"/>
          <w:footerReference w:type="default" r:id="rId13"/>
          <w:footnotePr/>
          <w:endnotePr>
            <w:numFmt w:val="decimal"/>
          </w:endnotePr>
          <w:type w:val="nextPage"/>
          <w:pgSz w:w="12240" w:h="15840" w:orient="portrait"/>
          <w:pgMar w:top="1440" w:right="1800" w:bottom="1440" w:left="1800" w:header="720" w:footer="720" w:gutter="0"/>
          <w:cols w:num="1" w:sep="0" w:space="0" w:equalWidth="1"/>
          <w:docGrid w:linePitch="360"/>
        </w:sectPr>
        <w:outlineLvl w:val="0"/>
      </w:pPr>
      <w:r>
        <w:rPr>
          <w:rFonts w:hint="eastAsia" w:ascii="宋体" w:hAnsi="宋体" w:eastAsia="宋体" w:cs="宋体"/>
          <w:b/>
          <w:color w:val="auto"/>
          <w:sz w:val="28"/>
          <w:szCs w:val="28"/>
          <w:highlight w:val="none"/>
        </w:rPr>
      </w:r>
      <w:r/>
    </w:p>
    <w:p>
      <w:pPr>
        <w:pStyle w:val="731"/>
        <w:spacing w:line="360" w:lineRule="auto"/>
        <w:rPr>
          <w:rFonts w:hint="eastAsia" w:ascii="宋体" w:hAnsi="宋体" w:eastAsia="宋体" w:cs="宋体"/>
          <w:b/>
          <w:color w:val="auto"/>
          <w:sz w:val="28"/>
          <w:szCs w:val="28"/>
          <w:highlight w:val="none"/>
        </w:rPr>
        <w:outlineLvl w:val="0"/>
      </w:pPr>
      <w:r/>
      <w:bookmarkStart w:id="1" w:name="_Toc22856"/>
      <w:r>
        <w:rPr>
          <w:rFonts w:hint="eastAsia" w:ascii="宋体" w:hAnsi="宋体" w:eastAsia="宋体" w:cs="宋体"/>
          <w:b/>
          <w:color w:val="auto"/>
          <w:sz w:val="28"/>
          <w:szCs w:val="28"/>
          <w:highlight w:val="none"/>
        </w:rPr>
        <w:t xml:space="preserve">第一章 </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投标邀请</w:t>
      </w:r>
      <w:bookmarkEnd w:id="0"/>
      <w:r/>
      <w:bookmarkEnd w:id="1"/>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2" w:name="_Toc28359079"/>
      <w:r/>
      <w:bookmarkStart w:id="3" w:name="_Toc35393790"/>
      <w:r/>
      <w:bookmarkStart w:id="4" w:name="_Toc28359002"/>
      <w:r/>
      <w:bookmarkStart w:id="5" w:name="_Toc35393621"/>
      <w:r/>
      <w:bookmarkStart w:id="6" w:name="_Hlk24379207"/>
      <w:r>
        <w:rPr>
          <w:rFonts w:hint="eastAsia" w:ascii="宋体" w:hAnsi="宋体" w:eastAsia="宋体" w:cs="宋体"/>
          <w:color w:val="auto"/>
          <w:sz w:val="24"/>
          <w:szCs w:val="24"/>
          <w:highlight w:val="none"/>
        </w:rPr>
        <w:t xml:space="preserve">项目概况</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lang w:val="zh-CN"/>
        </w:rPr>
        <w:t xml:space="preserve">南京师范大学附属扬子中学高品质高中创建一期工程普通教室及专用教室装备采购项目</w:t>
      </w:r>
      <w:r>
        <w:rPr>
          <w:rFonts w:hint="eastAsia" w:ascii="宋体" w:hAnsi="宋体" w:eastAsia="宋体" w:cs="宋体"/>
          <w:color w:val="auto"/>
          <w:sz w:val="24"/>
          <w:szCs w:val="24"/>
          <w:highlight w:val="none"/>
        </w:rPr>
        <w:t xml:space="preserve">的潜在投标人应在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获取招标文件，并于</w:t>
      </w:r>
      <w:r>
        <w:rPr>
          <w:rFonts w:hint="eastAsia" w:ascii="宋体" w:hAnsi="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09：30</w:t>
      </w:r>
      <w:r>
        <w:rPr>
          <w:rFonts w:hint="eastAsia" w:ascii="宋体" w:hAnsi="宋体" w:eastAsia="宋体" w:cs="宋体"/>
          <w:color w:val="auto"/>
          <w:sz w:val="24"/>
          <w:szCs w:val="24"/>
          <w:highlight w:val="none"/>
        </w:rPr>
        <w:t xml:space="preserve">分（北京时间）前递交投标文件。</w:t>
      </w:r>
      <w:r/>
    </w:p>
    <w:p>
      <w:pPr>
        <w:pStyle w:val="716"/>
        <w:ind w:firstLine="482"/>
        <w:keepLines w:val="0"/>
        <w:keepNext w:val="0"/>
        <w:pageBreakBefore w:val="0"/>
        <w:spacing w:before="0" w:after="0" w:line="336" w:lineRule="auto"/>
        <w:widowControl w:val="off"/>
        <w:rPr>
          <w:rFonts w:hint="eastAsia" w:ascii="宋体" w:hAnsi="宋体" w:eastAsia="宋体" w:cs="宋体"/>
          <w:color w:val="auto"/>
          <w:sz w:val="24"/>
          <w:szCs w:val="24"/>
          <w:highlight w:val="none"/>
        </w:rPr>
      </w:pPr>
      <w:r/>
      <w:bookmarkStart w:id="7" w:name="_Toc27454"/>
      <w:r/>
      <w:bookmarkStart w:id="8" w:name="_Toc4135"/>
      <w:r>
        <w:rPr>
          <w:rFonts w:hint="eastAsia" w:ascii="宋体" w:hAnsi="宋体" w:eastAsia="宋体" w:cs="宋体"/>
          <w:color w:val="auto"/>
          <w:sz w:val="24"/>
          <w:szCs w:val="24"/>
          <w:highlight w:val="none"/>
        </w:rPr>
        <w:t xml:space="preserve">一、项目基本情况</w:t>
      </w:r>
      <w:bookmarkEnd w:id="2"/>
      <w:r/>
      <w:bookmarkEnd w:id="3"/>
      <w:r/>
      <w:bookmarkEnd w:id="4"/>
      <w:r/>
      <w:bookmarkEnd w:id="5"/>
      <w:r/>
      <w:bookmarkEnd w:id="7"/>
      <w:r/>
      <w:bookmarkEnd w:id="8"/>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项目编号：</w:t>
      </w:r>
      <w:r>
        <w:rPr>
          <w:rFonts w:hint="eastAsia" w:ascii="宋体" w:hAnsi="宋体" w:cs="宋体"/>
          <w:i w:val="0"/>
          <w:iCs w:val="0"/>
          <w:caps w:val="0"/>
          <w:color w:val="auto"/>
          <w:spacing w:val="0"/>
          <w:sz w:val="24"/>
          <w:szCs w:val="24"/>
          <w:highlight w:val="none"/>
          <w:shd w:val="clear" w:color="auto"/>
          <w:lang w:eastAsia="zh-CN"/>
        </w:rPr>
        <w:t xml:space="preserve">JSZC-320192-NJNZ-G2026-0004</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项目名称：</w:t>
      </w:r>
      <w:bookmarkEnd w:id="6"/>
      <w:r>
        <w:rPr>
          <w:rFonts w:hint="eastAsia" w:ascii="宋体" w:hAnsi="宋体" w:cs="宋体"/>
          <w:color w:val="auto"/>
          <w:sz w:val="24"/>
          <w:szCs w:val="24"/>
          <w:highlight w:val="none"/>
          <w:lang w:val="zh-CN"/>
        </w:rPr>
        <w:t xml:space="preserve">南京师范大学附属扬子中学高品质高中创建一期工程普通教室及专用教室装备采购项目</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1.3采购方式：公开招标</w:t>
      </w:r>
      <w:r/>
    </w:p>
    <w:p>
      <w:pPr>
        <w:ind w:firstLine="480"/>
        <w:keepLines w:val="0"/>
        <w:keepNext w:val="0"/>
        <w:pageBreakBefore w:val="0"/>
        <w:spacing w:line="336"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val="zh-CN"/>
        </w:rPr>
        <w:t xml:space="preserve">预算金额：</w:t>
      </w:r>
      <w:r>
        <w:rPr>
          <w:rFonts w:hint="eastAsia" w:ascii="宋体" w:hAnsi="宋体" w:cs="宋体"/>
          <w:color w:val="auto"/>
          <w:sz w:val="24"/>
          <w:szCs w:val="24"/>
          <w:highlight w:val="none"/>
          <w:lang w:val="en-US" w:eastAsia="zh-CN"/>
        </w:rPr>
        <w:t xml:space="preserve">134.3368万元</w:t>
      </w:r>
      <w:r/>
    </w:p>
    <w:p>
      <w:pPr>
        <w:ind w:firstLine="480"/>
        <w:keepLines w:val="0"/>
        <w:keepNext w:val="0"/>
        <w:pageBreakBefore w:val="0"/>
        <w:spacing w:line="336"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lang w:val="zh-CN"/>
        </w:rPr>
        <w:t xml:space="preserve">最高限价：</w:t>
      </w:r>
      <w:r>
        <w:rPr>
          <w:rFonts w:hint="eastAsia" w:ascii="宋体" w:hAnsi="宋体" w:cs="宋体"/>
          <w:color w:val="auto"/>
          <w:sz w:val="24"/>
          <w:szCs w:val="24"/>
          <w:highlight w:val="none"/>
          <w:lang w:val="en-US" w:eastAsia="zh-CN"/>
        </w:rPr>
        <w:t xml:space="preserve">134.3368万元</w:t>
      </w:r>
      <w:r/>
    </w:p>
    <w:p>
      <w:pPr>
        <w:ind w:firstLine="480"/>
        <w:keepLines w:val="0"/>
        <w:keepNext w:val="0"/>
        <w:pageBreakBefore w:val="0"/>
        <w:spacing w:line="336" w:lineRule="auto"/>
        <w:widowControl w:val="off"/>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lang w:val="zh-CN"/>
        </w:rPr>
        <w:t xml:space="preserve">采购需求：</w:t>
      </w:r>
      <w:r>
        <w:rPr>
          <w:rFonts w:hint="eastAsia" w:ascii="宋体" w:hAnsi="宋体" w:cs="宋体"/>
          <w:color w:val="auto"/>
          <w:sz w:val="24"/>
          <w:szCs w:val="24"/>
          <w:highlight w:val="none"/>
          <w:lang w:val="zh-CN" w:eastAsia="zh-CN"/>
        </w:rPr>
        <w:t xml:space="preserve">具体内容要求详见采购文件。</w:t>
      </w:r>
      <w:r>
        <w:rPr>
          <w:rFonts w:hint="eastAsia" w:ascii="宋体" w:hAnsi="宋体" w:cs="宋体"/>
          <w:color w:val="auto"/>
          <w:sz w:val="24"/>
          <w:szCs w:val="24"/>
          <w:highlight w:val="none"/>
          <w:lang w:val="en-US" w:eastAsia="zh-CN"/>
        </w:rPr>
        <w:t xml:space="preserve"> </w:t>
      </w:r>
      <w:r/>
    </w:p>
    <w:p>
      <w:pPr>
        <w:ind w:firstLine="480"/>
        <w:keepLines w:val="0"/>
        <w:keepNext w:val="0"/>
        <w:pageBreakBefore w:val="0"/>
        <w:spacing w:line="336"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合同签订后30天内交付并完成安装调试及验收等相关工作。</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本项目不接受联合体投标。</w:t>
      </w:r>
      <w:r/>
    </w:p>
    <w:p>
      <w:pPr>
        <w:pStyle w:val="716"/>
        <w:ind w:firstLine="482"/>
        <w:keepLines w:val="0"/>
        <w:keepNext w:val="0"/>
        <w:pageBreakBefore w:val="0"/>
        <w:spacing w:before="0" w:after="0" w:line="336" w:lineRule="auto"/>
        <w:widowControl w:val="off"/>
        <w:rPr>
          <w:rFonts w:hint="eastAsia" w:ascii="宋体" w:hAnsi="宋体" w:eastAsia="宋体" w:cs="宋体"/>
          <w:color w:val="auto"/>
          <w:sz w:val="24"/>
          <w:szCs w:val="24"/>
          <w:highlight w:val="none"/>
        </w:rPr>
      </w:pPr>
      <w:r/>
      <w:bookmarkStart w:id="9" w:name="_Toc28359003"/>
      <w:r/>
      <w:bookmarkStart w:id="10" w:name="_Toc14033"/>
      <w:r/>
      <w:bookmarkStart w:id="11" w:name="_Toc35393622"/>
      <w:r/>
      <w:bookmarkStart w:id="12" w:name="_Toc28359080"/>
      <w:r/>
      <w:bookmarkStart w:id="13" w:name="_Toc31442"/>
      <w:r/>
      <w:bookmarkStart w:id="14" w:name="_Toc35393791"/>
      <w:r>
        <w:rPr>
          <w:rFonts w:hint="eastAsia" w:ascii="宋体" w:hAnsi="宋体" w:eastAsia="宋体" w:cs="宋体"/>
          <w:color w:val="auto"/>
          <w:sz w:val="24"/>
          <w:szCs w:val="24"/>
          <w:highlight w:val="none"/>
        </w:rPr>
        <w:t xml:space="preserve">二、申请人的资格要求</w:t>
      </w:r>
      <w:bookmarkEnd w:id="9"/>
      <w:r/>
      <w:bookmarkEnd w:id="10"/>
      <w:r/>
      <w:bookmarkEnd w:id="11"/>
      <w:r/>
      <w:bookmarkEnd w:id="12"/>
      <w:r/>
      <w:bookmarkEnd w:id="13"/>
      <w:r/>
      <w:bookmarkEnd w:id="14"/>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eastAsia="宋体" w:cs="宋体"/>
          <w:b w:val="0"/>
          <w:bCs w:val="0"/>
          <w:color w:val="auto"/>
          <w:sz w:val="24"/>
          <w:szCs w:val="24"/>
          <w:highlight w:val="none"/>
          <w:lang w:val="zh-CN" w:eastAsia="zh-CN"/>
        </w:rPr>
        <w:t xml:space="preserve">满足《中华人民共和国政府采购法》第二十二条规定，包括但不限于：</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（1）具有独立承担民事责任的能力（提供法人或者其他组织的营业执照；供应商为自然人的，提供其身份证）； </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2）具有良好的商业信誉和健全的财务会计制度（提供距开标时间六个月内任意一月份的财务状况报告（至少包括资产负债和利润表）（成立未满三个月法人或成立未满三个月其他组织的可以不提供），或开标截止时间前六个月内银行出具的资信证明，或其</w:t>
      </w:r>
      <w:r>
        <w:rPr>
          <w:rFonts w:hint="eastAsia" w:ascii="宋体" w:hAnsi="宋体" w:cs="宋体"/>
          <w:b w:val="0"/>
          <w:bCs w:val="0"/>
          <w:color w:val="auto"/>
          <w:sz w:val="24"/>
          <w:szCs w:val="24"/>
          <w:highlight w:val="none"/>
          <w:lang w:val="zh-CN" w:eastAsia="zh-CN"/>
        </w:rPr>
        <w:t xml:space="preserve">近一年度</w:t>
      </w:r>
      <w:r>
        <w:rPr>
          <w:rFonts w:hint="eastAsia" w:ascii="宋体" w:hAnsi="宋体" w:eastAsia="宋体" w:cs="宋体"/>
          <w:b w:val="0"/>
          <w:bCs w:val="0"/>
          <w:color w:val="auto"/>
          <w:sz w:val="24"/>
          <w:szCs w:val="24"/>
          <w:highlight w:val="none"/>
          <w:lang w:val="zh-CN" w:eastAsia="zh-CN"/>
        </w:rPr>
        <w:t xml:space="preserve">的财务报告）；</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（3）具有履行合同所必需的设备和专业技术能力（供应商根据履行采购项目合同需要，提供履行合同所必需的设备和专业技术能力的证明材料）；</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（4）有依法缴纳税收的良好记录（提供参加本次政府采购活动前半年内至少一个月的缴纳税收的凭证，依法享受免缴、缓缴的，提供证明材料）；</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（5）有依法缴纳社会保障资金的良好记录（提供参加本次政府采购活动前半年内至少一个月的缴纳社会保险的凭据）；</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（6）参加政府采购活动前三年内，在经营活动中没有重大违法记录（提供承诺书）；</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（7）法律、行政法规规定的其他条件：无。</w:t>
      </w:r>
      <w:r/>
    </w:p>
    <w:p>
      <w:pPr>
        <w:ind w:firstLine="480"/>
        <w:jc w:val="left"/>
        <w:keepLines w:val="0"/>
        <w:keepNext w:val="0"/>
        <w:pageBreakBefore w:val="0"/>
        <w:spacing w:line="336" w:lineRule="auto"/>
        <w:widowControl w:val="off"/>
        <w:rPr>
          <w:rFonts w:hint="eastAsia" w:ascii="宋体" w:hAnsi="宋体" w:eastAsia="宋体" w:cs="宋体"/>
          <w:color w:val="auto"/>
          <w:sz w:val="24"/>
          <w:szCs w:val="24"/>
          <w:highlight w:val="none"/>
          <w:shd w:val="clear" w:color="auto" w:fill="ffffff"/>
          <w:lang w:val="zh-CN" w:bidi="ar"/>
        </w:rPr>
      </w:pPr>
      <w:r>
        <w:rPr>
          <w:rFonts w:hint="eastAsia" w:ascii="宋体" w:hAnsi="宋体" w:cs="宋体"/>
          <w:color w:val="auto"/>
          <w:sz w:val="24"/>
          <w:szCs w:val="24"/>
          <w:highlight w:val="none"/>
          <w:shd w:val="clear" w:color="auto" w:fill="ffffff"/>
          <w:lang w:val="zh-CN" w:eastAsia="zh-CN" w:bidi="ar"/>
        </w:rPr>
        <w:t xml:space="preserve">（</w:t>
      </w:r>
      <w:r>
        <w:rPr>
          <w:rFonts w:hint="eastAsia" w:ascii="宋体" w:hAnsi="宋体" w:cs="宋体"/>
          <w:color w:val="auto"/>
          <w:sz w:val="24"/>
          <w:szCs w:val="24"/>
          <w:highlight w:val="none"/>
          <w:shd w:val="clear" w:color="auto" w:fill="ffffff"/>
          <w:lang w:val="en-US" w:eastAsia="zh-CN" w:bidi="ar"/>
        </w:rPr>
        <w:t xml:space="preserve">8</w:t>
      </w:r>
      <w:r>
        <w:rPr>
          <w:rFonts w:hint="eastAsia" w:ascii="宋体" w:hAnsi="宋体" w:cs="宋体"/>
          <w:color w:val="auto"/>
          <w:sz w:val="24"/>
          <w:szCs w:val="24"/>
          <w:highlight w:val="none"/>
          <w:shd w:val="clear" w:color="auto" w:fill="ffffff"/>
          <w:lang w:val="zh-CN" w:eastAsia="zh-CN" w:bidi="ar"/>
        </w:rPr>
        <w:t xml:space="preserve">）</w:t>
      </w:r>
      <w:r>
        <w:rPr>
          <w:rFonts w:hint="eastAsia" w:ascii="宋体" w:hAnsi="宋体" w:eastAsia="宋体" w:cs="宋体"/>
          <w:color w:val="auto"/>
          <w:sz w:val="24"/>
          <w:szCs w:val="24"/>
          <w:highlight w:val="none"/>
          <w:shd w:val="clear" w:color="auto" w:fill="ffffff"/>
          <w:lang w:val="zh-CN" w:eastAsia="zh-CN" w:bidi="ar"/>
        </w:rPr>
        <w:t xml:space="preserve">提供《南京市政府采购供应商信用记录表暨信用承诺书》</w:t>
      </w:r>
      <w:r>
        <w:rPr>
          <w:rFonts w:hint="eastAsia" w:ascii="宋体" w:hAnsi="宋体" w:cs="宋体"/>
          <w:color w:val="auto"/>
          <w:sz w:val="24"/>
          <w:szCs w:val="24"/>
          <w:highlight w:val="none"/>
          <w:shd w:val="clear" w:color="auto" w:fill="ffffff"/>
          <w:lang w:val="zh-CN" w:eastAsia="zh-CN" w:bidi="ar"/>
        </w:rPr>
        <w:t xml:space="preserve">。</w:t>
      </w:r>
      <w:r/>
    </w:p>
    <w:p>
      <w:pPr>
        <w:ind w:firstLine="480"/>
        <w:jc w:val="left"/>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shd w:val="clear" w:color="auto" w:fill="ffffff"/>
          <w:lang w:val="en-US" w:eastAsia="zh-CN" w:bidi="ar"/>
        </w:rPr>
        <w:t xml:space="preserve">（9）</w:t>
      </w:r>
      <w:r>
        <w:rPr>
          <w:rFonts w:hint="eastAsia" w:ascii="宋体" w:hAnsi="宋体" w:eastAsia="宋体" w:cs="宋体"/>
          <w:color w:val="auto"/>
          <w:sz w:val="24"/>
          <w:szCs w:val="24"/>
          <w:highlight w:val="none"/>
          <w:shd w:val="clear" w:color="auto" w:fill="ffffff"/>
          <w:lang w:bidi="ar"/>
        </w:rPr>
        <w:t xml:space="preserve">拒绝下述供应商参加本次采购活动：</w:t>
      </w:r>
      <w:r/>
    </w:p>
    <w:p>
      <w:pPr>
        <w:ind w:firstLine="480"/>
        <w:jc w:val="left"/>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shd w:val="clear" w:color="auto" w:fill="ffffff"/>
          <w:lang w:val="en-US" w:eastAsia="zh-CN" w:bidi="ar"/>
        </w:rPr>
        <w:t xml:space="preserve">①</w:t>
      </w:r>
      <w:r>
        <w:rPr>
          <w:rFonts w:hint="eastAsia" w:ascii="宋体" w:hAnsi="宋体" w:eastAsia="宋体" w:cs="宋体"/>
          <w:color w:val="auto"/>
          <w:sz w:val="24"/>
          <w:szCs w:val="24"/>
          <w:highlight w:val="none"/>
          <w:shd w:val="clear" w:color="auto" w:fill="ffffff"/>
          <w:lang w:bidi="ar"/>
        </w:rPr>
        <w:t xml:space="preserve">供应商单位负责人为同一人或者存在直接控股、管理关系的不同供应商，不得参加同一合同项下的政府采购活动。</w:t>
      </w:r>
      <w:r/>
    </w:p>
    <w:p>
      <w:pPr>
        <w:ind w:firstLine="480"/>
        <w:jc w:val="left"/>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shd w:val="clear" w:color="auto" w:fill="ffffff"/>
          <w:lang w:val="en-US" w:eastAsia="zh-CN" w:bidi="ar"/>
        </w:rPr>
        <w:t xml:space="preserve">②</w:t>
      </w:r>
      <w:r>
        <w:rPr>
          <w:rFonts w:hint="eastAsia" w:ascii="宋体" w:hAnsi="宋体" w:eastAsia="宋体" w:cs="宋体"/>
          <w:color w:val="auto"/>
          <w:sz w:val="24"/>
          <w:szCs w:val="24"/>
          <w:highlight w:val="none"/>
          <w:shd w:val="clear" w:color="auto" w:fill="ffffff"/>
          <w:lang w:bidi="ar"/>
        </w:rPr>
        <w:t xml:space="preserve">凡为采购项目提供整体设计、规范编制或者项目管理、监理、检测等服务的供应商，不得再参加本项目的采购活动。</w:t>
      </w:r>
      <w:r/>
    </w:p>
    <w:p>
      <w:pPr>
        <w:ind w:firstLine="480"/>
        <w:jc w:val="left"/>
        <w:keepLines w:val="0"/>
        <w:keepNext w:val="0"/>
        <w:pageBreakBefore w:val="0"/>
        <w:spacing w:line="336" w:lineRule="auto"/>
        <w:widowControl w:val="off"/>
        <w:rPr>
          <w:rFonts w:hint="eastAsia"/>
          <w:lang w:val="zh-CN" w:eastAsia="zh-CN"/>
        </w:rPr>
      </w:pPr>
      <w:r>
        <w:rPr>
          <w:rFonts w:hint="eastAsia" w:ascii="宋体" w:hAnsi="宋体" w:cs="宋体"/>
          <w:color w:val="auto"/>
          <w:sz w:val="24"/>
          <w:szCs w:val="24"/>
          <w:highlight w:val="none"/>
          <w:shd w:val="clear" w:color="auto" w:fill="ffffff"/>
          <w:lang w:val="en-US" w:eastAsia="zh-CN" w:bidi="ar"/>
        </w:rPr>
        <w:t xml:space="preserve">③</w:t>
      </w:r>
      <w:r>
        <w:rPr>
          <w:rFonts w:hint="eastAsia" w:ascii="宋体" w:hAnsi="宋体" w:eastAsia="宋体" w:cs="宋体"/>
          <w:color w:val="auto"/>
          <w:sz w:val="24"/>
          <w:szCs w:val="24"/>
          <w:highlight w:val="none"/>
          <w:shd w:val="clear" w:color="auto" w:fill="ffffff"/>
          <w:lang w:bidi="ar"/>
        </w:rPr>
        <w:t xml:space="preserve">供应商被“信用中国”网站、“中国政府采购网"列入失信被执行人、重大税收违法案件当事人名单、政府采购严重违法失信行为记录名单。</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cs="宋体"/>
          <w:color w:val="auto"/>
          <w:sz w:val="24"/>
          <w:szCs w:val="24"/>
          <w:highlight w:val="none"/>
          <w:lang w:val="en-US" w:eastAsia="zh-CN"/>
        </w:rPr>
        <w:t xml:space="preserve">无</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36" w:lineRule="auto"/>
        <w:widowControl w:val="off"/>
        <w:rPr>
          <w:rFonts w:hint="eastAsia" w:ascii="宋体" w:hAnsi="宋体" w:eastAsia="宋体" w:cs="宋体"/>
          <w:i/>
          <w:iCs/>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b/>
          <w:bCs/>
          <w:color w:val="auto"/>
          <w:sz w:val="24"/>
          <w:szCs w:val="24"/>
          <w:highlight w:val="none"/>
          <w:lang w:val="en-US" w:eastAsia="zh-CN"/>
        </w:rPr>
        <w:t xml:space="preserve"> </w:t>
      </w:r>
      <w:r/>
    </w:p>
    <w:p>
      <w:pPr>
        <w:pStyle w:val="716"/>
        <w:ind w:firstLine="482"/>
        <w:keepLines w:val="0"/>
        <w:keepNext w:val="0"/>
        <w:pageBreakBefore w:val="0"/>
        <w:spacing w:before="0" w:after="0" w:line="336" w:lineRule="auto"/>
        <w:widowControl w:val="off"/>
        <w:rPr>
          <w:rFonts w:hint="eastAsia" w:ascii="宋体" w:hAnsi="宋体" w:eastAsia="宋体" w:cs="宋体"/>
          <w:color w:val="auto"/>
          <w:sz w:val="24"/>
          <w:szCs w:val="24"/>
          <w:highlight w:val="none"/>
        </w:rPr>
      </w:pPr>
      <w:r/>
      <w:bookmarkStart w:id="15" w:name="_Toc35393792"/>
      <w:r/>
      <w:bookmarkStart w:id="16" w:name="_Toc28359081"/>
      <w:r/>
      <w:bookmarkStart w:id="17" w:name="_Toc18515"/>
      <w:r/>
      <w:bookmarkStart w:id="18" w:name="_Toc28359004"/>
      <w:r/>
      <w:bookmarkStart w:id="19" w:name="_Toc35393623"/>
      <w:r/>
      <w:bookmarkStart w:id="20" w:name="_Toc30248"/>
      <w:r>
        <w:rPr>
          <w:rFonts w:hint="eastAsia" w:ascii="宋体" w:hAnsi="宋体" w:eastAsia="宋体" w:cs="宋体"/>
          <w:color w:val="auto"/>
          <w:sz w:val="24"/>
          <w:szCs w:val="24"/>
          <w:highlight w:val="none"/>
        </w:rPr>
        <w:t xml:space="preserve">三、获取招标文件</w:t>
      </w:r>
      <w:bookmarkEnd w:id="15"/>
      <w:r/>
      <w:bookmarkEnd w:id="16"/>
      <w:r/>
      <w:bookmarkEnd w:id="17"/>
      <w:r/>
      <w:bookmarkEnd w:id="18"/>
      <w:r/>
      <w:bookmarkEnd w:id="19"/>
      <w:r/>
      <w:bookmarkEnd w:id="20"/>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3.1获取</w:t>
      </w:r>
      <w:r>
        <w:rPr>
          <w:rFonts w:hint="eastAsia" w:ascii="宋体" w:hAnsi="宋体" w:eastAsia="宋体" w:cs="宋体"/>
          <w:color w:val="auto"/>
          <w:sz w:val="24"/>
          <w:szCs w:val="24"/>
          <w:highlight w:val="none"/>
        </w:rPr>
        <w:t xml:space="preserve">时间：自招标文件公告发布之日起5个工作日</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3.2地点</w:t>
      </w:r>
      <w:r>
        <w:rPr>
          <w:rFonts w:hint="eastAsia" w:ascii="宋体" w:hAnsi="宋体" w:eastAsia="宋体" w:cs="宋体"/>
          <w:color w:val="auto"/>
          <w:sz w:val="24"/>
          <w:szCs w:val="24"/>
          <w:highlight w:val="none"/>
        </w:rPr>
        <w:t xml:space="preserve">：</w:t>
      </w:r>
      <w:bookmarkStart w:id="21" w:name="_Toc28359082"/>
      <w:r/>
      <w:bookmarkStart w:id="22" w:name="_Toc28359005"/>
      <w:r/>
      <w:bookmarkStart w:id="23" w:name="_Toc35393624"/>
      <w:r/>
      <w:bookmarkStart w:id="24" w:name="_Toc35393793"/>
      <w:r>
        <w:rPr>
          <w:rFonts w:hint="eastAsia" w:ascii="宋体" w:hAnsi="宋体" w:eastAsia="宋体" w:cs="宋体"/>
          <w:color w:val="auto"/>
          <w:sz w:val="24"/>
          <w:szCs w:val="24"/>
          <w:highlight w:val="none"/>
        </w:rPr>
        <w:t xml:space="preserve">在“江苏政府采购网”自行免费下载</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3.3获取方式：网上下载</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lang w:val="zh-CN" w:eastAsia="zh-CN"/>
        </w:rPr>
        <w:t xml:space="preserve">售价：</w:t>
      </w:r>
      <w:r>
        <w:rPr>
          <w:rFonts w:hint="eastAsia" w:ascii="宋体" w:hAnsi="宋体" w:eastAsia="宋体" w:cs="宋体"/>
          <w:color w:val="auto"/>
          <w:sz w:val="24"/>
          <w:szCs w:val="24"/>
          <w:highlight w:val="none"/>
          <w:lang w:val="en-US" w:eastAsia="zh-CN"/>
        </w:rPr>
        <w:t xml:space="preserve">0.00</w:t>
      </w:r>
      <w:r>
        <w:rPr>
          <w:rFonts w:hint="eastAsia" w:ascii="宋体" w:hAnsi="宋体" w:eastAsia="宋体" w:cs="宋体"/>
          <w:color w:val="auto"/>
          <w:sz w:val="24"/>
          <w:szCs w:val="24"/>
          <w:highlight w:val="none"/>
          <w:lang w:val="zh-CN" w:eastAsia="zh-CN"/>
        </w:rPr>
        <w:t xml:space="preserve">元</w:t>
      </w:r>
      <w:r/>
    </w:p>
    <w:p>
      <w:pPr>
        <w:pStyle w:val="716"/>
        <w:ind w:firstLine="482"/>
        <w:keepLines w:val="0"/>
        <w:keepNext w:val="0"/>
        <w:pageBreakBefore w:val="0"/>
        <w:spacing w:before="0" w:after="0" w:line="336" w:lineRule="auto"/>
        <w:widowControl w:val="off"/>
        <w:rPr>
          <w:rFonts w:hint="eastAsia" w:ascii="宋体" w:hAnsi="宋体" w:eastAsia="宋体" w:cs="宋体"/>
          <w:color w:val="auto"/>
          <w:sz w:val="24"/>
          <w:szCs w:val="24"/>
          <w:highlight w:val="none"/>
        </w:rPr>
      </w:pPr>
      <w:r/>
      <w:bookmarkStart w:id="25" w:name="_Toc22163"/>
      <w:r/>
      <w:bookmarkStart w:id="26" w:name="_Toc17355"/>
      <w:r>
        <w:rPr>
          <w:rFonts w:hint="eastAsia" w:ascii="宋体" w:hAnsi="宋体" w:eastAsia="宋体" w:cs="宋体"/>
          <w:color w:val="auto"/>
          <w:sz w:val="24"/>
          <w:szCs w:val="24"/>
          <w:highlight w:val="none"/>
        </w:rPr>
        <w:t xml:space="preserve">四、提交投标文件</w:t>
      </w:r>
      <w:bookmarkEnd w:id="21"/>
      <w:r/>
      <w:bookmarkEnd w:id="22"/>
      <w:r>
        <w:rPr>
          <w:rFonts w:hint="eastAsia" w:ascii="宋体" w:hAnsi="宋体" w:eastAsia="宋体" w:cs="宋体"/>
          <w:color w:val="auto"/>
          <w:sz w:val="24"/>
          <w:szCs w:val="24"/>
          <w:highlight w:val="none"/>
        </w:rPr>
        <w:t xml:space="preserve">截止时间、开标时间和地点</w:t>
      </w:r>
      <w:bookmarkEnd w:id="23"/>
      <w:r/>
      <w:bookmarkEnd w:id="24"/>
      <w:r/>
      <w:bookmarkEnd w:id="25"/>
      <w:r/>
      <w:bookmarkEnd w:id="26"/>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提交投标文件截止及开标时间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时</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分（北京时间）</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提交投标文件地点：</w:t>
      </w:r>
      <w:r>
        <w:rPr>
          <w:rFonts w:hint="eastAsia" w:ascii="宋体" w:hAnsi="宋体" w:eastAsia="宋体" w:cs="宋体"/>
          <w:color w:val="auto"/>
          <w:sz w:val="24"/>
          <w:szCs w:val="24"/>
          <w:highlight w:val="none"/>
          <w:lang w:val="en-US" w:eastAsia="zh-CN"/>
        </w:rPr>
        <w:t xml:space="preserve">江苏省政府采购管理交易系统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以下简称“苏采云”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4.3开标地点：“苏采云”开标大厅</w:t>
      </w:r>
      <w:r>
        <w:rPr>
          <w:rFonts w:hint="eastAsia" w:ascii="宋体" w:hAnsi="宋体" w:eastAsia="宋体" w:cs="宋体"/>
          <w:color w:val="auto"/>
          <w:sz w:val="24"/>
          <w:szCs w:val="24"/>
          <w:highlight w:val="none"/>
        </w:rPr>
        <w:t xml:space="preserve"> </w:t>
      </w:r>
      <w:r/>
    </w:p>
    <w:p>
      <w:pPr>
        <w:pStyle w:val="716"/>
        <w:ind w:firstLine="482"/>
        <w:keepLines w:val="0"/>
        <w:keepNext w:val="0"/>
        <w:pageBreakBefore w:val="0"/>
        <w:spacing w:before="0" w:after="0" w:line="336" w:lineRule="auto"/>
        <w:widowControl w:val="off"/>
        <w:rPr>
          <w:rFonts w:hint="eastAsia" w:ascii="宋体" w:hAnsi="宋体" w:eastAsia="宋体" w:cs="宋体"/>
          <w:color w:val="auto"/>
          <w:sz w:val="24"/>
          <w:szCs w:val="24"/>
          <w:highlight w:val="none"/>
        </w:rPr>
      </w:pPr>
      <w:r/>
      <w:bookmarkStart w:id="27" w:name="_Toc35393625"/>
      <w:r/>
      <w:bookmarkStart w:id="28" w:name="_Toc28359084"/>
      <w:r/>
      <w:bookmarkStart w:id="29" w:name="_Toc35393794"/>
      <w:r/>
      <w:bookmarkStart w:id="30" w:name="_Toc23387"/>
      <w:r/>
      <w:bookmarkStart w:id="31" w:name="_Toc28859"/>
      <w:r/>
      <w:bookmarkStart w:id="32" w:name="_Toc28359007"/>
      <w:r>
        <w:rPr>
          <w:rFonts w:hint="eastAsia" w:ascii="宋体" w:hAnsi="宋体" w:eastAsia="宋体" w:cs="宋体"/>
          <w:color w:val="auto"/>
          <w:sz w:val="24"/>
          <w:szCs w:val="24"/>
          <w:highlight w:val="none"/>
        </w:rPr>
        <w:t xml:space="preserve">五、公告期限</w:t>
      </w:r>
      <w:bookmarkEnd w:id="27"/>
      <w:r/>
      <w:bookmarkEnd w:id="28"/>
      <w:r/>
      <w:bookmarkEnd w:id="29"/>
      <w:r/>
      <w:bookmarkEnd w:id="30"/>
      <w:r/>
      <w:bookmarkEnd w:id="31"/>
      <w:r/>
      <w:bookmarkEnd w:id="32"/>
      <w:r/>
      <w:r/>
    </w:p>
    <w:p>
      <w:pPr>
        <w:ind w:firstLine="480"/>
        <w:keepLines w:val="0"/>
        <w:keepNext w:val="0"/>
        <w:pageBreakBefore w:val="0"/>
        <w:spacing w:before="0" w:after="0" w:line="336" w:lineRule="auto"/>
        <w:widowControl w:val="off"/>
        <w:rPr>
          <w:rFonts w:hint="eastAsia" w:ascii="宋体" w:hAnsi="宋体" w:eastAsia="宋体" w:cs="宋体"/>
          <w:color w:val="auto"/>
          <w:sz w:val="24"/>
          <w:szCs w:val="24"/>
          <w:highlight w:val="none"/>
          <w:lang w:eastAsia="zh-CN"/>
        </w:rPr>
        <w:outlineLvl w:val="9"/>
      </w:pPr>
      <w:r/>
      <w:bookmarkStart w:id="33" w:name="_Toc408"/>
      <w:r/>
      <w:bookmarkStart w:id="34" w:name="_Toc35393795"/>
      <w:r/>
      <w:bookmarkStart w:id="35" w:name="_Toc35393626"/>
      <w:r>
        <w:rPr>
          <w:rFonts w:hint="eastAsia" w:ascii="宋体" w:hAnsi="宋体" w:eastAsia="宋体" w:cs="宋体"/>
          <w:b w:val="0"/>
          <w:bCs/>
          <w:color w:val="auto"/>
          <w:sz w:val="24"/>
          <w:szCs w:val="24"/>
          <w:highlight w:val="none"/>
        </w:rPr>
        <w:t xml:space="preserve">自本公告发布之日起5个工作日</w:t>
      </w:r>
      <w:r>
        <w:rPr>
          <w:rFonts w:hint="eastAsia" w:ascii="宋体" w:hAnsi="宋体" w:eastAsia="宋体" w:cs="宋体"/>
          <w:b w:val="0"/>
          <w:bCs/>
          <w:color w:val="auto"/>
          <w:sz w:val="24"/>
          <w:szCs w:val="24"/>
          <w:highlight w:val="none"/>
          <w:lang w:eastAsia="zh-CN"/>
        </w:rPr>
        <w:t xml:space="preserve">。</w:t>
      </w:r>
      <w:bookmarkEnd w:id="33"/>
      <w:r/>
      <w:r/>
    </w:p>
    <w:p>
      <w:pPr>
        <w:pStyle w:val="716"/>
        <w:ind w:firstLine="482"/>
        <w:keepLines w:val="0"/>
        <w:keepNext w:val="0"/>
        <w:pageBreakBefore w:val="0"/>
        <w:spacing w:before="0" w:after="0" w:line="336" w:lineRule="auto"/>
        <w:widowControl w:val="off"/>
        <w:rPr>
          <w:rFonts w:hint="eastAsia" w:ascii="宋体" w:hAnsi="宋体" w:eastAsia="宋体" w:cs="宋体"/>
          <w:color w:val="auto"/>
          <w:sz w:val="24"/>
          <w:szCs w:val="24"/>
          <w:highlight w:val="none"/>
        </w:rPr>
      </w:pPr>
      <w:r/>
      <w:bookmarkStart w:id="36" w:name="_Toc26870"/>
      <w:r/>
      <w:bookmarkStart w:id="37" w:name="_Toc6135"/>
      <w:r>
        <w:rPr>
          <w:rFonts w:hint="eastAsia" w:ascii="宋体" w:hAnsi="宋体" w:eastAsia="宋体" w:cs="宋体"/>
          <w:color w:val="auto"/>
          <w:sz w:val="24"/>
          <w:szCs w:val="24"/>
          <w:highlight w:val="none"/>
        </w:rPr>
        <w:t xml:space="preserve">六、其他补充事宜</w:t>
      </w:r>
      <w:bookmarkEnd w:id="34"/>
      <w:r/>
      <w:bookmarkEnd w:id="35"/>
      <w:r/>
      <w:bookmarkEnd w:id="36"/>
      <w:r/>
      <w:bookmarkEnd w:id="37"/>
      <w:r/>
      <w:r/>
    </w:p>
    <w:p>
      <w:pPr>
        <w:ind w:firstLine="480"/>
        <w:keepLines w:val="0"/>
        <w:keepNext w:val="0"/>
        <w:pageBreakBefore w:val="0"/>
        <w:spacing w:line="336" w:lineRule="auto"/>
        <w:widowControl w:val="off"/>
        <w:rPr>
          <w:rFonts w:hint="default" w:ascii="宋体" w:hAnsi="宋体" w:cs="宋体"/>
          <w:color w:val="auto"/>
          <w:sz w:val="24"/>
          <w:szCs w:val="24"/>
          <w:highlight w:val="none"/>
          <w:lang w:val="en-US" w:eastAsia="zh-CN"/>
        </w:rPr>
      </w:pPr>
      <w:r/>
      <w:bookmarkStart w:id="38" w:name="_Toc35393627"/>
      <w:r/>
      <w:bookmarkStart w:id="39" w:name="_Toc35393796"/>
      <w:r/>
      <w:bookmarkStart w:id="40" w:name="_Toc28359008"/>
      <w:r/>
      <w:bookmarkStart w:id="41" w:name="_Toc28359085"/>
      <w:r>
        <w:rPr>
          <w:rFonts w:hint="eastAsia" w:ascii="宋体" w:hAnsi="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lang w:val="en-US" w:eastAsia="zh-CN"/>
        </w:rPr>
        <w:t xml:space="preserve">采购方式：公开招标</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lang w:val="en-US" w:eastAsia="zh-CN"/>
        </w:rPr>
        <w:t xml:space="preserve">行业划分：</w:t>
      </w:r>
      <w:r>
        <w:rPr>
          <w:rFonts w:hint="eastAsia" w:ascii="宋体" w:hAnsi="宋体" w:cs="宋体"/>
          <w:color w:val="auto"/>
          <w:sz w:val="24"/>
          <w:szCs w:val="24"/>
          <w:highlight w:val="none"/>
          <w:lang w:val="en-US" w:eastAsia="zh-CN"/>
        </w:rPr>
        <w:t xml:space="preserve">工业</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6.3</w:t>
      </w:r>
      <w:r>
        <w:rPr>
          <w:rFonts w:hint="eastAsia" w:ascii="宋体" w:hAnsi="宋体" w:eastAsia="宋体" w:cs="宋体"/>
          <w:color w:val="auto"/>
          <w:sz w:val="24"/>
          <w:szCs w:val="24"/>
          <w:highlight w:val="none"/>
          <w:lang w:val="en-US" w:eastAsia="zh-CN"/>
        </w:rPr>
        <w:t xml:space="preserve">本项目</w:t>
      </w:r>
      <w:r>
        <w:rPr>
          <w:rFonts w:hint="eastAsia" w:ascii="宋体" w:hAnsi="宋体" w:cs="宋体"/>
          <w:color w:val="auto"/>
          <w:sz w:val="24"/>
          <w:szCs w:val="24"/>
          <w:highlight w:val="none"/>
          <w:lang w:val="en-US" w:eastAsia="zh-CN"/>
        </w:rPr>
        <w:t xml:space="preserve">非</w:t>
      </w:r>
      <w:r>
        <w:rPr>
          <w:rFonts w:hint="eastAsia" w:ascii="宋体" w:hAnsi="宋体" w:eastAsia="宋体" w:cs="宋体"/>
          <w:color w:val="auto"/>
          <w:sz w:val="24"/>
          <w:szCs w:val="24"/>
          <w:highlight w:val="none"/>
          <w:lang w:val="en-US" w:eastAsia="zh-CN"/>
        </w:rPr>
        <w:t xml:space="preserve">专门面向中小企业（或监狱企业或残疾人福利性单位）采购。</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本次招标不收取投标保证金。</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ascii="宋体" w:hAnsi="宋体" w:eastAsia="宋体" w:cs="宋体"/>
          <w:b/>
          <w:color w:val="auto"/>
          <w:sz w:val="24"/>
          <w:szCs w:val="24"/>
          <w:highlight w:val="none"/>
        </w:rPr>
        <w:t xml:space="preserve">注：下载打印日期从招标公告发布起至开标前。</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在政府采购资格审查环节，供应商只需提供书面《南京市政府采购供应商信用记录表暨信用承诺书》，即可替代以下证明材料： </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（1）符合国家相关规定的财务状况报告； </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（2）依法缴纳税收的证明材料； </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（3）依法缴纳社会保障资金的证明材料； </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（4）具备履行政府采购合同所必需的设备和专业技术能力的证明材料； </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（5）参加政府采购活动前三年内在经营活动中没有重大违法记录的证明材料； </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（6）未被列入失信被执行人、重大税收违法失信主体、政府采购严重违法失信行为记录名单的证明材料。</w:t>
      </w:r>
      <w:r/>
    </w:p>
    <w:p>
      <w:pPr>
        <w:ind w:left="0" w:right="0" w:firstLine="482"/>
        <w:keepLines w:val="0"/>
        <w:keepNext w:val="0"/>
        <w:pageBreakBefore w:val="0"/>
        <w:spacing w:after="0" w:line="336" w:lineRule="auto"/>
        <w:shd w:val="clear" w:color="ffffff" w:fill="ffff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以上涉及的证明材料，投标人可以在投标文件中一次性提交，也可以在投标文件中提供满足相应条件的书面信用承诺书（详见投标文件格式</w:t>
      </w:r>
      <w:r>
        <w:rPr>
          <w:rFonts w:hint="eastAsia" w:ascii="宋体" w:hAnsi="宋体" w:cs="宋体"/>
          <w:b/>
          <w:color w:val="auto"/>
          <w:sz w:val="24"/>
          <w:szCs w:val="24"/>
          <w:highlight w:val="none"/>
          <w:lang w:val="en-US" w:eastAsia="zh-CN"/>
        </w:rPr>
        <w:t xml:space="preserve">附件八</w:t>
      </w:r>
      <w:r>
        <w:rPr>
          <w:rFonts w:hint="eastAsia" w:ascii="宋体" w:hAnsi="宋体" w:eastAsia="宋体" w:cs="宋体"/>
          <w:b/>
          <w:color w:val="auto"/>
          <w:sz w:val="24"/>
          <w:szCs w:val="24"/>
          <w:highlight w:val="none"/>
        </w:rPr>
        <w:t xml:space="preserve">），不再需要提供上述涉及的证明材料。</w:t>
      </w:r>
      <w:r/>
    </w:p>
    <w:p>
      <w:pPr>
        <w:ind w:left="0" w:right="0" w:firstLine="482"/>
        <w:keepLines w:val="0"/>
        <w:keepNext w:val="0"/>
        <w:pageBreakBefore w:val="0"/>
        <w:spacing w:after="0" w:line="336" w:lineRule="auto"/>
        <w:shd w:val="clear" w:color="ffffff" w:fill="ffff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投标人在投标文件中仅提供信用承诺书而未提供涉及的证明材料的，须在中标后，另行提供上述由信用承诺书替代的证明材料，材料（一正两副）须加盖公章提交采购人或采购代理机构核验。经核验无误后，由采购人或采购代理机构发出中标通知书。</w:t>
      </w:r>
      <w:r/>
    </w:p>
    <w:p>
      <w:pPr>
        <w:ind w:left="0" w:right="0" w:firstLine="482"/>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投标人涉及以下情形的，不适用信用承诺，仍须提供上述证明材料：</w:t>
      </w:r>
      <w:r/>
    </w:p>
    <w:p>
      <w:pPr>
        <w:ind w:left="0" w:right="0" w:firstLine="482"/>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（1）投标人被列入严重失信主体名单；</w:t>
      </w:r>
      <w:r/>
    </w:p>
    <w:p>
      <w:pPr>
        <w:ind w:left="0" w:right="0" w:firstLine="482"/>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（2）被相关监管部门作出行政处罚且尚在处罚有效期内；</w:t>
      </w:r>
      <w:r/>
    </w:p>
    <w:p>
      <w:pPr>
        <w:ind w:left="0" w:right="0" w:firstLine="482"/>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（3）其他法律、行政法规规定的不适用信用承诺的情形。</w:t>
      </w:r>
      <w:r>
        <w:rPr>
          <w:rFonts w:hint="eastAsia" w:ascii="宋体" w:hAnsi="宋体" w:eastAsia="宋体" w:cs="宋体"/>
          <w:color w:val="auto"/>
          <w:sz w:val="24"/>
          <w:szCs w:val="24"/>
          <w:highlight w:val="none"/>
        </w:rPr>
        <w:t xml:space="preserve"> </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供应商对信用承诺内容的真实性、合法性、有效性负责。如作出虚假信用承诺，视同为“提供虚假材料谋取中标、成交”的违法行为。</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供应商如确定参加投标，可自行下载采购文件及有关资料，按照《操作手册》进行注册，领取CA和办理电子签章，并按《操作手册》要求制作、上传电子投标文件。</w:t>
      </w:r>
      <w:r/>
    </w:p>
    <w:p>
      <w:pPr>
        <w:ind w:right="0" w:firstLine="480"/>
        <w:jc w:val="both"/>
        <w:keepLines w:val="0"/>
        <w:keepNext w:val="0"/>
        <w:pageBreakBefore w:val="0"/>
        <w:spacing w:after="0" w:line="336"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《操作手册》</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"http://www.ccgp-jiangsu.gov.cn/jiangsu/zlxz/ee/ee3a4bc5a3454aa2b0d9312230633ce9.html" \o "http://www.ccgp-jiangsu.gov.cn/jiangsu/zlxz/ee/ee3a4bc5a3454aa2b0d9312230633ce9.html"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下载地址</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w:t>
      </w:r>
      <w:r/>
    </w:p>
    <w:p>
      <w:pPr>
        <w:ind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http://www.ccgp-jiangsu.gov.cn/jiangsu/zlxz/ee/ee3a4bc5a3454aa2b0d9312230633ce9.html</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有关本次招标的事项若存在变动或修改，请及时关注“江苏政府采购网”（www.ccgp-jiangsu.gov.cn）更正公告。</w:t>
      </w:r>
      <w:r/>
    </w:p>
    <w:p>
      <w:pPr>
        <w:pStyle w:val="716"/>
        <w:ind w:firstLine="482"/>
        <w:keepLines w:val="0"/>
        <w:keepNext w:val="0"/>
        <w:pageBreakBefore w:val="0"/>
        <w:spacing w:before="0" w:after="0" w:line="336" w:lineRule="auto"/>
        <w:widowControl w:val="off"/>
        <w:rPr>
          <w:rFonts w:hint="eastAsia" w:ascii="宋体" w:hAnsi="宋体" w:eastAsia="宋体" w:cs="宋体"/>
          <w:color w:val="auto"/>
          <w:sz w:val="24"/>
          <w:szCs w:val="24"/>
          <w:highlight w:val="none"/>
        </w:rPr>
      </w:pPr>
      <w:r/>
      <w:bookmarkStart w:id="42" w:name="_Toc2392"/>
      <w:r/>
      <w:bookmarkStart w:id="43" w:name="_Toc11441"/>
      <w:r>
        <w:rPr>
          <w:rFonts w:hint="eastAsia" w:ascii="宋体" w:hAnsi="宋体" w:eastAsia="宋体" w:cs="宋体"/>
          <w:color w:val="auto"/>
          <w:sz w:val="24"/>
          <w:szCs w:val="24"/>
          <w:highlight w:val="none"/>
        </w:rPr>
        <w:t xml:space="preserve">七、对本次招标提出询问，请按以下方式联系。</w:t>
      </w:r>
      <w:bookmarkEnd w:id="38"/>
      <w:r/>
      <w:bookmarkEnd w:id="39"/>
      <w:r/>
      <w:bookmarkEnd w:id="40"/>
      <w:r/>
      <w:bookmarkEnd w:id="41"/>
      <w:r/>
      <w:bookmarkEnd w:id="42"/>
      <w:r/>
      <w:bookmarkEnd w:id="43"/>
      <w:r/>
      <w:r/>
    </w:p>
    <w:p>
      <w:pPr>
        <w:ind w:firstLine="480"/>
        <w:jc w:val="left"/>
        <w:spacing w:line="336" w:lineRule="auto"/>
        <w:rPr>
          <w:rFonts w:hint="default" w:eastAsia="宋体"/>
          <w:color w:val="auto"/>
          <w:highlight w:val="none"/>
          <w:lang w:val="en-US" w:eastAsia="zh-CN"/>
        </w:rPr>
      </w:pPr>
      <w:r>
        <w:rPr>
          <w:rFonts w:hint="eastAsia" w:ascii="宋体" w:hAnsi="宋体" w:eastAsia="宋体" w:cs="宋体"/>
          <w:color w:val="auto"/>
          <w:sz w:val="24"/>
          <w:szCs w:val="24"/>
          <w:highlight w:val="none"/>
        </w:rPr>
        <w:t xml:space="preserve">1.采购人信息</w:t>
      </w:r>
      <w:r/>
    </w:p>
    <w:p>
      <w:pPr>
        <w:ind w:firstLine="480"/>
        <w:jc w:val="left"/>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u w:val="none"/>
          <w:lang w:eastAsia="zh-CN"/>
        </w:rPr>
        <w:t xml:space="preserve">南京江北新区管委会教育和社会保障局</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bCs w:val="0"/>
          <w:color w:val="auto"/>
          <w:sz w:val="24"/>
          <w:szCs w:val="24"/>
          <w:highlight w:val="none"/>
          <w:lang w:val="en-US" w:eastAsia="zh-CN"/>
        </w:rPr>
        <w:t xml:space="preserve">江苏省南京市浦口区行知路5号</w:t>
      </w:r>
      <w:r>
        <w:rPr>
          <w:rFonts w:hint="eastAsia" w:ascii="宋体" w:hAnsi="宋体" w:eastAsia="宋体" w:cs="宋体"/>
          <w:bCs w:val="0"/>
          <w:color w:val="auto"/>
          <w:sz w:val="24"/>
          <w:szCs w:val="24"/>
          <w:highlight w:val="none"/>
          <w:lang w:val="en-US" w:eastAsia="zh-CN"/>
        </w:rPr>
        <w:t xml:space="preserve"> </w:t>
      </w:r>
      <w:r/>
    </w:p>
    <w:p>
      <w:pPr>
        <w:ind w:firstLine="480"/>
        <w:jc w:val="left"/>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联系人：</w:t>
      </w:r>
      <w:r>
        <w:rPr>
          <w:rFonts w:hint="eastAsia" w:ascii="宋体" w:hAnsi="宋体" w:cs="宋体"/>
          <w:bCs/>
          <w:color w:val="auto"/>
          <w:sz w:val="24"/>
          <w:szCs w:val="24"/>
          <w:highlight w:val="none"/>
          <w:lang w:val="en-US" w:eastAsia="zh-CN"/>
        </w:rPr>
        <w:t xml:space="preserve">王老师</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36"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bookmarkStart w:id="44" w:name="_Toc28359086"/>
      <w:r/>
      <w:bookmarkStart w:id="45" w:name="_Toc28359009"/>
      <w:r>
        <w:rPr>
          <w:rFonts w:hint="eastAsia" w:ascii="宋体" w:hAnsi="宋体" w:eastAsia="宋体" w:cs="宋体"/>
          <w:color w:val="auto"/>
          <w:sz w:val="24"/>
          <w:szCs w:val="24"/>
          <w:highlight w:val="none"/>
        </w:rPr>
        <w:t xml:space="preserve">025-58170065</w:t>
      </w:r>
      <w:r/>
    </w:p>
    <w:p>
      <w:pPr>
        <w:ind w:firstLine="480"/>
        <w:jc w:val="left"/>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44"/>
      <w:r/>
      <w:bookmarkEnd w:id="45"/>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bookmarkStart w:id="46" w:name="_Toc28359010"/>
      <w:r/>
      <w:bookmarkStart w:id="47" w:name="_Toc28359087"/>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南京南咨工程咨询有限公司</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val="en-US"/>
        </w:rPr>
        <w:t xml:space="preserve">南京市浦口区浦东北路5号扬子江数字基地8幢一单元</w:t>
      </w:r>
      <w:r/>
    </w:p>
    <w:p>
      <w:pPr>
        <w:ind w:firstLine="480"/>
        <w:keepLines w:val="0"/>
        <w:keepNext w:val="0"/>
        <w:pageBreakBefore w:val="0"/>
        <w:spacing w:line="336"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联系人：张云凯、谢洁</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025-83379433</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3.项目联系方式</w:t>
      </w:r>
      <w:bookmarkEnd w:id="46"/>
      <w:r/>
      <w:bookmarkEnd w:id="47"/>
      <w:r/>
      <w:r/>
    </w:p>
    <w:p>
      <w:pPr>
        <w:pStyle w:val="736"/>
        <w:ind w:firstLine="480"/>
        <w:keepLines w:val="0"/>
        <w:keepNext w:val="0"/>
        <w:pageBreakBefore w:val="0"/>
        <w:spacing w:line="336"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项目联系人：张</w:t>
      </w:r>
      <w:r>
        <w:rPr>
          <w:rFonts w:hint="eastAsia" w:hAnsi="宋体" w:cs="宋体"/>
          <w:color w:val="auto"/>
          <w:sz w:val="24"/>
          <w:szCs w:val="24"/>
          <w:highlight w:val="none"/>
          <w:lang w:val="en-US" w:eastAsia="zh-CN"/>
        </w:rPr>
        <w:t xml:space="preserve">云凯</w:t>
      </w:r>
      <w:r>
        <w:rPr>
          <w:rFonts w:hint="eastAsia" w:ascii="宋体" w:hAnsi="宋体" w:cs="宋体"/>
          <w:color w:val="auto"/>
          <w:sz w:val="24"/>
          <w:szCs w:val="24"/>
          <w:highlight w:val="none"/>
          <w:lang w:val="en-US" w:eastAsia="zh-CN"/>
        </w:rPr>
        <w:t xml:space="preserve">、谢洁</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lang w:val="en-US" w:eastAsia="zh-CN"/>
        </w:rPr>
        <w:t xml:space="preserve">联系电</w:t>
      </w:r>
      <w:r>
        <w:rPr>
          <w:rFonts w:hint="eastAsia" w:ascii="宋体" w:hAnsi="宋体" w:eastAsia="宋体" w:cs="宋体"/>
          <w:color w:val="auto"/>
          <w:sz w:val="24"/>
          <w:szCs w:val="24"/>
          <w:highlight w:val="none"/>
        </w:rPr>
        <w:t xml:space="preserve">话：025-83379433</w:t>
      </w:r>
      <w:r/>
    </w:p>
    <w:p>
      <w:pPr>
        <w:rPr>
          <w:rFonts w:hint="eastAsia" w:ascii="宋体" w:hAnsi="宋体" w:cs="宋体"/>
          <w:color w:val="auto"/>
          <w:position w:val="6"/>
          <w:sz w:val="28"/>
          <w:szCs w:val="28"/>
          <w:highlight w:val="none"/>
        </w:rPr>
      </w:pPr>
      <w:r/>
      <w:bookmarkStart w:id="48" w:name="_Toc7725"/>
      <w:r/>
      <w:bookmarkStart w:id="49" w:name="_Toc7478"/>
      <w:r>
        <w:rPr>
          <w:rFonts w:hint="eastAsia" w:ascii="宋体" w:hAnsi="宋体" w:cs="宋体"/>
          <w:color w:val="auto"/>
          <w:position w:val="6"/>
          <w:sz w:val="28"/>
          <w:szCs w:val="28"/>
          <w:highlight w:val="none"/>
        </w:rPr>
        <w:br w:type="page" w:clear="all"/>
      </w:r>
      <w:r/>
    </w:p>
    <w:p>
      <w:pPr>
        <w:pStyle w:val="715"/>
        <w:jc w:val="center"/>
        <w:spacing w:before="0" w:after="0" w:line="360" w:lineRule="auto"/>
        <w:rPr>
          <w:rFonts w:hint="eastAsia" w:ascii="宋体" w:hAnsi="宋体" w:cs="宋体"/>
          <w:color w:val="auto"/>
          <w:position w:val="6"/>
          <w:sz w:val="28"/>
          <w:szCs w:val="28"/>
          <w:highlight w:val="none"/>
        </w:rPr>
      </w:pPr>
      <w:r/>
      <w:bookmarkStart w:id="50" w:name="_Toc26473"/>
      <w:r>
        <w:rPr>
          <w:rFonts w:hint="eastAsia" w:ascii="宋体" w:hAnsi="宋体" w:cs="宋体"/>
          <w:color w:val="auto"/>
          <w:position w:val="6"/>
          <w:sz w:val="28"/>
          <w:szCs w:val="28"/>
          <w:highlight w:val="none"/>
        </w:rPr>
        <w:t xml:space="preserve">第二章</w:t>
      </w:r>
      <w:bookmarkStart w:id="51" w:name="_Toc452625218"/>
      <w:r>
        <w:rPr>
          <w:rFonts w:hint="eastAsia" w:ascii="宋体" w:hAnsi="宋体" w:cs="宋体"/>
          <w:color w:val="auto"/>
          <w:position w:val="6"/>
          <w:sz w:val="28"/>
          <w:szCs w:val="28"/>
          <w:highlight w:val="none"/>
        </w:rPr>
        <w:t xml:space="preserve"> </w:t>
      </w:r>
      <w:r>
        <w:rPr>
          <w:rFonts w:hint="eastAsia" w:ascii="宋体" w:hAnsi="宋体" w:cs="宋体"/>
          <w:color w:val="auto"/>
          <w:position w:val="6"/>
          <w:sz w:val="28"/>
          <w:szCs w:val="28"/>
          <w:highlight w:val="none"/>
          <w:lang w:val="en-US" w:eastAsia="zh-CN"/>
        </w:rPr>
        <w:t xml:space="preserve"> </w:t>
      </w:r>
      <w:r>
        <w:rPr>
          <w:rFonts w:hint="eastAsia" w:ascii="宋体" w:hAnsi="宋体" w:cs="宋体"/>
          <w:color w:val="auto"/>
          <w:position w:val="6"/>
          <w:sz w:val="28"/>
          <w:szCs w:val="28"/>
          <w:highlight w:val="none"/>
        </w:rPr>
        <w:t xml:space="preserve">供应商须知</w:t>
      </w:r>
      <w:bookmarkEnd w:id="48"/>
      <w:r/>
      <w:bookmarkEnd w:id="49"/>
      <w:r/>
      <w:bookmarkEnd w:id="50"/>
      <w:r/>
      <w:bookmarkEnd w:id="51"/>
      <w:r/>
      <w:r/>
    </w:p>
    <w:p>
      <w:pPr>
        <w:ind w:firstLine="201"/>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一、总则</w:t>
      </w:r>
      <w:r/>
    </w:p>
    <w:p>
      <w:pPr>
        <w:ind w:firstLine="420"/>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1、适用法律</w:t>
      </w:r>
      <w:r/>
    </w:p>
    <w:p>
      <w:pPr>
        <w:ind w:firstLine="420"/>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2、定义</w:t>
      </w:r>
      <w:r/>
    </w:p>
    <w:p>
      <w:pPr>
        <w:ind w:firstLine="420"/>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2.1“采购人”是指依法进行政府采购的国家机关、事业单位、团体组织。</w:t>
      </w:r>
      <w:r/>
    </w:p>
    <w:p>
      <w:pPr>
        <w:ind w:firstLine="420"/>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2.2“供应商（投标人）”是指参加投标竞争，并符合招标文件规定资格条件的法人、其他组织或者自然人。</w:t>
      </w:r>
      <w:r/>
    </w:p>
    <w:p>
      <w:pPr>
        <w:ind w:firstLine="420"/>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2.3“采购代理机构”是指集中采购机构和集中采购机构以外的采购代理机构，集中采购机构以外的采购代理机构，是从事采购代理业务的社会中介机构。</w:t>
      </w:r>
      <w:r/>
    </w:p>
    <w:p>
      <w:pPr>
        <w:ind w:firstLine="420"/>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2.4“货物和服务”指本招标文件中所述产品及相关服务。</w:t>
      </w:r>
      <w:r/>
    </w:p>
    <w:p>
      <w:pPr>
        <w:ind w:firstLine="420"/>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2.5“用户或使用单位”是指使用货物，接受服务的单位。</w:t>
      </w:r>
      <w:r/>
    </w:p>
    <w:p>
      <w:pPr>
        <w:ind w:firstLine="420"/>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3、政策功能</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3.6进口产品政策</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（3）允许进口产品参加的，优先采购向我国企业转让技术、与我国企业签订消化吸收再创新方案的投标人的进口产品。</w:t>
      </w:r>
      <w:r/>
    </w:p>
    <w:p>
      <w:pPr>
        <w:ind w:firstLine="420"/>
        <w:keepLines w:val="0"/>
        <w:keepNext w:val="0"/>
        <w:spacing w:line="348"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3.7本国产品支持政策</w:t>
      </w:r>
      <w:r/>
    </w:p>
    <w:p>
      <w:pPr>
        <w:ind w:firstLine="420"/>
        <w:keepLines w:val="0"/>
        <w:keepNext w:val="0"/>
        <w:spacing w:line="348"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未按要求提供相关材料的，不享受相关政策。</w:t>
      </w:r>
      <w:r/>
    </w:p>
    <w:p>
      <w:pPr>
        <w:ind w:firstLine="412"/>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二、招标文件构成</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4、招标文件组成</w:t>
      </w:r>
      <w:r/>
    </w:p>
    <w:p>
      <w:pPr>
        <w:ind w:firstLine="363"/>
        <w:jc w:val="left"/>
        <w:keepLines w:val="0"/>
        <w:keepNext w:val="0"/>
        <w:pageBreakBefore w:val="0"/>
        <w:spacing w:line="348" w:lineRule="auto"/>
        <w:shd w:val="clear" w:color="auto" w:fill="ffffff" w:themeFill="background1"/>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招标文件包括以下主要内容：</w:t>
      </w:r>
      <w:r/>
    </w:p>
    <w:p>
      <w:pPr>
        <w:pStyle w:val="939"/>
        <w:numPr>
          <w:ilvl w:val="0"/>
          <w:numId w:val="1"/>
        </w:numPr>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招标公告；</w:t>
      </w:r>
      <w:r/>
    </w:p>
    <w:p>
      <w:pPr>
        <w:pStyle w:val="939"/>
        <w:numPr>
          <w:ilvl w:val="0"/>
          <w:numId w:val="1"/>
        </w:numPr>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投标人须知；</w:t>
      </w:r>
      <w:r/>
    </w:p>
    <w:p>
      <w:pPr>
        <w:pStyle w:val="939"/>
        <w:numPr>
          <w:ilvl w:val="0"/>
          <w:numId w:val="1"/>
        </w:numPr>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评标标准；</w:t>
      </w:r>
      <w:r/>
    </w:p>
    <w:p>
      <w:pPr>
        <w:pStyle w:val="939"/>
        <w:numPr>
          <w:ilvl w:val="0"/>
          <w:numId w:val="1"/>
        </w:numPr>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采购需求；</w:t>
      </w:r>
      <w:r/>
    </w:p>
    <w:p>
      <w:pPr>
        <w:pStyle w:val="939"/>
        <w:numPr>
          <w:ilvl w:val="0"/>
          <w:numId w:val="1"/>
        </w:numPr>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合同主要条款及格式；</w:t>
      </w:r>
      <w:r/>
    </w:p>
    <w:p>
      <w:pPr>
        <w:pStyle w:val="939"/>
        <w:numPr>
          <w:ilvl w:val="0"/>
          <w:numId w:val="1"/>
        </w:numPr>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投标文件格式及附件。</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如标书制作工具中格式和内容与“南京公共采购信息网</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江苏政府采购网</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中国政府采购网”发布的</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eastAsia="zh-CN"/>
        </w:rPr>
        <w:t xml:space="preserve">文件不一致</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eastAsia="zh-CN"/>
        </w:rPr>
        <w:t xml:space="preserve">，以</w:t>
      </w:r>
      <w:r>
        <w:rPr>
          <w:rFonts w:hint="eastAsia" w:ascii="宋体" w:hAnsi="宋体" w:eastAsia="宋体" w:cs="宋体"/>
          <w:color w:val="auto"/>
          <w:sz w:val="24"/>
          <w:szCs w:val="24"/>
          <w:highlight w:val="none"/>
          <w:lang w:val="en-US" w:eastAsia="zh-CN"/>
        </w:rPr>
        <w:t xml:space="preserve">上述网站</w:t>
      </w:r>
      <w:r>
        <w:rPr>
          <w:rFonts w:hint="eastAsia" w:ascii="宋体" w:hAnsi="宋体" w:eastAsia="宋体" w:cs="宋体"/>
          <w:color w:val="auto"/>
          <w:sz w:val="24"/>
          <w:szCs w:val="24"/>
          <w:highlight w:val="none"/>
          <w:lang w:val="zh-CN" w:eastAsia="zh-CN"/>
        </w:rPr>
        <w:t xml:space="preserve">发布的</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eastAsia="zh-CN"/>
        </w:rPr>
        <w:t xml:space="preserve">文件为准。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采购代理机构如果要求投标人按照招标文件规定提交备选投标方案的，投标人可以提交备选方案；否则，备选方案将被拒绝。</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4.4招标文件中要求的产品品牌或型号，是采购人根据项目所要实现的功能推荐的品牌或型号，仅供投标人参考，并不是限制条件。</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5、招标文件的澄清或者修改</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5.3 </w:t>
      </w:r>
      <w:r>
        <w:rPr>
          <w:rFonts w:hint="eastAsia" w:ascii="宋体" w:hAnsi="宋体" w:eastAsia="宋体" w:cs="宋体"/>
          <w:color w:val="auto"/>
          <w:sz w:val="24"/>
          <w:szCs w:val="24"/>
          <w:highlight w:val="none"/>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三、投标文件的编制</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6、投标文件的语言、计量单位、货币和编制</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6.2投标人所使用的计量单位应为国家法定计量单位。</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6.3投标人应用人民币报价。投标产品如果是进口产品的，应提供人民币与</w:t>
      </w:r>
      <w:r>
        <w:rPr>
          <w:rFonts w:hint="eastAsia" w:ascii="宋体" w:hAnsi="宋体" w:eastAsia="宋体" w:cs="宋体"/>
          <w:b/>
          <w:bCs/>
          <w:color w:val="auto"/>
          <w:sz w:val="24"/>
          <w:szCs w:val="24"/>
          <w:highlight w:val="none"/>
        </w:rPr>
        <w:t xml:space="preserve">外币之间的汇率。</w:t>
      </w:r>
      <w:r/>
    </w:p>
    <w:p>
      <w:pPr>
        <w:ind w:firstLine="420"/>
        <w:keepLines w:val="0"/>
        <w:keepNext w:val="0"/>
        <w:pageBreakBefore w:val="0"/>
        <w:spacing w:line="34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6.4 投标</w:t>
      </w:r>
      <w:r>
        <w:rPr>
          <w:rFonts w:hint="eastAsia" w:ascii="宋体" w:hAnsi="宋体" w:eastAsia="宋体" w:cs="宋体"/>
          <w:color w:val="auto"/>
          <w:sz w:val="24"/>
          <w:szCs w:val="24"/>
          <w:highlight w:val="none"/>
          <w:lang w:val="zh-CN"/>
        </w:rPr>
        <w:t xml:space="preserve">文件应按照</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rPr>
        <w:t xml:space="preserve">文件</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rPr>
        <w:t xml:space="preserve">规定</w:t>
      </w:r>
      <w:r>
        <w:rPr>
          <w:rFonts w:hint="eastAsia" w:ascii="宋体" w:hAnsi="宋体" w:eastAsia="宋体" w:cs="宋体"/>
          <w:color w:val="auto"/>
          <w:sz w:val="24"/>
          <w:szCs w:val="24"/>
          <w:highlight w:val="none"/>
          <w:lang w:val="en-US" w:eastAsia="zh-CN"/>
        </w:rPr>
        <w:t xml:space="preserve">编写</w:t>
      </w:r>
      <w:r>
        <w:rPr>
          <w:rFonts w:hint="eastAsia" w:ascii="宋体" w:hAnsi="宋体" w:eastAsia="宋体" w:cs="宋体"/>
          <w:color w:val="auto"/>
          <w:sz w:val="24"/>
          <w:szCs w:val="24"/>
          <w:highlight w:val="none"/>
          <w:lang w:val="zh-CN"/>
        </w:rPr>
        <w:t xml:space="preserve">并</w:t>
      </w:r>
      <w:r>
        <w:rPr>
          <w:rFonts w:hint="eastAsia" w:ascii="宋体" w:hAnsi="宋体" w:eastAsia="宋体" w:cs="宋体"/>
          <w:color w:val="auto"/>
          <w:sz w:val="24"/>
          <w:szCs w:val="24"/>
          <w:highlight w:val="none"/>
          <w:lang w:val="en-US" w:eastAsia="zh-CN"/>
        </w:rPr>
        <w:t xml:space="preserve">制作</w:t>
      </w:r>
      <w:r>
        <w:rPr>
          <w:rFonts w:hint="eastAsia" w:ascii="宋体" w:hAnsi="宋体" w:eastAsia="宋体" w:cs="宋体"/>
          <w:color w:val="auto"/>
          <w:sz w:val="24"/>
          <w:szCs w:val="24"/>
          <w:highlight w:val="none"/>
          <w:lang w:val="zh-CN"/>
        </w:rPr>
        <w:t xml:space="preserve">目录。</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6.5投标人应在投标文件中写清相应的项目编号、项目名称、投标人全称、地址、电话、传真等。</w:t>
      </w:r>
      <w:r/>
    </w:p>
    <w:p>
      <w:pPr>
        <w:ind w:firstLine="412"/>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6.6</w:t>
      </w:r>
      <w:r>
        <w:rPr>
          <w:rFonts w:hint="eastAsia" w:ascii="宋体" w:hAnsi="宋体" w:eastAsia="宋体" w:cs="宋体"/>
          <w:color w:val="auto"/>
          <w:sz w:val="24"/>
          <w:szCs w:val="24"/>
          <w:highlight w:val="none"/>
        </w:rPr>
        <w:t xml:space="preserve">投标人根据招标文件载明的标的采购项目实际情况，拟在中标后将中标项目的非主体、非关键性工作交由他人完成的，应当在投标文件中载明。</w:t>
      </w:r>
      <w:r/>
    </w:p>
    <w:p>
      <w:p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7、联合体投标</w:t>
      </w:r>
      <w:r/>
    </w:p>
    <w:p>
      <w:pPr>
        <w:ind w:firstLine="420"/>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7.1 两个以上的自然人、法人或者其他组织可以组成一个联合体，以一个投标人的身份共同参加政府采购。</w:t>
      </w:r>
      <w:r/>
    </w:p>
    <w:p>
      <w:pPr>
        <w:ind w:firstLine="420"/>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7.2 联合体中有同类资质的投标人按照联合体分工承担相同工作的，按照资质等级较低的投标人确定资质等级。</w:t>
      </w:r>
      <w:r/>
    </w:p>
    <w:p>
      <w:pPr>
        <w:ind w:firstLine="420"/>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7.3 联合体各方之间应当签订联合体协议，明确约定联合体各方承担的工作和相应的责任，并将联合体协议连同投标文件一同提交。</w:t>
      </w:r>
      <w:r/>
    </w:p>
    <w:p>
      <w:pPr>
        <w:ind w:firstLine="412"/>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7.4 以联合体形式参加政府采购活动的，联合体各方不得再单独参加或者与其他投标人另外组成联合体参加同一合同项下的政府采购活动。</w:t>
      </w:r>
      <w:r/>
    </w:p>
    <w:p>
      <w:pPr>
        <w:ind w:firstLine="412"/>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7.5 两个以上的自然人、法人或者其他组织可以组成一个联合体，以一个供应商的身份共同参加政府采购。以联合体形式进行政府采购的，参加联合体的供应商均应当具备本法第二十二条规定的条件，并应当向采购人提交联合协议，载明联合体各方承担的工作和义务。联合体各方应当共同与采购人签订采购合同，就采购合同约定的事项对采购人承担连带责任。</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8、投标文件的组成</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8.1投标人应当根据招标文件要求编制投标文件，投标文件应对招标文件提出的要求和条件作出实质性响应，并在《商务条款偏离表》和《</w:t>
      </w:r>
      <w:r>
        <w:rPr>
          <w:rFonts w:hint="eastAsia" w:ascii="宋体" w:hAnsi="宋体" w:cs="宋体"/>
          <w:color w:val="auto"/>
          <w:sz w:val="24"/>
          <w:szCs w:val="24"/>
          <w:highlight w:val="none"/>
          <w:lang w:val="en-US" w:eastAsia="zh-CN"/>
        </w:rPr>
        <w:t xml:space="preserve">技术条款</w:t>
      </w:r>
      <w:r>
        <w:rPr>
          <w:rFonts w:hint="eastAsia" w:ascii="宋体" w:hAnsi="宋体" w:eastAsia="宋体" w:cs="宋体"/>
          <w:color w:val="auto"/>
          <w:sz w:val="24"/>
          <w:szCs w:val="24"/>
          <w:highlight w:val="none"/>
        </w:rPr>
        <w:t xml:space="preserve">偏离表》等处逐条标明满足与否。</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投标文件由商务、技术、价格以及其他部分内容组成。投标文件目录及有关格式按招标文件“第六章 投标文件格式及附件”的要求编制。</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9、投标文件的商务内容</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color w:val="auto"/>
          <w:sz w:val="24"/>
          <w:szCs w:val="24"/>
          <w:highlight w:val="none"/>
        </w:rPr>
        <w:t xml:space="preserve">（1）-（6）所述材料不得有缺失或提供不全或不满足招标文件的实质性要求</w:t>
      </w:r>
      <w:r>
        <w:rPr>
          <w:rFonts w:hint="eastAsia" w:ascii="宋体" w:hAnsi="宋体" w:eastAsia="宋体" w:cs="宋体"/>
          <w:color w:val="auto"/>
          <w:sz w:val="24"/>
          <w:szCs w:val="24"/>
          <w:highlight w:val="none"/>
        </w:rPr>
        <w:t xml:space="preserve">）：</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（1）投标函（投标申请及声明）</w:t>
      </w:r>
      <w:r>
        <w:rPr>
          <w:rFonts w:hint="eastAsia" w:ascii="宋体" w:hAnsi="宋体" w:eastAsia="宋体" w:cs="宋体"/>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格式见第六章</w:t>
      </w:r>
      <w:r>
        <w:rPr>
          <w:rFonts w:hint="eastAsia" w:ascii="宋体" w:hAnsi="宋体" w:eastAsia="宋体" w:cs="宋体"/>
          <w:bCs w:val="0"/>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（2）法人授权书（格式见第六章）</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（3）投标人资格资信证明文件：</w:t>
      </w:r>
      <w:r/>
    </w:p>
    <w:p>
      <w:pPr>
        <w:pStyle w:val="940"/>
        <w:numPr>
          <w:ilvl w:val="0"/>
          <w:numId w:val="0"/>
        </w:numPr>
        <w:ind w:left="367" w:firstLine="240"/>
        <w:keepLines w:val="0"/>
        <w:keepNext w:val="0"/>
        <w:pageBreakBefore w:val="0"/>
        <w:spacing w:line="348" w:lineRule="auto"/>
        <w:tabs>
          <w:tab w:val="left"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①</w:t>
      </w:r>
      <w:r>
        <w:rPr>
          <w:rFonts w:hint="eastAsia" w:ascii="宋体" w:hAnsi="宋体" w:eastAsia="宋体" w:cs="宋体"/>
          <w:bCs/>
          <w:color w:val="auto"/>
          <w:sz w:val="24"/>
          <w:szCs w:val="24"/>
          <w:highlight w:val="none"/>
        </w:rPr>
        <w:t xml:space="preserve">第一章招标公告中2.1《中华人民共和国政府采购法》规定的资格条件证明文件；</w:t>
      </w:r>
      <w:r/>
    </w:p>
    <w:p>
      <w:pPr>
        <w:pStyle w:val="940"/>
        <w:numPr>
          <w:ilvl w:val="0"/>
          <w:numId w:val="0"/>
        </w:numPr>
        <w:ind w:left="367" w:firstLine="240"/>
        <w:keepLines w:val="0"/>
        <w:keepNext w:val="0"/>
        <w:pageBreakBefore w:val="0"/>
        <w:spacing w:line="348" w:lineRule="auto"/>
        <w:tabs>
          <w:tab w:val="left"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②</w:t>
      </w:r>
      <w:r>
        <w:rPr>
          <w:rFonts w:hint="eastAsia" w:ascii="宋体" w:hAnsi="宋体" w:eastAsia="宋体" w:cs="宋体"/>
          <w:bCs/>
          <w:color w:val="auto"/>
          <w:sz w:val="24"/>
          <w:szCs w:val="24"/>
          <w:highlight w:val="none"/>
        </w:rPr>
        <w:t xml:space="preserve">第一章招标公告中2.2</w:t>
      </w:r>
      <w:r>
        <w:rPr>
          <w:rFonts w:hint="eastAsia" w:ascii="宋体" w:hAnsi="宋体" w:eastAsia="宋体" w:cs="宋体"/>
          <w:color w:val="auto"/>
          <w:spacing w:val="8"/>
          <w:sz w:val="24"/>
          <w:szCs w:val="24"/>
          <w:highlight w:val="none"/>
        </w:rPr>
        <w:t xml:space="preserve">落实政府采购政策需满足的资格要求；</w:t>
      </w:r>
      <w:r/>
    </w:p>
    <w:p>
      <w:pPr>
        <w:pStyle w:val="940"/>
        <w:numPr>
          <w:ilvl w:val="0"/>
          <w:numId w:val="0"/>
        </w:numPr>
        <w:ind w:left="367" w:firstLine="240"/>
        <w:keepLines w:val="0"/>
        <w:keepNext w:val="0"/>
        <w:pageBreakBefore w:val="0"/>
        <w:spacing w:line="348" w:lineRule="auto"/>
        <w:tabs>
          <w:tab w:val="left"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③</w:t>
      </w:r>
      <w:r>
        <w:rPr>
          <w:rFonts w:hint="eastAsia" w:ascii="宋体" w:hAnsi="宋体" w:eastAsia="宋体" w:cs="宋体"/>
          <w:bCs/>
          <w:color w:val="auto"/>
          <w:sz w:val="24"/>
          <w:szCs w:val="24"/>
          <w:highlight w:val="none"/>
        </w:rPr>
        <w:t xml:space="preserve">第一章招标公告中2.3采购人根据采购项目的特殊要求规定的特定条件证明文件。</w:t>
      </w:r>
      <w:r/>
    </w:p>
    <w:p>
      <w:pPr>
        <w:numPr>
          <w:ilvl w:val="0"/>
          <w:numId w:val="2"/>
        </w:numPr>
        <w:ind w:firstLine="420"/>
        <w:jc w:val="left"/>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开标一览表</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格式见第六章</w:t>
      </w:r>
      <w:r>
        <w:rPr>
          <w:rFonts w:hint="eastAsia" w:ascii="宋体" w:hAnsi="宋体" w:eastAsia="宋体" w:cs="宋体"/>
          <w:bCs/>
          <w:color w:val="auto"/>
          <w:sz w:val="24"/>
          <w:szCs w:val="24"/>
          <w:highlight w:val="none"/>
        </w:rPr>
        <w:t xml:space="preserve">）；</w:t>
      </w:r>
      <w:r/>
    </w:p>
    <w:p>
      <w:pPr>
        <w:numPr>
          <w:ilvl w:val="0"/>
          <w:numId w:val="2"/>
        </w:numPr>
        <w:ind w:firstLine="420"/>
        <w:jc w:val="left"/>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分项报价表</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格式见第六章</w:t>
      </w:r>
      <w:r>
        <w:rPr>
          <w:rFonts w:hint="eastAsia" w:ascii="宋体" w:hAnsi="宋体" w:eastAsia="宋体" w:cs="宋体"/>
          <w:bCs/>
          <w:color w:val="auto"/>
          <w:sz w:val="24"/>
          <w:szCs w:val="24"/>
          <w:highlight w:val="none"/>
        </w:rPr>
        <w:t xml:space="preserve">）；</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）《南京市政府采购供应商信用记录表暨信用承诺书》</w:t>
      </w:r>
      <w:r>
        <w:rPr>
          <w:rFonts w:hint="eastAsia" w:ascii="宋体" w:hAnsi="宋体" w:eastAsia="宋体" w:cs="宋体"/>
          <w:b/>
          <w:color w:val="auto"/>
          <w:sz w:val="24"/>
          <w:szCs w:val="24"/>
          <w:highlight w:val="none"/>
          <w:lang w:val="zh-CN"/>
        </w:rPr>
        <w:t xml:space="preserve">（如招标公告中要求提供）；</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要求响应</w:t>
      </w:r>
      <w:r>
        <w:rPr>
          <w:rFonts w:hint="eastAsia" w:ascii="宋体" w:hAnsi="宋体" w:eastAsia="宋体" w:cs="宋体"/>
          <w:color w:val="auto"/>
          <w:sz w:val="24"/>
          <w:szCs w:val="24"/>
          <w:highlight w:val="none"/>
        </w:rPr>
        <w:t xml:space="preserve">偏离表》；</w:t>
      </w:r>
      <w:r/>
    </w:p>
    <w:p>
      <w:pPr>
        <w:ind w:firstLine="420"/>
        <w:jc w:val="left"/>
        <w:keepLines w:val="0"/>
        <w:keepNext w:val="0"/>
        <w:pageBreakBefore w:val="0"/>
        <w:spacing w:line="348"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第三章评标标准中对应的所需证明材料（如有自行添加）；</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）其它（投标人认为有必要提供的声明和文件，如有，自行拟定并添加）。</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10、投标文件的技术内容</w:t>
      </w:r>
      <w:r/>
    </w:p>
    <w:p>
      <w:pPr>
        <w:ind w:firstLine="420"/>
        <w:jc w:val="left"/>
        <w:keepLines w:val="0"/>
        <w:keepNext w:val="0"/>
        <w:pageBreakBefore w:val="0"/>
        <w:spacing w:line="348"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技术部分</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lang w:val="zh-CN"/>
        </w:rPr>
        <w:t xml:space="preserve">是证明</w:t>
      </w:r>
      <w:r>
        <w:rPr>
          <w:rFonts w:hint="eastAsia" w:ascii="宋体" w:hAnsi="宋体" w:eastAsia="宋体" w:cs="宋体"/>
          <w:color w:val="auto"/>
          <w:sz w:val="24"/>
          <w:szCs w:val="24"/>
          <w:highlight w:val="none"/>
        </w:rPr>
        <w:t xml:space="preserve">投标人提供的货物和服务是合格的、并符合招标文件要求的证明文件，以及</w:t>
      </w:r>
      <w:r>
        <w:rPr>
          <w:rFonts w:hint="eastAsia" w:ascii="宋体" w:hAnsi="宋体" w:eastAsia="宋体" w:cs="宋体"/>
          <w:color w:val="auto"/>
          <w:sz w:val="24"/>
          <w:szCs w:val="24"/>
          <w:highlight w:val="none"/>
          <w:lang w:val="zh-CN"/>
        </w:rPr>
        <w:t xml:space="preserve">对货物和服务的详细说明，这些文件可以是文字资料、图纸、数据</w:t>
      </w:r>
      <w:r>
        <w:rPr>
          <w:rFonts w:hint="eastAsia" w:ascii="宋体" w:hAnsi="宋体" w:eastAsia="宋体" w:cs="宋体"/>
          <w:color w:val="auto"/>
          <w:sz w:val="24"/>
          <w:szCs w:val="24"/>
          <w:highlight w:val="none"/>
        </w:rPr>
        <w:t xml:space="preserve">或其他证明文件</w:t>
      </w:r>
      <w:r>
        <w:rPr>
          <w:rFonts w:hint="eastAsia" w:ascii="宋体" w:hAnsi="宋体" w:eastAsia="宋体" w:cs="宋体"/>
          <w:color w:val="auto"/>
          <w:sz w:val="24"/>
          <w:szCs w:val="24"/>
          <w:highlight w:val="none"/>
          <w:lang w:val="zh-CN"/>
        </w:rPr>
        <w:t xml:space="preserve">等。提供的货物和服务如与招标文件要求有不符之处，应说明其差别之所在。包括但不限于下列文件：</w:t>
      </w:r>
      <w:r/>
    </w:p>
    <w:p>
      <w:pPr>
        <w:numPr>
          <w:ilvl w:val="0"/>
          <w:numId w:val="3"/>
        </w:numPr>
        <w:ind w:firstLine="420"/>
        <w:jc w:val="left"/>
        <w:keepLines w:val="0"/>
        <w:keepNext w:val="0"/>
        <w:pageBreakBefore w:val="0"/>
        <w:spacing w:line="348"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2"/>
          <w:highlight w:val="none"/>
          <w:lang w:bidi="ar"/>
        </w:rPr>
        <w:t xml:space="preserve">项目实施方案</w:t>
      </w:r>
      <w:r>
        <w:rPr>
          <w:rFonts w:hint="eastAsia" w:ascii="宋体" w:hAnsi="宋体" w:eastAsia="宋体" w:cs="宋体"/>
          <w:color w:val="auto"/>
          <w:sz w:val="24"/>
          <w:szCs w:val="24"/>
          <w:highlight w:val="none"/>
          <w:lang w:val="zh-CN"/>
        </w:rPr>
        <w:t xml:space="preserve">；</w:t>
      </w:r>
      <w:r/>
    </w:p>
    <w:p>
      <w:pPr>
        <w:numPr>
          <w:ilvl w:val="0"/>
          <w:numId w:val="3"/>
        </w:numPr>
        <w:ind w:firstLine="420"/>
        <w:jc w:val="left"/>
        <w:keepLines w:val="0"/>
        <w:keepNext w:val="0"/>
        <w:pageBreakBefore w:val="0"/>
        <w:spacing w:line="348"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2"/>
          <w:highlight w:val="none"/>
          <w:lang w:bidi="ar"/>
        </w:rPr>
        <w:t xml:space="preserve">售后服务方案</w:t>
      </w:r>
      <w:r>
        <w:rPr>
          <w:rFonts w:hint="eastAsia" w:ascii="宋体" w:hAnsi="宋体" w:cs="宋体"/>
          <w:color w:val="auto"/>
          <w:sz w:val="24"/>
          <w:szCs w:val="24"/>
          <w:highlight w:val="none"/>
          <w:lang w:val="en-US" w:eastAsia="zh-CN"/>
        </w:rPr>
        <w:t xml:space="preserve">；</w:t>
      </w:r>
      <w:r/>
    </w:p>
    <w:p>
      <w:pPr>
        <w:numPr>
          <w:ilvl w:val="0"/>
          <w:numId w:val="3"/>
        </w:numPr>
        <w:ind w:firstLine="420"/>
        <w:jc w:val="left"/>
        <w:keepLines w:val="0"/>
        <w:keepNext w:val="0"/>
        <w:pageBreakBefore w:val="0"/>
        <w:spacing w:line="348"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服务承诺；</w:t>
      </w:r>
      <w:r/>
    </w:p>
    <w:p>
      <w:pPr>
        <w:numPr>
          <w:ilvl w:val="0"/>
          <w:numId w:val="3"/>
        </w:numPr>
        <w:ind w:firstLine="420"/>
        <w:jc w:val="left"/>
        <w:keepLines w:val="0"/>
        <w:keepNext w:val="0"/>
        <w:pageBreakBefore w:val="0"/>
        <w:spacing w:line="348"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技术要求响应及</w:t>
      </w:r>
      <w:r>
        <w:rPr>
          <w:rFonts w:hint="eastAsia" w:ascii="宋体" w:hAnsi="宋体" w:eastAsia="宋体" w:cs="宋体"/>
          <w:color w:val="auto"/>
          <w:sz w:val="24"/>
          <w:szCs w:val="24"/>
          <w:highlight w:val="none"/>
          <w:lang w:val="zh-CN"/>
        </w:rPr>
        <w:t xml:space="preserve">偏离表》；</w:t>
      </w:r>
      <w:r/>
    </w:p>
    <w:p>
      <w:pPr>
        <w:numPr>
          <w:ilvl w:val="0"/>
          <w:numId w:val="3"/>
        </w:numPr>
        <w:ind w:firstLine="420"/>
        <w:jc w:val="left"/>
        <w:keepLines w:val="0"/>
        <w:keepNext w:val="0"/>
        <w:pageBreakBefore w:val="0"/>
        <w:spacing w:line="348"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投标人认为需要提供的其他技术资料。</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11、投标文件的价格内容</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11.1价格部分内容是对采购标的价格构成的说明，招标文件如无特别说明，每一项货物及服务仅接受一个价格。</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11.报价应包含与本次采购项目有关的所有</w:t>
      </w:r>
      <w:r>
        <w:rPr>
          <w:rFonts w:hint="eastAsia" w:ascii="宋体" w:hAnsi="宋体" w:cs="宋体"/>
          <w:color w:val="auto"/>
          <w:sz w:val="24"/>
          <w:szCs w:val="24"/>
          <w:highlight w:val="none"/>
          <w:lang w:val="en-US" w:eastAsia="zh-CN"/>
        </w:rPr>
        <w:t xml:space="preserve">含税</w:t>
      </w:r>
      <w:r>
        <w:rPr>
          <w:rFonts w:hint="eastAsia" w:ascii="宋体" w:hAnsi="宋体" w:eastAsia="宋体" w:cs="宋体"/>
          <w:color w:val="auto"/>
          <w:sz w:val="24"/>
          <w:szCs w:val="24"/>
          <w:highlight w:val="none"/>
        </w:rPr>
        <w:t xml:space="preserve">费用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包含但不限于人员、设备、安装、调试、验收、售后服务、伴随配套服务等所有含税费用。同时，还应包含支付给员工的工资和国家强制缴纳的各种社会保障资金，以及供应商认为需要的其他费用等。</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11.3投标人的任何错漏、优惠、竞争性报价不得作为减轻责任、减少服务、增加收费、降低质量的理由。</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eastAsia="宋体" w:cs="宋体"/>
          <w:b/>
          <w:bCs/>
          <w:color w:val="auto"/>
          <w:sz w:val="24"/>
          <w:szCs w:val="24"/>
          <w:highlight w:val="none"/>
        </w:rPr>
        <w:t xml:space="preserve">无效投标处理</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投标人应在《开标一览表》《分项报价表》等标明投标货物和服务的单价、总价以及分项报价等。</w:t>
      </w:r>
      <w:r/>
    </w:p>
    <w:p>
      <w:pPr>
        <w:pStyle w:val="941"/>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11.6 </w:t>
      </w:r>
      <w:r>
        <w:rPr>
          <w:rFonts w:hint="eastAsia" w:ascii="宋体" w:hAnsi="宋体" w:eastAsia="宋体" w:cs="宋体"/>
          <w:color w:val="auto"/>
          <w:sz w:val="24"/>
          <w:szCs w:val="24"/>
          <w:highlight w:val="none"/>
          <w:lang w:val="en-US"/>
        </w:rPr>
        <w:t xml:space="preserve">对于采用货币报价的项目，开标一览表中的投标总报价应与</w:t>
      </w:r>
      <w:r>
        <w:rPr>
          <w:rFonts w:hint="eastAsia" w:ascii="宋体" w:hAnsi="宋体" w:eastAsia="宋体" w:cs="宋体"/>
          <w:color w:val="auto"/>
          <w:sz w:val="24"/>
          <w:szCs w:val="24"/>
          <w:highlight w:val="none"/>
          <w:lang w:val="en-US" w:eastAsia="zh-CN"/>
        </w:rPr>
        <w:t xml:space="preserve">投标报价明细表</w:t>
      </w:r>
      <w:r>
        <w:rPr>
          <w:rFonts w:hint="eastAsia" w:ascii="宋体" w:hAnsi="宋体" w:eastAsia="宋体" w:cs="宋体"/>
          <w:color w:val="auto"/>
          <w:sz w:val="24"/>
          <w:szCs w:val="24"/>
          <w:highlight w:val="none"/>
          <w:lang w:val="en-US"/>
        </w:rPr>
        <w:t xml:space="preserve">中的投标总报价一致，如不一致不作为无效投标处理，评标时以开标一览表中价格为准。</w:t>
      </w:r>
      <w:r/>
    </w:p>
    <w:p>
      <w:pPr>
        <w:ind w:firstLine="420"/>
        <w:keepLines w:val="0"/>
        <w:keepNext w:val="0"/>
        <w:pageBreakBefore w:val="0"/>
        <w:spacing w:line="34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11.7本项目预算为：详见第一章</w:t>
      </w:r>
      <w:r>
        <w:rPr>
          <w:rFonts w:hint="eastAsia" w:ascii="宋体" w:hAnsi="宋体" w:eastAsia="宋体" w:cs="宋体"/>
          <w:bCs/>
          <w:color w:val="auto"/>
          <w:sz w:val="24"/>
          <w:szCs w:val="24"/>
          <w:highlight w:val="none"/>
        </w:rPr>
        <w:t xml:space="preserve">。</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12、投标文件的其他部分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其他部分由投标人根据编制投标文件需要提供的其他相关文件组成。</w:t>
      </w:r>
      <w:r/>
    </w:p>
    <w:p>
      <w:p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13、投标保证金</w:t>
      </w:r>
      <w:r>
        <w:rPr>
          <w:rFonts w:hint="eastAsia" w:ascii="宋体" w:hAnsi="宋体" w:eastAsia="宋体" w:cs="宋体"/>
          <w:b/>
          <w:bCs/>
          <w:color w:val="auto"/>
          <w:sz w:val="24"/>
          <w:szCs w:val="24"/>
          <w:highlight w:val="none"/>
          <w:lang w:val="zh-CN"/>
        </w:rPr>
        <w:t xml:space="preserve">（本项目不适用）</w:t>
      </w:r>
      <w:r/>
    </w:p>
    <w:p>
      <w:p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14、投标有效期</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自开标之日起</w:t>
      </w:r>
      <w:r>
        <w:rPr>
          <w:rFonts w:hint="eastAsia" w:ascii="宋体" w:hAnsi="宋体" w:eastAsia="宋体" w:cs="宋体"/>
          <w:b/>
          <w:color w:val="auto"/>
          <w:sz w:val="24"/>
          <w:szCs w:val="24"/>
          <w:highlight w:val="none"/>
        </w:rPr>
        <w:t xml:space="preserve">90</w:t>
      </w:r>
      <w:r>
        <w:rPr>
          <w:rFonts w:hint="eastAsia" w:ascii="宋体" w:hAnsi="宋体" w:eastAsia="宋体" w:cs="宋体"/>
          <w:color w:val="auto"/>
          <w:sz w:val="24"/>
          <w:szCs w:val="24"/>
          <w:highlight w:val="none"/>
        </w:rPr>
        <w:t xml:space="preserve">天内投标有效</w:t>
      </w:r>
      <w:r>
        <w:rPr>
          <w:rFonts w:hint="eastAsia" w:ascii="宋体" w:hAnsi="宋体" w:eastAsia="宋体" w:cs="宋体"/>
          <w:b/>
          <w:color w:val="auto"/>
          <w:sz w:val="24"/>
          <w:szCs w:val="24"/>
          <w:highlight w:val="none"/>
        </w:rPr>
        <w:t xml:space="preserve">，投标有效期从提交投标文件的截止之日起算。投标文件中承诺的投标有效期应当不少于招标文件中载明的投标有效期。</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15、投标文件签署</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15.1 投标文件应按照招标文件要求</w:t>
      </w:r>
      <w:r>
        <w:rPr>
          <w:rFonts w:hint="eastAsia" w:ascii="宋体" w:hAnsi="宋体" w:eastAsia="宋体" w:cs="宋体"/>
          <w:color w:val="auto"/>
          <w:sz w:val="24"/>
          <w:szCs w:val="24"/>
          <w:highlight w:val="none"/>
          <w:lang w:val="zh-CN"/>
        </w:rPr>
        <w:t xml:space="preserve">加盖电子公章，</w:t>
      </w:r>
      <w:r>
        <w:rPr>
          <w:rFonts w:hint="eastAsia" w:ascii="宋体" w:hAnsi="宋体" w:eastAsia="宋体" w:cs="宋体"/>
          <w:color w:val="auto"/>
          <w:sz w:val="24"/>
          <w:szCs w:val="24"/>
          <w:highlight w:val="none"/>
          <w:lang w:val="en-US" w:eastAsia="zh-CN"/>
        </w:rPr>
        <w:t xml:space="preserve">否则视为无效投标</w:t>
      </w:r>
      <w:r>
        <w:rPr>
          <w:rFonts w:hint="eastAsia" w:ascii="宋体" w:hAnsi="宋体" w:eastAsia="宋体" w:cs="宋体"/>
          <w:color w:val="auto"/>
          <w:sz w:val="24"/>
          <w:szCs w:val="24"/>
          <w:highlight w:val="none"/>
          <w:lang w:val="zh-CN"/>
        </w:rPr>
        <w:t xml:space="preserve">。</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16、投标费用</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投标人应承担所有与准备和参加投标有关的费用，无论招标结果如何，采购代理机构和采购人在任何情况下均无义务和责任承担这些费用。</w:t>
      </w:r>
      <w:r/>
    </w:p>
    <w:p>
      <w:pPr>
        <w:ind w:firstLine="422"/>
        <w:keepLines w:val="0"/>
        <w:keepNext w:val="0"/>
        <w:pageBreakBefore w:val="0"/>
        <w:spacing w:line="348"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16.2 招标代理服务费：</w:t>
      </w:r>
      <w:r/>
    </w:p>
    <w:p>
      <w:p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招标代理服务费</w:t>
      </w:r>
      <w:r>
        <w:rPr>
          <w:rFonts w:hint="eastAsia" w:ascii="宋体" w:hAnsi="宋体" w:cs="宋体"/>
          <w:color w:val="auto"/>
          <w:sz w:val="24"/>
          <w:highlight w:val="none"/>
          <w:lang w:val="en-US" w:eastAsia="zh-CN"/>
        </w:rPr>
        <w:t xml:space="preserve">每包</w:t>
      </w:r>
      <w:r>
        <w:rPr>
          <w:rFonts w:hint="eastAsia" w:ascii="宋体" w:hAnsi="宋体" w:eastAsia="宋体" w:cs="宋体"/>
          <w:color w:val="auto"/>
          <w:sz w:val="24"/>
          <w:highlight w:val="none"/>
        </w:rPr>
        <w:t xml:space="preserve">按《国家发展改革委关于降低部分建设项目收费标准规范收费行为等有关问题的通知》（发改价格[2011]534号）文标准的50%收取，不足3000元的按3000元计；清单及控制价编制费按《江苏省物价局、江苏省住房和城乡建设厅关于规范工程造价咨询服务收费标准及有关事项的通知》【苏价服[2014]383号】文收费标准的50%收取,不足3000元的按 3000 元计；上述费用由中标单位在获取中标通知书时向南京南咨工程咨询有限公司一次付清，请投标人自行考虑在投标报价中。</w:t>
      </w:r>
      <w:r>
        <w:rPr>
          <w:rFonts w:hint="eastAsia" w:ascii="宋体" w:hAnsi="宋体" w:eastAsia="宋体" w:cs="宋体"/>
          <w:bCs/>
          <w:color w:val="auto"/>
          <w:sz w:val="24"/>
          <w:szCs w:val="24"/>
          <w:highlight w:val="none"/>
        </w:rPr>
        <w:t xml:space="preserve">本项费用无需在投标报价表中单列。</w:t>
      </w:r>
      <w:r/>
    </w:p>
    <w:p>
      <w:pPr>
        <w:ind w:firstLine="420"/>
        <w:keepLines w:val="0"/>
        <w:keepNext w:val="0"/>
        <w:pageBreakBefore w:val="0"/>
        <w:spacing w:line="348" w:lineRule="auto"/>
        <w:shd w:val="clear" w:color="auto" w:fill="ffffff"/>
        <w:widowControl/>
        <w:tabs>
          <w:tab w:val="left" w:pos="5736" w:leader="none"/>
        </w:tabs>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四、投标文件的递交</w:t>
      </w:r>
      <w:r>
        <w:rPr>
          <w:rFonts w:hint="eastAsia" w:ascii="宋体" w:hAnsi="宋体" w:eastAsia="宋体" w:cs="宋体"/>
          <w:b/>
          <w:bCs/>
          <w:color w:val="auto"/>
          <w:sz w:val="24"/>
          <w:szCs w:val="24"/>
          <w:highlight w:val="none"/>
          <w:lang w:eastAsia="zh-CN"/>
        </w:rPr>
        <w:tab/>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17、投标文件的递交</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 xml:space="preserve">17.1 投标人应当按照《操作手册》规定，在招标公告规定的投标截止时间前制作并上传电子投标文件。</w:t>
      </w:r>
      <w:r>
        <w:rPr>
          <w:rFonts w:hint="eastAsia" w:ascii="宋体" w:hAnsi="宋体" w:eastAsia="宋体" w:cs="宋体"/>
          <w:color w:val="auto"/>
          <w:sz w:val="24"/>
          <w:szCs w:val="24"/>
          <w:highlight w:val="none"/>
          <w:lang w:val="zh-CN" w:eastAsia="zh-CN"/>
        </w:rPr>
        <w:t xml:space="preserve">招标代理机构拒绝接收提交</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eastAsia="zh-CN"/>
        </w:rPr>
        <w:t xml:space="preserve">文件截止时间后上传的任何电子</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eastAsia="zh-CN"/>
        </w:rPr>
        <w:t xml:space="preserve">文件。</w:t>
      </w:r>
      <w:r/>
    </w:p>
    <w:p>
      <w:pPr>
        <w:ind w:firstLine="422"/>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18、投标文件的解密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18.1 投标人</w:t>
      </w:r>
      <w:r>
        <w:rPr>
          <w:rFonts w:hint="eastAsia" w:ascii="宋体" w:hAnsi="宋体" w:eastAsia="宋体" w:cs="宋体"/>
          <w:color w:val="auto"/>
          <w:sz w:val="24"/>
          <w:szCs w:val="24"/>
          <w:highlight w:val="none"/>
          <w:lang w:val="zh-CN" w:eastAsia="zh-CN"/>
        </w:rPr>
        <w:t xml:space="preserve">应当按照《操作手册》规定，在</w:t>
      </w:r>
      <w:r>
        <w:rPr>
          <w:rFonts w:hint="eastAsia" w:ascii="宋体" w:hAnsi="宋体" w:eastAsia="宋体" w:cs="宋体"/>
          <w:color w:val="auto"/>
          <w:sz w:val="24"/>
          <w:szCs w:val="24"/>
          <w:highlight w:val="none"/>
          <w:lang w:val="zh-CN"/>
        </w:rPr>
        <w:t xml:space="preserve">“苏采云”</w:t>
      </w:r>
      <w:r>
        <w:rPr>
          <w:rFonts w:hint="eastAsia" w:ascii="宋体" w:hAnsi="宋体" w:eastAsia="宋体" w:cs="宋体"/>
          <w:color w:val="auto"/>
          <w:sz w:val="24"/>
          <w:szCs w:val="24"/>
          <w:highlight w:val="none"/>
          <w:lang w:val="zh-CN" w:eastAsia="zh-CN"/>
        </w:rPr>
        <w:t xml:space="preserve">系统规定的时间内对</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eastAsia="zh-CN"/>
        </w:rPr>
        <w:t xml:space="preserve">文件进行解密。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投标人应充分考虑网络环境、网络带宽等因素可能对投标产生的影响，如因投标人自身原因造成的电子投标文件</w:t>
      </w:r>
      <w:r>
        <w:rPr>
          <w:rFonts w:hint="eastAsia" w:ascii="宋体" w:hAnsi="宋体" w:eastAsia="宋体" w:cs="宋体"/>
          <w:color w:val="auto"/>
          <w:sz w:val="24"/>
          <w:szCs w:val="24"/>
          <w:highlight w:val="none"/>
          <w:lang w:val="en-US" w:eastAsia="zh-CN"/>
        </w:rPr>
        <w:t xml:space="preserve">解密</w:t>
      </w:r>
      <w:r>
        <w:rPr>
          <w:rFonts w:hint="eastAsia" w:ascii="宋体" w:hAnsi="宋体" w:eastAsia="宋体" w:cs="宋体"/>
          <w:color w:val="auto"/>
          <w:sz w:val="24"/>
          <w:szCs w:val="24"/>
          <w:highlight w:val="none"/>
        </w:rPr>
        <w:t xml:space="preserve">不成功的，做无效投标处理。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19、投标文件的修改和撤回</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投标截止时间之后，投标文件不得撤回；如撤回，投标保证金不予退还。</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20、诚实信用</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20.1投标人应当遵循公平竞争的原则，不得恶意串通，不得妨碍其他投标人的竞争行为，不得损害采购人或者其他投标人的合法权益。</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20.2在评标过程中发现投标人有上述情形的，评标委员会应当认定其投标无效，并书面报告本级财政部门。</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五、开标、评标与定标</w:t>
      </w:r>
      <w:r/>
    </w:p>
    <w:p>
      <w:p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21、开标</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代理机构在招标公告中规定的时间和地点组织公开开标。投标人按照《操作手册》规定参加开标活动，并在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系统规定的时间内对投标文件进行解密。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系统公布各投标人名称和投标价格。</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投标人在开标过程中涉及到的投标文件解密、开标结果确认等工作，应按照《操作手册》规定执行。</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21.3投标人不足3家的，不得开标。</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投标人如果对开标过程和开标结果有疑义，应当根据《操作手册》规定提出，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系统中《开标记录表》公布后5分钟内未提出的，视同认可开标结果。</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（1）招标文件存在不合理条款或者招标程序不符合规定的，采购人、采购代理机构改正后依法重新招标；</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（2）招标文件没有不合理条款、招标程序符合规定，需要采用其他采购方式采购的，采购人依法报财政部门批准，经批准后，可变更为其他采购方式采购。</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22、评标</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22.1 评标委员会</w:t>
      </w:r>
      <w:r/>
    </w:p>
    <w:p>
      <w:pPr>
        <w:ind w:firstLine="420"/>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22.1.1</w:t>
      </w:r>
      <w:r>
        <w:rPr>
          <w:rFonts w:hint="eastAsia" w:ascii="宋体" w:hAnsi="宋体" w:eastAsia="宋体" w:cs="宋体"/>
          <w:bCs/>
          <w:color w:val="auto"/>
          <w:sz w:val="24"/>
          <w:szCs w:val="24"/>
          <w:highlight w:val="none"/>
        </w:rPr>
        <w:t xml:space="preserve">评标委员会负责具体评标事务，并独立履行下列职责：</w:t>
      </w:r>
      <w:r/>
    </w:p>
    <w:p>
      <w:pPr>
        <w:ind w:firstLine="420"/>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（一）审查、评价投标文件是否符合招标文件的商务、技术等实质性要求；</w:t>
      </w:r>
      <w:r/>
    </w:p>
    <w:p>
      <w:pPr>
        <w:ind w:firstLine="420"/>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（二）要求投标人对投标文件有关事项作出澄清或者说明；</w:t>
      </w:r>
      <w:r/>
    </w:p>
    <w:p>
      <w:pPr>
        <w:ind w:firstLine="420"/>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（三）对投标文件进行比较和评价；</w:t>
      </w:r>
      <w:r/>
    </w:p>
    <w:p>
      <w:pPr>
        <w:ind w:firstLine="420"/>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（四）确定中标候选人名单，以及根据采购人委托直接确定中标人；</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（五）向采购人、采购代理机构或者有关部门报告评标中发现的违法行为。</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22.1.2 </w:t>
      </w:r>
      <w:r>
        <w:rPr>
          <w:rFonts w:hint="eastAsia" w:ascii="宋体" w:hAnsi="宋体" w:eastAsia="宋体" w:cs="宋体"/>
          <w:color w:val="auto"/>
          <w:sz w:val="24"/>
          <w:szCs w:val="24"/>
          <w:highlight w:val="none"/>
        </w:rPr>
        <w:t xml:space="preserve">评标委员会由</w:t>
      </w:r>
      <w:r>
        <w:rPr>
          <w:rFonts w:hint="eastAsia" w:ascii="宋体" w:hAnsi="宋体" w:eastAsia="宋体" w:cs="宋体"/>
          <w:bCs/>
          <w:color w:val="auto"/>
          <w:sz w:val="24"/>
          <w:szCs w:val="24"/>
          <w:highlight w:val="none"/>
        </w:rPr>
        <w:t xml:space="preserve">采购人</w:t>
      </w:r>
      <w:r>
        <w:rPr>
          <w:rFonts w:hint="eastAsia" w:ascii="宋体" w:hAnsi="宋体" w:eastAsia="宋体" w:cs="宋体"/>
          <w:color w:val="auto"/>
          <w:sz w:val="24"/>
          <w:szCs w:val="24"/>
          <w:highlight w:val="none"/>
        </w:rPr>
        <w:t xml:space="preserve">代表和有关技术、经济等方面的专家组成，独立开展评审工作。</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22.2  评标程序</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22.2.1 </w:t>
      </w:r>
      <w:r>
        <w:rPr>
          <w:rFonts w:hint="eastAsia" w:ascii="宋体" w:hAnsi="宋体" w:eastAsia="宋体" w:cs="宋体"/>
          <w:b/>
          <w:bCs/>
          <w:color w:val="auto"/>
          <w:sz w:val="24"/>
          <w:szCs w:val="24"/>
          <w:highlight w:val="none"/>
        </w:rPr>
        <w:t xml:space="preserve">投标文件的资格性检查。</w:t>
      </w:r>
      <w:r>
        <w:rPr>
          <w:rFonts w:hint="eastAsia" w:ascii="宋体" w:hAnsi="宋体" w:eastAsia="宋体" w:cs="宋体"/>
          <w:color w:val="auto"/>
          <w:sz w:val="24"/>
          <w:szCs w:val="24"/>
          <w:highlight w:val="none"/>
        </w:rPr>
        <w:t xml:space="preserve">公开招标采购项目开标结束后，采购人或者采购代理机构应当依法对投标人的资格进行审查。合格投标人不足3家的，不得评标。</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22.2.2投标文件的符合性审查</w:t>
      </w:r>
      <w:r>
        <w:rPr>
          <w:rFonts w:hint="eastAsia" w:ascii="宋体" w:hAnsi="宋体" w:eastAsia="宋体" w:cs="宋体"/>
          <w:color w:val="auto"/>
          <w:sz w:val="24"/>
          <w:szCs w:val="24"/>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（1）投标人在“苏采云”系统规定的时间内未成功解密电子投标文件的</w:t>
      </w:r>
      <w:r>
        <w:rPr>
          <w:rFonts w:hint="eastAsia" w:ascii="宋体" w:hAnsi="宋体" w:eastAsia="宋体" w:cs="宋体"/>
          <w:b/>
          <w:bCs/>
          <w:color w:val="auto"/>
          <w:sz w:val="24"/>
          <w:szCs w:val="24"/>
          <w:highlight w:val="none"/>
        </w:rPr>
        <w:t xml:space="preserve">；</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（2）投标人未按照招标文件要求上传电子投标文件的；</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（3）同一投标人提交两个（含两个）以上不同的投标报价的；</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（4）投标文件未按照招标文件要求加盖电子公章的；</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）报价超过招标文件中规定的预算金额或者最高限价的；</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）投标文件含有采购人不能接受的附加条件的；</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）投标文件内容不全或不符合招标文件中规定的其他实质性要求的；</w:t>
      </w:r>
      <w:r/>
    </w:p>
    <w:p>
      <w:pPr>
        <w:ind w:firstLine="420"/>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）现行法律、法规、规章和招标文件规定的其他无效情形。</w:t>
      </w:r>
      <w:r/>
    </w:p>
    <w:p>
      <w:p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22.2.2.1 实质性要求是指本招标文件中用带星号（“</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”）的商务和技术要求。</w:t>
      </w:r>
      <w:r/>
    </w:p>
    <w:p>
      <w:p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22.2.2.2未通过资格审查或符合性审查的投标人，代理机构将通过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苏采云</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系统告知其具体原因，评标结束后不再接受有关询问。</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22.2.2.3</w:t>
      </w:r>
      <w:r>
        <w:rPr>
          <w:rFonts w:hint="eastAsia" w:ascii="宋体" w:hAnsi="宋体" w:eastAsia="宋体" w:cs="宋体"/>
          <w:color w:val="auto"/>
          <w:sz w:val="24"/>
          <w:szCs w:val="24"/>
          <w:highlight w:val="none"/>
        </w:rPr>
        <w:t xml:space="preserve">有下列情形之一的予以废标：</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（1）符合专业条件的投标人或者对招标文件作实质性响应的投标人不足三家的；</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（3）投标人的报价均超过了采购预算，采购人不能支付的；</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（4）因苏采云系统故障造成开标不成功的；</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（6）投标人以明显低于其他通过符合性审查投标人的报价，有可能影响产品质量或者不能诚信履约的，且不能证明其报价合理性的。</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22.2.3</w:t>
      </w:r>
      <w:r>
        <w:rPr>
          <w:rFonts w:hint="eastAsia" w:ascii="宋体" w:hAnsi="宋体" w:eastAsia="宋体" w:cs="宋体"/>
          <w:b/>
          <w:bCs/>
          <w:color w:val="auto"/>
          <w:sz w:val="24"/>
          <w:szCs w:val="24"/>
          <w:highlight w:val="none"/>
        </w:rPr>
        <w:t xml:space="preserve">澄清有关问题</w:t>
      </w:r>
      <w:r>
        <w:rPr>
          <w:rFonts w:hint="eastAsia" w:ascii="宋体" w:hAnsi="宋体" w:eastAsia="宋体" w:cs="宋体"/>
          <w:color w:val="auto"/>
          <w:sz w:val="24"/>
          <w:szCs w:val="24"/>
          <w:highlight w:val="none"/>
        </w:rPr>
        <w:t xml:space="preserve">。</w:t>
      </w:r>
      <w:r/>
    </w:p>
    <w:p>
      <w:pPr>
        <w:pStyle w:val="939"/>
        <w:keepLines w:val="0"/>
        <w:keepNext w:val="0"/>
        <w:pageBreakBefore w:val="0"/>
        <w:spacing w:line="348"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评标期间，评委会对投标文件中含义不明确、同类问题表述不一致或者有明显文字和计算错误的内容，有权要求投标人作出必要的澄清、说明或者补正。</w:t>
      </w:r>
      <w:r/>
    </w:p>
    <w:p>
      <w:pPr>
        <w:pStyle w:val="939"/>
        <w:keepLines w:val="0"/>
        <w:keepNext w:val="0"/>
        <w:pageBreakBefore w:val="0"/>
        <w:spacing w:line="348"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投标人的澄清、说明或者补正不得超出投标文件的范围或者改变投标文件的实质性内容。</w:t>
      </w:r>
      <w:r/>
    </w:p>
    <w:p>
      <w:pPr>
        <w:pStyle w:val="939"/>
        <w:keepLines w:val="0"/>
        <w:keepNext w:val="0"/>
        <w:pageBreakBefore w:val="0"/>
        <w:spacing w:line="348"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评委会并非对每个投标人都做澄清要求。</w:t>
      </w:r>
      <w:r/>
    </w:p>
    <w:p>
      <w:pPr>
        <w:pStyle w:val="939"/>
        <w:keepLines w:val="0"/>
        <w:keepNext w:val="0"/>
        <w:pageBreakBefore w:val="0"/>
        <w:spacing w:line="348"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2.3.2 </w:t>
      </w:r>
      <w:r>
        <w:rPr>
          <w:rFonts w:hint="eastAsia" w:ascii="宋体" w:hAnsi="宋体" w:eastAsia="宋体" w:cs="宋体"/>
          <w:color w:val="auto"/>
          <w:sz w:val="24"/>
          <w:szCs w:val="24"/>
          <w:highlight w:val="none"/>
          <w:lang w:val="zh-CN"/>
        </w:rPr>
        <w:t xml:space="preserve">需要供应商进行澄清、说明和补正的，评委会将通过苏采云系统向</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rPr>
        <w:t xml:space="preserve">发出《澄清要求函》，接到《澄清要求函》的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rPr>
        <w:t xml:space="preserve">应当按照要求在苏采云系统中提交《澄清响应函》并加盖电子公章。澄清、说明和补正的内容作为投标文件的补充部分，具体操作方式见《操作手册》。</w:t>
      </w:r>
      <w:r/>
    </w:p>
    <w:p>
      <w:pPr>
        <w:pStyle w:val="939"/>
        <w:keepLines w:val="0"/>
        <w:keepNext w:val="0"/>
        <w:pageBreakBefore w:val="0"/>
        <w:spacing w:line="348"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2.3.3</w:t>
      </w:r>
      <w:r>
        <w:rPr>
          <w:rFonts w:hint="eastAsia" w:ascii="宋体" w:hAnsi="宋体" w:eastAsia="宋体" w:cs="宋体"/>
          <w:color w:val="auto"/>
          <w:sz w:val="24"/>
          <w:szCs w:val="24"/>
          <w:highlight w:val="none"/>
          <w:lang w:val="zh-CN"/>
        </w:rPr>
        <w:t xml:space="preserve"> 接到评委会澄清、说明和补正要求的，投标人如未按规定作出澄清、说明和补正，其风险由投标人自行承担。</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投标文件报价出现前后不一致的，除招标文件另有规定外，按照下列规定修正：</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939"/>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评委会将按上述修正错误的方法调整投标文件中的投标报价，同时出现两种以上不一致的，按照前款规定的顺序修正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并由评标委员会</w:t>
      </w:r>
      <w:r>
        <w:rPr>
          <w:rFonts w:hint="eastAsia" w:ascii="宋体" w:hAnsi="宋体" w:eastAsia="宋体" w:cs="宋体"/>
          <w:color w:val="auto"/>
          <w:sz w:val="24"/>
          <w:szCs w:val="24"/>
          <w:highlight w:val="none"/>
        </w:rPr>
        <w:t xml:space="preserve">通过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系统告知投标人，调整后的价格对投标人具有约束力。如果投标人不接受修正后的价格，则其投标将被拒绝。</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评标过程中出现下列情形之一的，评委会应当启动异常低价投标审查程序：</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（1）投标报价低于全部通过符合性审查供应商投标报价平均值50%的，即投标报价&lt;全部通过符合性审查供应商投标报价平均值×50%；</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（2）投标报价低于通过符合性审查的次低报价供应商投标报价50%的，即投标报价&lt;通过符合性审查的次低报价供应商投标报价×50%；</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（3）投标报价低于采购项目最高限价45%的，即投标报价&lt;采购项目最高限价×45%；</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（4）评委会基于专业判断，认为供应商报价过低，有可能影响产品质量或者不能诚信履约的其他情形。</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22.2.3.6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22.2.3.</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投标人在开、评标全过程中应保持通讯畅通，及时登录苏采云系统查阅、答复相关信息，并安排专人与代理机构及评委会联系。</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w:t>
      </w:r>
      <w:r>
        <w:rPr>
          <w:rFonts w:hint="eastAsia" w:ascii="宋体" w:hAnsi="宋体" w:cs="宋体"/>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比较与评价。</w:t>
      </w:r>
      <w:r>
        <w:rPr>
          <w:rFonts w:hint="eastAsia" w:ascii="宋体" w:hAnsi="宋体" w:eastAsia="宋体" w:cs="宋体"/>
          <w:color w:val="auto"/>
          <w:sz w:val="24"/>
          <w:szCs w:val="24"/>
          <w:highlight w:val="none"/>
        </w:rPr>
        <w:t xml:space="preserve">评标委员会应当按照招标文件中规定的评标方法和标准，对符合性审查合格的投标文件进行商务和技术评估，综合比较与评价。</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相同品牌产品的投标</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非单一产品采购项目，确定核心产品的方法在招标文件技术需求中载明。多家投标人提供的核心产品品牌相同的，按前两款规定处理。</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22.3 评标方法和标准</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22.3.1评标方法分为最低评标价法和综合评分法。本次招标的评标方法和标准，详见本招标文件第三章。</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22.3.2最低评标价法，是指投标文件满足招标文件全部实质性要求，且投标报价最低的投标人为中标候选人的评标方法。</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采用最低评标价法评标时，除了算术修正和落实政府采购政策需进行的价格扣除外，不对投标人的投标价格进行任何调整。</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22.3.3综合评分法，是指投标文件满足招标文件全部实质性要求，且按照评审因素的量化指标评审得分最高的投标人为中标候选人的评标方法。</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评审因素，包括价格、技术、商务等。</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评标时，评标委员会各成员应当独立对每个投标人的投标文件进行评价，并汇总每个投标人的得分。</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价格分采用低价优先法计算，即满足招标文件要求且投标价格最低的投标报价为评标基准价，其价格分为满分。</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评标总得分＝F1×A1＋F2×A2＋……＋Fn×An</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F1、F2……Fn分别为各项评审因素的得分；</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A1、A2、……An 分别为各项评审因素所占的权重(A1＋A2＋……＋An＝1)。</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因落实政府采购政策进行价格调整的，以调整后的价格计算评标基准价和投标报价。</w:t>
      </w:r>
      <w:r/>
    </w:p>
    <w:p>
      <w:pPr>
        <w:ind w:firstLine="420"/>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23、</w:t>
      </w:r>
      <w:r>
        <w:rPr>
          <w:rFonts w:hint="eastAsia" w:ascii="宋体" w:hAnsi="宋体" w:eastAsia="宋体" w:cs="宋体"/>
          <w:b/>
          <w:color w:val="auto"/>
          <w:sz w:val="24"/>
          <w:szCs w:val="24"/>
          <w:highlight w:val="none"/>
        </w:rPr>
        <w:t xml:space="preserve">确定中标人</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39"/>
        <w:keepLines w:val="0"/>
        <w:keepNext w:val="0"/>
        <w:pageBreakBefore w:val="0"/>
        <w:spacing w:line="348"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23.3 中标人确定后，在省级以上财政部门指定的媒体上公告中标结果，中标公告期为1个工作日，公告的同时向中标人发出中标通知书。</w:t>
      </w:r>
      <w:r>
        <w:rPr>
          <w:rFonts w:hint="eastAsia" w:ascii="宋体" w:hAnsi="宋体" w:eastAsia="宋体" w:cs="宋体"/>
          <w:color w:val="auto"/>
          <w:sz w:val="24"/>
          <w:szCs w:val="24"/>
          <w:highlight w:val="none"/>
          <w:lang w:val="zh-CN"/>
        </w:rPr>
        <w:t xml:space="preserve">中标人</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lang w:val="zh-CN"/>
        </w:rPr>
        <w:t xml:space="preserve">在中标结果公告届满之日起三十日内,登录苏采云系统下载。</w:t>
      </w:r>
      <w:r/>
    </w:p>
    <w:p>
      <w:pPr>
        <w:pStyle w:val="939"/>
        <w:keepLines w:val="0"/>
        <w:keepNext w:val="0"/>
        <w:pageBreakBefore w:val="0"/>
        <w:spacing w:line="348"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23.4 中标通知书对采购人和中标人具有同等法律效力。中标通知书发出后，采购人不得</w:t>
      </w:r>
      <w:r>
        <w:rPr>
          <w:rFonts w:hint="eastAsia" w:ascii="宋体" w:hAnsi="宋体" w:eastAsia="宋体" w:cs="宋体"/>
          <w:b/>
          <w:color w:val="auto"/>
          <w:sz w:val="24"/>
          <w:szCs w:val="24"/>
          <w:highlight w:val="none"/>
        </w:rPr>
        <w:t xml:space="preserve">违法改变中标结果，中标人无正当理由不得放弃中标。</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23.5 所有投标文件不论中标与否，均不退回。</w:t>
      </w:r>
      <w:r/>
    </w:p>
    <w:p>
      <w:pPr>
        <w:ind w:firstLine="412"/>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24、编写评标报告</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24.1评标委员会根据全体评标成员签字的原始评标记录和评标结果编写评标报告。</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25、评标过程的保密性</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采购人和采购代理机构将采取必要措施，保证评标在严格保密的情况下进行。</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任何单位和个人不得非法干预、影响评标办法的确定，以及评标过程和结果。</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凡是与审查、澄清、评价和比较投标的有关资料等，均不向投标人及与评标无关的其他人员透露。</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六、签订合同</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26、签订合同</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26.2</w:t>
      </w:r>
      <w:r>
        <w:rPr>
          <w:rFonts w:hint="eastAsia" w:ascii="宋体" w:hAnsi="宋体" w:eastAsia="宋体" w:cs="宋体"/>
          <w:color w:val="auto"/>
          <w:sz w:val="24"/>
          <w:szCs w:val="24"/>
          <w:highlight w:val="none"/>
        </w:rPr>
        <w:t xml:space="preserve"> 除继续履行将损害国家利益和社会公众利益的，政府采购合同的双方当事人不得擅自变更、中止或者终止合同。</w:t>
      </w:r>
      <w:r>
        <w:rPr>
          <w:rFonts w:hint="eastAsia" w:ascii="宋体" w:hAnsi="宋体" w:eastAsia="宋体" w:cs="宋体"/>
          <w:b/>
          <w:bCs/>
          <w:color w:val="auto"/>
          <w:sz w:val="24"/>
          <w:szCs w:val="24"/>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26.3采购人不得向中标人提出任何不合理的要求作为签订合同的条件。</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26.6采购人与中标人应当根据合同的约定依法履行合同义务。</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七、质疑和投诉</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27、质疑</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27.1供应商对招标活动事项有疑问的，可以向采购代理机构提出询问，采购代理机构将依法作出答复，但答复的内容不涉及商业秘密</w:t>
      </w:r>
      <w:r>
        <w:rPr>
          <w:rFonts w:hint="eastAsia" w:ascii="宋体" w:hAnsi="宋体" w:eastAsia="宋体" w:cs="宋体"/>
          <w:b/>
          <w:bCs/>
          <w:color w:val="auto"/>
          <w:sz w:val="24"/>
          <w:szCs w:val="24"/>
          <w:highlight w:val="none"/>
        </w:rPr>
        <w:t xml:space="preserve">。</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27.2提出质疑的供应商应当是参与所质疑项目采购活动的供应商。潜在供应商已依法获取其可质疑的采购文件的，可以对该文件提出质疑。</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以联合体形式参加政府采购活动的，其质疑应当由组成联合体的所有供应商共同提出。</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供应商必须在法定质疑期内一次性提出针对同一采购程序环节的质疑。</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供应商提出质疑应当提交质疑函和必要的证明材料。质疑函应当包括下列内容：</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（一）供应商的姓名或者名称、地址、邮编、联系人及联系电话；</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（二）质疑项目的名称、编号；</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（三）具体、明确的质疑事项和与质疑事项相关的请求（具体条款）；</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（四）事实依据（具体条款）；</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（五）必要的法律依据（具体条款）；</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（六）提出质疑的日期。</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质疑函应当使用中文。相关当事人提供外文书证或者外国语视听资料的，应当附有中文译本，由翻译机构盖章或者翻译人员签名。</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27.5质疑函应当现场提交至采购代理机构联系人处，提交时应出示有效身份证明。未按上述要求提交质疑函的，质疑不予受理。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27.7采购代理机构在收到投标人的书面质疑后将及时组织调查核实，在</w:t>
      </w:r>
      <w:r>
        <w:rPr>
          <w:rFonts w:hint="eastAsia" w:ascii="宋体" w:hAnsi="宋体" w:eastAsia="宋体" w:cs="宋体"/>
          <w:b/>
          <w:bCs/>
          <w:color w:val="auto"/>
          <w:sz w:val="24"/>
          <w:szCs w:val="24"/>
          <w:highlight w:val="none"/>
        </w:rPr>
        <w:t xml:space="preserve">七个工作日内</w:t>
      </w:r>
      <w:r>
        <w:rPr>
          <w:rFonts w:hint="eastAsia" w:ascii="宋体" w:hAnsi="宋体" w:eastAsia="宋体" w:cs="宋体"/>
          <w:color w:val="auto"/>
          <w:sz w:val="24"/>
          <w:szCs w:val="24"/>
          <w:highlight w:val="none"/>
        </w:rPr>
        <w:t xml:space="preserve">作出答复，并以书面或在网站公告形式通知质疑投标人和其他有关投标人，答复的内容不涉及商业秘密。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28、投诉</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28.2供应商投诉应当有明确的请求和必要的证明材料。供应商投诉的事项不得超出已质疑事项的范围。</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投诉人有下列行为之一的，属于严重失信行为，由财政部门列入不良行为记录名单，禁止其一至三年内参加政府采购活动。</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（1）投诉人在全国范围12个月内三次以上投诉查无实据的；</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（2）采用捏造事实、提供虚假材料或者以非法手段取得证明材料等方式进行虚假、恶意投诉。</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证据来源的合法性存在明显疑问，投诉人无法证明其取得方式合法的，视为以非法手段取得证明材料。</w:t>
      </w:r>
      <w:r/>
    </w:p>
    <w:p>
      <w:pPr>
        <w:numPr>
          <w:ilvl w:val="0"/>
          <w:numId w:val="4"/>
        </w:num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其它</w:t>
      </w:r>
      <w:r/>
    </w:p>
    <w:p>
      <w:pPr>
        <w:pStyle w:val="939"/>
        <w:ind w:firstLine="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29.1本项目根据江苏省财政厅关于加强政府绿色采购有关事项的通知（苏财购〔2023〕65号）规定，执行绿色采购需求标准。</w:t>
      </w:r>
      <w:r/>
    </w:p>
    <w:p>
      <w:pPr>
        <w:jc w:val="center"/>
        <w:spacing w:line="312" w:lineRule="auto"/>
        <w:rPr>
          <w:rFonts w:ascii="宋体" w:hAnsi="宋体" w:cs="宋体"/>
          <w:b/>
          <w:color w:val="auto"/>
          <w:sz w:val="28"/>
          <w:szCs w:val="28"/>
          <w:highlight w:val="none"/>
        </w:rPr>
        <w:outlineLvl w:val="0"/>
      </w:pPr>
      <w:r>
        <w:rPr>
          <w:color w:val="auto"/>
          <w:highlight w:val="none"/>
        </w:rPr>
        <w:br w:type="page" w:clear="all"/>
      </w:r>
      <w:bookmarkStart w:id="52" w:name="_Toc16450"/>
      <w:r/>
      <w:bookmarkStart w:id="53" w:name="_Toc21584"/>
      <w:r>
        <w:rPr>
          <w:rFonts w:hint="eastAsia" w:ascii="宋体" w:hAnsi="宋体" w:cs="宋体"/>
          <w:b/>
          <w:color w:val="auto"/>
          <w:sz w:val="28"/>
          <w:szCs w:val="28"/>
          <w:highlight w:val="none"/>
        </w:rPr>
        <w:t xml:space="preserve">第三章 </w:t>
      </w:r>
      <w:r>
        <w:rPr>
          <w:rFonts w:hint="eastAsia" w:ascii="宋体" w:hAnsi="宋体" w:cs="宋体"/>
          <w:b/>
          <w:color w:val="auto"/>
          <w:sz w:val="28"/>
          <w:szCs w:val="28"/>
          <w:highlight w:val="none"/>
          <w:lang w:val="en-US" w:eastAsia="zh-CN"/>
        </w:rPr>
        <w:t xml:space="preserve"> </w:t>
      </w:r>
      <w:r>
        <w:rPr>
          <w:rFonts w:hint="eastAsia" w:ascii="宋体" w:hAnsi="宋体" w:cs="宋体"/>
          <w:b/>
          <w:color w:val="auto"/>
          <w:sz w:val="28"/>
          <w:szCs w:val="28"/>
          <w:highlight w:val="none"/>
        </w:rPr>
        <w:t xml:space="preserve">评标方法</w:t>
      </w:r>
      <w:bookmarkEnd w:id="52"/>
      <w:r/>
      <w:bookmarkEnd w:id="53"/>
      <w:r/>
      <w:r/>
    </w:p>
    <w:p>
      <w:pPr>
        <w:ind w:firstLine="420"/>
        <w:spacing w:line="360" w:lineRule="auto"/>
        <w:rPr>
          <w:rFonts w:hint="eastAsia" w:ascii="宋体" w:hAnsi="宋体" w:cs="宋体"/>
          <w:b/>
          <w:color w:val="auto"/>
          <w:sz w:val="24"/>
          <w:szCs w:val="24"/>
          <w:highlight w:val="none"/>
        </w:rPr>
      </w:pPr>
      <w:r/>
      <w:bookmarkStart w:id="54" w:name="_Toc400722722"/>
      <w:r/>
      <w:bookmarkStart w:id="55" w:name="_Toc402966376"/>
      <w:r/>
      <w:bookmarkStart w:id="56" w:name="_Toc30519"/>
      <w:r>
        <w:rPr>
          <w:rFonts w:hint="eastAsia" w:ascii="宋体" w:hAnsi="宋体" w:cs="宋体"/>
          <w:b/>
          <w:color w:val="auto"/>
          <w:sz w:val="24"/>
          <w:szCs w:val="24"/>
          <w:highlight w:val="none"/>
        </w:rPr>
        <w:t xml:space="preserve">（一）评标方法</w:t>
      </w:r>
      <w:bookmarkEnd w:id="54"/>
      <w:r/>
      <w:bookmarkEnd w:id="55"/>
      <w:r/>
      <w:bookmarkEnd w:id="56"/>
      <w:r/>
      <w:r/>
    </w:p>
    <w:p>
      <w:pPr>
        <w:ind w:firstLine="480"/>
        <w:keepLines w:val="0"/>
        <w:keepNext w:val="0"/>
        <w:pageBreakBefore w:val="0"/>
        <w:spacing w:line="360" w:lineRule="auto"/>
        <w:widowControl/>
        <w:rPr>
          <w:rFonts w:ascii="Times New Roman" w:hAnsi="Times New Roman" w:eastAsia="宋体" w:cs="Times New Roman"/>
          <w:i w:val="0"/>
          <w:iCs w:val="0"/>
          <w:caps w:val="0"/>
          <w:color w:val="auto"/>
          <w:spacing w:val="0"/>
          <w:sz w:val="24"/>
          <w:szCs w:val="24"/>
          <w:highlight w:val="none"/>
          <w:shd w:val="clear" w:color="auto"/>
        </w:rPr>
      </w:pPr>
      <w:r>
        <w:rPr>
          <w:rFonts w:ascii="Times New Roman" w:hAnsi="Times New Roman" w:eastAsia="宋体" w:cs="Times New Roman"/>
          <w:i w:val="0"/>
          <w:iCs w:val="0"/>
          <w:caps w:val="0"/>
          <w:color w:val="auto"/>
          <w:spacing w:val="0"/>
          <w:sz w:val="24"/>
          <w:szCs w:val="24"/>
          <w:highlight w:val="none"/>
          <w:shd w:val="clear" w:color="auto"/>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p>
    <w:p>
      <w:pPr>
        <w:numPr>
          <w:ilvl w:val="0"/>
          <w:numId w:val="5"/>
        </w:numPr>
        <w:ind w:firstLine="100"/>
        <w:spacing w:line="360" w:lineRule="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评分标准</w:t>
      </w:r>
      <w:r/>
    </w:p>
    <w:tbl>
      <w:tblPr>
        <w:tblStyle w:val="725"/>
        <w:tblW w:w="48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5"/>
        <w:gridCol w:w="1064"/>
        <w:gridCol w:w="6014"/>
        <w:gridCol w:w="519"/>
      </w:tblGrid>
      <w:tr>
        <w:trPr>
          <w:jc w:val="center"/>
          <w:trHeight w:val="518"/>
        </w:trPr>
        <w:tc>
          <w:tcPr>
            <w:tcMar>
              <w:left w:w="108" w:type="dxa"/>
              <w:right w:w="108" w:type="dxa"/>
            </w:tcMar>
            <w:tcW w:w="419" w:type="pct"/>
            <w:vAlign w:val="center"/>
            <w:textDirection w:val="lrTb"/>
            <w:noWrap w:val="false"/>
          </w:tcPr>
          <w:p>
            <w:pPr>
              <w:jc w:val="center"/>
              <w:keepLines w:val="0"/>
              <w:keepNext w:val="0"/>
              <w:pageBreakBefore w:val="0"/>
              <w:spacing w:line="28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Mar>
              <w:left w:w="108" w:type="dxa"/>
              <w:right w:w="108" w:type="dxa"/>
            </w:tcMar>
            <w:tcW w:w="641" w:type="pct"/>
            <w:vAlign w:val="center"/>
            <w:textDirection w:val="lrTb"/>
            <w:noWrap w:val="false"/>
          </w:tcPr>
          <w:p>
            <w:pPr>
              <w:jc w:val="center"/>
              <w:keepLines w:val="0"/>
              <w:keepNext w:val="0"/>
              <w:pageBreakBefore w:val="0"/>
              <w:spacing w:line="28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评标因素</w:t>
            </w:r>
            <w:r/>
          </w:p>
        </w:tc>
        <w:tc>
          <w:tcPr>
            <w:tcBorders>
              <w:right w:val="single" w:color="auto" w:sz="4" w:space="0"/>
            </w:tcBorders>
            <w:tcMar>
              <w:left w:w="108" w:type="dxa"/>
              <w:right w:w="108" w:type="dxa"/>
            </w:tcMar>
            <w:tcW w:w="3624" w:type="pct"/>
            <w:vAlign w:val="center"/>
            <w:textDirection w:val="lrTb"/>
            <w:noWrap w:val="false"/>
          </w:tcPr>
          <w:p>
            <w:pPr>
              <w:jc w:val="center"/>
              <w:keepLines w:val="0"/>
              <w:keepNext w:val="0"/>
              <w:pageBreakBefore w:val="0"/>
              <w:spacing w:line="28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评价内容</w:t>
            </w:r>
            <w:r/>
          </w:p>
        </w:tc>
        <w:tc>
          <w:tcPr>
            <w:tcBorders>
              <w:right w:val="single" w:color="auto" w:sz="4" w:space="0"/>
            </w:tcBorders>
            <w:tcW w:w="313" w:type="pct"/>
            <w:vAlign w:val="center"/>
            <w:textDirection w:val="lrTb"/>
            <w:noWrap w:val="false"/>
          </w:tcPr>
          <w:p>
            <w:pPr>
              <w:jc w:val="center"/>
              <w:keepLines w:val="0"/>
              <w:keepNext w:val="0"/>
              <w:pageBreakBefore w:val="0"/>
              <w:spacing w:line="28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分值</w:t>
            </w:r>
            <w:r/>
          </w:p>
        </w:tc>
      </w:tr>
      <w:tr>
        <w:trPr>
          <w:jc w:val="center"/>
          <w:trHeight w:val="1347"/>
        </w:trPr>
        <w:tc>
          <w:tcPr>
            <w:tcMar>
              <w:left w:w="108" w:type="dxa"/>
              <w:right w:w="108" w:type="dxa"/>
            </w:tcMar>
            <w:tcW w:w="419"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1</w:t>
            </w:r>
            <w:r/>
          </w:p>
        </w:tc>
        <w:tc>
          <w:tcPr>
            <w:tcMar>
              <w:left w:w="108" w:type="dxa"/>
              <w:right w:w="108" w:type="dxa"/>
            </w:tcMar>
            <w:tcW w:w="641"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w:t>
            </w:r>
            <w:r/>
          </w:p>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报价</w:t>
            </w:r>
            <w:r/>
          </w:p>
        </w:tc>
        <w:tc>
          <w:tcPr>
            <w:tcBorders>
              <w:right w:val="single" w:color="auto" w:sz="4" w:space="0"/>
            </w:tcBorders>
            <w:tcMar>
              <w:left w:w="108" w:type="dxa"/>
              <w:right w:w="108" w:type="dxa"/>
            </w:tcMar>
            <w:tcW w:w="3624"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采用低价优先法计算，即满足招标文件要求且投标价格最低的投标报价为评标基准价，其价格分为满分。</w:t>
            </w:r>
            <w:r/>
          </w:p>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其他投标人的价格分按照下列公式计算（小数点保留两位）：投标报价得分=(评标基准价／投标报价)×</w:t>
            </w:r>
            <w:r>
              <w:rPr>
                <w:rFonts w:hint="eastAsia" w:ascii="宋体" w:hAnsi="宋体" w:cs="宋体"/>
                <w:b w:val="0"/>
                <w:bCs w:val="0"/>
                <w:color w:val="auto"/>
                <w:sz w:val="24"/>
                <w:szCs w:val="24"/>
                <w:highlight w:val="none"/>
                <w:lang w:val="en-US" w:eastAsia="zh-CN"/>
              </w:rPr>
              <w:t xml:space="preserve">40</w:t>
            </w:r>
            <w:r/>
          </w:p>
        </w:tc>
        <w:tc>
          <w:tcPr>
            <w:tcBorders>
              <w:right w:val="single" w:color="auto" w:sz="4" w:space="0"/>
            </w:tcBorders>
            <w:tcW w:w="313"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40</w:t>
            </w:r>
            <w:r/>
          </w:p>
        </w:tc>
      </w:tr>
      <w:tr>
        <w:trPr>
          <w:jc w:val="center"/>
          <w:trHeight w:val="1347"/>
        </w:trPr>
        <w:tc>
          <w:tcPr>
            <w:tcMar>
              <w:left w:w="108" w:type="dxa"/>
              <w:right w:w="108" w:type="dxa"/>
            </w:tcMar>
            <w:tcW w:w="419" w:type="pct"/>
            <w:vAlign w:val="center"/>
            <w:textDirection w:val="lrTb"/>
            <w:noWrap w:val="false"/>
          </w:tcPr>
          <w:p>
            <w:pPr>
              <w:jc w:val="center"/>
              <w:keepLines w:val="0"/>
              <w:keepNext w:val="0"/>
              <w:pageBreakBefore w:val="0"/>
              <w:spacing w:line="288"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p>
        </w:tc>
        <w:tc>
          <w:tcPr>
            <w:shd w:val="clear" w:color="auto" w:fill="auto"/>
            <w:tcMar>
              <w:left w:w="108" w:type="dxa"/>
              <w:right w:w="108" w:type="dxa"/>
            </w:tcMar>
            <w:tcW w:w="641"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产品功能、性能、配置要求</w:t>
            </w:r>
            <w:r/>
          </w:p>
        </w:tc>
        <w:tc>
          <w:tcPr>
            <w:shd w:val="clear" w:color="auto" w:fill="auto"/>
            <w:tcBorders>
              <w:right w:val="single" w:color="auto" w:sz="4" w:space="0"/>
            </w:tcBorders>
            <w:tcMar>
              <w:left w:w="108" w:type="dxa"/>
              <w:right w:w="108" w:type="dxa"/>
            </w:tcMar>
            <w:tcW w:w="3624"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yellow"/>
                <w:lang w:val="en-US" w:eastAsia="zh-CN"/>
              </w:rPr>
              <w:t xml:space="preserve">设备技术参数全部满足招标要求的得满分27分；标“▲”部分，为重要技术参数，每有一项负偏离扣2分；其他参数每有一项负偏离扣1分,本项扣完为止。注：（1）投标人需详尽真实的提供投标产品的技术响应偏离表，且均需在技术响应偏离表详尽真实的提供偏差情况，否则视为未响应。</w:t>
            </w:r>
            <w:r/>
          </w:p>
        </w:tc>
        <w:tc>
          <w:tcPr>
            <w:shd w:val="clear" w:color="auto" w:fill="auto"/>
            <w:tcBorders>
              <w:right w:val="single" w:color="auto" w:sz="4" w:space="0"/>
            </w:tcBorders>
            <w:tcW w:w="313"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27</w:t>
            </w:r>
            <w:r/>
          </w:p>
        </w:tc>
      </w:tr>
      <w:tr>
        <w:trPr>
          <w:jc w:val="center"/>
          <w:trHeight w:val="990"/>
        </w:trPr>
        <w:tc>
          <w:tcPr>
            <w:tcMar>
              <w:left w:w="108" w:type="dxa"/>
              <w:right w:w="108" w:type="dxa"/>
            </w:tcMar>
            <w:tcW w:w="419" w:type="pct"/>
            <w:vAlign w:val="center"/>
            <w:textDirection w:val="lrTb"/>
            <w:noWrap w:val="false"/>
          </w:tcPr>
          <w:p>
            <w:pPr>
              <w:jc w:val="center"/>
              <w:keepLines w:val="0"/>
              <w:keepNext w:val="0"/>
              <w:pageBreakBefore w:val="0"/>
              <w:spacing w:line="288"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p>
        </w:tc>
        <w:tc>
          <w:tcPr>
            <w:shd w:val="clear" w:color="auto" w:fill="auto"/>
            <w:tcMar>
              <w:left w:w="108" w:type="dxa"/>
              <w:right w:w="108" w:type="dxa"/>
            </w:tcMar>
            <w:tcW w:w="641"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项目实施方案</w:t>
            </w:r>
            <w:r/>
          </w:p>
        </w:tc>
        <w:tc>
          <w:tcPr>
            <w:shd w:val="clear" w:color="auto" w:fill="auto"/>
            <w:tcBorders>
              <w:right w:val="single" w:color="auto" w:sz="4" w:space="0"/>
            </w:tcBorders>
            <w:tcMar>
              <w:left w:w="108" w:type="dxa"/>
              <w:right w:w="108" w:type="dxa"/>
            </w:tcMar>
            <w:tcW w:w="3624"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t xml:space="preserve">评委根据投标人提供的项目实施方案综合评分（每项内容逐条阐述）：包括但不限于1.供货进度保证措施；2.质量保证措施；3.协调配合措施；4.应急措施。</w:t>
            </w:r>
            <w:r/>
          </w:p>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yellow"/>
                <w:lang w:val="en-US" w:eastAsia="zh-CN"/>
              </w:rPr>
              <w:t xml:space="preserve">(1)上述内容完整、科学性、合理性、操作性强的，得</w:t>
            </w:r>
            <w:r>
              <w:rPr>
                <w:rFonts w:hint="eastAsia" w:ascii="宋体" w:hAnsi="宋体" w:cs="宋体"/>
                <w:b w:val="0"/>
                <w:bCs w:val="0"/>
                <w:color w:val="auto"/>
                <w:sz w:val="24"/>
                <w:szCs w:val="24"/>
                <w:highlight w:val="yellow"/>
                <w:lang w:val="en-US" w:eastAsia="zh-CN"/>
              </w:rPr>
              <w:t xml:space="preserve">9</w:t>
            </w:r>
            <w:r>
              <w:rPr>
                <w:rFonts w:hint="eastAsia" w:ascii="宋体" w:hAnsi="宋体" w:eastAsia="宋体" w:cs="宋体"/>
                <w:b w:val="0"/>
                <w:bCs w:val="0"/>
                <w:color w:val="auto"/>
                <w:sz w:val="24"/>
                <w:szCs w:val="24"/>
                <w:highlight w:val="yellow"/>
                <w:lang w:val="en-US" w:eastAsia="zh-CN"/>
              </w:rPr>
              <w:t xml:space="preserve">分；(2)上述内容基本完整、基本科学合理，有可操作性的，得</w:t>
            </w:r>
            <w:r>
              <w:rPr>
                <w:rFonts w:hint="eastAsia" w:ascii="宋体" w:hAnsi="宋体" w:cs="宋体"/>
                <w:b w:val="0"/>
                <w:bCs w:val="0"/>
                <w:color w:val="auto"/>
                <w:sz w:val="24"/>
                <w:szCs w:val="24"/>
                <w:highlight w:val="yellow"/>
                <w:lang w:val="en-US" w:eastAsia="zh-CN"/>
              </w:rPr>
              <w:t xml:space="preserve">5</w:t>
            </w:r>
            <w:r>
              <w:rPr>
                <w:rFonts w:hint="eastAsia" w:ascii="宋体" w:hAnsi="宋体" w:eastAsia="宋体" w:cs="宋体"/>
                <w:b w:val="0"/>
                <w:bCs w:val="0"/>
                <w:color w:val="auto"/>
                <w:sz w:val="24"/>
                <w:szCs w:val="24"/>
                <w:highlight w:val="yellow"/>
                <w:lang w:val="en-US" w:eastAsia="zh-CN"/>
              </w:rPr>
              <w:t xml:space="preserve">分；(3)上述内容不完整、不科学合理、不具可操作性或未提供的不得分。本项最多得</w:t>
            </w:r>
            <w:r>
              <w:rPr>
                <w:rFonts w:hint="eastAsia" w:ascii="宋体" w:hAnsi="宋体" w:cs="宋体"/>
                <w:b w:val="0"/>
                <w:bCs w:val="0"/>
                <w:color w:val="auto"/>
                <w:sz w:val="24"/>
                <w:szCs w:val="24"/>
                <w:highlight w:val="yellow"/>
                <w:lang w:val="en-US" w:eastAsia="zh-CN"/>
              </w:rPr>
              <w:t xml:space="preserve">9</w:t>
            </w:r>
            <w:r>
              <w:rPr>
                <w:rFonts w:hint="eastAsia" w:ascii="宋体" w:hAnsi="宋体" w:eastAsia="宋体" w:cs="宋体"/>
                <w:b w:val="0"/>
                <w:bCs w:val="0"/>
                <w:color w:val="auto"/>
                <w:sz w:val="24"/>
                <w:szCs w:val="24"/>
                <w:highlight w:val="yellow"/>
                <w:lang w:val="en-US" w:eastAsia="zh-CN"/>
              </w:rPr>
              <w:t xml:space="preserve">分，未提供不得分。</w:t>
            </w:r>
            <w:r/>
          </w:p>
        </w:tc>
        <w:tc>
          <w:tcPr>
            <w:shd w:val="clear" w:color="auto" w:fill="auto"/>
            <w:tcBorders>
              <w:right w:val="single" w:color="auto" w:sz="4" w:space="0"/>
            </w:tcBorders>
            <w:tcW w:w="313"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9</w:t>
            </w:r>
            <w:r/>
          </w:p>
        </w:tc>
      </w:tr>
      <w:tr>
        <w:trPr>
          <w:jc w:val="center"/>
          <w:trHeight w:val="990"/>
        </w:trPr>
        <w:tc>
          <w:tcPr>
            <w:tcMar>
              <w:left w:w="108" w:type="dxa"/>
              <w:right w:w="108" w:type="dxa"/>
            </w:tcMar>
            <w:tcW w:w="419" w:type="pct"/>
            <w:vAlign w:val="center"/>
            <w:textDirection w:val="lrTb"/>
            <w:noWrap w:val="false"/>
          </w:tcPr>
          <w:p>
            <w:pPr>
              <w:jc w:val="center"/>
              <w:keepLines w:val="0"/>
              <w:keepNext w:val="0"/>
              <w:pageBreakBefore w:val="0"/>
              <w:spacing w:line="288"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p>
        </w:tc>
        <w:tc>
          <w:tcPr>
            <w:shd w:val="clear" w:color="auto" w:fill="auto"/>
            <w:tcMar>
              <w:left w:w="108" w:type="dxa"/>
              <w:right w:w="108" w:type="dxa"/>
            </w:tcMar>
            <w:tcW w:w="641"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售后服务方案</w:t>
            </w:r>
            <w:r/>
          </w:p>
        </w:tc>
        <w:tc>
          <w:tcPr>
            <w:shd w:val="clear" w:color="auto" w:fill="auto"/>
            <w:tcBorders>
              <w:right w:val="single" w:color="auto" w:sz="4" w:space="0"/>
            </w:tcBorders>
            <w:tcMar>
              <w:left w:w="108" w:type="dxa"/>
              <w:right w:w="108" w:type="dxa"/>
            </w:tcMar>
            <w:tcW w:w="3624"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t xml:space="preserve">评委根据投标人提供的售后服务方案综合评分（每项内容逐条阐述）：包括但不限于1.服务内容；2.故障解决方案；3.培训方案；4.技术人员保障及服务电话。</w:t>
            </w:r>
            <w:r/>
          </w:p>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yellow"/>
                <w:lang w:val="en-US" w:eastAsia="zh-CN"/>
              </w:rPr>
              <w:t xml:space="preserve">(1)上述内容完整、科学性、合理性、操作性强的，得</w:t>
            </w:r>
            <w:r>
              <w:rPr>
                <w:rFonts w:hint="eastAsia" w:ascii="宋体" w:hAnsi="宋体" w:cs="宋体"/>
                <w:b w:val="0"/>
                <w:bCs w:val="0"/>
                <w:color w:val="auto"/>
                <w:sz w:val="24"/>
                <w:szCs w:val="24"/>
                <w:highlight w:val="yellow"/>
                <w:lang w:val="en-US" w:eastAsia="zh-CN"/>
              </w:rPr>
              <w:t xml:space="preserve">9</w:t>
            </w:r>
            <w:r>
              <w:rPr>
                <w:rFonts w:hint="eastAsia" w:ascii="宋体" w:hAnsi="宋体" w:eastAsia="宋体" w:cs="宋体"/>
                <w:b w:val="0"/>
                <w:bCs w:val="0"/>
                <w:color w:val="auto"/>
                <w:sz w:val="24"/>
                <w:szCs w:val="24"/>
                <w:highlight w:val="yellow"/>
                <w:lang w:val="en-US" w:eastAsia="zh-CN"/>
              </w:rPr>
              <w:t xml:space="preserve">分；(2)上述内容基本完整、基本科学合理，有可操作性的，得</w:t>
            </w:r>
            <w:r>
              <w:rPr>
                <w:rFonts w:hint="eastAsia" w:ascii="宋体" w:hAnsi="宋体" w:cs="宋体"/>
                <w:b w:val="0"/>
                <w:bCs w:val="0"/>
                <w:color w:val="auto"/>
                <w:sz w:val="24"/>
                <w:szCs w:val="24"/>
                <w:highlight w:val="yellow"/>
                <w:lang w:val="en-US" w:eastAsia="zh-CN"/>
              </w:rPr>
              <w:t xml:space="preserve">5</w:t>
            </w:r>
            <w:r>
              <w:rPr>
                <w:rFonts w:hint="eastAsia" w:ascii="宋体" w:hAnsi="宋体" w:eastAsia="宋体" w:cs="宋体"/>
                <w:b w:val="0"/>
                <w:bCs w:val="0"/>
                <w:color w:val="auto"/>
                <w:sz w:val="24"/>
                <w:szCs w:val="24"/>
                <w:highlight w:val="yellow"/>
                <w:lang w:val="en-US" w:eastAsia="zh-CN"/>
              </w:rPr>
              <w:t xml:space="preserve">分；(3)上述内容不完整、不科学合理、不具可操作性或未提供的不得分</w:t>
            </w:r>
            <w:r>
              <w:rPr>
                <w:rFonts w:hint="eastAsia" w:ascii="宋体" w:hAnsi="宋体" w:cs="宋体"/>
                <w:b w:val="0"/>
                <w:bCs w:val="0"/>
                <w:color w:val="auto"/>
                <w:sz w:val="24"/>
                <w:szCs w:val="24"/>
                <w:highlight w:val="yellow"/>
                <w:lang w:val="en-US" w:eastAsia="zh-CN"/>
              </w:rPr>
              <w:t xml:space="preserve">。</w:t>
            </w:r>
            <w:r>
              <w:rPr>
                <w:rFonts w:hint="eastAsia" w:ascii="宋体" w:hAnsi="宋体" w:eastAsia="宋体" w:cs="宋体"/>
                <w:b w:val="0"/>
                <w:bCs w:val="0"/>
                <w:color w:val="auto"/>
                <w:sz w:val="24"/>
                <w:szCs w:val="24"/>
                <w:highlight w:val="yellow"/>
                <w:lang w:val="en-US" w:eastAsia="zh-CN"/>
              </w:rPr>
              <w:t xml:space="preserve">本项最多得</w:t>
            </w:r>
            <w:r>
              <w:rPr>
                <w:rFonts w:hint="eastAsia" w:ascii="宋体" w:hAnsi="宋体" w:cs="宋体"/>
                <w:b w:val="0"/>
                <w:bCs w:val="0"/>
                <w:color w:val="auto"/>
                <w:sz w:val="24"/>
                <w:szCs w:val="24"/>
                <w:highlight w:val="yellow"/>
                <w:lang w:val="en-US" w:eastAsia="zh-CN"/>
              </w:rPr>
              <w:t xml:space="preserve">9</w:t>
            </w:r>
            <w:r>
              <w:rPr>
                <w:rFonts w:hint="eastAsia" w:ascii="宋体" w:hAnsi="宋体" w:eastAsia="宋体" w:cs="宋体"/>
                <w:b w:val="0"/>
                <w:bCs w:val="0"/>
                <w:color w:val="auto"/>
                <w:sz w:val="24"/>
                <w:szCs w:val="24"/>
                <w:highlight w:val="yellow"/>
                <w:lang w:val="en-US" w:eastAsia="zh-CN"/>
              </w:rPr>
              <w:t xml:space="preserve">分，未提供不得分。</w:t>
            </w:r>
            <w:r/>
          </w:p>
        </w:tc>
        <w:tc>
          <w:tcPr>
            <w:shd w:val="clear" w:color="auto" w:fill="auto"/>
            <w:tcBorders>
              <w:right w:val="single" w:color="auto" w:sz="4" w:space="0"/>
            </w:tcBorders>
            <w:tcW w:w="313"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9</w:t>
            </w:r>
            <w:r/>
          </w:p>
        </w:tc>
      </w:tr>
      <w:tr>
        <w:trPr>
          <w:jc w:val="center"/>
          <w:trHeight w:val="990"/>
        </w:trPr>
        <w:tc>
          <w:tcPr>
            <w:tcMar>
              <w:left w:w="108" w:type="dxa"/>
              <w:right w:w="108" w:type="dxa"/>
            </w:tcMar>
            <w:tcW w:w="419" w:type="pct"/>
            <w:vAlign w:val="center"/>
            <w:textDirection w:val="lrTb"/>
            <w:noWrap w:val="false"/>
          </w:tcPr>
          <w:p>
            <w:pPr>
              <w:jc w:val="center"/>
              <w:keepLines w:val="0"/>
              <w:keepNext w:val="0"/>
              <w:pageBreakBefore w:val="0"/>
              <w:spacing w:line="288"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w:t>
            </w:r>
            <w:r/>
          </w:p>
        </w:tc>
        <w:tc>
          <w:tcPr>
            <w:shd w:val="clear" w:color="auto" w:fill="auto"/>
            <w:tcMar>
              <w:left w:w="108" w:type="dxa"/>
              <w:right w:w="108" w:type="dxa"/>
            </w:tcMar>
            <w:tcW w:w="641"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投标人业绩</w:t>
            </w:r>
            <w:r/>
          </w:p>
        </w:tc>
        <w:tc>
          <w:tcPr>
            <w:shd w:val="clear" w:color="auto" w:fill="auto"/>
            <w:tcBorders>
              <w:right w:val="single" w:color="auto" w:sz="4" w:space="0"/>
            </w:tcBorders>
            <w:tcMar>
              <w:left w:w="108" w:type="dxa"/>
              <w:right w:w="108" w:type="dxa"/>
            </w:tcMar>
            <w:tcW w:w="3624"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投标人提供类似项目业绩</w:t>
            </w:r>
            <w:r>
              <w:rPr>
                <w:rFonts w:hint="eastAsia" w:ascii="宋体" w:hAnsi="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val="en-US" w:eastAsia="zh-CN"/>
              </w:rPr>
              <w:t xml:space="preserve">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分</w:t>
            </w:r>
            <w:r>
              <w:rPr>
                <w:rFonts w:hint="eastAsia" w:ascii="宋体" w:hAnsi="宋体" w:cs="宋体"/>
                <w:b w:val="0"/>
                <w:bCs w:val="0"/>
                <w:color w:val="auto"/>
                <w:sz w:val="24"/>
                <w:szCs w:val="24"/>
                <w:highlight w:val="none"/>
                <w:lang w:val="en-US" w:eastAsia="zh-CN"/>
              </w:rPr>
              <w:t xml:space="preserve">/个</w:t>
            </w:r>
            <w:r>
              <w:rPr>
                <w:rFonts w:hint="eastAsia" w:ascii="宋体" w:hAnsi="宋体" w:eastAsia="宋体" w:cs="宋体"/>
                <w:b w:val="0"/>
                <w:bCs w:val="0"/>
                <w:color w:val="auto"/>
                <w:sz w:val="24"/>
                <w:szCs w:val="24"/>
                <w:highlight w:val="none"/>
                <w:lang w:val="en-US" w:eastAsia="zh-CN"/>
              </w:rPr>
              <w:t xml:space="preserve">，最高得</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分。（提供中标通知书、合同（合同页须清晰可见相应内容）、验收材料、发票等扫描件上传至系统）</w:t>
            </w:r>
            <w:r/>
          </w:p>
        </w:tc>
        <w:tc>
          <w:tcPr>
            <w:shd w:val="clear" w:color="auto" w:fill="auto"/>
            <w:tcBorders>
              <w:right w:val="single" w:color="auto" w:sz="4" w:space="0"/>
            </w:tcBorders>
            <w:tcW w:w="313"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w:t>
            </w:r>
            <w:r/>
          </w:p>
        </w:tc>
      </w:tr>
      <w:tr>
        <w:trPr>
          <w:jc w:val="center"/>
          <w:trHeight w:val="990"/>
        </w:trPr>
        <w:tc>
          <w:tcPr>
            <w:tcMar>
              <w:left w:w="108" w:type="dxa"/>
              <w:right w:w="108" w:type="dxa"/>
            </w:tcMar>
            <w:tcW w:w="419" w:type="pct"/>
            <w:vAlign w:val="center"/>
            <w:textDirection w:val="lrTb"/>
            <w:noWrap w:val="false"/>
          </w:tcPr>
          <w:p>
            <w:pPr>
              <w:jc w:val="center"/>
              <w:keepLines w:val="0"/>
              <w:keepNext w:val="0"/>
              <w:pageBreakBefore w:val="0"/>
              <w:spacing w:line="288"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w:t>
            </w:r>
            <w:r/>
          </w:p>
        </w:tc>
        <w:tc>
          <w:tcPr>
            <w:shd w:val="clear" w:color="auto" w:fill="auto"/>
            <w:tcMar>
              <w:left w:w="108" w:type="dxa"/>
              <w:right w:w="108" w:type="dxa"/>
            </w:tcMar>
            <w:tcW w:w="641"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履约</w:t>
            </w:r>
            <w:r/>
          </w:p>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能力</w:t>
            </w:r>
            <w:r/>
          </w:p>
        </w:tc>
        <w:tc>
          <w:tcPr>
            <w:shd w:val="clear" w:color="auto" w:fill="auto"/>
            <w:tcBorders>
              <w:right w:val="single" w:color="auto" w:sz="4" w:space="0"/>
            </w:tcBorders>
            <w:tcMar>
              <w:left w:w="108" w:type="dxa"/>
              <w:right w:w="108" w:type="dxa"/>
            </w:tcMar>
            <w:tcW w:w="3624"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投标人或所投产品生产商提供所投家具产品“人类工效学产品认证证书”（认证单元至少包含桌台类、椅凳类、柜架类）。(提供原件扫描件及国家认监委网站查询截图，提供完整得2分）</w:t>
            </w:r>
            <w:r/>
          </w:p>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投标人或所投产品生产商提供所投家具产品 “中国环保产品认证证书（CQC）”（认证单元至少包含木制办公家具）。(提供原件扫描件及国家认监委网站查询截图，提供完整得2分）</w:t>
            </w:r>
            <w:r/>
          </w:p>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投标人或所投产品生产商提供所投家具产品“中国绿色产品认证证书”（认证单元至少包含木家具（人造板家具）类。(提供原件扫描件及国家认监委网站查询截图，提供完整得2分）</w:t>
            </w:r>
            <w:r/>
          </w:p>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备注：所提供证书“认证单元或产品名称”与评标标准给定名称不同时，应提供符合上述要求的内容（功能）说明及关键信息，否则不予认可。</w:t>
            </w:r>
            <w:r/>
          </w:p>
        </w:tc>
        <w:tc>
          <w:tcPr>
            <w:shd w:val="clear" w:color="auto" w:fill="auto"/>
            <w:tcBorders>
              <w:right w:val="single" w:color="auto" w:sz="4" w:space="0"/>
            </w:tcBorders>
            <w:tcW w:w="313"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p>
        </w:tc>
      </w:tr>
      <w:tr>
        <w:trPr>
          <w:jc w:val="center"/>
          <w:trHeight w:val="990"/>
        </w:trPr>
        <w:tc>
          <w:tcPr>
            <w:tcMar>
              <w:left w:w="108" w:type="dxa"/>
              <w:right w:w="108" w:type="dxa"/>
            </w:tcMar>
            <w:tcW w:w="419" w:type="pct"/>
            <w:vAlign w:val="center"/>
            <w:textDirection w:val="lrTb"/>
            <w:noWrap w:val="false"/>
          </w:tcPr>
          <w:p>
            <w:pPr>
              <w:jc w:val="center"/>
              <w:keepLines w:val="0"/>
              <w:keepNext w:val="0"/>
              <w:pageBreakBefore w:val="0"/>
              <w:spacing w:line="288"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w:t>
            </w:r>
            <w:r/>
          </w:p>
        </w:tc>
        <w:tc>
          <w:tcPr>
            <w:shd w:val="clear" w:color="auto" w:fill="auto"/>
            <w:tcMar>
              <w:left w:w="108" w:type="dxa"/>
              <w:right w:w="108" w:type="dxa"/>
            </w:tcMar>
            <w:tcW w:w="641"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节能</w:t>
            </w:r>
            <w:r/>
          </w:p>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环保</w:t>
            </w:r>
            <w:r/>
          </w:p>
        </w:tc>
        <w:tc>
          <w:tcPr>
            <w:shd w:val="clear" w:color="auto" w:fill="auto"/>
            <w:tcBorders>
              <w:right w:val="single" w:color="auto" w:sz="4" w:space="0"/>
            </w:tcBorders>
            <w:tcMar>
              <w:left w:w="108" w:type="dxa"/>
              <w:right w:w="108" w:type="dxa"/>
            </w:tcMar>
            <w:tcW w:w="3624"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投标产品属于财政部、生态环境部公布的“环境标志产品品目清单”范围内的，投标人提供国家确定的认证机构出具的、处于有效期内的该环保产品认证证书的，有1个得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分，最多得</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w:t>
            </w:r>
            <w:r/>
          </w:p>
        </w:tc>
        <w:tc>
          <w:tcPr>
            <w:shd w:val="clear" w:color="auto" w:fill="auto"/>
            <w:tcBorders>
              <w:right w:val="single" w:color="auto" w:sz="4" w:space="0"/>
            </w:tcBorders>
            <w:tcW w:w="313"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p>
        </w:tc>
      </w:tr>
    </w:tbl>
    <w:p>
      <w:pPr>
        <w:ind w:firstLine="482"/>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keepLines w:val="0"/>
        <w:keepNext w:val="0"/>
        <w:pageBreakBefore w:val="0"/>
        <w:spacing w:line="312" w:lineRule="auto"/>
        <w:widowControl/>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说明：</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所有认证、证明和业绩均以有效清晰的证明文件的原件扫描件加盖电子公章为依据。</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小微企业价格扣除</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供应商需按照采购文件的要求提供相应的《中小企业声明函》。</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监狱和戒毒企业的价格扣除</w:t>
      </w:r>
      <w:r/>
    </w:p>
    <w:p>
      <w:pPr>
        <w:numPr>
          <w:ilvl w:val="0"/>
          <w:numId w:val="0"/>
        </w:numPr>
        <w:keepLines w:val="0"/>
        <w:keepNext w:val="0"/>
        <w:pageBreakBefore w:val="0"/>
        <w:spacing w:line="312" w:lineRule="auto"/>
        <w:widowControl/>
        <w:rPr>
          <w:rFonts w:hint="eastAsia" w:ascii="宋体" w:hAnsi="宋体" w:cs="宋体"/>
          <w:b/>
          <w:bCs/>
          <w:color w:val="auto"/>
          <w:sz w:val="24"/>
          <w:szCs w:val="24"/>
          <w:highlight w:val="none"/>
        </w:rPr>
      </w:pPr>
      <w:r>
        <w:rPr>
          <w:rFonts w:hint="eastAsia" w:ascii="宋体" w:hAnsi="宋体" w:cs="宋体"/>
          <w:b/>
          <w:color w:val="auto"/>
          <w:sz w:val="24"/>
          <w:szCs w:val="24"/>
          <w:highlight w:val="none"/>
          <w:lang w:val="en-US" w:eastAsia="zh-CN"/>
        </w:rPr>
        <w:t xml:space="preserve">3.1</w:t>
      </w:r>
      <w:r>
        <w:rPr>
          <w:rFonts w:hint="eastAsia" w:ascii="宋体" w:hAnsi="宋体" w:cs="宋体"/>
          <w:b/>
          <w:color w:val="auto"/>
          <w:sz w:val="24"/>
          <w:szCs w:val="24"/>
          <w:highlight w:val="none"/>
        </w:rPr>
        <w:t xml:space="preserve">本项目对监狱和戒毒企业，给予10%的价格扣除，用扣除后的价格参与评审。</w:t>
      </w:r>
      <w:r/>
    </w:p>
    <w:p>
      <w:pPr>
        <w:numPr>
          <w:ilvl w:val="0"/>
          <w:numId w:val="0"/>
        </w:numPr>
        <w:keepLines w:val="0"/>
        <w:keepNext w:val="0"/>
        <w:pageBreakBefore w:val="0"/>
        <w:spacing w:line="312" w:lineRule="auto"/>
        <w:widowControl/>
        <w:rPr>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3.2监狱企业需提供由省级以上监狱管理局、戒毒管理局（含新疆生产建设兵团）出具的属于监狱企业的证明文件。</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3.3</w:t>
      </w:r>
      <w:r>
        <w:rPr>
          <w:rFonts w:hint="eastAsia" w:ascii="宋体" w:hAnsi="宋体" w:cs="宋体"/>
          <w:b/>
          <w:color w:val="auto"/>
          <w:sz w:val="24"/>
          <w:szCs w:val="24"/>
          <w:highlight w:val="none"/>
        </w:rPr>
        <w:t xml:space="preserve">监狱企业标准请参照《关于政府采购支持监狱企业发展有关问题的通知》（财库〔2014〕68号）。</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4、</w:t>
      </w:r>
      <w:r>
        <w:rPr>
          <w:rFonts w:hint="eastAsia" w:ascii="宋体" w:hAnsi="宋体" w:cs="宋体"/>
          <w:b/>
          <w:color w:val="auto"/>
          <w:sz w:val="24"/>
          <w:szCs w:val="24"/>
          <w:highlight w:val="none"/>
        </w:rPr>
        <w:t xml:space="preserve">残疾人福利性单位的价格扣除</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4.1</w:t>
      </w:r>
      <w:r>
        <w:rPr>
          <w:rFonts w:hint="eastAsia" w:ascii="宋体" w:hAnsi="宋体" w:cs="宋体"/>
          <w:b/>
          <w:color w:val="auto"/>
          <w:sz w:val="24"/>
          <w:szCs w:val="24"/>
          <w:highlight w:val="none"/>
        </w:rPr>
        <w:t xml:space="preserve">本项目对残疾人福利性单位，给予10%的价格扣除，用扣除后的价格参与评审。</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4.2</w:t>
      </w:r>
      <w:r>
        <w:rPr>
          <w:rFonts w:hint="eastAsia" w:ascii="宋体" w:hAnsi="宋体" w:cs="宋体"/>
          <w:b/>
          <w:color w:val="auto"/>
          <w:sz w:val="24"/>
          <w:szCs w:val="24"/>
          <w:highlight w:val="none"/>
        </w:rPr>
        <w:t xml:space="preserve">残疾人福利性单位需提供《残疾人福利性单位声明函》。</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4.3</w:t>
      </w:r>
      <w:r>
        <w:rPr>
          <w:rFonts w:hint="eastAsia" w:ascii="宋体" w:hAnsi="宋体" w:cs="宋体"/>
          <w:b/>
          <w:color w:val="auto"/>
          <w:sz w:val="24"/>
          <w:szCs w:val="24"/>
          <w:highlight w:val="none"/>
        </w:rPr>
        <w:t xml:space="preserve">残疾人福利性单位标准请参照《关于促进残疾人就业政府采购政策的通知》（财库〔2017〕141号）。</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5.监狱企业、残疾人福利性单位属于小型、微型企业的，不重复享受政策。</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6.本国产品的价格扣除</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6.1本国产品标准、本国产品标准的适用范围、对本国产品的支持政策等详见《国务院办公厅关于在政府采购中实施本国产品标准及相关政策的通知》（国办发〔2025〕34号）。</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6.2 政府采购活动中既有本国产品又有非本国产品参与竞争的，依法对本国产品给予价格评审优惠，对本国产品的报价给予20%的价格扣除，用扣除后的价格参与评审。</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auto"/>
          <w:position w:val="6"/>
          <w:sz w:val="28"/>
          <w:szCs w:val="28"/>
          <w:highlight w:val="none"/>
          <w:lang w:val="en-US" w:eastAsia="zh-CN"/>
        </w:rPr>
      </w:pPr>
      <w:r/>
      <w:bookmarkStart w:id="57" w:name="_Toc32643"/>
      <w:r/>
      <w:bookmarkStart w:id="58" w:name="_Toc9138"/>
      <w:r>
        <w:rPr>
          <w:rFonts w:hint="eastAsia" w:ascii="宋体" w:hAnsi="宋体" w:cs="宋体"/>
          <w:color w:val="auto"/>
          <w:position w:val="6"/>
          <w:sz w:val="28"/>
          <w:szCs w:val="28"/>
          <w:highlight w:val="none"/>
          <w:lang w:val="en-US" w:eastAsia="zh-CN"/>
        </w:rPr>
        <w:br w:type="page" w:clear="all"/>
      </w:r>
      <w:r/>
    </w:p>
    <w:p>
      <w:pPr>
        <w:pStyle w:val="715"/>
        <w:jc w:val="center"/>
        <w:spacing w:before="0" w:after="0" w:line="360" w:lineRule="auto"/>
        <w:rPr>
          <w:rFonts w:hint="eastAsia" w:ascii="宋体" w:hAnsi="宋体" w:cs="宋体"/>
          <w:color w:val="auto"/>
          <w:position w:val="6"/>
          <w:sz w:val="28"/>
          <w:szCs w:val="28"/>
          <w:highlight w:val="none"/>
          <w:lang w:val="zh-CN"/>
        </w:rPr>
      </w:pPr>
      <w:r>
        <w:rPr>
          <w:rFonts w:hint="eastAsia" w:ascii="宋体" w:hAnsi="宋体" w:cs="宋体"/>
          <w:color w:val="auto"/>
          <w:position w:val="6"/>
          <w:sz w:val="28"/>
          <w:szCs w:val="28"/>
          <w:highlight w:val="none"/>
          <w:lang w:val="en-US" w:eastAsia="zh-CN"/>
        </w:rPr>
        <w:t xml:space="preserve">第四章  </w:t>
      </w:r>
      <w:r>
        <w:rPr>
          <w:rFonts w:hint="eastAsia" w:ascii="宋体" w:hAnsi="宋体" w:cs="宋体"/>
          <w:color w:val="auto"/>
          <w:position w:val="6"/>
          <w:sz w:val="28"/>
          <w:szCs w:val="28"/>
          <w:highlight w:val="none"/>
        </w:rPr>
        <w:t xml:space="preserve">采购需求</w:t>
      </w:r>
      <w:bookmarkEnd w:id="57"/>
      <w:r/>
      <w:bookmarkStart w:id="59" w:name="_Toc24861"/>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本项目为南京师范大学附属扬子中学高品质高中创建一期工程</w:t>
      </w:r>
      <w:r>
        <w:rPr>
          <w:rFonts w:hint="eastAsia" w:ascii="宋体" w:hAnsi="宋体" w:cs="宋体"/>
          <w:bCs/>
          <w:color w:val="auto"/>
          <w:sz w:val="24"/>
          <w:szCs w:val="24"/>
          <w:highlight w:val="none"/>
          <w:lang w:eastAsia="zh-CN"/>
        </w:rPr>
        <w:t xml:space="preserve">普通教室及专用教室装备</w:t>
      </w:r>
      <w:r>
        <w:rPr>
          <w:rFonts w:hint="eastAsia" w:ascii="宋体" w:hAnsi="宋体" w:cs="宋体"/>
          <w:bCs/>
          <w:color w:val="auto"/>
          <w:sz w:val="24"/>
          <w:szCs w:val="24"/>
          <w:highlight w:val="none"/>
        </w:rPr>
        <w:t xml:space="preserve">采购项目，根据学校实际需求，配置相关设备，满足学校的教育教学需要。</w:t>
      </w:r>
      <w:r/>
    </w:p>
    <w:p>
      <w:pPr>
        <w:numPr>
          <w:ilvl w:val="0"/>
          <w:numId w:val="6"/>
        </w:num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项目建设遵循标准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遵循国家、行业及地方现行的规范和标准。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（三）资产配置标准</w:t>
      </w:r>
      <w:r/>
    </w:p>
    <w:p>
      <w:pPr>
        <w:ind w:firstLine="480"/>
        <w:rPr>
          <w:rFonts w:hint="eastAsia" w:ascii="宋体" w:hAnsi="宋体" w:cs="宋体"/>
          <w:bCs/>
          <w:color w:val="auto"/>
          <w:sz w:val="24"/>
          <w:szCs w:val="24"/>
          <w:highlight w:val="none"/>
        </w:rPr>
      </w:pPr>
      <w:r>
        <w:rPr>
          <w:rFonts w:hint="eastAsia" w:cs="宋体"/>
          <w:bCs/>
          <w:color w:val="auto"/>
          <w:sz w:val="24"/>
          <w:szCs w:val="24"/>
          <w:highlight w:val="none"/>
        </w:rPr>
        <w:t xml:space="preserve">符合</w:t>
      </w:r>
      <w:r>
        <w:rPr>
          <w:rFonts w:hint="eastAsia" w:ascii="宋体" w:hAnsi="宋体" w:cs="宋体"/>
          <w:bCs/>
          <w:color w:val="auto"/>
          <w:sz w:val="24"/>
          <w:szCs w:val="24"/>
          <w:highlight w:val="none"/>
        </w:rPr>
        <w:t xml:space="preserve">《南京市中小学通用资产配置标准》。</w:t>
      </w:r>
      <w:r/>
    </w:p>
    <w:p>
      <w:pPr>
        <w:ind w:firstLine="480"/>
        <w:rPr>
          <w:rFonts w:hint="eastAsia" w:ascii="宋体" w:hAnsi="宋体" w:cs="宋体"/>
          <w:b/>
          <w:color w:val="auto"/>
          <w:sz w:val="24"/>
          <w:szCs w:val="24"/>
          <w:highlight w:val="none"/>
        </w:rPr>
      </w:pPr>
      <w:r>
        <w:rPr>
          <w:rFonts w:hint="eastAsia" w:ascii="黑体" w:hAnsi="黑体" w:eastAsia="黑体" w:cs="黑体"/>
          <w:color w:val="auto"/>
          <w:sz w:val="24"/>
          <w:szCs w:val="24"/>
          <w:highlight w:val="none"/>
        </w:rPr>
        <w:t xml:space="preserve">三、拟采购标的需要满足的货物清单及技术要求、商务要求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w:t>
      </w:r>
      <w:r>
        <w:rPr>
          <w:rFonts w:hint="eastAsia" w:ascii="宋体" w:hAnsi="宋体" w:cs="宋体"/>
          <w:bCs/>
          <w:color w:val="auto"/>
          <w:sz w:val="24"/>
          <w:szCs w:val="24"/>
          <w:highlight w:val="none"/>
          <w:lang w:val="en-US" w:eastAsia="zh-CN"/>
        </w:rPr>
        <w:t xml:space="preserve">货物清单及</w:t>
      </w:r>
      <w:r>
        <w:rPr>
          <w:rFonts w:hint="eastAsia" w:ascii="宋体" w:hAnsi="宋体" w:cs="宋体"/>
          <w:bCs/>
          <w:color w:val="auto"/>
          <w:sz w:val="24"/>
          <w:szCs w:val="24"/>
          <w:highlight w:val="none"/>
        </w:rPr>
        <w:t xml:space="preserve">技术要求</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br w:type="page" w:clear="all"/>
      </w:r>
      <w:r/>
    </w:p>
    <w:p>
      <w:pPr>
        <w:pStyle w:val="917"/>
        <w:rPr>
          <w:rFonts w:hint="eastAsia" w:ascii="宋体" w:hAnsi="宋体" w:cs="宋体"/>
          <w:color w:val="auto"/>
          <w:sz w:val="24"/>
          <w:szCs w:val="24"/>
          <w:highlight w:val="none"/>
          <w:lang w:val="en-US" w:eastAsia="zh-CN"/>
        </w:rPr>
        <w:sectPr>
          <w:headerReference w:type="default" r:id="rId11"/>
          <w:footerReference w:type="default" r:id="rId14"/>
          <w:footerReference w:type="first" r:id="rId15"/>
          <w:footnotePr/>
          <w:endnotePr/>
          <w:type w:val="nextPage"/>
          <w:pgSz w:w="11906" w:h="16838" w:orient="portrait"/>
          <w:pgMar w:top="1440" w:right="1800" w:bottom="1440" w:left="1600" w:header="851" w:footer="992" w:gutter="0"/>
          <w:pgNumType w:start="1"/>
          <w:cols w:num="1" w:sep="0" w:space="720" w:equalWidth="1"/>
          <w:docGrid w:linePitch="360"/>
          <w:titlePg/>
        </w:sectPr>
      </w:pPr>
      <w:r>
        <w:rPr>
          <w:rFonts w:hint="eastAsia" w:ascii="宋体" w:hAnsi="宋体" w:cs="宋体"/>
          <w:color w:val="auto"/>
          <w:sz w:val="24"/>
          <w:szCs w:val="24"/>
          <w:highlight w:val="none"/>
          <w:lang w:val="en-US" w:eastAsia="zh-CN"/>
        </w:rPr>
      </w:r>
      <w:r/>
    </w:p>
    <w:p>
      <w:pPr>
        <w:pStyle w:val="917"/>
        <w:rPr>
          <w:rFonts w:hint="eastAsia"/>
          <w:color w:val="auto"/>
          <w:highlight w:val="none"/>
          <w:lang w:val="en-US" w:eastAsia="zh-CN"/>
        </w:rPr>
      </w:pPr>
      <w:r>
        <w:rPr>
          <w:rFonts w:hint="eastAsia" w:ascii="宋体" w:hAnsi="宋体" w:cs="宋体"/>
          <w:color w:val="auto"/>
          <w:sz w:val="24"/>
          <w:szCs w:val="24"/>
          <w:highlight w:val="none"/>
          <w:lang w:val="zh-CN"/>
        </w:rPr>
        <w:t xml:space="preserve">普通教室及专用教室装备</w:t>
      </w:r>
      <w:r/>
    </w:p>
    <w:p>
      <w:pPr>
        <w:pStyle w:val="922"/>
        <w:rPr>
          <w:rFonts w:hint="eastAsia"/>
          <w:color w:val="auto"/>
          <w:highlight w:val="none"/>
          <w:lang w:val="en-US" w:eastAsia="zh-CN"/>
        </w:rPr>
      </w:pPr>
      <w:r>
        <w:rPr>
          <w:rFonts w:hint="eastAsia"/>
          <w:color w:val="auto"/>
          <w:highlight w:val="none"/>
          <w:lang w:val="en-US" w:eastAsia="zh-CN"/>
        </w:rPr>
      </w:r>
      <w:r/>
    </w:p>
    <w:tbl>
      <w:tblPr>
        <w:tblStyle w:val="72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8"/>
        <w:gridCol w:w="1100"/>
        <w:gridCol w:w="1100"/>
        <w:gridCol w:w="6410"/>
        <w:gridCol w:w="663"/>
        <w:gridCol w:w="1011"/>
        <w:gridCol w:w="1156"/>
        <w:gridCol w:w="2076"/>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6410"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产品描述 </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c>
          <w:tcPr>
            <w:shd w:val="clear" w:color="auto" w:fill="auto"/>
            <w:tcBorders>
              <w:top w:val="none" w:color="000000" w:sz="4" w:space="0"/>
              <w:left w:val="none" w:color="000000" w:sz="4" w:space="0"/>
              <w:bottom w:val="none" w:color="000000" w:sz="4" w:space="0"/>
              <w:right w:val="none" w:color="000000" w:sz="4" w:space="0"/>
            </w:tcBorders>
            <w:tcW w:w="2076" w:type="dxa"/>
            <w:vAlign w:val="center"/>
            <w:textDirection w:val="lrTb"/>
            <w:noWrap/>
          </w:tcPr>
          <w:p>
            <w:pPr>
              <w:keepLines/>
              <w:keepNext w:val="0"/>
              <w:pageBreakBefore w:val="0"/>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普通教室</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后绒板</w:t>
            </w:r>
            <w:r/>
          </w:p>
        </w:tc>
        <w:tc>
          <w:tcPr>
            <w:shd w:val="clear" w:color="auto" w:fill="auto"/>
            <w:tcBorders>
              <w:top w:val="single" w:color="000000" w:sz="4" w:space="0"/>
              <w:left w:val="single" w:color="000000" w:sz="4" w:space="0"/>
              <w:bottom w:val="single" w:color="000000" w:sz="4" w:space="0"/>
              <w:right w:val="single" w:color="000000" w:sz="4" w:space="0"/>
            </w:tcBorders>
            <w:tcW w:w="6410" w:type="dxa"/>
            <w:vAlign w:val="center"/>
            <w:textDirection w:val="lrTb"/>
            <w:noWrap w:val="false"/>
          </w:tcPr>
          <w:p>
            <w:pPr>
              <w:jc w:val="left"/>
              <w:keepLines/>
              <w:keepNext w:val="0"/>
              <w:pageBreakBefore w:val="0"/>
              <w:widowControl/>
              <w:rPr>
                <w:rFonts w:ascii="等线" w:hAnsi="等线" w:eastAsia="等线" w:cs="等线"/>
                <w:i w:val="0"/>
                <w:iCs w:val="0"/>
                <w:color w:val="auto"/>
                <w:sz w:val="22"/>
                <w:szCs w:val="22"/>
                <w:highlight w:val="none"/>
                <w:u w:val="none"/>
              </w:rPr>
              <w:suppressLineNumbers w:val="0"/>
            </w:pPr>
            <w:r>
              <w:rPr>
                <w:rFonts w:hint="eastAsia" w:ascii="等线" w:hAnsi="等线" w:eastAsia="等线" w:cs="等线"/>
                <w:i w:val="0"/>
                <w:iCs w:val="0"/>
                <w:color w:val="auto"/>
                <w:sz w:val="22"/>
                <w:szCs w:val="22"/>
                <w:highlight w:val="none"/>
                <w:u w:val="none"/>
                <w:lang w:val="en-US" w:eastAsia="zh-CN" w:bidi="ar"/>
              </w:rPr>
              <w:t xml:space="preserve">1、规格:4000×1200mm；</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2、布面厚0.02mm丝光绒布；</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3、环保专用喷胶；</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4、水松木厚3.0mm；</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5、夹层厚20mm聚乙烯夹芯板；</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6、背板厚0.2mm镀锌板；</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7、边框25mm厚铝合金边框，壁厚1mm，不易变形耐碰撞，abs材质一次成型包角，弧形圆角处理。</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keepNext w:val="0"/>
              <w:pageBreakBefore w:val="0"/>
              <w:widowControl/>
              <w:rPr>
                <w:rFonts w:hint="eastAsia" w:ascii="等线" w:hAnsi="等线" w:eastAsia="等线" w:cs="等线"/>
                <w:i w:val="0"/>
                <w:iCs w:val="0"/>
                <w:color w:val="auto"/>
                <w:sz w:val="21"/>
                <w:szCs w:val="21"/>
                <w:highlight w:val="none"/>
                <w:u w:val="none"/>
              </w:rPr>
              <w:suppressLineNumbers w:val="0"/>
            </w:pPr>
            <w:r>
              <w:rPr>
                <w:rFonts w:hint="eastAsia" w:ascii="等线" w:hAnsi="等线" w:eastAsia="等线" w:cs="等线"/>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523875" cy="390525"/>
                      <wp:effectExtent l="0" t="0" r="9525" b="9525"/>
                      <wp:docPr id="1"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IMG_256"/>
                              <pic:cNvPicPr>
                                <a:picLocks noChangeAspect="1"/>
                              </pic:cNvPicPr>
                              <pic:nvPr/>
                            </pic:nvPicPr>
                            <pic:blipFill>
                              <a:blip r:embed="rId17"/>
                              <a:stretch/>
                            </pic:blipFill>
                            <pic:spPr bwMode="auto">
                              <a:xfrm>
                                <a:off x="0" y="0"/>
                                <a:ext cx="5238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2pt;height:30.8pt;mso-wrap-distance-left:0.0pt;mso-wrap-distance-top:0.0pt;mso-wrap-distance-right:0.0pt;mso-wrap-distance-bottom:0.0pt;" stroked="f" strokeweight="0.75pt">
                      <v:path textboxrect="0,0,0,0"/>
                      <v:imagedata r:id="rId17" o:title=""/>
                    </v:shape>
                  </w:pict>
                </mc:Fallback>
              </mc:AlternateContent>
            </w:r>
            <w:r/>
          </w:p>
        </w:tc>
      </w:tr>
      <w:tr>
        <w:trPr>
          <w:trHeight w:val="816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right w:val="single" w:color="000000" w:sz="4" w:space="0"/>
            </w:tcBorders>
            <w:tcW w:w="1100"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课桌椅</w:t>
            </w:r>
            <w:r/>
          </w:p>
        </w:tc>
        <w:tc>
          <w:tcPr>
            <w:shd w:val="clear" w:color="auto" w:fill="auto"/>
            <w:tcBorders>
              <w:top w:val="single" w:color="000000" w:sz="4" w:space="0"/>
              <w:left w:val="single" w:color="000000" w:sz="4" w:space="0"/>
              <w:bottom w:val="single" w:color="000000" w:sz="4" w:space="0"/>
              <w:right w:val="single" w:color="000000" w:sz="4" w:space="0"/>
            </w:tcBorders>
            <w:tcW w:w="6410" w:type="dxa"/>
            <w:vAlign w:val="center"/>
            <w:textDirection w:val="lrTb"/>
            <w:noWrap w:val="false"/>
          </w:tcPr>
          <w:p>
            <w:pPr>
              <w:jc w:val="left"/>
              <w:keepLines/>
              <w:keepNext w:val="0"/>
              <w:pageBreakBefore w:val="0"/>
              <w:widowControl/>
              <w:rPr>
                <w:rFonts w:hint="eastAsia" w:ascii="等线" w:hAnsi="等线" w:eastAsia="等线" w:cs="等线"/>
                <w:i w:val="0"/>
                <w:iCs w:val="0"/>
                <w:color w:val="auto"/>
                <w:sz w:val="21"/>
                <w:szCs w:val="21"/>
                <w:highlight w:val="none"/>
                <w:u w:val="none"/>
              </w:rPr>
              <w:suppressLineNumbers w:val="0"/>
            </w:pPr>
            <w:r>
              <w:rPr>
                <w:rFonts w:hint="eastAsia" w:ascii="等线" w:hAnsi="等线" w:eastAsia="等线" w:cs="等线"/>
                <w:i w:val="0"/>
                <w:iCs w:val="0"/>
                <w:color w:val="auto"/>
                <w:sz w:val="21"/>
                <w:szCs w:val="21"/>
                <w:highlight w:val="none"/>
                <w:u w:val="none"/>
                <w:lang w:val="en-US" w:eastAsia="zh-CN" w:bidi="ar"/>
              </w:rPr>
              <w:t xml:space="preserve">桌：</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600×450×Hmm</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椅：</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420×400×Hmm</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1、桌面四周截面采用环保PP深灰色塑料经模具一次注塑成型，防止脱落，桌面材质为E0级环保中纤板双白橡木色双饰面，四周无毛刺。</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2、课桌为单斗结构，桌斗高度（桌面至桌底高度）：0-3号桌为130mm；4-10号桌为120mm。规格：采用PP塑料一级新料一体射出成型；不得采用回收料生产。内径尺寸：450mm×355mm±2mm，外径尺寸：605mm×406mm±2mm,桌斗高度不得大于国标标准，书箱靠胸前笔槽呈浅V型设计，前边有长形通孔设计方便清理，</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3、靠背：材质：采用PP耐冲击塑料一体注塑成型。</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尺寸：360mm*420mm±10mm。</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靠背中间有内凹式曲线弧度设计，能很好的支撑着正在成长中学童的背部脊椎，使其免于侧弯，靠背带有多个椭圆形发散通风孔。</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坐垫：材质：采用PP耐冲击塑料一体注塑成型。</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尺寸：420mm×430mm±10mm。</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椅面采用人体工程学设计，坐垫中间有内凹式设计，坐垫前端需有波浪形加瀑布型设计，能让学生整个臀部坐在内凹处，借此可分散上半身的所有重量，使学童在学习时更舒服，更健康地成长，椅面同样有多个椭圆形发散通风孔。</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4、桌体、椅体钢架：采用椭圆形冷轧钢管、方管亮光钢管组合焊接而成，管材要求壁厚不小于1.2mm，管材焊</w:t>
            </w:r>
            <w:r>
              <w:rPr>
                <w:rFonts w:hint="eastAsia" w:ascii="等线" w:hAnsi="等线" w:eastAsia="等线" w:cs="等线"/>
                <w:i w:val="0"/>
                <w:iCs w:val="0"/>
                <w:color w:val="auto"/>
                <w:sz w:val="21"/>
                <w:szCs w:val="21"/>
                <w:highlight w:val="none"/>
                <w:u w:val="none"/>
                <w:lang w:val="en-US" w:eastAsia="zh-CN" w:bidi="ar"/>
              </w:rPr>
              <w:t xml:space="preserve">接采用二氧化碳保护焊，并采用满焊工艺，桌子下设有书包网,采用φ16mmm钢管边框加5mm圆钢焊接成型。桌脚、椅脚为30×50×1.2mm椭圆管。桌椅钢架：着地管30mm×50mm×壁厚1.2mm椭圆管、立管30mm×60mm× 壁厚1.2mm椭圆管、I型支架20mm×40mm×壁厚1.5mm椭圆管、横拉管为20mm×40mm×壁厚1.2mm椭圆管，横拉管焊接工艺制作。调节管20mm×50mm×壁厚1.2mm椭圆管；座板下加焊两根16mm×1.2mm承重圆管，椅背管为20mm×40mm×壁厚1.5mm椭圆管.</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6、课桌椅全部使用焊接机器人焊接，焊接处焊缝连续、平整无毛刺。焊穿、漏焊、焊瘤现象。焊接点测试，单点均达到15万次沙袋(150KG级)打撞不脱焊。                                  </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7、所有钢件表面经抛丸除油除锈工艺处理，全自动流水线环保一级粉末静电喷涂，耐腐蚀、防锈，附着力特强，不脱漆。</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8、脚垫：采用PP加纤维质塑料一体射出成型；钻尾螺丝固定。</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9、初中生学生使用，出厂高度0-5号。</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投标人提供2022年1月1日（以报告签发日期为准）以来，具有CMA标识的检验机构出具的原材料抽样检测报告：</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▲（1）桌面检测报告：GB/T 15102-2017《浸渍胶膜纸饰面纤维板和刨花板》。</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GB 18580-2017《室内装饰装修材料人造板及其制品中甲醛释放限量》。</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GB/T 15102-2017《浸渍胶膜纸饰面纤维板和刨花板》。</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GB 18580-2017《室内装饰装修材料人造板及其制品中甲醛释放限量》。</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甲醛释放限量（气候箱法）、24h吸水厚度膨胀率、握螺钉力、品质属性*、总挥发性有机化合物（TVOC）的释放率、理化性能.</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▲（2）书斗检测报告含有“CMA”标志。检测依据QB/T 4371-2012《家具抗菌性能的评价》GB/T 1741-2020《漆膜耐霉菌性测定法》</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▲（3）钢管的检测符合GB 3325-2017 《金属家具通用技术条件》、QB/T 3832-1999《轻工产品金属镀层腐蚀试验结果的评价》、QB/T 3827-1999《轻工产品金属镀层和化学处理层的耐腐蚀试验方法乙酸盐雾试验（ASS）法》，金属喷漆（塑）涂层硬度≥3H；金属表面耐腐蚀乙酸盐雾试验（1000h），镀层本身的耐腐蚀等级和镀层对基体的保护等级均不低于10级。</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▲(4)五金配件检测报告：检验依据GB/T 3325-2017《金属家具通用技术条件》、QB/T 3827-1999《轻工产品金属镀层和化学处理层的耐腐蚀试验方法乙酸盐雾试验(ASS)法》、QB/T 3832-1999《轻工产品金属镀层腐蚀试验结果的评价》检验项目：理化性能要求：金属喷漆(塑)涂层（硬度、冲击强度、附着力，耐腐蚀试验：乙酸盐雾试验≥1200h合格.</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▲(5)螺栓、防松螺帽检测报告：检验依据QB/T3827-1999《轻工产品金属镀层和化学处理层的耐腐蚀试验方法乙酸盐雾试验（ASS)法》QB/T3832-1999《轻工产品金属镀层腐蚀试验结果评价》，根据标准QB/T 3827-1999 《轻工产品金属镀层和化学处理层的耐腐蚀试验方法乙酸盐雾试验(ASS). 法》乙酸盐雾试验≥1000h，检测评定保护等级10级,耐蚀等级10级。</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▲(6)脚垫的质量检测符合GB 28481-2012 《塑料家具中有害物质限量》的标准。（检测报告上须同时含有“CMA”标志）</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▲(7)塑料件PP(椅子座板）检测报告上须同时含有“CMA”“CNAS”标志。HJ 2547-2016《环境标志产品技术要求 家具》要求未检出邻苯二甲酸酯（DBP、BBP、DEHP、DNOP、DINP、DIDP)</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56/人一间教室</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keepNext w:val="0"/>
              <w:pageBreakBefore w:val="0"/>
              <w:widowControl/>
              <w:rPr>
                <w:rFonts w:hint="eastAsia" w:ascii="等线" w:hAnsi="等线" w:eastAsia="等线" w:cs="等线"/>
                <w:i w:val="0"/>
                <w:iCs w:val="0"/>
                <w:color w:val="auto"/>
                <w:sz w:val="21"/>
                <w:szCs w:val="21"/>
                <w:highlight w:val="none"/>
                <w:u w:val="single"/>
              </w:rPr>
              <w:suppressLineNumbers w:val="0"/>
            </w:pPr>
            <w:r>
              <w:rPr>
                <w:rFonts w:hint="eastAsia" w:ascii="等线" w:hAnsi="等线" w:eastAsia="等线" w:cs="等线"/>
                <w:i w:val="0"/>
                <w:iCs w:val="0"/>
                <w:color w:val="auto"/>
                <w:sz w:val="21"/>
                <w:szCs w:val="21"/>
                <w:highlight w:val="none"/>
                <w:u w:val="single"/>
                <w:lang w:val="en-US" w:eastAsia="zh-CN" w:bidi="ar"/>
              </w:rPr>
              <mc:AlternateContent>
                <mc:Choice Requires="wpg">
                  <w:drawing>
                    <wp:inline xmlns:wp="http://schemas.openxmlformats.org/drawingml/2006/wordprocessingDrawing" distT="0" distB="0" distL="0" distR="0">
                      <wp:extent cx="1181100" cy="895350"/>
                      <wp:effectExtent l="0" t="0" r="0" b="0"/>
                      <wp:docPr id="2" name="图片 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IMG_257"/>
                              <pic:cNvPicPr>
                                <a:picLocks noChangeAspect="1"/>
                              </pic:cNvPicPr>
                              <pic:nvPr/>
                            </pic:nvPicPr>
                            <pic:blipFill>
                              <a:blip r:embed="rId18"/>
                              <a:stretch/>
                            </pic:blipFill>
                            <pic:spPr bwMode="auto">
                              <a:xfrm>
                                <a:off x="0" y="0"/>
                                <a:ext cx="1181099"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3.0pt;height:70.5pt;mso-wrap-distance-left:0.0pt;mso-wrap-distance-top:0.0pt;mso-wrap-distance-right:0.0pt;mso-wrap-distance-bottom:0.0pt;" stroked="f" strokeweight="0.75pt">
                      <v:path textboxrect="0,0,0,0"/>
                      <v:imagedata r:id="rId18" o:title=""/>
                    </v:shape>
                  </w:pict>
                </mc:Fallback>
              </mc:AlternateContent>
            </w:r>
            <w:r/>
          </w:p>
        </w:tc>
      </w:tr>
      <w:tr>
        <w:trPr>
          <w:trHeight w:val="2258"/>
        </w:trPr>
        <w:tc>
          <w:tcPr>
            <w:shd w:val="clear" w:color="auto" w:fill="auto"/>
            <w:tcBorders>
              <w:top w:val="single" w:color="000000" w:sz="4" w:space="0"/>
              <w:left w:val="single" w:color="000000" w:sz="4" w:space="0"/>
              <w:bottom w:val="single" w:color="auto" w:sz="4" w:space="0"/>
              <w:right w:val="single" w:color="000000" w:sz="4" w:space="0"/>
            </w:tcBorders>
            <w:tcW w:w="658"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auto" w:sz="4" w:space="0"/>
              <w:right w:val="single" w:color="000000" w:sz="4" w:space="0"/>
            </w:tcBorders>
            <w:tcW w:w="1100"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100"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书包柜</w:t>
            </w:r>
            <w:r/>
          </w:p>
        </w:tc>
        <w:tc>
          <w:tcPr>
            <w:shd w:val="clear" w:color="auto" w:fill="auto"/>
            <w:tcBorders>
              <w:top w:val="single" w:color="000000" w:sz="4" w:space="0"/>
              <w:left w:val="single" w:color="000000" w:sz="4" w:space="0"/>
              <w:bottom w:val="single" w:color="auto" w:sz="4" w:space="0"/>
              <w:right w:val="single" w:color="000000" w:sz="4" w:space="0"/>
            </w:tcBorders>
            <w:tcW w:w="6410" w:type="dxa"/>
            <w:vAlign w:val="center"/>
            <w:textDirection w:val="lrTb"/>
            <w:noWrap w:val="false"/>
          </w:tcPr>
          <w:p>
            <w:pPr>
              <w:jc w:val="left"/>
              <w:keepLines/>
              <w:keepNext w:val="0"/>
              <w:pageBreakBefore w:val="0"/>
              <w:widowControl/>
              <w:rPr>
                <w:rFonts w:hint="eastAsia" w:ascii="等线" w:hAnsi="等线" w:eastAsia="等线" w:cs="等线"/>
                <w:i w:val="0"/>
                <w:iCs w:val="0"/>
                <w:color w:val="auto"/>
                <w:sz w:val="22"/>
                <w:szCs w:val="22"/>
                <w:highlight w:val="none"/>
                <w:u w:val="none"/>
              </w:rPr>
              <w:suppressLineNumbers w:val="0"/>
            </w:pPr>
            <w:r>
              <w:rPr>
                <w:rFonts w:hint="eastAsia" w:ascii="等线" w:hAnsi="等线" w:eastAsia="等线" w:cs="等线"/>
                <w:i w:val="0"/>
                <w:iCs w:val="0"/>
                <w:color w:val="auto"/>
                <w:sz w:val="22"/>
                <w:szCs w:val="22"/>
                <w:highlight w:val="none"/>
                <w:u w:val="none"/>
                <w:lang w:val="en-US" w:eastAsia="zh-CN" w:bidi="ar"/>
              </w:rPr>
              <w:t xml:space="preserve">1、柜门ABS环保材料注塑而成；柜体采用高强度HIPS注塑而成；是带有颜色的塑料米进入注塑机经过高温达到熔融状态，再由注塑机高压注满模具型腔，最后经过快速冷却成型顶出产品；注塑生产效率高，产品尺寸稳定，可以定制成型各种颜色。</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2、底座高度：80±1mm; 两侧镂空设计，方便冲洗底部脏物，如有额外需求底座可选装调节脚垫，可从柜体内部进行调节柜子的平稳度，使用更加方便。</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▲3、平顶板高度：40±1mm;安装时通过特制的内固定板固定，内固定板在柜子内部卡入卡槽并扣住平顶板，实现内锁外的结构。</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4、单侧板注塑一体成型；与底座、上下板、平顶板榫卯配合，侧板表面光滑无纹路，增加凹凸造型增强稳定性，侧板内部带有隐孔，用于两组柜体的连接，穿透即可使用，不需要连接柜体时，表面平整无痕迹，不会露出孔位或用盖帽遮盖孔位。</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5、双侧板注塑一体成型，与底座、上下板、平顶板榫卯配合，侧板表面光滑无纹路。</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6、造形门板与门副板组装出货，门板底部带有ABS环保标志，柜门表面光滑无纹路，门板右侧凸起一个宽148mm（±2）高8mm（±1）的圆弧造型,门板左侧直角处各装有一个TPE软胶材质的防撞软胶护角，门板左侧即拉手部分采用平面设计，右侧采用弧形设计，增加强度防止门板变形，门板拉手上方位置可灵活放置号码牌，号码牌镶嵌式安装，不用胶粘方便更换；门板铰链孔具备铰链安装导槽，方便铰链安装；取下活动门轴即可拆下门板，无需拆除门副板。</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▲7、锁具可选配我司多款型号，也可选配拉手组；拉手为模块化结构，一体成型，手抓部位采用优质手感设计，有效手抓宽度27mm（±1），深度达17mm（±1），握持更舒适、更省力。</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8、柜门与柜体连接采用高强度尼龙铰链（Nylon）连接设计，防水，防锈。专利结构铰链具有限位功能，两端采用弹性卡钩固定在门端、柜体端，安装简单不需要任何辅助螺丝连接，易拆易装，方便售后维修。</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▲9、单门规格尺寸：宽382mm（±2）*深500mm（±2）*高465mm（±4）（不含80mm底座和平顶板），每增高一层高度增加465mm，每增加一列宽度增加382mm。单门内尺寸：宽338 mm（±2）*深470 mm （±2）*高435mm（±4）</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10、全塑书包柜稳定性、强度、耐久性检测参考标准： GB/T 32487-2016《塑料家具通用技术条件》 ，符合：搁板定位试验-垂直向下的力试验：100N；搁钣弯曲试验标准：2.0 kg/dm²，搁板弯曲挠度变化值≤0.5%；顶板和底板持续加栽试验2.0kg/dm²，顶板、底板最大挠度0.5%；顶板和底板静载荷试验1000N；结构强度试验检测350N；开门垂直加载试验30kg；开门水平加载试验80N；开门猛关试验4kg；开门耐久性试验50000次循环。</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11、门板、柜体理化性能（冲击强度）检测参考标准： GB/T 32487-2016《塑料家具通用技术条件》符合：门板理化性能，冲击强度：≥10J/m²，柜体理化性能，冲击强度：≥10J/m²。</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12、门板、柜体理化性能（冷热循环）检测参考标准： GB/T 32487-2016《塑料家具通用技术条件》符合：门板塑料件，耐冷热循环：应无裂纹、鼓泡、变色、起皱，柜体塑料件，耐冷热循环：应无裂纹、鼓泡、变色、起皱。</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13、全塑书包柜有害物质检测，检测范围覆盖以下部件及项目：门板、柜体、ABS 塑料米、尼龙铰链及门板防护软角；甲醛释放量、邻苯二甲酸酯、多环芳烃、多溴联苯、多溴二苯醚、总挥发性有机化合物释放量；参考标准：标准：GB18584-2024《家具中有害物质限量》符合：甲醛释放量：未检出，邻苯二甲酸酯：未检出，多环芳烃：未检出，多溴联苯：未检出，多溴二苯醚：未检出，总挥发性有机化合物释放量：未检出。</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▲14、全塑书包柜 书包柜系列 防撞角自由跌落检测参考标准：GB/T 2423.7-2018，应外观无可见开裂损坏。符合：外观无可见开裂损坏。</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15、门板、柜体理化性能（耐老化性）检测参考标准： GB/T 32487-2016 《塑料家具通用技术条件》  符合：灰标等级 4级；</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16、提供第三方检测机构出具的检测报告复印件（委托单位、制造商、生产厂三者一致）及全国认证认可信息公共服务平台查询结果截图或SGS官网查询结果截图。</w:t>
            </w:r>
            <w:r/>
          </w:p>
        </w:tc>
        <w:tc>
          <w:tcPr>
            <w:shd w:val="clear" w:color="auto" w:fill="auto"/>
            <w:tcBorders>
              <w:top w:val="single" w:color="000000" w:sz="4" w:space="0"/>
              <w:left w:val="single" w:color="000000" w:sz="4" w:space="0"/>
              <w:bottom w:val="single" w:color="auto" w:sz="4" w:space="0"/>
              <w:right w:val="single" w:color="000000" w:sz="4" w:space="0"/>
            </w:tcBorders>
            <w:tcW w:w="663"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auto" w:sz="4" w:space="0"/>
              <w:right w:val="single" w:color="000000" w:sz="4" w:space="0"/>
            </w:tcBorders>
            <w:tcW w:w="1011"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auto" w:sz="4" w:space="0"/>
              <w:right w:val="single" w:color="000000" w:sz="4" w:space="0"/>
            </w:tcBorders>
            <w:tcW w:w="1156" w:type="dxa"/>
            <w:vAlign w:val="center"/>
            <w:textDirection w:val="lrTb"/>
            <w:noWrap w:val="false"/>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每间教室6套，每套9个，共264套，合计：2376个。</w:t>
            </w:r>
            <w:r/>
          </w:p>
        </w:tc>
        <w:tc>
          <w:tcPr>
            <w:shd w:val="clear" w:color="auto" w:fill="auto"/>
            <w:tcBorders>
              <w:top w:val="single" w:color="000000" w:sz="4" w:space="0"/>
              <w:left w:val="single" w:color="000000" w:sz="4" w:space="0"/>
              <w:bottom w:val="single" w:color="auto" w:sz="4" w:space="0"/>
              <w:right w:val="single" w:color="000000" w:sz="4" w:space="0"/>
            </w:tcBorders>
            <w:tcW w:w="2076" w:type="dxa"/>
            <w:vAlign w:val="center"/>
            <w:textDirection w:val="lrTb"/>
            <w:noWrap w:val="false"/>
          </w:tcPr>
          <w:p>
            <w:pPr>
              <w:jc w:val="center"/>
              <w:keepLines/>
              <w:keepNext w:val="0"/>
              <w:pageBreakBefore w:val="0"/>
              <w:widowControl/>
              <w:rPr>
                <w:rFonts w:hint="eastAsia" w:ascii="等线" w:hAnsi="等线" w:eastAsia="等线" w:cs="等线"/>
                <w:i w:val="0"/>
                <w:iCs w:val="0"/>
                <w:color w:val="auto"/>
                <w:sz w:val="21"/>
                <w:szCs w:val="21"/>
                <w:highlight w:val="none"/>
                <w:u w:val="none"/>
              </w:rPr>
              <w:suppressLineNumbers w:val="0"/>
            </w:pPr>
            <w:r>
              <w:rPr>
                <w:rFonts w:hint="eastAsia" w:ascii="等线" w:hAnsi="等线" w:eastAsia="等线" w:cs="等线"/>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114425" cy="781050"/>
                      <wp:effectExtent l="0" t="0" r="9525" b="0"/>
                      <wp:docPr id="3" name="图片 7"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descr="IMG_258"/>
                              <pic:cNvPicPr>
                                <a:picLocks noChangeAspect="1"/>
                              </pic:cNvPicPr>
                              <pic:nvPr/>
                            </pic:nvPicPr>
                            <pic:blipFill>
                              <a:blip r:embed="rId19"/>
                              <a:stretch/>
                            </pic:blipFill>
                            <pic:spPr bwMode="auto">
                              <a:xfrm>
                                <a:off x="0" y="0"/>
                                <a:ext cx="1114425"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7.8pt;height:61.5pt;mso-wrap-distance-left:0.0pt;mso-wrap-distance-top:0.0pt;mso-wrap-distance-right:0.0pt;mso-wrap-distance-bottom:0.0pt;" stroked="f" strokeweight="0.75pt">
                      <v:path textboxrect="0,0,0,0"/>
                      <v:imagedata r:id="rId19" o:title=""/>
                    </v:shape>
                  </w:pict>
                </mc:Fallback>
              </mc:AlternateContent>
            </w:r>
            <w:r/>
          </w:p>
        </w:tc>
      </w:tr>
      <w:tr>
        <w:trPr>
          <w:trHeight w:val="1985"/>
        </w:trPr>
        <w:tc>
          <w:tcPr>
            <w:shd w:val="clear" w:color="auto" w:fill="auto"/>
            <w:tcBorders>
              <w:top w:val="single" w:color="auto" w:sz="4" w:space="0"/>
              <w:left w:val="single" w:color="auto" w:sz="4" w:space="0"/>
              <w:bottom w:val="single" w:color="auto" w:sz="4" w:space="0"/>
              <w:right w:val="single" w:color="auto" w:sz="4" w:space="0"/>
            </w:tcBorders>
            <w:tcW w:w="658"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教室讲台</w:t>
            </w:r>
            <w:r/>
          </w:p>
        </w:tc>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410" w:type="dxa"/>
            <w:vAlign w:val="center"/>
            <w:textDirection w:val="lrTb"/>
            <w:noWrap w:val="false"/>
          </w:tcPr>
          <w:p>
            <w:pPr>
              <w:jc w:val="left"/>
              <w:keepLines/>
              <w:keepNext w:val="0"/>
              <w:pageBreakBefore w:val="0"/>
              <w:widowControl/>
              <w:rPr>
                <w:rFonts w:hint="eastAsia" w:ascii="等线" w:hAnsi="等线" w:eastAsia="等线" w:cs="等线"/>
                <w:i w:val="0"/>
                <w:iCs w:val="0"/>
                <w:color w:val="auto"/>
                <w:sz w:val="21"/>
                <w:szCs w:val="21"/>
                <w:highlight w:val="none"/>
                <w:u w:val="none"/>
              </w:rPr>
              <w:suppressLineNumbers w:val="0"/>
            </w:pPr>
            <w:r>
              <w:rPr>
                <w:rFonts w:hint="eastAsia" w:ascii="等线" w:hAnsi="等线" w:eastAsia="等线" w:cs="等线"/>
                <w:i w:val="0"/>
                <w:iCs w:val="0"/>
                <w:color w:val="auto"/>
                <w:sz w:val="21"/>
                <w:szCs w:val="21"/>
                <w:highlight w:val="none"/>
                <w:u w:val="none"/>
                <w:lang w:val="en-US" w:eastAsia="zh-CN" w:bidi="ar"/>
              </w:rPr>
              <w:t xml:space="preserve">1、尺寸：1200×600×850mm；</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2、结构：板式结构；</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3、柜身：整体18mm厚E1级三聚氰胺环保饰面板加工制作，1.5mm厚塑制优质封边条机械封边（板材加工截面和开孔截面均应封边），上部配抽屉两组，下部板式对开门内设隔板一层，台面上配挡板70mm高。</w:t>
            </w:r>
            <w:r/>
          </w:p>
        </w:tc>
        <w:tc>
          <w:tcPr>
            <w:shd w:val="clear" w:color="auto" w:fill="auto"/>
            <w:tcBorders>
              <w:top w:val="single" w:color="auto" w:sz="4" w:space="0"/>
              <w:left w:val="single" w:color="auto" w:sz="4" w:space="0"/>
              <w:bottom w:val="single" w:color="auto" w:sz="4" w:space="0"/>
              <w:right w:val="single" w:color="auto" w:sz="4" w:space="0"/>
            </w:tcBorders>
            <w:tcW w:w="663"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156" w:type="dxa"/>
            <w:vAlign w:val="center"/>
            <w:textDirection w:val="lrTb"/>
            <w:noWrap/>
          </w:tcPr>
          <w:p>
            <w:pPr>
              <w:keepLines/>
              <w:keepNext w:val="0"/>
              <w:pageBreakBefore w:val="0"/>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076" w:type="dxa"/>
            <w:vAlign w:val="center"/>
            <w:textDirection w:val="lrTb"/>
            <w:noWrap w:val="false"/>
          </w:tcPr>
          <w:p>
            <w:pPr>
              <w:jc w:val="center"/>
              <w:keepLines/>
              <w:keepNext w:val="0"/>
              <w:pageBreakBefore w:val="0"/>
              <w:widowControl/>
              <w:rPr>
                <w:rFonts w:hint="eastAsia" w:ascii="等线" w:hAnsi="等线" w:eastAsia="等线" w:cs="等线"/>
                <w:i w:val="0"/>
                <w:iCs w:val="0"/>
                <w:color w:val="auto"/>
                <w:sz w:val="21"/>
                <w:szCs w:val="21"/>
                <w:highlight w:val="none"/>
                <w:u w:val="none"/>
              </w:rPr>
              <w:suppressLineNumbers w:val="0"/>
            </w:pPr>
            <w:r>
              <w:rPr>
                <w:rFonts w:hint="eastAsia" w:ascii="等线" w:hAnsi="等线" w:eastAsia="等线" w:cs="等线"/>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676275" cy="628650"/>
                      <wp:effectExtent l="0" t="0" r="9525" b="0"/>
                      <wp:docPr id="4" name="图片 8"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descr="IMG_259"/>
                              <pic:cNvPicPr>
                                <a:picLocks noChangeAspect="1"/>
                              </pic:cNvPicPr>
                              <pic:nvPr/>
                            </pic:nvPicPr>
                            <pic:blipFill>
                              <a:blip r:embed="rId20"/>
                              <a:stretch/>
                            </pic:blipFill>
                            <pic:spPr bwMode="auto">
                              <a:xfrm>
                                <a:off x="0" y="0"/>
                                <a:ext cx="6762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3.2pt;height:49.5pt;mso-wrap-distance-left:0.0pt;mso-wrap-distance-top:0.0pt;mso-wrap-distance-right:0.0pt;mso-wrap-distance-bottom:0.0pt;" stroked="f" strokeweight="0.75pt">
                      <v:path textboxrect="0,0,0,0"/>
                      <v:imagedata r:id="rId20" o:title=""/>
                    </v:shape>
                  </w:pict>
                </mc:Fallback>
              </mc:AlternateContent>
            </w:r>
            <w:r/>
          </w:p>
        </w:tc>
      </w:tr>
    </w:tbl>
    <w:p>
      <w:pPr>
        <w:pStyle w:val="922"/>
        <w:rPr>
          <w:rFonts w:hint="eastAsia"/>
          <w:color w:val="auto"/>
          <w:highlight w:val="none"/>
          <w:lang w:val="en-US" w:eastAsia="zh-CN"/>
        </w:rPr>
      </w:pPr>
      <w:r>
        <w:rPr>
          <w:rFonts w:hint="eastAsia"/>
          <w:color w:val="auto"/>
          <w:highlight w:val="none"/>
          <w:lang w:val="en-US" w:eastAsia="zh-CN"/>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br w:type="page" w:clear="all"/>
      </w:r>
      <w:r/>
    </w:p>
    <w:p>
      <w:pPr>
        <w:pStyle w:val="917"/>
        <w:rPr>
          <w:rFonts w:hint="default"/>
          <w:color w:val="auto"/>
          <w:highlight w:val="none"/>
          <w:lang w:val="en-US" w:eastAsia="zh-CN"/>
        </w:rPr>
        <w:sectPr>
          <w:footnotePr/>
          <w:endnotePr/>
          <w:type w:val="nextPage"/>
          <w:pgSz w:w="16838" w:h="11906" w:orient="landscape"/>
          <w:pgMar w:top="1599" w:right="1440" w:bottom="1803" w:left="1440" w:header="850" w:footer="992" w:gutter="0"/>
          <w:cols w:num="1" w:sep="0" w:space="0" w:equalWidth="1"/>
          <w:docGrid w:linePitch="360"/>
          <w:titlePg/>
        </w:sectPr>
      </w:pPr>
      <w:r>
        <w:rPr>
          <w:rFonts w:hint="default"/>
          <w:color w:val="auto"/>
          <w:highlight w:val="none"/>
          <w:lang w:val="en-US" w:eastAsia="zh-CN"/>
        </w:rPr>
      </w:r>
      <w:r/>
    </w:p>
    <w:p>
      <w:pPr>
        <w:rPr>
          <w:rFonts w:hint="eastAsia" w:ascii="宋体" w:hAnsi="宋体" w:cs="宋体"/>
          <w:bCs/>
          <w:color w:val="auto"/>
          <w:sz w:val="24"/>
          <w:szCs w:val="24"/>
          <w:highlight w:val="none"/>
        </w:rPr>
      </w:pPr>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报价要求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2.实施要求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供应商提供设备安装日程计划。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（3）安全施工要求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供应商应采取安全措施，确保施工安全。因本项目施工产生的施工人员和学校师生人身安全问题由供应商承担全部责任。 </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（4）验收要求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①供应商提交的货物由采购人（或委托第三方专业机构）负责检测、验收。 不合格的，供应商必须免费整改直至合格为止。</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家具安装完毕后，供应商主动配合采购人组织的验收小组进行验收，采购人在接收时对货物的品种、规格、性能、质量、数量、外观以及配件等进行验收。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③对交付质量有异议的货物，采购人可对供应商正式供货家具随机抽取一件进行破坏性检测，被抽样检测家具中甲醛和苯等有害物质含</w:t>
      </w:r>
      <w:r>
        <w:rPr>
          <w:rFonts w:hint="eastAsia" w:ascii="宋体" w:hAnsi="宋体" w:cs="宋体"/>
          <w:color w:val="auto"/>
          <w:sz w:val="24"/>
          <w:szCs w:val="24"/>
          <w:highlight w:val="none"/>
        </w:rPr>
        <w:t xml:space="preserve">量不符合招标文件要求或国家标准的、参数和材质不符合招标文件要求的，视为不合格产品，采购人有权拒绝接收所有家具，并要求供应商按合同规定赔偿采购人损失（破坏性检测的货物，检测费用以及重新安装费用由中标供应商支付）。抽取样品时，供应商代表、检测中心专业人员、采购人代表三方同时在场的情况下方可进行，否则进行的检测视为无效；检测数据由具有相应资质的第三方检测机构出具；如检测不合格，供应商对相关的项目无条件进行整改，若二次验收不合格，采购人有权退货，由此造成一切损失均由供应商承担。采购人在此期间保留对供应商的索赔权利。</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（5）质保（维保）及售后要求</w:t>
      </w:r>
      <w:r/>
    </w:p>
    <w:p>
      <w:pPr>
        <w:ind w:firstLine="480"/>
        <w:rPr>
          <w:color w:val="auto"/>
          <w:sz w:val="24"/>
          <w:szCs w:val="24"/>
          <w:highlight w:val="none"/>
        </w:rPr>
      </w:pPr>
      <w:r>
        <w:rPr>
          <w:color w:val="auto"/>
          <w:sz w:val="24"/>
          <w:szCs w:val="24"/>
          <w:highlight w:val="none"/>
        </w:rPr>
        <w:t xml:space="preserve">①</w:t>
      </w:r>
      <w:r>
        <w:rPr>
          <w:rFonts w:hint="eastAsia"/>
          <w:color w:val="auto"/>
          <w:sz w:val="24"/>
          <w:szCs w:val="24"/>
          <w:highlight w:val="none"/>
        </w:rPr>
        <w:t xml:space="preserve">本项目整体质保</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w:t>
      </w:r>
      <w:r>
        <w:rPr>
          <w:rFonts w:hint="eastAsia"/>
          <w:color w:val="auto"/>
          <w:sz w:val="24"/>
          <w:szCs w:val="24"/>
          <w:highlight w:val="none"/>
        </w:rPr>
        <w:t xml:space="preserve">自验收合格之日起，进入质保期），</w:t>
      </w:r>
      <w:r>
        <w:rPr>
          <w:color w:val="auto"/>
          <w:sz w:val="24"/>
          <w:szCs w:val="24"/>
          <w:highlight w:val="none"/>
        </w:rPr>
        <w:t xml:space="preserve">质保期内，每年维护保养1次，维护保养及更换损坏件的费用包含在投标总价中。</w:t>
      </w:r>
      <w:r/>
    </w:p>
    <w:p>
      <w:pPr>
        <w:ind w:firstLine="480"/>
        <w:rPr>
          <w:color w:val="auto"/>
          <w:sz w:val="24"/>
          <w:szCs w:val="24"/>
          <w:highlight w:val="none"/>
        </w:rPr>
      </w:pPr>
      <w:r>
        <w:rPr>
          <w:color w:val="auto"/>
          <w:sz w:val="24"/>
          <w:szCs w:val="24"/>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p>
    <w:p>
      <w:pPr>
        <w:ind w:firstLine="480"/>
        <w:rPr>
          <w:rFonts w:hint="eastAsia"/>
          <w:color w:val="auto"/>
          <w:sz w:val="24"/>
          <w:szCs w:val="24"/>
          <w:highlight w:val="none"/>
        </w:rPr>
      </w:pPr>
      <w:r>
        <w:rPr>
          <w:color w:val="auto"/>
          <w:sz w:val="24"/>
          <w:szCs w:val="24"/>
          <w:highlight w:val="none"/>
        </w:rPr>
        <w:fldChar w:fldCharType="begin"/>
      </w:r>
      <w:r>
        <w:rPr>
          <w:color w:val="auto"/>
          <w:sz w:val="24"/>
          <w:szCs w:val="24"/>
          <w:highlight w:val="none"/>
        </w:rPr>
        <w:instrText xml:space="preserve"> = 3 \* GB3 \* MERGEFORMAT </w:instrText>
      </w:r>
      <w:r>
        <w:rPr>
          <w:color w:val="auto"/>
          <w:sz w:val="24"/>
          <w:szCs w:val="24"/>
          <w:highlight w:val="none"/>
        </w:rPr>
        <w:fldChar w:fldCharType="separate"/>
      </w:r>
      <w:r>
        <w:rPr>
          <w:color w:val="auto"/>
          <w:sz w:val="24"/>
          <w:szCs w:val="24"/>
          <w:highlight w:val="none"/>
        </w:rPr>
        <w:t xml:space="preserve">③</w:t>
      </w:r>
      <w:r>
        <w:rPr>
          <w:color w:val="auto"/>
          <w:sz w:val="24"/>
          <w:szCs w:val="24"/>
          <w:highlight w:val="none"/>
        </w:rPr>
        <w:fldChar w:fldCharType="end"/>
      </w:r>
      <w:r>
        <w:rPr>
          <w:color w:val="auto"/>
          <w:sz w:val="24"/>
          <w:szCs w:val="24"/>
          <w:highlight w:val="none"/>
        </w:rPr>
        <w:t xml:space="preserve">质保期外，供应商提供终生服务，在货物的设计使用寿命周期内，供应商能保证采购人更换到原厂正宗的备件材料，确保产品的正常使用。</w:t>
      </w:r>
      <w:r/>
    </w:p>
    <w:p>
      <w:pPr>
        <w:ind w:firstLine="480"/>
        <w:rPr>
          <w:color w:val="auto"/>
          <w:sz w:val="24"/>
          <w:szCs w:val="24"/>
          <w:highlight w:val="none"/>
        </w:rPr>
      </w:pPr>
      <w:r>
        <w:rPr>
          <w:rFonts w:hint="eastAsia" w:ascii="宋体" w:hAnsi="宋体"/>
          <w:color w:val="auto"/>
          <w:sz w:val="24"/>
          <w:szCs w:val="24"/>
          <w:highlight w:val="none"/>
        </w:rPr>
        <w:t xml:space="preserve">（</w:t>
      </w:r>
      <w:r>
        <w:rPr>
          <w:rFonts w:hint="eastAsia"/>
          <w:color w:val="auto"/>
          <w:sz w:val="24"/>
          <w:szCs w:val="24"/>
          <w:highlight w:val="none"/>
        </w:rPr>
        <w:t xml:space="preserve">6</w:t>
      </w:r>
      <w:r>
        <w:rPr>
          <w:rFonts w:hint="eastAsia" w:ascii="宋体" w:hAnsi="宋体"/>
          <w:color w:val="auto"/>
          <w:sz w:val="24"/>
          <w:szCs w:val="24"/>
          <w:highlight w:val="none"/>
        </w:rPr>
        <w:t xml:space="preserve">）项目管理</w:t>
      </w:r>
      <w:r/>
    </w:p>
    <w:p>
      <w:pPr>
        <w:ind w:firstLine="480"/>
        <w:rPr>
          <w:rFonts w:hint="eastAsia"/>
          <w:color w:val="auto"/>
          <w:sz w:val="24"/>
          <w:szCs w:val="24"/>
          <w:highlight w:val="none"/>
        </w:rPr>
      </w:pPr>
      <w:r>
        <w:rPr>
          <w:rFonts w:hint="eastAsia" w:ascii="宋体" w:hAnsi="宋体"/>
          <w:color w:val="auto"/>
          <w:sz w:val="24"/>
          <w:szCs w:val="24"/>
          <w:highlight w:val="none"/>
        </w:rPr>
        <w:t xml:space="preserve">①投标人必须承诺接受“南京市教育装备项目管理平台”的信息化过程管理，在“南京市教育装备云服务平台”中公开投标文件、合同与合同清单，接受南京市教育、财政、审计等行政部门的网络在线监督。</w:t>
      </w:r>
      <w:r/>
    </w:p>
    <w:p>
      <w:pPr>
        <w:ind w:firstLine="480"/>
        <w:rPr>
          <w:rFonts w:hint="eastAsia"/>
          <w:color w:val="auto"/>
          <w:sz w:val="24"/>
          <w:szCs w:val="24"/>
          <w:highlight w:val="none"/>
        </w:rPr>
      </w:pPr>
      <w:r>
        <w:rPr>
          <w:rFonts w:hint="eastAsia" w:ascii="宋体" w:hAnsi="宋体"/>
          <w:color w:val="auto"/>
          <w:sz w:val="24"/>
          <w:szCs w:val="24"/>
          <w:highlight w:val="none"/>
        </w:rPr>
        <w:t xml:space="preserve">②投标人必须承诺在履约过程中，严格按照“南京市教育装备项目管理平台”的技术与管理规范，在规定的时间节点，提供相应的合同履约资料，包括照片。</w:t>
      </w:r>
      <w:r/>
    </w:p>
    <w:p>
      <w:pPr>
        <w:ind w:firstLine="480"/>
        <w:rPr>
          <w:color w:val="auto"/>
          <w:sz w:val="24"/>
          <w:szCs w:val="24"/>
          <w:highlight w:val="none"/>
        </w:rPr>
      </w:pPr>
      <w:r>
        <w:rPr>
          <w:rFonts w:hint="eastAsia" w:ascii="宋体" w:hAnsi="宋体"/>
          <w:color w:val="auto"/>
          <w:sz w:val="24"/>
          <w:szCs w:val="24"/>
          <w:highlight w:val="none"/>
        </w:rPr>
        <w:t xml:space="preserve">③投标人必须承诺对所有进入固定资产的设备，按南京市的统一要求，通过“南京市教育装备项目管理平台”</w:t>
      </w:r>
      <w:r>
        <w:rPr>
          <w:rFonts w:hint="eastAsia"/>
          <w:color w:val="auto"/>
          <w:sz w:val="24"/>
          <w:szCs w:val="24"/>
          <w:highlight w:val="none"/>
        </w:rPr>
        <w:t xml:space="preserve">(</w:t>
      </w:r>
      <w:r>
        <w:rPr>
          <w:rFonts w:hint="eastAsia" w:ascii="宋体" w:hAnsi="宋体"/>
          <w:color w:val="auto"/>
          <w:sz w:val="24"/>
          <w:szCs w:val="24"/>
          <w:highlight w:val="none"/>
        </w:rPr>
        <w:t xml:space="preserve">南京市教育装备项目管理平台网址</w:t>
      </w:r>
      <w:r>
        <w:rPr>
          <w:rFonts w:hint="eastAsia"/>
          <w:color w:val="auto"/>
          <w:sz w:val="24"/>
          <w:szCs w:val="24"/>
          <w:highlight w:val="none"/>
        </w:rPr>
        <w:t xml:space="preserve">http://nj.cneefix.com)</w:t>
      </w:r>
      <w:r>
        <w:rPr>
          <w:rFonts w:hint="eastAsia" w:ascii="宋体" w:hAnsi="宋体"/>
          <w:color w:val="auto"/>
          <w:sz w:val="24"/>
          <w:szCs w:val="24"/>
          <w:highlight w:val="none"/>
        </w:rPr>
        <w:t xml:space="preserve">制作二维码标签，并张贴到设备上。</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3.付款条件</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rPr>
          <w:rFonts w:hint="eastAsia" w:ascii="宋体" w:hAnsi="宋体" w:cs="宋体"/>
          <w:color w:val="auto"/>
          <w:sz w:val="24"/>
          <w:szCs w:val="24"/>
          <w:highlight w:val="none"/>
        </w:rPr>
      </w:pPr>
      <w:r>
        <w:rPr>
          <w:rFonts w:ascii="宋体" w:hAnsi="宋体" w:cs="宋体"/>
          <w:color w:val="auto"/>
          <w:sz w:val="24"/>
          <w:szCs w:val="24"/>
          <w:highlight w:val="none"/>
        </w:rPr>
        <w:t xml:space="preserve">（1）交付时间：合同签订后</w:t>
      </w:r>
      <w:r>
        <w:rPr>
          <w:rFonts w:hint="eastAsia" w:ascii="宋体" w:hAnsi="宋体" w:cs="宋体"/>
          <w:bCs/>
          <w:color w:val="auto"/>
          <w:sz w:val="24"/>
          <w:szCs w:val="24"/>
          <w:highlight w:val="none"/>
        </w:rPr>
        <w:t xml:space="preserve">30</w:t>
      </w:r>
      <w:r>
        <w:rPr>
          <w:rFonts w:ascii="宋体" w:hAnsi="宋体" w:cs="宋体"/>
          <w:color w:val="auto"/>
          <w:sz w:val="24"/>
          <w:szCs w:val="24"/>
          <w:highlight w:val="none"/>
        </w:rPr>
        <w:t xml:space="preserve">天内交付并完成安装调试及验收等相关工作</w:t>
      </w:r>
      <w:r>
        <w:rPr>
          <w:rFonts w:hint="eastAsia" w:ascii="宋体" w:hAnsi="宋体" w:cs="宋体"/>
          <w:color w:val="auto"/>
          <w:sz w:val="24"/>
          <w:szCs w:val="24"/>
          <w:highlight w:val="none"/>
        </w:rPr>
        <w:t xml:space="preserve">。</w:t>
      </w:r>
      <w:r/>
    </w:p>
    <w:p>
      <w:pPr>
        <w:rPr>
          <w:rFonts w:ascii="Times New Roman" w:hAnsi="Times New Roman" w:eastAsia="方正仿宋_GBK" w:cs="Times New Roman"/>
          <w:color w:val="auto"/>
          <w:sz w:val="32"/>
          <w:szCs w:val="32"/>
          <w:highlight w:val="none"/>
          <w:shd w:val="clear" w:color="auto" w:fill="ffffff"/>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pStyle w:val="926"/>
        <w:jc w:val="center"/>
        <w:spacing w:line="520" w:lineRule="exact"/>
        <w:rPr>
          <w:rFonts w:ascii="宋体" w:hAnsi="宋体" w:cs="宋体"/>
          <w:color w:val="auto"/>
          <w:sz w:val="36"/>
          <w:szCs w:val="36"/>
          <w:highlight w:val="none"/>
        </w:rPr>
        <w:outlineLvl w:val="0"/>
      </w:pPr>
      <w:r/>
      <w:bookmarkStart w:id="60" w:name="_Toc15245"/>
      <w:r>
        <w:rPr>
          <w:rFonts w:hint="eastAsia" w:ascii="宋体" w:hAnsi="宋体" w:cs="宋体"/>
          <w:color w:val="auto"/>
          <w:sz w:val="28"/>
          <w:szCs w:val="28"/>
          <w:highlight w:val="none"/>
        </w:rPr>
        <w:t xml:space="preserve">第五章</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合同主要条款及格式</w:t>
      </w:r>
      <w:bookmarkEnd w:id="58"/>
      <w:r/>
      <w:bookmarkEnd w:id="59"/>
      <w:r/>
      <w:bookmarkEnd w:id="60"/>
      <w:r/>
      <w:r/>
    </w:p>
    <w:p>
      <w:pPr>
        <w:ind w:firstLine="480"/>
        <w:spacing w:line="264" w:lineRule="auto"/>
        <w:rPr>
          <w:rFonts w:hint="eastAsia" w:ascii="宋体" w:hAnsi="宋体"/>
          <w:bCs/>
          <w:color w:val="auto"/>
          <w:sz w:val="24"/>
          <w:szCs w:val="21"/>
          <w:highlight w:val="none"/>
        </w:rPr>
      </w:pPr>
      <w:r/>
      <w:bookmarkStart w:id="61" w:name="_Toc513029243"/>
      <w:r/>
      <w:bookmarkStart w:id="62" w:name="_Toc20823315"/>
      <w:r/>
      <w:bookmarkStart w:id="63" w:name="_Toc16938559"/>
      <w:r>
        <w:rPr>
          <w:rFonts w:hint="eastAsia" w:ascii="宋体" w:hAnsi="宋体"/>
          <w:bCs/>
          <w:color w:val="auto"/>
          <w:sz w:val="24"/>
          <w:szCs w:val="21"/>
          <w:highlight w:val="none"/>
        </w:rPr>
        <w:t xml:space="preserve">以下为本项目的合同条款，合同双方不得对招标、投标文件内容作实质性修改。</w:t>
      </w:r>
      <w:bookmarkStart w:id="64" w:name="_Toc30897"/>
      <w:r/>
      <w:bookmarkStart w:id="65" w:name="_Toc21630"/>
      <w:r>
        <w:rPr>
          <w:rFonts w:hint="eastAsia" w:ascii="方正小标宋简体" w:hAnsi="方正小标宋简体" w:eastAsia="方正小标宋简体" w:cs="方正小标宋简体"/>
          <w:bCs/>
          <w:color w:val="auto"/>
          <w:sz w:val="32"/>
          <w:szCs w:val="32"/>
          <w:highlight w:val="none"/>
        </w:rPr>
        <w:br w:type="page" w:clear="all"/>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rPr>
          <w:rFonts w:hint="eastAsia" w:ascii="方正小标宋简体" w:hAnsi="方正小标宋简体" w:eastAsia="方正小标宋简体" w:cs="方正小标宋简体"/>
          <w:bCs/>
          <w:color w:val="auto"/>
          <w:sz w:val="32"/>
          <w:szCs w:val="32"/>
          <w:highlight w:val="none"/>
        </w:rPr>
        <w:t xml:space="preserve">政府采购合同（货物）</w:t>
      </w:r>
      <w:bookmarkEnd w:id="64"/>
      <w:r/>
      <w:bookmarkEnd w:id="65"/>
      <w:r/>
      <w:r/>
    </w:p>
    <w:p>
      <w:pPr>
        <w:jc w:val="left"/>
        <w:spacing w:before="145" w:after="145" w:line="264" w:lineRule="auto"/>
        <w:rPr>
          <w:rFonts w:ascii="宋体" w:hAnsi="宋体" w:cs="Courier New"/>
          <w:color w:val="auto"/>
          <w:sz w:val="24"/>
          <w:szCs w:val="24"/>
          <w:highlight w:val="none"/>
        </w:rPr>
        <w:outlineLvl w:val="0"/>
      </w:pPr>
      <w:r/>
      <w:bookmarkStart w:id="66" w:name="_Toc31974"/>
      <w:r/>
      <w:bookmarkStart w:id="67" w:name="_Toc13109"/>
      <w:r>
        <w:rPr>
          <w:rFonts w:ascii="宋体" w:hAnsi="宋体" w:cs="Courier New"/>
          <w:color w:val="auto"/>
          <w:sz w:val="24"/>
          <w:szCs w:val="24"/>
          <w:highlight w:val="none"/>
        </w:rPr>
        <w:t xml:space="preserve">合同编号：</w:t>
      </w:r>
      <w:bookmarkEnd w:id="66"/>
      <w:r/>
      <w:bookmarkEnd w:id="67"/>
      <w:r/>
      <w:r/>
    </w:p>
    <w:p>
      <w:pPr>
        <w:spacing w:before="145" w:after="145" w:line="264" w:lineRule="auto"/>
        <w:rPr>
          <w:rFonts w:ascii="宋体" w:hAnsi="宋体" w:cs="Courier New"/>
          <w:color w:val="auto"/>
          <w:sz w:val="24"/>
          <w:szCs w:val="24"/>
          <w:highlight w:val="none"/>
        </w:rPr>
        <w:outlineLvl w:val="0"/>
      </w:pPr>
      <w:r/>
      <w:bookmarkStart w:id="68" w:name="_Toc19944"/>
      <w:r/>
      <w:bookmarkStart w:id="69" w:name="_Toc10334"/>
      <w:r>
        <w:rPr>
          <w:rFonts w:ascii="宋体" w:hAnsi="宋体" w:cs="Courier New"/>
          <w:color w:val="auto"/>
          <w:sz w:val="24"/>
          <w:szCs w:val="24"/>
          <w:highlight w:val="none"/>
        </w:rPr>
        <w:t xml:space="preserve">项目名称：                                       项目编号：</w:t>
      </w:r>
      <w:bookmarkEnd w:id="68"/>
      <w:r/>
      <w:bookmarkEnd w:id="69"/>
      <w:r/>
      <w:r/>
    </w:p>
    <w:p>
      <w:pPr>
        <w:jc w:val="left"/>
        <w:spacing w:before="145" w:after="145" w:line="264" w:lineRule="auto"/>
        <w:rPr>
          <w:rFonts w:hint="eastAsia" w:ascii="宋体" w:hAnsi="宋体" w:eastAsia="宋体" w:cs="Courier New"/>
          <w:color w:val="auto"/>
          <w:sz w:val="24"/>
          <w:szCs w:val="24"/>
          <w:highlight w:val="none"/>
          <w:lang w:eastAsia="zh-CN"/>
        </w:rPr>
        <w:outlineLvl w:val="0"/>
      </w:pPr>
      <w:r/>
      <w:bookmarkStart w:id="70" w:name="_Toc16940"/>
      <w:r/>
      <w:bookmarkStart w:id="71" w:name="_Toc11044"/>
      <w:r>
        <w:rPr>
          <w:rFonts w:ascii="宋体" w:hAnsi="宋体" w:cs="Courier New"/>
          <w:color w:val="auto"/>
          <w:sz w:val="24"/>
          <w:szCs w:val="24"/>
          <w:highlight w:val="none"/>
        </w:rPr>
        <w:t xml:space="preserve">甲方：（买方）</w:t>
      </w:r>
      <w:bookmarkEnd w:id="70"/>
      <w:r/>
      <w:bookmarkEnd w:id="71"/>
      <w:r>
        <w:rPr>
          <w:rFonts w:hint="eastAsia" w:ascii="宋体" w:hAnsi="宋体" w:cs="Courier New"/>
          <w:color w:val="auto"/>
          <w:sz w:val="24"/>
          <w:szCs w:val="24"/>
          <w:highlight w:val="none"/>
          <w:lang w:eastAsia="zh-CN"/>
        </w:rPr>
        <w:t xml:space="preserve">南京江北新区管委会教育和社会保障局</w:t>
      </w:r>
      <w:r/>
    </w:p>
    <w:p>
      <w:pPr>
        <w:jc w:val="left"/>
        <w:spacing w:before="145" w:after="145" w:line="264" w:lineRule="auto"/>
        <w:rPr>
          <w:rFonts w:ascii="宋体" w:hAnsi="宋体" w:cs="Courier New"/>
          <w:color w:val="auto"/>
          <w:sz w:val="24"/>
          <w:szCs w:val="24"/>
          <w:highlight w:val="none"/>
        </w:rPr>
        <w:outlineLvl w:val="0"/>
      </w:pPr>
      <w:r/>
      <w:bookmarkStart w:id="72" w:name="_Toc26214"/>
      <w:r/>
      <w:bookmarkStart w:id="73" w:name="_Toc15836"/>
      <w:r>
        <w:rPr>
          <w:rFonts w:ascii="宋体" w:hAnsi="宋体" w:cs="Courier New"/>
          <w:color w:val="auto"/>
          <w:sz w:val="24"/>
          <w:szCs w:val="24"/>
          <w:highlight w:val="none"/>
        </w:rPr>
        <w:t xml:space="preserve">乙方：（卖方）</w:t>
      </w:r>
      <w:bookmarkEnd w:id="72"/>
      <w:r/>
      <w:bookmarkEnd w:id="73"/>
      <w:r/>
      <w:r/>
    </w:p>
    <w:p>
      <w:pPr>
        <w:spacing w:line="264" w:lineRule="auto"/>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根据《中华人民共和国政府采购法》、《中华人民共和国民法典》等法律法规的规定，甲乙双方按照南京市政府采购中心的招标结果签订本合同。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 标的名称：</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 标的质量：按招标文件及投标文件执行。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履行地点：采购人指定地点。</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938"/>
        <w:spacing w:line="264" w:lineRule="auto"/>
        <w:rPr>
          <w:rFonts w:hAnsi="宋体" w:cs="Courier New"/>
          <w:color w:val="auto"/>
          <w:sz w:val="24"/>
          <w:szCs w:val="24"/>
          <w:highlight w:val="none"/>
        </w:rPr>
      </w:pPr>
      <w:r>
        <w:rPr>
          <w:rFonts w:hAnsi="宋体" w:cs="Courier New"/>
          <w:color w:val="auto"/>
          <w:sz w:val="24"/>
          <w:szCs w:val="24"/>
          <w:highlight w:val="none"/>
        </w:rPr>
        <w:t xml:space="preserve">2.1 </w:t>
      </w:r>
      <w:r>
        <w:rPr>
          <w:rFonts w:hint="eastAsia" w:hAnsi="宋体" w:cs="Courier New"/>
          <w:color w:val="auto"/>
          <w:sz w:val="24"/>
          <w:szCs w:val="24"/>
          <w:highlight w:val="none"/>
        </w:rPr>
        <w:t xml:space="preserve">本合同金额为（大写）：____________________圆（____________________元）人民币。</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.1 乙方应按招标文件规定的时间向甲方提供货物(包含与货物相关的服务)的有关技术资料。</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 本项目乙方无需缴纳履约保证金。</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pStyle w:val="938"/>
        <w:spacing w:line="264" w:lineRule="auto"/>
        <w:rPr>
          <w:rFonts w:hint="eastAsia" w:hAnsi="宋体" w:cs="Courier New"/>
          <w:color w:val="auto"/>
          <w:sz w:val="24"/>
          <w:szCs w:val="24"/>
          <w:highlight w:val="none"/>
          <w:lang w:val="en-US" w:eastAsia="zh-CN"/>
        </w:rPr>
      </w:pPr>
      <w:r>
        <w:rPr>
          <w:rFonts w:hint="eastAsia" w:hAnsi="宋体" w:cs="Courier New"/>
          <w:color w:val="auto"/>
          <w:sz w:val="24"/>
          <w:szCs w:val="24"/>
          <w:highlight w:val="none"/>
          <w:lang w:val="en-US" w:eastAsia="zh-CN"/>
        </w:rPr>
        <w:t xml:space="preserve">8.1 合同款项的支付方式及时间</w:t>
      </w:r>
      <w:r/>
    </w:p>
    <w:p>
      <w:pPr>
        <w:pStyle w:val="938"/>
        <w:spacing w:line="264" w:lineRule="auto"/>
        <w:rPr>
          <w:rFonts w:hint="eastAsia" w:hAnsi="宋体" w:cs="Courier New"/>
          <w:color w:val="auto"/>
          <w:sz w:val="24"/>
          <w:szCs w:val="24"/>
          <w:highlight w:val="none"/>
          <w:lang w:val="en-US" w:eastAsia="zh-CN"/>
        </w:rPr>
      </w:pPr>
      <w:r>
        <w:rPr>
          <w:rFonts w:hint="eastAsia" w:hAnsi="宋体" w:cs="Courier New"/>
          <w:color w:val="auto"/>
          <w:sz w:val="24"/>
          <w:szCs w:val="24"/>
          <w:highlight w:val="none"/>
          <w:lang w:val="en-US" w:eastAsia="zh-CN"/>
        </w:rPr>
        <w:t xml:space="preserve">8.1.1 合同签订后，甲方支付合同总价款的30%作为预付款。</w:t>
      </w:r>
      <w:r/>
    </w:p>
    <w:p>
      <w:pPr>
        <w:pStyle w:val="938"/>
        <w:spacing w:line="264" w:lineRule="auto"/>
        <w:rPr>
          <w:rFonts w:hint="eastAsia" w:hAnsi="宋体" w:cs="Courier New"/>
          <w:color w:val="auto"/>
          <w:sz w:val="24"/>
          <w:szCs w:val="24"/>
          <w:highlight w:val="none"/>
          <w:lang w:val="en-US" w:eastAsia="zh-CN"/>
        </w:rPr>
      </w:pPr>
      <w:r>
        <w:rPr>
          <w:rFonts w:hint="eastAsia" w:hAnsi="宋体" w:cs="Courier New"/>
          <w:color w:val="auto"/>
          <w:sz w:val="24"/>
          <w:szCs w:val="24"/>
          <w:highlight w:val="none"/>
          <w:lang w:val="en-US" w:eastAsia="zh-CN"/>
        </w:rPr>
        <w:t xml:space="preserve">8.1.2 供货结束并验收合格后，乙方需按甲方要求提供所有验收材料，甲方根据乙方提供的资金支付申请支付货款，货款不超过总合同价款的70％。</w:t>
      </w:r>
      <w:r/>
    </w:p>
    <w:p>
      <w:pPr>
        <w:pStyle w:val="938"/>
        <w:spacing w:line="264" w:lineRule="auto"/>
        <w:rPr>
          <w:rFonts w:hint="eastAsia" w:hAnsi="宋体" w:cs="Courier New"/>
          <w:color w:val="auto"/>
          <w:sz w:val="24"/>
          <w:szCs w:val="24"/>
          <w:highlight w:val="none"/>
          <w:lang w:val="en-US" w:eastAsia="zh-CN"/>
        </w:rPr>
      </w:pPr>
      <w:r>
        <w:rPr>
          <w:rFonts w:hint="eastAsia" w:hAnsi="宋体" w:cs="Courier New"/>
          <w:color w:val="auto"/>
          <w:sz w:val="24"/>
          <w:szCs w:val="24"/>
          <w:highlight w:val="none"/>
          <w:lang w:val="en-US" w:eastAsia="zh-CN"/>
        </w:rPr>
        <w:t xml:space="preserve">8.1.3 满足合同约定支付条件的，甲方收到乙方发票后10个工作日内，将资金支付到合同约定的乙方账户。 </w:t>
      </w:r>
      <w:r/>
    </w:p>
    <w:p>
      <w:pPr>
        <w:pStyle w:val="938"/>
        <w:spacing w:line="264" w:lineRule="auto"/>
        <w:rPr>
          <w:rFonts w:hint="eastAsia" w:hAnsi="宋体" w:cs="Courier New"/>
          <w:color w:val="auto"/>
          <w:sz w:val="24"/>
          <w:szCs w:val="24"/>
          <w:highlight w:val="none"/>
        </w:rPr>
      </w:pPr>
      <w:r>
        <w:rPr>
          <w:rFonts w:hint="eastAsia" w:hAnsi="宋体" w:cs="Courier New"/>
          <w:color w:val="auto"/>
          <w:sz w:val="24"/>
          <w:szCs w:val="24"/>
          <w:highlight w:val="none"/>
          <w:lang w:val="en-US" w:eastAsia="zh-CN"/>
        </w:rPr>
        <w:t xml:space="preserve">8.2 </w:t>
      </w:r>
      <w:r>
        <w:rPr>
          <w:rFonts w:hint="eastAsia" w:hAnsi="宋体" w:cs="Courier New"/>
          <w:color w:val="auto"/>
          <w:sz w:val="24"/>
          <w:szCs w:val="24"/>
          <w:highlight w:val="none"/>
        </w:rPr>
        <w:t xml:space="preserve">根据工业和信息化部关于印发《保障中小企业款项支付投诉处理暂行办法》的通知（工信部企业〔2021〕224 号），</w:t>
      </w:r>
      <w:r>
        <w:rPr>
          <w:rFonts w:hint="eastAsia" w:hAnsi="宋体" w:cs="Courier New"/>
          <w:color w:val="auto"/>
          <w:sz w:val="24"/>
          <w:szCs w:val="24"/>
          <w:highlight w:val="none"/>
          <w:lang w:val="en-US" w:eastAsia="zh-CN"/>
        </w:rPr>
        <w:t xml:space="preserve">甲方</w:t>
      </w:r>
      <w:r>
        <w:rPr>
          <w:rFonts w:hint="eastAsia" w:hAnsi="宋体" w:cs="Courier New"/>
          <w:color w:val="auto"/>
          <w:sz w:val="24"/>
          <w:szCs w:val="24"/>
          <w:highlight w:val="none"/>
        </w:rPr>
        <w:t xml:space="preserve">未按合同约定支付款项的，</w:t>
      </w:r>
      <w:r>
        <w:rPr>
          <w:rFonts w:hint="eastAsia" w:hAnsi="宋体" w:cs="Courier New"/>
          <w:color w:val="auto"/>
          <w:sz w:val="24"/>
          <w:szCs w:val="24"/>
          <w:highlight w:val="none"/>
          <w:lang w:val="en-US" w:eastAsia="zh-CN"/>
        </w:rPr>
        <w:t xml:space="preserve">乙方</w:t>
      </w:r>
      <w:r>
        <w:rPr>
          <w:rFonts w:hint="eastAsia" w:hAnsi="宋体" w:cs="Courier New"/>
          <w:color w:val="auto"/>
          <w:sz w:val="24"/>
          <w:szCs w:val="24"/>
          <w:highlight w:val="none"/>
        </w:rPr>
        <w:t xml:space="preserve">可以向有关部门投诉。</w:t>
      </w:r>
      <w:r/>
    </w:p>
    <w:p>
      <w:pPr>
        <w:pStyle w:val="938"/>
        <w:spacing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8.</w:t>
      </w:r>
      <w:r>
        <w:rPr>
          <w:rFonts w:hint="eastAsia" w:hAnsi="宋体" w:cs="Courier New"/>
          <w:color w:val="auto"/>
          <w:sz w:val="24"/>
          <w:szCs w:val="24"/>
          <w:highlight w:val="none"/>
          <w:lang w:val="en-US" w:eastAsia="zh-CN"/>
        </w:rPr>
        <w:t xml:space="preserve">3 </w:t>
      </w:r>
      <w:r>
        <w:rPr>
          <w:rFonts w:hint="eastAsia" w:hAnsi="宋体" w:cs="Courier New"/>
          <w:color w:val="auto"/>
          <w:sz w:val="24"/>
          <w:szCs w:val="24"/>
          <w:highlight w:val="none"/>
        </w:rPr>
        <w:t xml:space="preserve">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十、质量保修范围和保修期及售后服务</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10.1 乙方应按招标文件规定的货物性能、技术要求、质量标准向甲方提供未经使用的全新产品。</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10.2.1 更换：由乙方承担所发生的全部费用。</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10.2.2 贬值处理：由甲乙双方合议定价。</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10.3 如在使用过程中发生质量问题，乙方应在接到甲方通知后</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2</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小时内到达甲方现场。</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质保期内，乙方应对货物出现的质量及安全问题负责处理解决并承担一切费用。</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10.5 质保期为自交货验收合格之日起</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五</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年，因人为因素出现的故障不在质保范围内。超过质保期的乙方负责终生维修，维修时只收取部件成本费。</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十一、项目验收</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十二、货物的包装、发运及运输</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12.2 使用说明书、质量检验证明书、随配附件和工具以及清单一并附于货物内。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12.3 乙方在货物发运手续办理完毕后24小时内或货到甲方48小时前通知甲方，以准备接货。</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12.4 货物在交付甲方前发生的风险均由乙方负责。</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十三、违约责任</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13.1 甲方无正当理由拒收货物的，应向乙方偿付拒收货物总价款</w:t>
      </w: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rPr>
        <w:t xml:space="preserve">的违约金。</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13.2 甲方无故逾期验收和办理货款支付手续的，应按逾期付款总额每日</w:t>
      </w: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rPr>
        <w:t xml:space="preserve">向乙方支付违约金，但累计违约金不超货物总款的 </w:t>
      </w: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rPr>
        <w:t xml:space="preserve">。</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13.3 乙方逾期交付货物的，应按逾期交货总额每日</w:t>
      </w: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auto"/>
          <w:sz w:val="24"/>
          <w:szCs w:val="24"/>
          <w:highlight w:val="none"/>
          <w:u w:val="single"/>
        </w:rPr>
        <w:t xml:space="preserve">5%</w:t>
      </w:r>
      <w:r>
        <w:rPr>
          <w:rFonts w:hint="eastAsia" w:ascii="宋体" w:hAnsi="宋体" w:cs="Courier New"/>
          <w:color w:val="auto"/>
          <w:sz w:val="24"/>
          <w:szCs w:val="24"/>
          <w:highlight w:val="none"/>
        </w:rPr>
        <w:t xml:space="preserve">的违约金。 </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color w:val="auto"/>
          <w:highlight w:val="none"/>
        </w:rPr>
      </w:pPr>
      <w:r>
        <w:rPr>
          <w:rFonts w:hint="eastAsia" w:ascii="宋体" w:hAnsi="宋体" w:cs="Courier New"/>
          <w:color w:val="auto"/>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十四、不可抗力事件处理</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14.2 不可抗力事件发生后，应立即通知对方并寄送有关权威机构出具的证明。</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十五、解决争议的方法</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十六、合同生效及其它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16.1 本合同经双方加盖单位公章后生效。</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16.2 本合同未尽事宜，遵照《中华人民共和国民法典》《中华人民共和国政府采购法》有关条文执行。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16.3 本合同一式</w:t>
      </w:r>
      <w:r>
        <w:rPr>
          <w:rFonts w:hint="eastAsia" w:ascii="宋体" w:hAnsi="宋体" w:cs="Courier New"/>
          <w:color w:val="auto"/>
          <w:sz w:val="24"/>
          <w:szCs w:val="24"/>
          <w:highlight w:val="none"/>
          <w:lang w:val="en-US" w:eastAsia="zh-CN"/>
        </w:rPr>
        <w:t xml:space="preserve">肆</w:t>
      </w:r>
      <w:r>
        <w:rPr>
          <w:rFonts w:hint="eastAsia" w:ascii="宋体" w:hAnsi="宋体" w:cs="Courier New"/>
          <w:color w:val="auto"/>
          <w:sz w:val="24"/>
          <w:szCs w:val="24"/>
          <w:highlight w:val="none"/>
        </w:rPr>
        <w:t xml:space="preserve">份，具有同等法律效力，甲方、乙方各执</w:t>
      </w:r>
      <w:r>
        <w:rPr>
          <w:rFonts w:hint="eastAsia" w:ascii="宋体" w:hAnsi="宋体" w:cs="Courier New"/>
          <w:color w:val="auto"/>
          <w:sz w:val="24"/>
          <w:szCs w:val="24"/>
          <w:highlight w:val="none"/>
          <w:lang w:val="en-US" w:eastAsia="zh-CN"/>
        </w:rPr>
        <w:t xml:space="preserve">贰</w:t>
      </w:r>
      <w:r>
        <w:rPr>
          <w:rFonts w:hint="eastAsia" w:ascii="宋体" w:hAnsi="宋体" w:cs="Courier New"/>
          <w:color w:val="auto"/>
          <w:sz w:val="24"/>
          <w:szCs w:val="24"/>
          <w:highlight w:val="none"/>
        </w:rPr>
        <w:t xml:space="preserve">份。</w:t>
      </w:r>
      <w:bookmarkEnd w:id="61"/>
      <w:r/>
      <w:bookmarkEnd w:id="62"/>
      <w:r/>
      <w:bookmarkEnd w:id="63"/>
      <w:r/>
      <w:r/>
    </w:p>
    <w:p>
      <w:pPr>
        <w:pStyle w:val="938"/>
        <w:spacing w:before="120" w:after="120" w:line="264" w:lineRule="auto"/>
        <w:rPr>
          <w:rFonts w:hint="eastAsia" w:hAnsi="宋体" w:cs="Courier New"/>
          <w:color w:val="auto"/>
          <w:sz w:val="24"/>
          <w:szCs w:val="24"/>
          <w:highlight w:val="none"/>
        </w:rPr>
      </w:pPr>
      <w:r/>
      <w:bookmarkStart w:id="74" w:name="_Hlt16619369"/>
      <w:r/>
      <w:bookmarkEnd w:id="74"/>
      <w:r>
        <w:rPr>
          <w:rFonts w:hint="eastAsia" w:hAnsi="宋体" w:cs="Courier New"/>
          <w:color w:val="auto"/>
          <w:sz w:val="24"/>
          <w:szCs w:val="24"/>
          <w:highlight w:val="none"/>
        </w:rPr>
        <w:t xml:space="preserve">  </w:t>
      </w:r>
      <w:r/>
    </w:p>
    <w:p>
      <w:pPr>
        <w:pStyle w:val="938"/>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lang w:val="en-US" w:eastAsia="zh-CN"/>
        </w:rPr>
        <w:t xml:space="preserve">买  </w:t>
      </w:r>
      <w:r>
        <w:rPr>
          <w:rFonts w:hint="eastAsia" w:hAnsi="宋体" w:cs="Courier New"/>
          <w:color w:val="auto"/>
          <w:sz w:val="24"/>
          <w:szCs w:val="24"/>
          <w:highlight w:val="none"/>
        </w:rPr>
        <w:t xml:space="preserve">方：</w:t>
      </w:r>
      <w:r>
        <w:rPr>
          <w:rFonts w:hint="eastAsia" w:hAnsi="宋体" w:cs="Courier New"/>
          <w:color w:val="auto"/>
          <w:sz w:val="24"/>
          <w:szCs w:val="24"/>
          <w:highlight w:val="none"/>
          <w:lang w:eastAsia="zh-CN"/>
        </w:rPr>
        <w:t xml:space="preserve">（</w:t>
      </w:r>
      <w:r>
        <w:rPr>
          <w:rFonts w:hint="eastAsia" w:hAnsi="宋体" w:cs="Courier New"/>
          <w:color w:val="auto"/>
          <w:sz w:val="24"/>
          <w:szCs w:val="24"/>
          <w:highlight w:val="none"/>
          <w:lang w:val="en-US" w:eastAsia="zh-CN"/>
        </w:rPr>
        <w:t xml:space="preserve">公章</w:t>
      </w:r>
      <w:r>
        <w:rPr>
          <w:rFonts w:hint="eastAsia" w:hAnsi="宋体" w:cs="Courier New"/>
          <w:color w:val="auto"/>
          <w:sz w:val="24"/>
          <w:szCs w:val="24"/>
          <w:highlight w:val="none"/>
          <w:lang w:eastAsia="zh-CN"/>
        </w:rPr>
        <w:t xml:space="preserve">）</w:t>
      </w:r>
      <w:r>
        <w:rPr>
          <w:rFonts w:hint="eastAsia" w:hAnsi="宋体" w:cs="Courier New"/>
          <w:color w:val="auto"/>
          <w:sz w:val="24"/>
          <w:szCs w:val="24"/>
          <w:highlight w:val="none"/>
        </w:rPr>
        <w:t xml:space="preserve">                      </w:t>
      </w:r>
      <w:r>
        <w:rPr>
          <w:rFonts w:hint="eastAsia" w:hAnsi="宋体" w:cs="Courier New"/>
          <w:color w:val="auto"/>
          <w:sz w:val="24"/>
          <w:szCs w:val="24"/>
          <w:highlight w:val="none"/>
          <w:lang w:val="en-US" w:eastAsia="zh-CN"/>
        </w:rPr>
        <w:t xml:space="preserve"> 卖  </w:t>
      </w:r>
      <w:r>
        <w:rPr>
          <w:rFonts w:hint="eastAsia" w:hAnsi="宋体" w:cs="Courier New"/>
          <w:color w:val="auto"/>
          <w:sz w:val="24"/>
          <w:szCs w:val="24"/>
          <w:highlight w:val="none"/>
        </w:rPr>
        <w:t xml:space="preserve">方：</w:t>
      </w:r>
      <w:r>
        <w:rPr>
          <w:rFonts w:hint="eastAsia" w:hAnsi="宋体" w:cs="Courier New"/>
          <w:color w:val="auto"/>
          <w:sz w:val="24"/>
          <w:szCs w:val="24"/>
          <w:highlight w:val="none"/>
          <w:lang w:eastAsia="zh-CN"/>
        </w:rPr>
        <w:t xml:space="preserve">（</w:t>
      </w:r>
      <w:r>
        <w:rPr>
          <w:rFonts w:hint="eastAsia" w:hAnsi="宋体" w:cs="Courier New"/>
          <w:color w:val="auto"/>
          <w:sz w:val="24"/>
          <w:szCs w:val="24"/>
          <w:highlight w:val="none"/>
          <w:lang w:val="en-US" w:eastAsia="zh-CN"/>
        </w:rPr>
        <w:t xml:space="preserve">公章</w:t>
      </w:r>
      <w:r>
        <w:rPr>
          <w:rFonts w:hint="eastAsia" w:hAnsi="宋体" w:cs="Courier New"/>
          <w:color w:val="auto"/>
          <w:sz w:val="24"/>
          <w:szCs w:val="24"/>
          <w:highlight w:val="none"/>
          <w:lang w:eastAsia="zh-CN"/>
        </w:rPr>
        <w:t xml:space="preserve">）</w:t>
      </w:r>
      <w:r>
        <w:rPr>
          <w:rFonts w:hint="eastAsia" w:hAnsi="宋体" w:cs="Courier New"/>
          <w:color w:val="auto"/>
          <w:sz w:val="24"/>
          <w:szCs w:val="24"/>
          <w:highlight w:val="none"/>
        </w:rPr>
        <w:t xml:space="preserve"> </w:t>
      </w:r>
      <w:r/>
    </w:p>
    <w:p>
      <w:pPr>
        <w:pStyle w:val="938"/>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地</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址：                        </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地</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址： </w:t>
      </w:r>
      <w:r/>
    </w:p>
    <w:p>
      <w:pPr>
        <w:pStyle w:val="938"/>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法定代表人或授权代表：        </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法定代表人或授权代表：</w:t>
      </w:r>
      <w:r/>
    </w:p>
    <w:p>
      <w:pPr>
        <w:pStyle w:val="938"/>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联系电话：                    </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联系电话：          </w:t>
      </w:r>
      <w:r/>
    </w:p>
    <w:p>
      <w:pPr>
        <w:pStyle w:val="938"/>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 </w:t>
      </w:r>
      <w:r/>
    </w:p>
    <w:p>
      <w:pPr>
        <w:pStyle w:val="938"/>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r>
      <w:r/>
    </w:p>
    <w:p>
      <w:pPr>
        <w:pStyle w:val="938"/>
        <w:ind w:firstLine="4800"/>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r>
      <w:r/>
    </w:p>
    <w:p>
      <w:pPr>
        <w:pStyle w:val="938"/>
        <w:ind w:firstLine="4800"/>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r>
      <w:r/>
    </w:p>
    <w:p>
      <w:pPr>
        <w:pStyle w:val="938"/>
        <w:ind w:firstLine="4800"/>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r>
      <w:r/>
    </w:p>
    <w:p>
      <w:pPr>
        <w:pStyle w:val="938"/>
        <w:ind w:firstLine="4800"/>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r>
      <w:r/>
    </w:p>
    <w:p>
      <w:pPr>
        <w:pStyle w:val="938"/>
        <w:ind w:firstLine="4800"/>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签订日期：      </w:t>
      </w:r>
      <w:r/>
    </w:p>
    <w:p>
      <w:pPr>
        <w:jc w:val="center"/>
        <w:spacing w:before="145" w:after="145" w:line="264" w:lineRule="auto"/>
        <w:rPr>
          <w:rFonts w:hint="eastAsia" w:ascii="宋体" w:hAnsi="宋体"/>
          <w:b/>
          <w:color w:val="auto"/>
          <w:sz w:val="30"/>
          <w:szCs w:val="21"/>
          <w:highlight w:val="none"/>
        </w:rPr>
        <w:outlineLvl w:val="0"/>
      </w:pPr>
      <w:r>
        <w:rPr>
          <w:rFonts w:hint="eastAsia" w:ascii="宋体" w:hAnsi="宋体"/>
          <w:b/>
          <w:color w:val="auto"/>
          <w:sz w:val="30"/>
          <w:szCs w:val="21"/>
          <w:highlight w:val="none"/>
        </w:rPr>
      </w:r>
      <w:r/>
    </w:p>
    <w:p>
      <w:pP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rPr>
          <w:rFonts w:hint="eastAsia" w:ascii="方正小标宋简体" w:hAnsi="方正小标宋简体" w:eastAsia="方正小标宋简体" w:cs="方正小标宋简体"/>
          <w:bCs/>
          <w:color w:val="auto"/>
          <w:sz w:val="32"/>
          <w:szCs w:val="32"/>
          <w:highlight w:val="none"/>
        </w:rPr>
      </w:r>
      <w:r/>
    </w:p>
    <w:p>
      <w:pPr>
        <w:rPr>
          <w:rFonts w:hint="eastAsia" w:ascii="方正小标宋简体" w:hAnsi="方正小标宋简体" w:eastAsia="方正小标宋简体" w:cs="方正小标宋简体"/>
          <w:bCs/>
          <w:color w:val="auto"/>
          <w:sz w:val="32"/>
          <w:szCs w:val="32"/>
          <w:highlight w:val="none"/>
        </w:rPr>
      </w:pPr>
      <w:r/>
      <w:bookmarkStart w:id="75" w:name="_Toc21650"/>
      <w:r/>
      <w:bookmarkStart w:id="76" w:name="_Toc22483"/>
      <w:r>
        <w:rPr>
          <w:rFonts w:hint="eastAsia" w:ascii="方正小标宋简体" w:hAnsi="方正小标宋简体" w:eastAsia="方正小标宋简体" w:cs="方正小标宋简体"/>
          <w:bCs/>
          <w:color w:val="auto"/>
          <w:sz w:val="32"/>
          <w:szCs w:val="32"/>
          <w:highlight w:val="none"/>
        </w:rPr>
        <w:br w:type="page" w:clear="all"/>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rPr>
          <w:rFonts w:hint="eastAsia" w:ascii="方正小标宋简体" w:hAnsi="方正小标宋简体" w:eastAsia="方正小标宋简体" w:cs="方正小标宋简体"/>
          <w:bCs/>
          <w:color w:val="auto"/>
          <w:sz w:val="32"/>
          <w:szCs w:val="32"/>
          <w:highlight w:val="none"/>
        </w:rPr>
        <w:t xml:space="preserve">《*******合同》补充协议（合同附件）</w:t>
      </w:r>
      <w:bookmarkEnd w:id="75"/>
      <w:r/>
      <w:bookmarkEnd w:id="76"/>
      <w:r/>
      <w:r/>
    </w:p>
    <w:p>
      <w:pPr>
        <w:pStyle w:val="938"/>
        <w:ind w:firstLine="480"/>
        <w:jc w:val="left"/>
        <w:spacing w:before="120" w:after="120" w:line="264" w:lineRule="auto"/>
        <w:rPr>
          <w:rFonts w:hAnsi="宋体"/>
          <w:color w:val="auto"/>
          <w:sz w:val="24"/>
          <w:szCs w:val="24"/>
          <w:highlight w:val="none"/>
        </w:rPr>
      </w:pPr>
      <w:r>
        <w:rPr>
          <w:rFonts w:hint="eastAsia" w:hAnsi="宋体"/>
          <w:color w:val="auto"/>
          <w:sz w:val="24"/>
          <w:szCs w:val="24"/>
          <w:highlight w:val="none"/>
        </w:rPr>
        <w:t xml:space="preserve">招标文件及合同未约定事项，双方可友好协商签订补充协议。</w:t>
      </w:r>
      <w:r>
        <w:rPr>
          <w:rFonts w:hint="eastAsia" w:ascii="宋体" w:hAnsi="宋体" w:cs="宋体"/>
          <w:b/>
          <w:bCs/>
          <w:color w:val="auto"/>
          <w:sz w:val="32"/>
          <w:szCs w:val="32"/>
          <w:highlight w:val="none"/>
          <w:lang w:val="zh-CN"/>
        </w:rPr>
        <w:br w:type="page" w:clear="all"/>
      </w:r>
      <w:r/>
    </w:p>
    <w:p>
      <w:pPr>
        <w:jc w:val="center"/>
        <w:rPr>
          <w:rFonts w:ascii="宋体" w:hAnsi="宋体" w:cs="宋体"/>
          <w:color w:val="auto"/>
          <w:highlight w:val="none"/>
          <w:lang w:val="zh-CN"/>
        </w:rPr>
        <w:outlineLvl w:val="0"/>
      </w:pPr>
      <w:r/>
      <w:bookmarkStart w:id="77" w:name="_Toc14569"/>
      <w:r>
        <w:rPr>
          <w:rFonts w:hint="eastAsia" w:ascii="宋体" w:hAnsi="宋体" w:cs="宋体"/>
          <w:b/>
          <w:bCs/>
          <w:color w:val="auto"/>
          <w:sz w:val="32"/>
          <w:szCs w:val="32"/>
          <w:highlight w:val="none"/>
          <w:lang w:val="zh-CN"/>
        </w:rPr>
        <w:t xml:space="preserve">第六章 </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投标书格式</w:t>
      </w:r>
      <w:bookmarkEnd w:id="77"/>
      <w:r/>
      <w:r/>
    </w:p>
    <w:p>
      <w:pPr>
        <w:spacing w:line="440" w:lineRule="exact"/>
        <w:rPr>
          <w:rFonts w:ascii="Times New Roman" w:hAnsi="Times New Roman" w:eastAsia="黑体" w:cs="Times New Roman"/>
          <w:color w:val="auto"/>
          <w:sz w:val="20"/>
          <w:szCs w:val="20"/>
          <w:highlight w:val="none"/>
        </w:rPr>
      </w:pPr>
      <w:r>
        <w:rPr>
          <w:rFonts w:ascii="Times New Roman" w:hAnsi="Times New Roman" w:eastAsia="黑体" w:cs="Times New Roman"/>
          <w:color w:val="auto"/>
          <w:sz w:val="20"/>
          <w:szCs w:val="20"/>
          <w:highlight w:val="none"/>
        </w:rPr>
      </w:r>
      <w:r/>
    </w:p>
    <w:p>
      <w:pPr>
        <w:spacing w:line="440" w:lineRule="exact"/>
        <w:rPr>
          <w:rFonts w:ascii="Times New Roman" w:hAnsi="Times New Roman" w:eastAsia="黑体" w:cs="Times New Roman"/>
          <w:color w:val="auto"/>
          <w:sz w:val="20"/>
          <w:szCs w:val="20"/>
          <w:highlight w:val="none"/>
        </w:rPr>
      </w:pPr>
      <w:r>
        <w:rPr>
          <w:rFonts w:ascii="Times New Roman" w:hAnsi="Times New Roman" w:eastAsia="黑体" w:cs="Times New Roman"/>
          <w:color w:val="auto"/>
          <w:sz w:val="20"/>
          <w:szCs w:val="20"/>
          <w:highlight w:val="none"/>
        </w:rPr>
      </w:r>
      <w:r/>
    </w:p>
    <w:p>
      <w:pPr>
        <w:jc w:val="center"/>
        <w:rPr>
          <w:rFonts w:ascii="Times New Roman" w:hAnsi="Times New Roman" w:eastAsia="黑体" w:cs="Times New Roman"/>
          <w:color w:val="auto"/>
          <w:sz w:val="20"/>
          <w:szCs w:val="20"/>
          <w:highlight w:val="none"/>
        </w:rPr>
      </w:pPr>
      <w:r>
        <w:rPr>
          <w:rFonts w:ascii="Times New Roman" w:hAnsi="Times New Roman" w:eastAsia="黑体" w:cs="Times New Roman"/>
          <w:color w:val="auto"/>
          <w:sz w:val="28"/>
          <w:szCs w:val="28"/>
          <w:highlight w:val="none"/>
        </w:rPr>
        <w:t xml:space="preserve">（项目名称）</w:t>
      </w:r>
      <w:r/>
    </w:p>
    <w:p>
      <w:pPr>
        <w:jc w:val="center"/>
        <w:rPr>
          <w:rFonts w:ascii="Times New Roman" w:hAnsi="Times New Roman" w:eastAsia="黑体" w:cs="Times New Roman"/>
          <w:color w:val="auto"/>
          <w:sz w:val="20"/>
          <w:szCs w:val="20"/>
          <w:highlight w:val="none"/>
        </w:rPr>
      </w:pPr>
      <w:r>
        <w:rPr>
          <w:rFonts w:ascii="Times New Roman" w:hAnsi="Times New Roman" w:eastAsia="黑体" w:cs="Times New Roman"/>
          <w:color w:val="auto"/>
          <w:sz w:val="20"/>
          <w:szCs w:val="20"/>
          <w:highlight w:val="none"/>
        </w:rPr>
      </w:r>
      <w:r/>
    </w:p>
    <w:p>
      <w:pPr>
        <w:rPr>
          <w:rFonts w:ascii="Times New Roman" w:hAnsi="Times New Roman" w:eastAsia="黑体" w:cs="Times New Roman"/>
          <w:color w:val="auto"/>
          <w:sz w:val="20"/>
          <w:szCs w:val="20"/>
          <w:highlight w:val="none"/>
        </w:rPr>
      </w:pPr>
      <w:r>
        <w:rPr>
          <w:rFonts w:ascii="Times New Roman" w:hAnsi="Times New Roman" w:eastAsia="黑体" w:cs="Times New Roman"/>
          <w:color w:val="auto"/>
          <w:sz w:val="20"/>
          <w:szCs w:val="20"/>
          <w:highlight w:val="none"/>
        </w:rPr>
      </w:r>
      <w:r/>
    </w:p>
    <w:p>
      <w:pPr>
        <w:jc w:val="center"/>
        <w:rPr>
          <w:rFonts w:ascii="Times New Roman" w:hAnsi="Times New Roman" w:eastAsia="黑体" w:cs="Times New Roman"/>
          <w:color w:val="auto"/>
          <w:sz w:val="44"/>
          <w:szCs w:val="44"/>
          <w:highlight w:val="none"/>
        </w:rPr>
      </w:pPr>
      <w:r>
        <w:rPr>
          <w:rFonts w:ascii="Times New Roman" w:hAnsi="Times New Roman" w:eastAsia="黑体" w:cs="Times New Roman"/>
          <w:color w:val="auto"/>
          <w:sz w:val="44"/>
          <w:szCs w:val="44"/>
          <w:highlight w:val="none"/>
        </w:rPr>
      </w:r>
      <w:r/>
    </w:p>
    <w:p>
      <w:pPr>
        <w:jc w:val="center"/>
        <w:rPr>
          <w:rFonts w:ascii="Times New Roman" w:hAnsi="Times New Roman" w:eastAsia="黑体" w:cs="Times New Roman"/>
          <w:color w:val="auto"/>
          <w:sz w:val="44"/>
          <w:szCs w:val="44"/>
          <w:highlight w:val="none"/>
        </w:rPr>
      </w:pPr>
      <w:r>
        <w:rPr>
          <w:rFonts w:ascii="Times New Roman" w:hAnsi="Times New Roman" w:eastAsia="黑体" w:cs="Times New Roman"/>
          <w:color w:val="auto"/>
          <w:sz w:val="44"/>
          <w:szCs w:val="44"/>
          <w:highlight w:val="none"/>
        </w:rPr>
      </w:r>
      <w:r/>
    </w:p>
    <w:p>
      <w:pPr>
        <w:jc w:val="center"/>
        <w:rPr>
          <w:rFonts w:ascii="Times New Roman" w:hAnsi="Times New Roman" w:eastAsia="黑体" w:cs="Times New Roman"/>
          <w:color w:val="auto"/>
          <w:sz w:val="44"/>
          <w:szCs w:val="44"/>
          <w:highlight w:val="none"/>
        </w:rPr>
      </w:pPr>
      <w:r>
        <w:rPr>
          <w:rFonts w:ascii="Times New Roman" w:hAnsi="Times New Roman" w:eastAsia="黑体" w:cs="Times New Roman"/>
          <w:color w:val="auto"/>
          <w:sz w:val="44"/>
          <w:szCs w:val="44"/>
          <w:highlight w:val="none"/>
        </w:rPr>
      </w:r>
      <w:r/>
    </w:p>
    <w:p>
      <w:pPr>
        <w:jc w:val="center"/>
        <w:rPr>
          <w:rFonts w:ascii="Times New Roman" w:hAnsi="Times New Roman" w:eastAsia="黑体" w:cs="Times New Roman"/>
          <w:b/>
          <w:bCs/>
          <w:color w:val="auto"/>
          <w:sz w:val="44"/>
          <w:szCs w:val="44"/>
          <w:highlight w:val="none"/>
        </w:rPr>
      </w:pPr>
      <w:r>
        <w:rPr>
          <w:rFonts w:hint="eastAsia" w:ascii="宋体" w:hAnsi="宋体" w:eastAsia="宋体" w:cs="宋体"/>
          <w:b/>
          <w:bCs/>
          <w:color w:val="auto"/>
          <w:sz w:val="56"/>
          <w:szCs w:val="56"/>
          <w:highlight w:val="none"/>
        </w:rPr>
        <w:t xml:space="preserve">投</w:t>
      </w:r>
      <w:r>
        <w:rPr>
          <w:rFonts w:hint="eastAsia" w:ascii="宋体" w:hAnsi="宋体" w:eastAsia="宋体" w:cs="宋体"/>
          <w:b/>
          <w:bCs/>
          <w:color w:val="auto"/>
          <w:sz w:val="56"/>
          <w:szCs w:val="56"/>
          <w:highlight w:val="none"/>
          <w:lang w:val="en-US" w:eastAsia="zh-CN"/>
        </w:rPr>
        <w:t xml:space="preserve">  </w:t>
      </w:r>
      <w:r>
        <w:rPr>
          <w:rFonts w:hint="eastAsia" w:ascii="宋体" w:hAnsi="宋体" w:eastAsia="宋体" w:cs="宋体"/>
          <w:b/>
          <w:bCs/>
          <w:color w:val="auto"/>
          <w:sz w:val="56"/>
          <w:szCs w:val="56"/>
          <w:highlight w:val="none"/>
        </w:rPr>
        <w:t xml:space="preserve">标</w:t>
      </w:r>
      <w:r>
        <w:rPr>
          <w:rFonts w:hint="eastAsia" w:ascii="宋体" w:hAnsi="宋体" w:eastAsia="宋体" w:cs="宋体"/>
          <w:b/>
          <w:bCs/>
          <w:color w:val="auto"/>
          <w:sz w:val="56"/>
          <w:szCs w:val="56"/>
          <w:highlight w:val="none"/>
          <w:lang w:val="en-US" w:eastAsia="zh-CN"/>
        </w:rPr>
        <w:t xml:space="preserve">  </w:t>
      </w:r>
      <w:r>
        <w:rPr>
          <w:rFonts w:hint="eastAsia" w:ascii="宋体" w:hAnsi="宋体" w:eastAsia="宋体" w:cs="宋体"/>
          <w:b/>
          <w:bCs/>
          <w:color w:val="auto"/>
          <w:sz w:val="56"/>
          <w:szCs w:val="56"/>
          <w:highlight w:val="none"/>
        </w:rPr>
        <w:t xml:space="preserve">文</w:t>
      </w:r>
      <w:r>
        <w:rPr>
          <w:rFonts w:hint="eastAsia" w:ascii="宋体" w:hAnsi="宋体" w:eastAsia="宋体" w:cs="宋体"/>
          <w:b/>
          <w:bCs/>
          <w:color w:val="auto"/>
          <w:sz w:val="56"/>
          <w:szCs w:val="56"/>
          <w:highlight w:val="none"/>
          <w:lang w:val="en-US" w:eastAsia="zh-CN"/>
        </w:rPr>
        <w:t xml:space="preserve">  </w:t>
      </w:r>
      <w:r>
        <w:rPr>
          <w:rFonts w:hint="eastAsia" w:ascii="宋体" w:hAnsi="宋体" w:eastAsia="宋体" w:cs="宋体"/>
          <w:b/>
          <w:bCs/>
          <w:color w:val="auto"/>
          <w:sz w:val="56"/>
          <w:szCs w:val="56"/>
          <w:highlight w:val="none"/>
        </w:rPr>
        <w:t xml:space="preserve">件</w:t>
      </w:r>
      <w:r/>
    </w:p>
    <w:p>
      <w:pP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r>
      <w:r/>
    </w:p>
    <w:p>
      <w:pP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r>
      <w:r/>
    </w:p>
    <w:p>
      <w:pP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r>
      <w:r/>
    </w:p>
    <w:p>
      <w:pP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r>
      <w:r/>
    </w:p>
    <w:p>
      <w:pP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r>
      <w:r/>
    </w:p>
    <w:p>
      <w:pP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r>
      <w:r/>
    </w:p>
    <w:p>
      <w:pP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r>
      <w:r/>
    </w:p>
    <w:p>
      <w:pPr>
        <w:keepLines w:val="0"/>
        <w:keepNext w:val="0"/>
        <w:pageBreakBefore w:val="0"/>
        <w:spacing w:line="360" w:lineRule="auto"/>
        <w:widowControl/>
        <w:rPr>
          <w:rFonts w:ascii="Times New Roman" w:hAnsi="Times New Roman" w:eastAsia="黑体" w:cs="Times New Roman"/>
          <w:color w:val="auto"/>
          <w:sz w:val="36"/>
          <w:szCs w:val="36"/>
          <w:highlight w:val="none"/>
        </w:rPr>
      </w:pPr>
      <w:r>
        <w:rPr>
          <w:rFonts w:ascii="Times New Roman" w:hAnsi="Times New Roman" w:eastAsia="黑体" w:cs="Times New Roman"/>
          <w:color w:val="auto"/>
          <w:sz w:val="36"/>
          <w:szCs w:val="36"/>
          <w:highlight w:val="none"/>
        </w:rPr>
      </w:r>
      <w:r/>
    </w:p>
    <w:p>
      <w:pPr>
        <w:pStyle w:val="760"/>
        <w:ind w:left="0" w:right="0" w:firstLine="1084"/>
        <w:jc w:val="both"/>
        <w:keepLines w:val="0"/>
        <w:keepNext w:val="0"/>
        <w:pageBreakBefore w:val="0"/>
        <w:spacing w:before="0" w:beforeAutospacing="0" w:after="0" w:afterAutospacing="0" w:line="360" w:lineRule="auto"/>
        <w:widowControl/>
        <w:rPr>
          <w:rFonts w:ascii="宋体" w:hAnsi="宋体" w:eastAsia="宋体" w:cs="宋体"/>
          <w:b/>
          <w:bCs/>
          <w:color w:val="auto"/>
          <w:sz w:val="36"/>
          <w:szCs w:val="36"/>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项 目 名 称：</w:t>
      </w:r>
      <w:r>
        <w:rPr>
          <w:rFonts w:ascii="宋体" w:hAnsi="宋体" w:eastAsia="宋体" w:cs="宋体"/>
          <w:b/>
          <w:bCs/>
          <w:color w:val="auto"/>
          <w:sz w:val="36"/>
          <w:szCs w:val="36"/>
          <w:highlight w:val="none"/>
          <w:u w:val="single"/>
        </w:rPr>
        <w:t xml:space="preserve">             </w:t>
      </w:r>
      <w:r/>
    </w:p>
    <w:p>
      <w:pPr>
        <w:pStyle w:val="760"/>
        <w:ind w:left="0" w:firstLine="1084"/>
        <w:jc w:val="both"/>
        <w:keepLines w:val="0"/>
        <w:keepNext w:val="0"/>
        <w:pageBreakBefore w:val="0"/>
        <w:spacing w:before="0" w:beforeAutospacing="0" w:after="0" w:afterAutospacing="0" w:line="360" w:lineRule="auto"/>
        <w:widowControl/>
        <w:rPr>
          <w:rFonts w:ascii="宋体" w:hAnsi="宋体" w:eastAsia="宋体" w:cs="宋体"/>
          <w:b/>
          <w:bCs/>
          <w:color w:val="auto"/>
          <w:sz w:val="36"/>
          <w:szCs w:val="36"/>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招 标 编 号：</w:t>
      </w:r>
      <w:r>
        <w:rPr>
          <w:rFonts w:ascii="宋体" w:hAnsi="宋体" w:eastAsia="宋体" w:cs="宋体"/>
          <w:b/>
          <w:bCs/>
          <w:color w:val="auto"/>
          <w:sz w:val="36"/>
          <w:szCs w:val="36"/>
          <w:highlight w:val="none"/>
          <w:u w:val="single"/>
        </w:rPr>
        <w:t xml:space="preserve">             </w:t>
      </w:r>
      <w:r/>
    </w:p>
    <w:p>
      <w:pPr>
        <w:pStyle w:val="760"/>
        <w:ind w:left="0" w:firstLine="1084"/>
        <w:jc w:val="both"/>
        <w:keepLines w:val="0"/>
        <w:keepNext w:val="0"/>
        <w:pageBreakBefore w:val="0"/>
        <w:spacing w:before="0" w:beforeAutospacing="0" w:after="0" w:afterAutospacing="0" w:line="360" w:lineRule="auto"/>
        <w:widowControl/>
        <w:rPr>
          <w:rFonts w:hint="default" w:ascii="宋体" w:hAnsi="宋体" w:eastAsia="宋体" w:cs="宋体"/>
          <w:b/>
          <w:bCs/>
          <w:color w:val="auto"/>
          <w:sz w:val="36"/>
          <w:szCs w:val="36"/>
          <w:highlight w:val="none"/>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投标人名称 ：</w:t>
      </w:r>
      <w:r>
        <w:rPr>
          <w:rFonts w:hint="eastAsia" w:ascii="宋体" w:hAnsi="宋体" w:eastAsia="宋体" w:cs="宋体"/>
          <w:b/>
          <w:bCs/>
          <w:color w:val="auto"/>
          <w:sz w:val="36"/>
          <w:szCs w:val="36"/>
          <w:highlight w:val="none"/>
          <w:u w:val="single"/>
          <w:lang w:val="en-US" w:eastAsia="zh-CN"/>
        </w:rPr>
        <w:t xml:space="preserve">   </w:t>
      </w:r>
      <w:r>
        <w:rPr>
          <w:rFonts w:ascii="宋体" w:hAnsi="宋体" w:eastAsia="宋体" w:cs="宋体"/>
          <w:b/>
          <w:bCs/>
          <w:color w:val="auto"/>
          <w:sz w:val="36"/>
          <w:szCs w:val="36"/>
          <w:highlight w:val="none"/>
          <w:u w:val="single"/>
        </w:rPr>
        <w:t xml:space="preserve">（加盖CA电子公章）</w:t>
      </w:r>
      <w:r>
        <w:rPr>
          <w:rFonts w:hint="eastAsia" w:ascii="宋体" w:hAnsi="宋体" w:eastAsia="宋体" w:cs="宋体"/>
          <w:b/>
          <w:bCs/>
          <w:color w:val="auto"/>
          <w:sz w:val="36"/>
          <w:szCs w:val="36"/>
          <w:highlight w:val="none"/>
          <w:u w:val="single"/>
          <w:lang w:val="en-US" w:eastAsia="zh-CN"/>
        </w:rPr>
        <w:t xml:space="preserve">    </w:t>
      </w:r>
      <w:r/>
    </w:p>
    <w:p>
      <w:pPr>
        <w:jc w:val="left"/>
        <w:keepLines w:val="0"/>
        <w:keepNext w:val="0"/>
        <w:pageBreakBefore w:val="0"/>
        <w:spacing w:line="360" w:lineRule="auto"/>
        <w:widowControl/>
        <w:rPr>
          <w:rFonts w:ascii="宋体" w:hAnsi="宋体" w:eastAsia="宋体" w:cs="宋体"/>
          <w:b/>
          <w:bCs/>
          <w:color w:val="auto"/>
          <w:sz w:val="36"/>
          <w:szCs w:val="36"/>
          <w:highlight w:val="none"/>
          <w:u w:val="single"/>
        </w:rPr>
      </w:pPr>
      <w:r>
        <w:rPr>
          <w:rFonts w:ascii="宋体" w:hAnsi="宋体" w:eastAsia="宋体" w:cs="宋体"/>
          <w:b/>
          <w:bCs/>
          <w:color w:val="auto"/>
          <w:sz w:val="36"/>
          <w:szCs w:val="36"/>
          <w:highlight w:val="none"/>
        </w:rPr>
        <w:t xml:space="preserve">    </w:t>
      </w:r>
      <w:r>
        <w:rPr>
          <w:rFonts w:hint="eastAsia" w:ascii="宋体" w:hAnsi="宋体" w:cs="宋体"/>
          <w:b/>
          <w:bCs/>
          <w:color w:val="auto"/>
          <w:sz w:val="36"/>
          <w:szCs w:val="36"/>
          <w:highlight w:val="none"/>
          <w:lang w:val="en-US" w:eastAsia="zh-CN"/>
        </w:rPr>
        <w:t xml:space="preserve"> </w:t>
      </w:r>
      <w:r>
        <w:rPr>
          <w:rFonts w:ascii="宋体" w:hAnsi="宋体" w:eastAsia="宋体" w:cs="宋体"/>
          <w:b/>
          <w:bCs/>
          <w:color w:val="auto"/>
          <w:sz w:val="36"/>
          <w:szCs w:val="36"/>
          <w:highlight w:val="none"/>
        </w:rPr>
        <w:t xml:space="preserve">日期 ：</w:t>
      </w:r>
      <w:r>
        <w:rPr>
          <w:rFonts w:ascii="宋体" w:hAnsi="宋体" w:eastAsia="宋体" w:cs="宋体"/>
          <w:b/>
          <w:bCs/>
          <w:color w:val="auto"/>
          <w:sz w:val="36"/>
          <w:szCs w:val="36"/>
          <w:highlight w:val="none"/>
          <w:u w:val="single"/>
        </w:rPr>
        <w:t xml:space="preserve">        </w:t>
      </w:r>
      <w:r>
        <w:rPr>
          <w:rFonts w:hint="eastAsia" w:ascii="宋体" w:hAnsi="宋体" w:eastAsia="宋体" w:cs="宋体"/>
          <w:b/>
          <w:bCs/>
          <w:color w:val="auto"/>
          <w:sz w:val="36"/>
          <w:szCs w:val="36"/>
          <w:highlight w:val="none"/>
          <w:u w:val="single"/>
          <w:lang w:val="en-US" w:eastAsia="zh-CN"/>
        </w:rPr>
        <w:t xml:space="preserve">  </w:t>
      </w:r>
      <w:r>
        <w:rPr>
          <w:rFonts w:ascii="宋体" w:hAnsi="宋体" w:eastAsia="宋体" w:cs="宋体"/>
          <w:b/>
          <w:bCs/>
          <w:color w:val="auto"/>
          <w:sz w:val="36"/>
          <w:szCs w:val="36"/>
          <w:highlight w:val="none"/>
          <w:u w:val="single"/>
        </w:rPr>
        <w:t xml:space="preserve"> </w:t>
      </w:r>
      <w:r>
        <w:rPr>
          <w:rFonts w:hint="eastAsia" w:ascii="宋体" w:hAnsi="宋体" w:eastAsia="宋体" w:cs="宋体"/>
          <w:b/>
          <w:bCs/>
          <w:color w:val="auto"/>
          <w:sz w:val="36"/>
          <w:szCs w:val="36"/>
          <w:highlight w:val="none"/>
          <w:u w:val="single"/>
          <w:lang w:val="en-US" w:eastAsia="zh-CN"/>
        </w:rPr>
        <w:t xml:space="preserve">  </w:t>
      </w:r>
      <w:r>
        <w:rPr>
          <w:rFonts w:ascii="宋体" w:hAnsi="宋体" w:eastAsia="宋体" w:cs="宋体"/>
          <w:b/>
          <w:bCs/>
          <w:color w:val="auto"/>
          <w:sz w:val="36"/>
          <w:szCs w:val="36"/>
          <w:highlight w:val="none"/>
          <w:u w:val="single"/>
        </w:rPr>
        <w:t xml:space="preserve">     </w:t>
      </w:r>
      <w:r/>
    </w:p>
    <w:p>
      <w:pPr>
        <w:pStyle w:val="923"/>
        <w:rPr>
          <w:color w:val="auto"/>
          <w:highlight w:val="none"/>
        </w:rPr>
      </w:pPr>
      <w:r>
        <w:rPr>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ascii="Times New Roman" w:hAnsi="Times New Roman" w:cs="Times New Roman"/>
          <w:color w:val="auto"/>
          <w:highlight w:val="none"/>
        </w:rPr>
        <w:outlineLvl w:val="1"/>
      </w:pPr>
      <w:r/>
      <w:bookmarkStart w:id="78" w:name="_Toc11776"/>
      <w:r/>
      <w:bookmarkStart w:id="79" w:name="_Toc25434"/>
      <w:r>
        <w:rPr>
          <w:rFonts w:ascii="Times New Roman" w:hAnsi="Times New Roman" w:cs="Times New Roman"/>
          <w:b/>
          <w:bCs/>
          <w:color w:val="auto"/>
          <w:szCs w:val="21"/>
          <w:highlight w:val="none"/>
          <w:lang w:val="zh-CN"/>
        </w:rPr>
        <w:t xml:space="preserve">附件</w:t>
      </w:r>
      <w:r>
        <w:rPr>
          <w:rFonts w:hint="eastAsia" w:cs="Times New Roman"/>
          <w:b/>
          <w:bCs/>
          <w:color w:val="auto"/>
          <w:szCs w:val="21"/>
          <w:highlight w:val="none"/>
          <w:lang w:val="en-US" w:eastAsia="zh-CN"/>
        </w:rPr>
        <w:t xml:space="preserve">一</w:t>
      </w:r>
      <w:r>
        <w:rPr>
          <w:rFonts w:ascii="Times New Roman" w:hAnsi="Times New Roman" w:cs="Times New Roman"/>
          <w:b/>
          <w:bCs/>
          <w:color w:val="auto"/>
          <w:szCs w:val="21"/>
          <w:highlight w:val="none"/>
          <w:lang w:val="zh-CN"/>
        </w:rPr>
        <w:t xml:space="preserve">、</w:t>
      </w:r>
      <w:r>
        <w:rPr>
          <w:rFonts w:hint="default" w:ascii="Times New Roman" w:hAnsi="Times New Roman" w:cs="Times New Roman"/>
          <w:b/>
          <w:bCs/>
          <w:color w:val="auto"/>
          <w:szCs w:val="21"/>
          <w:highlight w:val="none"/>
        </w:rPr>
        <w:t xml:space="preserve">开标一览表</w:t>
      </w:r>
      <w:bookmarkEnd w:id="78"/>
      <w:r/>
      <w:bookmarkEnd w:id="79"/>
      <w:r/>
      <w:r/>
    </w:p>
    <w:p>
      <w:pPr>
        <w:rPr>
          <w:rFonts w:ascii="Times New Roman" w:hAnsi="Times New Roman" w:cs="Times New Roman"/>
          <w:b/>
          <w:bCs/>
          <w:color w:val="auto"/>
          <w:highlight w:val="none"/>
          <w:lang w:val="zh-CN"/>
        </w:rPr>
      </w:pPr>
      <w:r>
        <w:rPr>
          <w:rFonts w:ascii="Times New Roman" w:hAnsi="Times New Roman" w:cs="Times New Roman"/>
          <w:b/>
          <w:bCs/>
          <w:color w:val="auto"/>
          <w:highlight w:val="none"/>
          <w:lang w:val="zh-CN"/>
        </w:rPr>
      </w:r>
      <w:r/>
    </w:p>
    <w:p>
      <w:pPr>
        <w:jc w:val="center"/>
        <w:rPr>
          <w:rFonts w:ascii="Times New Roman" w:hAnsi="Times New Roman" w:cs="Times New Roman"/>
          <w:b/>
          <w:color w:val="auto"/>
          <w:sz w:val="36"/>
          <w:szCs w:val="36"/>
          <w:highlight w:val="none"/>
        </w:rPr>
      </w:pPr>
      <w:r>
        <w:rPr>
          <w:rFonts w:ascii="Times New Roman" w:hAnsi="Times New Roman" w:cs="Times New Roman"/>
          <w:b/>
          <w:color w:val="auto"/>
          <w:sz w:val="28"/>
          <w:szCs w:val="28"/>
          <w:highlight w:val="none"/>
        </w:rPr>
        <w:t xml:space="preserve">开标一览表（总价）</w:t>
      </w:r>
      <w:r/>
    </w:p>
    <w:p>
      <w:pPr>
        <w:jc w:val="center"/>
        <w:spacing w:line="360" w:lineRule="auto"/>
        <w:shd w:val="clear" w:color="auto" w:fill="ffffff"/>
        <w:widowControl/>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pStyle w:val="760"/>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投标人全称（CA公章）：供应商名称 </w:t>
      </w:r>
      <w:r/>
    </w:p>
    <w:p>
      <w:pPr>
        <w:pStyle w:val="760"/>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  </w:t>
      </w:r>
      <w:r/>
    </w:p>
    <w:p>
      <w:pPr>
        <w:pStyle w:val="760"/>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项目编号：</w:t>
      </w:r>
      <w:r/>
    </w:p>
    <w:p>
      <w:pPr>
        <w:pStyle w:val="760"/>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分包号 ：分包号</w:t>
      </w:r>
      <w:r/>
    </w:p>
    <w:tbl>
      <w:tblPr>
        <w:tblStyle w:val="725"/>
        <w:tblW w:w="8671"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60"/>
        <w:gridCol w:w="4311"/>
      </w:tblGrid>
      <w:tr>
        <w:trPr>
          <w:cantSplit/>
          <w:trHeight w:val="860"/>
        </w:trPr>
        <w:tc>
          <w:tcPr>
            <w:tcW w:w="4360" w:type="dxa"/>
            <w:vAlign w:val="center"/>
            <w:textDirection w:val="lrTb"/>
            <w:noWrap w:val="false"/>
          </w:tcPr>
          <w:p>
            <w:pPr>
              <w:pStyle w:val="728"/>
              <w:ind w:firstLine="0"/>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投标项目名称 </w:t>
            </w:r>
            <w:r/>
          </w:p>
        </w:tc>
        <w:tc>
          <w:tcPr>
            <w:tcW w:w="4311" w:type="dxa"/>
            <w:vAlign w:val="center"/>
            <w:textDirection w:val="lrTb"/>
            <w:noWrap w:val="false"/>
          </w:tcPr>
          <w:p>
            <w:pPr>
              <w:pStyle w:val="728"/>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                    </w:t>
            </w:r>
            <w:r/>
          </w:p>
        </w:tc>
      </w:tr>
      <w:tr>
        <w:trPr>
          <w:trHeight w:val="829"/>
        </w:trPr>
        <w:tc>
          <w:tcPr>
            <w:tcW w:w="4360" w:type="dxa"/>
            <w:vAlign w:val="center"/>
            <w:textDirection w:val="lrTb"/>
            <w:noWrap w:val="false"/>
          </w:tcPr>
          <w:p>
            <w:pPr>
              <w:pStyle w:val="728"/>
              <w:ind w:firstLine="0"/>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 </w:t>
            </w:r>
            <w:r/>
          </w:p>
        </w:tc>
        <w:tc>
          <w:tcPr>
            <w:tcW w:w="4311" w:type="dxa"/>
            <w:vAlign w:val="center"/>
            <w:textDirection w:val="lrTb"/>
            <w:noWrap w:val="false"/>
          </w:tcPr>
          <w:p>
            <w:pPr>
              <w:pStyle w:val="728"/>
              <w:ind w:left="0" w:firstLine="0"/>
              <w:keepLines w:val="0"/>
              <w:keepNext w:val="0"/>
              <w:pageBreakBefore w:val="0"/>
              <w:spacing w:line="360" w:lineRule="auto"/>
              <w:widowControl/>
              <w:tabs>
                <w:tab w:val="left" w:pos="3624" w:leader="none"/>
              </w:tabs>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               元</w:t>
            </w:r>
            <w:r/>
          </w:p>
        </w:tc>
      </w:tr>
    </w:tbl>
    <w:p>
      <w:p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keepLines w:val="0"/>
        <w:keepNext w:val="0"/>
        <w:pageBreakBefore w:val="0"/>
        <w:spacing w:line="36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日</w:t>
      </w:r>
      <w:r>
        <w:rPr>
          <w:rFonts w:hint="eastAsia" w:ascii="宋体" w:hAnsi="宋体" w:eastAsia="宋体" w:cs="宋体"/>
          <w:color w:val="auto"/>
          <w:sz w:val="24"/>
          <w:szCs w:val="24"/>
          <w:highlight w:val="none"/>
          <w:u w:val="none"/>
          <w:lang w:val="en-US" w:eastAsia="zh-CN"/>
        </w:rPr>
        <w:br w:type="page" w:clear="all"/>
      </w:r>
      <w:r/>
    </w:p>
    <w:p>
      <w:pPr>
        <w:jc w:val="left"/>
        <w:spacing w:line="360" w:lineRule="auto"/>
        <w:shd w:val="clear" w:color="auto" w:fill="ffffff"/>
        <w:widowControl/>
        <w:rPr>
          <w:rFonts w:ascii="Times New Roman" w:hAnsi="Times New Roman" w:cs="Times New Roman"/>
          <w:b/>
          <w:bCs/>
          <w:color w:val="auto"/>
          <w:szCs w:val="21"/>
          <w:highlight w:val="none"/>
          <w:lang w:val="zh-CN"/>
        </w:rPr>
        <w:outlineLvl w:val="1"/>
      </w:pPr>
      <w:r/>
      <w:bookmarkStart w:id="80" w:name="_Toc7254"/>
      <w:r/>
      <w:bookmarkStart w:id="81" w:name="_Toc14449"/>
      <w:r>
        <w:rPr>
          <w:rFonts w:hint="eastAsia" w:ascii="Times New Roman" w:hAnsi="Times New Roman" w:cs="Times New Roman"/>
          <w:b/>
          <w:bCs/>
          <w:color w:val="auto"/>
          <w:szCs w:val="21"/>
          <w:highlight w:val="none"/>
          <w:lang w:val="en-US" w:eastAsia="zh-CN"/>
        </w:rPr>
        <w:t xml:space="preserve">附件二、</w:t>
      </w:r>
      <w:r>
        <w:rPr>
          <w:rFonts w:ascii="Times New Roman" w:hAnsi="Times New Roman" w:cs="Times New Roman"/>
          <w:b/>
          <w:bCs/>
          <w:color w:val="auto"/>
          <w:szCs w:val="21"/>
          <w:highlight w:val="none"/>
          <w:lang w:val="zh-CN"/>
        </w:rPr>
        <w:t xml:space="preserve">分项报价表格式</w:t>
      </w:r>
      <w:bookmarkEnd w:id="80"/>
      <w:r/>
      <w:bookmarkEnd w:id="81"/>
      <w:r/>
      <w:r/>
    </w:p>
    <w:p>
      <w:pPr>
        <w:jc w:val="left"/>
        <w:spacing w:line="240" w:lineRule="atLeast"/>
        <w:widowControl/>
        <w:rPr>
          <w:rFonts w:ascii="Times New Roman" w:hAnsi="Times New Roman" w:cs="Times New Roman"/>
          <w:b/>
          <w:bCs/>
          <w:color w:val="auto"/>
          <w:highlight w:val="none"/>
          <w:lang w:val="zh-CN"/>
        </w:rPr>
      </w:pPr>
      <w:r>
        <w:rPr>
          <w:rFonts w:ascii="Times New Roman" w:hAnsi="Times New Roman" w:cs="Times New Roman"/>
          <w:b/>
          <w:bCs/>
          <w:color w:val="auto"/>
          <w:highlight w:val="none"/>
          <w:lang w:val="zh-CN"/>
        </w:rPr>
      </w:r>
      <w:r/>
    </w:p>
    <w:p>
      <w:pPr>
        <w:jc w:val="center"/>
        <w:spacing w:line="360" w:lineRule="auto"/>
        <w:shd w:val="clear" w:color="auto" w:fill="ffffff"/>
        <w:widowControl/>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t xml:space="preserve">分项报价表</w:t>
      </w:r>
      <w:r/>
    </w:p>
    <w:tbl>
      <w:tblPr>
        <w:tblStyle w:val="725"/>
        <w:tblW w:w="90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
        <w:gridCol w:w="1121"/>
        <w:gridCol w:w="877"/>
        <w:gridCol w:w="1618"/>
        <w:gridCol w:w="1329"/>
        <w:gridCol w:w="750"/>
        <w:gridCol w:w="741"/>
        <w:gridCol w:w="723"/>
        <w:gridCol w:w="1320"/>
      </w:tblGrid>
      <w:tr>
        <w:trPr>
          <w:cantSplit/>
          <w:trHeight w:val="541"/>
        </w:trPr>
        <w:tc>
          <w:tcPr>
            <w:tcW w:w="525" w:type="dxa"/>
            <w:vAlign w:val="center"/>
            <w:vMerge w:val="restart"/>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112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87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32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75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tcW w:w="74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72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132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8</w:t>
            </w:r>
            <w:r/>
          </w:p>
        </w:tc>
      </w:tr>
      <w:tr>
        <w:trPr>
          <w:cantSplit/>
          <w:trHeight w:val="620"/>
        </w:trPr>
        <w:tc>
          <w:tcPr>
            <w:tcW w:w="525"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2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产品名称</w:t>
            </w:r>
            <w:r/>
          </w:p>
        </w:tc>
        <w:tc>
          <w:tcPr>
            <w:tcW w:w="87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规格或型号</w:t>
            </w:r>
            <w:r/>
          </w:p>
        </w:tc>
        <w:tc>
          <w:tcPr>
            <w:tcW w:w="132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交付期（天）</w:t>
            </w:r>
            <w:r/>
          </w:p>
        </w:tc>
        <w:tc>
          <w:tcPr>
            <w:tcW w:w="75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74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72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13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51"/>
        </w:trPr>
        <w:tc>
          <w:tcPr>
            <w:tcW w:w="52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12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7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2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4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1"/>
        </w:trPr>
        <w:tc>
          <w:tcPr>
            <w:tcW w:w="52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12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7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2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4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1"/>
        </w:trPr>
        <w:tc>
          <w:tcPr>
            <w:tcW w:w="52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12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7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2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4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1"/>
        </w:trPr>
        <w:tc>
          <w:tcPr>
            <w:tcW w:w="525"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8"/>
            <w:tcW w:w="8480"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投标总价（元）：</w:t>
            </w:r>
            <w:r/>
          </w:p>
        </w:tc>
      </w:tr>
    </w:tbl>
    <w:p>
      <w:pPr>
        <w:jc w:val="left"/>
        <w:spacing w:line="360" w:lineRule="auto"/>
        <w:shd w:val="clear" w:color="auto" w:fill="ffffff"/>
        <w:widowControl/>
        <w:rPr>
          <w:rFonts w:ascii="Times New Roman" w:hAnsi="Times New Roman" w:cs="Times New Roman"/>
          <w:color w:val="auto"/>
          <w:highlight w:val="none"/>
        </w:rPr>
      </w:pPr>
      <w:r>
        <w:rPr>
          <w:rFonts w:ascii="Times New Roman" w:hAnsi="Times New Roman" w:cs="Times New Roman"/>
          <w:color w:val="auto"/>
          <w:highlight w:val="none"/>
        </w:rPr>
      </w:r>
      <w:r/>
    </w:p>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jc w:val="left"/>
        <w:spacing w:line="360" w:lineRule="auto"/>
        <w:shd w:val="clear" w:color="auto" w:fill="ffffff"/>
        <w:widowControl/>
        <w:rPr>
          <w:rFonts w:ascii="Times New Roman" w:hAnsi="Times New Roman" w:cs="Times New Roman"/>
          <w:color w:val="auto"/>
          <w:szCs w:val="21"/>
          <w:highlight w:val="none"/>
        </w:rPr>
      </w:pPr>
      <w:r>
        <w:rPr>
          <w:rFonts w:hint="eastAsia" w:cs="Times New Roman"/>
          <w:color w:val="auto"/>
          <w:szCs w:val="21"/>
          <w:highlight w:val="none"/>
          <w:lang w:eastAsia="zh-CN"/>
        </w:rPr>
        <w:t xml:space="preserve">投标单位（</w:t>
      </w:r>
      <w:r>
        <w:rPr>
          <w:rFonts w:hint="eastAsia" w:ascii="宋体" w:hAnsi="宋体" w:eastAsia="宋体" w:cs="宋体"/>
          <w:color w:val="auto"/>
          <w:szCs w:val="21"/>
          <w:highlight w:val="none"/>
          <w:lang w:eastAsia="zh-CN"/>
        </w:rPr>
        <w:t xml:space="preserve">加盖CA电子公章</w:t>
      </w:r>
      <w:r>
        <w:rPr>
          <w:rFonts w:hint="eastAsia" w:cs="Times New Roman"/>
          <w:color w:val="auto"/>
          <w:szCs w:val="21"/>
          <w:highlight w:val="none"/>
          <w:lang w:eastAsia="zh-CN"/>
        </w:rPr>
        <w:t xml:space="preserve">）：      </w:t>
      </w:r>
      <w:r/>
    </w:p>
    <w:p>
      <w:pPr>
        <w:jc w:val="left"/>
        <w:spacing w:line="360" w:lineRule="auto"/>
        <w:shd w:val="clear" w:color="auto" w:fill="ffffff"/>
        <w:widowControl/>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备注：</w:t>
      </w:r>
      <w:r/>
    </w:p>
    <w:p>
      <w:pPr>
        <w:pStyle w:val="937"/>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1.“投标报价”应包括为完成整个项目所产生的所有费用，招标文件另有规定的除外。</w:t>
      </w:r>
      <w:r/>
    </w:p>
    <w:p>
      <w:pPr>
        <w:pStyle w:val="937"/>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2.《投标分项报价表》中“投标总价”应当与《开标一览表》中“投标总报价”一致。</w:t>
      </w:r>
      <w:r/>
    </w:p>
    <w:p>
      <w:pPr>
        <w:pStyle w:val="937"/>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3.供应商所投产品须与“第四章-项目清单”中的产品一一对应，如有缺项、漏项或者超出单价上限，视为无效投标。“项目清单”中分项仅为一项的，此表无需提供。</w:t>
      </w:r>
      <w:r/>
    </w:p>
    <w:p>
      <w:pPr>
        <w:pStyle w:val="937"/>
        <w:ind w:firstLine="480"/>
        <w:jc w:val="both"/>
        <w:spacing w:before="0" w:beforeAutospacing="0" w:after="0" w:afterAutospacing="0" w:line="360" w:lineRule="auto"/>
        <w:rPr>
          <w:color w:val="auto"/>
          <w:highlight w:val="none"/>
        </w:rPr>
      </w:pPr>
      <w:r>
        <w:rPr>
          <w:rFonts w:hint="eastAsia"/>
          <w:color w:val="auto"/>
          <w:highlight w:val="none"/>
        </w:rPr>
        <w:t xml:space="preserve">4.行数不够，可自行添加。</w:t>
      </w:r>
      <w:r>
        <w:rPr>
          <w:rFonts w:ascii="Times New Roman" w:hAnsi="Times New Roman" w:cs="Times New Roman"/>
          <w:color w:val="auto"/>
          <w:highlight w:val="none"/>
        </w:rPr>
        <w:br w:type="page" w:clear="all"/>
      </w:r>
      <w:r/>
    </w:p>
    <w:p>
      <w:pPr>
        <w:keepLines w:val="0"/>
        <w:keepNext w:val="0"/>
        <w:pageBreakBefore w:val="0"/>
        <w:spacing w:line="360" w:lineRule="auto"/>
        <w:widowControl/>
        <w:rPr>
          <w:rFonts w:hint="eastAsia" w:ascii="Times New Roman" w:hAnsi="Times New Roman" w:eastAsia="宋体" w:cs="Times New Roman"/>
          <w:color w:val="auto"/>
          <w:szCs w:val="21"/>
          <w:highlight w:val="none"/>
          <w:lang w:val="en-US" w:eastAsia="zh-CN"/>
        </w:rPr>
        <w:outlineLvl w:val="1"/>
      </w:pPr>
      <w:r/>
      <w:bookmarkStart w:id="82" w:name="_Toc17252"/>
      <w:r/>
      <w:bookmarkStart w:id="83" w:name="_Toc3251"/>
      <w:r>
        <w:rPr>
          <w:rFonts w:ascii="Times New Roman" w:hAnsi="Times New Roman" w:cs="Times New Roman"/>
          <w:b/>
          <w:bCs/>
          <w:color w:val="auto"/>
          <w:szCs w:val="21"/>
          <w:highlight w:val="none"/>
        </w:rPr>
        <w:t xml:space="preserve">附件</w:t>
      </w:r>
      <w:r>
        <w:rPr>
          <w:rFonts w:hint="eastAsia" w:cs="Times New Roman"/>
          <w:b/>
          <w:bCs/>
          <w:color w:val="auto"/>
          <w:szCs w:val="21"/>
          <w:highlight w:val="none"/>
          <w:lang w:val="en-US" w:eastAsia="zh-CN"/>
        </w:rPr>
        <w:t xml:space="preserve">三</w:t>
      </w:r>
      <w:r>
        <w:rPr>
          <w:rFonts w:ascii="Times New Roman" w:hAnsi="Times New Roman" w:cs="Times New Roman"/>
          <w:b/>
          <w:bCs/>
          <w:color w:val="auto"/>
          <w:szCs w:val="21"/>
          <w:highlight w:val="none"/>
        </w:rPr>
        <w:t xml:space="preserve">、投标</w:t>
      </w:r>
      <w:r>
        <w:rPr>
          <w:rFonts w:hint="eastAsia" w:cs="Times New Roman"/>
          <w:b/>
          <w:bCs/>
          <w:color w:val="auto"/>
          <w:szCs w:val="21"/>
          <w:highlight w:val="none"/>
          <w:lang w:val="en-US" w:eastAsia="zh-CN"/>
        </w:rPr>
        <w:t xml:space="preserve">函</w:t>
      </w:r>
      <w:bookmarkEnd w:id="82"/>
      <w:r/>
      <w:bookmarkEnd w:id="83"/>
      <w:r/>
      <w:r/>
    </w:p>
    <w:p>
      <w:pPr>
        <w:pStyle w:val="943"/>
        <w:jc w:val="center"/>
        <w:keepLines w:val="0"/>
        <w:keepNext w:val="0"/>
        <w:pageBreakBefore w:val="0"/>
        <w:spacing w:before="0" w:after="0" w:line="360" w:lineRule="auto"/>
        <w:widowControl/>
        <w:rPr>
          <w:rFonts w:hint="eastAsia" w:ascii="宋体" w:hAnsi="宋体" w:eastAsia="宋体" w:cs="宋体"/>
          <w:b/>
          <w:bCs/>
          <w:color w:val="auto"/>
          <w:sz w:val="28"/>
          <w:szCs w:val="22"/>
          <w:highlight w:val="none"/>
        </w:rPr>
      </w:pPr>
      <w:r>
        <w:rPr>
          <w:rFonts w:hint="eastAsia" w:ascii="宋体" w:hAnsi="宋体" w:eastAsia="宋体" w:cs="宋体"/>
          <w:b/>
          <w:bCs/>
          <w:color w:val="auto"/>
          <w:sz w:val="28"/>
          <w:szCs w:val="22"/>
          <w:highlight w:val="none"/>
        </w:rPr>
        <w:t xml:space="preserve">投标函</w:t>
      </w:r>
      <w:r/>
    </w:p>
    <w:p>
      <w:pPr>
        <w:pStyle w:val="943"/>
        <w:keepLines w:val="0"/>
        <w:keepNext w:val="0"/>
        <w:pageBreakBefore w:val="0"/>
        <w:spacing w:before="0"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cs="宋体"/>
          <w:color w:val="auto"/>
          <w:sz w:val="24"/>
          <w:szCs w:val="24"/>
          <w:highlight w:val="none"/>
          <w:lang w:eastAsia="zh-CN"/>
        </w:rPr>
        <w:t xml:space="preserve">南京江北新区管委会教育和社会保障局</w:t>
      </w:r>
      <w:r>
        <w:rPr>
          <w:rFonts w:hint="eastAsia" w:ascii="宋体" w:hAnsi="宋体" w:eastAsia="宋体" w:cs="宋体"/>
          <w:color w:val="auto"/>
          <w:sz w:val="24"/>
          <w:szCs w:val="24"/>
          <w:highlight w:val="none"/>
          <w:lang w:val="en-US" w:eastAsia="zh-CN"/>
        </w:rPr>
        <w:t xml:space="preserve"> </w:t>
      </w:r>
      <w:r/>
    </w:p>
    <w:p>
      <w:pPr>
        <w:pStyle w:val="943"/>
        <w:keepLines w:val="0"/>
        <w:keepNext w:val="0"/>
        <w:pageBreakBefore w:val="0"/>
        <w:spacing w:before="0"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根据贵方的</w:t>
      </w:r>
      <w:r>
        <w:rPr>
          <w:rFonts w:hint="eastAsia" w:ascii="宋体" w:hAnsi="宋体" w:cs="宋体"/>
          <w:i w:val="0"/>
          <w:iCs w:val="0"/>
          <w:caps w:val="0"/>
          <w:color w:val="auto"/>
          <w:spacing w:val="0"/>
          <w:sz w:val="24"/>
          <w:szCs w:val="21"/>
          <w:highlight w:val="none"/>
          <w:u w:val="single"/>
          <w:shd w:val="clear" w:color="auto"/>
          <w:lang w:eastAsia="zh-CN"/>
        </w:rPr>
        <w:t xml:space="preserve">JSZC-320192-NJNZ-G2026-0004</w:t>
      </w:r>
      <w:r>
        <w:rPr>
          <w:rFonts w:hint="eastAsia" w:ascii="宋体" w:hAnsi="宋体" w:eastAsia="宋体" w:cs="宋体"/>
          <w:color w:val="auto"/>
          <w:szCs w:val="21"/>
          <w:highlight w:val="none"/>
        </w:rPr>
        <w:t xml:space="preserve">号招标文件，正式授权下述签字人</w:t>
      </w:r>
      <w:r>
        <w:rPr>
          <w:rFonts w:hint="eastAsia" w:ascii="宋体" w:hAnsi="宋体" w:eastAsia="宋体" w:cs="宋体"/>
          <w:color w:val="auto"/>
          <w:highlight w:val="none"/>
          <w:u w:val="single"/>
        </w:rPr>
        <w:t xml:space="preserve">         </w:t>
      </w:r>
      <w:r>
        <w:rPr>
          <w:rFonts w:hint="eastAsia" w:ascii="宋体" w:hAnsi="宋体" w:eastAsia="宋体" w:cs="宋体"/>
          <w:color w:val="auto"/>
          <w:szCs w:val="21"/>
          <w:highlight w:val="none"/>
        </w:rPr>
        <w:t xml:space="preserve">(姓名)代表我方</w:t>
      </w:r>
      <w:r>
        <w:rPr>
          <w:rFonts w:hint="eastAsia" w:ascii="宋体" w:hAnsi="宋体" w:eastAsia="宋体" w:cs="宋体"/>
          <w:color w:val="auto"/>
          <w:highlight w:val="none"/>
          <w:u w:val="single"/>
        </w:rPr>
        <w:t xml:space="preserve">                   </w:t>
      </w:r>
      <w:r>
        <w:rPr>
          <w:rFonts w:hint="eastAsia" w:ascii="宋体" w:hAnsi="宋体" w:eastAsia="宋体" w:cs="宋体"/>
          <w:color w:val="auto"/>
          <w:szCs w:val="21"/>
          <w:highlight w:val="none"/>
        </w:rPr>
        <w:t xml:space="preserve">（投标人的名称），全权处理本次项目投标的有关事宜。</w:t>
      </w:r>
      <w:r/>
    </w:p>
    <w:p>
      <w:pPr>
        <w:pStyle w:val="943"/>
        <w:keepLines w:val="0"/>
        <w:keepNext w:val="0"/>
        <w:pageBreakBefore w:val="0"/>
        <w:spacing w:before="0"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据此函，</w:t>
      </w:r>
      <w:r>
        <w:rPr>
          <w:rFonts w:hint="eastAsia" w:ascii="宋体" w:hAnsi="宋体" w:eastAsia="宋体" w:cs="宋体"/>
          <w:color w:val="auto"/>
          <w:highlight w:val="none"/>
          <w:u w:val="single"/>
        </w:rPr>
        <w:t xml:space="preserve">            </w:t>
      </w:r>
      <w:r>
        <w:rPr>
          <w:rFonts w:hint="eastAsia" w:ascii="宋体" w:hAnsi="宋体" w:eastAsia="宋体" w:cs="宋体"/>
          <w:color w:val="auto"/>
          <w:szCs w:val="21"/>
          <w:highlight w:val="none"/>
        </w:rPr>
        <w:t xml:space="preserve">签字人兹宣布同意如下：</w:t>
      </w:r>
      <w:r/>
    </w:p>
    <w:p>
      <w:pPr>
        <w:pStyle w:val="943"/>
        <w:keepLines w:val="0"/>
        <w:keepNext w:val="0"/>
        <w:pageBreakBefore w:val="0"/>
        <w:spacing w:before="0"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1.按招标文件规定的各项要求，向买方提供所需服务（包含与服务相关的货物）。</w:t>
      </w:r>
      <w:r/>
    </w:p>
    <w:p>
      <w:pPr>
        <w:pStyle w:val="943"/>
        <w:keepLines w:val="0"/>
        <w:keepNext w:val="0"/>
        <w:pageBreakBefore w:val="0"/>
        <w:spacing w:before="0"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943"/>
        <w:keepLines w:val="0"/>
        <w:keepNext w:val="0"/>
        <w:pageBreakBefore w:val="0"/>
        <w:spacing w:before="0"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943"/>
        <w:keepLines w:val="0"/>
        <w:keepNext w:val="0"/>
        <w:pageBreakBefore w:val="0"/>
        <w:spacing w:before="0"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943"/>
        <w:keepLines w:val="0"/>
        <w:keepNext w:val="0"/>
        <w:pageBreakBefore w:val="0"/>
        <w:spacing w:before="0"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943"/>
        <w:keepLines w:val="0"/>
        <w:keepNext w:val="0"/>
        <w:pageBreakBefore w:val="0"/>
        <w:spacing w:before="0"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pStyle w:val="943"/>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7.我方为:□大型企业 □中型企业 □小型企业 □微型企业(对应□上打“√”)</w:t>
      </w:r>
      <w:r/>
    </w:p>
    <w:p>
      <w:pPr>
        <w:ind w:firstLine="4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与本投标有关的正式联系方式为：</w:t>
      </w:r>
      <w:r/>
    </w:p>
    <w:p>
      <w:pPr>
        <w:ind w:firstLine="4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银行账号：</w:t>
      </w:r>
      <w:r>
        <w:rPr>
          <w:rFonts w:hint="eastAsia" w:ascii="宋体" w:hAnsi="宋体" w:eastAsia="宋体" w:cs="宋体"/>
          <w:color w:val="auto"/>
          <w:sz w:val="24"/>
          <w:szCs w:val="24"/>
          <w:highlight w:val="none"/>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jc w:val="left"/>
        <w:keepLines w:val="0"/>
        <w:keepNext w:val="0"/>
        <w:pageBreakBefore w:val="0"/>
        <w:spacing w:line="360" w:lineRule="auto"/>
        <w:widowControl/>
        <w:rPr>
          <w:rFonts w:ascii="Times New Roman" w:hAnsi="Times New Roman" w:cs="Times New Roman"/>
          <w:b/>
          <w:bCs/>
          <w:color w:val="auto"/>
          <w:highlight w:val="none"/>
          <w14:ligatures w14:val="none"/>
        </w:rPr>
      </w:pPr>
      <w:r>
        <w:rPr>
          <w:rFonts w:hint="eastAsia" w:ascii="宋体" w:hAnsi="宋体" w:eastAsia="宋体" w:cs="宋体"/>
          <w:color w:val="auto"/>
          <w:sz w:val="24"/>
          <w:szCs w:val="24"/>
          <w:highlight w:val="none"/>
        </w:rPr>
        <w:t xml:space="preserve">    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rPr>
          <w:rFonts w:ascii="Times New Roman" w:hAnsi="Times New Roman" w:cs="Times New Roman"/>
          <w:b/>
          <w:bCs/>
          <w:color w:val="auto"/>
          <w:szCs w:val="21"/>
          <w:highlight w:val="none"/>
        </w:rPr>
        <w:br w:type="page" w:clear="all"/>
      </w:r>
      <w:bookmarkStart w:id="84" w:name="_Toc23793"/>
      <w:r/>
      <w:bookmarkStart w:id="85" w:name="_Toc22871"/>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四</w:t>
      </w:r>
      <w:r>
        <w:rPr>
          <w:rFonts w:ascii="Times New Roman" w:hAnsi="Times New Roman" w:cs="Times New Roman"/>
          <w:b/>
          <w:bCs/>
          <w:color w:val="auto"/>
          <w:highlight w:val="none"/>
        </w:rPr>
        <w:t xml:space="preserve">、法人授权书格式</w:t>
      </w:r>
      <w:bookmarkEnd w:id="84"/>
      <w:r/>
      <w:bookmarkEnd w:id="85"/>
      <w:r/>
      <w:r/>
    </w:p>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jc w:val="center"/>
        <w:spacing w:line="360" w:lineRule="auto"/>
        <w:rPr>
          <w:rFonts w:hint="eastAsia" w:ascii="宋体" w:hAnsi="宋体" w:eastAsia="宋体" w:cs="宋体"/>
          <w:b/>
          <w:bCs/>
          <w:color w:val="auto"/>
          <w:sz w:val="28"/>
          <w:szCs w:val="28"/>
          <w:highlight w:val="none"/>
          <w:lang w:val="zh-CN"/>
        </w:rPr>
        <w:outlineLvl w:val="9"/>
      </w:pPr>
      <w:r/>
      <w:bookmarkStart w:id="86" w:name="_Toc12264"/>
      <w:r>
        <w:rPr>
          <w:rFonts w:hint="eastAsia" w:ascii="宋体" w:hAnsi="宋体" w:eastAsia="宋体" w:cs="宋体"/>
          <w:b/>
          <w:bCs/>
          <w:color w:val="auto"/>
          <w:sz w:val="28"/>
          <w:szCs w:val="28"/>
          <w:highlight w:val="none"/>
          <w:lang w:val="zh-CN"/>
        </w:rPr>
        <w:t xml:space="preserve">法人授权书</w:t>
      </w:r>
      <w:r/>
    </w:p>
    <w:p>
      <w:pPr>
        <w:pStyle w:val="942"/>
        <w:ind w:firstLine="480"/>
        <w:keepLines w:val="0"/>
        <w:keepNext w:val="0"/>
        <w:pageBreakBefore w:val="0"/>
        <w:spacing w:after="0" w:line="480" w:lineRule="auto"/>
        <w:widowControl/>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（被授权人的姓名）为我方就</w:t>
      </w:r>
      <w:r>
        <w:rPr>
          <w:rFonts w:hint="eastAsia" w:ascii="宋体" w:hAnsi="宋体" w:cs="宋体"/>
          <w:i w:val="0"/>
          <w:iCs w:val="0"/>
          <w:caps w:val="0"/>
          <w:color w:val="auto"/>
          <w:spacing w:val="0"/>
          <w:sz w:val="24"/>
          <w:szCs w:val="24"/>
          <w:highlight w:val="none"/>
          <w:u w:val="single"/>
          <w:shd w:val="clear" w:color="auto"/>
          <w:lang w:eastAsia="zh-CN"/>
        </w:rPr>
        <w:t xml:space="preserve">JSZC-320192-NJNZ-G2026-0004</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pStyle w:val="942"/>
        <w:ind w:firstLine="480"/>
        <w:keepLines w:val="0"/>
        <w:keepNext w:val="0"/>
        <w:pageBreakBefore w:val="0"/>
        <w:spacing w:after="0" w:line="480" w:lineRule="auto"/>
        <w:widowControl/>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942"/>
        <w:ind w:firstLine="0"/>
        <w:keepLines w:val="0"/>
        <w:keepNext w:val="0"/>
        <w:pageBreakBefore w:val="0"/>
        <w:spacing w:after="0" w:line="480" w:lineRule="auto"/>
        <w:widowControl/>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942"/>
        <w:ind w:firstLine="0"/>
        <w:keepLines w:val="0"/>
        <w:keepNext w:val="0"/>
        <w:pageBreakBefore w:val="0"/>
        <w:spacing w:after="0" w:line="480" w:lineRule="auto"/>
        <w:widowControl/>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942"/>
        <w:ind w:firstLine="480"/>
        <w:keepLines w:val="0"/>
        <w:keepNext w:val="0"/>
        <w:pageBreakBefore w:val="0"/>
        <w:spacing w:after="0" w:line="480" w:lineRule="auto"/>
        <w:widowControl/>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              </w:t>
      </w:r>
      <w:r/>
    </w:p>
    <w:p>
      <w:pPr>
        <w:pStyle w:val="942"/>
        <w:ind w:firstLine="480"/>
        <w:keepLines w:val="0"/>
        <w:keepNext w:val="0"/>
        <w:pageBreakBefore w:val="0"/>
        <w:spacing w:after="0" w:line="480" w:lineRule="auto"/>
        <w:widowControl/>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pStyle w:val="942"/>
        <w:ind w:firstLine="480"/>
        <w:keepLines w:val="0"/>
        <w:keepNext w:val="0"/>
        <w:pageBreakBefore w:val="0"/>
        <w:spacing w:after="0" w:line="480" w:lineRule="auto"/>
        <w:widowControl/>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Start w:id="87" w:name="_格式3__银行出具的资信证明"/>
      <w:r/>
      <w:bookmarkEnd w:id="87"/>
      <w:r/>
      <w:bookmarkStart w:id="88" w:name="_Hlt26955070"/>
      <w:r/>
      <w:bookmarkEnd w:id="88"/>
      <w:r/>
      <w:bookmarkStart w:id="89" w:name="_Hlt26671380"/>
      <w:r/>
      <w:bookmarkEnd w:id="89"/>
      <w:r>
        <w:rPr>
          <w:rFonts w:hint="eastAsia" w:ascii="宋体" w:hAnsi="宋体" w:eastAsia="宋体" w:cs="宋体"/>
          <w:color w:val="auto"/>
          <w:sz w:val="24"/>
          <w:szCs w:val="24"/>
          <w:highlight w:val="none"/>
          <w:u w:val="single"/>
        </w:rPr>
        <w:t xml:space="preserve">                                         </w:t>
      </w:r>
      <w:r>
        <w:rPr>
          <w:rFonts w:hint="eastAsia" w:ascii="宋体" w:hAnsi="宋体" w:eastAsia="宋体" w:cs="宋体"/>
          <w:i/>
          <w:color w:val="auto"/>
          <w:sz w:val="24"/>
          <w:szCs w:val="24"/>
          <w:highlight w:val="none"/>
          <w:u w:val="single"/>
        </w:rPr>
        <w:br w:type="page" w:clear="all"/>
      </w:r>
      <w:r/>
    </w:p>
    <w:p>
      <w:pPr>
        <w:keepLines w:val="0"/>
        <w:keepNext w:val="0"/>
        <w:pageBreakBefore w:val="0"/>
        <w:spacing w:line="360" w:lineRule="auto"/>
        <w:widowControl/>
        <w:rPr>
          <w:rFonts w:ascii="Times New Roman" w:hAnsi="Times New Roman" w:cs="Times New Roman"/>
          <w:color w:val="auto"/>
          <w:szCs w:val="21"/>
          <w:highlight w:val="none"/>
        </w:rPr>
        <w:outlineLvl w:val="1"/>
      </w:pPr>
      <w:r/>
      <w:bookmarkStart w:id="90" w:name="_Toc19941"/>
      <w:r/>
      <w:bookmarkStart w:id="91" w:name="_Toc13001"/>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五</w:t>
      </w:r>
      <w:r>
        <w:rPr>
          <w:rFonts w:ascii="Times New Roman" w:hAnsi="Times New Roman" w:cs="Times New Roman"/>
          <w:b/>
          <w:bCs/>
          <w:color w:val="auto"/>
          <w:highlight w:val="none"/>
        </w:rPr>
        <w:t xml:space="preserve">、</w:t>
      </w:r>
      <w:r>
        <w:rPr>
          <w:rFonts w:ascii="Times New Roman" w:hAnsi="Times New Roman" w:cs="Times New Roman"/>
          <w:b/>
          <w:bCs/>
          <w:color w:val="auto"/>
          <w:highlight w:val="none"/>
          <w:lang w:val="en-US" w:eastAsia="zh-CN"/>
        </w:rPr>
        <w:t xml:space="preserve">技术要求响应及偏离表</w:t>
      </w:r>
      <w:bookmarkEnd w:id="90"/>
      <w:r/>
      <w:bookmarkEnd w:id="91"/>
      <w:r/>
      <w:r/>
    </w:p>
    <w:p>
      <w:pPr>
        <w:ind w:left="435"/>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 w:val="24"/>
          <w:highlight w:val="none"/>
        </w:rPr>
        <w:t xml:space="preserve"> </w:t>
      </w:r>
      <w:r/>
    </w:p>
    <w:p>
      <w:pPr>
        <w:ind w:left="420"/>
        <w:jc w:val="center"/>
        <w:spacing w:line="360" w:lineRule="auto"/>
        <w:shd w:val="clear" w:color="auto" w:fill="ffffff"/>
        <w:widowControl/>
        <w:rPr>
          <w:rFonts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lang w:val="en-US" w:eastAsia="zh-CN"/>
        </w:rPr>
        <w:t xml:space="preserve">技术要求响应及偏离表</w:t>
      </w:r>
      <w:r/>
    </w:p>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w:t>
      </w:r>
      <w:r/>
    </w:p>
    <w:p>
      <w:pPr>
        <w:ind w:firstLine="84"/>
        <w:jc w:val="left"/>
        <w:spacing w:line="360" w:lineRule="auto"/>
        <w:widowControl/>
        <w:tabs>
          <w:tab w:val="left" w:pos="5397" w:leader="none"/>
        </w:tabs>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项目名称：</w:t>
      </w:r>
      <w:r>
        <w:rPr>
          <w:rFonts w:ascii="Times New Roman" w:hAnsi="Times New Roman" w:cs="Times New Roman"/>
          <w:color w:val="auto"/>
          <w:szCs w:val="21"/>
          <w:highlight w:val="none"/>
        </w:rPr>
        <w:tab/>
      </w:r>
      <w:r>
        <w:rPr>
          <w:rFonts w:ascii="Times New Roman" w:hAnsi="Times New Roman" w:cs="Times New Roman"/>
          <w:color w:val="auto"/>
          <w:szCs w:val="21"/>
          <w:highlight w:val="none"/>
        </w:rPr>
        <w:t xml:space="preserve">项目编号：  </w:t>
      </w:r>
      <w:r/>
    </w:p>
    <w:tbl>
      <w:tblPr>
        <w:tblStyle w:val="725"/>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rPr>
                <w:rFonts w:ascii="Times New Roman" w:hAnsi="Times New Roman" w:cs="Times New Roman"/>
                <w:b/>
                <w:color w:val="auto"/>
                <w:szCs w:val="21"/>
                <w:highlight w:val="none"/>
              </w:rPr>
            </w:pPr>
            <w:r>
              <w:rPr>
                <w:rFonts w:hint="eastAsia" w:ascii="宋体" w:hAnsi="宋体"/>
                <w:color w:val="auto"/>
                <w:sz w:val="24"/>
                <w:szCs w:val="24"/>
                <w:highlight w:val="none"/>
              </w:rPr>
              <w:t xml:space="preserve">序号</w:t>
            </w:r>
            <w:r/>
          </w:p>
        </w:tc>
        <w:tc>
          <w:tcPr>
            <w:tcMar>
              <w:left w:w="10" w:type="dxa"/>
              <w:top w:w="0" w:type="dxa"/>
              <w:right w:w="10" w:type="dxa"/>
              <w:bottom w:w="0" w:type="dxa"/>
            </w:tcMar>
            <w:tcW w:w="1678" w:type="dxa"/>
            <w:vAlign w:val="center"/>
            <w:textDirection w:val="lrTb"/>
            <w:noWrap w:val="false"/>
          </w:tcPr>
          <w:p>
            <w:pPr>
              <w:jc w:val="center"/>
              <w:rPr>
                <w:rFonts w:hint="eastAsia" w:ascii="Times New Roman" w:hAnsi="Times New Roman" w:eastAsia="宋体" w:cs="Times New Roman"/>
                <w:b/>
                <w:color w:val="auto"/>
                <w:szCs w:val="21"/>
                <w:highlight w:val="none"/>
                <w:lang w:eastAsia="zh-CN"/>
              </w:rPr>
            </w:pPr>
            <w:r>
              <w:rPr>
                <w:rFonts w:hint="eastAsia" w:ascii="宋体" w:hAnsi="宋体"/>
                <w:color w:val="auto"/>
                <w:sz w:val="24"/>
                <w:szCs w:val="24"/>
                <w:highlight w:val="none"/>
              </w:rPr>
              <w:t xml:space="preserve">招标文件要求</w:t>
            </w:r>
            <w:r/>
          </w:p>
        </w:tc>
        <w:tc>
          <w:tcPr>
            <w:tcMar>
              <w:left w:w="10" w:type="dxa"/>
              <w:top w:w="0" w:type="dxa"/>
              <w:right w:w="10" w:type="dxa"/>
              <w:bottom w:w="0" w:type="dxa"/>
            </w:tcMar>
            <w:tcW w:w="1931" w:type="dxa"/>
            <w:vAlign w:val="center"/>
            <w:textDirection w:val="lrTb"/>
            <w:noWrap w:val="false"/>
          </w:tcPr>
          <w:p>
            <w:pPr>
              <w:jc w:val="center"/>
              <w:rPr>
                <w:rFonts w:hint="default" w:ascii="Times New Roman" w:hAnsi="Times New Roman" w:eastAsia="宋体" w:cs="Times New Roman"/>
                <w:b/>
                <w:color w:val="auto"/>
                <w:szCs w:val="21"/>
                <w:highlight w:val="none"/>
                <w:lang w:val="en-US" w:eastAsia="zh-CN"/>
              </w:rPr>
            </w:pPr>
            <w:r>
              <w:rPr>
                <w:rFonts w:hint="eastAsia" w:ascii="宋体" w:hAnsi="宋体"/>
                <w:color w:val="auto"/>
                <w:sz w:val="24"/>
                <w:szCs w:val="24"/>
                <w:highlight w:val="none"/>
              </w:rPr>
              <w:t xml:space="preserve">投标响应情况</w:t>
            </w:r>
            <w:r/>
          </w:p>
        </w:tc>
        <w:tc>
          <w:tcPr>
            <w:tcMar>
              <w:left w:w="10" w:type="dxa"/>
              <w:top w:w="0" w:type="dxa"/>
              <w:right w:w="10" w:type="dxa"/>
              <w:bottom w:w="0" w:type="dxa"/>
            </w:tcMar>
            <w:tcW w:w="3012" w:type="dxa"/>
            <w:vAlign w:val="center"/>
            <w:textDirection w:val="lrTb"/>
            <w:noWrap w:val="false"/>
          </w:tcPr>
          <w:p>
            <w:pPr>
              <w:jc w:val="center"/>
              <w:spacing w:line="480" w:lineRule="exact"/>
              <w:rPr>
                <w:rFonts w:ascii="Times New Roman" w:hAnsi="Times New Roman" w:cs="Times New Roman"/>
                <w:b/>
                <w:color w:val="auto"/>
                <w:szCs w:val="21"/>
                <w:highlight w:val="none"/>
              </w:rPr>
            </w:pPr>
            <w:r>
              <w:rPr>
                <w:rFonts w:hint="eastAsia" w:cs="宋体"/>
                <w:color w:val="auto"/>
                <w:sz w:val="24"/>
                <w:szCs w:val="24"/>
                <w:highlight w:val="none"/>
              </w:rPr>
              <w:t xml:space="preserve">正偏离、无偏离或负偏离</w:t>
            </w:r>
            <w:r/>
          </w:p>
        </w:tc>
        <w:tc>
          <w:tcPr>
            <w:tcMar>
              <w:left w:w="10" w:type="dxa"/>
              <w:top w:w="0" w:type="dxa"/>
              <w:right w:w="10" w:type="dxa"/>
              <w:bottom w:w="0" w:type="dxa"/>
            </w:tcMar>
            <w:tcW w:w="1246" w:type="dxa"/>
            <w:vAlign w:val="center"/>
            <w:textDirection w:val="lrTb"/>
            <w:noWrap w:val="false"/>
          </w:tcPr>
          <w:p>
            <w:pPr>
              <w:jc w:val="center"/>
              <w:rPr>
                <w:rFonts w:ascii="Times New Roman" w:hAnsi="Times New Roman" w:cs="Times New Roman"/>
                <w:b/>
                <w:color w:val="auto"/>
                <w:szCs w:val="21"/>
                <w:highlight w:val="none"/>
              </w:rPr>
            </w:pPr>
            <w:r>
              <w:rPr>
                <w:rFonts w:hint="eastAsia" w:ascii="宋体" w:hAnsi="宋体"/>
                <w:color w:val="auto"/>
                <w:sz w:val="24"/>
                <w:szCs w:val="24"/>
                <w:highlight w:val="none"/>
              </w:rPr>
              <w:t xml:space="preserve">序号</w:t>
            </w:r>
            <w:r/>
          </w:p>
        </w:tc>
      </w:tr>
      <w:tr>
        <w:trPr>
          <w:jc w:val="center"/>
          <w:trHeight w:val="284"/>
        </w:trPr>
        <w:tc>
          <w:tcPr>
            <w:tcMar>
              <w:left w:w="10" w:type="dxa"/>
              <w:top w:w="0" w:type="dxa"/>
              <w:right w:w="10" w:type="dxa"/>
              <w:bottom w:w="0" w:type="dxa"/>
            </w:tcMar>
            <w:tcW w:w="64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93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1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46"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64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93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1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46"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64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93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1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46"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64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93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1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46"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64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93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1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46"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64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93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1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46"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bl>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pStyle w:val="760"/>
        <w:ind w:left="0" w:right="0"/>
        <w:keepLines w:val="0"/>
        <w:keepNext w:val="0"/>
        <w:spacing w:before="0" w:beforeAutospacing="0" w:after="0" w:afterAutospacing="0" w:line="85"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shd w:val="clear" w:color="auto" w:fill="ffffff"/>
        </w:rPr>
        <w:t xml:space="preserve">说明：招标文件技术部分内容响应存在正偏离或负偏离的，请在本表中逐条列出。未列出的，视为响应招标文件要求。如果行数不够，请自行增加。</w:t>
      </w:r>
      <w:r/>
    </w:p>
    <w:p>
      <w:pPr>
        <w:pStyle w:val="760"/>
        <w:keepLines w:val="0"/>
        <w:keepNext w:val="0"/>
        <w:spacing w:before="0" w:beforeAutospacing="0" w:after="0" w:afterAutospacing="0" w:line="85"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1"/>
          <w:szCs w:val="21"/>
          <w:highlight w:val="none"/>
          <w:shd w:val="clear" w:color="auto" w:fill="ffffff"/>
        </w:rPr>
        <w:t xml:space="preserve"> </w:t>
      </w:r>
      <w:r/>
    </w:p>
    <w:p>
      <w:pPr>
        <w:pStyle w:val="760"/>
        <w:keepLines w:val="0"/>
        <w:keepNext w:val="0"/>
        <w:spacing w:before="0" w:beforeAutospacing="0" w:after="0" w:afterAutospacing="0" w:line="85"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1"/>
          <w:szCs w:val="21"/>
          <w:highlight w:val="none"/>
          <w:shd w:val="clear" w:color="auto" w:fill="ffffff"/>
        </w:rPr>
        <w:t xml:space="preserve"> </w:t>
      </w:r>
      <w:r/>
    </w:p>
    <w:p>
      <w:pPr>
        <w:pStyle w:val="760"/>
        <w:keepLines w:val="0"/>
        <w:keepNext w:val="0"/>
        <w:spacing w:before="0" w:beforeAutospacing="0" w:after="0" w:afterAutospacing="0" w:line="85"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1"/>
          <w:szCs w:val="21"/>
          <w:highlight w:val="none"/>
          <w:shd w:val="clear" w:color="auto" w:fill="ffffff"/>
        </w:rPr>
        <w:t xml:space="preserve"> </w:t>
      </w:r>
      <w:r/>
    </w:p>
    <w:p>
      <w:pPr>
        <w:jc w:val="left"/>
        <w:spacing w:line="360" w:lineRule="auto"/>
        <w:shd w:val="clear" w:color="auto" w:fill="ffffff"/>
        <w:widowControl/>
        <w:rPr>
          <w:rFonts w:ascii="Times New Roman" w:hAnsi="Times New Roman" w:cs="Times New Roman"/>
          <w:color w:val="auto"/>
          <w:szCs w:val="21"/>
          <w:highlight w:val="none"/>
        </w:rPr>
      </w:pPr>
      <w:r>
        <w:rPr>
          <w:rFonts w:ascii="宋体" w:hAnsi="宋体" w:eastAsia="宋体" w:cs="宋体"/>
          <w:color w:val="auto"/>
          <w:sz w:val="21"/>
          <w:szCs w:val="21"/>
          <w:highlight w:val="none"/>
        </w:rPr>
        <w:t xml:space="preserve">投标单位（加盖</w:t>
      </w:r>
      <w:r>
        <w:rPr>
          <w:rFonts w:hint="default" w:ascii="Times New Roman" w:hAnsi="Times New Roman" w:eastAsia="宋体" w:cs="Times New Roman"/>
          <w:color w:val="auto"/>
          <w:sz w:val="21"/>
          <w:szCs w:val="21"/>
          <w:highlight w:val="none"/>
        </w:rPr>
        <w:t xml:space="preserve">CA</w:t>
      </w:r>
      <w:r>
        <w:rPr>
          <w:rFonts w:ascii="宋体" w:hAnsi="宋体" w:eastAsia="宋体" w:cs="宋体"/>
          <w:color w:val="auto"/>
          <w:sz w:val="21"/>
          <w:szCs w:val="21"/>
          <w:highlight w:val="none"/>
        </w:rPr>
        <w:t xml:space="preserve">电子公章）：</w:t>
      </w:r>
      <w:r>
        <w:rPr>
          <w:rFonts w:hint="default" w:ascii="Times New Roman" w:hAnsi="Times New Roman" w:eastAsia="宋体" w:cs="Times New Roman"/>
          <w:color w:val="auto"/>
          <w:sz w:val="21"/>
          <w:szCs w:val="21"/>
          <w:highlight w:val="none"/>
        </w:rPr>
        <w:t xml:space="preserve"> </w:t>
      </w:r>
      <w:r/>
    </w:p>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w:t>
      </w:r>
      <w:r/>
    </w:p>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w:t>
      </w:r>
      <w:r/>
    </w:p>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w:t>
      </w:r>
      <w:r/>
    </w:p>
    <w:p>
      <w:pPr>
        <w:keepLines w:val="0"/>
        <w:keepNext w:val="0"/>
        <w:pageBreakBefore w:val="0"/>
        <w:spacing w:line="360" w:lineRule="auto"/>
        <w:widowControl/>
        <w:rPr>
          <w:rFonts w:ascii="Times New Roman" w:hAnsi="Times New Roman" w:cs="Times New Roman"/>
          <w:color w:val="auto"/>
          <w:szCs w:val="21"/>
          <w:highlight w:val="none"/>
        </w:rPr>
        <w:outlineLvl w:val="1"/>
      </w:pPr>
      <w:r>
        <w:rPr>
          <w:rFonts w:ascii="Times New Roman" w:hAnsi="Times New Roman" w:cs="Times New Roman"/>
          <w:b/>
          <w:bCs/>
          <w:color w:val="auto"/>
          <w:szCs w:val="21"/>
          <w:highlight w:val="none"/>
        </w:rPr>
        <w:br w:type="page" w:clear="all"/>
      </w:r>
      <w:bookmarkStart w:id="92" w:name="_Toc21888"/>
      <w:r/>
      <w:bookmarkStart w:id="93" w:name="_Toc17644"/>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六</w:t>
      </w:r>
      <w:r>
        <w:rPr>
          <w:rFonts w:ascii="Times New Roman" w:hAnsi="Times New Roman" w:cs="Times New Roman"/>
          <w:b/>
          <w:bCs/>
          <w:color w:val="auto"/>
          <w:highlight w:val="none"/>
        </w:rPr>
        <w:t xml:space="preserve">、商务要求响应偏离表</w:t>
      </w:r>
      <w:bookmarkEnd w:id="92"/>
      <w:r/>
      <w:bookmarkEnd w:id="93"/>
      <w:r/>
      <w:r/>
    </w:p>
    <w:p>
      <w:pPr>
        <w:ind w:firstLine="420"/>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w:t>
      </w:r>
      <w:r/>
    </w:p>
    <w:p>
      <w:pPr>
        <w:jc w:val="center"/>
        <w:spacing w:line="360" w:lineRule="auto"/>
        <w:shd w:val="clear" w:color="auto" w:fill="ffffff"/>
        <w:widowControl/>
        <w:rPr>
          <w:rFonts w:ascii="Times New Roman" w:hAnsi="Times New Roman" w:cs="Times New Roman"/>
          <w:color w:val="auto"/>
          <w:szCs w:val="21"/>
          <w:highlight w:val="none"/>
        </w:rPr>
      </w:pPr>
      <w:r>
        <w:rPr>
          <w:rFonts w:hint="default" w:ascii="Times New Roman" w:hAnsi="Times New Roman" w:cs="Times New Roman"/>
          <w:b/>
          <w:color w:val="auto"/>
          <w:sz w:val="28"/>
          <w:szCs w:val="28"/>
          <w:highlight w:val="none"/>
        </w:rPr>
        <w:t xml:space="preserve">商务要求响应偏离表</w:t>
      </w:r>
      <w:r/>
    </w:p>
    <w:p>
      <w:pPr>
        <w:ind w:firstLine="96"/>
        <w:jc w:val="left"/>
        <w:spacing w:line="360" w:lineRule="auto"/>
        <w:widowControl/>
        <w:tabs>
          <w:tab w:val="left" w:pos="5366" w:leader="none"/>
        </w:tabs>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项目名称：</w:t>
      </w:r>
      <w:r>
        <w:rPr>
          <w:rFonts w:ascii="Times New Roman" w:hAnsi="Times New Roman" w:cs="Times New Roman"/>
          <w:color w:val="auto"/>
          <w:szCs w:val="21"/>
          <w:highlight w:val="none"/>
        </w:rPr>
        <w:tab/>
      </w:r>
      <w:r>
        <w:rPr>
          <w:rFonts w:ascii="Times New Roman" w:hAnsi="Times New Roman" w:cs="Times New Roman"/>
          <w:color w:val="auto"/>
          <w:szCs w:val="21"/>
          <w:highlight w:val="none"/>
        </w:rPr>
        <w:t xml:space="preserve">项目编号：         </w:t>
      </w:r>
      <w:r/>
    </w:p>
    <w:tbl>
      <w:tblPr>
        <w:tblStyle w:val="725"/>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rPr>
                <w:rFonts w:ascii="Times New Roman" w:hAnsi="Times New Roman" w:cs="Times New Roman"/>
                <w:b/>
                <w:color w:val="auto"/>
                <w:szCs w:val="21"/>
                <w:highlight w:val="none"/>
              </w:rPr>
            </w:pPr>
            <w:r>
              <w:rPr>
                <w:rFonts w:hint="eastAsia" w:ascii="宋体" w:hAnsi="宋体"/>
                <w:color w:val="auto"/>
                <w:sz w:val="24"/>
                <w:szCs w:val="24"/>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rPr>
                <w:rFonts w:ascii="Times New Roman" w:hAnsi="Times New Roman" w:cs="Times New Roman"/>
                <w:b/>
                <w:color w:val="auto"/>
                <w:szCs w:val="21"/>
                <w:highlight w:val="none"/>
              </w:rPr>
            </w:pPr>
            <w:r>
              <w:rPr>
                <w:rFonts w:hint="eastAsia" w:ascii="宋体" w:hAnsi="宋体"/>
                <w:color w:val="auto"/>
                <w:sz w:val="24"/>
                <w:szCs w:val="24"/>
                <w:highlight w:val="none"/>
              </w:rPr>
              <w:t xml:space="preserve">招标文件要求</w:t>
            </w:r>
            <w:r/>
          </w:p>
        </w:tc>
        <w:tc>
          <w:tcPr>
            <w:tcMar>
              <w:left w:w="10" w:type="dxa"/>
              <w:top w:w="0" w:type="dxa"/>
              <w:right w:w="10" w:type="dxa"/>
              <w:bottom w:w="0" w:type="dxa"/>
            </w:tcMar>
            <w:tcW w:w="2488" w:type="dxa"/>
            <w:vAlign w:val="center"/>
            <w:textDirection w:val="lrTb"/>
            <w:noWrap w:val="false"/>
          </w:tcPr>
          <w:p>
            <w:pPr>
              <w:jc w:val="center"/>
              <w:rPr>
                <w:rFonts w:ascii="Times New Roman" w:hAnsi="Times New Roman" w:cs="Times New Roman"/>
                <w:b/>
                <w:color w:val="auto"/>
                <w:szCs w:val="21"/>
                <w:highlight w:val="none"/>
              </w:rPr>
            </w:pPr>
            <w:r>
              <w:rPr>
                <w:rFonts w:hint="eastAsia" w:ascii="宋体" w:hAnsi="宋体"/>
                <w:color w:val="auto"/>
                <w:sz w:val="24"/>
                <w:szCs w:val="24"/>
                <w:highlight w:val="none"/>
              </w:rPr>
              <w:t xml:space="preserve">投标响应情况</w:t>
            </w:r>
            <w:r/>
          </w:p>
        </w:tc>
        <w:tc>
          <w:tcPr>
            <w:tcMar>
              <w:left w:w="10" w:type="dxa"/>
              <w:top w:w="0" w:type="dxa"/>
              <w:right w:w="10" w:type="dxa"/>
              <w:bottom w:w="0" w:type="dxa"/>
            </w:tcMar>
            <w:tcW w:w="3004" w:type="dxa"/>
            <w:vAlign w:val="center"/>
            <w:textDirection w:val="lrTb"/>
            <w:noWrap w:val="false"/>
          </w:tcPr>
          <w:p>
            <w:pPr>
              <w:jc w:val="center"/>
              <w:spacing w:line="480" w:lineRule="exact"/>
              <w:rPr>
                <w:rFonts w:ascii="Times New Roman" w:hAnsi="Times New Roman" w:cs="Times New Roman"/>
                <w:b/>
                <w:color w:val="auto"/>
                <w:szCs w:val="21"/>
                <w:highlight w:val="none"/>
              </w:rPr>
            </w:pPr>
            <w:r>
              <w:rPr>
                <w:rFonts w:hint="eastAsia" w:cs="宋体"/>
                <w:color w:val="auto"/>
                <w:sz w:val="24"/>
                <w:szCs w:val="24"/>
                <w:highlight w:val="none"/>
              </w:rPr>
              <w:t xml:space="preserve">正偏离、无偏离或负偏离</w:t>
            </w:r>
            <w:r/>
          </w:p>
        </w:tc>
        <w:tc>
          <w:tcPr>
            <w:tcMar>
              <w:left w:w="10" w:type="dxa"/>
              <w:top w:w="0" w:type="dxa"/>
              <w:right w:w="10" w:type="dxa"/>
              <w:bottom w:w="0" w:type="dxa"/>
            </w:tcMar>
            <w:tcW w:w="1201" w:type="dxa"/>
            <w:vAlign w:val="center"/>
            <w:textDirection w:val="lrTb"/>
            <w:noWrap w:val="false"/>
          </w:tcPr>
          <w:p>
            <w:pPr>
              <w:jc w:val="center"/>
              <w:rPr>
                <w:rFonts w:ascii="Times New Roman" w:hAnsi="Times New Roman" w:cs="Times New Roman"/>
                <w:b/>
                <w:color w:val="auto"/>
                <w:szCs w:val="21"/>
                <w:highlight w:val="none"/>
              </w:rPr>
            </w:pPr>
            <w:r>
              <w:rPr>
                <w:rFonts w:hint="eastAsia" w:ascii="宋体" w:hAnsi="宋体"/>
                <w:color w:val="auto"/>
                <w:sz w:val="24"/>
                <w:szCs w:val="24"/>
                <w:highlight w:val="none"/>
              </w:rPr>
              <w:t xml:space="preserve">序号</w:t>
            </w:r>
            <w:r/>
          </w:p>
        </w:tc>
      </w:tr>
      <w:tr>
        <w:trPr>
          <w:jc w:val="center"/>
          <w:trHeight w:val="284"/>
        </w:trPr>
        <w:tc>
          <w:tcPr>
            <w:tcMar>
              <w:left w:w="10" w:type="dxa"/>
              <w:top w:w="0" w:type="dxa"/>
              <w:right w:w="10" w:type="dxa"/>
              <w:bottom w:w="0" w:type="dxa"/>
            </w:tcMar>
            <w:tcW w:w="560"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9"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248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04"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0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560"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9"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248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04"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0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560"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9"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248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04"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0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560"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9"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248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04"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0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560"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9"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248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04"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0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560"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9"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248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04"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0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560"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9"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248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04"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0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bl>
    <w:p>
      <w:pPr>
        <w:pStyle w:val="760"/>
        <w:ind w:left="0" w:right="0"/>
        <w:keepLines w:val="0"/>
        <w:keepNext w:val="0"/>
        <w:spacing w:before="0" w:beforeAutospacing="0" w:after="0" w:afterAutospacing="0" w:line="85"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shd w:val="clear" w:color="auto" w:fill="ffffff"/>
        </w:rPr>
        <w:t xml:space="preserve">说明：招标文件商务部分内容响应存在正偏离或负偏离的，请在本表中逐条列出。未列出的，视为响应招标文件要求。如果行数不够，请自行增加。</w:t>
      </w:r>
      <w:r/>
    </w:p>
    <w:p>
      <w:pPr>
        <w:pStyle w:val="760"/>
        <w:keepLines w:val="0"/>
        <w:keepNext w:val="0"/>
        <w:spacing w:before="0" w:beforeAutospacing="0" w:after="0" w:afterAutospacing="0" w:line="85"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1"/>
          <w:szCs w:val="21"/>
          <w:highlight w:val="none"/>
          <w:shd w:val="clear" w:color="auto" w:fill="ffffff"/>
        </w:rPr>
        <w:t xml:space="preserve"> </w:t>
      </w:r>
      <w:r/>
    </w:p>
    <w:p>
      <w:pPr>
        <w:pStyle w:val="760"/>
        <w:keepLines w:val="0"/>
        <w:keepNext w:val="0"/>
        <w:spacing w:before="0" w:beforeAutospacing="0" w:after="0" w:afterAutospacing="0" w:line="85"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1"/>
          <w:szCs w:val="21"/>
          <w:highlight w:val="none"/>
          <w:shd w:val="clear" w:color="auto" w:fill="ffffff"/>
        </w:rPr>
        <w:t xml:space="preserve"> </w:t>
      </w:r>
      <w:r/>
    </w:p>
    <w:p>
      <w:pPr>
        <w:pStyle w:val="760"/>
        <w:keepLines w:val="0"/>
        <w:keepNext w:val="0"/>
        <w:spacing w:before="0" w:beforeAutospacing="0" w:after="0" w:afterAutospacing="0" w:line="85"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1"/>
          <w:szCs w:val="21"/>
          <w:highlight w:val="none"/>
          <w:shd w:val="clear" w:color="auto" w:fill="ffffff"/>
        </w:rPr>
        <w:t xml:space="preserve"> </w:t>
      </w:r>
      <w:r/>
    </w:p>
    <w:p>
      <w:pPr>
        <w:pStyle w:val="937"/>
        <w:ind w:firstLine="480"/>
        <w:jc w:val="both"/>
        <w:spacing w:before="0" w:beforeAutospacing="0" w:after="0" w:afterAutospacing="0" w:line="360" w:lineRule="auto"/>
        <w:rPr>
          <w:rFonts w:hint="eastAsia"/>
          <w:color w:val="auto"/>
          <w:highlight w:val="none"/>
        </w:rPr>
      </w:pPr>
      <w:r>
        <w:rPr>
          <w:rFonts w:ascii="宋体" w:hAnsi="宋体" w:eastAsia="宋体" w:cs="宋体"/>
          <w:color w:val="auto"/>
          <w:sz w:val="21"/>
          <w:szCs w:val="21"/>
          <w:highlight w:val="none"/>
        </w:rPr>
        <w:t xml:space="preserve">投标单位（加盖</w:t>
      </w:r>
      <w:r>
        <w:rPr>
          <w:rFonts w:hint="default" w:ascii="Times New Roman" w:hAnsi="Times New Roman" w:eastAsia="宋体" w:cs="Times New Roman"/>
          <w:color w:val="auto"/>
          <w:sz w:val="21"/>
          <w:szCs w:val="21"/>
          <w:highlight w:val="none"/>
        </w:rPr>
        <w:t xml:space="preserve">CA</w:t>
      </w:r>
      <w:r>
        <w:rPr>
          <w:rFonts w:ascii="宋体" w:hAnsi="宋体" w:eastAsia="宋体" w:cs="宋体"/>
          <w:color w:val="auto"/>
          <w:sz w:val="21"/>
          <w:szCs w:val="21"/>
          <w:highlight w:val="none"/>
        </w:rPr>
        <w:t xml:space="preserve">电子公章）：</w:t>
      </w:r>
      <w:r>
        <w:rPr>
          <w:rFonts w:hint="default" w:ascii="Times New Roman" w:hAnsi="Times New Roman" w:eastAsia="宋体" w:cs="Times New Roman"/>
          <w:color w:val="auto"/>
          <w:sz w:val="21"/>
          <w:szCs w:val="21"/>
          <w:highlight w:val="none"/>
        </w:rPr>
        <w:t xml:space="preserve">   </w:t>
      </w:r>
      <w:r>
        <w:rPr>
          <w:rFonts w:ascii="Times New Roman" w:hAnsi="Times New Roman" w:cs="Times New Roman"/>
          <w:b/>
          <w:bCs/>
          <w:color w:val="auto"/>
          <w:szCs w:val="21"/>
          <w:highlight w:val="none"/>
        </w:rPr>
        <w:br w:type="page" w:clear="all"/>
      </w:r>
      <w:r/>
    </w:p>
    <w:p>
      <w:pPr>
        <w:keepLines w:val="0"/>
        <w:keepNext w:val="0"/>
        <w:pageBreakBefore w:val="0"/>
        <w:spacing w:line="360" w:lineRule="auto"/>
        <w:widowControl/>
        <w:rPr>
          <w:rFonts w:ascii="Times New Roman" w:hAnsi="Times New Roman" w:cs="Times New Roman"/>
          <w:b/>
          <w:bCs/>
          <w:color w:val="auto"/>
          <w:highlight w:val="none"/>
          <w14:ligatures w14:val="none"/>
        </w:rPr>
        <w:outlineLvl w:val="1"/>
      </w:pPr>
      <w:r/>
      <w:bookmarkStart w:id="94" w:name="_Toc30047"/>
      <w:r/>
      <w:bookmarkStart w:id="95" w:name="_Toc7524"/>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七</w:t>
      </w:r>
      <w:r>
        <w:rPr>
          <w:rFonts w:ascii="Times New Roman" w:hAnsi="Times New Roman" w:cs="Times New Roman"/>
          <w:b/>
          <w:bCs/>
          <w:color w:val="auto"/>
          <w:highlight w:val="none"/>
        </w:rPr>
        <w:t xml:space="preserve">、</w:t>
      </w:r>
      <w:r>
        <w:rPr>
          <w:rFonts w:ascii="Times New Roman" w:hAnsi="Times New Roman" w:cs="Times New Roman"/>
          <w:b/>
          <w:bCs/>
          <w:color w:val="auto"/>
          <w:highlight w:val="none"/>
          <w:lang w:val="zh-CN"/>
        </w:rPr>
        <w:t xml:space="preserve">供应商信用承诺函</w:t>
      </w:r>
      <w:r>
        <w:rPr>
          <w:rFonts w:ascii="Times New Roman" w:hAnsi="Times New Roman" w:cs="Times New Roman"/>
          <w:b/>
          <w:bCs/>
          <w:color w:val="auto"/>
          <w:highlight w:val="none"/>
        </w:rPr>
        <w:t xml:space="preserve">格式</w:t>
      </w:r>
      <w:bookmarkEnd w:id="94"/>
      <w:r/>
      <w:bookmarkEnd w:id="95"/>
      <w:r/>
      <w:r/>
    </w:p>
    <w:p>
      <w:pPr>
        <w:jc w:val="center"/>
        <w:spacing w:line="360" w:lineRule="auto"/>
        <w:rPr>
          <w:rFonts w:hint="eastAsia" w:ascii="宋体" w:hAnsi="宋体" w:eastAsia="宋体" w:cs="宋体"/>
          <w:b/>
          <w:bCs/>
          <w:color w:val="auto"/>
          <w:sz w:val="28"/>
          <w:szCs w:val="28"/>
          <w:highlight w:val="none"/>
          <w:lang w:val="zh-CN"/>
        </w:rPr>
        <w:outlineLvl w:val="9"/>
      </w:pPr>
      <w:r>
        <w:rPr>
          <w:rFonts w:hint="eastAsia" w:ascii="宋体" w:hAnsi="宋体" w:eastAsia="宋体" w:cs="宋体"/>
          <w:b/>
          <w:bCs/>
          <w:color w:val="auto"/>
          <w:sz w:val="28"/>
          <w:szCs w:val="28"/>
          <w:highlight w:val="none"/>
          <w:lang w:val="zh-CN"/>
        </w:rPr>
        <w:t xml:space="preserve">供应商信用承诺函</w:t>
      </w:r>
      <w:r/>
    </w:p>
    <w:p>
      <w:p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南京江北新区管委会教育和社会保障局</w:t>
      </w:r>
      <w:r>
        <w:rPr>
          <w:rFonts w:hint="eastAsia" w:ascii="宋体" w:hAnsi="宋体" w:eastAsia="宋体" w:cs="宋体"/>
          <w:color w:val="auto"/>
          <w:sz w:val="24"/>
          <w:szCs w:val="24"/>
          <w:highlight w:val="none"/>
        </w:rPr>
        <w:t xml:space="preserve">：</w:t>
      </w:r>
      <w:r/>
    </w:p>
    <w:p>
      <w:pPr>
        <w:ind w:firstLine="49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（供应商名称）郑重承诺：</w:t>
      </w:r>
      <w:r/>
    </w:p>
    <w:p>
      <w:pPr>
        <w:ind w:firstLine="49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我公司符合下列要求：</w:t>
      </w:r>
      <w:r/>
    </w:p>
    <w:p>
      <w:pPr>
        <w:ind w:firstLine="49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9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9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9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9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(五)参加政府采购活动前三年内，在经营活动中没有重大违法记录。</w:t>
      </w:r>
      <w:r/>
    </w:p>
    <w:p>
      <w:pPr>
        <w:ind w:firstLine="49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如果我公司中标（成交），将在中标（成交）结果公示后七个工作日内向采购人提供下列材料核验：</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（1）法人或者其他组织的营业执照；供应商为自然人的，提供其身份证； </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2）提供距开标时间六个月内任意一月份的财务状况报告（至少包括资产负债和利润表）（成立未满三个月法人或成立未满三个月其他组织的可以不提供），或开标截止时间前六个月内银行出具的资信证明，或其</w:t>
      </w:r>
      <w:r>
        <w:rPr>
          <w:rFonts w:hint="eastAsia" w:ascii="宋体" w:hAnsi="宋体" w:cs="宋体"/>
          <w:b w:val="0"/>
          <w:bCs w:val="0"/>
          <w:color w:val="auto"/>
          <w:sz w:val="24"/>
          <w:szCs w:val="24"/>
          <w:highlight w:val="none"/>
          <w:lang w:val="zh-CN" w:eastAsia="zh-CN"/>
        </w:rPr>
        <w:t xml:space="preserve">近一年度</w:t>
      </w:r>
      <w:r>
        <w:rPr>
          <w:rFonts w:hint="eastAsia" w:ascii="宋体" w:hAnsi="宋体" w:eastAsia="宋体" w:cs="宋体"/>
          <w:b w:val="0"/>
          <w:bCs w:val="0"/>
          <w:color w:val="auto"/>
          <w:sz w:val="24"/>
          <w:szCs w:val="24"/>
          <w:highlight w:val="none"/>
          <w:lang w:val="zh-CN" w:eastAsia="zh-CN"/>
        </w:rPr>
        <w:t xml:space="preserve">的财务报告；</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（3）履行合同所必需的设备和专业技术能力的证明材料；</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（4）参加本次政府采购活动前半年内至少一个月的缴纳税收的凭证，依法享受免缴、缓缴的，提供证明材料；</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（5）参加本次政府采购活动前半年内至少一个月的缴纳社会保险的凭据；</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（6）参加政府采购活动前三年内，在经营活动中没有重大违法记录</w:t>
      </w:r>
      <w:r>
        <w:rPr>
          <w:rFonts w:hint="eastAsia" w:ascii="宋体" w:hAnsi="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zh-CN" w:eastAsia="zh-CN"/>
        </w:rPr>
        <w:t xml:space="preserve">提供承诺书；</w:t>
      </w:r>
      <w:r/>
    </w:p>
    <w:p>
      <w:pPr>
        <w:ind w:firstLine="49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本公司对上述承诺内容的真实性、合法性、有效性负责，如有虚假，将依法承担相应责任。</w:t>
      </w:r>
      <w:r/>
    </w:p>
    <w:p>
      <w:pPr>
        <w:ind w:right="180" w:firstLine="360"/>
        <w:jc w:val="righ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firstLine="5760"/>
        <w:keepLines w:val="0"/>
        <w:keepNext w:val="0"/>
        <w:pageBreakBefore w:val="0"/>
        <w:spacing w:line="360" w:lineRule="auto"/>
        <w:widowControl/>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p>
    <w:p>
      <w:pPr>
        <w:spacing w:line="440" w:lineRule="exact"/>
        <w:rPr>
          <w:rFonts w:hint="eastAsia" w:ascii="宋体" w:hAnsi="宋体"/>
          <w:b/>
          <w:bCs/>
          <w:color w:val="auto"/>
          <w:highlight w:val="none"/>
        </w:rPr>
      </w:pPr>
      <w:r>
        <w:rPr>
          <w:rFonts w:hint="eastAsia" w:ascii="宋体" w:hAnsi="宋体"/>
          <w:b/>
          <w:bCs/>
          <w:color w:val="auto"/>
          <w:highlight w:val="none"/>
        </w:rPr>
        <w:t xml:space="preserve">说明：执行南京市财政局《关于在政府采购活动中推行信用承诺制的通知》（宁财购通</w:t>
      </w:r>
      <w:r>
        <w:rPr>
          <w:rFonts w:hint="eastAsia" w:ascii="宋体" w:hAnsi="宋体"/>
          <w:b/>
          <w:bCs/>
          <w:color w:val="auto"/>
          <w:highlight w:val="none"/>
          <w:lang w:val="zh-CN"/>
        </w:rPr>
        <w:t xml:space="preserve">〔202</w:t>
      </w:r>
      <w:r>
        <w:rPr>
          <w:rFonts w:hint="eastAsia" w:ascii="宋体" w:hAnsi="宋体"/>
          <w:b/>
          <w:bCs/>
          <w:color w:val="auto"/>
          <w:highlight w:val="none"/>
        </w:rPr>
        <w:t xml:space="preserve">1</w:t>
      </w:r>
      <w:r>
        <w:rPr>
          <w:rFonts w:hint="eastAsia" w:ascii="宋体" w:hAnsi="宋体"/>
          <w:b/>
          <w:bCs/>
          <w:color w:val="auto"/>
          <w:highlight w:val="none"/>
          <w:lang w:val="zh-CN"/>
        </w:rPr>
        <w:t xml:space="preserve">〕5号</w:t>
      </w:r>
      <w:r>
        <w:rPr>
          <w:rFonts w:hint="eastAsia" w:ascii="宋体" w:hAnsi="宋体"/>
          <w:b/>
          <w:bCs/>
          <w:color w:val="auto"/>
          <w:highlight w:val="none"/>
        </w:rPr>
        <w:t xml:space="preserve">）要求。</w:t>
      </w:r>
      <w:r/>
    </w:p>
    <w:p>
      <w:pPr>
        <w:rPr>
          <w:rFonts w:ascii="Times New Roman" w:hAnsi="Times New Roman" w:cs="Times New Roman"/>
          <w:b/>
          <w:bCs/>
          <w:color w:val="auto"/>
          <w:szCs w:val="21"/>
          <w:highlight w:val="none"/>
          <w:lang w:val="zh-CN"/>
        </w:rPr>
      </w:pPr>
      <w:r>
        <w:rPr>
          <w:rFonts w:ascii="Times New Roman" w:hAnsi="Times New Roman" w:cs="Times New Roman"/>
          <w:b/>
          <w:bCs/>
          <w:color w:val="auto"/>
          <w:szCs w:val="21"/>
          <w:highlight w:val="none"/>
          <w:lang w:val="zh-CN"/>
        </w:rPr>
        <w:br w:type="page" w:clear="all"/>
      </w:r>
      <w:bookmarkEnd w:id="86"/>
      <w:r/>
      <w:r/>
    </w:p>
    <w:p>
      <w:pPr>
        <w:keepLines w:val="0"/>
        <w:keepNext w:val="0"/>
        <w:pageBreakBefore w:val="0"/>
        <w:spacing w:line="360" w:lineRule="auto"/>
        <w:widowControl/>
        <w:rPr>
          <w:rFonts w:ascii="Times New Roman" w:hAnsi="Times New Roman" w:cs="Times New Roman"/>
          <w:color w:val="auto"/>
          <w:szCs w:val="21"/>
          <w:highlight w:val="none"/>
        </w:rPr>
        <w:outlineLvl w:val="1"/>
      </w:pPr>
      <w:r/>
      <w:bookmarkStart w:id="96" w:name="_Toc2529"/>
      <w:r/>
      <w:bookmarkStart w:id="97" w:name="_Toc15888"/>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八</w:t>
      </w:r>
      <w:r>
        <w:rPr>
          <w:rFonts w:ascii="Times New Roman" w:hAnsi="Times New Roman" w:cs="Times New Roman"/>
          <w:b/>
          <w:bCs/>
          <w:color w:val="auto"/>
          <w:highlight w:val="none"/>
        </w:rPr>
        <w:t xml:space="preserve">、《南京市政府采购供应商信用记录表暨信用承诺书》（网站在线打印）</w:t>
      </w:r>
      <w:bookmarkEnd w:id="96"/>
      <w:r/>
      <w:bookmarkEnd w:id="97"/>
      <w:r>
        <w:rPr>
          <w:rFonts w:ascii="Times New Roman" w:hAnsi="Times New Roman" w:cs="Times New Roman"/>
          <w:b/>
          <w:color w:val="auto"/>
          <w:highlight w:val="none"/>
        </w:rPr>
        <w:br w:type="page" w:clear="all"/>
      </w:r>
      <w:r/>
    </w:p>
    <w:p>
      <w:pPr>
        <w:keepLines w:val="0"/>
        <w:keepNext w:val="0"/>
        <w:pageBreakBefore w:val="0"/>
        <w:spacing w:line="360" w:lineRule="auto"/>
        <w:widowControl/>
        <w:rPr>
          <w:rFonts w:ascii="Times New Roman" w:hAnsi="Times New Roman" w:cs="Times New Roman"/>
          <w:b/>
          <w:bCs/>
          <w:color w:val="auto"/>
          <w:highlight w:val="none"/>
          <w14:ligatures w14:val="none"/>
        </w:rPr>
        <w:outlineLvl w:val="1"/>
      </w:pPr>
      <w:r/>
      <w:bookmarkStart w:id="98" w:name="_Toc26488"/>
      <w:r/>
      <w:bookmarkStart w:id="99" w:name="_Toc6574"/>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九</w:t>
      </w:r>
      <w:r>
        <w:rPr>
          <w:rFonts w:ascii="Times New Roman" w:hAnsi="Times New Roman" w:cs="Times New Roman"/>
          <w:b/>
          <w:bCs/>
          <w:color w:val="auto"/>
          <w:highlight w:val="none"/>
          <w:lang w:eastAsia="zh-CN"/>
        </w:rPr>
        <w:t xml:space="preserve">、</w:t>
      </w:r>
      <w:r>
        <w:rPr>
          <w:rFonts w:ascii="Times New Roman" w:hAnsi="Times New Roman" w:cs="Times New Roman"/>
          <w:b/>
          <w:bCs/>
          <w:color w:val="auto"/>
          <w:highlight w:val="none"/>
        </w:rPr>
        <w:t xml:space="preserve">企业声明函格式</w:t>
      </w:r>
      <w:bookmarkEnd w:id="98"/>
      <w:r/>
      <w:bookmarkEnd w:id="99"/>
      <w:r/>
      <w:r/>
    </w:p>
    <w:p>
      <w:pPr>
        <w:pStyle w:val="760"/>
        <w:ind w:left="0" w:right="0" w:firstLine="24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100" w:name="OLE_LINK13"/>
      <w:r/>
      <w:bookmarkStart w:id="101" w:name="OLE_LINK14"/>
      <w:r>
        <w:rPr>
          <w:rFonts w:ascii="宋体" w:hAnsi="宋体" w:eastAsia="宋体" w:cs="宋体"/>
          <w:b/>
          <w:bCs/>
          <w:color w:val="auto"/>
          <w:sz w:val="24"/>
          <w:szCs w:val="24"/>
          <w:highlight w:val="none"/>
        </w:rPr>
        <w:t xml:space="preserve">中小微企业声明函（货物类项目） </w:t>
      </w:r>
      <w:r/>
    </w:p>
    <w:p>
      <w:pPr>
        <w:pStyle w:val="760"/>
        <w:ind w:left="0" w:firstLine="24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p>
      <w:pPr>
        <w:pStyle w:val="760"/>
        <w:ind w:left="0" w:firstLine="36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ascii="宋体" w:hAnsi="宋体" w:eastAsia="宋体" w:cs="宋体"/>
          <w:color w:val="auto"/>
          <w:sz w:val="24"/>
          <w:szCs w:val="24"/>
          <w:highlight w:val="none"/>
          <w:u w:val="single"/>
        </w:rPr>
        <w:t xml:space="preserve">（单位名称）</w:t>
      </w:r>
      <w:r>
        <w:rPr>
          <w:rFonts w:ascii="宋体" w:hAnsi="宋体" w:eastAsia="宋体" w:cs="宋体"/>
          <w:color w:val="auto"/>
          <w:sz w:val="24"/>
          <w:szCs w:val="24"/>
          <w:highlight w:val="none"/>
        </w:rPr>
        <w:t xml:space="preserve">采购编号为</w:t>
      </w:r>
      <w:r>
        <w:rPr>
          <w:rFonts w:ascii="宋体" w:hAnsi="宋体" w:eastAsia="宋体" w:cs="宋体"/>
          <w:color w:val="auto"/>
          <w:sz w:val="24"/>
          <w:szCs w:val="24"/>
          <w:highlight w:val="none"/>
          <w:u w:val="single"/>
        </w:rPr>
        <w:t xml:space="preserve">（采购编号）</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项目（项目名称） 的采购活动，提供的货物全部由符合政策要求的中小微企业制造。相关企业（含联合体中的中小微企业、签订采购包意向协议的中小微企业）的具体情况如下：</w:t>
      </w:r>
      <w:r/>
    </w:p>
    <w:p>
      <w:pPr>
        <w:pStyle w:val="760"/>
        <w:ind w:left="0" w:firstLine="36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1.</w:t>
      </w:r>
      <w:r>
        <w:rPr>
          <w:rFonts w:ascii="宋体" w:hAnsi="宋体" w:eastAsia="宋体" w:cs="宋体"/>
          <w:color w:val="auto"/>
          <w:sz w:val="24"/>
          <w:szCs w:val="24"/>
          <w:highlight w:val="none"/>
          <w:u w:val="single"/>
        </w:rPr>
        <w:t xml:space="preserve">（标的名称）</w:t>
      </w:r>
      <w:r>
        <w:rPr>
          <w:rFonts w:ascii="宋体" w:hAnsi="宋体" w:eastAsia="宋体" w:cs="宋体"/>
          <w:i/>
          <w:iCs/>
          <w:color w:val="auto"/>
          <w:sz w:val="24"/>
          <w:szCs w:val="24"/>
          <w:highlight w:val="none"/>
        </w:rPr>
        <w:t xml:space="preserve">，</w:t>
      </w:r>
      <w:r>
        <w:rPr>
          <w:rFonts w:ascii="宋体" w:hAnsi="宋体" w:eastAsia="宋体" w:cs="宋体"/>
          <w:color w:val="auto"/>
          <w:sz w:val="24"/>
          <w:szCs w:val="24"/>
          <w:highlight w:val="none"/>
        </w:rPr>
        <w:t xml:space="preserve">属于</w:t>
      </w:r>
      <w:r>
        <w:rPr>
          <w:rFonts w:ascii="宋体" w:hAnsi="宋体" w:eastAsia="宋体" w:cs="宋体"/>
          <w:color w:val="auto"/>
          <w:sz w:val="24"/>
          <w:szCs w:val="24"/>
          <w:highlight w:val="none"/>
          <w:u w:val="single"/>
        </w:rPr>
        <w:t xml:space="preserve">（供应商填写招标文件中明确的所属行业）</w:t>
      </w:r>
      <w:r>
        <w:rPr>
          <w:rFonts w:ascii="宋体" w:hAnsi="宋体" w:eastAsia="宋体" w:cs="宋体"/>
          <w:color w:val="auto"/>
          <w:sz w:val="24"/>
          <w:szCs w:val="24"/>
          <w:highlight w:val="none"/>
        </w:rPr>
        <w:t xml:space="preserve">行业；投标产品制造商为</w:t>
      </w:r>
      <w:r>
        <w:rPr>
          <w:rFonts w:ascii="宋体" w:hAnsi="宋体" w:eastAsia="宋体" w:cs="宋体"/>
          <w:color w:val="auto"/>
          <w:sz w:val="24"/>
          <w:szCs w:val="24"/>
          <w:highlight w:val="none"/>
          <w:u w:val="single"/>
        </w:rPr>
        <w:t xml:space="preserve">（企业名称）</w:t>
      </w:r>
      <w:r>
        <w:rPr>
          <w:rFonts w:ascii="宋体" w:hAnsi="宋体" w:eastAsia="宋体" w:cs="宋体"/>
          <w:color w:val="auto"/>
          <w:sz w:val="24"/>
          <w:szCs w:val="24"/>
          <w:highlight w:val="none"/>
        </w:rPr>
        <w:t xml:space="preserve">，从业人员</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人，营业收入为</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万元，资产总额为</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万元，属于</w:t>
      </w:r>
      <w:r>
        <w:rPr>
          <w:rFonts w:ascii="宋体" w:hAnsi="宋体" w:eastAsia="宋体" w:cs="宋体"/>
          <w:color w:val="auto"/>
          <w:sz w:val="24"/>
          <w:szCs w:val="24"/>
          <w:highlight w:val="none"/>
          <w:u w:val="single"/>
        </w:rPr>
        <w:t xml:space="preserve">（□中型企业 □小型企业 □微型企业）；</w:t>
      </w:r>
      <w:r/>
    </w:p>
    <w:p>
      <w:pPr>
        <w:pStyle w:val="760"/>
        <w:ind w:left="0" w:firstLine="36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2.</w:t>
      </w:r>
      <w:r>
        <w:rPr>
          <w:rFonts w:ascii="宋体" w:hAnsi="宋体" w:eastAsia="宋体" w:cs="宋体"/>
          <w:color w:val="auto"/>
          <w:sz w:val="24"/>
          <w:szCs w:val="24"/>
          <w:highlight w:val="none"/>
          <w:u w:val="single"/>
        </w:rPr>
        <w:t xml:space="preserve">（标的名称）</w:t>
      </w:r>
      <w:r>
        <w:rPr>
          <w:rFonts w:ascii="宋体" w:hAnsi="宋体" w:eastAsia="宋体" w:cs="宋体"/>
          <w:i/>
          <w:iCs/>
          <w:color w:val="auto"/>
          <w:sz w:val="24"/>
          <w:szCs w:val="24"/>
          <w:highlight w:val="none"/>
        </w:rPr>
        <w:t xml:space="preserve">，</w:t>
      </w:r>
      <w:r>
        <w:rPr>
          <w:rFonts w:ascii="宋体" w:hAnsi="宋体" w:eastAsia="宋体" w:cs="宋体"/>
          <w:color w:val="auto"/>
          <w:sz w:val="24"/>
          <w:szCs w:val="24"/>
          <w:highlight w:val="none"/>
        </w:rPr>
        <w:t xml:space="preserve">属于</w:t>
      </w:r>
      <w:r>
        <w:rPr>
          <w:rFonts w:ascii="宋体" w:hAnsi="宋体" w:eastAsia="宋体" w:cs="宋体"/>
          <w:color w:val="auto"/>
          <w:sz w:val="24"/>
          <w:szCs w:val="24"/>
          <w:highlight w:val="none"/>
          <w:u w:val="single"/>
        </w:rPr>
        <w:t xml:space="preserve">（供应商填写招标文件中明确的所属行业）</w:t>
      </w:r>
      <w:r>
        <w:rPr>
          <w:rFonts w:ascii="宋体" w:hAnsi="宋体" w:eastAsia="宋体" w:cs="宋体"/>
          <w:color w:val="auto"/>
          <w:sz w:val="24"/>
          <w:szCs w:val="24"/>
          <w:highlight w:val="none"/>
        </w:rPr>
        <w:t xml:space="preserve">行业；投标产品制造商为</w:t>
      </w:r>
      <w:r>
        <w:rPr>
          <w:rFonts w:ascii="宋体" w:hAnsi="宋体" w:eastAsia="宋体" w:cs="宋体"/>
          <w:color w:val="auto"/>
          <w:sz w:val="24"/>
          <w:szCs w:val="24"/>
          <w:highlight w:val="none"/>
          <w:u w:val="single"/>
        </w:rPr>
        <w:t xml:space="preserve">（企业名称）</w:t>
      </w:r>
      <w:r>
        <w:rPr>
          <w:rFonts w:ascii="宋体" w:hAnsi="宋体" w:eastAsia="宋体" w:cs="宋体"/>
          <w:color w:val="auto"/>
          <w:sz w:val="24"/>
          <w:szCs w:val="24"/>
          <w:highlight w:val="none"/>
        </w:rPr>
        <w:t xml:space="preserve">，从业人员</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人，营业收入为</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万元，资产总额为</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万元，属于</w:t>
      </w:r>
      <w:r>
        <w:rPr>
          <w:rFonts w:ascii="宋体" w:hAnsi="宋体" w:eastAsia="宋体" w:cs="宋体"/>
          <w:color w:val="auto"/>
          <w:sz w:val="24"/>
          <w:szCs w:val="24"/>
          <w:highlight w:val="none"/>
          <w:u w:val="single"/>
        </w:rPr>
        <w:t xml:space="preserve">（□中型企业 □小型企业 □微型企业）；</w:t>
      </w:r>
      <w:r/>
    </w:p>
    <w:p>
      <w:pPr>
        <w:pStyle w:val="760"/>
        <w:ind w:left="0" w:firstLine="36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w:t>
      </w:r>
      <w:r/>
    </w:p>
    <w:p>
      <w:pPr>
        <w:pStyle w:val="760"/>
        <w:ind w:left="0" w:firstLine="36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60"/>
        <w:ind w:left="0" w:firstLine="36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本企业对上述声明内容的真实性负责。如有虚假，将依法承担相应责任</w:t>
      </w:r>
      <w:r/>
    </w:p>
    <w:p>
      <w:pPr>
        <w:pStyle w:val="760"/>
        <w:ind w:right="72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p>
      <w:pPr>
        <w:pStyle w:val="760"/>
        <w:ind w:left="0" w:right="180" w:firstLine="360"/>
        <w:jc w:val="center"/>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企业名称（加盖CA电子公章）：</w:t>
      </w:r>
      <w:r/>
    </w:p>
    <w:p>
      <w:pPr>
        <w:pStyle w:val="760"/>
        <w:ind w:left="0" w:right="480" w:firstLine="456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日  期：___年____月____日</w:t>
      </w:r>
      <w:r/>
    </w:p>
    <w:p>
      <w:pPr>
        <w:pStyle w:val="76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p>
      <w:pPr>
        <w:pStyle w:val="760"/>
        <w:ind w:left="0" w:firstLine="480"/>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备注：</w:t>
      </w:r>
      <w:r/>
    </w:p>
    <w:p>
      <w:pPr>
        <w:pStyle w:val="760"/>
        <w:ind w:left="0" w:firstLine="480"/>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1.从业人员、营业收入、资产总额填报上一年度数据，无上一年度数据的新成立企业可不填报。</w:t>
      </w:r>
      <w:r/>
    </w:p>
    <w:p>
      <w:pPr>
        <w:pStyle w:val="760"/>
        <w:ind w:left="0" w:firstLine="480"/>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760"/>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pStyle w:val="760"/>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0"/>
          <w:szCs w:val="20"/>
          <w:highlight w:val="none"/>
        </w:rPr>
        <w:br w:type="page" w:clear="all"/>
      </w:r>
      <w:r>
        <w:rPr>
          <w:rFonts w:hint="default" w:ascii="Times New Roman" w:hAnsi="Times New Roman" w:cs="Times New Roman"/>
          <w:color w:val="auto"/>
          <w:sz w:val="20"/>
          <w:szCs w:val="20"/>
          <w:highlight w:val="none"/>
        </w:rPr>
        <w:t xml:space="preserve"> </w:t>
      </w:r>
      <w:r/>
    </w:p>
    <w:p>
      <w:pPr>
        <w:pStyle w:val="760"/>
        <w:jc w:val="center"/>
        <w:keepLines w:val="0"/>
        <w:keepNext w:val="0"/>
        <w:spacing w:before="0" w:beforeAutospacing="0" w:after="0" w:afterAutospacing="0" w:line="85"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残疾人福利性单位声明函（货物类项目）</w:t>
      </w:r>
      <w:r/>
    </w:p>
    <w:p>
      <w:pPr>
        <w:pStyle w:val="760"/>
        <w:jc w:val="center"/>
        <w:keepLines w:val="0"/>
        <w:keepNext w:val="0"/>
        <w:spacing w:before="0" w:beforeAutospacing="0" w:after="0" w:afterAutospacing="0" w:line="85"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p>
      <w:pPr>
        <w:pStyle w:val="760"/>
        <w:ind w:left="0"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sz w:val="24"/>
          <w:szCs w:val="24"/>
          <w:highlight w:val="none"/>
          <w:u w:val="single"/>
        </w:rPr>
        <w:t xml:space="preserve">（单位名称）</w:t>
      </w:r>
      <w:r>
        <w:rPr>
          <w:rFonts w:ascii="宋体" w:hAnsi="宋体" w:eastAsia="宋体" w:cs="宋体"/>
          <w:color w:val="auto"/>
          <w:sz w:val="24"/>
          <w:szCs w:val="24"/>
          <w:highlight w:val="none"/>
        </w:rPr>
        <w:t xml:space="preserve">采购编号为</w:t>
      </w:r>
      <w:r>
        <w:rPr>
          <w:rFonts w:ascii="宋体" w:hAnsi="宋体" w:eastAsia="宋体" w:cs="宋体"/>
          <w:color w:val="auto"/>
          <w:sz w:val="24"/>
          <w:szCs w:val="24"/>
          <w:highlight w:val="none"/>
          <w:u w:val="single"/>
        </w:rPr>
        <w:t xml:space="preserve">（采购编号）</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项目（项目名称）采购活动提供本单位制造的货物，或者提供其他残疾人福利性单位制造的货物（不包括使用非残疾人福利性单位注册商标的货物）。</w:t>
      </w:r>
      <w:r/>
    </w:p>
    <w:p>
      <w:pPr>
        <w:pStyle w:val="760"/>
        <w:ind w:left="0"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本单位对上述声明的真实性负责。如有虚假，将依法承担相应责任。</w:t>
      </w:r>
      <w:r/>
    </w:p>
    <w:p>
      <w:pPr>
        <w:pStyle w:val="760"/>
        <w:ind w:left="0"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p>
      <w:pPr>
        <w:pStyle w:val="760"/>
        <w:ind w:left="0"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备注：</w:t>
      </w:r>
      <w:r/>
    </w:p>
    <w:p>
      <w:pPr>
        <w:pStyle w:val="760"/>
        <w:ind w:left="0"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760"/>
        <w:ind w:left="0"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2. 非专门面向中小微型企业采购的项目，供应商如不提供此声明函，价格将不做相应扣除。</w:t>
      </w:r>
      <w:r/>
    </w:p>
    <w:p>
      <w:pPr>
        <w:pStyle w:val="760"/>
        <w:ind w:left="0"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3.中标/成交供应商为残疾人福利性单位的，此声明函将随中标/成交结果同时公告，接受社会监督。</w:t>
      </w:r>
      <w:r/>
    </w:p>
    <w:p>
      <w:pPr>
        <w:pStyle w:val="760"/>
        <w:ind w:left="0" w:firstLine="624"/>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p>
      <w:pPr>
        <w:pStyle w:val="760"/>
        <w:ind w:left="0" w:right="1559" w:firstLine="624"/>
        <w:jc w:val="center"/>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lang w:val="en-US" w:eastAsia="zh-CN"/>
        </w:rPr>
        <w:t xml:space="preserve">        </w:t>
      </w:r>
      <w:r>
        <w:rPr>
          <w:rFonts w:ascii="宋体" w:hAnsi="宋体" w:eastAsia="宋体" w:cs="宋体"/>
          <w:color w:val="auto"/>
          <w:sz w:val="24"/>
          <w:szCs w:val="24"/>
          <w:highlight w:val="none"/>
        </w:rPr>
        <w:t xml:space="preserve">供应商全称（加盖CA电子公章）：</w:t>
      </w:r>
      <w:r/>
    </w:p>
    <w:p>
      <w:pPr>
        <w:pStyle w:val="760"/>
        <w:ind w:left="0" w:right="1559" w:firstLine="480"/>
        <w:jc w:val="center"/>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日  期：___年____月__日</w:t>
      </w:r>
      <w:r>
        <w:rPr>
          <w:rFonts w:ascii="宋体" w:hAnsi="宋体" w:eastAsia="宋体" w:cs="宋体"/>
          <w:color w:val="auto"/>
          <w:sz w:val="24"/>
          <w:szCs w:val="24"/>
          <w:highlight w:val="none"/>
          <w:shd w:val="clear" w:color="auto" w:fill="ffffff"/>
        </w:rPr>
        <w:t xml:space="preserve"> </w:t>
      </w:r>
      <w:bookmarkEnd w:id="100"/>
      <w:r/>
      <w:bookmarkEnd w:id="101"/>
      <w:r>
        <w:rPr>
          <w:rFonts w:ascii="Times New Roman" w:hAnsi="Times New Roman" w:cs="Times New Roman"/>
          <w:b/>
          <w:bCs/>
          <w:color w:val="auto"/>
          <w:sz w:val="28"/>
          <w:highlight w:val="none"/>
        </w:rPr>
        <w:br w:type="page" w:clear="all"/>
      </w:r>
      <w:r/>
    </w:p>
    <w:p>
      <w:pPr>
        <w:jc w:val="center"/>
        <w:spacing w:line="360" w:lineRule="auto"/>
        <w:rPr>
          <w:rFonts w:ascii="Times New Roman" w:hAnsi="Times New Roman" w:cs="Times New Roman"/>
          <w:b/>
          <w:bCs/>
          <w:color w:val="auto"/>
          <w:sz w:val="28"/>
          <w:szCs w:val="28"/>
          <w:highlight w:val="none"/>
        </w:rPr>
      </w:pPr>
      <w:r>
        <w:rPr>
          <w:rFonts w:ascii="Times New Roman" w:hAnsi="Times New Roman" w:cs="Times New Roman"/>
          <w:b/>
          <w:bCs/>
          <w:color w:val="auto"/>
          <w:sz w:val="28"/>
          <w:highlight w:val="none"/>
        </w:rPr>
        <w:t xml:space="preserve">属于监狱企业的证明文件</w:t>
      </w:r>
      <w:r/>
    </w:p>
    <w:p>
      <w:pPr>
        <w:spacing w:line="360" w:lineRule="auto"/>
        <w:rPr>
          <w:rFonts w:ascii="Times New Roman" w:hAnsi="Times New Roman" w:cs="Times New Roman"/>
          <w:color w:val="auto"/>
          <w:highlight w:val="none"/>
        </w:rPr>
      </w:pPr>
      <w:r>
        <w:rPr>
          <w:rFonts w:ascii="Times New Roman" w:hAnsi="Times New Roman" w:cs="Times New Roman"/>
          <w:color w:val="auto"/>
          <w:highlight w:val="none"/>
        </w:rPr>
        <w:t xml:space="preserve">（提供由省级以上监狱管理局、戒毒管理局(含新疆生产建设兵团)出具的属于监狱企业的证明文件）</w:t>
      </w:r>
      <w:r/>
    </w:p>
    <w:p>
      <w:pPr>
        <w:spacing w:line="360" w:lineRule="auto"/>
        <w:rPr>
          <w:rFonts w:ascii="Times New Roman" w:hAnsi="Times New Roman" w:cs="Times New Roman"/>
          <w:b/>
          <w:bCs/>
          <w:color w:val="auto"/>
          <w:highlight w:val="none"/>
        </w:rPr>
      </w:pPr>
      <w:r>
        <w:rPr>
          <w:rFonts w:ascii="Times New Roman" w:hAnsi="Times New Roman" w:cs="Times New Roman"/>
          <w:b/>
          <w:bCs/>
          <w:color w:val="auto"/>
          <w:highlight w:val="none"/>
        </w:rPr>
      </w:r>
      <w:r/>
    </w:p>
    <w:p>
      <w:pPr>
        <w:spacing w:line="360" w:lineRule="auto"/>
        <w:rPr>
          <w:rFonts w:ascii="Times New Roman" w:hAnsi="Times New Roman" w:cs="Times New Roman"/>
          <w:b/>
          <w:bCs/>
          <w:color w:val="auto"/>
          <w:highlight w:val="none"/>
        </w:rPr>
      </w:pPr>
      <w:r>
        <w:rPr>
          <w:rFonts w:ascii="Times New Roman" w:hAnsi="Times New Roman" w:cs="Times New Roman"/>
          <w:b/>
          <w:bCs/>
          <w:color w:val="auto"/>
          <w:highlight w:val="none"/>
        </w:rPr>
      </w:r>
      <w:r/>
    </w:p>
    <w:p>
      <w:pPr>
        <w:jc w:val="center"/>
        <w:spacing w:line="360" w:lineRule="auto"/>
        <w:rPr>
          <w:rFonts w:ascii="Times New Roman" w:hAnsi="Times New Roman" w:cs="Times New Roman"/>
          <w:b/>
          <w:bCs/>
          <w:color w:val="auto"/>
          <w:highlight w:val="none"/>
        </w:rPr>
      </w:pPr>
      <w:r>
        <w:rPr>
          <w:rFonts w:ascii="Times New Roman" w:hAnsi="Times New Roman" w:cs="Times New Roman"/>
          <w:b/>
          <w:bCs/>
          <w:color w:val="auto"/>
          <w:sz w:val="28"/>
          <w:highlight w:val="none"/>
        </w:rPr>
        <w:t xml:space="preserve">节能产品认证证书</w:t>
      </w:r>
      <w:r/>
    </w:p>
    <w:p>
      <w:pPr>
        <w:spacing w:line="360" w:lineRule="auto"/>
        <w:rPr>
          <w:rFonts w:ascii="Times New Roman" w:hAnsi="Times New Roman" w:cs="Times New Roman"/>
          <w:bCs/>
          <w:color w:val="auto"/>
          <w:highlight w:val="none"/>
        </w:rPr>
      </w:pPr>
      <w:r>
        <w:rPr>
          <w:rFonts w:ascii="Times New Roman" w:hAnsi="Times New Roman" w:cs="Times New Roman"/>
          <w:bCs/>
          <w:color w:val="auto"/>
          <w:highlight w:val="none"/>
        </w:rPr>
        <w:t xml:space="preserve">（提供国家确定的认证机构出具的、处于有效期之内的产品认证证书）</w:t>
      </w:r>
      <w:r/>
    </w:p>
    <w:p>
      <w:pPr>
        <w:spacing w:line="360" w:lineRule="auto"/>
        <w:rPr>
          <w:rFonts w:ascii="Times New Roman" w:hAnsi="Times New Roman" w:cs="Times New Roman"/>
          <w:b/>
          <w:bCs/>
          <w:color w:val="auto"/>
          <w:highlight w:val="none"/>
        </w:rPr>
      </w:pPr>
      <w:r>
        <w:rPr>
          <w:rFonts w:ascii="Times New Roman" w:hAnsi="Times New Roman" w:cs="Times New Roman"/>
          <w:b/>
          <w:bCs/>
          <w:color w:val="auto"/>
          <w:highlight w:val="none"/>
        </w:rPr>
      </w:r>
      <w:r/>
    </w:p>
    <w:p>
      <w:pPr>
        <w:spacing w:line="360" w:lineRule="auto"/>
        <w:rPr>
          <w:rFonts w:ascii="Times New Roman" w:hAnsi="Times New Roman" w:cs="Times New Roman"/>
          <w:b/>
          <w:bCs/>
          <w:color w:val="auto"/>
          <w:highlight w:val="none"/>
        </w:rPr>
      </w:pPr>
      <w:r>
        <w:rPr>
          <w:rFonts w:ascii="Times New Roman" w:hAnsi="Times New Roman" w:cs="Times New Roman"/>
          <w:b/>
          <w:bCs/>
          <w:color w:val="auto"/>
          <w:highlight w:val="none"/>
        </w:rPr>
      </w:r>
      <w:r/>
    </w:p>
    <w:p>
      <w:pPr>
        <w:spacing w:line="360" w:lineRule="auto"/>
        <w:rPr>
          <w:rFonts w:ascii="Times New Roman" w:hAnsi="Times New Roman" w:cs="Times New Roman"/>
          <w:b/>
          <w:bCs/>
          <w:color w:val="auto"/>
          <w:highlight w:val="none"/>
        </w:rPr>
      </w:pPr>
      <w:r>
        <w:rPr>
          <w:rFonts w:ascii="Times New Roman" w:hAnsi="Times New Roman" w:cs="Times New Roman"/>
          <w:b/>
          <w:bCs/>
          <w:color w:val="auto"/>
          <w:highlight w:val="none"/>
        </w:rPr>
      </w:r>
      <w:r/>
    </w:p>
    <w:p>
      <w:pPr>
        <w:jc w:val="center"/>
        <w:spacing w:line="360" w:lineRule="auto"/>
        <w:rPr>
          <w:rFonts w:ascii="Times New Roman" w:hAnsi="Times New Roman" w:cs="Times New Roman"/>
          <w:b/>
          <w:bCs/>
          <w:color w:val="auto"/>
          <w:highlight w:val="none"/>
        </w:rPr>
      </w:pPr>
      <w:r>
        <w:rPr>
          <w:rFonts w:ascii="Times New Roman" w:hAnsi="Times New Roman" w:cs="Times New Roman"/>
          <w:b/>
          <w:bCs/>
          <w:color w:val="auto"/>
          <w:sz w:val="28"/>
          <w:highlight w:val="none"/>
        </w:rPr>
        <w:t xml:space="preserve">环境标志产品认证证书</w:t>
      </w:r>
      <w:r/>
    </w:p>
    <w:p>
      <w:pPr>
        <w:spacing w:line="360" w:lineRule="auto"/>
        <w:rPr>
          <w:rFonts w:ascii="Times New Roman" w:hAnsi="Times New Roman" w:cs="Times New Roman"/>
          <w:bCs/>
          <w:color w:val="auto"/>
          <w:highlight w:val="none"/>
        </w:rPr>
      </w:pPr>
      <w:r>
        <w:rPr>
          <w:rFonts w:ascii="Times New Roman" w:hAnsi="Times New Roman" w:cs="Times New Roman"/>
          <w:bCs/>
          <w:color w:val="auto"/>
          <w:highlight w:val="none"/>
        </w:rPr>
        <w:t xml:space="preserve">（提供国家确定的认证机构出具的、处于有效期之内的产品认证证书）</w:t>
      </w:r>
      <w:r/>
    </w:p>
    <w:p>
      <w:pPr>
        <w:pStyle w:val="939"/>
        <w:rPr>
          <w:rFonts w:ascii="Times New Roman" w:hAnsi="Times New Roman" w:cs="Times New Roman"/>
          <w:bCs/>
          <w:color w:val="auto"/>
          <w:highlight w:val="none"/>
        </w:rPr>
      </w:pPr>
      <w:r>
        <w:rPr>
          <w:rFonts w:ascii="Times New Roman" w:hAnsi="Times New Roman" w:cs="Times New Roman"/>
          <w:bCs/>
          <w:color w:val="auto"/>
          <w:highlight w:val="none"/>
        </w:rPr>
      </w:r>
      <w:r/>
    </w:p>
    <w:p>
      <w:pPr>
        <w:pStyle w:val="939"/>
        <w:rPr>
          <w:rFonts w:ascii="Times New Roman" w:hAnsi="Times New Roman" w:cs="Times New Roman"/>
          <w:bCs/>
          <w:color w:val="auto"/>
          <w:highlight w:val="none"/>
        </w:rPr>
      </w:pPr>
      <w:r>
        <w:rPr>
          <w:rFonts w:ascii="Times New Roman" w:hAnsi="Times New Roman" w:cs="Times New Roman"/>
          <w:bCs/>
          <w:color w:val="auto"/>
          <w:highlight w:val="none"/>
        </w:rPr>
      </w:r>
      <w:r/>
    </w:p>
    <w:p>
      <w:pPr>
        <w:pStyle w:val="939"/>
        <w:rPr>
          <w:rFonts w:ascii="Times New Roman" w:hAnsi="Times New Roman" w:cs="Times New Roman"/>
          <w:bCs/>
          <w:color w:val="auto"/>
          <w:highlight w:val="none"/>
        </w:rPr>
      </w:pPr>
      <w:r>
        <w:rPr>
          <w:rFonts w:ascii="Times New Roman" w:hAnsi="Times New Roman" w:cs="Times New Roman"/>
          <w:bCs/>
          <w:color w:val="auto"/>
          <w:highlight w:val="none"/>
        </w:rPr>
      </w:r>
      <w:r/>
    </w:p>
    <w:p>
      <w:pPr>
        <w:jc w:val="center"/>
        <w:spacing w:line="360" w:lineRule="auto"/>
        <w:rPr>
          <w:rFonts w:ascii="Times New Roman" w:hAnsi="Times New Roman" w:cs="Times New Roman"/>
          <w:b/>
          <w:bCs/>
          <w:color w:val="auto"/>
          <w:sz w:val="28"/>
          <w:highlight w:val="none"/>
        </w:rPr>
      </w:pPr>
      <w:r>
        <w:rPr>
          <w:rFonts w:ascii="Times New Roman" w:hAnsi="Times New Roman" w:cs="Times New Roman"/>
          <w:b/>
          <w:bCs/>
          <w:color w:val="auto"/>
          <w:sz w:val="28"/>
          <w:highlight w:val="none"/>
        </w:rPr>
        <w:t xml:space="preserve">进口产品转让技术、消化吸收再创新方案</w:t>
      </w:r>
      <w:r/>
    </w:p>
    <w:p>
      <w:pPr>
        <w:spacing w:line="360" w:lineRule="auto"/>
        <w:rPr>
          <w:rFonts w:hint="eastAsia" w:ascii="宋体" w:hAnsi="宋体" w:eastAsia="宋体" w:cs="宋体"/>
          <w:color w:val="auto"/>
          <w:sz w:val="24"/>
          <w:szCs w:val="24"/>
          <w:highlight w:val="none"/>
        </w:rPr>
      </w:pPr>
      <w:r>
        <w:rPr>
          <w:rFonts w:ascii="Times New Roman" w:hAnsi="Times New Roman" w:cs="Times New Roman"/>
          <w:bCs/>
          <w:color w:val="auto"/>
          <w:highlight w:val="none"/>
        </w:rPr>
        <w:t xml:space="preserve">（对于允许进口产品参加的项目）</w:t>
      </w:r>
      <w:r>
        <w:rPr>
          <w:rFonts w:ascii="Times New Roman" w:hAnsi="Times New Roman" w:cs="Times New Roman"/>
          <w:b/>
          <w:color w:val="auto"/>
          <w:szCs w:val="21"/>
          <w:highlight w:val="none"/>
          <w:lang w:val="zh-CN"/>
        </w:rPr>
        <w:br w:type="page" w:clear="all"/>
      </w:r>
      <w:r/>
    </w:p>
    <w:p>
      <w:pPr>
        <w:keepLines w:val="0"/>
        <w:keepNext w:val="0"/>
        <w:pageBreakBefore w:val="0"/>
        <w:spacing w:line="360" w:lineRule="auto"/>
        <w:widowControl/>
        <w:rPr>
          <w:rFonts w:hint="eastAsia" w:ascii="Times New Roman" w:hAnsi="Times New Roman" w:cs="Times New Roman"/>
          <w:b/>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十</w:t>
      </w:r>
      <w:r>
        <w:rPr>
          <w:rFonts w:ascii="Times New Roman" w:hAnsi="Times New Roman" w:cs="Times New Roman"/>
          <w:b/>
          <w:bCs/>
          <w:color w:val="auto"/>
          <w:highlight w:val="none"/>
          <w:lang w:eastAsia="zh-CN"/>
        </w:rPr>
        <w:t xml:space="preserve">、</w:t>
      </w:r>
      <w:r>
        <w:rPr>
          <w:rFonts w:ascii="Times New Roman" w:hAnsi="Times New Roman" w:cs="Times New Roman"/>
          <w:b/>
          <w:bCs/>
          <w:color w:val="auto"/>
          <w:highlight w:val="none"/>
        </w:rPr>
        <w:t xml:space="preserve">关于符合本国产品标准的声明函</w:t>
      </w:r>
      <w:r>
        <w:rPr>
          <w:rFonts w:ascii="Times New Roman" w:hAnsi="Times New Roman" w:cs="Times New Roman"/>
          <w:b/>
          <w:bCs/>
          <w:color w:val="auto"/>
          <w:highlight w:val="none"/>
          <w:lang w:val="en-US" w:eastAsia="zh-CN"/>
        </w:rPr>
        <w:t xml:space="preserve">格式</w:t>
      </w:r>
      <w:r/>
    </w:p>
    <w:p>
      <w:pPr>
        <w:pStyle w:val="760"/>
        <w:ind w:left="0" w:right="0"/>
        <w:jc w:val="left"/>
        <w:keepLines w:val="0"/>
        <w:keepNext w:val="0"/>
        <w:spacing w:before="15" w:beforeAutospacing="0" w:after="15" w:afterAutospacing="0"/>
        <w:shd w:val="clear" w:color="auto" w:fill="ffffff"/>
        <w:widowControl/>
        <w:rPr>
          <w:rFonts w:hint="eastAsia" w:ascii="Times New Roman" w:hAnsi="Times New Roman" w:cs="Times New Roman"/>
          <w:b/>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b/>
          <w:color w:val="auto"/>
          <w:highlight w:val="none"/>
          <w:lang w:val="en-US" w:eastAsia="zh-CN"/>
        </w:rPr>
      </w:r>
      <w:r/>
    </w:p>
    <w:p>
      <w:pPr>
        <w:jc w:val="center"/>
        <w:spacing w:line="360" w:lineRule="auto"/>
        <w:rPr>
          <w:rFonts w:hint="eastAsia" w:ascii="Times New Roman" w:hAnsi="Times New Roman" w:cs="Times New Roman"/>
          <w:b/>
          <w:bCs/>
          <w:color w:val="auto"/>
          <w:sz w:val="28"/>
          <w:highlight w:val="none"/>
        </w:rPr>
      </w:pPr>
      <w:r>
        <w:rPr>
          <w:rFonts w:hint="eastAsia" w:ascii="Times New Roman" w:hAnsi="Times New Roman" w:cs="Times New Roman"/>
          <w:b/>
          <w:bCs/>
          <w:color w:val="auto"/>
          <w:sz w:val="28"/>
          <w:highlight w:val="none"/>
        </w:rPr>
        <w:t xml:space="preserve">关于符合本国产品标准的声明函</w:t>
      </w:r>
      <w:r/>
    </w:p>
    <w:p>
      <w:pPr>
        <w:pStyle w:val="760"/>
        <w:ind w:firstLine="48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0"/>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760"/>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760"/>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760"/>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760"/>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760"/>
        <w:jc w:val="right"/>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公司（单位）名称（加盖CA电子公章）：         </w:t>
      </w:r>
      <w:r/>
    </w:p>
    <w:p>
      <w:pPr>
        <w:pStyle w:val="760"/>
        <w:jc w:val="center"/>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      年   月   日         </w:t>
      </w:r>
      <w:r/>
    </w:p>
    <w:p>
      <w:pPr>
        <w:pStyle w:val="760"/>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760"/>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760"/>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76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76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76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76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76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76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r>
        <w:rPr>
          <w:rFonts w:ascii="Times New Roman" w:hAnsi="Times New Roman" w:cs="Times New Roman"/>
          <w:b/>
          <w:bCs/>
          <w:color w:val="auto"/>
          <w:szCs w:val="21"/>
          <w:highlight w:val="none"/>
        </w:rPr>
        <w:br w:type="page" w:clear="all"/>
      </w:r>
      <w:r/>
    </w:p>
    <w:p>
      <w:pPr>
        <w:keepLines w:val="0"/>
        <w:keepNext w:val="0"/>
        <w:pageBreakBefore w:val="0"/>
        <w:spacing w:line="360" w:lineRule="auto"/>
        <w:widowControl/>
        <w:rPr>
          <w:rFonts w:ascii="Times New Roman" w:hAnsi="Times New Roman" w:cs="Times New Roman"/>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十一</w:t>
      </w:r>
      <w:r>
        <w:rPr>
          <w:rFonts w:ascii="Times New Roman" w:hAnsi="Times New Roman" w:cs="Times New Roman"/>
          <w:b/>
          <w:bCs/>
          <w:color w:val="auto"/>
          <w:highlight w:val="none"/>
        </w:rPr>
        <w:t xml:space="preserve">、无重大违法记录声明格式</w:t>
      </w:r>
      <w:r/>
    </w:p>
    <w:p>
      <w:pPr>
        <w:jc w:val="center"/>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t xml:space="preserve">无重大违法记录声明</w:t>
      </w:r>
      <w:r/>
    </w:p>
    <w:p>
      <w:pPr>
        <w:spacing w:line="360" w:lineRule="auto"/>
        <w:rPr>
          <w:rFonts w:ascii="宋体" w:hAnsi="宋体" w:eastAsia="宋体"/>
          <w:b/>
          <w:color w:val="auto"/>
          <w:sz w:val="21"/>
          <w:szCs w:val="21"/>
          <w:highlight w:val="none"/>
          <w:u w:val="single"/>
        </w:rPr>
      </w:pPr>
      <w:r>
        <w:rPr>
          <w:rFonts w:hint="eastAsia" w:ascii="宋体" w:hAnsi="宋体" w:eastAsia="宋体"/>
          <w:b/>
          <w:color w:val="auto"/>
          <w:sz w:val="21"/>
          <w:szCs w:val="21"/>
          <w:highlight w:val="none"/>
        </w:rPr>
        <w:t xml:space="preserve">致：</w:t>
      </w:r>
      <w:r>
        <w:rPr>
          <w:rFonts w:hint="eastAsia" w:ascii="宋体" w:hAnsi="宋体" w:eastAsia="宋体"/>
          <w:b/>
          <w:color w:val="auto"/>
          <w:sz w:val="21"/>
          <w:szCs w:val="21"/>
          <w:highlight w:val="none"/>
          <w:u w:val="single"/>
        </w:rPr>
        <w:t xml:space="preserve">采购人</w:t>
      </w:r>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    我单位</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（供应商名称）郑重声明：</w:t>
      </w:r>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    参加政府采购活动前三年内在经营活动中</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（在下划线上如实填写：有或没有）重大违法记录。</w:t>
      </w:r>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                                            </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单位名称（</w:t>
      </w:r>
      <w:r>
        <w:rPr>
          <w:rFonts w:hint="eastAsia" w:ascii="宋体" w:hAnsi="宋体" w:eastAsia="宋体" w:cs="宋体"/>
          <w:color w:val="auto"/>
          <w:sz w:val="21"/>
          <w:szCs w:val="21"/>
          <w:highlight w:val="none"/>
        </w:rPr>
        <w:t xml:space="preserve">加盖电子公章</w:t>
      </w:r>
      <w:r>
        <w:rPr>
          <w:rFonts w:hint="eastAsia" w:ascii="宋体" w:hAnsi="宋体" w:eastAsia="宋体"/>
          <w:color w:val="auto"/>
          <w:sz w:val="21"/>
          <w:szCs w:val="21"/>
          <w:highlight w:val="none"/>
        </w:rPr>
        <w:t xml:space="preserve">）：</w:t>
      </w:r>
      <w:r/>
    </w:p>
    <w:p>
      <w:pPr>
        <w:ind w:firstLine="420"/>
        <w:spacing w:line="360" w:lineRule="auto"/>
        <w:rPr>
          <w:rFonts w:hint="eastAsia" w:ascii="宋体" w:hAnsi="宋体" w:eastAsia="宋体"/>
          <w:b/>
          <w:color w:val="auto"/>
          <w:sz w:val="21"/>
          <w:szCs w:val="21"/>
          <w:highlight w:val="none"/>
        </w:rPr>
      </w:pPr>
      <w:r>
        <w:rPr>
          <w:rFonts w:hint="eastAsia" w:ascii="宋体" w:hAnsi="宋体" w:eastAsia="宋体"/>
          <w:color w:val="auto"/>
          <w:sz w:val="21"/>
          <w:szCs w:val="21"/>
          <w:highlight w:val="none"/>
        </w:rPr>
        <w:t xml:space="preserve">日  期：</w:t>
      </w:r>
      <w:r>
        <w:rPr>
          <w:rFonts w:ascii="Times New Roman" w:hAnsi="Times New Roman" w:cs="Times New Roman"/>
          <w:b/>
          <w:bCs/>
          <w:color w:val="auto"/>
          <w:szCs w:val="21"/>
          <w:highlight w:val="none"/>
        </w:rPr>
        <w:br w:type="page" w:clear="all"/>
      </w:r>
      <w:r/>
    </w:p>
    <w:p>
      <w:pPr>
        <w:keepLines w:val="0"/>
        <w:keepNext w:val="0"/>
        <w:pageBreakBefore w:val="0"/>
        <w:spacing w:line="360" w:lineRule="auto"/>
        <w:widowControl/>
        <w:rPr>
          <w:rFonts w:hint="default" w:ascii="Times New Roman" w:hAnsi="Times New Roman" w:eastAsia="宋体"/>
          <w:b/>
          <w:bCs/>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十二</w:t>
      </w:r>
      <w:r>
        <w:rPr>
          <w:rFonts w:ascii="Times New Roman" w:hAnsi="Times New Roman" w:cs="Times New Roman"/>
          <w:b/>
          <w:bCs/>
          <w:color w:val="auto"/>
          <w:highlight w:val="none"/>
        </w:rPr>
        <w:t xml:space="preserve">、具备履行合同所必需的设备和专业技术能力的声明格式及证明材料</w:t>
      </w:r>
      <w:r/>
    </w:p>
    <w:p>
      <w:pPr>
        <w:jc w:val="cente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具备履行合同所必需的设备和专业技术能力的声明</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致：（采购人）</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我单位</w:t>
      </w:r>
      <w:r>
        <w:rPr>
          <w:rFonts w:hint="eastAsia" w:ascii="宋体" w:hAnsi="宋体" w:eastAsia="宋体"/>
          <w:color w:val="auto"/>
          <w:sz w:val="21"/>
          <w:szCs w:val="21"/>
          <w:highlight w:val="none"/>
          <w:u w:val="single"/>
        </w:rPr>
        <w:t xml:space="preserve">           （供应商名称）</w:t>
      </w:r>
      <w:r>
        <w:rPr>
          <w:rFonts w:hint="eastAsia" w:ascii="宋体" w:hAnsi="宋体" w:eastAsia="宋体"/>
          <w:color w:val="auto"/>
          <w:sz w:val="21"/>
          <w:szCs w:val="21"/>
          <w:highlight w:val="none"/>
        </w:rPr>
        <w:t xml:space="preserve">郑重声明：我公司具备履行本项采购合同所必需的设备和专业技术能力，为履行本项采购合同我单位具备如下主要设备和主要专业技术能力：</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主要设备有：</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 若有 ）</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主要专业技术能力有：</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 若有 ）</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声明人：（</w:t>
      </w:r>
      <w:r>
        <w:rPr>
          <w:rFonts w:hint="eastAsia" w:ascii="宋体" w:hAnsi="宋体" w:eastAsia="宋体" w:cs="宋体"/>
          <w:color w:val="auto"/>
          <w:sz w:val="21"/>
          <w:szCs w:val="21"/>
          <w:highlight w:val="none"/>
        </w:rPr>
        <w:t xml:space="preserve">加盖电子公章</w:t>
      </w:r>
      <w:r>
        <w:rPr>
          <w:rFonts w:hint="eastAsia" w:ascii="宋体" w:hAnsi="宋体" w:eastAsia="宋体"/>
          <w:color w:val="auto"/>
          <w:sz w:val="21"/>
          <w:szCs w:val="21"/>
          <w:highlight w:val="none"/>
        </w:rPr>
        <w:t xml:space="preserve">）</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日期：______年</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月</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日</w:t>
      </w:r>
      <w:r>
        <w:rPr>
          <w:rFonts w:hint="eastAsia" w:ascii="Times New Roman" w:hAnsi="Times New Roman" w:cs="Times New Roman"/>
          <w:b/>
          <w:bCs/>
          <w:color w:val="auto"/>
          <w:szCs w:val="21"/>
          <w:highlight w:val="none"/>
        </w:rPr>
        <w:br w:type="page" w:clear="all"/>
      </w:r>
      <w:bookmarkStart w:id="102" w:name="_Toc14532"/>
      <w:r/>
      <w:bookmarkStart w:id="103" w:name="_Toc32294"/>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十三</w:t>
      </w:r>
      <w:r>
        <w:rPr>
          <w:rFonts w:ascii="Times New Roman" w:hAnsi="Times New Roman" w:cs="Times New Roman"/>
          <w:b/>
          <w:bCs/>
          <w:color w:val="auto"/>
          <w:highlight w:val="none"/>
        </w:rPr>
        <w:t xml:space="preserve">、</w:t>
      </w:r>
      <w:r>
        <w:rPr>
          <w:rFonts w:ascii="Times New Roman" w:hAnsi="Times New Roman" w:cs="Times New Roman"/>
          <w:b/>
          <w:bCs/>
          <w:color w:val="auto"/>
          <w:highlight w:val="none"/>
          <w:lang w:val="en-US" w:eastAsia="zh-CN"/>
        </w:rPr>
        <w:t xml:space="preserve">项目实施方案</w:t>
      </w:r>
      <w:bookmarkEnd w:id="102"/>
      <w:r/>
      <w:bookmarkEnd w:id="103"/>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br w:type="page" w:clear="all"/>
      </w:r>
      <w:r/>
    </w:p>
    <w:p>
      <w:pPr>
        <w:jc w:val="left"/>
        <w:keepLines w:val="0"/>
        <w:keepNext w:val="0"/>
        <w:pageBreakBefore w:val="0"/>
        <w:spacing w:line="360" w:lineRule="auto"/>
        <w:widowControl/>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b/>
          <w:bCs/>
          <w:color w:val="auto"/>
          <w:highlight w:val="none"/>
          <w:lang w:val="en-US" w:eastAsia="zh-CN"/>
        </w:rPr>
        <w:t xml:space="preserve">附件十四、售后服务方案</w:t>
      </w:r>
      <w:r>
        <w:rPr>
          <w:rFonts w:ascii="Times New Roman" w:hAnsi="Times New Roman" w:cs="Times New Roman"/>
          <w:color w:val="auto"/>
          <w:highlight w:val="none"/>
        </w:rPr>
        <w:br w:type="page" w:clear="all"/>
      </w:r>
      <w:r/>
    </w:p>
    <w:p>
      <w:pPr>
        <w:jc w:val="left"/>
        <w:keepLines w:val="0"/>
        <w:keepNext w:val="0"/>
        <w:pageBreakBefore w:val="0"/>
        <w:spacing w:line="360" w:lineRule="auto"/>
        <w:widowControl/>
        <w:rPr>
          <w:rFonts w:ascii="Times New Roman" w:hAnsi="Times New Roman" w:cs="Times New Roman"/>
          <w:b/>
          <w:bCs/>
          <w:color w:val="auto"/>
          <w:highlight w:val="none"/>
          <w:lang w:val="en-US" w:eastAsia="zh-CN"/>
          <w14:ligatures w14:val="none"/>
        </w:rPr>
        <w:pBdr>
          <w:top w:val="none" w:color="000000" w:sz="0" w:space="0"/>
          <w:left w:val="none" w:color="000000" w:sz="0" w:space="0"/>
          <w:bottom w:val="none" w:color="000000" w:sz="0" w:space="0"/>
          <w:right w:val="none" w:color="000000" w:sz="0" w:space="0"/>
          <w:between w:val="none" w:color="000000" w:sz="0" w:space="0"/>
        </w:pBdr>
        <w:outlineLvl w:val="1"/>
      </w:pPr>
      <w:r/>
      <w:bookmarkStart w:id="104" w:name="_Toc19102"/>
      <w:r/>
      <w:bookmarkStart w:id="105" w:name="_Toc27268"/>
      <w:r>
        <w:rPr>
          <w:rFonts w:ascii="Times New Roman" w:hAnsi="Times New Roman" w:cs="Times New Roman"/>
          <w:b/>
          <w:bCs/>
          <w:color w:val="auto"/>
          <w:highlight w:val="none"/>
          <w:lang w:val="en-US" w:eastAsia="zh-CN"/>
        </w:rPr>
        <w:t xml:space="preserve">附件十五、履约能力</w:t>
      </w:r>
      <w:bookmarkEnd w:id="104"/>
      <w:r/>
      <w:bookmarkEnd w:id="105"/>
      <w:r/>
      <w:r/>
    </w:p>
    <w:p>
      <w:pPr>
        <w:rPr>
          <w:rFonts w:ascii="Times New Roman" w:hAnsi="Times New Roman" w:cs="Times New Roman"/>
          <w:b/>
          <w:bCs/>
          <w:color w:val="auto"/>
          <w:sz w:val="21"/>
          <w:szCs w:val="18"/>
          <w:highlight w:val="none"/>
        </w:rPr>
      </w:pPr>
      <w:r>
        <w:rPr>
          <w:rFonts w:ascii="Times New Roman" w:hAnsi="Times New Roman" w:cs="Times New Roman"/>
          <w:b/>
          <w:bCs/>
          <w:color w:val="auto"/>
          <w:sz w:val="21"/>
          <w:szCs w:val="18"/>
          <w:highlight w:val="none"/>
        </w:rPr>
      </w:r>
      <w:r/>
    </w:p>
    <w:p>
      <w:pPr>
        <w:rPr>
          <w:rFonts w:ascii="Times New Roman" w:hAnsi="Times New Roman" w:cs="Times New Roman"/>
          <w:b/>
          <w:bCs/>
          <w:color w:val="auto"/>
          <w:sz w:val="21"/>
          <w:szCs w:val="18"/>
          <w:highlight w:val="none"/>
        </w:rPr>
      </w:pPr>
      <w:r>
        <w:rPr>
          <w:rFonts w:ascii="Times New Roman" w:hAnsi="Times New Roman" w:cs="Times New Roman"/>
          <w:b/>
          <w:bCs/>
          <w:color w:val="auto"/>
          <w:sz w:val="21"/>
          <w:szCs w:val="18"/>
          <w:highlight w:val="none"/>
        </w:rPr>
      </w:r>
      <w:r/>
    </w:p>
    <w:p>
      <w:pPr>
        <w:rPr>
          <w:rFonts w:ascii="Times New Roman" w:hAnsi="Times New Roman" w:cs="Times New Roman"/>
          <w:b/>
          <w:bCs/>
          <w:color w:val="auto"/>
          <w:sz w:val="21"/>
          <w:szCs w:val="18"/>
          <w:highlight w:val="none"/>
        </w:rPr>
      </w:pPr>
      <w:r>
        <w:rPr>
          <w:rFonts w:ascii="Times New Roman" w:hAnsi="Times New Roman" w:cs="Times New Roman"/>
          <w:b/>
          <w:bCs/>
          <w:color w:val="auto"/>
          <w:sz w:val="21"/>
          <w:szCs w:val="18"/>
          <w:highlight w:val="none"/>
        </w:rPr>
      </w:r>
      <w:r/>
    </w:p>
    <w:p>
      <w:pPr>
        <w:rPr>
          <w:rFonts w:ascii="Times New Roman" w:hAnsi="Times New Roman" w:cs="Times New Roman"/>
          <w:b/>
          <w:bCs/>
          <w:color w:val="auto"/>
          <w:sz w:val="21"/>
          <w:szCs w:val="18"/>
          <w:highlight w:val="none"/>
        </w:rPr>
      </w:pPr>
      <w:r>
        <w:rPr>
          <w:rFonts w:ascii="Times New Roman" w:hAnsi="Times New Roman" w:cs="Times New Roman"/>
          <w:b/>
          <w:bCs/>
          <w:color w:val="auto"/>
          <w:sz w:val="21"/>
          <w:szCs w:val="18"/>
          <w:highlight w:val="none"/>
        </w:rPr>
      </w:r>
      <w:r/>
    </w:p>
    <w:p>
      <w:pPr>
        <w:rPr>
          <w:rFonts w:ascii="Times New Roman" w:hAnsi="Times New Roman" w:cs="Times New Roman"/>
          <w:b/>
          <w:bCs/>
          <w:color w:val="auto"/>
          <w:sz w:val="21"/>
          <w:szCs w:val="18"/>
          <w:highlight w:val="none"/>
        </w:rPr>
      </w:pPr>
      <w:r>
        <w:rPr>
          <w:rFonts w:ascii="Times New Roman" w:hAnsi="Times New Roman" w:cs="Times New Roman"/>
          <w:b/>
          <w:bCs/>
          <w:color w:val="auto"/>
          <w:sz w:val="21"/>
          <w:szCs w:val="18"/>
          <w:highlight w:val="none"/>
        </w:rPr>
      </w:r>
      <w:r/>
    </w:p>
    <w:p>
      <w:pPr>
        <w:rPr>
          <w:rFonts w:ascii="Times New Roman" w:hAnsi="Times New Roman" w:cs="Times New Roman"/>
          <w:b/>
          <w:bCs/>
          <w:color w:val="auto"/>
          <w:sz w:val="21"/>
          <w:szCs w:val="18"/>
          <w:highlight w:val="none"/>
        </w:rPr>
      </w:pPr>
      <w:r>
        <w:rPr>
          <w:rFonts w:ascii="Times New Roman" w:hAnsi="Times New Roman" w:cs="Times New Roman"/>
          <w:b/>
          <w:bCs/>
          <w:color w:val="auto"/>
          <w:sz w:val="21"/>
          <w:szCs w:val="18"/>
          <w:highlight w:val="none"/>
        </w:rPr>
      </w:r>
      <w:r/>
    </w:p>
    <w:p>
      <w:pPr>
        <w:rPr>
          <w:rFonts w:ascii="Times New Roman" w:hAnsi="Times New Roman" w:cs="Times New Roman"/>
          <w:b/>
          <w:bCs/>
          <w:color w:val="auto"/>
          <w:sz w:val="21"/>
          <w:szCs w:val="18"/>
          <w:highlight w:val="none"/>
        </w:rPr>
      </w:pPr>
      <w:r>
        <w:rPr>
          <w:rFonts w:ascii="Times New Roman" w:hAnsi="Times New Roman" w:cs="Times New Roman"/>
          <w:b/>
          <w:bCs/>
          <w:color w:val="auto"/>
          <w:sz w:val="21"/>
          <w:szCs w:val="18"/>
          <w:highlight w:val="none"/>
        </w:rPr>
      </w:r>
      <w:r/>
    </w:p>
    <w:p>
      <w:pPr>
        <w:rPr>
          <w:rFonts w:ascii="Times New Roman" w:hAnsi="Times New Roman" w:cs="Times New Roman"/>
          <w:b/>
          <w:bCs/>
          <w:color w:val="auto"/>
          <w:sz w:val="21"/>
          <w:szCs w:val="18"/>
          <w:highlight w:val="none"/>
        </w:rPr>
      </w:pPr>
      <w:r>
        <w:rPr>
          <w:rFonts w:ascii="Times New Roman" w:hAnsi="Times New Roman" w:cs="Times New Roman"/>
          <w:b/>
          <w:bCs/>
          <w:color w:val="auto"/>
          <w:sz w:val="21"/>
          <w:szCs w:val="18"/>
          <w:highlight w:val="none"/>
        </w:rPr>
      </w:r>
      <w:r/>
    </w:p>
    <w:p>
      <w:pPr>
        <w:jc w:val="left"/>
        <w:rPr>
          <w:rFonts w:ascii="Times New Roman" w:hAnsi="Times New Roman" w:cs="Times New Roman"/>
          <w:b/>
          <w:bCs/>
          <w:color w:val="auto"/>
          <w:sz w:val="24"/>
          <w:szCs w:val="24"/>
          <w:highlight w:val="none"/>
        </w:rPr>
      </w:pPr>
      <w:r>
        <w:rPr>
          <w:rFonts w:ascii="Times New Roman" w:hAnsi="Times New Roman" w:cs="Times New Roman"/>
          <w:b/>
          <w:bCs/>
          <w:color w:val="auto"/>
          <w:sz w:val="24"/>
          <w:szCs w:val="24"/>
          <w:highlight w:val="none"/>
        </w:rPr>
      </w:r>
      <w:r/>
    </w:p>
    <w:p>
      <w:pPr>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21"/>
          <w:highlight w:val="none"/>
        </w:rPr>
      </w:r>
      <w:r/>
    </w:p>
    <w:p>
      <w:pPr>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21"/>
          <w:highlight w:val="none"/>
        </w:rPr>
      </w:r>
      <w:r/>
    </w:p>
    <w:p>
      <w:pPr>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21"/>
          <w:highlight w:val="none"/>
        </w:rPr>
      </w:r>
      <w:r/>
    </w:p>
    <w:p>
      <w:pPr>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21"/>
          <w:highlight w:val="none"/>
        </w:rPr>
      </w:r>
      <w:r/>
    </w:p>
    <w:p>
      <w:pPr>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21"/>
          <w:highlight w:val="none"/>
        </w:rPr>
      </w:r>
      <w:r/>
    </w:p>
    <w:p>
      <w:pPr>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21"/>
          <w:highlight w:val="none"/>
        </w:rPr>
      </w:r>
      <w:r/>
    </w:p>
    <w:p>
      <w:pPr>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21"/>
          <w:highlight w:val="none"/>
        </w:rPr>
      </w:r>
      <w:r/>
    </w:p>
    <w:p>
      <w:pPr>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21"/>
          <w:highlight w:val="none"/>
        </w:rPr>
      </w:r>
      <w:r/>
    </w:p>
    <w:p>
      <w:pPr>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21"/>
          <w:highlight w:val="none"/>
        </w:rPr>
      </w:r>
      <w:r/>
    </w:p>
    <w:p>
      <w:pPr>
        <w:rPr>
          <w:rFonts w:ascii="Times New Roman" w:hAnsi="Times New Roman" w:cs="Times New Roman"/>
          <w:b/>
          <w:bCs/>
          <w:color w:val="auto"/>
          <w:sz w:val="21"/>
          <w:szCs w:val="21"/>
          <w:highlight w:val="none"/>
        </w:rPr>
      </w:pPr>
      <w:r>
        <w:rPr>
          <w:rFonts w:ascii="Times New Roman" w:hAnsi="Times New Roman" w:cs="Times New Roman"/>
          <w:b/>
          <w:bCs/>
          <w:color w:val="auto"/>
          <w:sz w:val="21"/>
          <w:szCs w:val="18"/>
          <w:highlight w:val="none"/>
        </w:rPr>
        <w:br w:type="page" w:clear="all"/>
      </w:r>
      <w:r/>
    </w:p>
    <w:p>
      <w:pPr>
        <w:jc w:val="left"/>
        <w:keepLines w:val="0"/>
        <w:keepNext w:val="0"/>
        <w:pageBreakBefore w:val="0"/>
        <w:spacing w:line="360" w:lineRule="auto"/>
        <w:widowControl/>
        <w:rPr>
          <w:rFonts w:ascii="Times New Roman" w:hAnsi="Times New Roman" w:cs="Times New Roman"/>
          <w:b/>
          <w:bCs/>
          <w:color w:val="auto"/>
          <w:highlight w:val="none"/>
          <w:lang w:val="en-US" w:eastAsia="zh-CN"/>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b/>
          <w:bCs/>
          <w:color w:val="auto"/>
          <w:highlight w:val="none"/>
          <w:lang w:val="en-US" w:eastAsia="zh-CN"/>
        </w:rPr>
        <w:t xml:space="preserve">附件十六、节能环保</w:t>
      </w:r>
      <w:r>
        <w:rPr>
          <w:rFonts w:ascii="Times New Roman" w:hAnsi="Times New Roman" w:cs="Times New Roman"/>
          <w:b/>
          <w:bCs/>
          <w:color w:val="auto"/>
          <w:sz w:val="21"/>
          <w:szCs w:val="18"/>
          <w:highlight w:val="none"/>
        </w:rPr>
        <w:br w:type="page" w:clear="all"/>
      </w:r>
      <w:r>
        <w:rPr>
          <w:rFonts w:ascii="Times New Roman" w:hAnsi="Times New Roman" w:cs="Times New Roman"/>
          <w:b/>
          <w:bCs/>
          <w:color w:val="auto"/>
          <w:highlight w:val="none"/>
          <w:lang w:val="en-US" w:eastAsia="zh-CN"/>
        </w:rPr>
        <w:t xml:space="preserve">附件十七、投标人业绩</w:t>
      </w:r>
      <w:r/>
    </w:p>
    <w:p>
      <w:pPr>
        <w:jc w:val="center"/>
        <w:spacing w:line="360" w:lineRule="auto"/>
        <w:widowControl/>
        <w:rPr>
          <w:rFonts w:ascii="Times New Roman" w:hAnsi="Times New Roman" w:cs="Times New Roman"/>
          <w:b/>
          <w:bCs/>
          <w:color w:val="auto"/>
          <w:sz w:val="24"/>
          <w:highlight w:val="none"/>
        </w:rPr>
      </w:pPr>
      <w:r>
        <w:rPr>
          <w:rFonts w:ascii="Times New Roman" w:hAnsi="Times New Roman" w:cs="Times New Roman"/>
          <w:b/>
          <w:bCs/>
          <w:color w:val="auto"/>
          <w:sz w:val="24"/>
          <w:highlight w:val="none"/>
        </w:rPr>
      </w:r>
      <w:r/>
    </w:p>
    <w:p>
      <w:pPr>
        <w:jc w:val="center"/>
        <w:spacing w:line="360" w:lineRule="auto"/>
        <w:widowControl/>
        <w:rPr>
          <w:rFonts w:ascii="Times New Roman" w:hAnsi="Times New Roman" w:cs="Times New Roman"/>
          <w:b/>
          <w:bCs/>
          <w:color w:val="auto"/>
          <w:sz w:val="24"/>
          <w:highlight w:val="none"/>
        </w:rPr>
      </w:pPr>
      <w:r>
        <w:rPr>
          <w:rFonts w:ascii="Times New Roman" w:hAnsi="Times New Roman" w:cs="Times New Roman"/>
          <w:b/>
          <w:bCs/>
          <w:color w:val="auto"/>
          <w:sz w:val="24"/>
          <w:highlight w:val="none"/>
        </w:rPr>
        <w:t xml:space="preserve">投标人类似业绩情况表</w:t>
      </w:r>
      <w:r/>
    </w:p>
    <w:tbl>
      <w:tblPr>
        <w:tblStyle w:val="725"/>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项目</w:t>
            </w:r>
            <w:r/>
          </w:p>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获奖</w:t>
            </w:r>
            <w:r/>
          </w:p>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签约及服务</w:t>
            </w:r>
            <w:r/>
          </w:p>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bl>
    <w:p>
      <w:pPr>
        <w:jc w:val="left"/>
        <w:spacing w:line="360" w:lineRule="auto"/>
        <w:shd w:val="clear" w:color="auto" w:fill="ffffff"/>
        <w:widowControl/>
        <w:rPr>
          <w:rFonts w:ascii="Times New Roman" w:hAnsi="Times New Roman" w:cs="Times New Roman"/>
          <w:color w:val="auto"/>
          <w:szCs w:val="21"/>
          <w:highlight w:val="none"/>
        </w:rPr>
      </w:pPr>
      <w:r>
        <w:rPr>
          <w:rFonts w:hint="eastAsia" w:cs="Times New Roman"/>
          <w:color w:val="auto"/>
          <w:szCs w:val="21"/>
          <w:highlight w:val="none"/>
          <w:lang w:eastAsia="zh-CN"/>
        </w:rPr>
        <w:t xml:space="preserve">投标单位（加盖CA电子公章）：      </w:t>
      </w:r>
      <w:r>
        <w:rPr>
          <w:rFonts w:ascii="Times New Roman" w:hAnsi="Times New Roman" w:cs="Times New Roman"/>
          <w:b/>
          <w:bCs/>
          <w:color w:val="auto"/>
          <w:szCs w:val="21"/>
          <w:highlight w:val="none"/>
        </w:rPr>
        <w:br w:type="page" w:clear="all"/>
      </w:r>
      <w:r/>
    </w:p>
    <w:p>
      <w:pPr>
        <w:jc w:val="left"/>
        <w:keepLines w:val="0"/>
        <w:keepNext w:val="0"/>
        <w:pageBreakBefore w:val="0"/>
        <w:spacing w:line="360" w:lineRule="auto"/>
        <w:widowControl/>
        <w:rPr>
          <w:rFonts w:ascii="Times New Roman" w:hAnsi="Times New Roman" w:cs="Times New Roman"/>
          <w:b/>
          <w:bCs/>
          <w:color w:val="auto"/>
          <w:highlight w:val="none"/>
          <w:lang w:val="en-US" w:eastAsia="zh-CN"/>
          <w14:ligatures w14:val="none"/>
        </w:rPr>
        <w:pBdr>
          <w:top w:val="none" w:color="000000" w:sz="0" w:space="0"/>
          <w:left w:val="none" w:color="000000" w:sz="0" w:space="0"/>
          <w:bottom w:val="none" w:color="000000" w:sz="0" w:space="0"/>
          <w:right w:val="none" w:color="000000" w:sz="0" w:space="0"/>
          <w:between w:val="none" w:color="000000" w:sz="0" w:space="0"/>
        </w:pBdr>
        <w:outlineLvl w:val="1"/>
      </w:pPr>
      <w:r/>
      <w:bookmarkStart w:id="106" w:name="_Toc27527"/>
      <w:r/>
      <w:bookmarkStart w:id="107" w:name="_Toc21470"/>
      <w:r>
        <w:rPr>
          <w:rFonts w:ascii="Times New Roman" w:hAnsi="Times New Roman" w:cs="Times New Roman"/>
          <w:b/>
          <w:bCs/>
          <w:color w:val="auto"/>
          <w:highlight w:val="none"/>
          <w:lang w:val="en-US" w:eastAsia="zh-CN"/>
        </w:rPr>
        <w:t xml:space="preserve">附件十八、供应商人认为需要提供的其他材料</w:t>
      </w:r>
      <w:bookmarkEnd w:id="106"/>
      <w:r/>
      <w:bookmarkEnd w:id="107"/>
      <w:r/>
      <w:r/>
    </w:p>
    <w:sectPr>
      <w:footerReference w:type="default" r:id="rId16"/>
      <w:footnotePr/>
      <w:endnotePr/>
      <w:type w:val="nextPage"/>
      <w:pgSz w:w="11906" w:h="16838" w:orient="portrait"/>
      <w:pgMar w:top="1440" w:right="1803" w:bottom="1440" w:left="1599"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仿宋">
    <w:panose1 w:val="02010609060101010101"/>
  </w:font>
  <w:font w:name="等线">
    <w:panose1 w:val="0201060003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楷体_GB2312">
    <w:panose1 w:val="02010609060101010101"/>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tabs>
        <w:tab w:val="clear" w:pos="4153" w:leader="none"/>
        <w:tab w:val="left" w:pos="5660" w:leader="none"/>
        <w:tab w:val="clear" w:pos="8306" w:leader="none"/>
      </w:tabs>
    </w:pP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pPr>
    <w:r>
      <w:fldChar w:fldCharType="begin"/>
    </w:r>
    <w:r>
      <w:instrText xml:space="preserve">PAGE \* MERGEFORMAT</w:instrText>
    </w:r>
    <w:r>
      <w:fldChar w:fldCharType="separate"/>
    </w:r>
    <w:r>
      <w:t xml:space="preserve">2</w:t>
    </w:r>
    <w:r>
      <w:fldChar w:fldCharType="end"/>
    </w:r>
    <w:r/>
  </w:p>
  <w:p>
    <w:pPr>
      <w:pStyle w:val="74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pPr>
    <w:r>
      <w:fldChar w:fldCharType="begin"/>
    </w:r>
    <w:r>
      <w:instrText xml:space="preserve">PAGE \* MERGEFORMAT</w:instrText>
    </w:r>
    <w:r>
      <w:fldChar w:fldCharType="separate"/>
    </w:r>
    <w:r>
      <w:t xml:space="preserve">1</w:t>
    </w:r>
    <w:r>
      <w:fldChar w:fldCharType="end"/>
    </w:r>
    <w:r/>
  </w:p>
  <w:p>
    <w:pPr>
      <w:pStyle w:val="74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pPr>
    <w:r>
      <w:fldChar w:fldCharType="begin"/>
    </w:r>
    <w:r>
      <w:instrText xml:space="preserve">PAGE \* MERGEFORMAT</w:instrText>
    </w:r>
    <w:r>
      <w:fldChar w:fldCharType="separate"/>
    </w:r>
    <w:r>
      <w:t xml:space="preserve">32</w:t>
    </w:r>
    <w:r>
      <w:fldChar w:fldCharType="end"/>
    </w:r>
    <w:r/>
  </w:p>
  <w:p>
    <w:pPr>
      <w:pStyle w:val="7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next w:val="726"/>
    <w:link w:val="947"/>
    <w:uiPriority w:val="1"/>
    <w:qFormat/>
    <w:pPr>
      <w:jc w:val="both"/>
    </w:pPr>
    <w:rPr>
      <w:rFonts w:hint="default" w:ascii="Times New Roman" w:hAnsi="Times New Roman" w:eastAsia="宋体" w:cs="Times New Roman"/>
      <w:sz w:val="21"/>
      <w:szCs w:val="21"/>
      <w:lang w:val="en-US" w:eastAsia="zh-CN" w:bidi="ar-SA"/>
    </w:rPr>
  </w:style>
  <w:style w:type="paragraph" w:styleId="715">
    <w:name w:val="Heading 1"/>
    <w:basedOn w:val="714"/>
    <w:next w:val="714"/>
    <w:uiPriority w:val="7"/>
    <w:qFormat/>
    <w:pPr>
      <w:spacing w:before="340" w:after="330" w:line="576" w:lineRule="auto"/>
      <w:outlineLvl w:val="0"/>
    </w:pPr>
    <w:rPr>
      <w:b/>
      <w:sz w:val="44"/>
      <w:szCs w:val="44"/>
    </w:rPr>
  </w:style>
  <w:style w:type="paragraph" w:styleId="716">
    <w:name w:val="Heading 2"/>
    <w:basedOn w:val="714"/>
    <w:next w:val="714"/>
    <w:uiPriority w:val="8"/>
    <w:qFormat/>
    <w:pPr>
      <w:spacing w:before="260" w:after="260" w:line="412" w:lineRule="auto"/>
      <w:outlineLvl w:val="1"/>
    </w:pPr>
    <w:rPr>
      <w:rFonts w:ascii="Arial" w:hAnsi="Arial" w:eastAsia="黑体"/>
      <w:b/>
      <w:sz w:val="32"/>
      <w:szCs w:val="32"/>
    </w:rPr>
  </w:style>
  <w:style w:type="paragraph" w:styleId="717">
    <w:name w:val="Heading 3"/>
    <w:basedOn w:val="714"/>
    <w:next w:val="714"/>
    <w:link w:val="772"/>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uiPriority w:val="0"/>
    <w:qFormat/>
    <w:pPr>
      <w:keepLines/>
      <w:keepNext/>
      <w:spacing w:before="120" w:after="120"/>
      <w:outlineLvl w:val="3"/>
    </w:pPr>
    <w:rPr>
      <w:rFonts w:ascii="Arial" w:hAnsi="Arial" w:eastAsia="黑体"/>
      <w:b/>
      <w:sz w:val="28"/>
      <w:szCs w:val="20"/>
    </w:rPr>
  </w:style>
  <w:style w:type="paragraph" w:styleId="719">
    <w:name w:val="Heading 5"/>
    <w:basedOn w:val="714"/>
    <w:next w:val="714"/>
    <w:link w:val="774"/>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75"/>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77"/>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78"/>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2"/>
    <w:semiHidden/>
    <w:qFormat/>
  </w:style>
  <w:style w:type="table" w:styleId="725" w:default="1">
    <w:name w:val="Normal Table"/>
    <w:uiPriority w:val="3"/>
    <w:semiHidden/>
    <w:qFormat/>
    <w:tblPr>
      <w:tblCellMar>
        <w:left w:w="108" w:type="dxa"/>
        <w:top w:w="0" w:type="dxa"/>
        <w:right w:w="108" w:type="dxa"/>
        <w:bottom w:w="0" w:type="dxa"/>
      </w:tblCellMar>
    </w:tblPr>
  </w:style>
  <w:style w:type="paragraph" w:styleId="726" w:customStyle="1">
    <w:name w:val="标题 41"/>
    <w:basedOn w:val="714"/>
    <w:next w:val="714"/>
    <w:uiPriority w:val="0"/>
    <w:qFormat/>
    <w:pPr>
      <w:keepLines/>
      <w:keepNext/>
      <w:spacing w:before="280" w:after="290" w:line="376" w:lineRule="auto"/>
      <w:outlineLvl w:val="3"/>
    </w:pPr>
    <w:rPr>
      <w:rFonts w:ascii="Arial" w:hAnsi="Arial" w:eastAsia="黑体" w:cs="Arial"/>
      <w:b/>
      <w:bCs/>
      <w:sz w:val="28"/>
      <w:szCs w:val="28"/>
    </w:rPr>
  </w:style>
  <w:style w:type="paragraph" w:styleId="727">
    <w:name w:val="toc 7"/>
    <w:basedOn w:val="714"/>
    <w:next w:val="714"/>
    <w:uiPriority w:val="39"/>
    <w:unhideWhenUsed/>
    <w:pPr>
      <w:ind w:left="1701" w:right="0" w:firstLine="0"/>
      <w:spacing w:after="57"/>
    </w:pPr>
  </w:style>
  <w:style w:type="paragraph" w:styleId="728">
    <w:name w:val="Normal Indent"/>
    <w:basedOn w:val="714"/>
    <w:uiPriority w:val="0"/>
    <w:qFormat/>
    <w:pPr>
      <w:ind w:firstLine="420"/>
    </w:pPr>
    <w:rPr>
      <w:b/>
      <w:sz w:val="24"/>
      <w:szCs w:val="20"/>
    </w:rPr>
  </w:style>
  <w:style w:type="paragraph" w:styleId="729">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annotation text"/>
    <w:basedOn w:val="714"/>
    <w:uiPriority w:val="152"/>
    <w:qFormat/>
    <w:pPr>
      <w:jc w:val="left"/>
    </w:pPr>
  </w:style>
  <w:style w:type="paragraph" w:styleId="731">
    <w:name w:val="Body Text"/>
    <w:basedOn w:val="714"/>
    <w:uiPriority w:val="153"/>
    <w:qFormat/>
    <w:pPr>
      <w:jc w:val="center"/>
    </w:pPr>
    <w:rPr>
      <w:rFonts w:ascii="方正大黑简体" w:eastAsia="方正大黑简体"/>
      <w:position w:val="6"/>
      <w:sz w:val="30"/>
      <w:szCs w:val="30"/>
    </w:rPr>
  </w:style>
  <w:style w:type="paragraph" w:styleId="732">
    <w:name w:val="Body Text Indent"/>
    <w:basedOn w:val="714"/>
    <w:uiPriority w:val="0"/>
    <w:qFormat/>
    <w:pPr>
      <w:ind w:firstLine="645"/>
    </w:pPr>
    <w:rPr>
      <w:rFonts w:ascii="楷体_GB2312" w:eastAsia="楷体_GB2312"/>
      <w:sz w:val="32"/>
      <w:szCs w:val="32"/>
    </w:rPr>
  </w:style>
  <w:style w:type="paragraph" w:styleId="733">
    <w:name w:val="index 4"/>
    <w:basedOn w:val="714"/>
    <w:next w:val="714"/>
    <w:uiPriority w:val="0"/>
    <w:semiHidden/>
    <w:qFormat/>
    <w:pPr>
      <w:ind w:left="1260"/>
    </w:pPr>
  </w:style>
  <w:style w:type="paragraph" w:styleId="734">
    <w:name w:val="toc 5"/>
    <w:basedOn w:val="714"/>
    <w:next w:val="714"/>
    <w:uiPriority w:val="39"/>
    <w:unhideWhenUsed/>
    <w:pPr>
      <w:ind w:left="1134" w:right="0" w:firstLine="0"/>
      <w:spacing w:after="57"/>
    </w:pPr>
  </w:style>
  <w:style w:type="paragraph" w:styleId="735">
    <w:name w:val="toc 3"/>
    <w:basedOn w:val="714"/>
    <w:next w:val="714"/>
    <w:uiPriority w:val="0"/>
    <w:qFormat/>
    <w:pPr>
      <w:ind w:left="840"/>
    </w:pPr>
  </w:style>
  <w:style w:type="paragraph" w:styleId="736">
    <w:name w:val="Plain Text"/>
    <w:basedOn w:val="714"/>
    <w:uiPriority w:val="154"/>
    <w:qFormat/>
    <w:rPr>
      <w:rFonts w:ascii="宋体" w:hAnsi="Courier New"/>
    </w:rPr>
  </w:style>
  <w:style w:type="paragraph" w:styleId="737">
    <w:name w:val="toc 8"/>
    <w:basedOn w:val="714"/>
    <w:next w:val="714"/>
    <w:uiPriority w:val="39"/>
    <w:unhideWhenUsed/>
    <w:pPr>
      <w:ind w:left="1984" w:right="0" w:firstLine="0"/>
      <w:spacing w:after="57"/>
    </w:pPr>
  </w:style>
  <w:style w:type="paragraph" w:styleId="738">
    <w:name w:val="Body Text Indent 2"/>
    <w:basedOn w:val="714"/>
    <w:next w:val="739"/>
    <w:uiPriority w:val="151"/>
    <w:unhideWhenUsed/>
    <w:qFormat/>
    <w:pPr>
      <w:ind w:left="420" w:firstLine="0"/>
      <w:spacing w:after="120" w:line="480" w:lineRule="auto"/>
    </w:pPr>
    <w:rPr>
      <w:sz w:val="20"/>
      <w:szCs w:val="20"/>
    </w:rPr>
  </w:style>
  <w:style w:type="paragraph" w:styleId="739" w:customStyle="1">
    <w:name w:val="xl75"/>
    <w:basedOn w:val="714"/>
    <w:next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740" w:customStyle="1">
    <w:name w:val="Test2"/>
    <w:basedOn w:val="716"/>
    <w:next w:val="741"/>
    <w:uiPriority w:val="0"/>
    <w:qFormat/>
    <w:pPr>
      <w:jc w:val="center"/>
      <w:spacing w:before="156" w:after="156" w:line="480" w:lineRule="exact"/>
      <w:widowControl/>
    </w:pPr>
    <w:rPr>
      <w:rFonts w:ascii="黑体"/>
      <w:sz w:val="24"/>
      <w:szCs w:val="24"/>
    </w:rPr>
  </w:style>
  <w:style w:type="paragraph" w:styleId="741" w:customStyle="1">
    <w:name w:val="xl59"/>
    <w:basedOn w:val="714"/>
    <w:next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742" w:customStyle="1">
    <w:name w:val="方案正文"/>
    <w:basedOn w:val="714"/>
    <w:next w:val="743"/>
    <w:uiPriority w:val="0"/>
    <w:qFormat/>
    <w:pPr>
      <w:ind w:firstLine="359"/>
      <w:jc w:val="left"/>
      <w:spacing w:before="156" w:line="360" w:lineRule="auto"/>
    </w:pPr>
    <w:rPr>
      <w:rFonts w:ascii="Arial" w:hAnsi="Arial" w:cs="宋体"/>
      <w:sz w:val="24"/>
      <w:szCs w:val="21"/>
    </w:rPr>
  </w:style>
  <w:style w:type="paragraph" w:styleId="743" w:customStyle="1">
    <w:name w:val="小四 段落 宋体 Char Char Char Char"/>
    <w:basedOn w:val="714"/>
    <w:next w:val="744"/>
    <w:uiPriority w:val="0"/>
    <w:qFormat/>
    <w:pPr>
      <w:ind w:right="-33" w:firstLine="480"/>
      <w:jc w:val="left"/>
      <w:spacing w:line="360" w:lineRule="auto"/>
    </w:pPr>
    <w:rPr>
      <w:sz w:val="24"/>
    </w:rPr>
  </w:style>
  <w:style w:type="paragraph" w:styleId="744" w:customStyle="1">
    <w:name w:val="flType"/>
    <w:basedOn w:val="745"/>
    <w:next w:val="714"/>
    <w:uiPriority w:val="0"/>
    <w:qFormat/>
    <w:pPr>
      <w:spacing w:after="284"/>
    </w:pPr>
    <w:rPr>
      <w:rFonts w:eastAsia="宋体"/>
      <w:b w:val="0"/>
    </w:rPr>
  </w:style>
  <w:style w:type="paragraph" w:styleId="745" w:customStyle="1">
    <w:name w:val="flName"/>
    <w:basedOn w:val="746"/>
    <w:uiPriority w:val="0"/>
    <w:qFormat/>
    <w:pPr>
      <w:spacing w:before="0" w:line="113" w:lineRule="atLeast"/>
    </w:pPr>
  </w:style>
  <w:style w:type="paragraph" w:styleId="746" w:customStyle="1">
    <w:name w:val="flNote"/>
    <w:basedOn w:val="714"/>
    <w:uiPriority w:val="0"/>
    <w:qFormat/>
    <w:pPr>
      <w:numPr>
        <w:ilvl w:val="0"/>
        <w:numId w:val="0"/>
      </w:numPr>
      <w:jc w:val="center"/>
      <w:spacing w:before="567" w:line="360" w:lineRule="atLeast"/>
    </w:pPr>
    <w:rPr>
      <w:rFonts w:eastAsia="黑体"/>
      <w:b/>
      <w:sz w:val="24"/>
      <w:szCs w:val="20"/>
    </w:rPr>
  </w:style>
  <w:style w:type="paragraph" w:styleId="747">
    <w:name w:val="endnote text"/>
    <w:basedOn w:val="714"/>
    <w:link w:val="915"/>
    <w:uiPriority w:val="99"/>
    <w:semiHidden/>
    <w:unhideWhenUsed/>
    <w:pPr>
      <w:spacing w:after="0" w:line="240" w:lineRule="auto"/>
    </w:pPr>
    <w:rPr>
      <w:sz w:val="20"/>
    </w:rPr>
  </w:style>
  <w:style w:type="paragraph" w:styleId="748">
    <w:name w:val="Footer"/>
    <w:basedOn w:val="714"/>
    <w:uiPriority w:val="155"/>
    <w:qFormat/>
    <w:pPr>
      <w:jc w:val="left"/>
      <w:tabs>
        <w:tab w:val="center" w:pos="4153" w:leader="none"/>
        <w:tab w:val="right" w:pos="8306" w:leader="none"/>
      </w:tabs>
    </w:pPr>
    <w:rPr>
      <w:sz w:val="18"/>
      <w:szCs w:val="18"/>
    </w:rPr>
  </w:style>
  <w:style w:type="paragraph" w:styleId="749">
    <w:name w:val="envelope return"/>
    <w:basedOn w:val="714"/>
    <w:uiPriority w:val="0"/>
    <w:unhideWhenUsed/>
    <w:qFormat/>
    <w:pPr>
      <w:spacing w:line="240" w:lineRule="auto"/>
    </w:pPr>
    <w:rPr>
      <w:rFonts w:ascii="Arial" w:hAnsi="Arial" w:cs="Arial"/>
      <w:sz w:val="21"/>
      <w:szCs w:val="20"/>
    </w:rPr>
  </w:style>
  <w:style w:type="paragraph" w:styleId="750">
    <w:name w:val="Header"/>
    <w:basedOn w:val="714"/>
    <w:uiPriority w:val="156"/>
    <w:qFormat/>
    <w:pPr>
      <w:jc w:val="center"/>
      <w:tabs>
        <w:tab w:val="center" w:pos="4153" w:leader="none"/>
        <w:tab w:val="right" w:pos="8306" w:leader="none"/>
      </w:tabs>
      <w:pBdr>
        <w:bottom w:val="single" w:color="000000" w:sz="6" w:space="1"/>
      </w:pBdr>
    </w:pPr>
    <w:rPr>
      <w:sz w:val="18"/>
      <w:szCs w:val="18"/>
    </w:rPr>
  </w:style>
  <w:style w:type="paragraph" w:styleId="751">
    <w:name w:val="toc 1"/>
    <w:basedOn w:val="714"/>
    <w:next w:val="714"/>
    <w:uiPriority w:val="28"/>
    <w:qFormat/>
  </w:style>
  <w:style w:type="paragraph" w:styleId="752">
    <w:name w:val="toc 4"/>
    <w:basedOn w:val="714"/>
    <w:next w:val="714"/>
    <w:uiPriority w:val="39"/>
    <w:unhideWhenUsed/>
    <w:pPr>
      <w:ind w:left="850" w:right="0" w:firstLine="0"/>
      <w:spacing w:after="57"/>
    </w:pPr>
  </w:style>
  <w:style w:type="paragraph" w:styleId="753">
    <w:name w:val="Subtitle"/>
    <w:basedOn w:val="714"/>
    <w:next w:val="714"/>
    <w:link w:val="781"/>
    <w:uiPriority w:val="11"/>
    <w:qFormat/>
    <w:pPr>
      <w:spacing w:before="200" w:after="200"/>
    </w:pPr>
    <w:rPr>
      <w:sz w:val="24"/>
      <w:szCs w:val="24"/>
    </w:rPr>
  </w:style>
  <w:style w:type="paragraph" w:styleId="754">
    <w:name w:val="footnote text"/>
    <w:basedOn w:val="714"/>
    <w:uiPriority w:val="99"/>
    <w:qFormat/>
    <w:pPr>
      <w:jc w:val="left"/>
    </w:pPr>
    <w:rPr>
      <w:sz w:val="18"/>
    </w:rPr>
  </w:style>
  <w:style w:type="paragraph" w:styleId="755">
    <w:name w:val="toc 6"/>
    <w:basedOn w:val="714"/>
    <w:next w:val="714"/>
    <w:uiPriority w:val="39"/>
    <w:unhideWhenUsed/>
    <w:qFormat/>
    <w:pPr>
      <w:ind w:left="1417" w:right="0" w:firstLine="0"/>
      <w:spacing w:after="57"/>
    </w:pPr>
  </w:style>
  <w:style w:type="paragraph" w:styleId="756">
    <w:name w:val="table of figures"/>
    <w:basedOn w:val="714"/>
    <w:next w:val="714"/>
    <w:uiPriority w:val="99"/>
    <w:unhideWhenUsed/>
    <w:qFormat/>
    <w:pPr>
      <w:spacing w:after="0" w:afterAutospacing="0"/>
    </w:pPr>
  </w:style>
  <w:style w:type="paragraph" w:styleId="757">
    <w:name w:val="toc 2"/>
    <w:basedOn w:val="714"/>
    <w:next w:val="714"/>
    <w:uiPriority w:val="0"/>
    <w:qFormat/>
    <w:pPr>
      <w:ind w:left="420"/>
    </w:pPr>
  </w:style>
  <w:style w:type="paragraph" w:styleId="758">
    <w:name w:val="toc 9"/>
    <w:basedOn w:val="714"/>
    <w:next w:val="714"/>
    <w:uiPriority w:val="39"/>
    <w:unhideWhenUsed/>
    <w:pPr>
      <w:ind w:left="2268" w:right="0" w:firstLine="0"/>
      <w:spacing w:after="57"/>
    </w:pPr>
  </w:style>
  <w:style w:type="paragraph" w:styleId="759">
    <w:name w:val="Body Text 2"/>
    <w:basedOn w:val="714"/>
    <w:uiPriority w:val="157"/>
    <w:qFormat/>
    <w:pPr>
      <w:spacing w:after="120" w:line="480" w:lineRule="auto"/>
    </w:pPr>
  </w:style>
  <w:style w:type="paragraph" w:styleId="760">
    <w:name w:val="Normal (Web)"/>
    <w:basedOn w:val="714"/>
    <w:uiPriority w:val="158"/>
    <w:qFormat/>
    <w:pPr>
      <w:jc w:val="left"/>
      <w:spacing w:before="100" w:beforeAutospacing="1" w:after="100" w:afterAutospacing="1"/>
    </w:pPr>
    <w:rPr>
      <w:rFonts w:ascii="宋体" w:hAnsi="宋体" w:cs="宋体"/>
      <w:sz w:val="24"/>
      <w:szCs w:val="24"/>
    </w:rPr>
  </w:style>
  <w:style w:type="paragraph" w:styleId="761">
    <w:name w:val="Title"/>
    <w:basedOn w:val="714"/>
    <w:next w:val="714"/>
    <w:link w:val="780"/>
    <w:uiPriority w:val="10"/>
    <w:qFormat/>
    <w:pPr>
      <w:contextualSpacing/>
      <w:spacing w:before="300" w:after="200"/>
    </w:pPr>
    <w:rPr>
      <w:sz w:val="48"/>
      <w:szCs w:val="48"/>
    </w:rPr>
  </w:style>
  <w:style w:type="paragraph" w:styleId="762">
    <w:name w:val="Body Text First Indent 2"/>
    <w:basedOn w:val="732"/>
    <w:uiPriority w:val="0"/>
    <w:qFormat/>
    <w:pPr>
      <w:ind w:firstLine="200"/>
      <w:spacing w:line="360" w:lineRule="auto"/>
    </w:pPr>
    <w:rPr>
      <w:rFonts w:cs="Times New Roman"/>
    </w:rPr>
  </w:style>
  <w:style w:type="table" w:styleId="763">
    <w:name w:val="Table Grid"/>
    <w:basedOn w:val="72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name w:val="Strong"/>
    <w:uiPriority w:val="0"/>
    <w:qFormat/>
    <w:rPr>
      <w:b/>
    </w:rPr>
  </w:style>
  <w:style w:type="character" w:styleId="765">
    <w:name w:val="endnote reference"/>
    <w:basedOn w:val="724"/>
    <w:uiPriority w:val="99"/>
    <w:semiHidden/>
    <w:unhideWhenUsed/>
    <w:rPr>
      <w:vertAlign w:val="superscript"/>
    </w:rPr>
  </w:style>
  <w:style w:type="character" w:styleId="766">
    <w:name w:val="page number"/>
    <w:basedOn w:val="724"/>
    <w:uiPriority w:val="0"/>
    <w:qFormat/>
  </w:style>
  <w:style w:type="character" w:styleId="767">
    <w:name w:val="Hyperlink"/>
    <w:basedOn w:val="724"/>
    <w:uiPriority w:val="0"/>
    <w:qFormat/>
    <w:rPr>
      <w:color w:val="0000ff"/>
      <w:u w:val="single"/>
    </w:rPr>
  </w:style>
  <w:style w:type="character" w:styleId="768">
    <w:name w:val="annotation reference"/>
    <w:uiPriority w:val="159"/>
    <w:qFormat/>
    <w:rPr>
      <w:sz w:val="21"/>
      <w:szCs w:val="21"/>
    </w:rPr>
  </w:style>
  <w:style w:type="character" w:styleId="769">
    <w:name w:val="footnote reference"/>
    <w:uiPriority w:val="99"/>
    <w:qFormat/>
    <w:rPr>
      <w:vertAlign w:val="superscript"/>
    </w:rPr>
  </w:style>
  <w:style w:type="character" w:styleId="770" w:customStyle="1">
    <w:name w:val="Heading 1 Char"/>
    <w:basedOn w:val="724"/>
    <w:uiPriority w:val="9"/>
    <w:qFormat/>
    <w:rPr>
      <w:rFonts w:ascii="Arial" w:hAnsi="Arial" w:eastAsia="Arial" w:cs="Arial"/>
      <w:sz w:val="40"/>
      <w:szCs w:val="40"/>
    </w:rPr>
  </w:style>
  <w:style w:type="character" w:styleId="771" w:customStyle="1">
    <w:name w:val="Heading 2 Char"/>
    <w:basedOn w:val="724"/>
    <w:uiPriority w:val="9"/>
    <w:rPr>
      <w:rFonts w:ascii="Arial" w:hAnsi="Arial" w:eastAsia="Arial" w:cs="Arial"/>
      <w:sz w:val="34"/>
    </w:rPr>
  </w:style>
  <w:style w:type="character" w:styleId="772" w:customStyle="1">
    <w:name w:val="Heading 3 Char"/>
    <w:basedOn w:val="724"/>
    <w:link w:val="717"/>
    <w:uiPriority w:val="9"/>
    <w:rPr>
      <w:rFonts w:ascii="Arial" w:hAnsi="Arial" w:eastAsia="Arial" w:cs="Arial"/>
      <w:sz w:val="30"/>
      <w:szCs w:val="30"/>
    </w:rPr>
  </w:style>
  <w:style w:type="character" w:styleId="773" w:customStyle="1">
    <w:name w:val="Heading 4 Char"/>
    <w:basedOn w:val="724"/>
    <w:uiPriority w:val="9"/>
    <w:rPr>
      <w:rFonts w:ascii="Arial" w:hAnsi="Arial" w:eastAsia="Arial" w:cs="Arial"/>
      <w:b/>
      <w:bCs/>
      <w:sz w:val="26"/>
      <w:szCs w:val="26"/>
    </w:rPr>
  </w:style>
  <w:style w:type="character" w:styleId="774" w:customStyle="1">
    <w:name w:val="Heading 5 Char"/>
    <w:basedOn w:val="724"/>
    <w:link w:val="719"/>
    <w:uiPriority w:val="9"/>
    <w:rPr>
      <w:rFonts w:ascii="Arial" w:hAnsi="Arial" w:eastAsia="Arial" w:cs="Arial"/>
      <w:b/>
      <w:bCs/>
      <w:sz w:val="24"/>
      <w:szCs w:val="24"/>
    </w:rPr>
  </w:style>
  <w:style w:type="character" w:styleId="775" w:customStyle="1">
    <w:name w:val="Heading 6 Char"/>
    <w:basedOn w:val="724"/>
    <w:link w:val="720"/>
    <w:uiPriority w:val="9"/>
    <w:rPr>
      <w:rFonts w:ascii="Arial" w:hAnsi="Arial" w:eastAsia="Arial" w:cs="Arial"/>
      <w:b/>
      <w:bCs/>
      <w:sz w:val="22"/>
      <w:szCs w:val="22"/>
    </w:rPr>
  </w:style>
  <w:style w:type="character" w:styleId="776" w:customStyle="1">
    <w:name w:val="Heading 7 Char"/>
    <w:basedOn w:val="724"/>
    <w:link w:val="721"/>
    <w:uiPriority w:val="9"/>
    <w:rPr>
      <w:rFonts w:ascii="Arial" w:hAnsi="Arial" w:eastAsia="Arial" w:cs="Arial"/>
      <w:b/>
      <w:bCs/>
      <w:i/>
      <w:iCs/>
      <w:sz w:val="22"/>
      <w:szCs w:val="22"/>
    </w:rPr>
  </w:style>
  <w:style w:type="character" w:styleId="777" w:customStyle="1">
    <w:name w:val="Heading 8 Char"/>
    <w:basedOn w:val="724"/>
    <w:link w:val="722"/>
    <w:uiPriority w:val="9"/>
    <w:rPr>
      <w:rFonts w:ascii="Arial" w:hAnsi="Arial" w:eastAsia="Arial" w:cs="Arial"/>
      <w:i/>
      <w:iCs/>
      <w:sz w:val="22"/>
      <w:szCs w:val="22"/>
    </w:rPr>
  </w:style>
  <w:style w:type="character" w:styleId="778" w:customStyle="1">
    <w:name w:val="Heading 9 Char"/>
    <w:basedOn w:val="724"/>
    <w:link w:val="723"/>
    <w:uiPriority w:val="9"/>
    <w:rPr>
      <w:rFonts w:ascii="Arial" w:hAnsi="Arial" w:eastAsia="Arial" w:cs="Arial"/>
      <w:i/>
      <w:iCs/>
      <w:sz w:val="21"/>
      <w:szCs w:val="21"/>
    </w:rPr>
  </w:style>
  <w:style w:type="paragraph" w:styleId="779">
    <w:name w:val="No Spacing"/>
    <w:uiPriority w:val="1"/>
    <w:qFormat/>
    <w:pPr>
      <w:spacing w:before="0" w:after="0" w:line="240" w:lineRule="auto"/>
    </w:pPr>
    <w:rPr>
      <w:rFonts w:hint="default" w:ascii="Times New Roman" w:hAnsi="Times New Roman" w:eastAsia="宋体" w:cs="Times New Roman"/>
    </w:rPr>
  </w:style>
  <w:style w:type="character" w:styleId="780" w:customStyle="1">
    <w:name w:val="Title Char"/>
    <w:basedOn w:val="724"/>
    <w:link w:val="761"/>
    <w:uiPriority w:val="10"/>
    <w:rPr>
      <w:sz w:val="48"/>
      <w:szCs w:val="48"/>
    </w:rPr>
  </w:style>
  <w:style w:type="character" w:styleId="781" w:customStyle="1">
    <w:name w:val="Subtitle Char"/>
    <w:basedOn w:val="724"/>
    <w:link w:val="753"/>
    <w:uiPriority w:val="11"/>
    <w:rPr>
      <w:sz w:val="24"/>
      <w:szCs w:val="24"/>
    </w:rPr>
  </w:style>
  <w:style w:type="paragraph" w:styleId="782">
    <w:name w:val="Quote"/>
    <w:basedOn w:val="714"/>
    <w:next w:val="714"/>
    <w:link w:val="783"/>
    <w:uiPriority w:val="29"/>
    <w:qFormat/>
    <w:pPr>
      <w:ind w:left="720" w:right="720"/>
    </w:pPr>
    <w:rPr>
      <w:i/>
    </w:rPr>
  </w:style>
  <w:style w:type="character" w:styleId="783" w:customStyle="1">
    <w:name w:val="Quote Char"/>
    <w:link w:val="782"/>
    <w:uiPriority w:val="29"/>
    <w:rPr>
      <w:i/>
    </w:rPr>
  </w:style>
  <w:style w:type="paragraph" w:styleId="784">
    <w:name w:val="Intense Quote"/>
    <w:basedOn w:val="714"/>
    <w:next w:val="714"/>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Intense Quote Char"/>
    <w:link w:val="784"/>
    <w:uiPriority w:val="30"/>
    <w:rPr>
      <w:i/>
    </w:rPr>
  </w:style>
  <w:style w:type="character" w:styleId="786" w:customStyle="1">
    <w:name w:val="Header Char"/>
    <w:basedOn w:val="724"/>
    <w:uiPriority w:val="99"/>
  </w:style>
  <w:style w:type="character" w:styleId="787" w:customStyle="1">
    <w:name w:val="Footer Char"/>
    <w:basedOn w:val="724"/>
    <w:uiPriority w:val="99"/>
  </w:style>
  <w:style w:type="character" w:styleId="788" w:customStyle="1">
    <w:name w:val="Caption Char"/>
    <w:uiPriority w:val="99"/>
  </w:style>
  <w:style w:type="table" w:styleId="789" w:customStyle="1">
    <w:name w:val="Table Grid Light"/>
    <w:basedOn w:val="725"/>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0" w:customStyle="1">
    <w:name w:val="Plain Table 1"/>
    <w:basedOn w:val="725"/>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basedOn w:val="725"/>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basedOn w:val="72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basedOn w:val="72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basedOn w:val="72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basedOn w:val="725"/>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basedOn w:val="725"/>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basedOn w:val="725"/>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basedOn w:val="725"/>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basedOn w:val="725"/>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basedOn w:val="72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basedOn w:val="725"/>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basedOn w:val="72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basedOn w:val="725"/>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basedOn w:val="725"/>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basedOn w:val="725"/>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basedOn w:val="725"/>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basedOn w:val="72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basedOn w:val="725"/>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Grid Table 3"/>
    <w:basedOn w:val="72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basedOn w:val="725"/>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basedOn w:val="725"/>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basedOn w:val="725"/>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basedOn w:val="725"/>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basedOn w:val="72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basedOn w:val="725"/>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basedOn w:val="725"/>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basedOn w:val="725"/>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8" w:customStyle="1">
    <w:name w:val="Grid Table 4 - Accent 2"/>
    <w:basedOn w:val="725"/>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9" w:customStyle="1">
    <w:name w:val="Grid Table 4 - Accent 3"/>
    <w:basedOn w:val="725"/>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0" w:customStyle="1">
    <w:name w:val="Grid Table 4 - Accent 4"/>
    <w:basedOn w:val="725"/>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basedOn w:val="72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basedOn w:val="725"/>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Grid Table 5 Dark"/>
    <w:basedOn w:val="72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basedOn w:val="72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basedOn w:val="72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basedOn w:val="72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basedOn w:val="72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basedOn w:val="72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basedOn w:val="72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Grid Table 6 Colorful"/>
    <w:basedOn w:val="725"/>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6 Colorful - Accent 1"/>
    <w:basedOn w:val="725"/>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2" w:customStyle="1">
    <w:name w:val="Grid Table 6 Colorful - Accent 2"/>
    <w:basedOn w:val="725"/>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3" w:customStyle="1">
    <w:name w:val="Grid Table 6 Colorful - Accent 3"/>
    <w:basedOn w:val="725"/>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4" w:customStyle="1">
    <w:name w:val="Grid Table 6 Colorful - Accent 4"/>
    <w:basedOn w:val="725"/>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5" w:customStyle="1">
    <w:name w:val="Grid Table 6 Colorful - Accent 5"/>
    <w:basedOn w:val="72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6 Colorful - Accent 6"/>
    <w:basedOn w:val="725"/>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7 Colorful"/>
    <w:basedOn w:val="7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basedOn w:val="725"/>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basedOn w:val="725"/>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basedOn w:val="725"/>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basedOn w:val="725"/>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basedOn w:val="72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basedOn w:val="725"/>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basedOn w:val="725"/>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basedOn w:val="725"/>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basedOn w:val="725"/>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basedOn w:val="725"/>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basedOn w:val="725"/>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basedOn w:val="72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basedOn w:val="725"/>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List Table 2"/>
    <w:basedOn w:val="725"/>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basedOn w:val="725"/>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basedOn w:val="725"/>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4" w:customStyle="1">
    <w:name w:val="List Table 2 - Accent 3"/>
    <w:basedOn w:val="725"/>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basedOn w:val="725"/>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basedOn w:val="72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basedOn w:val="725"/>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List Table 3"/>
    <w:basedOn w:val="72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basedOn w:val="725"/>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basedOn w:val="725"/>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1" w:customStyle="1">
    <w:name w:val="List Table 3 - Accent 3"/>
    <w:basedOn w:val="725"/>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2" w:customStyle="1">
    <w:name w:val="List Table 3 - Accent 4"/>
    <w:basedOn w:val="725"/>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basedOn w:val="72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basedOn w:val="725"/>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List Table 4"/>
    <w:basedOn w:val="72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basedOn w:val="725"/>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basedOn w:val="725"/>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basedOn w:val="725"/>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basedOn w:val="725"/>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basedOn w:val="72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basedOn w:val="725"/>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List Table 5 Dark"/>
    <w:basedOn w:val="725"/>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1"/>
    <w:basedOn w:val="725"/>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basedOn w:val="725"/>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basedOn w:val="725"/>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basedOn w:val="725"/>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basedOn w:val="72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basedOn w:val="725"/>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w:basedOn w:val="725"/>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6 Colorful - Accent 1"/>
    <w:basedOn w:val="725"/>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1" w:customStyle="1">
    <w:name w:val="List Table 6 Colorful - Accent 2"/>
    <w:basedOn w:val="725"/>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2" w:customStyle="1">
    <w:name w:val="List Table 6 Colorful - Accent 3"/>
    <w:basedOn w:val="725"/>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3" w:customStyle="1">
    <w:name w:val="List Table 6 Colorful - Accent 4"/>
    <w:basedOn w:val="725"/>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4" w:customStyle="1">
    <w:name w:val="List Table 6 Colorful - Accent 5"/>
    <w:basedOn w:val="72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5" w:customStyle="1">
    <w:name w:val="List Table 6 Colorful - Accent 6"/>
    <w:basedOn w:val="725"/>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6" w:customStyle="1">
    <w:name w:val="List Table 7 Colorful"/>
    <w:basedOn w:val="725"/>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basedOn w:val="725"/>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basedOn w:val="725"/>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basedOn w:val="725"/>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basedOn w:val="725"/>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basedOn w:val="72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basedOn w:val="725"/>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3" w:customStyle="1">
    <w:name w:val="Lined - Accent"/>
    <w:basedOn w:val="72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basedOn w:val="72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Lined - Accent 2"/>
    <w:basedOn w:val="72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Lined - Accent 3"/>
    <w:basedOn w:val="72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Lined - Accent 4"/>
    <w:basedOn w:val="72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basedOn w:val="72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basedOn w:val="72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basedOn w:val="725"/>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basedOn w:val="725"/>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Bordered &amp; Lined - Accent 2"/>
    <w:basedOn w:val="725"/>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Bordered &amp; Lined - Accent 3"/>
    <w:basedOn w:val="725"/>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Bordered &amp; Lined - Accent 4"/>
    <w:basedOn w:val="725"/>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basedOn w:val="72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basedOn w:val="725"/>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basedOn w:val="725"/>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basedOn w:val="725"/>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basedOn w:val="725"/>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0" w:customStyle="1">
    <w:name w:val="Bordered - Accent 3"/>
    <w:basedOn w:val="725"/>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1" w:customStyle="1">
    <w:name w:val="Bordered - Accent 4"/>
    <w:basedOn w:val="725"/>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basedOn w:val="72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basedOn w:val="725"/>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4" w:customStyle="1">
    <w:name w:val="Footnote Text Char"/>
    <w:uiPriority w:val="99"/>
    <w:rPr>
      <w:sz w:val="18"/>
    </w:rPr>
  </w:style>
  <w:style w:type="character" w:styleId="915" w:customStyle="1">
    <w:name w:val="Endnote Text Char"/>
    <w:link w:val="747"/>
    <w:uiPriority w:val="99"/>
    <w:rPr>
      <w:sz w:val="20"/>
    </w:rPr>
  </w:style>
  <w:style w:type="paragraph" w:styleId="916" w:customStyle="1">
    <w:name w:val="TOC Heading"/>
    <w:uiPriority w:val="39"/>
    <w:unhideWhenUsed/>
    <w:rPr>
      <w:rFonts w:hint="default" w:ascii="Times New Roman" w:hAnsi="Times New Roman" w:eastAsia="宋体" w:cs="Times New Roman"/>
    </w:rPr>
  </w:style>
  <w:style w:type="paragraph" w:styleId="917" w:customStyle="1">
    <w:name w:val="正文文本缩进11"/>
    <w:basedOn w:val="918"/>
    <w:next w:val="922"/>
    <w:uiPriority w:val="0"/>
    <w:unhideWhenUsed/>
    <w:qFormat/>
    <w:pPr>
      <w:ind w:left="420"/>
      <w:spacing w:after="120"/>
    </w:pPr>
  </w:style>
  <w:style w:type="paragraph" w:styleId="918" w:customStyle="1">
    <w:name w:val="正文112"/>
    <w:next w:val="9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9" w:customStyle="1">
    <w:name w:val="正文首行缩进1"/>
    <w:basedOn w:val="920"/>
    <w:uiPriority w:val="0"/>
    <w:qFormat/>
    <w:pPr>
      <w:ind w:firstLine="200"/>
      <w:spacing w:line="360" w:lineRule="auto"/>
    </w:pPr>
    <w:rPr>
      <w:rFonts w:ascii="仿宋_GB2312" w:hAnsi="Times New Roman" w:eastAsia="仿宋_GB2312"/>
      <w:sz w:val="30"/>
      <w:szCs w:val="30"/>
    </w:rPr>
  </w:style>
  <w:style w:type="paragraph" w:styleId="920" w:customStyle="1">
    <w:name w:val="正文文本1"/>
    <w:basedOn w:val="921"/>
    <w:next w:val="714"/>
    <w:uiPriority w:val="0"/>
    <w:semiHidden/>
    <w:qFormat/>
    <w:rPr>
      <w:rFonts w:ascii="Arial" w:hAnsi="Arial" w:eastAsia="Arial" w:cs="Arial"/>
      <w:sz w:val="21"/>
      <w:szCs w:val="21"/>
      <w:lang w:val="en-US" w:eastAsia="en-US" w:bidi="ar-SA"/>
    </w:rPr>
  </w:style>
  <w:style w:type="paragraph" w:styleId="921" w:customStyle="1">
    <w:name w:val="正文1"/>
    <w:basedOn w:val="714"/>
    <w:next w:val="920"/>
    <w:uiPriority w:val="0"/>
    <w:qFormat/>
    <w:pPr>
      <w:jc w:val="left"/>
      <w:spacing w:line="360" w:lineRule="atLeast"/>
    </w:pPr>
    <w:rPr>
      <w:rFonts w:ascii="宋体" w:hAnsi="Calibri" w:eastAsia="宋体" w:cs="Times New Roman"/>
      <w:sz w:val="24"/>
      <w:szCs w:val="20"/>
    </w:rPr>
  </w:style>
  <w:style w:type="paragraph" w:styleId="922" w:customStyle="1">
    <w:name w:val="寄信人地址1"/>
    <w:basedOn w:val="714"/>
    <w:uiPriority w:val="0"/>
    <w:qFormat/>
    <w:rPr>
      <w:rFonts w:ascii="Arial" w:hAnsi="Arial" w:cs="宋体"/>
      <w:szCs w:val="24"/>
    </w:rPr>
  </w:style>
  <w:style w:type="paragraph" w:styleId="923">
    <w:name w:val="List Paragraph"/>
    <w:basedOn w:val="714"/>
    <w:next w:val="714"/>
    <w:uiPriority w:val="26"/>
    <w:qFormat/>
    <w:pPr>
      <w:ind w:firstLine="200"/>
    </w:pPr>
    <w:rPr>
      <w:rFonts w:ascii="Calibri" w:hAnsi="Calibri"/>
    </w:rPr>
  </w:style>
  <w:style w:type="paragraph" w:styleId="924" w:customStyle="1">
    <w:name w:val="首行缩进"/>
    <w:basedOn w:val="714"/>
    <w:uiPriority w:val="0"/>
    <w:qFormat/>
    <w:pPr>
      <w:ind w:firstLine="480"/>
      <w:jc w:val="left"/>
      <w:spacing w:line="360" w:lineRule="auto"/>
    </w:pPr>
    <w:rPr>
      <w:rFonts w:ascii="宋体" w:hAnsi="宋体"/>
      <w:sz w:val="24"/>
    </w:rPr>
  </w:style>
  <w:style w:type="paragraph" w:styleId="925" w:customStyle="1">
    <w:name w:val="缺省文本"/>
    <w:basedOn w:val="714"/>
    <w:uiPriority w:val="160"/>
    <w:qFormat/>
    <w:pPr>
      <w:jc w:val="left"/>
    </w:pPr>
    <w:rPr>
      <w:sz w:val="24"/>
      <w:szCs w:val="24"/>
    </w:rPr>
  </w:style>
  <w:style w:type="paragraph" w:styleId="926" w:customStyle="1">
    <w:name w:val="p0"/>
    <w:basedOn w:val="714"/>
    <w:uiPriority w:val="161"/>
    <w:qFormat/>
    <w:rPr>
      <w:b/>
      <w:sz w:val="24"/>
      <w:szCs w:val="24"/>
    </w:rPr>
  </w:style>
  <w:style w:type="paragraph" w:styleId="927" w:customStyle="1">
    <w:name w:val="*正文"/>
    <w:basedOn w:val="714"/>
    <w:uiPriority w:val="0"/>
    <w:qFormat/>
    <w:pPr>
      <w:spacing w:line="360" w:lineRule="auto"/>
    </w:pPr>
    <w:rPr>
      <w:sz w:val="24"/>
    </w:rPr>
  </w:style>
  <w:style w:type="paragraph" w:styleId="928" w:customStyle="1">
    <w:name w:val="正文格式"/>
    <w:basedOn w:val="714"/>
    <w:uiPriority w:val="0"/>
    <w:qFormat/>
    <w:pPr>
      <w:ind w:left="178" w:right="44" w:hanging="178"/>
      <w:jc w:val="left"/>
      <w:spacing w:before="78" w:line="360" w:lineRule="auto"/>
      <w:widowControl/>
    </w:pPr>
    <w:rPr>
      <w:rFonts w:ascii="宋体" w:hAnsi="宋体"/>
      <w:bCs/>
      <w:szCs w:val="21"/>
    </w:rPr>
  </w:style>
  <w:style w:type="character" w:styleId="929" w:customStyle="1">
    <w:name w:val="apple-style-span"/>
    <w:uiPriority w:val="0"/>
    <w:qFormat/>
    <w:rPr>
      <w:rFonts w:cs="Times New Roman"/>
    </w:rPr>
  </w:style>
  <w:style w:type="paragraph" w:styleId="930" w:customStyle="1">
    <w:name w:val="无间隔1"/>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931" w:customStyle="1">
    <w:name w:val="(标书)正文 Char Char"/>
    <w:basedOn w:val="714"/>
    <w:uiPriority w:val="0"/>
    <w:qFormat/>
    <w:pPr>
      <w:ind w:firstLine="522"/>
      <w:spacing w:line="380" w:lineRule="exact"/>
    </w:pPr>
    <w:rPr>
      <w:rFonts w:ascii="宋体" w:hAnsi="宋体"/>
      <w:spacing w:val="10"/>
      <w:sz w:val="24"/>
      <w:szCs w:val="24"/>
    </w:rPr>
  </w:style>
  <w:style w:type="paragraph" w:styleId="932" w:customStyle="1">
    <w:name w:val="Table Paragraph"/>
    <w:basedOn w:val="714"/>
    <w:uiPriority w:val="1"/>
    <w:qFormat/>
  </w:style>
  <w:style w:type="paragraph" w:styleId="933" w:customStyle="1">
    <w:name w:val="样式 标题 3 + (中文) 黑体 小四 非加粗 段前: 7.8 磅 段后: 0 磅 行距: 固定值 20 磅_0"/>
    <w:basedOn w:val="934"/>
    <w:uiPriority w:val="0"/>
    <w:qFormat/>
    <w:pPr>
      <w:spacing w:before="0" w:after="0" w:line="400" w:lineRule="exact"/>
    </w:pPr>
    <w:rPr>
      <w:rFonts w:ascii="Times New Roman" w:hAnsi="Times New Roman" w:eastAsia="黑体" w:cs="宋体"/>
      <w:b w:val="0"/>
      <w:bCs w:val="0"/>
      <w:sz w:val="21"/>
      <w:szCs w:val="20"/>
    </w:rPr>
  </w:style>
  <w:style w:type="paragraph" w:styleId="934" w:customStyle="1">
    <w:name w:val="标题 3_0"/>
    <w:basedOn w:val="935"/>
    <w:next w:val="936"/>
    <w:uiPriority w:val="0"/>
    <w:qFormat/>
    <w:pPr>
      <w:keepLines/>
      <w:keepNext/>
      <w:spacing w:before="260" w:after="260" w:line="416" w:lineRule="auto"/>
      <w:outlineLvl w:val="2"/>
    </w:pPr>
    <w:rPr>
      <w:rFonts w:ascii="Calibri" w:hAnsi="Calibri" w:eastAsia="宋体"/>
      <w:b/>
      <w:bCs/>
      <w:sz w:val="32"/>
      <w:szCs w:val="32"/>
    </w:rPr>
  </w:style>
  <w:style w:type="paragraph" w:styleId="935" w:customStyle="1">
    <w:name w:val="正文_0"/>
    <w:next w:val="762"/>
    <w:uiPriority w:val="0"/>
    <w:qFormat/>
    <w:pPr>
      <w:jc w:val="both"/>
      <w:widowControl w:val="off"/>
    </w:pPr>
    <w:rPr>
      <w:rFonts w:hint="default" w:ascii="Calibri" w:hAnsi="Calibri" w:eastAsia="宋体" w:cs="Times New Roman"/>
      <w:sz w:val="21"/>
      <w:szCs w:val="22"/>
      <w:lang w:val="en-US" w:eastAsia="zh-CN" w:bidi="ar-SA"/>
    </w:rPr>
  </w:style>
  <w:style w:type="paragraph" w:styleId="936" w:customStyle="1">
    <w:name w:val="正文_1"/>
    <w:next w:val="762"/>
    <w:uiPriority w:val="0"/>
    <w:qFormat/>
    <w:pPr>
      <w:jc w:val="both"/>
      <w:widowControl w:val="off"/>
    </w:pPr>
    <w:rPr>
      <w:rFonts w:hint="default" w:ascii="Calibri" w:hAnsi="Calibri" w:eastAsia="仿宋_GB2312" w:cs="Times New Roman"/>
      <w:sz w:val="21"/>
      <w:szCs w:val="22"/>
      <w:lang w:val="en-US" w:eastAsia="zh-CN" w:bidi="ar-SA"/>
    </w:rPr>
  </w:style>
  <w:style w:type="paragraph" w:styleId="937" w:customStyle="1">
    <w:name w:val="普通(网站)1"/>
    <w:basedOn w:val="714"/>
    <w:uiPriority w:val="99"/>
    <w:qFormat/>
    <w:pPr>
      <w:jc w:val="left"/>
      <w:spacing w:before="100" w:beforeAutospacing="1" w:after="100" w:afterAutospacing="1"/>
      <w:widowControl/>
    </w:pPr>
    <w:rPr>
      <w:rFonts w:ascii="宋体" w:hAnsi="宋体" w:eastAsia="宋体" w:cs="宋体"/>
      <w:sz w:val="24"/>
      <w:szCs w:val="24"/>
    </w:rPr>
  </w:style>
  <w:style w:type="paragraph" w:styleId="938" w:customStyle="1">
    <w:name w:val="纯文本11"/>
    <w:basedOn w:val="714"/>
    <w:uiPriority w:val="0"/>
    <w:qFormat/>
    <w:rPr>
      <w:rFonts w:ascii="宋体" w:hAnsi="Courier New" w:eastAsia="宋体" w:cs="Courier New"/>
      <w:szCs w:val="21"/>
    </w:rPr>
  </w:style>
  <w:style w:type="paragraph" w:styleId="939" w:customStyle="1">
    <w:name w:val="列表段落1"/>
    <w:basedOn w:val="714"/>
    <w:uiPriority w:val="99"/>
    <w:qFormat/>
    <w:pPr>
      <w:ind w:firstLine="420"/>
    </w:pPr>
    <w:rPr>
      <w:szCs w:val="20"/>
    </w:rPr>
  </w:style>
  <w:style w:type="paragraph" w:styleId="940" w:customStyle="1">
    <w:name w:val="List Paragraph1"/>
    <w:basedOn w:val="714"/>
    <w:uiPriority w:val="99"/>
    <w:qFormat/>
    <w:pPr>
      <w:ind w:firstLine="420"/>
    </w:pPr>
  </w:style>
  <w:style w:type="paragraph" w:styleId="941" w:customStyle="1">
    <w:name w:val="正文首行缩进 211"/>
    <w:basedOn w:val="917"/>
    <w:uiPriority w:val="0"/>
    <w:qFormat/>
    <w:pPr>
      <w:ind w:left="0" w:firstLine="420"/>
      <w:spacing w:after="0" w:line="360" w:lineRule="auto"/>
    </w:pPr>
    <w:rPr>
      <w:rFonts w:ascii="宋体" w:hAnsi="宋体" w:eastAsia="宋体" w:cs="Times New Roman"/>
      <w:szCs w:val="20"/>
    </w:rPr>
  </w:style>
  <w:style w:type="paragraph" w:styleId="942" w:customStyle="1">
    <w:name w:val="Char"/>
    <w:basedOn w:val="714"/>
    <w:uiPriority w:val="0"/>
    <w:qFormat/>
    <w:pPr>
      <w:jc w:val="left"/>
      <w:spacing w:after="160" w:line="240" w:lineRule="exact"/>
      <w:widowControl/>
    </w:pPr>
    <w:rPr>
      <w:rFonts w:ascii="Verdana" w:hAnsi="Verdana"/>
      <w:sz w:val="20"/>
      <w:szCs w:val="20"/>
      <w:lang w:eastAsia="en-US"/>
    </w:rPr>
  </w:style>
  <w:style w:type="paragraph" w:styleId="943" w:customStyle="1">
    <w:name w:val="普通正文"/>
    <w:basedOn w:val="714"/>
    <w:uiPriority w:val="0"/>
    <w:qFormat/>
    <w:pPr>
      <w:ind w:firstLine="480"/>
      <w:jc w:val="left"/>
      <w:spacing w:before="120" w:after="120" w:line="360" w:lineRule="auto"/>
    </w:pPr>
    <w:rPr>
      <w:rFonts w:ascii="Arial" w:hAnsi="Arial"/>
      <w:sz w:val="24"/>
    </w:rPr>
  </w:style>
  <w:style w:type="paragraph" w:styleId="944" w:customStyle="1">
    <w:name w:val="正文文本 211"/>
    <w:basedOn w:val="714"/>
    <w:uiPriority w:val="99"/>
    <w:qFormat/>
    <w:pPr>
      <w:jc w:val="center"/>
    </w:pPr>
    <w:rPr>
      <w:b/>
      <w:bCs/>
      <w:sz w:val="20"/>
      <w:szCs w:val="20"/>
    </w:rPr>
  </w:style>
  <w:style w:type="paragraph" w:styleId="945" w:customStyle="1">
    <w:name w:val="索引 41"/>
    <w:basedOn w:val="714"/>
    <w:next w:val="714"/>
    <w:uiPriority w:val="0"/>
    <w:semiHidden/>
    <w:qFormat/>
    <w:pPr>
      <w:ind w:left="1260"/>
    </w:pPr>
    <w:rPr>
      <w:rFonts w:ascii="Calibri" w:hAnsi="Calibri" w:eastAsia="Calibri" w:cs="宋体"/>
      <w:sz w:val="20"/>
      <w:lang w:val="zh-CN"/>
    </w:rPr>
  </w:style>
  <w:style w:type="character" w:styleId="946" w:customStyle="1">
    <w:name w:val="font11"/>
    <w:basedOn w:val="947"/>
    <w:link w:val="714"/>
    <w:uiPriority w:val="0"/>
    <w:qFormat/>
    <w:rPr>
      <w:rFonts w:ascii="Times New Roman" w:hAnsi="Times New Roman" w:eastAsia="宋体" w:cs="Times New Roman"/>
      <w:sz w:val="21"/>
      <w:szCs w:val="21"/>
      <w:lang w:val="en-US" w:eastAsia="zh-CN" w:bidi="ar-SA"/>
    </w:rPr>
  </w:style>
  <w:style w:type="character" w:styleId="947" w:customStyle="1">
    <w:name w:val="默认段落字体11"/>
    <w:link w:val="714"/>
    <w:uiPriority w:val="1"/>
    <w:unhideWhenUsed/>
    <w:qFormat/>
  </w:style>
  <w:style w:type="paragraph" w:styleId="948" w:customStyle="1">
    <w:name w:val="正文文本缩进1"/>
    <w:basedOn w:val="714"/>
    <w:next w:val="949"/>
    <w:uiPriority w:val="0"/>
    <w:unhideWhenUsed/>
    <w:qFormat/>
    <w:pPr>
      <w:ind w:left="420"/>
      <w:spacing w:after="120"/>
    </w:pPr>
  </w:style>
  <w:style w:type="paragraph" w:styleId="949" w:customStyle="1">
    <w:name w:val="正文首行缩进 21"/>
    <w:basedOn w:val="917"/>
    <w:uiPriority w:val="0"/>
    <w:qFormat/>
    <w:pPr>
      <w:ind w:firstLine="420"/>
      <w:spacing w:line="360" w:lineRule="auto"/>
    </w:pPr>
  </w:style>
  <w:style w:type="numbering" w:styleId="82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随遇而安</dc:creator>
  <cp:lastModifiedBy>林海光</cp:lastModifiedBy>
  <cp:revision>13</cp:revision>
  <dcterms:created xsi:type="dcterms:W3CDTF">2021-02-24T05:42:00Z</dcterms:created>
  <dcterms:modified xsi:type="dcterms:W3CDTF">2026-07-27T07:41:34Z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175B109A3DC845978E05921041FEEFE6_13</vt:lpwstr>
  </property>
  <property fmtid="{D5CDD505-2E9C-101B-9397-08002B2CF9AE}" pid="4" name="KSOTemplateDocerSaveRecord">
    <vt:lpwstr>eyJoZGlkIjoiMTZmZDgwMGNkOTJmZmQ4MzhmMmMxMGMxY2MxOWU2NmYiLCJ1c2VySWQiOiIxNzgzODczOTEzIn0=</vt:lpwstr>
  </property>
</Properties>
</file>