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center"/>
        <w:rPr>
          <w:b/>
          <w:bCs/>
          <w:color w:val="000000"/>
          <w:sz w:val="60"/>
          <w:szCs w:val="60"/>
        </w:rPr>
      </w:pPr>
      <w:r>
        <w:rPr>
          <w:b/>
          <w:bCs/>
          <w:color w:val="000000"/>
          <w:sz w:val="60"/>
          <w:szCs w:val="60"/>
        </w:rPr>
      </w:r>
      <w:r/>
    </w:p>
    <w:p>
      <w:pPr>
        <w:pStyle w:val="882"/>
        <w:jc w:val="center"/>
        <w:rPr>
          <w:b/>
          <w:bCs/>
          <w:color w:val="000000"/>
          <w:sz w:val="60"/>
          <w:szCs w:val="60"/>
        </w:rPr>
      </w:pPr>
      <w:r>
        <w:rPr>
          <w:b/>
          <w:bCs/>
          <w:color w:val="000000"/>
          <w:sz w:val="60"/>
          <w:szCs w:val="60"/>
        </w:rPr>
      </w:r>
      <w:r/>
    </w:p>
    <w:p>
      <w:pPr>
        <w:pStyle w:val="931"/>
        <w:ind w:firstLine="210"/>
        <w:tabs>
          <w:tab w:val="left" w:pos="567" w:leader="none"/>
        </w:tabs>
      </w:pPr>
      <w:r/>
      <w:r/>
    </w:p>
    <w:p>
      <w:pPr>
        <w:pStyle w:val="882"/>
        <w:jc w:val="center"/>
        <w:spacing w:line="360" w:lineRule="auto"/>
        <w:rPr>
          <w:b/>
          <w:bCs/>
          <w:sz w:val="60"/>
          <w:szCs w:val="60"/>
        </w:rPr>
      </w:pPr>
      <w:r>
        <w:rPr>
          <w:rFonts w:hint="eastAsia"/>
          <w:b/>
          <w:bCs/>
          <w:sz w:val="60"/>
          <w:szCs w:val="60"/>
        </w:rPr>
        <w:t xml:space="preserve">常州市政府采购项目</w:t>
      </w:r>
      <w:r>
        <w:rPr>
          <w:b/>
          <w:bCs/>
          <w:sz w:val="60"/>
          <w:szCs w:val="60"/>
        </w:rPr>
      </w:r>
      <w:r/>
    </w:p>
    <w:p>
      <w:pPr>
        <w:pStyle w:val="882"/>
        <w:jc w:val="center"/>
        <w:spacing w:line="360" w:lineRule="auto"/>
        <w:rPr>
          <w:b/>
          <w:bCs/>
          <w:color w:val="000000"/>
          <w:sz w:val="60"/>
          <w:szCs w:val="60"/>
        </w:rPr>
      </w:pPr>
      <w:r>
        <w:rPr>
          <w:rFonts w:hint="eastAsia"/>
          <w:b/>
          <w:bCs/>
          <w:color w:val="000000"/>
          <w:sz w:val="60"/>
          <w:szCs w:val="60"/>
        </w:rPr>
        <w:t xml:space="preserve">公开招标文件</w:t>
      </w:r>
      <w:r>
        <w:rPr>
          <w:b/>
          <w:bCs/>
          <w:color w:val="000000"/>
          <w:sz w:val="60"/>
          <w:szCs w:val="60"/>
        </w:rPr>
      </w:r>
      <w:r/>
    </w:p>
    <w:p>
      <w:pPr>
        <w:pStyle w:val="882"/>
        <w:spacing w:line="360" w:lineRule="auto"/>
        <w:rPr>
          <w:color w:val="000000"/>
          <w:sz w:val="60"/>
          <w:szCs w:val="60"/>
        </w:rPr>
      </w:pPr>
      <w:r>
        <w:rPr>
          <w:color w:val="000000"/>
          <w:sz w:val="60"/>
          <w:szCs w:val="60"/>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78" w:hanging="21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项目名称：</w:t>
      </w:r>
      <w:r>
        <w:rPr>
          <w:rFonts w:hint="eastAsia"/>
          <w:bCs/>
          <w:color w:val="000000"/>
          <w:sz w:val="36"/>
          <w:szCs w:val="36"/>
          <w:highlight w:val="none"/>
          <w:lang w:eastAsia="zh-CN"/>
        </w:rPr>
        <w:t xml:space="preserve">江苏省常州市中级人民法院审判业务大楼人体检查仪采购项目</w:t>
      </w:r>
      <w:r>
        <w:rPr>
          <w:rFonts w:hint="eastAsia" w:eastAsia="宋体"/>
          <w:bCs/>
          <w:color w:val="000000"/>
          <w:sz w:val="36"/>
          <w:szCs w:val="36"/>
          <w:highlight w:val="none"/>
          <w:lang w:eastAsia="zh-CN"/>
        </w:rPr>
      </w:r>
      <w:r/>
    </w:p>
    <w:p>
      <w:pPr>
        <w:pStyle w:val="882"/>
        <w:ind w:left="2878" w:hanging="216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lang w:eastAsia="zh-CN"/>
        </w:rPr>
        <w:t xml:space="preserve">项目编号：</w:t>
      </w:r>
      <w:r>
        <w:rPr>
          <w:rFonts w:hint="eastAsia" w:ascii="宋体" w:hAnsi="宋体" w:eastAsia="宋体" w:cs="宋体"/>
          <w:bCs/>
          <w:color w:val="000000"/>
          <w:sz w:val="36"/>
          <w:szCs w:val="36"/>
          <w:highlight w:val="none"/>
          <w:lang w:eastAsia="zh-CN"/>
        </w:rPr>
        <w:t xml:space="preserve">JSZC-320400-CZSL-G2026-0001</w:t>
      </w:r>
      <w:r>
        <w:rPr>
          <w:rFonts w:hint="eastAsia" w:ascii="Times New Roman" w:hAnsi="Times New Roman" w:eastAsia="宋体" w:cs="Times New Roman"/>
          <w:bCs/>
          <w:color w:val="000000"/>
          <w:sz w:val="36"/>
          <w:szCs w:val="36"/>
          <w:highlight w:val="none"/>
          <w:lang w:val="en-US" w:eastAsia="zh-CN"/>
        </w:rPr>
        <w:t xml:space="preserve">  </w:t>
      </w:r>
      <w:r>
        <w:rPr>
          <w:rFonts w:hint="eastAsia" w:ascii="Times New Roman" w:hAnsi="Times New Roman" w:eastAsia="宋体" w:cs="Times New Roman"/>
          <w:bCs/>
          <w:color w:val="000000"/>
          <w:sz w:val="36"/>
          <w:szCs w:val="36"/>
          <w:highlight w:val="none"/>
          <w:lang w:eastAsia="zh-CN"/>
        </w:rPr>
        <w:t xml:space="preserve"> </w:t>
      </w:r>
      <w:r>
        <w:rPr>
          <w:rFonts w:hint="eastAsia" w:ascii="Times New Roman" w:hAnsi="Times New Roman" w:eastAsia="宋体" w:cs="Times New Roman"/>
          <w:bCs/>
          <w:color w:val="000000"/>
          <w:sz w:val="36"/>
          <w:szCs w:val="36"/>
          <w:highlight w:val="none"/>
          <w:lang w:eastAsia="zh-CN"/>
        </w:rPr>
      </w:r>
      <w:r/>
    </w:p>
    <w:p>
      <w:pPr>
        <w:pStyle w:val="882"/>
        <w:ind w:firstLine="72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江苏省常州市中级人民法院</w:t>
      </w:r>
      <w:r>
        <w:rPr>
          <w:bCs/>
          <w:color w:val="000000"/>
          <w:sz w:val="36"/>
          <w:szCs w:val="36"/>
        </w:rPr>
      </w:r>
      <w:r/>
    </w:p>
    <w:p>
      <w:pPr>
        <w:pStyle w:val="882"/>
        <w:ind w:firstLine="72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常州市水利规划设计院有限公司</w:t>
      </w:r>
      <w:r>
        <w:rPr>
          <w:bCs/>
          <w:color w:val="000000"/>
          <w:sz w:val="36"/>
          <w:szCs w:val="36"/>
        </w:rPr>
      </w:r>
      <w:r/>
    </w:p>
    <w:p>
      <w:pPr>
        <w:pStyle w:val="882"/>
        <w:jc w:val="center"/>
        <w:spacing w:line="360" w:lineRule="auto"/>
        <w:rPr>
          <w:b/>
          <w:bCs/>
          <w:color w:val="000000"/>
          <w:sz w:val="44"/>
        </w:rPr>
      </w:pPr>
      <w:r>
        <w:rPr>
          <w:b/>
          <w:bCs/>
          <w:color w:val="000000"/>
          <w:sz w:val="44"/>
        </w:rPr>
        <w:br w:type="page" w:clear="all"/>
      </w:r>
      <w:bookmarkStart w:id="0" w:name="_Toc99301418"/>
      <w:r>
        <w:rPr>
          <w:b/>
          <w:bCs/>
          <w:color w:val="000000"/>
          <w:sz w:val="44"/>
        </w:rPr>
      </w:r>
      <w:r/>
    </w:p>
    <w:p>
      <w:pPr>
        <w:pStyle w:val="882"/>
        <w:jc w:val="center"/>
        <w:spacing w:line="360" w:lineRule="auto"/>
        <w:rPr>
          <w:b/>
          <w:bCs/>
          <w:color w:val="000000"/>
          <w:sz w:val="44"/>
        </w:rPr>
      </w:pPr>
      <w:r>
        <w:rPr>
          <w:b/>
          <w:bCs/>
          <w:color w:val="000000"/>
          <w:sz w:val="44"/>
        </w:rPr>
        <w:t xml:space="preserve">目      录</w:t>
      </w:r>
      <w:bookmarkEnd w:id="0"/>
      <w:r>
        <w:rPr>
          <w:b/>
          <w:bCs/>
          <w:color w:val="000000"/>
          <w:sz w:val="44"/>
        </w:rPr>
      </w:r>
      <w:r/>
    </w:p>
    <w:p>
      <w:pPr>
        <w:pStyle w:val="882"/>
        <w:spacing w:line="360" w:lineRule="auto"/>
        <w:rPr>
          <w:rFonts w:ascii="宋体" w:hAnsi="宋体" w:cs="宋体"/>
          <w:color w:val="000000"/>
          <w:sz w:val="32"/>
          <w:szCs w:val="32"/>
        </w:rPr>
      </w:pPr>
      <w:r>
        <w:rPr>
          <w:rFonts w:ascii="宋体" w:hAnsi="宋体"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rPr>
          <w:rFonts w:hint="eastAsia" w:cs="宋体"/>
          <w:color w:val="000000"/>
          <w:sz w:val="32"/>
          <w:szCs w:val="32"/>
        </w:rPr>
        <w:fldChar w:fldCharType="begin"/>
      </w:r>
      <w:r>
        <w:rPr>
          <w:rFonts w:hint="eastAsia" w:cs="宋体"/>
          <w:color w:val="000000"/>
          <w:sz w:val="32"/>
          <w:szCs w:val="32"/>
        </w:rPr>
        <w:instrText xml:space="preserve"> TOC \o "1-1" \h \z \u </w:instrText>
      </w:r>
      <w:r>
        <w:rPr>
          <w:rFonts w:hint="eastAsia" w:cs="宋体"/>
          <w:color w:val="000000"/>
          <w:sz w:val="32"/>
          <w:szCs w:val="32"/>
        </w:rPr>
        <w:fldChar w:fldCharType="separate"/>
      </w:r>
      <w:r>
        <w:fldChar w:fldCharType="begin"/>
      </w:r>
      <w:r>
        <w:instrText xml:space="preserve"> HYPERLINK \l "_Toc8819" </w:instrText>
      </w:r>
      <w:r>
        <w:fldChar w:fldCharType="separate"/>
      </w:r>
      <w:r>
        <w:rPr>
          <w:rFonts w:hint="eastAsia" w:cs="宋体"/>
          <w:color w:val="000000"/>
          <w:sz w:val="32"/>
          <w:szCs w:val="32"/>
        </w:rPr>
        <w:t xml:space="preserve">第一章   投标邀请</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_Toc8819 \h </w:instrText>
      </w:r>
      <w:r>
        <w:rPr>
          <w:rFonts w:hint="eastAsia" w:cs="宋体"/>
          <w:color w:val="000000"/>
          <w:sz w:val="32"/>
          <w:szCs w:val="32"/>
        </w:rPr>
        <w:fldChar w:fldCharType="separate"/>
      </w:r>
      <w:r>
        <w:rPr>
          <w:rFonts w:hint="eastAsia" w:cs="宋体"/>
          <w:color w:val="000000"/>
          <w:sz w:val="32"/>
          <w:szCs w:val="32"/>
        </w:rPr>
        <w:t xml:space="preserve">3</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"_Toc5570" </w:instrText>
      </w:r>
      <w:r>
        <w:fldChar w:fldCharType="separate"/>
      </w:r>
      <w:r>
        <w:rPr>
          <w:rFonts w:hint="eastAsia" w:cs="宋体"/>
          <w:color w:val="000000"/>
          <w:sz w:val="32"/>
          <w:szCs w:val="32"/>
        </w:rPr>
        <w:t xml:space="preserve">第二章   投标人须知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_Toc5570 \h </w:instrText>
      </w:r>
      <w:r>
        <w:rPr>
          <w:rFonts w:hint="eastAsia" w:cs="宋体"/>
          <w:color w:val="000000"/>
          <w:sz w:val="32"/>
          <w:szCs w:val="32"/>
        </w:rPr>
        <w:fldChar w:fldCharType="separate"/>
      </w:r>
      <w:r>
        <w:rPr>
          <w:rFonts w:hint="eastAsia" w:cs="宋体"/>
          <w:color w:val="000000"/>
          <w:sz w:val="32"/>
          <w:szCs w:val="32"/>
        </w:rPr>
        <w:t xml:space="preserve">7</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"_Toc21989" </w:instrText>
      </w:r>
      <w:r>
        <w:fldChar w:fldCharType="separate"/>
      </w:r>
      <w:r>
        <w:rPr>
          <w:rFonts w:hint="eastAsia" w:cs="宋体"/>
          <w:color w:val="000000"/>
          <w:sz w:val="32"/>
          <w:szCs w:val="32"/>
        </w:rPr>
        <w:t xml:space="preserve">第三章   资格审查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_Toc21989 \h </w:instrText>
      </w:r>
      <w:r>
        <w:rPr>
          <w:rFonts w:hint="eastAsia" w:cs="宋体"/>
          <w:color w:val="000000"/>
          <w:sz w:val="32"/>
          <w:szCs w:val="32"/>
        </w:rPr>
        <w:fldChar w:fldCharType="separate"/>
      </w:r>
      <w:r>
        <w:rPr>
          <w:rFonts w:hint="eastAsia" w:cs="宋体"/>
          <w:color w:val="000000"/>
          <w:sz w:val="32"/>
          <w:szCs w:val="32"/>
        </w:rPr>
        <w:t xml:space="preserve">22</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"_Toc13243" </w:instrText>
      </w:r>
      <w:r>
        <w:fldChar w:fldCharType="separate"/>
      </w:r>
      <w:r>
        <w:rPr>
          <w:rFonts w:hint="eastAsia" w:cs="宋体"/>
          <w:color w:val="000000"/>
          <w:sz w:val="32"/>
          <w:szCs w:val="32"/>
        </w:rPr>
        <w:t xml:space="preserve">第四章   评标程序、评标方法和评标标准</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_Toc13243 \h </w:instrText>
      </w:r>
      <w:r>
        <w:rPr>
          <w:rFonts w:hint="eastAsia" w:cs="宋体"/>
          <w:color w:val="000000"/>
          <w:sz w:val="32"/>
          <w:szCs w:val="32"/>
        </w:rPr>
        <w:fldChar w:fldCharType="separate"/>
      </w:r>
      <w:r>
        <w:rPr>
          <w:rFonts w:hint="eastAsia" w:cs="宋体"/>
          <w:color w:val="000000"/>
          <w:sz w:val="32"/>
          <w:szCs w:val="32"/>
        </w:rPr>
        <w:t xml:space="preserve">24</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"_Toc14891" </w:instrText>
      </w:r>
      <w:r>
        <w:fldChar w:fldCharType="separate"/>
      </w:r>
      <w:r>
        <w:rPr>
          <w:rFonts w:hint="eastAsia" w:cs="宋体"/>
          <w:color w:val="000000"/>
          <w:sz w:val="32"/>
          <w:szCs w:val="32"/>
        </w:rPr>
        <w:t xml:space="preserve">第五章   采购需求</w:t>
      </w:r>
      <w:r>
        <w:rPr>
          <w:rFonts w:hint="eastAsia" w:cs="宋体"/>
          <w:color w:val="000000"/>
          <w:sz w:val="32"/>
          <w:szCs w:val="32"/>
        </w:rPr>
        <w:tab/>
      </w:r>
      <w:r>
        <w:rPr>
          <w:rFonts w:hint="eastAsia" w:cs="宋体"/>
          <w:color w:val="000000"/>
          <w:sz w:val="32"/>
          <w:szCs w:val="32"/>
        </w:rPr>
        <w:t xml:space="preserve">3</w:t>
      </w:r>
      <w:r>
        <w:rPr>
          <w:rFonts w:hint="eastAsia" w:cs="宋体"/>
          <w:color w:val="000000"/>
          <w:sz w:val="32"/>
          <w:szCs w:val="32"/>
          <w:lang w:val="en-US" w:eastAsia="zh-CN"/>
        </w:rPr>
        <w:t xml:space="preserve">4</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"_Toc5874" </w:instrText>
      </w:r>
      <w:r>
        <w:fldChar w:fldCharType="separate"/>
      </w:r>
      <w:r>
        <w:rPr>
          <w:rFonts w:hint="eastAsia" w:cs="宋体"/>
          <w:color w:val="000000"/>
          <w:sz w:val="32"/>
          <w:szCs w:val="32"/>
        </w:rPr>
        <w:t xml:space="preserve">第六章   拟签订的合同文本</w:t>
      </w:r>
      <w:r>
        <w:rPr>
          <w:rFonts w:hint="eastAsia" w:cs="宋体"/>
          <w:color w:val="000000"/>
          <w:sz w:val="32"/>
          <w:szCs w:val="32"/>
        </w:rPr>
        <w:tab/>
      </w:r>
      <w:r>
        <w:rPr>
          <w:rFonts w:hint="eastAsia" w:cs="宋体"/>
          <w:color w:val="000000"/>
          <w:sz w:val="32"/>
          <w:szCs w:val="32"/>
          <w:lang w:val="en-US" w:eastAsia="zh-CN"/>
        </w:rPr>
        <w:t xml:space="preserve">42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"_Toc137" </w:instrText>
      </w:r>
      <w:r>
        <w:fldChar w:fldCharType="separate"/>
      </w:r>
      <w:r>
        <w:rPr>
          <w:rFonts w:hint="eastAsia" w:cs="宋体"/>
          <w:color w:val="000000"/>
          <w:sz w:val="32"/>
          <w:szCs w:val="32"/>
        </w:rPr>
        <w:t xml:space="preserve">第七章   投标文件格式</w:t>
      </w:r>
      <w:r>
        <w:rPr>
          <w:rFonts w:hint="eastAsia" w:cs="宋体"/>
          <w:color w:val="000000"/>
          <w:sz w:val="32"/>
          <w:szCs w:val="32"/>
        </w:rPr>
        <w:tab/>
      </w:r>
      <w:r>
        <w:rPr>
          <w:rFonts w:hint="eastAsia" w:cs="宋体"/>
          <w:color w:val="000000"/>
          <w:sz w:val="32"/>
          <w:szCs w:val="32"/>
          <w:lang w:val="en-US" w:eastAsia="zh-CN"/>
        </w:rPr>
        <w:t xml:space="preserve">52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b w:val="0"/>
          <w:color w:val="000000"/>
          <w:sz w:val="32"/>
          <w:szCs w:val="32"/>
        </w:rPr>
      </w:pPr>
      <w:r>
        <w:rPr>
          <w:rFonts w:hint="eastAsia" w:cs="宋体"/>
          <w:color w:val="000000"/>
          <w:sz w:val="32"/>
          <w:szCs w:val="32"/>
        </w:rPr>
        <w:fldChar w:fldCharType="end"/>
      </w:r>
      <w:r>
        <w:rPr>
          <w:rFonts w:cs="宋体"/>
          <w:b w:val="0"/>
          <w:color w:val="000000"/>
          <w:sz w:val="32"/>
          <w:szCs w:val="32"/>
        </w:rPr>
      </w:r>
      <w:r/>
    </w:p>
    <w:p>
      <w:pPr>
        <w:pStyle w:val="882"/>
        <w:jc w:val="center"/>
        <w:spacing w:line="360" w:lineRule="auto"/>
        <w:rPr>
          <w:rFonts w:ascii="宋体" w:hAnsi="宋体" w:cs="宋体"/>
          <w:color w:val="000000"/>
          <w:sz w:val="32"/>
          <w:szCs w:val="32"/>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宋体" w:hAnsi="宋体" w:cs="宋体"/>
          <w:color w:val="000000"/>
          <w:sz w:val="32"/>
          <w:szCs w:val="32"/>
        </w:rPr>
        <w:br w:type="page" w:clear="all"/>
      </w:r>
      <w:r/>
    </w:p>
    <w:p>
      <w:pPr>
        <w:pStyle w:val="882"/>
        <w:jc w:val="center"/>
        <w:spacing w:line="360" w:lineRule="auto"/>
        <w:rPr>
          <w:b/>
          <w:color w:val="000000"/>
          <w:sz w:val="36"/>
          <w:szCs w:val="36"/>
        </w:rPr>
        <w:outlineLvl w:val="0"/>
      </w:pPr>
      <w:r/>
      <w:bookmarkStart w:id="1" w:name="_Toc8819"/>
      <w:r>
        <w:rPr>
          <w:b/>
          <w:color w:val="000000"/>
          <w:sz w:val="36"/>
          <w:szCs w:val="36"/>
        </w:rPr>
        <w:t xml:space="preserve">第一章   投标邀请</w:t>
      </w:r>
      <w:bookmarkEnd w:id="1"/>
      <w:r>
        <w:rPr>
          <w:b/>
          <w:color w:val="000000"/>
          <w:sz w:val="36"/>
          <w:szCs w:val="36"/>
        </w:rPr>
      </w:r>
      <w:r/>
    </w:p>
    <w:p>
      <w:pPr>
        <w:pStyle w:val="882"/>
        <w:spacing w:line="360" w:lineRule="auto"/>
        <w:rPr>
          <w:rFonts w:ascii="宋体" w:hAnsi="宋体"/>
          <w:b/>
          <w:bCs/>
          <w:color w:val="000000"/>
          <w:sz w:val="24"/>
        </w:rPr>
      </w:pPr>
      <w:r/>
      <w:bookmarkStart w:id="2" w:name="_Toc28359079"/>
      <w:r/>
      <w:bookmarkStart w:id="3" w:name="_Toc35393621"/>
      <w:r/>
      <w:bookmarkStart w:id="4" w:name="_Toc28359002"/>
      <w:r/>
      <w:bookmarkStart w:id="5" w:name="_Toc35393790"/>
      <w:r/>
      <w:bookmarkStart w:id="6" w:name="_Hlk24379207"/>
      <w:r>
        <w:rPr>
          <w:rFonts w:hint="eastAsia" w:ascii="宋体" w:hAnsi="宋体"/>
          <w:b/>
          <w:bCs/>
          <w:color w:val="000000"/>
          <w:sz w:val="24"/>
        </w:rPr>
        <w:t xml:space="preserve">一、项目基本情况</w:t>
      </w:r>
      <w:bookmarkEnd w:id="2"/>
      <w:r/>
      <w:bookmarkEnd w:id="3"/>
      <w:r/>
      <w:bookmarkEnd w:id="4"/>
      <w:r/>
      <w:bookmarkEnd w:id="5"/>
      <w:r>
        <w:rPr>
          <w:rFonts w:ascii="宋体" w:hAnsi="宋体"/>
          <w:b/>
          <w:bCs/>
          <w:color w:val="000000"/>
          <w:sz w:val="24"/>
        </w:rPr>
      </w:r>
      <w:r/>
    </w:p>
    <w:p>
      <w:pPr>
        <w:pStyle w:val="88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highlight w:val="none"/>
          <w:lang w:eastAsia="zh-CN"/>
        </w:rPr>
        <w:t xml:space="preserve">项目编号：JSZC-320400-CZSL-G2026-0001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cs="宋体"/>
          <w:color w:val="000000"/>
          <w:sz w:val="24"/>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rPr>
        <w:t xml:space="preserve">2.项</w:t>
      </w:r>
      <w:r>
        <w:rPr>
          <w:rFonts w:hint="eastAsia" w:ascii="宋体" w:hAnsi="宋体" w:cs="宋体"/>
          <w:color w:val="000000"/>
          <w:sz w:val="24"/>
          <w:highlight w:val="none"/>
        </w:rPr>
        <w:t xml:space="preserve">目名称：</w:t>
      </w:r>
      <w:r>
        <w:rPr>
          <w:rFonts w:hint="eastAsia" w:ascii="宋体" w:hAnsi="宋体" w:cs="宋体"/>
          <w:color w:val="000000"/>
          <w:sz w:val="24"/>
          <w:highlight w:val="none"/>
          <w:lang w:eastAsia="zh-CN"/>
        </w:rPr>
        <w:t xml:space="preserve">江苏省常州市中级人民法院审判业务大楼人体检查仪采购项目</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3.项目预算金额：人民币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万元、项目最高限价：人民币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882"/>
        <w:ind w:firstLine="480"/>
        <w:spacing w:line="360" w:lineRule="auto"/>
        <w:shd w:val="clear" w:color="auto" w:fill="auto"/>
        <w:rPr>
          <w:rFonts w:hint="eastAsia" w:ascii="宋体" w:hAnsi="宋体" w:eastAsia="宋体"/>
          <w:b w:val="0"/>
          <w:bCs w:val="0"/>
          <w:color w:val="000000"/>
          <w:sz w:val="24"/>
          <w:highlight w:val="none"/>
          <w:lang w:eastAsia="zh-CN"/>
        </w:rPr>
      </w:pPr>
      <w:r>
        <w:rPr>
          <w:rFonts w:hint="eastAsia" w:ascii="宋体" w:hAnsi="宋体" w:cs="宋体"/>
          <w:color w:val="000000"/>
          <w:sz w:val="24"/>
          <w:highlight w:val="none"/>
        </w:rPr>
        <w:t xml:space="preserve">4.采购需求：</w:t>
      </w:r>
      <w:r>
        <w:rPr>
          <w:rFonts w:hint="eastAsia" w:ascii="宋体" w:hAnsi="宋体" w:eastAsia="宋体"/>
          <w:b w:val="0"/>
          <w:bCs w:val="0"/>
          <w:color w:val="000000"/>
          <w:sz w:val="24"/>
          <w:highlight w:val="none"/>
          <w:lang w:eastAsia="zh-CN"/>
        </w:rPr>
      </w:r>
      <w:r/>
    </w:p>
    <w:tbl>
      <w:tblPr>
        <w:tblW w:w="4966" w:type="pct"/>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04"/>
        <w:gridCol w:w="1248"/>
        <w:gridCol w:w="756"/>
        <w:gridCol w:w="4438"/>
      </w:tblGrid>
      <w:tr>
        <w:trPr>
          <w:trHeight w:val="454"/>
        </w:trPr>
        <w:tc>
          <w:tcPr>
            <w:tcW w:w="780" w:type="dxa"/>
            <w:vAlign w:val="center"/>
            <w:textDirection w:val="lrTb"/>
            <w:noWrap/>
          </w:tcPr>
          <w:p>
            <w:pPr>
              <w:pStyle w:val="882"/>
              <w:jc w:val="center"/>
              <w:spacing w:line="360" w:lineRule="auto"/>
              <w:rPr>
                <w:rFonts w:ascii="宋体" w:hAnsi="宋体" w:eastAsia="宋体" w:cs="宋体"/>
                <w:bCs/>
                <w:color w:val="000000"/>
                <w:sz w:val="24"/>
                <w:highlight w:val="none"/>
                <w:lang w:val="en-US" w:eastAsia="zh-CN"/>
              </w:rPr>
            </w:pPr>
            <w:r/>
            <w:bookmarkEnd w:id="6"/>
            <w:r>
              <w:rPr>
                <w:rFonts w:hint="eastAsia" w:ascii="宋体" w:hAnsi="宋体" w:cs="宋体"/>
                <w:bCs/>
                <w:color w:val="000000"/>
                <w:sz w:val="24"/>
                <w:highlight w:val="none"/>
                <w:lang w:val="en-US" w:eastAsia="zh-CN"/>
              </w:rPr>
              <w:t xml:space="preserve">包号</w:t>
            </w:r>
            <w:r>
              <w:rPr>
                <w:rFonts w:ascii="宋体" w:hAnsi="宋体" w:eastAsia="宋体" w:cs="宋体"/>
                <w:bCs/>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ascii="宋体" w:hAnsi="宋体" w:cs="宋体"/>
                <w:bCs/>
                <w:color w:val="000000"/>
                <w:sz w:val="24"/>
                <w:highlight w:val="none"/>
              </w:rPr>
            </w:r>
            <w:r/>
          </w:p>
        </w:tc>
        <w:tc>
          <w:tcPr>
            <w:tcW w:w="124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预算金额</w:t>
            </w:r>
            <w:r>
              <w:rPr>
                <w:rFonts w:ascii="宋体" w:hAnsi="宋体" w:cs="宋体"/>
                <w:bCs/>
                <w:color w:val="000000"/>
                <w:sz w:val="24"/>
                <w:highlight w:val="none"/>
              </w:rPr>
            </w:r>
            <w:r/>
          </w:p>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（万元）</w:t>
            </w:r>
            <w:r>
              <w:rPr>
                <w:rFonts w:ascii="宋体" w:hAnsi="宋体" w:cs="宋体"/>
                <w:bCs/>
                <w:color w:val="000000"/>
                <w:sz w:val="24"/>
                <w:highlight w:val="none"/>
              </w:rPr>
            </w:r>
            <w:r/>
          </w:p>
        </w:tc>
        <w:tc>
          <w:tcPr>
            <w:tcW w:w="756"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443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ascii="宋体" w:hAnsi="宋体" w:cs="宋体"/>
                <w:bCs/>
                <w:color w:val="000000"/>
                <w:sz w:val="24"/>
                <w:highlight w:val="none"/>
              </w:rPr>
            </w:r>
            <w:r/>
          </w:p>
        </w:tc>
      </w:tr>
      <w:tr>
        <w:trPr>
          <w:trHeight w:val="454"/>
        </w:trPr>
        <w:tc>
          <w:tcPr>
            <w:tcW w:w="780" w:type="dxa"/>
            <w:vAlign w:val="center"/>
            <w:textDirection w:val="lrTb"/>
            <w:noWrap/>
          </w:tcPr>
          <w:p>
            <w:pPr>
              <w:pStyle w:val="882"/>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01</w:t>
            </w:r>
            <w:r>
              <w:rPr>
                <w:rFonts w:ascii="宋体" w:hAnsi="宋体" w:cs="宋体"/>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color w:val="000000"/>
                <w:sz w:val="24"/>
                <w:highlight w:val="none"/>
                <w:lang w:eastAsia="zh-CN"/>
              </w:rPr>
              <w:t xml:space="preserve">A3级高频电磁波人体检查仪</w:t>
            </w:r>
            <w:r>
              <w:rPr>
                <w:rFonts w:ascii="宋体" w:hAnsi="宋体" w:cs="宋体"/>
                <w:bCs/>
                <w:color w:val="000000"/>
                <w:sz w:val="24"/>
                <w:highlight w:val="none"/>
              </w:rPr>
            </w:r>
            <w:r/>
          </w:p>
        </w:tc>
        <w:tc>
          <w:tcPr>
            <w:tcW w:w="1248" w:type="dxa"/>
            <w:vAlign w:val="center"/>
            <w:textDirection w:val="lrTb"/>
            <w:noWrap/>
          </w:tcPr>
          <w:p>
            <w:pPr>
              <w:pStyle w:val="882"/>
              <w:jc w:val="center"/>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120</w:t>
            </w:r>
            <w:r>
              <w:rPr>
                <w:rFonts w:ascii="宋体" w:hAnsi="宋体" w:eastAsia="宋体" w:cs="宋体"/>
                <w:bCs/>
                <w:color w:val="000000"/>
                <w:sz w:val="24"/>
                <w:highlight w:val="none"/>
                <w:lang w:val="en-US" w:eastAsia="zh-CN"/>
              </w:rPr>
            </w:r>
            <w:r/>
          </w:p>
        </w:tc>
        <w:tc>
          <w:tcPr>
            <w:tcW w:w="756" w:type="dxa"/>
            <w:vAlign w:val="center"/>
            <w:textDirection w:val="lrTb"/>
            <w:noWrap/>
          </w:tcPr>
          <w:p>
            <w:pPr>
              <w:pStyle w:val="88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套</w:t>
            </w:r>
            <w:r>
              <w:rPr>
                <w:rFonts w:hint="eastAsia" w:ascii="宋体" w:hAnsi="宋体" w:eastAsia="宋体" w:cs="宋体"/>
                <w:bCs/>
                <w:color w:val="000000"/>
                <w:sz w:val="24"/>
                <w:highlight w:val="none"/>
                <w:lang w:val="en-US" w:eastAsia="zh-CN"/>
              </w:rPr>
            </w:r>
            <w:r/>
          </w:p>
        </w:tc>
        <w:tc>
          <w:tcPr>
            <w:tcW w:w="4438" w:type="dxa"/>
            <w:vAlign w:val="center"/>
            <w:textDirection w:val="lrTb"/>
            <w:noWrap/>
          </w:tcPr>
          <w:p>
            <w:pPr>
              <w:pStyle w:val="882"/>
              <w:spacing w:line="360" w:lineRule="exact"/>
              <w:rPr>
                <w:rFonts w:ascii="宋体" w:hAnsi="宋体" w:cs="宋体"/>
                <w:bCs/>
                <w:color w:val="000000"/>
                <w:sz w:val="24"/>
                <w:highlight w:val="none"/>
              </w:rPr>
            </w:pPr>
            <w:r>
              <w:rPr>
                <w:rFonts w:hint="eastAsia" w:ascii="宋体" w:hAnsi="宋体" w:eastAsia="宋体" w:cs="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ascii="宋体" w:hAnsi="宋体" w:cs="宋体"/>
                <w:bCs/>
                <w:color w:val="000000"/>
                <w:sz w:val="24"/>
                <w:highlight w:val="none"/>
              </w:rPr>
            </w:r>
            <w:r/>
          </w:p>
        </w:tc>
      </w:tr>
    </w:tbl>
    <w:p>
      <w:pPr>
        <w:pStyle w:val="882"/>
        <w:ind w:firstLine="480"/>
        <w:spacing w:before="233"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w:t>
      </w:r>
      <w:r>
        <w:rPr>
          <w:rFonts w:hint="eastAsia" w:ascii="宋体" w:hAnsi="宋体" w:eastAsia="宋体" w:cs="宋体"/>
          <w:color w:val="000000"/>
          <w:sz w:val="24"/>
          <w:highlight w:val="none"/>
          <w:lang w:eastAsia="zh-CN"/>
        </w:rPr>
        <w:t xml:space="preserve">期限：</w:t>
      </w:r>
      <w:r>
        <w:rPr>
          <w:rFonts w:hint="eastAsia" w:ascii="宋体" w:hAnsi="宋体" w:eastAsia="宋体" w:cs="宋体"/>
          <w:color w:val="000000"/>
          <w:sz w:val="24"/>
          <w:szCs w:val="24"/>
          <w:highlight w:val="none"/>
        </w:rPr>
        <w:t xml:space="preserve">自合同签定之日起</w:t>
      </w:r>
      <w:r>
        <w:rPr>
          <w:rFonts w:hint="eastAsia" w:ascii="宋体" w:hAnsi="宋体" w:cs="宋体"/>
          <w:color w:val="000000"/>
          <w:sz w:val="24"/>
          <w:szCs w:val="24"/>
          <w:highlight w:val="none"/>
          <w:lang w:eastAsia="zh-CN"/>
        </w:rPr>
        <w:t xml:space="preserve">30日内完成设备供货</w:t>
      </w:r>
      <w:r>
        <w:rPr>
          <w:rFonts w:hint="eastAsia" w:ascii="宋体" w:hAnsi="宋体" w:eastAsia="宋体" w:cs="宋体"/>
          <w:color w:val="000000"/>
          <w:sz w:val="24"/>
          <w:szCs w:val="24"/>
          <w:highlight w:val="none"/>
        </w:rPr>
        <w:t xml:space="preserve">、安装调试、培训、验收合格并投入使用</w:t>
      </w:r>
      <w:r>
        <w:rPr>
          <w:rFonts w:hint="eastAsia" w:ascii="宋体" w:hAnsi="宋体" w:cs="宋体"/>
          <w:color w:val="000000"/>
          <w:spacing w:val="2"/>
          <w:sz w:val="24"/>
          <w:highlight w:val="none"/>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7" w:name="_Toc28359080"/>
      <w:r/>
      <w:bookmarkStart w:id="8" w:name="_Toc28359003"/>
      <w:r/>
      <w:bookmarkStart w:id="9" w:name="_Toc35393622"/>
      <w:r/>
      <w:bookmarkStart w:id="10" w:name="_Toc35393791"/>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1.1未被“信用中国”网站（WWW.creditchina.gov.cn）或“中国政府采购网”网站（www.ccgp.gov.cn）列入失信被执行人、重大税收违法失信主体名单、政府采购严重违法失信行为记录名单；</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bookmarkStart w:id="11" w:name="_Toc28359081"/>
      <w:r/>
      <w:bookmarkStart w:id="12" w:name="_Toc28359004"/>
      <w:r>
        <w:rPr>
          <w:rFonts w:hint="eastAsia" w:ascii="宋体" w:hAnsi="宋体" w:cs="宋体"/>
          <w:color w:val="000000"/>
          <w:sz w:val="24"/>
          <w:highlight w:val="none"/>
        </w:rPr>
        <w:t xml:space="preserve">2.落实政府采购政策需满足的资格要求：</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中小企业政策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□本项目专门面向   □中小  □小微企业  采购。即：提供的货物全部由符合政策要求的中小</w:t>
      </w:r>
      <w:r>
        <w:rPr>
          <w:rFonts w:hint="eastAsia" w:ascii="宋体" w:hAnsi="宋体" w:cs="宋体"/>
          <w:color w:val="000000"/>
          <w:sz w:val="24"/>
          <w:highlight w:val="none"/>
          <w:lang w:val="en-US" w:eastAsia="zh-CN"/>
        </w:rPr>
        <w:t xml:space="preserve">/小微</w:t>
      </w:r>
      <w:r>
        <w:rPr>
          <w:rFonts w:hint="eastAsia" w:ascii="宋体" w:hAnsi="宋体" w:cs="宋体"/>
          <w:color w:val="000000"/>
          <w:sz w:val="24"/>
          <w:highlight w:val="none"/>
        </w:rPr>
        <w:t xml:space="preserve">企业制造。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w:t>
      </w:r>
      <w:r>
        <w:rPr>
          <w:rFonts w:hint="eastAsia" w:ascii="宋体" w:hAnsi="宋体" w:eastAsia="宋体" w:cs="宋体"/>
          <w:color w:val="000000"/>
          <w:sz w:val="24"/>
          <w:highlight w:val="none"/>
        </w:rPr>
        <w:t xml:space="preserve">施进</w:t>
      </w:r>
      <w:r>
        <w:rPr>
          <w:rFonts w:hint="eastAsia" w:ascii="宋体" w:hAnsi="宋体" w:eastAsia="宋体" w:cs="宋体"/>
          <w:b w:val="0"/>
          <w:bCs w:val="0"/>
          <w:color w:val="000000"/>
          <w:sz w:val="24"/>
          <w:highlight w:val="none"/>
        </w:rPr>
        <w:t xml:space="preserve">行</w:t>
      </w:r>
      <w:r>
        <w:rPr>
          <w:rFonts w:hint="eastAsia" w:ascii="宋体" w:hAnsi="宋体" w:eastAsia="宋体" w:cs="宋体"/>
          <w:b w:val="0"/>
          <w:bCs w:val="0"/>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ascii="宋体" w:hAnsi="宋体" w:cs="宋体"/>
          <w:i/>
          <w:iCs/>
          <w:color w:val="000000"/>
          <w:sz w:val="24"/>
          <w:highlight w:val="none"/>
          <w:u w:val="singl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ascii="宋体" w:hAnsi="宋体" w:cs="宋体"/>
          <w:color w:val="000000"/>
          <w:sz w:val="24"/>
          <w:highlight w:val="none"/>
        </w:rPr>
      </w:r>
      <w:r/>
    </w:p>
    <w:p>
      <w:pPr>
        <w:pStyle w:val="882"/>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82"/>
        <w:ind w:firstLine="960"/>
        <w:spacing w:line="360" w:lineRule="auto"/>
        <w:tabs>
          <w:tab w:val="left" w:pos="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882"/>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1.投标人需提供</w:t>
      </w:r>
      <w:r>
        <w:rPr>
          <w:rFonts w:hint="eastAsia" w:ascii="宋体" w:hAnsi="宋体" w:eastAsia="宋体" w:cs="宋体"/>
          <w:color w:val="000000"/>
          <w:sz w:val="24"/>
          <w:highlight w:val="none"/>
          <w:lang w:val="sv-SE" w:eastAsia="zh-CN"/>
        </w:rPr>
        <w:t xml:space="preserve">有效期内的中国民用航空局安全检查设备使用许可证书，设备类别为毫米波人体成像安全检查设备，检测级别为A3级，具备脚部金属探测功能；</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加盖制造商公章的</w:t>
      </w:r>
      <w:r>
        <w:rPr>
          <w:rFonts w:hint="eastAsia" w:ascii="宋体" w:hAnsi="宋体" w:cs="宋体"/>
          <w:color w:val="000000"/>
          <w:sz w:val="24"/>
          <w:highlight w:val="none"/>
        </w:rPr>
        <w:t xml:space="preserve">证书</w:t>
      </w:r>
      <w:r>
        <w:rPr>
          <w:rFonts w:hint="eastAsia" w:ascii="宋体" w:hAnsi="宋体" w:cs="宋体"/>
          <w:color w:val="000000"/>
          <w:sz w:val="24"/>
          <w:highlight w:val="none"/>
          <w:lang w:val="en-US" w:eastAsia="zh-CN"/>
        </w:rPr>
        <w:t xml:space="preserve">彩色扫描件）</w:t>
      </w:r>
      <w:r>
        <w:rPr>
          <w:rFonts w:hint="eastAsia" w:ascii="宋体" w:hAnsi="宋体" w:cs="宋体"/>
          <w:color w:val="000000"/>
          <w:sz w:val="24"/>
          <w:highlight w:val="none"/>
          <w:lang w:val="en-US" w:eastAsia="zh-CN"/>
        </w:rPr>
      </w:r>
      <w:r/>
    </w:p>
    <w:p>
      <w:pPr>
        <w:pStyle w:val="882"/>
        <w:ind w:firstLine="480"/>
        <w:spacing w:line="360" w:lineRule="auto"/>
        <w:rPr>
          <w:rFonts w:hint="eastAsia" w:ascii="宋体" w:hAnsi="宋体" w:eastAsia="宋体" w:cs="宋体"/>
          <w:color w:val="000000"/>
          <w:sz w:val="24"/>
          <w:highlight w:val="none"/>
          <w:lang w:val="sv-SE"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sv-SE" w:eastAsia="zh-CN"/>
        </w:rPr>
        <w:t xml:space="preserve">如投标人为设备代理商，须具有毫米波门的制造商针对本项目的同一型号的唯一授权；（提供加盖</w:t>
      </w:r>
      <w:r>
        <w:rPr>
          <w:rFonts w:hint="eastAsia" w:ascii="宋体" w:hAnsi="宋体" w:eastAsia="宋体" w:cs="宋体"/>
          <w:color w:val="000000"/>
          <w:sz w:val="24"/>
          <w:highlight w:val="none"/>
          <w:lang w:val="en-US" w:eastAsia="zh-CN"/>
        </w:rPr>
        <w:t xml:space="preserve">制造商</w:t>
      </w:r>
      <w:r>
        <w:rPr>
          <w:rFonts w:hint="eastAsia" w:ascii="宋体" w:hAnsi="宋体" w:eastAsia="宋体" w:cs="宋体"/>
          <w:color w:val="000000"/>
          <w:sz w:val="24"/>
          <w:highlight w:val="none"/>
          <w:lang w:val="sv-SE" w:eastAsia="zh-CN"/>
        </w:rPr>
        <w:t xml:space="preserve">公章的授权书</w:t>
      </w:r>
      <w:r>
        <w:rPr>
          <w:rFonts w:hint="eastAsia" w:ascii="宋体" w:hAnsi="宋体" w:eastAsia="宋体" w:cs="宋体"/>
          <w:color w:val="000000"/>
          <w:sz w:val="24"/>
          <w:highlight w:val="none"/>
          <w:lang w:val="en-US" w:eastAsia="zh-CN"/>
        </w:rPr>
        <w:t xml:space="preserve">彩色扫描件）</w:t>
      </w:r>
      <w:r>
        <w:rPr>
          <w:rFonts w:hint="eastAsia" w:ascii="宋体" w:hAnsi="宋体" w:eastAsia="宋体" w:cs="宋体"/>
          <w:color w:val="000000"/>
          <w:sz w:val="24"/>
          <w:highlight w:val="none"/>
          <w:lang w:val="sv-SE" w:eastAsia="zh-CN"/>
        </w:rPr>
      </w:r>
      <w:r/>
    </w:p>
    <w:p>
      <w:pPr>
        <w:pStyle w:val="882"/>
        <w:spacing w:line="360" w:lineRule="auto"/>
        <w:rPr>
          <w:rFonts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2.地点：“苏采云”政府采购一体化平台。</w:t>
      </w:r>
      <w:r>
        <w:rPr>
          <w:rFonts w:ascii="宋体" w:hAnsi="宋体" w:cs="宋体"/>
          <w:color w:val="000000"/>
          <w:sz w:val="24"/>
          <w:highlight w:val="none"/>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3.方式：“苏采云”政府采购一体化平台自行免费下载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4.售价：0元。</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15" w:name="_Toc28359082"/>
      <w:r/>
      <w:bookmarkStart w:id="16" w:name="_Toc28359005"/>
      <w:r/>
      <w:bookmarkStart w:id="17" w:name="_Toc35393793"/>
      <w:r/>
      <w:bookmarkStart w:id="18" w:name="_Toc35393624"/>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ascii="宋体" w:hAnsi="宋体"/>
          <w:b/>
          <w:bCs/>
          <w:color w:val="000000"/>
          <w:sz w:val="24"/>
          <w:highlight w:val="none"/>
        </w:rPr>
      </w:r>
      <w:r/>
    </w:p>
    <w:p>
      <w:pPr>
        <w:pStyle w:val="882"/>
        <w:ind w:firstLine="480"/>
        <w:spacing w:line="360" w:lineRule="auto"/>
        <w:rPr>
          <w:rFonts w:ascii="宋体" w:hAnsi="宋体" w:cs="宋体"/>
          <w:iCs/>
          <w:color w:val="000000"/>
          <w:sz w:val="24"/>
          <w:highlight w:val="none"/>
        </w:rPr>
      </w:pPr>
      <w:r/>
      <w:bookmarkStart w:id="19" w:name="_Toc28359084"/>
      <w:r/>
      <w:bookmarkStart w:id="20" w:name="_Toc28359007"/>
      <w:r/>
      <w:bookmarkStart w:id="21" w:name="_Toc35393625"/>
      <w:r/>
      <w:bookmarkStart w:id="22" w:name="_Toc35393794"/>
      <w:r>
        <w:rPr>
          <w:color w:val="000000"/>
          <w:sz w:val="24"/>
          <w:highlight w:val="none"/>
        </w:rPr>
        <w:t xml:space="preserve">投标截止时间、开标时间：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cs="宋体"/>
          <w:color w:val="000000"/>
          <w:sz w:val="24"/>
          <w:highlight w:val="none"/>
        </w:rPr>
        <w:t xml:space="preserve">日09点00分</w:t>
      </w:r>
      <w:r>
        <w:rPr>
          <w:rFonts w:hint="eastAsia" w:ascii="宋体" w:hAnsi="宋体" w:cs="宋体"/>
          <w:bCs/>
          <w:color w:val="000000"/>
          <w:sz w:val="24"/>
          <w:highlight w:val="none"/>
        </w:rPr>
        <w:t xml:space="preserve">（北京时间）</w:t>
      </w:r>
      <w:r>
        <w:rPr>
          <w:rFonts w:hint="eastAsia" w:ascii="宋体" w:hAnsi="宋体" w:cs="宋体"/>
          <w:iCs/>
          <w:color w:val="000000"/>
          <w:sz w:val="24"/>
          <w:highlight w:val="none"/>
        </w:rPr>
        <w:t xml:space="preserve">。</w:t>
      </w:r>
      <w:r>
        <w:rPr>
          <w:rFonts w:ascii="宋体" w:hAnsi="宋体" w:cs="宋体"/>
          <w:i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地点：“苏采云”政府采购交易系统网上开标大厅</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ascii="宋体" w:hAnsi="宋体"/>
          <w:b/>
          <w:bCs/>
          <w:color w:val="000000"/>
          <w:sz w:val="24"/>
          <w:highlight w:val="none"/>
        </w:rPr>
      </w:r>
      <w:r/>
    </w:p>
    <w:p>
      <w:pPr>
        <w:pStyle w:val="882"/>
        <w:ind w:firstLine="480"/>
        <w:spacing w:line="360" w:lineRule="auto"/>
        <w:rPr>
          <w:color w:val="000000"/>
          <w:sz w:val="24"/>
          <w:highlight w:val="none"/>
        </w:rPr>
      </w:pPr>
      <w:r>
        <w:rPr>
          <w:color w:val="000000"/>
          <w:sz w:val="24"/>
          <w:highlight w:val="none"/>
        </w:rPr>
        <w:t xml:space="preserve">自本公告发布之日起</w:t>
      </w:r>
      <w:r>
        <w:rPr>
          <w:rFonts w:hint="eastAsia" w:ascii="宋体" w:hAnsi="宋体" w:cs="宋体"/>
          <w:color w:val="000000"/>
          <w:sz w:val="24"/>
          <w:highlight w:val="none"/>
        </w:rPr>
        <w:t xml:space="preserve">5</w:t>
      </w:r>
      <w:r>
        <w:rPr>
          <w:color w:val="000000"/>
          <w:sz w:val="24"/>
          <w:highlight w:val="none"/>
        </w:rPr>
        <w:t xml:space="preserve">个工作日。</w:t>
      </w:r>
      <w:r>
        <w:rPr>
          <w:color w:val="000000"/>
          <w:sz w:val="24"/>
          <w:highlight w:val="none"/>
        </w:rPr>
      </w:r>
      <w:r/>
    </w:p>
    <w:p>
      <w:pPr>
        <w:pStyle w:val="882"/>
        <w:spacing w:line="360" w:lineRule="auto"/>
        <w:rPr>
          <w:rFonts w:ascii="宋体" w:hAnsi="宋体"/>
          <w:b/>
          <w:bCs/>
          <w:color w:val="000000"/>
          <w:sz w:val="24"/>
          <w:highlight w:val="none"/>
        </w:rPr>
      </w:pPr>
      <w:r/>
      <w:bookmarkStart w:id="23" w:name="_Toc35393626"/>
      <w:r/>
      <w:bookmarkStart w:id="24" w:name="_Toc35393795"/>
      <w:r/>
      <w:bookmarkStart w:id="25" w:name="_Toc35393796"/>
      <w:r/>
      <w:bookmarkStart w:id="26" w:name="_Toc28359085"/>
      <w:r/>
      <w:bookmarkStart w:id="27" w:name="_Toc35393627"/>
      <w:r/>
      <w:bookmarkStart w:id="28" w:name="_Toc28359008"/>
      <w:r>
        <w:rPr>
          <w:rFonts w:hint="eastAsia" w:ascii="宋体" w:hAnsi="宋体"/>
          <w:b/>
          <w:bCs/>
          <w:color w:val="000000"/>
          <w:sz w:val="24"/>
          <w:highlight w:val="none"/>
        </w:rPr>
        <w:t xml:space="preserve">六、其他补充事宜</w:t>
      </w:r>
      <w:bookmarkEnd w:id="23"/>
      <w:r/>
      <w:bookmarkEnd w:id="2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7.注意事项</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10.如潜在投标供应商未按上述要求操作，将自行承担所产生的风险。</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ascii="宋体" w:hAnsi="宋体"/>
          <w:b/>
          <w:bCs/>
          <w:color w:val="000000"/>
          <w:sz w:val="24"/>
          <w:highlight w:val="none"/>
        </w:rPr>
      </w:r>
      <w:r/>
    </w:p>
    <w:p>
      <w:pPr>
        <w:pStyle w:val="882"/>
        <w:ind w:firstLine="482"/>
        <w:jc w:val="left"/>
        <w:spacing w:line="360" w:lineRule="auto"/>
        <w:widowControl/>
        <w:rPr>
          <w:rFonts w:ascii="宋体" w:hAnsi="宋体" w:cs="宋体"/>
          <w:b/>
          <w:bCs/>
          <w:color w:val="000000"/>
          <w:sz w:val="24"/>
          <w:highlight w:val="none"/>
          <w:lang w:val="zh-TW"/>
        </w:rPr>
      </w:pPr>
      <w:r/>
      <w:bookmarkStart w:id="29" w:name="_Toc226965856"/>
      <w:r/>
      <w:bookmarkStart w:id="30" w:name="_Toc127161488"/>
      <w:r/>
      <w:bookmarkStart w:id="31" w:name="_Toc195842950"/>
      <w:r/>
      <w:bookmarkStart w:id="32" w:name="_Toc305158854"/>
      <w:r/>
      <w:bookmarkStart w:id="33" w:name="_Toc265228423"/>
      <w:r/>
      <w:bookmarkStart w:id="34" w:name="_Toc305158928"/>
      <w:r/>
      <w:bookmarkStart w:id="35" w:name="_Toc353873938"/>
      <w:r/>
      <w:bookmarkStart w:id="36" w:name="_Toc127151777"/>
      <w:r/>
      <w:bookmarkStart w:id="37" w:name="_Toc512937850"/>
      <w:r/>
      <w:bookmarkStart w:id="38" w:name="_Toc264969275"/>
      <w:r/>
      <w:bookmarkStart w:id="39" w:name="_Toc353825548"/>
      <w:r/>
      <w:bookmarkStart w:id="40" w:name="_Toc150774783"/>
      <w:r>
        <w:rPr>
          <w:rFonts w:hint="eastAsia" w:ascii="宋体" w:hAnsi="宋体" w:cs="宋体"/>
          <w:b/>
          <w:bCs/>
          <w:color w:val="000000"/>
          <w:sz w:val="24"/>
          <w:highlight w:val="none"/>
          <w:lang w:val="zh-TW"/>
        </w:rPr>
        <w:t xml:space="preserve">1.</w:t>
      </w:r>
      <w:r>
        <w:rPr>
          <w:rFonts w:hint="eastAsia" w:ascii="宋体" w:hAnsi="宋体" w:cs="宋体"/>
          <w:b/>
          <w:bCs/>
          <w:color w:val="000000"/>
          <w:sz w:val="24"/>
          <w:highlight w:val="none"/>
        </w:rPr>
        <w:t xml:space="preserve">采购人</w:t>
      </w:r>
      <w:r>
        <w:rPr>
          <w:rFonts w:hint="eastAsia" w:ascii="宋体" w:hAnsi="宋体" w:cs="宋体"/>
          <w:b/>
          <w:bCs/>
          <w:color w:val="000000"/>
          <w:sz w:val="24"/>
          <w:highlight w:val="none"/>
          <w:lang w:val="zh-TW"/>
        </w:rPr>
        <w:t xml:space="preserve">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w:t>
      </w:r>
      <w:r>
        <w:rPr>
          <w:rFonts w:hint="eastAsia" w:ascii="宋体" w:hAnsi="宋体" w:cs="宋体"/>
          <w:color w:val="000000"/>
          <w:sz w:val="24"/>
          <w:highlight w:val="none"/>
        </w:rPr>
        <w:t xml:space="preserve">江苏省常州市中级人民法院</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地址：常州市天宁区永宁北路6号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TW"/>
        </w:rPr>
        <w:t xml:space="preserve">联系方式：</w:t>
      </w:r>
      <w:r>
        <w:rPr>
          <w:rFonts w:hint="eastAsia" w:ascii="宋体" w:hAnsi="宋体" w:cs="宋体"/>
          <w:color w:val="000000"/>
          <w:sz w:val="24"/>
          <w:highlight w:val="none"/>
          <w:lang w:val="en-US" w:eastAsia="zh-CN"/>
        </w:rPr>
        <w:t xml:space="preserve">尤</w:t>
      </w:r>
      <w:r>
        <w:rPr>
          <w:rFonts w:hint="eastAsia" w:ascii="宋体" w:hAnsi="宋体" w:cs="宋体"/>
          <w:color w:val="000000"/>
          <w:sz w:val="24"/>
          <w:highlight w:val="none"/>
        </w:rPr>
        <w:t xml:space="preserve">先生    0519-</w:t>
      </w:r>
      <w:r>
        <w:rPr>
          <w:rFonts w:hint="eastAsia" w:ascii="宋体" w:hAnsi="宋体" w:cs="宋体"/>
          <w:color w:val="000000"/>
          <w:sz w:val="24"/>
          <w:highlight w:val="none"/>
          <w:lang w:val="en-US" w:eastAsia="zh-CN"/>
        </w:rPr>
        <w:t xml:space="preserve">85576129</w:t>
      </w:r>
      <w:r>
        <w:rPr>
          <w:rFonts w:ascii="宋体" w:hAnsi="宋体" w:eastAsia="宋体" w:cs="宋体"/>
          <w:color w:val="000000"/>
          <w:sz w:val="24"/>
          <w:highlight w:val="none"/>
          <w:lang w:val="en-US" w:eastAsia="zh-CN"/>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2.采购代理机构信息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名称：常州市水利规划设计院有限公司</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地址：常州市天宁区晋陵中路578号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联系方式： 0519-86698250</w:t>
      </w:r>
      <w:r>
        <w:rPr>
          <w:rFonts w:ascii="宋体" w:hAnsi="宋体" w:cs="宋体"/>
          <w:color w:val="000000"/>
          <w:sz w:val="24"/>
          <w:highlight w:val="none"/>
          <w:lang w:val="zh-TW"/>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3.项目联系方式</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项目联系人：</w:t>
      </w:r>
      <w:r>
        <w:rPr>
          <w:rFonts w:hint="eastAsia" w:ascii="宋体" w:hAnsi="宋体" w:cs="宋体"/>
          <w:color w:val="000000"/>
          <w:sz w:val="24"/>
          <w:highlight w:val="none"/>
        </w:rPr>
        <w:t xml:space="preserve">江工</w:t>
      </w:r>
      <w:r>
        <w:rPr>
          <w:rFonts w:ascii="宋体" w:hAnsi="宋体" w:cs="宋体"/>
          <w:color w:val="000000"/>
          <w:sz w:val="24"/>
          <w:highlight w:val="none"/>
          <w:lang w:val="zh-TW"/>
        </w:rPr>
      </w:r>
      <w:r/>
    </w:p>
    <w:p>
      <w:pPr>
        <w:pStyle w:val="882"/>
        <w:ind w:firstLine="480"/>
        <w:jc w:val="left"/>
        <w:spacing w:line="360" w:lineRule="auto"/>
        <w:widowControl/>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电话： 0519-86698250</w:t>
      </w:r>
      <w:r>
        <w:rPr>
          <w:rFonts w:hint="eastAsia"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b/>
          <w:bCs/>
          <w:color w:val="000000"/>
          <w:sz w:val="24"/>
          <w:highlight w:val="none"/>
        </w:rPr>
        <w:t xml:space="preserve">注：以上个人信息，由于工作需要经机构或本人同意对外公布。</w:t>
      </w:r>
      <w:r>
        <w:rPr>
          <w:rFonts w:ascii="宋体" w:hAnsi="宋体" w:cs="宋体"/>
          <w:color w:val="000000"/>
          <w:sz w:val="24"/>
          <w:highlight w:val="none"/>
          <w:lang w:val="zh-TW"/>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41"/>
      <w:r>
        <w:rPr>
          <w:b/>
          <w:color w:val="000000"/>
          <w:sz w:val="36"/>
          <w:szCs w:val="36"/>
          <w:highlight w:val="none"/>
        </w:rPr>
      </w:r>
      <w:r/>
    </w:p>
    <w:p>
      <w:pPr>
        <w:pStyle w:val="882"/>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投标人须知资料表</w:t>
      </w:r>
      <w:r>
        <w:rPr>
          <w:rFonts w:ascii="宋体" w:hAnsi="宋体"/>
          <w:b/>
          <w:bCs/>
          <w:color w:val="000000"/>
          <w:sz w:val="28"/>
          <w:szCs w:val="28"/>
          <w:highlight w:val="none"/>
        </w:rPr>
      </w:r>
      <w:r/>
    </w:p>
    <w:p>
      <w:pPr>
        <w:pStyle w:val="882"/>
        <w:jc w:val="center"/>
        <w:rPr>
          <w:b/>
          <w:color w:val="000000"/>
          <w:sz w:val="28"/>
          <w:szCs w:val="28"/>
          <w:highlight w:val="none"/>
        </w:rPr>
      </w:pPr>
      <w:r>
        <w:rPr>
          <w:b/>
          <w:color w:val="000000"/>
          <w:sz w:val="28"/>
          <w:szCs w:val="28"/>
          <w:highlight w:val="none"/>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本表是对投标人须知的具体补充和修改，如有矛盾，均以本资料表为准。</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标记“■”的选项意为适用于本项目，标记“□”的选项意为不适用于本项目。</w:t>
      </w:r>
      <w:r>
        <w:rPr>
          <w:rFonts w:ascii="宋体" w:hAnsi="宋体" w:cs="宋体"/>
          <w:color w:val="000000"/>
          <w:sz w:val="24"/>
          <w:highlight w:val="none"/>
          <w:lang w:val="zh-TW"/>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rPr>
                <w:rFonts w:ascii="宋体" w:hAnsi="宋体" w:cs="宋体"/>
                <w:b/>
                <w:bCs/>
                <w:color w:val="000000"/>
                <w:sz w:val="24"/>
                <w:highlight w:val="none"/>
              </w:rPr>
            </w:r>
            <w:r/>
          </w:p>
        </w:tc>
        <w:tc>
          <w:tcPr>
            <w:tcW w:w="1519"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ascii="宋体" w:hAnsi="宋体" w:cs="宋体"/>
                <w:b/>
                <w:bCs/>
                <w:color w:val="000000"/>
                <w:sz w:val="24"/>
                <w:highlight w:val="none"/>
              </w:rPr>
            </w:r>
            <w:r/>
          </w:p>
        </w:tc>
        <w:tc>
          <w:tcPr>
            <w:tcW w:w="7722"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ascii="宋体" w:hAnsi="宋体" w:cs="宋体"/>
                <w:b/>
                <w:bCs/>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2.2</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□服务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■货物</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2.3</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tc>
      </w:tr>
      <w:tr>
        <w:trPr>
          <w:trHeight w:val="878"/>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2.4</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rPr>
                <w:rFonts w:ascii="宋体" w:hAnsi="宋体" w:cs="宋体"/>
                <w:color w:val="000000"/>
                <w:sz w:val="24"/>
                <w:highlight w:val="none"/>
              </w:rPr>
            </w:r>
            <w:r/>
          </w:p>
        </w:tc>
        <w:tc>
          <w:tcPr>
            <w:tcW w:w="7722" w:type="dxa"/>
            <w:vAlign w:val="center"/>
            <w:textDirection w:val="lrTb"/>
            <w:noWrap/>
          </w:tcPr>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□关于核心产品本项目</w:t>
            </w:r>
            <w:r>
              <w:rPr>
                <w:rFonts w:hAnsi="宋体" w:cs="宋体"/>
                <w:color w:val="000000"/>
                <w:sz w:val="24"/>
                <w:highlight w:val="none"/>
                <w:u w:val="single"/>
                <w:lang w:val="en-US" w:eastAsia="zh-CN"/>
              </w:rPr>
              <w:t xml:space="preserve"> / </w:t>
            </w:r>
            <w:r>
              <w:rPr>
                <w:rFonts w:hAnsi="宋体" w:cs="宋体"/>
                <w:color w:val="000000"/>
                <w:sz w:val="24"/>
                <w:szCs w:val="24"/>
                <w:highlight w:val="none"/>
                <w:lang w:val="en-US" w:eastAsia="zh-CN"/>
              </w:rPr>
              <w:t xml:space="preserve">包不适用。</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■本项目为单一产品采购项目。</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□本项目为非单一产品采购项目，核心产品为：</w:t>
            </w:r>
            <w:r>
              <w:rPr>
                <w:rFonts w:hint="eastAsia" w:hAnsi="宋体" w:cs="宋体"/>
                <w:color w:val="000000"/>
                <w:sz w:val="24"/>
                <w:szCs w:val="24"/>
                <w:highlight w:val="none"/>
                <w:u w:val="single"/>
                <w:lang w:val="en-US" w:eastAsia="zh-CN"/>
              </w:rPr>
              <w:t xml:space="preserve"> / </w:t>
            </w:r>
            <w:r>
              <w:rPr>
                <w:rFonts w:hAnsi="宋体" w:cs="宋体"/>
                <w:color w:val="000000"/>
                <w:sz w:val="24"/>
                <w:szCs w:val="24"/>
                <w:highlight w:val="none"/>
                <w:u w:val="none"/>
                <w:lang w:val="en-US" w:eastAsia="zh-CN"/>
              </w:rPr>
              <w:t xml:space="preserve">。</w:t>
            </w:r>
            <w:r>
              <w:rPr>
                <w:rFonts w:hAnsi="宋体" w:cs="宋体"/>
                <w:color w:val="000000"/>
                <w:sz w:val="24"/>
                <w:szCs w:val="24"/>
                <w:highlight w:val="none"/>
                <w:lang w:val="en-US" w:eastAsia="zh-CN"/>
              </w:rPr>
            </w:r>
            <w:r/>
          </w:p>
        </w:tc>
      </w:tr>
      <w:tr>
        <w:trPr>
          <w:trHeight w:val="20"/>
        </w:trPr>
        <w:tc>
          <w:tcPr>
            <w:tcW w:w="988" w:type="dxa"/>
            <w:vAlign w:val="center"/>
            <w:vMerge w:val="restart"/>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3.1</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rPr>
                <w:rFonts w:ascii="宋体" w:hAnsi="宋体" w:cs="宋体"/>
                <w:color w:val="000000"/>
                <w:sz w:val="24"/>
                <w:highlight w:val="none"/>
              </w:rPr>
            </w:r>
            <w:r/>
          </w:p>
          <w:p>
            <w:pPr>
              <w:pStyle w:val="882"/>
              <w:jc w:val="left"/>
              <w:rPr>
                <w:rFonts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bCs/>
                <w:color w:val="000000"/>
                <w:sz w:val="24"/>
                <w:highlight w:val="none"/>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考察地点：</w:t>
            </w:r>
            <w:r>
              <w:rPr>
                <w:rFonts w:hAnsi="宋体" w:cs="宋体"/>
                <w:color w:val="000000"/>
                <w:sz w:val="24"/>
                <w:szCs w:val="24"/>
                <w:highlight w:val="none"/>
                <w:u w:val="single"/>
                <w:lang w:val="en-US" w:eastAsia="zh-CN"/>
              </w:rPr>
              <w:t xml:space="preserve">  /  </w:t>
            </w:r>
            <w:r>
              <w:rPr>
                <w:rFonts w:hAnsi="宋体" w:cs="宋体"/>
                <w:color w:val="000000"/>
                <w:sz w:val="24"/>
                <w:szCs w:val="24"/>
                <w:highlight w:val="none"/>
                <w:lang w:val="en-US" w:eastAsia="zh-CN"/>
              </w:rPr>
              <w:t xml:space="preserve">。</w:t>
            </w:r>
            <w:r>
              <w:rPr>
                <w:rFonts w:hAnsi="宋体" w:cs="宋体"/>
                <w:color w:val="000000"/>
                <w:sz w:val="24"/>
                <w:szCs w:val="24"/>
                <w:highlight w:val="none"/>
                <w:lang w:val="en-US" w:eastAsia="zh-CN"/>
              </w:rPr>
            </w:r>
            <w:r/>
          </w:p>
        </w:tc>
      </w:tr>
      <w:tr>
        <w:trPr>
          <w:trHeight w:val="918"/>
        </w:trPr>
        <w:tc>
          <w:tcPr>
            <w:tcW w:w="988" w:type="dxa"/>
            <w:vAlign w:val="center"/>
            <w:vMerge w:val="continue"/>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79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样品</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投标样品递交：</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■不需要</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□需要，具体要求如下：</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（1）样品制作的标准和要求：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（2）是否需要随样品提交相关检测报告：</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（3）样品递交要求：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（4）未中标人样品退还：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（5）中标人样品保管、封存及退还：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（6）其他要求（如有）：</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67"/>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5.2.5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标的所属行业</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color w:val="000000"/>
                <w:sz w:val="24"/>
                <w:u w:val="single"/>
              </w:rPr>
              <w:t xml:space="preserve">  工业  </w:t>
            </w:r>
            <w:r>
              <w:rPr>
                <w:rFonts w:ascii="宋体" w:hAnsi="宋体" w:cs="宋体"/>
                <w:color w:val="000000"/>
                <w:sz w:val="24"/>
              </w:rPr>
            </w:r>
            <w:r/>
          </w:p>
        </w:tc>
      </w:tr>
      <w:tr>
        <w:trPr>
          <w:trHeight w:val="84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投标报价</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投标报价的特殊规定：</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■无</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□有，具体情形：</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投标保证金</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免收</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13.1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投标有效期</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u w:val="single"/>
              </w:rPr>
              <w:t xml:space="preserve"> 60 </w:t>
            </w:r>
            <w:r>
              <w:rPr>
                <w:rFonts w:hint="eastAsia" w:ascii="宋体" w:hAnsi="宋体" w:cs="宋体"/>
                <w:color w:val="000000"/>
                <w:sz w:val="24"/>
              </w:rPr>
              <w:t xml:space="preserve">日历天。</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投标文件</w:t>
            </w:r>
            <w:r>
              <w:rPr>
                <w:rFonts w:ascii="宋体" w:hAnsi="宋体" w:cs="宋体"/>
                <w:color w:val="000000"/>
                <w:sz w:val="24"/>
              </w:rPr>
            </w:r>
            <w:r/>
          </w:p>
          <w:p>
            <w:pPr>
              <w:pStyle w:val="882"/>
              <w:jc w:val="center"/>
              <w:rPr>
                <w:rFonts w:ascii="宋体" w:hAnsi="宋体" w:cs="宋体"/>
                <w:color w:val="000000"/>
                <w:sz w:val="24"/>
              </w:rPr>
            </w:pPr>
            <w:r>
              <w:rPr>
                <w:rFonts w:hint="eastAsia" w:ascii="宋体" w:hAnsi="宋体" w:cs="宋体"/>
                <w:color w:val="000000"/>
                <w:sz w:val="24"/>
              </w:rPr>
              <w:t xml:space="preserve">份数</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中标人领取中标通知书时须向采购人额外提供从“苏采云”系统打印出的与投标所报电子文件一致的纸质投标文件3份，并按要求签字盖章，纸质投标文件需胶装。</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Start w:id="42" w:name="_Toc226337215"/>
            <w:r/>
            <w:bookmarkStart w:id="43" w:name="_Toc226965709"/>
            <w:r/>
            <w:bookmarkStart w:id="44" w:name="_Toc127161433"/>
            <w:r/>
            <w:bookmarkStart w:id="45" w:name="_Toc164229360"/>
            <w:r/>
            <w:bookmarkStart w:id="46" w:name="_Toc149720812"/>
            <w:r/>
            <w:bookmarkStart w:id="47" w:name="_Toc164608633"/>
            <w:r/>
            <w:bookmarkStart w:id="48" w:name="_Toc164229214"/>
            <w:r/>
            <w:bookmarkStart w:id="49" w:name="_Toc142311021"/>
            <w:r/>
            <w:bookmarkStart w:id="50" w:name="_Toc151193761"/>
            <w:r/>
            <w:bookmarkStart w:id="51" w:name="_Toc150480757"/>
            <w:r/>
            <w:bookmarkStart w:id="52" w:name="_Toc164351613"/>
            <w:r/>
            <w:bookmarkStart w:id="53" w:name="_Toc520356144"/>
            <w:r/>
            <w:bookmarkStart w:id="54" w:name="_Toc151193907"/>
            <w:r/>
            <w:bookmarkStart w:id="55" w:name="_Toc151193833"/>
            <w:r/>
            <w:bookmarkStart w:id="56" w:name="_Toc226965792"/>
            <w:r/>
            <w:bookmarkStart w:id="57" w:name="_Toc127151720"/>
            <w:r/>
            <w:bookmarkStart w:id="58" w:name="_Toc151193617"/>
            <w:r/>
            <w:bookmarkStart w:id="59" w:name="_Toc195842884"/>
            <w:r/>
            <w:bookmarkStart w:id="60" w:name="_Toc150774724"/>
            <w:r/>
            <w:bookmarkStart w:id="61" w:name="_Toc151190146"/>
            <w:r/>
            <w:bookmarkStart w:id="62" w:name="_Toc151193689"/>
            <w:r/>
            <w:bookmarkStart w:id="63" w:name="_Toc127151519"/>
            <w:r/>
            <w:bookmarkStart w:id="64" w:name="_Toc150509270"/>
            <w:r/>
            <w:bookmarkStart w:id="65" w:name="_Toc150774619"/>
            <w:r/>
            <w:bookmarkStart w:id="66" w:name="_Toc164608788"/>
            <w:r/>
            <w:bookmarkStart w:id="67" w:name="_Toc226309763"/>
            <w:r>
              <w:rPr>
                <w:rFonts w:hAnsi="宋体" w:cs="宋体"/>
                <w:color w:val="000000"/>
                <w:sz w:val="24"/>
                <w:szCs w:val="24"/>
                <w:lang w:val="en-US" w:eastAsia="zh-CN"/>
              </w:rPr>
              <w:t xml:space="preserve">25.5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分包</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本项目的非主体、非关键性工作是否允许分包： </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■不允许</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（3）其他要求：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26.1.1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sz w:val="24"/>
                <w:highlight w:val="none"/>
              </w:rPr>
            </w:pPr>
            <w:r>
              <w:rPr>
                <w:rFonts w:hint="eastAsia" w:ascii="宋体" w:hAnsi="宋体" w:cs="宋体"/>
                <w:color w:val="000000"/>
                <w:sz w:val="24"/>
                <w:highlight w:val="none"/>
              </w:rPr>
              <w:t xml:space="preserve">询问送达形式：书面形式</w:t>
            </w:r>
            <w:r>
              <w:rPr>
                <w:rFonts w:ascii="宋体" w:hAnsi="宋体" w:cs="宋体"/>
                <w:sz w:val="24"/>
                <w:highlight w:val="none"/>
              </w:rPr>
            </w:r>
            <w:r/>
          </w:p>
          <w:p>
            <w:pPr>
              <w:pStyle w:val="882"/>
              <w:jc w:val="left"/>
              <w:rPr>
                <w:rFonts w:ascii="宋体" w:hAnsi="宋体" w:cs="宋体"/>
                <w:color w:val="000000"/>
                <w:sz w:val="24"/>
                <w:highlight w:val="none"/>
              </w:rPr>
            </w:pPr>
            <w:r>
              <w:rPr>
                <w:rFonts w:hint="eastAsia" w:ascii="宋体" w:hAnsi="宋体" w:cs="宋体"/>
                <w:sz w:val="24"/>
                <w:highlight w:val="none"/>
              </w:rPr>
              <w:t xml:space="preserve">对公开招标文件需要进行澄清或有疑问的供应商，均应在202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8月13</w:t>
            </w:r>
            <w:r>
              <w:rPr>
                <w:rFonts w:hint="eastAsia" w:ascii="宋体" w:hAnsi="宋体" w:cs="宋体"/>
                <w:sz w:val="24"/>
                <w:highlight w:val="none"/>
              </w:rPr>
              <w:t xml:space="preserve">日23:59（北京时间）前将相关疑问发送至邮箱</w:t>
            </w:r>
            <w:r>
              <w:rPr>
                <w:rFonts w:hint="eastAsia" w:ascii="宋体" w:hAnsi="宋体" w:cs="宋体"/>
                <w:color w:val="000000"/>
                <w:sz w:val="24"/>
                <w:highlight w:val="none"/>
              </w:rPr>
              <w:t xml:space="preserve">（920956143@qq.com）进行咨询，如口头可解释的问题亦可电话咨询采购人。未提出疑问将被视为完全认同公开招标文件，逾期将不接受其对于公开招标文件的相关异议。如有变更，更正公告将会在常州市政府采购网公布。</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26.3</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联系方式</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接收询问和质疑的联系方式</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联系部门：</w:t>
            </w:r>
            <w:r>
              <w:rPr>
                <w:rFonts w:hint="eastAsia" w:ascii="宋体" w:hAnsi="宋体" w:cs="宋体"/>
                <w:color w:val="000000"/>
                <w:sz w:val="24"/>
                <w:u w:val="single"/>
              </w:rPr>
              <w:t xml:space="preserve">常州市水利规划设计院有限公司</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0519-86698250</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通讯地址：</w:t>
            </w:r>
            <w:r>
              <w:rPr>
                <w:rFonts w:hint="eastAsia" w:ascii="宋体" w:hAnsi="宋体" w:cs="宋体"/>
                <w:color w:val="000000"/>
                <w:sz w:val="24"/>
                <w:u w:val="single"/>
              </w:rPr>
              <w:t xml:space="preserve">常州市天宁区晋陵中路578号</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27</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收费对象：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按如下标准的</w:t>
            </w:r>
            <w:r>
              <w:rPr>
                <w:rFonts w:hint="eastAsia" w:ascii="宋体" w:hAnsi="宋体" w:cs="宋体"/>
                <w:color w:val="000000"/>
                <w:sz w:val="24"/>
                <w:highlight w:val="none"/>
                <w:u w:val="single"/>
                <w:lang w:val="en-US" w:eastAsia="zh-CN"/>
              </w:rPr>
              <w:t xml:space="preserve">九</w:t>
            </w:r>
            <w:r>
              <w:rPr>
                <w:rFonts w:hint="eastAsia" w:ascii="宋体" w:hAnsi="宋体" w:cs="宋体"/>
                <w:color w:val="000000"/>
                <w:sz w:val="24"/>
                <w:highlight w:val="none"/>
                <w:u w:val="single"/>
              </w:rPr>
              <w:t xml:space="preserve">折收取：以项目中标金额为基数，收费比例按差额定率累进法计算，100万元（含）以下部分1.5%，100万元（不含）—500万元（含）部分1.1%。代理服务费不足2000元的按2000元收取。</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收款单位：常州市水利规划设计院有限公司</w:t>
            </w:r>
            <w:r>
              <w:rPr>
                <w:rFonts w:ascii="宋体" w:hAnsi="宋体" w:cs="宋体"/>
                <w:color w:val="000000"/>
                <w:sz w:val="24"/>
                <w:highlight w:val="none"/>
                <w:u w:val="singl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银行账号：3200 1628 8360 5111 6433</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u w:val="single"/>
              </w:rPr>
              <w:t xml:space="preserve">开户银行：中国建设银行股份有限公司常州钟楼支行</w:t>
            </w:r>
            <w:r>
              <w:rPr>
                <w:rFonts w:ascii="宋体" w:hAnsi="宋体" w:cs="宋体"/>
                <w:color w:val="000000"/>
                <w:sz w:val="24"/>
                <w:highlight w:val="none"/>
              </w:rPr>
            </w:r>
            <w:r/>
          </w:p>
        </w:tc>
      </w:tr>
    </w:tbl>
    <w:p>
      <w:pPr>
        <w:pStyle w:val="882"/>
        <w:jc w:val="center"/>
        <w:spacing w:line="360" w:lineRule="auto"/>
        <w:tabs>
          <w:tab w:val="left" w:pos="5580" w:leader="none"/>
        </w:tabs>
        <w:rPr>
          <w:b/>
          <w:color w:val="000000"/>
          <w:sz w:val="28"/>
          <w:szCs w:val="28"/>
        </w:rPr>
      </w:pPr>
      <w:r>
        <w:rPr>
          <w:color w:val="000000"/>
          <w:sz w:val="24"/>
        </w:rPr>
        <w:br w:type="page" w:clear="all"/>
      </w:r>
      <w:bookmarkStart w:id="68" w:name="_Toc226965790"/>
      <w:r/>
      <w:bookmarkStart w:id="69" w:name="_Toc142311019"/>
      <w:r/>
      <w:bookmarkStart w:id="70" w:name="_Toc305158859"/>
      <w:r/>
      <w:bookmarkStart w:id="71" w:name="_Toc150774722"/>
      <w:r/>
      <w:bookmarkStart w:id="72" w:name="_Toc305158785"/>
      <w:r/>
      <w:bookmarkStart w:id="73" w:name="_Toc265228355"/>
      <w:r/>
      <w:bookmarkStart w:id="74" w:name="_Toc264969207"/>
      <w:r/>
      <w:bookmarkStart w:id="75" w:name="_Toc150480755"/>
      <w:r/>
      <w:bookmarkStart w:id="76" w:name="_Toc353825542"/>
      <w:r/>
      <w:bookmarkStart w:id="77" w:name="_Toc353873932"/>
      <w:r/>
      <w:bookmarkStart w:id="78" w:name="_Toc226337213"/>
      <w:r/>
      <w:bookmarkStart w:id="79" w:name="_Toc195842882"/>
      <w:r/>
      <w:bookmarkStart w:id="80" w:name="_Toc127151517"/>
      <w:r/>
      <w:bookmarkStart w:id="81" w:name="_Toc353873662"/>
      <w:r>
        <w:rPr>
          <w:b/>
          <w:color w:val="000000"/>
          <w:sz w:val="28"/>
          <w:szCs w:val="28"/>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rPr>
      </w:r>
      <w:r/>
    </w:p>
    <w:p>
      <w:pPr>
        <w:pStyle w:val="882"/>
        <w:jc w:val="center"/>
        <w:spacing w:line="360" w:lineRule="auto"/>
        <w:rPr>
          <w:rFonts w:ascii="宋体" w:hAnsi="宋体"/>
          <w:b/>
          <w:bCs/>
          <w:color w:val="000000"/>
          <w:sz w:val="28"/>
          <w:szCs w:val="28"/>
        </w:rPr>
      </w:pPr>
      <w:r/>
      <w:bookmarkStart w:id="82" w:name="_Toc150480756"/>
      <w:r/>
      <w:bookmarkStart w:id="83" w:name="_Toc150774723"/>
      <w:r/>
      <w:bookmarkStart w:id="84" w:name="_Toc151193616"/>
      <w:r/>
      <w:bookmarkStart w:id="85" w:name="_Toc151193760"/>
      <w:r/>
      <w:bookmarkStart w:id="86" w:name="_Toc150774618"/>
      <w:r/>
      <w:bookmarkStart w:id="87" w:name="_Toc195842883"/>
      <w:r/>
      <w:bookmarkStart w:id="88" w:name="_Toc151193688"/>
      <w:r/>
      <w:bookmarkStart w:id="89" w:name="_Toc226965791"/>
      <w:r/>
      <w:bookmarkStart w:id="90" w:name="_Toc142311020"/>
      <w:r/>
      <w:bookmarkStart w:id="91" w:name="_Toc151190145"/>
      <w:r/>
      <w:bookmarkStart w:id="92" w:name="_Toc151193906"/>
      <w:r/>
      <w:bookmarkStart w:id="93" w:name="_Toc305158860"/>
      <w:r/>
      <w:bookmarkStart w:id="94" w:name="_Toc150509269"/>
      <w:r/>
      <w:bookmarkStart w:id="95" w:name="_Toc226965708"/>
      <w:r/>
      <w:bookmarkStart w:id="96" w:name="_Toc226337214"/>
      <w:r/>
      <w:bookmarkStart w:id="97" w:name="_Toc305158786"/>
      <w:r/>
      <w:bookmarkStart w:id="98" w:name="_Toc520356143"/>
      <w:r/>
      <w:bookmarkStart w:id="99" w:name="_Toc264969208"/>
      <w:r/>
      <w:bookmarkStart w:id="100" w:name="_Toc151193832"/>
      <w:r/>
      <w:bookmarkStart w:id="101" w:name="_Toc265228356"/>
      <w:r/>
      <w:bookmarkStart w:id="102" w:name="_Toc226309762"/>
      <w:r/>
      <w:bookmarkStart w:id="103" w:name="_Toc127151518"/>
      <w:r>
        <w:rPr>
          <w:rFonts w:hint="eastAsia" w:ascii="宋体" w:hAnsi="宋体"/>
          <w:b/>
          <w:bCs/>
          <w:color w:val="000000"/>
          <w:sz w:val="28"/>
          <w:szCs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4" w:name="_Toc264969209"/>
      <w:r/>
      <w:bookmarkStart w:id="105" w:name="_Toc305158861"/>
      <w:r/>
      <w:bookmarkStart w:id="106" w:name="_Toc305158787"/>
      <w:r/>
      <w:bookmarkStart w:id="107" w:name="_Toc265228357"/>
      <w:r>
        <w:rPr>
          <w:rFonts w:hint="eastAsia" w:ascii="宋体" w:hAnsi="宋体" w:cs="宋体"/>
          <w:color w:val="000000"/>
          <w:sz w:val="24"/>
        </w:rPr>
        <w:t xml:space="preserve">采购人、采购代理机构、投标人</w:t>
      </w:r>
      <w:bookmarkEnd w:id="104"/>
      <w:r/>
      <w:bookmarkEnd w:id="105"/>
      <w:r/>
      <w:bookmarkEnd w:id="106"/>
      <w:r/>
      <w:bookmarkEnd w:id="107"/>
      <w:r>
        <w:rPr>
          <w:rFonts w:hint="eastAsia" w:ascii="宋体" w:hAnsi="宋体" w:cs="宋体"/>
          <w:color w:val="000000"/>
          <w:sz w:val="24"/>
        </w:rPr>
        <w:t xml:space="preserve">、联合体</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联合体：指两个以上的自然人、法人或者其他组织组成一个联合体，以一个投标人的身份共同参加政府采购。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8" w:name="_Toc195842885"/>
      <w:r/>
      <w:bookmarkStart w:id="109" w:name="_Toc151193908"/>
      <w:r/>
      <w:bookmarkStart w:id="110" w:name="_Toc226309764"/>
      <w:r/>
      <w:bookmarkStart w:id="111" w:name="_Toc150774725"/>
      <w:r/>
      <w:bookmarkStart w:id="112" w:name="_Toc127161434"/>
      <w:r/>
      <w:bookmarkStart w:id="113" w:name="_Toc151193618"/>
      <w:r/>
      <w:bookmarkStart w:id="114" w:name="_Toc164351614"/>
      <w:r/>
      <w:bookmarkStart w:id="115" w:name="_Toc226965710"/>
      <w:r/>
      <w:bookmarkStart w:id="116" w:name="_Toc151193834"/>
      <w:r/>
      <w:bookmarkStart w:id="117" w:name="_Toc150774620"/>
      <w:r/>
      <w:bookmarkStart w:id="118" w:name="_Toc164608789"/>
      <w:r/>
      <w:bookmarkStart w:id="119" w:name="_Toc226337216"/>
      <w:r/>
      <w:bookmarkStart w:id="120" w:name="_Toc151190147"/>
      <w:r/>
      <w:bookmarkStart w:id="121" w:name="_Toc151193762"/>
      <w:r/>
      <w:bookmarkStart w:id="122" w:name="_Toc164229361"/>
      <w:r/>
      <w:bookmarkStart w:id="123" w:name="_Toc151193690"/>
      <w:r/>
      <w:bookmarkStart w:id="124" w:name="_Toc149720813"/>
      <w:r/>
      <w:bookmarkStart w:id="125" w:name="_Toc305158788"/>
      <w:r/>
      <w:bookmarkStart w:id="126" w:name="_Toc142311022"/>
      <w:r/>
      <w:bookmarkStart w:id="127" w:name="_Toc150509271"/>
      <w:r/>
      <w:bookmarkStart w:id="128" w:name="_Toc265228358"/>
      <w:r/>
      <w:bookmarkStart w:id="129" w:name="_Toc226965793"/>
      <w:r/>
      <w:bookmarkStart w:id="130" w:name="_Toc127151520"/>
      <w:r/>
      <w:bookmarkStart w:id="131" w:name="_Toc164608634"/>
      <w:r/>
      <w:bookmarkStart w:id="132" w:name="_Toc164229215"/>
      <w:r/>
      <w:bookmarkStart w:id="133" w:name="_Toc305158862"/>
      <w:r/>
      <w:bookmarkStart w:id="134" w:name="_Toc150480758"/>
      <w:r/>
      <w:bookmarkStart w:id="135" w:name="_Toc127151721"/>
      <w:r/>
      <w:bookmarkStart w:id="136" w:name="_Toc264969210"/>
      <w:r>
        <w:rPr>
          <w:rFonts w:hint="eastAsia" w:ascii="宋体" w:hAnsi="宋体" w:cs="宋体"/>
          <w:color w:val="000000"/>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rPr>
        <w:t xml:space="preserve">、项目属性、科研仪器设备采购、核心产品</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项目属性见《投标人须知资料表》。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核心产品见《投标人须知资料表》。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现场考察、开标前答疑会</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37" w:name="_Toc520356146"/>
      <w:r/>
      <w:bookmarkStart w:id="138" w:name="_Toc150480760"/>
      <w:r/>
      <w:bookmarkStart w:id="139" w:name="_Toc265228360"/>
      <w:r/>
      <w:bookmarkStart w:id="140" w:name="_Toc264969212"/>
      <w:r/>
      <w:bookmarkStart w:id="141" w:name="_Toc142311024"/>
      <w:r/>
      <w:bookmarkStart w:id="142" w:name="_Toc151193764"/>
      <w:r/>
      <w:bookmarkStart w:id="143" w:name="_Toc305158790"/>
      <w:r/>
      <w:bookmarkStart w:id="144" w:name="_Toc151193692"/>
      <w:r/>
      <w:bookmarkStart w:id="145" w:name="_Toc195842887"/>
      <w:r/>
      <w:bookmarkStart w:id="146" w:name="_Toc151193620"/>
      <w:r/>
      <w:bookmarkStart w:id="147" w:name="_Toc226337218"/>
      <w:r/>
      <w:bookmarkStart w:id="148" w:name="_Toc305158864"/>
      <w:r/>
      <w:bookmarkStart w:id="149" w:name="_Toc151193836"/>
      <w:r/>
      <w:bookmarkStart w:id="150" w:name="_Toc127151522"/>
      <w:r/>
      <w:bookmarkStart w:id="151" w:name="_Toc150774727"/>
      <w:r/>
      <w:bookmarkStart w:id="152" w:name="_Toc226965795"/>
      <w:r/>
      <w:bookmarkStart w:id="153" w:name="_Toc226309766"/>
      <w:r/>
      <w:bookmarkStart w:id="154" w:name="_Toc226965712"/>
      <w:r/>
      <w:bookmarkStart w:id="155" w:name="_Toc150774622"/>
      <w:r/>
      <w:bookmarkStart w:id="156" w:name="_Toc151190149"/>
      <w:r/>
      <w:bookmarkStart w:id="157" w:name="_Toc150509273"/>
      <w:r/>
      <w:bookmarkStart w:id="158" w:name="_Toc151193910"/>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样品的评审方法以及评审标准等内容见第四章《评标程序、评标方法和评标标准》。</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政府采购政策（包括但不限于下列具体政策要求）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进口产品（本项目不涉及）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中小企业、监狱企业及残疾人福利性单位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投标人提供的货物、工程或者服务符合下列情形的，享受中小企业扶持政策：</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在货物采购项目中，投标人提供的货物既有中小企业制造货物，也有大型企业制造货物的，不享受中小企业扶持政策。</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ascii="宋体" w:hAnsi="宋体" w:cs="宋体"/>
          <w:color w:val="000000"/>
          <w:sz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小微企业价格评审优惠的政策调整：见第四章《评标程序、评标方法和评标标准》。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政府采购节能产品、环境标志产品</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非政府强制采购的节能产品或环境标志产品，依据品目清单和认证证书实施政府优先采购。优先采购的具体规定见第四章《评标程序、评标方法和评标标准》。</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支持乡村产业振兴管理（本项目不涉及）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正版软件（本项目不涉及）</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绿色采购政策</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优先使用低挥发性有机化合物产品</w:t>
      </w:r>
      <w:r>
        <w:rPr>
          <w:rFonts w:ascii="宋体" w:hAnsi="宋体" w:cs="宋体"/>
          <w:color w:val="000000"/>
          <w:sz w:val="24"/>
        </w:rPr>
      </w:r>
      <w:r/>
    </w:p>
    <w:p>
      <w:pPr>
        <w:pStyle w:val="882"/>
        <w:numPr>
          <w:ilvl w:val="0"/>
          <w:numId w:val="0"/>
        </w:numPr>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投标费用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59" w:name="_1.8_计量单位"/>
      <w:r/>
      <w:bookmarkEnd w:id="159"/>
      <w:r>
        <w:rPr>
          <w:rFonts w:hint="eastAsia" w:ascii="宋体" w:hAnsi="宋体"/>
          <w:b/>
          <w:bCs/>
          <w:color w:val="000000"/>
          <w:sz w:val="28"/>
          <w:szCs w:val="28"/>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60" w:name="_Toc305158865"/>
      <w:r/>
      <w:bookmarkStart w:id="161" w:name="_Toc164351617"/>
      <w:r/>
      <w:bookmarkStart w:id="162" w:name="_Toc226965796"/>
      <w:r/>
      <w:bookmarkStart w:id="163" w:name="_Toc265228361"/>
      <w:r/>
      <w:bookmarkStart w:id="164" w:name="_Toc142311025"/>
      <w:r/>
      <w:bookmarkStart w:id="165" w:name="_Toc226965713"/>
      <w:r/>
      <w:bookmarkStart w:id="166" w:name="_Toc264969213"/>
      <w:r/>
      <w:bookmarkStart w:id="167" w:name="_Toc164229218"/>
      <w:r/>
      <w:bookmarkStart w:id="168" w:name="_Toc195842888"/>
      <w:r/>
      <w:bookmarkStart w:id="169" w:name="_Toc151190150"/>
      <w:r/>
      <w:bookmarkStart w:id="170" w:name="_Toc151193911"/>
      <w:r/>
      <w:bookmarkStart w:id="171" w:name="_Toc150774728"/>
      <w:r/>
      <w:bookmarkStart w:id="172" w:name="_Toc127161437"/>
      <w:r/>
      <w:bookmarkStart w:id="173" w:name="_Toc149720816"/>
      <w:r/>
      <w:bookmarkStart w:id="174" w:name="_Toc520356147"/>
      <w:r/>
      <w:bookmarkStart w:id="175" w:name="_Toc305158791"/>
      <w:r/>
      <w:bookmarkStart w:id="176" w:name="_Toc151193693"/>
      <w:r/>
      <w:bookmarkStart w:id="177" w:name="_Toc150480761"/>
      <w:r/>
      <w:bookmarkStart w:id="178" w:name="_Toc151193621"/>
      <w:r/>
      <w:bookmarkStart w:id="179" w:name="_Toc164608637"/>
      <w:r/>
      <w:bookmarkStart w:id="180" w:name="_Toc150774623"/>
      <w:r/>
      <w:bookmarkStart w:id="181" w:name="_Toc226309767"/>
      <w:r/>
      <w:bookmarkStart w:id="182" w:name="_Toc127151724"/>
      <w:r/>
      <w:bookmarkStart w:id="183" w:name="_Toc150509274"/>
      <w:r/>
      <w:bookmarkStart w:id="184" w:name="_Toc226337219"/>
      <w:r/>
      <w:bookmarkStart w:id="185" w:name="_Toc164229364"/>
      <w:r/>
      <w:bookmarkStart w:id="186" w:name="_Toc127151523"/>
      <w:r/>
      <w:bookmarkStart w:id="187" w:name="_Toc164608792"/>
      <w:r/>
      <w:bookmarkStart w:id="188" w:name="_Toc151193837"/>
      <w:r/>
      <w:bookmarkStart w:id="189" w:name="_Toc151193765"/>
      <w:r>
        <w:rPr>
          <w:rFonts w:hint="eastAsia" w:ascii="宋体" w:hAnsi="宋体" w:cs="宋体"/>
          <w:color w:val="000000"/>
          <w:sz w:val="24"/>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rPr>
        <w:t xml:space="preserve">成</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招标文件包括以下部分：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投标邀请</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投标人须知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采购需求</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拟签订的合同文本</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投标文件格式</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900" w:leader="none"/>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对招标文件的澄清或修改</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90" w:name="_Toc264969216"/>
      <w:r/>
      <w:bookmarkStart w:id="191" w:name="_Toc151193840"/>
      <w:r/>
      <w:bookmarkStart w:id="192" w:name="_Toc127151526"/>
      <w:r/>
      <w:bookmarkStart w:id="193" w:name="_Toc226337222"/>
      <w:r/>
      <w:bookmarkStart w:id="194" w:name="_Toc226965799"/>
      <w:r/>
      <w:bookmarkStart w:id="195" w:name="_Toc142311028"/>
      <w:r/>
      <w:bookmarkStart w:id="196" w:name="_Toc226965716"/>
      <w:r/>
      <w:bookmarkStart w:id="197" w:name="_Toc305158794"/>
      <w:r/>
      <w:bookmarkStart w:id="198" w:name="_Toc150480764"/>
      <w:r/>
      <w:bookmarkStart w:id="199" w:name="_Toc305158868"/>
      <w:r/>
      <w:bookmarkStart w:id="200" w:name="_Toc265228364"/>
      <w:r/>
      <w:bookmarkStart w:id="201" w:name="_Toc150509277"/>
      <w:r/>
      <w:bookmarkStart w:id="202" w:name="_Toc151190153"/>
      <w:r/>
      <w:bookmarkStart w:id="203" w:name="_Toc516367020"/>
      <w:r/>
      <w:bookmarkStart w:id="204" w:name="_Toc520356150"/>
      <w:r/>
      <w:bookmarkStart w:id="205" w:name="_Toc195842891"/>
      <w:r/>
      <w:bookmarkStart w:id="206" w:name="_Toc151193914"/>
      <w:r/>
      <w:bookmarkStart w:id="207" w:name="_Toc226309770"/>
      <w:r/>
      <w:bookmarkStart w:id="208" w:name="_Toc151193624"/>
      <w:r/>
      <w:bookmarkStart w:id="209" w:name="_Toc151193696"/>
      <w:r/>
      <w:bookmarkStart w:id="210" w:name="_Toc151193768"/>
      <w:r/>
      <w:bookmarkStart w:id="211" w:name="_Toc150774731"/>
      <w:r/>
      <w:bookmarkStart w:id="212" w:name="_Toc150774626"/>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三   投标文件</w:t>
      </w:r>
      <w:bookmarkEnd w:id="203"/>
      <w:r>
        <w:rPr>
          <w:rFonts w:hint="eastAsia" w:ascii="宋体" w:hAnsi="宋体"/>
          <w:b/>
          <w:bCs/>
          <w:color w:val="000000"/>
          <w:sz w:val="28"/>
          <w:szCs w:val="28"/>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13" w:name="_Toc516367021"/>
      <w:r/>
      <w:bookmarkStart w:id="214" w:name="_Toc164229368"/>
      <w:r/>
      <w:bookmarkStart w:id="215" w:name="_Toc226309771"/>
      <w:r/>
      <w:bookmarkStart w:id="216" w:name="_Toc265228365"/>
      <w:r/>
      <w:bookmarkStart w:id="217" w:name="_Toc226965800"/>
      <w:r/>
      <w:bookmarkStart w:id="218" w:name="_Toc150480765"/>
      <w:r/>
      <w:bookmarkStart w:id="219" w:name="_Toc151193697"/>
      <w:r/>
      <w:bookmarkStart w:id="220" w:name="_Toc164351621"/>
      <w:r/>
      <w:bookmarkStart w:id="221" w:name="_Toc264969217"/>
      <w:r/>
      <w:bookmarkStart w:id="222" w:name="_Toc151193625"/>
      <w:r/>
      <w:bookmarkStart w:id="223" w:name="_Toc164608641"/>
      <w:r/>
      <w:bookmarkStart w:id="224" w:name="_Toc520356151"/>
      <w:r/>
      <w:bookmarkStart w:id="225" w:name="_Toc150774627"/>
      <w:r/>
      <w:bookmarkStart w:id="226" w:name="_Toc151193841"/>
      <w:r/>
      <w:bookmarkStart w:id="227" w:name="_Toc226965717"/>
      <w:r/>
      <w:bookmarkStart w:id="228" w:name="_Toc164229222"/>
      <w:r/>
      <w:bookmarkStart w:id="229" w:name="_Toc150509278"/>
      <w:r/>
      <w:bookmarkStart w:id="230" w:name="_Toc305158795"/>
      <w:r/>
      <w:bookmarkStart w:id="231" w:name="_Toc151190154"/>
      <w:r/>
      <w:bookmarkStart w:id="232" w:name="_Toc127151527"/>
      <w:r/>
      <w:bookmarkStart w:id="233" w:name="_Toc127161441"/>
      <w:r/>
      <w:bookmarkStart w:id="234" w:name="_Toc195842892"/>
      <w:r/>
      <w:bookmarkStart w:id="235" w:name="_Toc149720820"/>
      <w:r/>
      <w:bookmarkStart w:id="236" w:name="_Toc151193769"/>
      <w:r/>
      <w:bookmarkStart w:id="237" w:name="_Toc164608796"/>
      <w:r/>
      <w:bookmarkStart w:id="238" w:name="_Toc151193915"/>
      <w:r/>
      <w:bookmarkStart w:id="239" w:name="_Toc226337223"/>
      <w:r/>
      <w:bookmarkStart w:id="240" w:name="_Toc127151728"/>
      <w:r/>
      <w:bookmarkStart w:id="241" w:name="_Toc150774732"/>
      <w:r/>
      <w:bookmarkStart w:id="242" w:name="_Toc142311029"/>
      <w:r/>
      <w:bookmarkStart w:id="243" w:name="_Toc305158869"/>
      <w:r>
        <w:rPr>
          <w:rFonts w:hint="eastAsia" w:ascii="宋体" w:hAnsi="宋体" w:cs="宋体"/>
          <w:color w:val="000000"/>
          <w:sz w:val="24"/>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rPr>
        <w:t xml:space="preserve">及投标语言</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44" w:name="_Toc164229223"/>
      <w:r/>
      <w:bookmarkStart w:id="245" w:name="_Toc226309772"/>
      <w:r/>
      <w:bookmarkStart w:id="246" w:name="_Toc151193842"/>
      <w:r/>
      <w:bookmarkStart w:id="247" w:name="_Toc226337224"/>
      <w:r/>
      <w:bookmarkStart w:id="248" w:name="_Toc164351622"/>
      <w:r/>
      <w:bookmarkStart w:id="249" w:name="_Toc151193916"/>
      <w:r/>
      <w:bookmarkStart w:id="250" w:name="_Toc127161442"/>
      <w:r/>
      <w:bookmarkStart w:id="251" w:name="_Ref467306195"/>
      <w:r/>
      <w:bookmarkStart w:id="252" w:name="_Ref467306676"/>
      <w:r/>
      <w:bookmarkStart w:id="253" w:name="_Toc516367022"/>
      <w:r/>
      <w:bookmarkStart w:id="254" w:name="_Toc151193770"/>
      <w:r/>
      <w:bookmarkStart w:id="255" w:name="_Toc150774733"/>
      <w:r/>
      <w:bookmarkStart w:id="256" w:name="_Toc127151729"/>
      <w:r/>
      <w:bookmarkStart w:id="257" w:name="_Toc150509279"/>
      <w:r/>
      <w:bookmarkStart w:id="258" w:name="_Toc265228366"/>
      <w:r/>
      <w:bookmarkStart w:id="259" w:name="_Toc164608797"/>
      <w:r/>
      <w:bookmarkStart w:id="260" w:name="_Toc520356152"/>
      <w:r/>
      <w:bookmarkStart w:id="261" w:name="_Toc164608642"/>
      <w:r/>
      <w:bookmarkStart w:id="262" w:name="_Toc151193698"/>
      <w:r/>
      <w:bookmarkStart w:id="263" w:name="_Toc150774628"/>
      <w:r/>
      <w:bookmarkStart w:id="264" w:name="_Toc226965718"/>
      <w:r/>
      <w:bookmarkStart w:id="265" w:name="_Toc142311030"/>
      <w:r/>
      <w:bookmarkStart w:id="266" w:name="_Toc150480766"/>
      <w:r/>
      <w:bookmarkStart w:id="267" w:name="_Toc164229369"/>
      <w:r/>
      <w:bookmarkStart w:id="268" w:name="_Toc151193626"/>
      <w:r/>
      <w:bookmarkStart w:id="269" w:name="_Toc127151528"/>
      <w:r/>
      <w:bookmarkStart w:id="270" w:name="_Toc226965801"/>
      <w:r/>
      <w:bookmarkStart w:id="271" w:name="_Toc151190155"/>
      <w:r/>
      <w:bookmarkStart w:id="272" w:name="_Toc264969218"/>
      <w:r/>
      <w:bookmarkStart w:id="273" w:name="_Toc305158796"/>
      <w:r/>
      <w:bookmarkStart w:id="274" w:name="_Toc149720821"/>
      <w:r/>
      <w:bookmarkStart w:id="275" w:name="_Toc305158870"/>
      <w:r/>
      <w:bookmarkStart w:id="276" w:name="_Toc195842893"/>
      <w:r>
        <w:rPr>
          <w:rFonts w:hint="eastAsia" w:ascii="宋体" w:hAnsi="宋体" w:cs="宋体"/>
          <w:color w:val="000000"/>
          <w:sz w:val="24"/>
        </w:rPr>
        <w:t xml:space="preserve">投标文件</w:t>
      </w:r>
      <w:bookmarkEnd w:id="251"/>
      <w:r/>
      <w:bookmarkEnd w:id="252"/>
      <w:r/>
      <w:bookmarkEnd w:id="253"/>
      <w:r>
        <w:rPr>
          <w:rFonts w:hint="eastAsia" w:ascii="宋体" w:hAnsi="宋体" w:cs="宋体"/>
          <w:color w:val="000000"/>
          <w:sz w:val="24"/>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bookmarkStart w:id="277"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投标人认为应附的其他材料。</w:t>
      </w:r>
      <w:bookmarkEnd w:id="277"/>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78" w:name="_Toc151193700"/>
      <w:r/>
      <w:bookmarkStart w:id="279" w:name="_Toc150480768"/>
      <w:r/>
      <w:bookmarkStart w:id="280" w:name="_Toc151193628"/>
      <w:r/>
      <w:bookmarkStart w:id="281" w:name="_Toc127161444"/>
      <w:r/>
      <w:bookmarkStart w:id="282" w:name="_Toc151193844"/>
      <w:r/>
      <w:bookmarkStart w:id="283" w:name="_Toc164229225"/>
      <w:r/>
      <w:bookmarkStart w:id="284" w:name="_Toc149720823"/>
      <w:r/>
      <w:bookmarkStart w:id="285" w:name="_Toc164229371"/>
      <w:r/>
      <w:bookmarkStart w:id="286" w:name="_Toc150774630"/>
      <w:r/>
      <w:bookmarkStart w:id="287" w:name="_Toc150509281"/>
      <w:r/>
      <w:bookmarkStart w:id="288" w:name="_Toc520356155"/>
      <w:r/>
      <w:bookmarkStart w:id="289" w:name="_Toc195842895"/>
      <w:r/>
      <w:bookmarkStart w:id="290" w:name="_Toc127151731"/>
      <w:r/>
      <w:bookmarkStart w:id="291" w:name="_Toc142311032"/>
      <w:r/>
      <w:bookmarkStart w:id="292" w:name="_Toc164351624"/>
      <w:r/>
      <w:bookmarkStart w:id="293" w:name="_Toc127151530"/>
      <w:r/>
      <w:bookmarkStart w:id="294" w:name="_Toc151190157"/>
      <w:r/>
      <w:bookmarkStart w:id="295" w:name="_Toc164608644"/>
      <w:r/>
      <w:bookmarkStart w:id="296" w:name="_Toc164608799"/>
      <w:r/>
      <w:bookmarkStart w:id="297" w:name="_Toc151193772"/>
      <w:r/>
      <w:bookmarkStart w:id="298" w:name="_Toc150774735"/>
      <w:r/>
      <w:bookmarkStart w:id="299" w:name="_Toc151193918"/>
      <w:r>
        <w:rPr>
          <w:rFonts w:hint="eastAsia" w:ascii="宋体" w:hAnsi="宋体" w:cs="宋体"/>
          <w:color w:val="000000"/>
          <w:sz w:val="24"/>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所有投标均以人民币报价。</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投标货物及标准附件、备品备件、耗材和运至最终目的地的运输费和保险费，检验、安装、调试、测试、技术服务、培训、质量保证、售后服务、税费等按照招标文件要求完成本项目的全部相关费用；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按照招标文件要求完成本项目的全部相关</w:t>
      </w:r>
      <w:r>
        <w:rPr>
          <w:rFonts w:hint="eastAsia" w:ascii="宋体" w:hAnsi="宋体" w:cs="宋体"/>
          <w:color w:val="000000"/>
          <w:sz w:val="24"/>
          <w:lang w:val="en-US" w:eastAsia="zh-CN"/>
        </w:rPr>
        <w:t xml:space="preserve">服务</w:t>
      </w:r>
      <w:r>
        <w:rPr>
          <w:rFonts w:hint="eastAsia" w:ascii="宋体" w:hAnsi="宋体" w:cs="宋体"/>
          <w:color w:val="000000"/>
          <w:sz w:val="24"/>
        </w:rPr>
        <w:t xml:space="preserve">费用。 </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采购人不得向投标人索要或者接受其给予的赠品、回扣或者与采购无关的其他商品、服务。</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投标人出现苏财购〔202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36</w:t>
      </w:r>
      <w:r>
        <w:rPr>
          <w:rFonts w:hint="eastAsia" w:ascii="宋体" w:hAnsi="宋体" w:eastAsia="宋体" w:cs="宋体"/>
          <w:color w:val="000000"/>
          <w:sz w:val="24"/>
        </w:rPr>
        <w:t xml:space="preserve">号文件规定的异常低价情形的，评标委员会将通过苏采云系统要求其在合理的时间内提供书面说明及相关证明材料；投标人不能证明其报价合理性的，评标委员会应当将其作为无效响应处理。</w:t>
      </w:r>
      <w:r>
        <w:rPr>
          <w:rFonts w:hint="eastAsia" w:ascii="宋体" w:hAnsi="宋体" w:eastAsia="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00" w:name="_Toc226337227"/>
      <w:r/>
      <w:bookmarkStart w:id="301" w:name="_Toc164229226"/>
      <w:r/>
      <w:bookmarkStart w:id="302" w:name="_Toc151190158"/>
      <w:r/>
      <w:bookmarkStart w:id="303" w:name="_Toc164608645"/>
      <w:r/>
      <w:bookmarkStart w:id="304" w:name="_Toc127151732"/>
      <w:r/>
      <w:bookmarkStart w:id="305" w:name="_Toc265228369"/>
      <w:r/>
      <w:bookmarkStart w:id="306" w:name="_Toc195842896"/>
      <w:r/>
      <w:bookmarkStart w:id="307" w:name="_Toc520356156"/>
      <w:r/>
      <w:bookmarkStart w:id="308" w:name="_Toc149720824"/>
      <w:r/>
      <w:bookmarkStart w:id="309" w:name="_Toc164608800"/>
      <w:r/>
      <w:bookmarkStart w:id="310" w:name="_Toc151193919"/>
      <w:r/>
      <w:bookmarkStart w:id="311" w:name="_Toc127151531"/>
      <w:r/>
      <w:bookmarkStart w:id="312" w:name="_Ref467306513"/>
      <w:r/>
      <w:bookmarkStart w:id="313" w:name="_Toc151193845"/>
      <w:r/>
      <w:bookmarkStart w:id="314" w:name="_Toc226309775"/>
      <w:r/>
      <w:bookmarkStart w:id="315" w:name="_Toc226965721"/>
      <w:r/>
      <w:bookmarkStart w:id="316" w:name="_Toc164351625"/>
      <w:r/>
      <w:bookmarkStart w:id="317" w:name="_Toc150509282"/>
      <w:r/>
      <w:bookmarkStart w:id="318" w:name="_Toc151193701"/>
      <w:r/>
      <w:bookmarkStart w:id="319" w:name="_Toc151193773"/>
      <w:r/>
      <w:bookmarkStart w:id="320" w:name="_Toc305158799"/>
      <w:r/>
      <w:bookmarkStart w:id="321" w:name="_Toc164229372"/>
      <w:r/>
      <w:bookmarkStart w:id="322" w:name="_Toc151193629"/>
      <w:r/>
      <w:bookmarkStart w:id="323" w:name="_Toc150480769"/>
      <w:r/>
      <w:bookmarkStart w:id="324" w:name="_Toc127161445"/>
      <w:r/>
      <w:bookmarkStart w:id="325" w:name="_Toc264969221"/>
      <w:r/>
      <w:bookmarkStart w:id="326" w:name="_Toc150774631"/>
      <w:r/>
      <w:bookmarkStart w:id="327" w:name="_Toc305158873"/>
      <w:r/>
      <w:bookmarkStart w:id="328" w:name="_Toc150774736"/>
      <w:r/>
      <w:bookmarkStart w:id="329" w:name="_Toc226965804"/>
      <w:r/>
      <w:bookmarkStart w:id="330" w:name="_Toc142311033"/>
      <w:r>
        <w:rPr>
          <w:rFonts w:hint="eastAsia" w:ascii="宋体" w:hAnsi="宋体" w:cs="宋体"/>
          <w:color w:val="000000"/>
          <w:sz w:val="24"/>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ascii="宋体" w:hAnsi="宋体" w:cs="宋体"/>
          <w:color w:val="000000"/>
          <w:sz w:val="24"/>
        </w:rPr>
      </w:r>
      <w:r/>
    </w:p>
    <w:p>
      <w:pPr>
        <w:pStyle w:val="882"/>
        <w:ind w:left="357"/>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根据江苏省和常州市的相关文件规定，免收投标保证金。</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31" w:name="_Toc151193846"/>
      <w:r/>
      <w:bookmarkStart w:id="332" w:name="_Toc149720825"/>
      <w:r/>
      <w:bookmarkStart w:id="333" w:name="_Toc151193702"/>
      <w:r/>
      <w:bookmarkStart w:id="334" w:name="_Toc150509283"/>
      <w:r/>
      <w:bookmarkStart w:id="335" w:name="_Toc195842897"/>
      <w:r/>
      <w:bookmarkStart w:id="336" w:name="_Toc164608801"/>
      <w:r/>
      <w:bookmarkStart w:id="337" w:name="_Toc164608646"/>
      <w:r/>
      <w:bookmarkStart w:id="338" w:name="_Toc127161446"/>
      <w:r/>
      <w:bookmarkStart w:id="339" w:name="_Toc151193774"/>
      <w:r/>
      <w:bookmarkStart w:id="340" w:name="_Toc150774737"/>
      <w:r/>
      <w:bookmarkStart w:id="341" w:name="_Toc264969222"/>
      <w:r/>
      <w:bookmarkStart w:id="342" w:name="_Toc127151733"/>
      <w:r/>
      <w:bookmarkStart w:id="343" w:name="_Toc226309776"/>
      <w:r/>
      <w:bookmarkStart w:id="344" w:name="_Toc226965805"/>
      <w:r/>
      <w:bookmarkStart w:id="345" w:name="_Toc142311034"/>
      <w:r/>
      <w:bookmarkStart w:id="346" w:name="_Toc226965722"/>
      <w:r/>
      <w:bookmarkStart w:id="347" w:name="_Toc265228370"/>
      <w:r/>
      <w:bookmarkStart w:id="348" w:name="_Toc127151532"/>
      <w:r/>
      <w:bookmarkStart w:id="349" w:name="_Toc151193630"/>
      <w:r/>
      <w:bookmarkStart w:id="350" w:name="_Toc151193920"/>
      <w:r/>
      <w:bookmarkStart w:id="351" w:name="_Toc150774632"/>
      <w:r/>
      <w:bookmarkStart w:id="352" w:name="_Toc164229373"/>
      <w:r/>
      <w:bookmarkStart w:id="353" w:name="_Toc520356157"/>
      <w:r/>
      <w:bookmarkStart w:id="354" w:name="_Toc150480770"/>
      <w:r/>
      <w:bookmarkStart w:id="355" w:name="_Toc305158874"/>
      <w:r/>
      <w:bookmarkStart w:id="356" w:name="_Toc226337228"/>
      <w:r/>
      <w:bookmarkStart w:id="357" w:name="_Toc164229227"/>
      <w:r/>
      <w:bookmarkStart w:id="358" w:name="_Toc151190159"/>
      <w:r/>
      <w:bookmarkStart w:id="359" w:name="_Toc164351626"/>
      <w:r/>
      <w:bookmarkStart w:id="360" w:name="_Toc305158800"/>
      <w:r>
        <w:rPr>
          <w:rFonts w:hint="eastAsia" w:ascii="宋体" w:hAnsi="宋体" w:cs="宋体"/>
          <w:color w:val="000000"/>
          <w:sz w:val="24"/>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投标文件的签署、加盖公章</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361" w:name="_Toc151193922"/>
      <w:r/>
      <w:bookmarkStart w:id="362" w:name="_Toc150480772"/>
      <w:r/>
      <w:bookmarkStart w:id="363" w:name="_Toc265228372"/>
      <w:r/>
      <w:bookmarkStart w:id="364" w:name="_Toc151190161"/>
      <w:r/>
      <w:bookmarkStart w:id="365" w:name="_Toc305158876"/>
      <w:r/>
      <w:bookmarkStart w:id="366" w:name="_Toc150509285"/>
      <w:r/>
      <w:bookmarkStart w:id="367" w:name="_Toc142311036"/>
      <w:r/>
      <w:bookmarkStart w:id="368" w:name="_Toc226309778"/>
      <w:r/>
      <w:bookmarkStart w:id="369" w:name="_Toc226337230"/>
      <w:r/>
      <w:bookmarkStart w:id="370" w:name="_Toc264969224"/>
      <w:r/>
      <w:bookmarkStart w:id="371" w:name="_Toc520356159"/>
      <w:r/>
      <w:bookmarkStart w:id="372" w:name="_Toc150774739"/>
      <w:r/>
      <w:bookmarkStart w:id="373" w:name="_Toc226965724"/>
      <w:r/>
      <w:bookmarkStart w:id="374" w:name="_Toc151193632"/>
      <w:r/>
      <w:bookmarkStart w:id="375" w:name="_Toc195842899"/>
      <w:r/>
      <w:bookmarkStart w:id="376" w:name="_Toc127151534"/>
      <w:r/>
      <w:bookmarkStart w:id="377" w:name="_Toc151193704"/>
      <w:r/>
      <w:bookmarkStart w:id="378" w:name="_Toc151193776"/>
      <w:r/>
      <w:bookmarkStart w:id="379" w:name="_Toc226965807"/>
      <w:r/>
      <w:bookmarkStart w:id="380" w:name="_Toc305158802"/>
      <w:r/>
      <w:bookmarkStart w:id="381" w:name="_Toc150774634"/>
      <w:r/>
      <w:bookmarkStart w:id="382" w:name="_Toc151193848"/>
      <w:r>
        <w:rPr>
          <w:color w:val="000000"/>
          <w:sz w:val="24"/>
        </w:rPr>
        <w:t xml:space="preserve">招标文件要求签字的内容（如授权委托书等），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第三方出具的加盖公章原件（如联合协议、分包意向协议、制造商授权书等），投标文件中应使用原件的电子件。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招标文件要求加盖公章的内容，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83" w:name="_Toc151193705"/>
      <w:r/>
      <w:bookmarkStart w:id="384" w:name="_Toc226965808"/>
      <w:r/>
      <w:bookmarkStart w:id="385" w:name="_Toc150480773"/>
      <w:r/>
      <w:bookmarkStart w:id="386" w:name="_Toc520356160"/>
      <w:r/>
      <w:bookmarkStart w:id="387" w:name="_Toc151193633"/>
      <w:r/>
      <w:bookmarkStart w:id="388" w:name="_Toc127151736"/>
      <w:r/>
      <w:bookmarkStart w:id="389" w:name="_Toc127161449"/>
      <w:r/>
      <w:bookmarkStart w:id="390" w:name="_Toc150774635"/>
      <w:r/>
      <w:bookmarkStart w:id="391" w:name="_Toc226965725"/>
      <w:r/>
      <w:bookmarkStart w:id="392" w:name="_Toc164229230"/>
      <w:r/>
      <w:bookmarkStart w:id="393" w:name="_Toc164351629"/>
      <w:r/>
      <w:bookmarkStart w:id="394" w:name="_Toc151190162"/>
      <w:r/>
      <w:bookmarkStart w:id="395" w:name="_Toc142311037"/>
      <w:r/>
      <w:bookmarkStart w:id="396" w:name="_Toc149720828"/>
      <w:r/>
      <w:bookmarkStart w:id="397" w:name="_Toc195842900"/>
      <w:r/>
      <w:bookmarkStart w:id="398" w:name="_Toc164229376"/>
      <w:r/>
      <w:bookmarkStart w:id="399" w:name="_Toc264969225"/>
      <w:r/>
      <w:bookmarkStart w:id="400" w:name="_Toc305158803"/>
      <w:r/>
      <w:bookmarkStart w:id="401" w:name="_Toc151193923"/>
      <w:r/>
      <w:bookmarkStart w:id="402" w:name="_Toc151193849"/>
      <w:r/>
      <w:bookmarkStart w:id="403" w:name="_Toc164608804"/>
      <w:r/>
      <w:bookmarkStart w:id="404" w:name="_Toc151193777"/>
      <w:r/>
      <w:bookmarkStart w:id="405" w:name="_Toc265228373"/>
      <w:r/>
      <w:bookmarkStart w:id="406" w:name="_Toc226309779"/>
      <w:r/>
      <w:bookmarkStart w:id="407" w:name="_Toc150509286"/>
      <w:r/>
      <w:bookmarkStart w:id="408" w:name="_Toc305158877"/>
      <w:r/>
      <w:bookmarkStart w:id="409" w:name="_Toc150774740"/>
      <w:r/>
      <w:bookmarkStart w:id="410" w:name="_Toc127151535"/>
      <w:r/>
      <w:bookmarkStart w:id="411" w:name="_Toc226337231"/>
      <w:r/>
      <w:bookmarkStart w:id="412" w:name="_Toc164608649"/>
      <w:r>
        <w:rPr>
          <w:rFonts w:hint="eastAsia" w:ascii="宋体" w:hAnsi="宋体" w:cs="宋体"/>
          <w:color w:val="000000"/>
          <w:sz w:val="24"/>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rPr>
        <w:t xml:space="preserve">提交</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13" w:name="_Toc264969226"/>
      <w:r/>
      <w:bookmarkStart w:id="414" w:name="_Toc150774741"/>
      <w:r/>
      <w:bookmarkStart w:id="415" w:name="_Toc151193634"/>
      <w:r/>
      <w:bookmarkStart w:id="416" w:name="_Toc164229231"/>
      <w:r/>
      <w:bookmarkStart w:id="417" w:name="_Toc150774636"/>
      <w:r/>
      <w:bookmarkStart w:id="418" w:name="_Toc164608805"/>
      <w:r/>
      <w:bookmarkStart w:id="419" w:name="_Toc151190163"/>
      <w:r/>
      <w:bookmarkStart w:id="420" w:name="_Toc127161450"/>
      <w:r/>
      <w:bookmarkStart w:id="421" w:name="_Toc305158878"/>
      <w:r/>
      <w:bookmarkStart w:id="422" w:name="_Toc305158804"/>
      <w:r/>
      <w:bookmarkStart w:id="423" w:name="_Toc226965726"/>
      <w:r/>
      <w:bookmarkStart w:id="424" w:name="_Toc226965809"/>
      <w:r/>
      <w:bookmarkStart w:id="425" w:name="_Toc226309780"/>
      <w:r/>
      <w:bookmarkStart w:id="426" w:name="_Toc265228374"/>
      <w:r/>
      <w:bookmarkStart w:id="427" w:name="_Toc226337232"/>
      <w:r/>
      <w:bookmarkStart w:id="428" w:name="_Toc151193850"/>
      <w:r/>
      <w:bookmarkStart w:id="429" w:name="_Toc127151536"/>
      <w:r/>
      <w:bookmarkStart w:id="430" w:name="_Toc150480774"/>
      <w:r/>
      <w:bookmarkStart w:id="431" w:name="_Toc142311038"/>
      <w:r/>
      <w:bookmarkStart w:id="432" w:name="_Toc195842901"/>
      <w:r/>
      <w:bookmarkStart w:id="433" w:name="_Toc151193706"/>
      <w:r/>
      <w:bookmarkStart w:id="434" w:name="_Toc164229377"/>
      <w:r/>
      <w:bookmarkStart w:id="435" w:name="_Toc149720829"/>
      <w:r/>
      <w:bookmarkStart w:id="436" w:name="_Toc520356161"/>
      <w:r/>
      <w:bookmarkStart w:id="437" w:name="_Toc151193924"/>
      <w:r/>
      <w:bookmarkStart w:id="438" w:name="_Toc151193778"/>
      <w:r/>
      <w:bookmarkStart w:id="439" w:name="_Toc127151737"/>
      <w:r/>
      <w:bookmarkStart w:id="440" w:name="_Toc150509287"/>
      <w:r/>
      <w:bookmarkStart w:id="441" w:name="_Toc164351630"/>
      <w:r/>
      <w:bookmarkStart w:id="442" w:name="_Toc164608650"/>
      <w:r>
        <w:rPr>
          <w:color w:val="000000"/>
          <w:sz w:val="24"/>
        </w:rPr>
        <w:t xml:space="preserve">本项目使用</w:t>
      </w:r>
      <w:r>
        <w:rPr>
          <w:rFonts w:hint="eastAsia"/>
          <w:color w:val="000000"/>
          <w:sz w:val="24"/>
        </w:rPr>
        <w:t xml:space="preserve">“苏采云”政府采购一体化平台</w:t>
      </w:r>
      <w:r>
        <w:rPr>
          <w:color w:val="000000"/>
          <w:sz w:val="24"/>
        </w:rPr>
        <w:t xml:space="preserve">。投标人根据招标文件及</w:t>
      </w:r>
      <w:r>
        <w:rPr>
          <w:rFonts w:hint="eastAsia"/>
          <w:color w:val="000000"/>
          <w:sz w:val="24"/>
        </w:rPr>
        <w:t xml:space="preserve">“苏采云”政府采购一体化平台</w:t>
      </w:r>
      <w:r>
        <w:rPr>
          <w:rFonts w:hint="eastAsia" w:ascii="宋体" w:hAnsi="宋体" w:cs="宋体"/>
          <w:color w:val="000000"/>
          <w:sz w:val="24"/>
        </w:rPr>
        <w:t xml:space="preserve">供应商</w:t>
      </w:r>
      <w:r>
        <w:rPr>
          <w:color w:val="000000"/>
          <w:sz w:val="24"/>
        </w:rPr>
        <w:t xml:space="preserve">操作手册要求编制、生成并提交电子投标文件。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w:t>
      </w:r>
      <w:r>
        <w:rPr>
          <w:rFonts w:hint="eastAsia"/>
          <w:color w:val="000000"/>
          <w:sz w:val="24"/>
        </w:rPr>
        <w:t xml:space="preserve">“苏采云”政府采购一体化平台</w:t>
      </w:r>
      <w:r>
        <w:rPr>
          <w:color w:val="000000"/>
          <w:sz w:val="24"/>
        </w:rPr>
        <w:t xml:space="preserve">以外任何形式提交的投标文件。</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rPr>
        <w:t xml:space="preserve">时间</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43" w:name="_Toc142311039"/>
      <w:r/>
      <w:bookmarkStart w:id="444" w:name="_Toc226965727"/>
      <w:r/>
      <w:bookmarkStart w:id="445" w:name="_Toc226309781"/>
      <w:r/>
      <w:bookmarkStart w:id="446" w:name="_Toc151193925"/>
      <w:r/>
      <w:bookmarkStart w:id="447" w:name="_Toc151193779"/>
      <w:r/>
      <w:bookmarkStart w:id="448" w:name="_Toc226337233"/>
      <w:r/>
      <w:bookmarkStart w:id="449" w:name="_Toc195842902"/>
      <w:r/>
      <w:bookmarkStart w:id="450" w:name="_Toc164351631"/>
      <w:r/>
      <w:bookmarkStart w:id="451" w:name="_Toc164608806"/>
      <w:r/>
      <w:bookmarkStart w:id="452" w:name="_Toc150480775"/>
      <w:r/>
      <w:bookmarkStart w:id="453" w:name="_Toc265228375"/>
      <w:r/>
      <w:bookmarkStart w:id="454" w:name="_Toc127151738"/>
      <w:r/>
      <w:bookmarkStart w:id="455" w:name="_Toc264969227"/>
      <w:r/>
      <w:bookmarkStart w:id="456" w:name="_Toc150774742"/>
      <w:r/>
      <w:bookmarkStart w:id="457" w:name="_Toc127151537"/>
      <w:r/>
      <w:bookmarkStart w:id="458" w:name="_Toc150774637"/>
      <w:r/>
      <w:bookmarkStart w:id="459" w:name="_Toc226965810"/>
      <w:r/>
      <w:bookmarkStart w:id="460" w:name="_Toc520356162"/>
      <w:r/>
      <w:bookmarkStart w:id="461" w:name="_Toc151193635"/>
      <w:r/>
      <w:bookmarkStart w:id="462" w:name="_Toc150509288"/>
      <w:r/>
      <w:bookmarkStart w:id="463" w:name="_Toc151190164"/>
      <w:r/>
      <w:bookmarkStart w:id="464" w:name="_Toc151193707"/>
      <w:r/>
      <w:bookmarkStart w:id="465" w:name="_Toc164229232"/>
      <w:r/>
      <w:bookmarkStart w:id="466" w:name="_Toc149720830"/>
      <w:r/>
      <w:bookmarkStart w:id="467" w:name="_Toc151193851"/>
      <w:r/>
      <w:bookmarkStart w:id="468" w:name="_Toc305158805"/>
      <w:r/>
      <w:bookmarkStart w:id="469" w:name="_Toc164229378"/>
      <w:r/>
      <w:bookmarkStart w:id="470" w:name="_Toc127161451"/>
      <w:r/>
      <w:bookmarkStart w:id="471" w:name="_Toc164608651"/>
      <w:r/>
      <w:bookmarkStart w:id="472" w:name="_Toc305158879"/>
      <w:r>
        <w:rPr>
          <w:color w:val="000000"/>
          <w:sz w:val="24"/>
        </w:rPr>
        <w:t xml:space="preserve">投标人应在招标文件要求提交投标文件截止时间前，将电子投标文件提交至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投标截止时间前，投标人可以通过</w:t>
      </w:r>
      <w:r>
        <w:rPr>
          <w:rFonts w:hint="eastAsia"/>
          <w:color w:val="000000"/>
          <w:sz w:val="24"/>
        </w:rPr>
        <w:t xml:space="preserve">“苏采云”政府采购一体化平台</w:t>
      </w:r>
      <w:r>
        <w:rPr>
          <w:color w:val="000000"/>
          <w:sz w:val="24"/>
        </w:rPr>
        <w:t xml:space="preserve">对所提交的投标文件进行补充、修改或者撤回。</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投标人对投标文件的补充、修改的内容应当按照招标文件要求签署、加盖公章，作为投标文件的组成部分。</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bookmarkStart w:id="473" w:name="_Toc151193926"/>
      <w:r/>
      <w:bookmarkStart w:id="474" w:name="_Toc150774638"/>
      <w:r/>
      <w:bookmarkStart w:id="475" w:name="_Toc195842903"/>
      <w:r/>
      <w:bookmarkStart w:id="476" w:name="_Toc150774743"/>
      <w:r/>
      <w:bookmarkStart w:id="477" w:name="_Toc226965728"/>
      <w:r/>
      <w:bookmarkStart w:id="478" w:name="_Toc264969228"/>
      <w:r/>
      <w:bookmarkStart w:id="479" w:name="_Toc150509289"/>
      <w:r/>
      <w:bookmarkStart w:id="480" w:name="_Toc127151538"/>
      <w:r/>
      <w:bookmarkStart w:id="481" w:name="_Toc305158880"/>
      <w:r/>
      <w:bookmarkStart w:id="482" w:name="_Toc226337234"/>
      <w:r/>
      <w:bookmarkStart w:id="483" w:name="_Toc265228376"/>
      <w:r/>
      <w:bookmarkStart w:id="484" w:name="_Toc226309782"/>
      <w:r/>
      <w:bookmarkStart w:id="485" w:name="_Toc151193708"/>
      <w:r/>
      <w:bookmarkStart w:id="486" w:name="_Toc151190165"/>
      <w:r/>
      <w:bookmarkStart w:id="487" w:name="_Toc151193852"/>
      <w:r/>
      <w:bookmarkStart w:id="488" w:name="_Toc226965811"/>
      <w:r/>
      <w:bookmarkStart w:id="489" w:name="_Toc305158806"/>
      <w:r/>
      <w:bookmarkStart w:id="490" w:name="_Toc150480776"/>
      <w:r/>
      <w:bookmarkStart w:id="491" w:name="_Toc151193780"/>
      <w:r/>
      <w:bookmarkStart w:id="492" w:name="_Toc151193636"/>
      <w:r/>
      <w:bookmarkStart w:id="493" w:name="_Toc142311040"/>
      <w:r/>
      <w:bookmarkStart w:id="494" w:name="_Toc520356163"/>
      <w:r>
        <w:rPr>
          <w:rFonts w:hint="eastAsia" w:ascii="宋体" w:hAnsi="宋体"/>
          <w:b/>
          <w:bCs/>
          <w:color w:val="000000"/>
          <w:sz w:val="28"/>
          <w:szCs w:val="28"/>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495" w:name="_Toc149720832"/>
      <w:r/>
      <w:bookmarkStart w:id="496" w:name="_Toc305158807"/>
      <w:r/>
      <w:bookmarkStart w:id="497" w:name="_Toc265228377"/>
      <w:r/>
      <w:bookmarkStart w:id="498" w:name="_Toc226337235"/>
      <w:r/>
      <w:bookmarkStart w:id="499" w:name="_Toc151193853"/>
      <w:r/>
      <w:bookmarkStart w:id="500" w:name="_Toc150774744"/>
      <w:r/>
      <w:bookmarkStart w:id="501" w:name="_Toc151193927"/>
      <w:r/>
      <w:bookmarkStart w:id="502" w:name="_Toc164608808"/>
      <w:r/>
      <w:bookmarkStart w:id="503" w:name="_Toc151193637"/>
      <w:r/>
      <w:bookmarkStart w:id="504" w:name="_Toc264969229"/>
      <w:r/>
      <w:bookmarkStart w:id="505" w:name="_Toc195842904"/>
      <w:r/>
      <w:bookmarkStart w:id="506" w:name="_Toc164229234"/>
      <w:r/>
      <w:bookmarkStart w:id="507" w:name="_Toc151190166"/>
      <w:r/>
      <w:bookmarkStart w:id="508" w:name="_Toc151193709"/>
      <w:r/>
      <w:bookmarkStart w:id="509" w:name="_Toc164229380"/>
      <w:r/>
      <w:bookmarkStart w:id="510" w:name="_Toc127151539"/>
      <w:r/>
      <w:bookmarkStart w:id="511" w:name="_Toc164351633"/>
      <w:r/>
      <w:bookmarkStart w:id="512" w:name="_Toc142311041"/>
      <w:r/>
      <w:bookmarkStart w:id="513" w:name="_Toc151193781"/>
      <w:r/>
      <w:bookmarkStart w:id="514" w:name="_Toc305158881"/>
      <w:r/>
      <w:bookmarkStart w:id="515" w:name="_Toc150480777"/>
      <w:r/>
      <w:bookmarkStart w:id="516" w:name="_Toc127151740"/>
      <w:r/>
      <w:bookmarkStart w:id="517" w:name="_Toc150774639"/>
      <w:r/>
      <w:bookmarkStart w:id="518" w:name="_Toc226309783"/>
      <w:r/>
      <w:bookmarkStart w:id="519" w:name="_Toc127161453"/>
      <w:r/>
      <w:bookmarkStart w:id="520" w:name="_Toc164608653"/>
      <w:r/>
      <w:bookmarkStart w:id="521" w:name="_Toc226965729"/>
      <w:r/>
      <w:bookmarkStart w:id="522" w:name="_Toc520356164"/>
      <w:r/>
      <w:bookmarkStart w:id="523" w:name="_Toc150509290"/>
      <w:r/>
      <w:bookmarkStart w:id="524" w:name="_Toc226965812"/>
      <w:r>
        <w:rPr>
          <w:rFonts w:hint="eastAsia" w:ascii="宋体" w:hAnsi="宋体" w:cs="宋体"/>
          <w:color w:val="000000"/>
          <w:sz w:val="24"/>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525" w:name="_Toc520356165"/>
      <w:r>
        <w:rPr>
          <w:color w:val="000000"/>
          <w:sz w:val="24"/>
        </w:rPr>
        <w:t xml:space="preserve">采购人或采购代理机构将按招标文件的规定，在投标截止时间的同一时间和招标文件预先确定的地点组织开标。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本项目开标</w:t>
      </w:r>
      <w:r>
        <w:rPr>
          <w:rFonts w:ascii="宋体" w:hAnsi="宋体"/>
          <w:color w:val="000000"/>
          <w:sz w:val="24"/>
        </w:rPr>
        <w:t xml:space="preserve">采用不见面招投标模式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“苏采云”政府采购一体化平台在线进行开标</w:t>
      </w:r>
      <w:r>
        <w:rPr>
          <w:color w:val="000000"/>
          <w:sz w:val="24"/>
        </w:rPr>
        <w:t xml:space="preserve">。投标人应在规定的时间内对投标文件进行解密，因非系统原因导致的解密失败，视为</w:t>
      </w:r>
      <w:r>
        <w:rPr>
          <w:b/>
          <w:color w:val="000000"/>
          <w:sz w:val="24"/>
        </w:rPr>
        <w:t xml:space="preserve">投标无效</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开标过程将使用</w:t>
      </w:r>
      <w:r>
        <w:rPr>
          <w:rFonts w:hint="eastAsia"/>
          <w:color w:val="000000"/>
          <w:sz w:val="24"/>
        </w:rPr>
        <w:t xml:space="preserve">“苏采云”政府采购一体化平台公</w:t>
      </w:r>
      <w:r>
        <w:rPr>
          <w:color w:val="000000"/>
          <w:sz w:val="24"/>
        </w:rPr>
        <w:t xml:space="preserve">布投标人名称、投标价格和招标文件规定的需要宣布的其他内容并进行记录，并由参加开标的各投标人代表</w:t>
      </w:r>
      <w:r>
        <w:rPr>
          <w:rFonts w:hint="eastAsia"/>
          <w:color w:val="000000"/>
          <w:sz w:val="24"/>
        </w:rPr>
        <w:t xml:space="preserve">在规定时间内</w:t>
      </w:r>
      <w:r>
        <w:rPr>
          <w:color w:val="000000"/>
          <w:sz w:val="24"/>
        </w:rPr>
        <w:t xml:space="preserve">确认</w:t>
      </w:r>
      <w:r>
        <w:rPr>
          <w:rFonts w:hint="eastAsia"/>
          <w:color w:val="000000"/>
          <w:sz w:val="24"/>
        </w:rPr>
        <w:t xml:space="preserve">。投标人超过规定时间未确认但是未提出疑义的，系统将视同已确认</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投标人代表对开标过程和开标记录有疑义，以及认为采购人、采购代理机构相关工作人员有需要回避的情形的，应当场</w:t>
      </w:r>
      <w:r>
        <w:rPr>
          <w:rFonts w:hint="eastAsia"/>
          <w:color w:val="000000"/>
          <w:sz w:val="24"/>
        </w:rPr>
        <w:t xml:space="preserve">通过业务系统</w:t>
      </w:r>
      <w:r>
        <w:rPr>
          <w:color w:val="000000"/>
          <w:sz w:val="24"/>
        </w:rPr>
        <w:t xml:space="preserve">提出询问或者回避申请。采购人、采购代理机构对投标人代表提出的询问或者回避申请将及时处理。</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投标人不足3家的，不予开标。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投标人须在开标前使用“验证CA”功能验证本地计算机的控件环境是否正常，并且在开标</w:t>
      </w:r>
      <w:r>
        <w:rPr>
          <w:rFonts w:hint="eastAsia"/>
          <w:color w:val="000000"/>
          <w:sz w:val="24"/>
        </w:rPr>
        <w:t xml:space="preserve">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，必须使用验证成功的计算机进行操作，否则造成相应后果由投标</w:t>
      </w:r>
      <w:r>
        <w:rPr>
          <w:rFonts w:hint="eastAsia"/>
          <w:color w:val="000000"/>
          <w:sz w:val="24"/>
        </w:rPr>
        <w:t xml:space="preserve">人</w:t>
      </w:r>
      <w:r>
        <w:rPr>
          <w:color w:val="000000"/>
          <w:sz w:val="24"/>
        </w:rPr>
        <w:t xml:space="preserve">自行承担。本地计算机</w:t>
      </w:r>
      <w:r>
        <w:rPr>
          <w:rFonts w:hint="eastAsia"/>
          <w:color w:val="000000"/>
          <w:sz w:val="24"/>
        </w:rPr>
        <w:t xml:space="preserve">要求安装摄像头、麦克风和音箱，保持网络通畅。</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开标、评审</w:t>
      </w:r>
      <w:r>
        <w:rPr>
          <w:color w:val="000000"/>
          <w:sz w:val="24"/>
        </w:rPr>
        <w:t xml:space="preserve">过程中，</w:t>
      </w:r>
      <w:r>
        <w:rPr>
          <w:rFonts w:hint="eastAsia"/>
          <w:color w:val="000000"/>
          <w:sz w:val="24"/>
        </w:rPr>
        <w:t xml:space="preserve">投标人</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color w:val="000000"/>
          <w:sz w:val="24"/>
        </w:rPr>
        <w:t xml:space="preserve"> </w:t>
      </w:r>
      <w:r>
        <w:rPr>
          <w:rFonts w:hint="eastAsia" w:ascii="宋体" w:hAnsi="宋体" w:eastAsia="宋体" w:cs="宋体"/>
          <w:color w:val="000000"/>
          <w:sz w:val="24"/>
        </w:rPr>
        <w:t xml:space="preserve">1)平台系统发生故障而无法登录访问的；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2)平台系统应用或数据库出现错误，不能进行正常操作的；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3)平台系统发现严重安全漏洞，有潜在泄密危险的；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4)病毒发作导致平台系统不能进行正常操作的；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color w:val="000000"/>
          <w:sz w:val="24"/>
        </w:rPr>
      </w:pPr>
      <w:r>
        <w:rPr>
          <w:rFonts w:hint="eastAsia" w:ascii="宋体" w:hAnsi="宋体" w:eastAsia="宋体" w:cs="宋体"/>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color w:val="000000"/>
          <w:sz w:val="24"/>
        </w:rPr>
      </w:r>
      <w:r/>
    </w:p>
    <w:p>
      <w:pPr>
        <w:pStyle w:val="882"/>
        <w:ind w:left="1134"/>
        <w:spacing w:line="360" w:lineRule="auto"/>
        <w:tabs>
          <w:tab w:val="left" w:pos="1080"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见第三章《资格审查》。</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25"/>
      <w:r/>
      <w:bookmarkStart w:id="526" w:name="_Toc150774745"/>
      <w:r/>
      <w:bookmarkStart w:id="527" w:name="_Toc127161454"/>
      <w:r/>
      <w:bookmarkStart w:id="528" w:name="_Toc151193854"/>
      <w:r/>
      <w:bookmarkStart w:id="529" w:name="_Toc151193782"/>
      <w:r/>
      <w:bookmarkStart w:id="530" w:name="_Toc226309784"/>
      <w:r/>
      <w:bookmarkStart w:id="531" w:name="_Toc151193928"/>
      <w:r/>
      <w:bookmarkStart w:id="532" w:name="_Toc151193638"/>
      <w:r/>
      <w:bookmarkStart w:id="533" w:name="_Toc142311042"/>
      <w:r/>
      <w:bookmarkStart w:id="534" w:name="_Toc305158882"/>
      <w:r/>
      <w:bookmarkStart w:id="535" w:name="_Toc226337236"/>
      <w:r/>
      <w:bookmarkStart w:id="536" w:name="_Toc150480778"/>
      <w:r/>
      <w:bookmarkStart w:id="537" w:name="_Toc164229381"/>
      <w:r/>
      <w:bookmarkStart w:id="538" w:name="_Toc164229235"/>
      <w:r/>
      <w:bookmarkStart w:id="539" w:name="_Toc151190167"/>
      <w:r/>
      <w:bookmarkStart w:id="540" w:name="_Toc226965730"/>
      <w:r/>
      <w:bookmarkStart w:id="541" w:name="_Toc305158808"/>
      <w:r/>
      <w:bookmarkStart w:id="542" w:name="_Toc264969230"/>
      <w:r/>
      <w:bookmarkStart w:id="543" w:name="_Toc195842905"/>
      <w:r/>
      <w:bookmarkStart w:id="544" w:name="_Toc127151741"/>
      <w:r/>
      <w:bookmarkStart w:id="545" w:name="_Toc164351634"/>
      <w:r/>
      <w:bookmarkStart w:id="546" w:name="_Toc226965813"/>
      <w:r/>
      <w:bookmarkStart w:id="547" w:name="_Toc151193710"/>
      <w:r/>
      <w:bookmarkStart w:id="548" w:name="_Toc265228378"/>
      <w:r/>
      <w:bookmarkStart w:id="549" w:name="_Toc164608654"/>
      <w:r/>
      <w:bookmarkStart w:id="550" w:name="_Toc127151540"/>
      <w:r/>
      <w:bookmarkStart w:id="551" w:name="_Toc164608809"/>
      <w:r/>
      <w:bookmarkStart w:id="552" w:name="_Toc149720833"/>
      <w:r/>
      <w:bookmarkStart w:id="553" w:name="_Toc150774640"/>
      <w:r/>
      <w:bookmarkStart w:id="554" w:name="_Toc150509291"/>
      <w:r>
        <w:rPr>
          <w:rFonts w:hint="eastAsia" w:ascii="宋体" w:hAnsi="宋体" w:cs="宋体"/>
          <w:color w:val="000000"/>
          <w:sz w:val="24"/>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55" w:name="_Toc52035616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见第四章《评标程序、评标方法和评标标准》。</w:t>
      </w:r>
      <w:r>
        <w:rPr>
          <w:rFonts w:ascii="宋体" w:hAnsi="宋体" w:cs="宋体"/>
          <w:color w:val="000000"/>
          <w:sz w:val="24"/>
        </w:rPr>
      </w:r>
      <w:r/>
    </w:p>
    <w:p>
      <w:pPr>
        <w:pStyle w:val="882"/>
        <w:numPr>
          <w:ilvl w:val="0"/>
          <w:numId w:val="0"/>
        </w:numPr>
        <w:ind w:left="357"/>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ind w:left="357"/>
        <w:jc w:val="center"/>
        <w:spacing w:line="360" w:lineRule="auto"/>
        <w:tabs>
          <w:tab w:val="left" w:pos="1080" w:leader="none"/>
          <w:tab w:val="left" w:pos="2014" w:leader="none"/>
        </w:tabs>
        <w:rPr>
          <w:rFonts w:ascii="宋体" w:hAnsi="宋体" w:cs="宋体"/>
          <w:color w:val="000000"/>
          <w:sz w:val="24"/>
        </w:rPr>
      </w:pPr>
      <w:r>
        <w:rPr>
          <w:rFonts w:hint="eastAsia" w:ascii="宋体" w:hAnsi="宋体" w:cs="宋体"/>
          <w:b/>
          <w:bCs/>
          <w:color w:val="000000"/>
          <w:sz w:val="28"/>
          <w:szCs w:val="28"/>
          <w:lang w:val="en-US" w:eastAsia="zh-CN"/>
        </w:rPr>
        <w:t xml:space="preserve">六</w:t>
      </w:r>
      <w:r>
        <w:rPr>
          <w:rFonts w:hint="eastAsia" w:ascii="宋体" w:hAnsi="宋体"/>
          <w:b/>
          <w:bCs/>
          <w:color w:val="000000"/>
          <w:sz w:val="28"/>
          <w:szCs w:val="28"/>
        </w:rPr>
        <w:t xml:space="preserve">   </w:t>
      </w:r>
      <w:r>
        <w:rPr>
          <w:rFonts w:hint="eastAsia" w:ascii="宋体" w:hAnsi="宋体"/>
          <w:b/>
          <w:bCs/>
          <w:color w:val="000000"/>
          <w:sz w:val="28"/>
          <w:szCs w:val="28"/>
          <w:lang w:val="en-US" w:eastAsia="zh-CN"/>
        </w:rPr>
        <w:t xml:space="preserve">确定中标</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56"/>
      <w:r/>
      <w:bookmarkStart w:id="557" w:name="_Toc164608663"/>
      <w:r/>
      <w:bookmarkStart w:id="558" w:name="_Toc226965739"/>
      <w:r/>
      <w:bookmarkStart w:id="559" w:name="_Toc150509300"/>
      <w:r/>
      <w:bookmarkStart w:id="560" w:name="_Toc127151750"/>
      <w:r/>
      <w:bookmarkStart w:id="561" w:name="_Toc164229244"/>
      <w:r/>
      <w:bookmarkStart w:id="562" w:name="_Ref467306425"/>
      <w:r/>
      <w:bookmarkStart w:id="563" w:name="_Toc226965822"/>
      <w:r/>
      <w:bookmarkStart w:id="564" w:name="_Toc150774649"/>
      <w:r/>
      <w:bookmarkStart w:id="565" w:name="_Toc151193719"/>
      <w:r/>
      <w:bookmarkStart w:id="566" w:name="_Toc151190176"/>
      <w:r/>
      <w:bookmarkStart w:id="567" w:name="_Ref467307090"/>
      <w:r/>
      <w:bookmarkStart w:id="568" w:name="_Toc265228387"/>
      <w:r/>
      <w:bookmarkStart w:id="569" w:name="_Toc149720842"/>
      <w:r/>
      <w:bookmarkStart w:id="570" w:name="_Toc142311051"/>
      <w:r/>
      <w:bookmarkStart w:id="571" w:name="_Toc150480787"/>
      <w:r/>
      <w:bookmarkStart w:id="572" w:name="_Toc164351643"/>
      <w:r/>
      <w:bookmarkStart w:id="573" w:name="_Toc164608818"/>
      <w:r/>
      <w:bookmarkStart w:id="574" w:name="_Toc150774754"/>
      <w:r/>
      <w:bookmarkStart w:id="575" w:name="_Toc127161463"/>
      <w:r/>
      <w:bookmarkStart w:id="576" w:name="_Toc127151549"/>
      <w:r/>
      <w:bookmarkStart w:id="577" w:name="_Toc264969239"/>
      <w:r/>
      <w:bookmarkStart w:id="578" w:name="_Toc151193647"/>
      <w:r/>
      <w:bookmarkStart w:id="579" w:name="_Toc226309793"/>
      <w:r/>
      <w:bookmarkStart w:id="580" w:name="_Toc151193863"/>
      <w:r/>
      <w:bookmarkStart w:id="581" w:name="_Toc164229390"/>
      <w:r/>
      <w:bookmarkStart w:id="582" w:name="_Toc151193791"/>
      <w:r/>
      <w:bookmarkStart w:id="583" w:name="_Toc520356176"/>
      <w:r/>
      <w:bookmarkStart w:id="584" w:name="_Toc226337245"/>
      <w:r/>
      <w:bookmarkStart w:id="585" w:name="_Toc195842914"/>
      <w:r/>
      <w:bookmarkStart w:id="586" w:name="_Toc151193937"/>
      <w:r>
        <w:rPr>
          <w:rFonts w:hint="eastAsia" w:ascii="宋体" w:hAnsi="宋体" w:cs="宋体"/>
          <w:color w:val="000000"/>
          <w:sz w:val="24"/>
        </w:rPr>
        <w:t xml:space="preserve">确定中标人</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587" w:name="_Toc305158891"/>
      <w:r/>
      <w:bookmarkStart w:id="588" w:name="_Toc305158817"/>
      <w:r>
        <w:rPr>
          <w:rFonts w:hint="eastAsia" w:ascii="宋体" w:hAnsi="宋体" w:cs="宋体"/>
          <w:color w:val="000000"/>
          <w:sz w:val="24"/>
        </w:rPr>
        <w:t xml:space="preserve">中标公告与中标通知书</w:t>
      </w:r>
      <w:bookmarkEnd w:id="587"/>
      <w:r/>
      <w:bookmarkEnd w:id="588"/>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采购人或采购代理机构自中标人确定之日起2个工作日内，在江苏政府采购网、常州市政府采购网和常州市交通控股集团有限公司网站公告中标结果，同时向中标人发出中标通知书，中标公告期限为1个工作日。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中标通知书对采购人和中标人均具有法律效力。中标通知书发出后，采购人改变中标结果的，或者中标人放弃中标项目的，应当依法承担法律责任。</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废标</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在招标采购中，出现下列情形之一的，应予废标：</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符合专业条件的投标人或者对招标文件作实质响应的投标人不足三家的；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出现影响采购公正的违法、违规行为的；</w:t>
      </w:r>
      <w:r>
        <w:rPr>
          <w:rFonts w:ascii="宋体" w:hAnsi="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投标人的报价均超过了采购预算，采购人不能支付的；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因重大变故，采购任务取消的。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pacing w:val="2"/>
          <w:sz w:val="24"/>
        </w:rPr>
        <w:t xml:space="preserve">平台系统</w:t>
      </w:r>
      <w:r>
        <w:rPr>
          <w:rFonts w:hint="eastAsia" w:ascii="宋体" w:hAnsi="宋体" w:eastAsia="宋体" w:cs="宋体"/>
          <w:color w:val="000000"/>
          <w:sz w:val="24"/>
        </w:rPr>
        <w:t xml:space="preserve">出现序号18.8的所述情形，情况严重且影响采购活动公平、公正性的。</w:t>
      </w:r>
      <w:r>
        <w:rPr>
          <w:rFonts w:hint="eastAsia" w:ascii="宋体" w:hAnsi="宋体" w:eastAsia="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废标后，采购人将废标理由通知所有投标人。</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签订合同</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中标供应商拒绝与采购人签订合同的，采购人可以按照评标报告推荐的中标候选人名单排序，确定下一候选人为中标供应商，也可以重新开展政府采购活动。</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政府采购合同不能转包。</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本项目的非主体、非关键性工作是否允许分包，见《投标人须知资料表》。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询问与质疑</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采购人或采购代理机构对投标人依法提出的询问，在3个工作日内作出答复，但答复的内容不得涉及商业秘密。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质疑</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144"/>
          <w:rFonts w:hint="eastAsia" w:ascii="宋体" w:hAnsi="宋体" w:cs="宋体"/>
          <w:color w:val="000000"/>
          <w:sz w:val="24"/>
        </w:rPr>
        <w:t xml:space="preserve">http://gk</w:t>
      </w:r>
      <w:bookmarkStart w:id="589" w:name="_Hlt100654014"/>
      <w:r>
        <w:rPr>
          <w:rStyle w:val="1144"/>
          <w:rFonts w:hint="eastAsia" w:ascii="宋体" w:hAnsi="宋体" w:cs="宋体"/>
          <w:color w:val="000000"/>
          <w:sz w:val="24"/>
        </w:rPr>
        <w:t xml:space="preserve">s</w:t>
      </w:r>
      <w:bookmarkEnd w:id="589"/>
      <w:r>
        <w:rPr>
          <w:rStyle w:val="1144"/>
          <w:rFonts w:hint="eastAsia" w:ascii="宋体" w:hAnsi="宋体" w:cs="宋体"/>
          <w:color w:val="000000"/>
          <w:sz w:val="24"/>
        </w:rPr>
        <w:t xml:space="preserve">.m</w:t>
      </w:r>
      <w:bookmarkStart w:id="590" w:name="_Hlt100653993"/>
      <w:r/>
      <w:bookmarkStart w:id="591" w:name="_Hlt100653994"/>
      <w:r>
        <w:rPr>
          <w:rStyle w:val="1144"/>
          <w:rFonts w:hint="eastAsia" w:ascii="宋体" w:hAnsi="宋体" w:cs="宋体"/>
          <w:color w:val="000000"/>
          <w:sz w:val="24"/>
        </w:rPr>
        <w:t xml:space="preserve">o</w:t>
      </w:r>
      <w:bookmarkEnd w:id="590"/>
      <w:r/>
      <w:bookmarkEnd w:id="591"/>
      <w:r>
        <w:rPr>
          <w:rStyle w:val="1144"/>
          <w:rFonts w:hint="eastAsia" w:ascii="宋体" w:hAnsi="宋体" w:cs="宋体"/>
          <w:color w:val="000000"/>
          <w:sz w:val="24"/>
        </w:rPr>
        <w:t xml:space="preserve">f.gov.cn/ztztz/zhengfucaigouguanli/201802/t20180201_2804589.htm</w:t>
      </w:r>
      <w:r>
        <w:rPr>
          <w:rStyle w:val="1144"/>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收费对象、收费标准及缴纳时间见《投标人须知资料表》。由中标人支付的，中标供应商须一次性向采购代理机构缴纳代理费，投标报价应包含代理费用。</w:t>
      </w:r>
      <w:r>
        <w:rPr>
          <w:rFonts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jc w:val="center"/>
        <w:spacing w:line="360" w:lineRule="auto"/>
        <w:rPr>
          <w:b/>
          <w:color w:val="000000"/>
          <w:sz w:val="36"/>
          <w:szCs w:val="36"/>
        </w:rPr>
        <w:outlineLvl w:val="0"/>
      </w:pPr>
      <w:r/>
      <w:bookmarkStart w:id="592" w:name="_Toc142311056"/>
      <w:r/>
      <w:bookmarkStart w:id="593" w:name="_Toc150480792"/>
      <w:r/>
      <w:bookmarkStart w:id="594" w:name="_Toc305158822"/>
      <w:r/>
      <w:bookmarkStart w:id="595" w:name="_Toc353825544"/>
      <w:r/>
      <w:bookmarkStart w:id="596" w:name="_Toc353873934"/>
      <w:r/>
      <w:bookmarkStart w:id="597" w:name="_Toc305158896"/>
      <w:r/>
      <w:bookmarkStart w:id="598" w:name="_Toc226337250"/>
      <w:r/>
      <w:bookmarkStart w:id="599" w:name="_Toc353873664"/>
      <w:r/>
      <w:bookmarkStart w:id="600" w:name="_Toc226965827"/>
      <w:r/>
      <w:bookmarkStart w:id="601" w:name="_Toc265228392"/>
      <w:r/>
      <w:bookmarkStart w:id="602" w:name="_Toc264969244"/>
      <w:r/>
      <w:bookmarkStart w:id="603" w:name="_Toc127151554"/>
      <w:r/>
      <w:bookmarkStart w:id="604" w:name="_Toc150774759"/>
      <w:r/>
      <w:bookmarkStart w:id="605" w:name="_Toc21989"/>
      <w:r>
        <w:rPr>
          <w:b/>
          <w:color w:val="000000"/>
          <w:sz w:val="36"/>
          <w:szCs w:val="36"/>
        </w:rPr>
        <w:t xml:space="preserve">第三章   </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b/>
          <w:color w:val="000000"/>
          <w:sz w:val="36"/>
          <w:szCs w:val="36"/>
        </w:rPr>
        <w:t xml:space="preserve">资格审查</w:t>
      </w:r>
      <w:bookmarkEnd w:id="605"/>
      <w:r/>
      <w:bookmarkStart w:id="606" w:name="_Toc487900382"/>
      <w:r>
        <w:rPr>
          <w:b/>
          <w:color w:val="000000"/>
          <w:sz w:val="36"/>
          <w:szCs w:val="36"/>
        </w:rPr>
      </w:r>
      <w:r/>
    </w:p>
    <w:p>
      <w:pPr>
        <w:pStyle w:val="882"/>
        <w:jc w:val="center"/>
        <w:spacing w:line="360" w:lineRule="auto"/>
        <w:rPr>
          <w:rFonts w:ascii="宋体" w:hAnsi="宋体"/>
          <w:b/>
          <w:bCs/>
          <w:color w:val="000000"/>
          <w:sz w:val="28"/>
          <w:szCs w:val="28"/>
        </w:rPr>
      </w:pPr>
      <w:r/>
      <w:bookmarkStart w:id="607" w:name="_Toc99301422"/>
      <w:r>
        <w:rPr>
          <w:rFonts w:hint="eastAsia" w:ascii="宋体" w:hAnsi="宋体"/>
          <w:b/>
          <w:bCs/>
          <w:color w:val="000000"/>
          <w:sz w:val="28"/>
          <w:szCs w:val="28"/>
        </w:rPr>
        <w:t xml:space="preserve">一、资格审查程序</w:t>
      </w:r>
      <w:bookmarkEnd w:id="607"/>
      <w:r>
        <w:rPr>
          <w:rFonts w:ascii="宋体" w:hAnsi="宋体"/>
          <w:b/>
          <w:bCs/>
          <w:color w:val="000000"/>
          <w:sz w:val="28"/>
          <w:szCs w:val="28"/>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开标结束后，采购人将根据《资格审查要求》中的规定，对投标人进行资格审查，并形成资格审查结果。</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《资格审查要求》中对格式有要求的，除招标文件另有规定外，均为“实质性格式”文件。</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资格审查合格的投标人不足3家的，不进行评标。</w:t>
      </w:r>
      <w:r>
        <w:rPr>
          <w:rFonts w:ascii="宋体" w:hAnsi="宋体" w:cs="宋体"/>
          <w:color w:val="000000"/>
          <w:sz w:val="24"/>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二、资格审查要求</w:t>
      </w:r>
      <w:r>
        <w:rPr>
          <w:rFonts w:ascii="宋体" w:hAnsi="宋体"/>
          <w:b/>
          <w:bCs/>
          <w:color w:val="000000"/>
          <w:sz w:val="28"/>
          <w:szCs w:val="28"/>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bookmarkEnd w:id="606"/>
            <w:r/>
            <w:bookmarkStart w:id="608" w:name="_Hlt487972895"/>
            <w:r/>
            <w:bookmarkEnd w:id="608"/>
            <w:r>
              <w:rPr>
                <w:rFonts w:hint="eastAsia" w:ascii="宋体" w:hAnsi="宋体" w:cs="宋体"/>
                <w:b/>
                <w:color w:val="000000"/>
                <w:sz w:val="24"/>
              </w:rPr>
              <w:t xml:space="preserve">序号</w:t>
            </w:r>
            <w:r>
              <w:rPr>
                <w:rFonts w:hint="eastAsia" w:ascii="宋体" w:hAnsi="宋体" w:cs="宋体"/>
                <w:b/>
                <w:color w:val="000000"/>
                <w:sz w:val="24"/>
              </w:rPr>
            </w:r>
            <w:r/>
          </w:p>
        </w:tc>
        <w:tc>
          <w:tcPr>
            <w:tcW w:w="198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482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1638"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312"/>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w:t>
            </w:r>
            <w:r>
              <w:rPr>
                <w:rFonts w:hint="eastAsia" w:ascii="宋体" w:hAnsi="宋体" w:cs="宋体"/>
                <w:sz w:val="24"/>
              </w:rPr>
              <w:t xml:space="preserve">、重大税收违法失信主体名单、政</w:t>
            </w:r>
            <w:r>
              <w:rPr>
                <w:rFonts w:hint="eastAsia" w:ascii="宋体" w:hAnsi="宋体" w:cs="宋体"/>
                <w:color w:val="000000"/>
                <w:sz w:val="24"/>
              </w:rPr>
              <w:t xml:space="preserve">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是否接受联合体投标</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本项目不接受联合体投标，投标人不得为联合体。</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ascii="宋体" w:hAnsi="宋体" w:cs="宋体"/>
                <w:color w:val="000000"/>
                <w:sz w:val="24"/>
              </w:rPr>
            </w:pPr>
            <w:r>
              <w:rPr>
                <w:rFonts w:hint="eastAsia" w:ascii="宋体" w:hAnsi="宋体" w:cs="宋体"/>
                <w:szCs w:val="21"/>
                <w:lang w:bidi="ar"/>
              </w:rPr>
              <w:t xml:space="preserve">提供证明文件的电子件或电子证照</w:t>
            </w:r>
            <w:r>
              <w:rPr>
                <w:rFonts w:ascii="宋体" w:hAnsi="宋体" w:cs="宋体"/>
                <w:color w:val="000000"/>
                <w:sz w:val="24"/>
              </w:rPr>
            </w:r>
            <w:r/>
          </w:p>
        </w:tc>
      </w:tr>
    </w:tbl>
    <w:p>
      <w:pPr>
        <w:pStyle w:val="882"/>
        <w:jc w:val="center"/>
        <w:widowControl/>
        <w:rPr>
          <w:b/>
          <w:color w:val="000000"/>
          <w:sz w:val="36"/>
          <w:szCs w:val="36"/>
        </w:rPr>
        <w:outlineLvl w:val="0"/>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Start w:id="609" w:name="_Toc127151779"/>
      <w:r/>
      <w:bookmarkStart w:id="610" w:name="_Toc226965858"/>
      <w:r/>
      <w:bookmarkStart w:id="611" w:name="_Toc127161490"/>
      <w:r/>
      <w:bookmarkStart w:id="612" w:name="_Toc353873940"/>
      <w:r/>
      <w:bookmarkStart w:id="613" w:name="_Toc353825550"/>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t xml:space="preserve">第四章   评标程序、评标方法和评标标准</w:t>
      </w:r>
      <w:r>
        <w:rPr>
          <w:b/>
          <w:color w:val="000000"/>
          <w:sz w:val="36"/>
          <w:szCs w:val="36"/>
        </w:rPr>
      </w:r>
      <w:r/>
    </w:p>
    <w:p>
      <w:pPr>
        <w:pStyle w:val="882"/>
        <w:jc w:val="center"/>
        <w:spacing w:line="360" w:lineRule="auto"/>
        <w:tabs>
          <w:tab w:val="left" w:pos="360" w:leader="none"/>
          <w:tab w:val="left" w:pos="900" w:leader="none"/>
        </w:tabs>
        <w:rPr>
          <w:b/>
          <w:color w:val="000000"/>
        </w:rPr>
      </w:pPr>
      <w:r>
        <w:rPr>
          <w:b/>
          <w:color w:val="000000"/>
          <w:sz w:val="24"/>
        </w:rPr>
        <w:t xml:space="preserve">一、评标</w:t>
      </w:r>
      <w:r>
        <w:rPr>
          <w:rFonts w:hint="eastAsia"/>
          <w:b/>
          <w:color w:val="000000"/>
          <w:sz w:val="24"/>
        </w:rPr>
        <w:t xml:space="preserve">程序</w:t>
      </w:r>
      <w:r>
        <w:rPr>
          <w:b/>
          <w:color w:val="000000"/>
        </w:rPr>
      </w:r>
      <w:r/>
    </w:p>
    <w:p>
      <w:pPr>
        <w:pStyle w:val="882"/>
        <w:numPr>
          <w:ilvl w:val="0"/>
          <w:numId w:val="12"/>
        </w:numPr>
        <w:spacing w:line="360" w:lineRule="auto"/>
        <w:tabs>
          <w:tab w:val="left" w:pos="360" w:leader="none"/>
          <w:tab w:val="left" w:pos="900" w:leader="none"/>
        </w:tabs>
        <w:rPr>
          <w:color w:val="000000"/>
          <w:sz w:val="24"/>
        </w:rPr>
      </w:pPr>
      <w:r>
        <w:rPr>
          <w:color w:val="000000"/>
          <w:sz w:val="24"/>
        </w:rPr>
        <w:t xml:space="preserve">投标文件的符合性审查</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评标委员会对资格审查合格的投标人的投标文件进行符合性审查，以确定其是否满足招标文件的实质性要求。</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投标人《商务技术文件》有任何一项不符合</w:t>
      </w:r>
      <w:r>
        <w:rPr>
          <w:color w:val="000000"/>
          <w:sz w:val="24"/>
        </w:rPr>
        <w:t xml:space="preserve">《符合性审查</w:t>
      </w:r>
      <w:r>
        <w:rPr>
          <w:rFonts w:hint="eastAsia"/>
          <w:color w:val="000000"/>
          <w:sz w:val="24"/>
        </w:rPr>
        <w:t xml:space="preserve">要求</w:t>
      </w:r>
      <w:r>
        <w:rPr>
          <w:color w:val="000000"/>
          <w:sz w:val="24"/>
        </w:rPr>
        <w:t xml:space="preserve">》</w:t>
      </w:r>
      <w:r>
        <w:rPr>
          <w:rFonts w:hint="eastAsia"/>
          <w:color w:val="000000"/>
          <w:sz w:val="24"/>
        </w:rPr>
        <w:t xml:space="preserve">要求的，</w:t>
      </w:r>
      <w:r>
        <w:rPr>
          <w:rFonts w:hint="eastAsia"/>
          <w:b/>
          <w:color w:val="000000"/>
          <w:sz w:val="24"/>
        </w:rPr>
        <w:t xml:space="preserve">投标无效</w:t>
      </w:r>
      <w:r>
        <w:rPr>
          <w:rFonts w:hint="eastAsia"/>
          <w:color w:val="000000"/>
          <w:sz w:val="24"/>
        </w:rPr>
        <w:t xml:space="preserve">。</w:t>
      </w:r>
      <w:r>
        <w:rPr>
          <w:color w:val="000000"/>
          <w:sz w:val="24"/>
        </w:rPr>
      </w:r>
      <w:r/>
    </w:p>
    <w:p>
      <w:pPr>
        <w:pStyle w:val="882"/>
        <w:ind w:hanging="357"/>
        <w:jc w:val="center"/>
        <w:spacing w:line="360" w:lineRule="auto"/>
        <w:tabs>
          <w:tab w:val="left" w:pos="900" w:leader="none"/>
          <w:tab w:val="left" w:pos="1080" w:leader="none"/>
          <w:tab w:val="left" w:pos="1589" w:leader="none"/>
        </w:tabs>
        <w:rPr>
          <w:b/>
          <w:color w:val="000000"/>
          <w:sz w:val="24"/>
        </w:rPr>
      </w:pPr>
      <w:r>
        <w:rPr>
          <w:b/>
          <w:color w:val="000000"/>
          <w:sz w:val="24"/>
        </w:rPr>
        <w:t xml:space="preserve">符合性审查</w:t>
      </w:r>
      <w:r>
        <w:rPr>
          <w:rFonts w:hint="eastAsia"/>
          <w:b/>
          <w:color w:val="000000"/>
          <w:sz w:val="24"/>
        </w:rPr>
        <w:t xml:space="preserve">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投标函、法定代表人资格证明书和政府采购供应商信用承诺书</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按招标文件要求提供投标函、法定代表人资格证明书和政府采购供应商信用承诺书；</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未将一个采购</w:t>
            </w:r>
            <w:r>
              <w:rPr>
                <w:rFonts w:hint="eastAsia" w:ascii="宋体" w:hAnsi="宋体" w:cs="宋体"/>
                <w:color w:val="000000"/>
                <w:sz w:val="24"/>
                <w:lang w:val="en-US" w:eastAsia="zh-CN"/>
              </w:rPr>
              <w:t xml:space="preserve">包</w:t>
            </w:r>
            <w:r>
              <w:rPr>
                <w:rFonts w:hint="eastAsia" w:ascii="宋体" w:hAnsi="宋体" w:cs="宋体"/>
                <w:color w:val="000000"/>
                <w:sz w:val="24"/>
              </w:rPr>
              <w:t xml:space="preserve">中的内容拆开投标；</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预算金额或者项目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最高限价；</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★号条款响应</w:t>
            </w:r>
            <w:r>
              <w:rPr>
                <w:rFonts w:hint="eastAsia" w:ascii="宋体" w:hAnsi="宋体" w:cs="宋体"/>
                <w:sz w:val="24"/>
              </w:rPr>
            </w:r>
            <w:r/>
          </w:p>
        </w:tc>
        <w:tc>
          <w:tcPr>
            <w:tcW w:w="6725"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投标文件满足招标文件第五章《采购需求》中★号条款要求的；</w:t>
            </w:r>
            <w:r>
              <w:rPr>
                <w:rFonts w:hint="eastAsia" w:ascii="宋体" w:hAnsi="宋体" w:cs="宋体"/>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报价的修正</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投标文件报价出现前后不一致时，投标人对修正后的报价予以确认；</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③ 投标(响应)报价低于采购项目最高限价45%的，即投标(响应)报价&lt;采购项目最高限价×45%；</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④ 评审委员会基于专业判断，认为供应商报价过低，有可能影响产品质量或者不能诚信履约的其他情形。</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国家有关部门对投标人的投标产品有强制性规定或要求的（如相应技术、安全、节能和环保等），投标人的投标产品应符合相应规定或要求，提供证明文件电子件加盖投标人公章：</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1）采购的产品</w:t>
            </w:r>
            <w:r>
              <w:rPr>
                <w:rFonts w:hint="eastAsia" w:ascii="宋体" w:hAnsi="宋体" w:cs="宋体"/>
                <w:b/>
                <w:bCs/>
                <w:color w:val="000000"/>
                <w:sz w:val="24"/>
              </w:rPr>
              <w:t xml:space="preserve">若属于</w:t>
            </w:r>
            <w:r>
              <w:rPr>
                <w:rFonts w:hint="eastAsia" w:ascii="宋体" w:hAnsi="宋体" w:cs="宋体"/>
                <w:color w:val="000000"/>
                <w:sz w:val="24"/>
              </w:rPr>
              <w:t xml:space="preserve">《节能产品政府采购品目清单》范围中政府强制采购产品，则投标人所报产品必须获得国家确定的认证机构出具的、处于有效期之内的节能产品认证证书；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2）投标产品</w:t>
            </w:r>
            <w:r>
              <w:rPr>
                <w:rFonts w:hint="eastAsia" w:ascii="宋体" w:hAnsi="宋体" w:cs="宋体"/>
                <w:b/>
                <w:bCs/>
                <w:color w:val="000000"/>
                <w:sz w:val="24"/>
              </w:rPr>
              <w:t xml:space="preserve">如涉及</w:t>
            </w:r>
            <w:r>
              <w:rPr>
                <w:rFonts w:hint="eastAsia" w:ascii="宋体" w:hAnsi="宋体" w:cs="宋体"/>
                <w:color w:val="000000"/>
                <w:sz w:val="24"/>
              </w:rPr>
              <w:t xml:space="preserve">计算机信息系统安全专用产品的，须提供公安部颁发的计算机信息系统安全专用产品销售许可证；</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3）国家有特殊信息安全要求的项目，采购产品</w:t>
            </w:r>
            <w:r>
              <w:rPr>
                <w:rFonts w:hint="eastAsia" w:ascii="宋体" w:hAnsi="宋体" w:cs="宋体"/>
                <w:b/>
                <w:bCs/>
                <w:color w:val="000000"/>
                <w:sz w:val="24"/>
              </w:rPr>
              <w:t xml:space="preserve">涉及</w:t>
            </w:r>
            <w:r>
              <w:rPr>
                <w:rFonts w:hint="eastAsia" w:ascii="宋体" w:hAnsi="宋体" w:cs="宋体"/>
                <w:color w:val="000000"/>
                <w:sz w:val="24"/>
              </w:rPr>
              <w:t xml:space="preserve">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37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882"/>
        <w:jc w:val="center"/>
        <w:widowControl/>
        <w:rPr>
          <w:color w:val="000000"/>
          <w:sz w:val="24"/>
        </w:rPr>
      </w:pPr>
      <w:r>
        <w:rPr>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bookmarkEnd w:id="609"/>
      <w:r/>
      <w:bookmarkEnd w:id="610"/>
      <w:r/>
      <w:bookmarkEnd w:id="611"/>
      <w:r/>
      <w:bookmarkEnd w:id="612"/>
      <w:r/>
      <w:bookmarkEnd w:id="613"/>
      <w:r/>
      <w:bookmarkStart w:id="614" w:name="_Toc353873941"/>
      <w:r/>
      <w:bookmarkStart w:id="615" w:name="_Toc353825551"/>
      <w:r/>
      <w:bookmarkStart w:id="616" w:name="_Toc265228393"/>
      <w:r/>
      <w:bookmarkStart w:id="617" w:name="_Toc305158897"/>
      <w:r/>
      <w:bookmarkStart w:id="618" w:name="_Toc353873665"/>
      <w:r/>
      <w:bookmarkStart w:id="619" w:name="_Toc150480793"/>
      <w:r/>
      <w:bookmarkStart w:id="620" w:name="_Toc226965828"/>
      <w:r/>
      <w:bookmarkStart w:id="621" w:name="_Toc195842920"/>
      <w:r/>
      <w:bookmarkStart w:id="622" w:name="_Toc127151555"/>
      <w:r/>
      <w:bookmarkStart w:id="623" w:name="_Toc264969245"/>
      <w:r/>
      <w:bookmarkStart w:id="624" w:name="_Toc150774760"/>
      <w:r/>
      <w:bookmarkStart w:id="625" w:name="_Toc226337251"/>
      <w:r/>
      <w:bookmarkStart w:id="626" w:name="_Toc305158823"/>
      <w:r/>
      <w:bookmarkStart w:id="627" w:name="_Toc142311057"/>
      <w:r/>
      <w:bookmarkStart w:id="628" w:name="_Toc353873935"/>
      <w:r/>
      <w:bookmarkStart w:id="629" w:name="_Toc353825545"/>
      <w:r>
        <w:rPr>
          <w:rFonts w:hint="eastAsia" w:ascii="宋体" w:hAnsi="宋体" w:cs="宋体"/>
          <w:color w:val="000000"/>
          <w:sz w:val="24"/>
        </w:rPr>
        <w:t xml:space="preserve">投标文件有关事项的澄清或者说明</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评标过程中，评标委员会将</w:t>
      </w:r>
      <w:r>
        <w:rPr>
          <w:rFonts w:hint="eastAsia"/>
          <w:color w:val="000000"/>
          <w:sz w:val="24"/>
        </w:rPr>
        <w:t xml:space="preserve">通过“苏采云”政府采购一体化平台系统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rPr>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招标文件对于报价修正是否另有规定：</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u w:val="single"/>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■无，按下述2.4.2-2.4.7项规定修正。</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大写金额和小写金额不一致的，以大写金额为准；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firstLine="480"/>
        <w:jc w:val="left"/>
        <w:spacing w:line="360" w:lineRule="auto"/>
        <w:tabs>
          <w:tab w:val="left" w:pos="420" w:leader="none"/>
        </w:tabs>
        <w:rPr>
          <w:rFonts w:hint="eastAsia" w:ascii="宋体" w:hAnsi="宋体" w:cs="宋体"/>
          <w:sz w:val="24"/>
        </w:rPr>
      </w:pPr>
      <w:r>
        <w:rPr>
          <w:rFonts w:hint="eastAsia" w:ascii="宋体" w:hAnsi="宋体" w:cs="宋体"/>
          <w:color w:val="000000"/>
          <w:sz w:val="24"/>
        </w:rPr>
        <w:t xml:space="preserve">2.5落实政府采购政策的价格调整：</w:t>
      </w:r>
      <w:r>
        <w:rPr>
          <w:rFonts w:hint="eastAsia" w:ascii="宋体" w:hAnsi="宋体" w:cs="宋体"/>
          <w:sz w:val="24"/>
          <w:lang w:bidi="ar"/>
        </w:rPr>
        <w:t xml:space="preserve">只有符合第二章《投标人须知》5.2条规定情形的，可以享受中小企业扶持政策，用扣除后的价格参加评审；否则，评标时价格不予扣除。</w:t>
      </w:r>
      <w:r>
        <w:rPr>
          <w:rFonts w:hint="eastAsia" w:ascii="宋体" w:hAnsi="宋体" w:cs="宋体"/>
          <w:sz w:val="24"/>
        </w:rPr>
      </w:r>
      <w:r/>
    </w:p>
    <w:p>
      <w:pPr>
        <w:pStyle w:val="882"/>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   2.5.1对于未预留份额专门面向中小企业采购的采购项目，以及预留份额项目中的非预留部分采购包，对</w:t>
      </w:r>
      <w:r>
        <w:rPr>
          <w:rFonts w:hint="eastAsia" w:ascii="宋体" w:hAnsi="宋体" w:cs="宋体"/>
          <w:b/>
          <w:sz w:val="24"/>
          <w:lang w:bidi="ar"/>
        </w:rPr>
        <w:t xml:space="preserve">小微企业</w:t>
      </w:r>
      <w:r>
        <w:rPr>
          <w:rFonts w:hint="eastAsia" w:ascii="宋体" w:hAnsi="宋体" w:cs="宋体"/>
          <w:sz w:val="24"/>
          <w:lang w:bidi="ar"/>
        </w:rPr>
        <w:t xml:space="preserve">报价给予</w:t>
      </w:r>
      <w:r>
        <w:rPr>
          <w:rFonts w:hint="eastAsia" w:ascii="宋体" w:hAnsi="宋体" w:cs="宋体"/>
          <w:b/>
          <w:sz w:val="24"/>
          <w:lang w:bidi="ar"/>
        </w:rPr>
        <w:t xml:space="preserve">20%</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2.5.2对于未预留份额专门面向中小企业采购的采购项目，以及预留份额项目中的非预留部分采购包，且接受大中型企业与</w:t>
      </w:r>
      <w:r>
        <w:rPr>
          <w:rFonts w:hint="eastAsia" w:ascii="宋体" w:hAnsi="宋体" w:cs="宋体"/>
          <w:b/>
          <w:sz w:val="24"/>
          <w:lang w:bidi="ar"/>
        </w:rPr>
        <w:t xml:space="preserve">小微企业</w:t>
      </w:r>
      <w:r>
        <w:rPr>
          <w:rFonts w:hint="eastAsia" w:ascii="宋体" w:hAnsi="宋体" w:cs="宋体"/>
          <w:sz w:val="24"/>
          <w:lang w:bidi="ar"/>
        </w:rPr>
        <w:t xml:space="preserve">组成联合体或者允许大中型企业向一家或者多家</w:t>
      </w:r>
      <w:r>
        <w:rPr>
          <w:rFonts w:hint="eastAsia" w:ascii="宋体" w:hAnsi="宋体" w:cs="宋体"/>
          <w:b/>
          <w:sz w:val="24"/>
          <w:lang w:bidi="ar"/>
        </w:rPr>
        <w:t xml:space="preserve">小微企业</w:t>
      </w:r>
      <w:r>
        <w:rPr>
          <w:rFonts w:hint="eastAsia" w:ascii="宋体" w:hAnsi="宋体" w:cs="宋体"/>
          <w:sz w:val="24"/>
          <w:lang w:bidi="ar"/>
        </w:rPr>
        <w:t xml:space="preserve">分包的采购项目，对于联合协议或者分包意向协议约定</w:t>
      </w:r>
      <w:r>
        <w:rPr>
          <w:rFonts w:hint="eastAsia" w:ascii="宋体" w:hAnsi="宋体" w:cs="宋体"/>
          <w:b/>
          <w:sz w:val="24"/>
          <w:lang w:bidi="ar"/>
        </w:rPr>
        <w:t xml:space="preserve">小微企业</w:t>
      </w:r>
      <w:r>
        <w:rPr>
          <w:rFonts w:hint="eastAsia" w:ascii="宋体" w:hAnsi="宋体" w:cs="宋体"/>
          <w:sz w:val="24"/>
          <w:lang w:bidi="ar"/>
        </w:rPr>
        <w:t xml:space="preserve">的合同份额占到合同总金额 30%以上的联合体或者大中型企业的报价给予</w:t>
      </w:r>
      <w:r>
        <w:rPr>
          <w:rFonts w:hint="eastAsia" w:ascii="宋体" w:hAnsi="宋体" w:cs="宋体"/>
          <w:sz w:val="24"/>
          <w:u w:val="single"/>
          <w:lang w:bidi="ar"/>
        </w:rPr>
        <w:t xml:space="preserve">3</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2.5.3组成联合体或者接受分包的小微企业与联合体内其他企业、分包企业之间存在直接控股、管理关系的，不享受价格扣除优惠政策。</w:t>
      </w:r>
      <w:r>
        <w:rPr>
          <w:rFonts w:hint="eastAsia" w:ascii="宋体" w:hAnsi="宋体" w:cs="宋体"/>
          <w:sz w:val="24"/>
        </w:rPr>
      </w:r>
      <w:r/>
    </w:p>
    <w:p>
      <w:pPr>
        <w:pStyle w:val="882"/>
        <w:ind w:firstLine="480"/>
        <w:jc w:val="left"/>
        <w:spacing w:line="360" w:lineRule="auto"/>
        <w:tabs>
          <w:tab w:val="left" w:pos="6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2.5.4价格扣除比例对小型企业和微型企业同等对待，不作区分。</w:t>
      </w:r>
      <w:r>
        <w:rPr>
          <w:rFonts w:hint="eastAsia" w:ascii="宋体" w:hAnsi="宋体" w:cs="宋体"/>
          <w:sz w:val="24"/>
        </w:rPr>
      </w:r>
      <w:r/>
    </w:p>
    <w:p>
      <w:pPr>
        <w:pStyle w:val="882"/>
        <w:ind w:firstLine="480"/>
        <w:jc w:val="left"/>
        <w:spacing w:line="360" w:lineRule="auto"/>
        <w:tabs>
          <w:tab w:val="left" w:pos="640" w:leader="none"/>
          <w:tab w:val="left" w:pos="126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2.5.5中小企业参加政府采购活动，应当按照招标文件给定的格式出具《中小企业声明函》，否则不得享受相关中小企业扶持政策。</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2.5.7残疾人福利性单位按招标文件要求提供了《残疾人福利性单位声明函》（见附件）的，视同小微企业。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bidi="ar"/>
        </w:rPr>
      </w:pPr>
      <w:r>
        <w:rPr>
          <w:rFonts w:hint="eastAsia" w:ascii="宋体" w:hAnsi="宋体" w:cs="宋体"/>
          <w:sz w:val="24"/>
          <w:lang w:bidi="ar"/>
        </w:rPr>
        <w:t xml:space="preserve">2.5.8若投标人同时属于小型或微型企业、监狱企业、残疾人福利性单位中的两种及以上，将不重复享受小微企业价格扣减的优惠政策。</w:t>
      </w:r>
      <w:r>
        <w:rPr>
          <w:rFonts w:hint="eastAsia" w:ascii="宋体" w:hAnsi="宋体" w:cs="宋体"/>
          <w:sz w:val="24"/>
          <w:lang w:bidi="ar"/>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val="en-US" w:eastAsia="zh-CN" w:bidi="ar"/>
        </w:rPr>
      </w:pPr>
      <w:r>
        <w:rPr>
          <w:rFonts w:hint="eastAsia" w:ascii="宋体" w:hAnsi="宋体" w:cs="宋体"/>
          <w:sz w:val="24"/>
          <w:lang w:val="en-US" w:eastAsia="zh-CN" w:bidi="ar"/>
        </w:rPr>
        <w:t xml:space="preserve">2.6 采购本国产品的支持政策</w:t>
      </w:r>
      <w:r>
        <w:rPr>
          <w:rFonts w:hint="eastAsia" w:ascii="宋体" w:hAnsi="宋体" w:cs="宋体"/>
          <w:sz w:val="24"/>
          <w:lang w:val="en-US" w:eastAsia="zh-CN" w:bidi="ar"/>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2.6.1</w:t>
      </w:r>
      <w:r>
        <w:rPr>
          <w:rFonts w:hint="eastAsia" w:ascii="宋体" w:hAnsi="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2.6.2</w:t>
      </w: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w:t>
      </w:r>
      <w:r>
        <w:rPr>
          <w:rFonts w:hint="eastAsia" w:ascii="宋体" w:hAnsi="宋体"/>
          <w:color w:val="000000"/>
          <w:sz w:val="24"/>
          <w:highlight w:val="none"/>
        </w:rPr>
        <w:t xml:space="preserve">人需在“第七章 投标文件格式”的“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.投标分项报价表”中填写比例数值），依法对该投标</w:t>
      </w:r>
      <w:r>
        <w:rPr>
          <w:rFonts w:hint="eastAsia" w:ascii="宋体" w:hAnsi="宋体"/>
          <w:color w:val="000000"/>
          <w:sz w:val="24"/>
        </w:rPr>
        <w:t xml:space="preserve">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2.6.3</w:t>
      </w: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2.6.4</w:t>
      </w: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2.6.5</w:t>
      </w: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2.6.6</w:t>
      </w:r>
      <w:r>
        <w:rPr>
          <w:rFonts w:hint="eastAsia" w:ascii="宋体" w:hAnsi="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2.6.7</w:t>
      </w:r>
      <w:r>
        <w:rPr>
          <w:rFonts w:hint="eastAsia" w:ascii="宋体" w:hAnsi="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投标文件的比较和评价</w:t>
      </w:r>
      <w:bookmarkEnd w:id="614"/>
      <w:r/>
      <w:bookmarkEnd w:id="615"/>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评标方法和评标标准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本项目采用的评标方法为：</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rPr>
      </w:pPr>
      <w:r>
        <w:rPr>
          <w:rFonts w:hint="eastAsia" w:ascii="宋体" w:hAnsi="宋体" w:cs="宋体"/>
          <w:color w:val="000000"/>
          <w:sz w:val="24"/>
        </w:rPr>
        <w:t xml:space="preserve">■随机抽取</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  /  </w:t>
      </w:r>
      <w:r>
        <w:rPr>
          <w:rFonts w:ascii="宋体" w:hAnsi="宋体" w:cs="宋体"/>
          <w:color w:val="000000"/>
          <w:sz w:val="24"/>
          <w:u w:val="single"/>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确定</w:t>
      </w:r>
      <w:bookmarkStart w:id="630" w:name="_Toc127151747"/>
      <w:r/>
      <w:bookmarkStart w:id="631" w:name="_Toc150774751"/>
      <w:r/>
      <w:bookmarkStart w:id="632" w:name="_Toc164351640"/>
      <w:r/>
      <w:bookmarkStart w:id="633" w:name="_Toc127151546"/>
      <w:r/>
      <w:bookmarkStart w:id="634" w:name="_Toc151190173"/>
      <w:r/>
      <w:bookmarkStart w:id="635" w:name="_Toc151193716"/>
      <w:r/>
      <w:bookmarkStart w:id="636" w:name="_Toc150509297"/>
      <w:r/>
      <w:bookmarkStart w:id="637" w:name="_Toc226965819"/>
      <w:r/>
      <w:bookmarkStart w:id="638" w:name="_Toc264969236"/>
      <w:r/>
      <w:bookmarkStart w:id="639" w:name="_Toc151193934"/>
      <w:r/>
      <w:bookmarkStart w:id="640" w:name="_Toc265228384"/>
      <w:r/>
      <w:bookmarkStart w:id="641" w:name="_Toc164229387"/>
      <w:r/>
      <w:bookmarkStart w:id="642" w:name="_Toc127161460"/>
      <w:r/>
      <w:bookmarkStart w:id="643" w:name="_Toc164608815"/>
      <w:r/>
      <w:bookmarkStart w:id="644" w:name="_Toc195842911"/>
      <w:r/>
      <w:bookmarkStart w:id="645" w:name="_Toc151193788"/>
      <w:r/>
      <w:bookmarkStart w:id="646" w:name="_Ref467307010"/>
      <w:r/>
      <w:bookmarkStart w:id="647" w:name="_Toc305158814"/>
      <w:r/>
      <w:bookmarkStart w:id="648" w:name="_Toc226965736"/>
      <w:r/>
      <w:bookmarkStart w:id="649" w:name="_Toc142311048"/>
      <w:r/>
      <w:bookmarkStart w:id="650" w:name="_Toc151193860"/>
      <w:r/>
      <w:bookmarkStart w:id="651" w:name="_Toc150480784"/>
      <w:r/>
      <w:bookmarkStart w:id="652" w:name="_Toc226337242"/>
      <w:r/>
      <w:bookmarkStart w:id="653" w:name="_Toc164608660"/>
      <w:r/>
      <w:bookmarkStart w:id="654" w:name="_Toc150774646"/>
      <w:r/>
      <w:bookmarkStart w:id="655" w:name="_Toc305158888"/>
      <w:r/>
      <w:bookmarkStart w:id="656" w:name="_Toc226309790"/>
      <w:r/>
      <w:bookmarkStart w:id="657" w:name="_Toc164229241"/>
      <w:r/>
      <w:bookmarkStart w:id="658" w:name="_Toc520356170"/>
      <w:r/>
      <w:bookmarkStart w:id="659" w:name="_Toc151193644"/>
      <w:r/>
      <w:bookmarkStart w:id="660" w:name="_Toc149720839"/>
      <w:r>
        <w:rPr>
          <w:rFonts w:hint="eastAsia" w:ascii="宋体" w:hAnsi="宋体" w:cs="宋体"/>
          <w:color w:val="000000"/>
          <w:sz w:val="24"/>
        </w:rPr>
        <w:t xml:space="preserve">中标候选人名单</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w:t>
      </w:r>
      <w:r>
        <w:rPr>
          <w:rFonts w:hint="eastAsia" w:ascii="宋体" w:hAnsi="宋体" w:cs="宋体"/>
          <w:b/>
          <w:bCs/>
          <w:color w:val="000000"/>
          <w:sz w:val="24"/>
          <w:highlight w:val="none"/>
          <w:lang w:val="en-US" w:eastAsia="zh-CN"/>
        </w:rPr>
        <w:t xml:space="preserve">单一产品或</w:t>
      </w:r>
      <w:r>
        <w:rPr>
          <w:rFonts w:hint="eastAsia" w:ascii="宋体" w:hAnsi="宋体" w:cs="宋体"/>
          <w:b/>
          <w:bCs/>
          <w:color w:val="000000"/>
          <w:sz w:val="24"/>
          <w:highlight w:val="none"/>
        </w:rPr>
        <w:t xml:space="preserve">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b/>
          <w:bCs/>
          <w:color w:val="000000"/>
          <w:sz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ff0000"/>
          <w:sz w:val="24"/>
          <w:highlight w:val="none"/>
        </w:rPr>
      </w:pPr>
      <w:r>
        <w:rPr>
          <w:rFonts w:hint="eastAsia" w:ascii="宋体" w:hAnsi="宋体" w:cs="宋体"/>
          <w:color w:val="000000"/>
          <w:sz w:val="24"/>
          <w:highlight w:val="none"/>
        </w:rPr>
        <w:t xml:space="preserve">采用综合评分法时，由评标</w:t>
      </w:r>
      <w:r>
        <w:rPr>
          <w:rFonts w:hint="eastAsia" w:ascii="宋体" w:hAnsi="宋体" w:cs="宋体"/>
          <w:color w:val="000000"/>
          <w:sz w:val="24"/>
          <w:highlight w:val="none"/>
        </w:rPr>
        <w:t xml:space="preserve">委员会对所有有效投标文件进行详细的评分，采用百分制计分方法。评标时</w:t>
      </w:r>
      <w:r>
        <w:rPr>
          <w:rFonts w:hint="eastAsia" w:ascii="宋体" w:hAnsi="宋体" w:cs="宋体"/>
          <w:color w:val="000000"/>
          <w:sz w:val="24"/>
          <w:highlight w:val="none"/>
        </w:rPr>
        <w:t xml:space="preserve">，评标委员会各成员遵循公平、公正、择优原则，独立对每个有效投标人的响应文件进行评价、打分，各个投标人的最终得分为汇总计算所有评标小组成员所评定分值的平均值。评标委员会将根据各投标人的评审排序以及公开招标文件中关于成交候选人的相关规定，确定成交候选人名单，按照评审得分由高到低顺序推荐成交候选人的排名顺序。评审得分相同的，按照最终报价由低到高的顺序推荐。评审得分且投标报价相同的，按照技术指标优劣顺序推荐。投标文件满足公开招标文件全部实质性要求，且按照评审因素的量化指标评审得分最高的投标人为排名第一的成交候选人。</w:t>
      </w:r>
      <w:r>
        <w:rPr>
          <w:rFonts w:hAnsi="宋体"/>
          <w:color w:val="000000"/>
          <w:sz w:val="24"/>
        </w:rPr>
        <w:t xml:space="preserve">评分分值计算保留小数点后两位，第三位四舍五入。</w:t>
      </w:r>
      <w:r>
        <w:rPr>
          <w:rFonts w:ascii="宋体" w:hAnsi="宋体" w:cs="宋体"/>
          <w:b/>
          <w:bCs/>
          <w:color w:val="ff0000"/>
          <w:sz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评标委员会要对评分汇总情况进行复核，特别是对排名第一的、报价最低的、投标文件被认定为无效的情形进行重点复核。</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ascii="宋体" w:hAnsi="宋体" w:cs="宋体"/>
          <w:color w:val="000000"/>
          <w:sz w:val="24"/>
          <w:highlight w:val="none"/>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报告违法行为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w:t>
      </w:r>
      <w:r>
        <w:rPr>
          <w:color w:val="000000"/>
          <w:sz w:val="24"/>
        </w:rPr>
        <w:t xml:space="preserve">采购人</w:t>
      </w:r>
      <w:r>
        <w:rPr>
          <w:rFonts w:hint="eastAsia" w:ascii="宋体" w:hAnsi="宋体" w:cs="宋体"/>
          <w:color w:val="000000"/>
          <w:sz w:val="24"/>
        </w:rPr>
        <w:t xml:space="preserve">、采购代理机构或者有关部门报告的职责。</w:t>
      </w:r>
      <w:r>
        <w:rPr>
          <w:rFonts w:ascii="宋体" w:hAnsi="宋体" w:cs="宋体"/>
          <w:color w:val="000000"/>
          <w:sz w:val="24"/>
        </w:rPr>
      </w:r>
      <w:r/>
    </w:p>
    <w:p>
      <w:pPr>
        <w:pStyle w:val="882"/>
        <w:numPr>
          <w:ilvl w:val="0"/>
          <w:numId w:val="13"/>
        </w:numPr>
        <w:jc w:val="center"/>
        <w:spacing w:line="360" w:lineRule="auto"/>
        <w:widowControl/>
        <w:rPr>
          <w:rFonts w:hint="eastAsia" w:ascii="宋体" w:hAnsi="宋体"/>
          <w:b/>
          <w:bCs/>
          <w:color w:val="000000"/>
          <w:sz w:val="28"/>
          <w:szCs w:val="28"/>
        </w:rPr>
      </w:pPr>
      <w:r>
        <w:rPr>
          <w:rFonts w:hint="eastAsia" w:ascii="宋体" w:hAnsi="宋体" w:cs="宋体"/>
          <w:b/>
          <w:color w:val="000000"/>
          <w:sz w:val="24"/>
        </w:rPr>
        <w:br w:type="page" w:clear="all"/>
      </w:r>
      <w:r>
        <w:rPr>
          <w:rFonts w:hint="eastAsia" w:ascii="宋体" w:hAnsi="宋体"/>
          <w:b/>
          <w:bCs/>
          <w:color w:val="000000"/>
          <w:sz w:val="28"/>
          <w:szCs w:val="28"/>
        </w:rPr>
        <w:t xml:space="preserve">评标标准</w:t>
      </w:r>
      <w:r>
        <w:rPr>
          <w:rFonts w:hint="eastAsia" w:ascii="宋体" w:hAnsi="宋体"/>
          <w:b/>
          <w:bCs/>
          <w:color w:val="000000"/>
          <w:sz w:val="28"/>
          <w:szCs w:val="28"/>
        </w:rPr>
      </w:r>
      <w:r/>
    </w:p>
    <w:tbl>
      <w:tblPr>
        <w:tblW w:w="5305" w:type="pct"/>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520"/>
        <w:gridCol w:w="720"/>
        <w:gridCol w:w="4750"/>
        <w:gridCol w:w="2240"/>
      </w:tblGrid>
      <w:tr>
        <w:trPr>
          <w:tblHeader/>
        </w:trPr>
        <w:tc>
          <w:tcPr>
            <w:tcW w:w="317"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771"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365"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409"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136" w:type="dxa"/>
            <w:vAlign w:val="center"/>
            <w:textDirection w:val="lrTb"/>
            <w:noWrap w:val="false"/>
          </w:tcPr>
          <w:p>
            <w:pPr>
              <w:pStyle w:val="1288"/>
              <w:spacing w:before="0" w:after="0" w:line="240" w:lineRule="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此处投标报价指经过报价修正，及因落实政府采购政策进行价格调整后的报价，详见第四章《评标方法和评标标准》2.4及2.5。</w:t>
            </w: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供货安装</w:t>
            </w:r>
            <w:r>
              <w:rPr>
                <w:rFonts w:hint="eastAsia" w:ascii="宋体" w:hAnsi="宋体" w:cs="宋体"/>
                <w:sz w:val="24"/>
                <w:highlight w:val="none"/>
                <w:lang w:val="en-US" w:eastAsia="zh-CN"/>
              </w:rPr>
            </w:r>
            <w:r/>
          </w:p>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调试方案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2409" w:type="dxa"/>
            <w:vAlign w:val="center"/>
            <w:textDirection w:val="lrTb"/>
            <w:noWrap w:val="false"/>
          </w:tcPr>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lang w:val="en-US" w:eastAsia="zh-CN"/>
              </w:rPr>
              <w:t xml:space="preserve">依据</w:t>
            </w:r>
            <w:r>
              <w:rPr>
                <w:rFonts w:hint="eastAsia" w:ascii="宋体" w:hAnsi="宋体" w:cs="宋体"/>
                <w:sz w:val="24"/>
                <w:highlight w:val="none"/>
              </w:rPr>
              <w:t xml:space="preserve">投标人提供契合本项目实际需求的供货及安装调试方案，涵盖供货组织计划、现场安装实施流程、设备系统调试规范、验收交付标准等核心内容</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方案全面周到、内容详实具体，实施流程清晰可落地，可全面保障项目供货与安装调试工作高效有序推进的得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方案内容较为全面，具备明确的供货安排与安装调试步骤，可行性较强，基本满足项目实施要求的得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方案内容简单、可行性较弱、存在一定遗漏的得6分；</w:t>
            </w:r>
            <w:r>
              <w:rPr>
                <w:rFonts w:hint="eastAsia" w:ascii="宋体" w:hAnsi="宋体" w:cs="宋体"/>
                <w:sz w:val="24"/>
                <w:highlight w:val="none"/>
                <w:lang w:val="en-US" w:eastAsia="zh-CN"/>
              </w:rPr>
            </w:r>
            <w:r/>
          </w:p>
          <w:p>
            <w:pPr>
              <w:pStyle w:val="882"/>
              <w:numPr>
                <w:ilvl w:val="0"/>
                <w:numId w:val="0"/>
              </w:numPr>
              <w:rPr>
                <w:rFonts w:hint="eastAsia" w:ascii="宋体" w:hAnsi="宋体" w:cs="宋体"/>
                <w:sz w:val="24"/>
                <w:highlight w:val="none"/>
                <w:lang w:eastAsia="zh-CN"/>
              </w:rPr>
            </w:pPr>
            <w:r>
              <w:rPr>
                <w:rFonts w:hint="eastAsia" w:ascii="宋体" w:hAnsi="宋体" w:cs="宋体"/>
                <w:sz w:val="24"/>
                <w:highlight w:val="none"/>
              </w:rPr>
              <w:t xml:space="preserve">方案</w:t>
            </w:r>
            <w:r>
              <w:rPr>
                <w:rFonts w:hint="eastAsia" w:ascii="宋体" w:hAnsi="宋体" w:cs="宋体"/>
                <w:sz w:val="24"/>
                <w:highlight w:val="none"/>
                <w:lang w:val="en-US" w:eastAsia="zh-CN"/>
              </w:rPr>
              <w:t xml:space="preserve">残缺不全、无法保障项目正常供货，安装调试不符合项目实际的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882"/>
              <w:numPr>
                <w:ilvl w:val="0"/>
                <w:numId w:val="0"/>
              </w:numPr>
              <w:rPr>
                <w:rFonts w:ascii="宋体" w:hAnsi="宋体" w:cs="宋体"/>
                <w:sz w:val="24"/>
                <w:highlight w:val="none"/>
                <w:lang w:val="en-US" w:eastAsia="zh-CN"/>
              </w:rPr>
            </w:pPr>
            <w:r>
              <w:rPr>
                <w:rFonts w:hint="eastAsia" w:ascii="宋体" w:hAnsi="宋体" w:cs="宋体"/>
                <w:sz w:val="24"/>
                <w:highlight w:val="none"/>
                <w:lang w:val="en-US" w:eastAsia="zh-CN"/>
              </w:rPr>
              <w:t xml:space="preserve">不提供的不得分。</w:t>
            </w:r>
            <w:r>
              <w:rPr>
                <w:rFonts w:ascii="宋体" w:hAnsi="宋体" w:cs="宋体"/>
                <w:sz w:val="24"/>
                <w:highlight w:val="none"/>
                <w:lang w:val="en-US" w:eastAsia="zh-CN"/>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1041"/>
        </w:trPr>
        <w:tc>
          <w:tcPr>
            <w:tcW w:w="317"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771" w:type="dxa"/>
            <w:vAlign w:val="center"/>
            <w:textDirection w:val="lrTb"/>
            <w:noWrap w:val="false"/>
          </w:tcPr>
          <w:p>
            <w:pPr>
              <w:pStyle w:val="882"/>
              <w:ind w:firstLine="2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10</w:t>
            </w:r>
            <w:r>
              <w:rPr>
                <w:rFonts w:ascii="宋体" w:hAnsi="宋体" w:eastAsia="宋体" w:cs="宋体"/>
                <w:bCs/>
                <w:sz w:val="24"/>
                <w:szCs w:val="24"/>
                <w:highlight w:val="none"/>
                <w:lang w:val="en-US" w:eastAsia="zh-CN" w:bidi="ar-SA"/>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依据投标人提供的售后服务方案，围绕服务体系、服务内容、</w:t>
            </w:r>
            <w:r>
              <w:rPr>
                <w:rFonts w:ascii="宋体" w:hAnsi="宋体" w:eastAsia="宋体" w:cs="宋体"/>
                <w:sz w:val="24"/>
                <w:szCs w:val="24"/>
                <w:highlight w:val="none"/>
              </w:rPr>
              <w:t xml:space="preserve">故障解决方案</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rPr>
              <w:t xml:space="preserve">专业技术人员保障及</w:t>
            </w:r>
            <w:r>
              <w:rPr>
                <w:rFonts w:hint="eastAsia" w:ascii="宋体" w:hAnsi="宋体" w:eastAsia="宋体" w:cs="宋体"/>
                <w:sz w:val="24"/>
                <w:szCs w:val="24"/>
                <w:highlight w:val="none"/>
                <w:lang w:val="en-US" w:eastAsia="zh-CN" w:bidi="ar-SA"/>
              </w:rPr>
              <w:t xml:space="preserve">服务响应时效等核心维度进行综合评审。</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方案服务体系完整、内容详实周全，服务流程清晰可落地，人员、时效、质量等保障措施完备有力的得</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方案具备明确的服务内容与执行机制，可行性较强，满足项目要求</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方案内容简单、基本满足项目要求的得6分；</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方案具备相关基础内容，但覆盖维度不全、实施细节不足，实际可行性较弱，存在明显欠缺</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8</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依据投标人提供契合项目实际需求的故障维修及应急保障方案，包含具体可行的故障维修处置流程、完备的应急预案制度、突发故障人员保障机制等核心措施</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方案全面周到、内容详实具体，处置流程清晰可落地，配套措施完备有力，可全面覆盖项目各类故障处置与应急保障需求</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方案内容较为全面，具备明确的处置流程与应急安排，可行性较强，满足项目保障要求</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方案内容简单、可行性一般、基本满足项目要求的得4分；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w:t>
            </w:r>
            <w:r>
              <w:rPr>
                <w:rFonts w:hint="eastAsia" w:ascii="宋体" w:hAnsi="宋体" w:cs="宋体"/>
                <w:sz w:val="24"/>
                <w:szCs w:val="24"/>
                <w:highlight w:val="none"/>
                <w:lang w:val="en-US" w:eastAsia="zh-CN" w:bidi="ar-SA"/>
              </w:rPr>
              <w:t xml:space="preserve">保障措施</w:t>
            </w:r>
            <w:r>
              <w:rPr>
                <w:rFonts w:hint="eastAsia" w:ascii="宋体" w:hAnsi="宋体" w:eastAsia="宋体" w:cs="宋体"/>
                <w:sz w:val="24"/>
                <w:szCs w:val="24"/>
                <w:highlight w:val="none"/>
                <w:lang w:val="en-US" w:eastAsia="zh-CN" w:bidi="ar-SA"/>
              </w:rPr>
              <w:t xml:space="preserve">不全、</w:t>
            </w:r>
            <w:r>
              <w:rPr>
                <w:rFonts w:hint="eastAsia" w:ascii="宋体" w:hAnsi="宋体" w:cs="宋体"/>
                <w:sz w:val="24"/>
                <w:szCs w:val="24"/>
                <w:highlight w:val="none"/>
                <w:lang w:val="en-US" w:eastAsia="zh-CN" w:bidi="ar-SA"/>
              </w:rPr>
              <w:t xml:space="preserve">应急预案</w:t>
            </w:r>
            <w:r>
              <w:rPr>
                <w:rFonts w:hint="eastAsia" w:ascii="宋体" w:hAnsi="宋体" w:eastAsia="宋体" w:cs="宋体"/>
                <w:sz w:val="24"/>
                <w:szCs w:val="24"/>
                <w:highlight w:val="none"/>
                <w:lang w:val="en-US" w:eastAsia="zh-CN" w:bidi="ar-SA"/>
              </w:rPr>
              <w:t xml:space="preserve">不足，实际可行性较弱</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依据投标人结合本项目实际情况，提供详细完整的专项培训方案，方案内容应至少包含培训核心内容、培训实施计划、培训场地环境与配套教材等核心模块进行综合评审。</w:t>
            </w:r>
            <w:r>
              <w:rPr>
                <w:rFonts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方案覆盖周全、内容详细，实操导向明确，可直接落地执行，能确保参训人员全面掌握设备操作、规范安检与基础运维能力的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ascii="宋体" w:hAnsi="宋体" w:eastAsia="宋体" w:cs="宋体"/>
                <w:sz w:val="24"/>
                <w:szCs w:val="24"/>
                <w:highlight w:val="none"/>
              </w:rPr>
              <w:t xml:space="preserve">分</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方案覆盖较为全面，有明确的培训安排与内容框架，具备一定实操性，可满足项目基础培训与上岗需求的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5分；</w:t>
            </w:r>
            <w:r>
              <w:rPr>
                <w:rFonts w:ascii="宋体" w:hAnsi="宋体" w:eastAsia="宋体" w:cs="宋体"/>
                <w:sz w:val="24"/>
                <w:szCs w:val="24"/>
                <w:highlight w:val="none"/>
              </w:rPr>
              <w:t xml:space="preserve"> </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方案内容简单、基本满足项目要求的得3分；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方案仅涉及基础培训内容，必备要素缺失较多，内容偏于笼统，与项目实际场景结合不足，落地执行性偏弱的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1分。</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327"/>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w:t>
            </w:r>
            <w:r>
              <w:rPr>
                <w:rFonts w:ascii="宋体" w:hAnsi="宋体" w:eastAsia="宋体" w:cs="宋体"/>
                <w:sz w:val="24"/>
                <w:szCs w:val="24"/>
                <w:highlight w:val="none"/>
                <w:lang w:val="en-US" w:eastAsia="zh-CN" w:bidi="ar-SA"/>
              </w:rPr>
            </w:r>
            <w:r/>
          </w:p>
        </w:tc>
        <w:tc>
          <w:tcPr>
            <w:tcW w:w="2409" w:type="dxa"/>
            <w:vAlign w:val="center"/>
            <w:textDirection w:val="lrTb"/>
            <w:noWrap w:val="false"/>
          </w:tcPr>
          <w:p>
            <w:pPr>
              <w:pStyle w:val="882"/>
              <w:numPr>
                <w:ilvl w:val="0"/>
                <w:numId w:val="0"/>
              </w:numPr>
              <w:rPr>
                <w:rFonts w:ascii="宋体" w:hAnsi="宋体" w:eastAsia="宋体" w:cs="宋体"/>
                <w:sz w:val="24"/>
                <w:szCs w:val="24"/>
                <w:highlight w:val="none"/>
                <w:lang w:val="en-US" w:eastAsia="zh-CN" w:bidi="ar-SA"/>
              </w:rPr>
            </w:pPr>
            <w:r>
              <w:rPr>
                <w:rFonts w:hint="eastAsia" w:ascii="宋体" w:hAnsi="宋体" w:cs="宋体"/>
                <w:b w:val="0"/>
                <w:bCs w:val="0"/>
                <w:color w:val="000000"/>
                <w:sz w:val="24"/>
                <w:highlight w:val="none"/>
              </w:rPr>
              <w:t xml:space="preserve">技术参数、性能等符合性比较（</w:t>
            </w:r>
            <w:r>
              <w:rPr>
                <w:rFonts w:hint="eastAsia" w:ascii="宋体" w:hAnsi="宋体" w:cs="宋体"/>
                <w:b w:val="0"/>
                <w:bCs w:val="0"/>
                <w:color w:val="000000"/>
                <w:sz w:val="24"/>
                <w:highlight w:val="none"/>
                <w:lang w:val="en-US" w:eastAsia="zh-CN"/>
              </w:rPr>
              <w:t xml:space="preserve">24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t xml:space="preserve">所投设备技术参数、功能、性能等应最大限度地满足招标文件的要求；打“▲”的为重要指标，出现一个负偏离扣</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分；其他指标出现负偏离，每一个扣</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分；扣完为止。</w:t>
            </w:r>
            <w:r>
              <w:rPr>
                <w:rFonts w:hint="eastAsia" w:ascii="宋体" w:hAnsi="宋体" w:cs="宋体"/>
                <w:b/>
                <w:bCs/>
                <w:color w:val="000000"/>
                <w:sz w:val="24"/>
                <w:highlight w:val="none"/>
              </w:rPr>
              <w:t xml:space="preserve">投标文件中提供相关证明材料（非重要技术要求可提供不限于产品彩页或技术说明书或厂家官网功能截图或检测报告等。对于重要技术要求，投标人需提供体现该项要求内容的</w:t>
            </w:r>
            <w:r>
              <w:rPr>
                <w:rFonts w:hint="eastAsia" w:ascii="宋体" w:hAnsi="宋体" w:eastAsia="宋体" w:cs="宋体"/>
                <w:b/>
                <w:bCs/>
                <w:color w:val="000000"/>
                <w:sz w:val="24"/>
                <w:highlight w:val="none"/>
                <w:lang w:val="en-US" w:eastAsia="zh-CN"/>
              </w:rPr>
              <w:t xml:space="preserve">第三方权威检测机构出具的具有CMA或CNAS认证的检测报告复印件并加盖制造商公章。</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投标人须对照招标文件技术参数要求逐条列出并对比。项目验收时采购人将逐条验证技术指标，如发现投标人虚假应标，采购人无条件退货并上报相关政府采购部门处理。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eastAsia="宋体" w:cs="宋体"/>
                <w:sz w:val="24"/>
                <w:highlight w:val="none"/>
                <w:lang w:bidi="ar"/>
              </w:rPr>
            </w:pPr>
            <w:r>
              <w:rPr>
                <w:rFonts w:hint="eastAsia" w:ascii="宋体" w:hAnsi="宋体" w:cs="宋体"/>
                <w:sz w:val="24"/>
                <w:highlight w:val="none"/>
                <w:lang w:val="en-US" w:eastAsia="zh-CN"/>
              </w:rPr>
              <w:t xml:space="preserve">提供2023年7月1日至今，</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或所投设备制造商有过</w:t>
            </w:r>
            <w:r>
              <w:rPr>
                <w:rFonts w:hint="eastAsia" w:ascii="宋体" w:hAnsi="宋体" w:cs="宋体"/>
                <w:sz w:val="24"/>
                <w:highlight w:val="none"/>
                <w:lang w:val="en-US" w:eastAsia="zh-CN" w:bidi="ar"/>
              </w:rPr>
              <w:t xml:space="preserve">A3级</w:t>
            </w:r>
            <w:r>
              <w:rPr>
                <w:rFonts w:hint="eastAsia" w:ascii="宋体" w:hAnsi="宋体" w:eastAsia="宋体" w:cs="宋体"/>
                <w:sz w:val="24"/>
                <w:highlight w:val="none"/>
                <w:lang w:bidi="ar"/>
              </w:rPr>
              <w:t xml:space="preserve">毫米波人体成像安全检查设备销售业绩，每提供一份得</w:t>
            </w:r>
            <w:r>
              <w:rPr>
                <w:rFonts w:hint="eastAsia" w:ascii="宋体" w:hAnsi="宋体" w:cs="宋体"/>
                <w:sz w:val="24"/>
                <w:highlight w:val="none"/>
                <w:lang w:val="en-US" w:eastAsia="zh-CN" w:bidi="ar"/>
              </w:rPr>
              <w:t xml:space="preserve">2</w:t>
            </w:r>
            <w:r>
              <w:rPr>
                <w:rFonts w:hint="eastAsia" w:ascii="宋体" w:hAnsi="宋体" w:eastAsia="宋体" w:cs="宋体"/>
                <w:sz w:val="24"/>
                <w:highlight w:val="none"/>
                <w:lang w:bidi="ar"/>
              </w:rPr>
              <w:t xml:space="preserve">分，最高</w:t>
            </w:r>
            <w:r>
              <w:rPr>
                <w:rFonts w:hint="eastAsia" w:ascii="宋体" w:hAnsi="宋体" w:eastAsia="宋体" w:cs="宋体"/>
                <w:sz w:val="24"/>
                <w:highlight w:val="none"/>
                <w:lang w:val="en-US" w:eastAsia="zh-CN" w:bidi="ar"/>
              </w:rPr>
              <w:t xml:space="preserve">得</w:t>
            </w:r>
            <w:r>
              <w:rPr>
                <w:rFonts w:hint="eastAsia" w:ascii="宋体" w:hAnsi="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bidi="ar"/>
              </w:rPr>
            </w:r>
            <w:r/>
          </w:p>
        </w:tc>
        <w:tc>
          <w:tcPr>
            <w:tcW w:w="1136" w:type="dxa"/>
            <w:vAlign w:val="center"/>
            <w:textDirection w:val="lrTb"/>
            <w:noWrap w:val="false"/>
          </w:tcPr>
          <w:p>
            <w:pPr>
              <w:pStyle w:val="882"/>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投标文件中提供合同复印件，合同内容完整，签字盖章齐全且清晰可见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并加盖投标人公章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3.3</w:t>
            </w:r>
            <w:r>
              <w:rPr>
                <w:rFonts w:ascii="宋体" w:hAnsi="宋体" w:eastAsia="宋体" w:cs="宋体"/>
                <w:sz w:val="24"/>
                <w:highlight w:val="none"/>
                <w:lang w:val="en-US" w:eastAsia="zh-CN"/>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综合实力</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w:t>
            </w:r>
            <w:r>
              <w:rPr>
                <w:rFonts w:hint="eastAsia" w:ascii="宋体" w:hAnsi="宋体" w:cs="宋体"/>
                <w:sz w:val="24"/>
                <w:highlight w:val="none"/>
              </w:rPr>
              <w:t xml:space="preserve">具有有效期内的质量管理体系认证证书、环境管理体系认证证书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职业健康安全管理体系认证证书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有一项得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投标文件中提供证书复印件</w:t>
            </w:r>
            <w:r>
              <w:rPr>
                <w:rFonts w:hint="eastAsia" w:ascii="宋体" w:hAnsi="宋体" w:cs="宋体"/>
                <w:sz w:val="24"/>
                <w:highlight w:val="none"/>
                <w:lang w:val="en-US" w:eastAsia="zh-CN"/>
              </w:rPr>
              <w:t xml:space="preserve">并加盖投标人公章。</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质保期</w:t>
            </w:r>
            <w:r>
              <w:rPr>
                <w:rFonts w:ascii="宋体" w:hAnsi="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2409"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lang w:val="en-US" w:eastAsia="zh-CN"/>
              </w:rPr>
              <w:t xml:space="preserve">本项目</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为3年，满足</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不得分</w:t>
            </w:r>
            <w:r>
              <w:rPr>
                <w:rFonts w:ascii="宋体" w:hAnsi="宋体" w:cs="宋体"/>
                <w:sz w:val="24"/>
                <w:highlight w:val="none"/>
                <w:lang w:val="en-US" w:eastAsia="zh-CN"/>
              </w:rPr>
              <w:t xml:space="preserve">，投标人在基础质保年限外，每增加1年质保得1分，最高加至</w:t>
            </w: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分。</w:t>
            </w:r>
            <w:r>
              <w:rPr>
                <w:rFonts w:ascii="宋体" w:hAnsi="宋体" w:cs="宋体"/>
                <w:sz w:val="24"/>
                <w:highlight w:val="none"/>
              </w:rPr>
            </w:r>
            <w:r/>
          </w:p>
        </w:tc>
        <w:tc>
          <w:tcPr>
            <w:tcW w:w="1136"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投标文件中提供质保承诺函加盖</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公章。</w:t>
            </w:r>
            <w:r>
              <w:rPr>
                <w:rFonts w:ascii="宋体" w:hAnsi="宋体" w:cs="宋体"/>
                <w:sz w:val="24"/>
                <w:highlight w:val="none"/>
              </w:rPr>
            </w:r>
            <w:r/>
          </w:p>
        </w:tc>
      </w:tr>
      <w:tr>
        <w:trPr>
          <w:trHeight w:val="599"/>
        </w:trPr>
        <w:tc>
          <w:tcPr>
            <w:gridSpan w:val="2"/>
            <w:tcW w:w="2144"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365"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990"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bl>
    <w:p>
      <w:pPr>
        <w:pStyle w:val="882"/>
        <w:jc w:val="center"/>
        <w:spacing w:line="360" w:lineRule="auto"/>
        <w:rPr>
          <w:b/>
          <w:color w:val="000000"/>
          <w:sz w:val="36"/>
          <w:szCs w:val="36"/>
        </w:rPr>
        <w:outlineLvl w:val="0"/>
      </w:pPr>
      <w:r/>
      <w:bookmarkStart w:id="661" w:name="_Toc14891"/>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t xml:space="preserve">第五章   采购需求</w:t>
      </w:r>
      <w:bookmarkEnd w:id="661"/>
      <w:r>
        <w:rPr>
          <w:b/>
          <w:color w:val="000000"/>
          <w:sz w:val="36"/>
          <w:szCs w:val="36"/>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lang w:val="en-US" w:eastAsia="zh-CN"/>
        </w:rPr>
        <w:t xml:space="preserve">一、</w:t>
      </w:r>
      <w:r>
        <w:rPr>
          <w:rFonts w:hint="eastAsia" w:ascii="宋体" w:hAnsi="宋体" w:cs="宋体"/>
          <w:b/>
          <w:color w:val="000000"/>
          <w:sz w:val="24"/>
        </w:rPr>
        <w:t xml:space="preserve">采购标的</w:t>
      </w:r>
      <w:r>
        <w:rPr>
          <w:rFonts w:ascii="宋体" w:hAnsi="宋体" w:cs="宋体"/>
          <w:b/>
          <w:color w:val="000000"/>
          <w:sz w:val="24"/>
        </w:rPr>
      </w:r>
      <w:r/>
    </w:p>
    <w:p>
      <w:pPr>
        <w:pStyle w:val="882"/>
        <w:contextualSpacing/>
        <w:ind w:firstLine="480"/>
        <w:spacing w:line="400" w:lineRule="exact"/>
        <w:rPr>
          <w:rFonts w:hint="eastAsia" w:ascii="宋体" w:hAnsi="宋体" w:cs="宋体"/>
          <w:bCs/>
          <w:sz w:val="24"/>
          <w:highlight w:val="none"/>
        </w:rPr>
      </w:pPr>
      <w:r/>
      <w:bookmarkStart w:id="662" w:name="_Toc5874"/>
      <w:r>
        <w:rPr>
          <w:rFonts w:hint="eastAsia" w:ascii="宋体" w:hAnsi="宋体" w:cs="宋体"/>
          <w:bCs/>
          <w:sz w:val="24"/>
          <w:highlight w:val="none"/>
        </w:rPr>
        <w:t xml:space="preserve">1.采购标的</w:t>
      </w:r>
      <w:r>
        <w:rPr>
          <w:rFonts w:hint="eastAsia" w:ascii="宋体" w:hAnsi="宋体" w:cs="宋体"/>
          <w:bCs/>
          <w:sz w:val="24"/>
          <w:highlight w:val="none"/>
        </w:rPr>
      </w:r>
      <w:r/>
    </w:p>
    <w:tbl>
      <w:tblPr>
        <w:tblStyle w:val="933"/>
        <w:tblW w:w="43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3693"/>
        <w:gridCol w:w="1061"/>
        <w:gridCol w:w="1204"/>
        <w:gridCol w:w="1275"/>
      </w:tblGrid>
      <w:tr>
        <w:trPr>
          <w:trHeight w:val="525"/>
        </w:trPr>
        <w:tc>
          <w:tcPr>
            <w:tcW w:w="505"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序号</w:t>
            </w:r>
            <w:r>
              <w:rPr>
                <w:rFonts w:hint="eastAsia" w:ascii="宋体" w:hAnsi="宋体" w:eastAsia="宋体" w:cs="宋体"/>
                <w:b/>
                <w:bCs/>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名称</w:t>
            </w:r>
            <w:r>
              <w:rPr>
                <w:rFonts w:hint="eastAsia" w:ascii="宋体" w:hAnsi="宋体" w:eastAsia="宋体" w:cs="宋体"/>
                <w:b/>
                <w:bCs/>
                <w:sz w:val="24"/>
                <w:highlight w:val="none"/>
                <w:vertAlign w:val="baseline"/>
                <w:lang w:val="en-US" w:eastAsia="zh-CN"/>
              </w:rPr>
            </w:r>
            <w:r/>
          </w:p>
        </w:tc>
        <w:tc>
          <w:tcPr>
            <w:tcW w:w="659"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单位</w:t>
            </w:r>
            <w:r>
              <w:rPr>
                <w:rFonts w:hint="eastAsia" w:ascii="宋体" w:hAnsi="宋体" w:eastAsia="宋体" w:cs="宋体"/>
                <w:b/>
                <w:bCs/>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数量</w:t>
            </w:r>
            <w:r>
              <w:rPr>
                <w:rFonts w:hint="eastAsia" w:ascii="宋体" w:hAnsi="宋体" w:eastAsia="宋体" w:cs="宋体"/>
                <w:b/>
                <w:bCs/>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备注</w:t>
            </w:r>
            <w:r>
              <w:rPr>
                <w:rFonts w:hint="eastAsia" w:ascii="宋体" w:hAnsi="宋体" w:eastAsia="宋体" w:cs="宋体"/>
                <w:b/>
                <w:bCs/>
                <w:sz w:val="24"/>
                <w:highlight w:val="none"/>
                <w:vertAlign w:val="baseline"/>
                <w:lang w:val="en-US" w:eastAsia="zh-CN"/>
              </w:rPr>
            </w:r>
            <w:r/>
          </w:p>
        </w:tc>
      </w:tr>
      <w:tr>
        <w:trPr>
          <w:trHeight w:val="610"/>
        </w:trPr>
        <w:tc>
          <w:tcPr>
            <w:tcW w:w="505"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color w:val="000000"/>
                <w:sz w:val="24"/>
                <w:highlight w:val="none"/>
                <w:lang w:eastAsia="zh-CN"/>
              </w:rPr>
              <w:t xml:space="preserve">A3级高频电磁波人体检查仪</w:t>
            </w:r>
            <w:r>
              <w:rPr>
                <w:rFonts w:hint="eastAsia" w:ascii="宋体" w:hAnsi="宋体" w:cs="宋体"/>
                <w:sz w:val="24"/>
                <w:highlight w:val="none"/>
                <w:vertAlign w:val="baseline"/>
              </w:rPr>
            </w:r>
            <w:r/>
          </w:p>
        </w:tc>
        <w:tc>
          <w:tcPr>
            <w:tcW w:w="659" w:type="dxa"/>
            <w:vAlign w:val="center"/>
            <w:textDirection w:val="lrTb"/>
            <w:noWrap w:val="false"/>
          </w:tcPr>
          <w:p>
            <w:pPr>
              <w:pStyle w:val="882"/>
              <w:contextualSpacing/>
              <w:jc w:val="center"/>
              <w:spacing w:line="400" w:lineRule="exact"/>
              <w:rPr>
                <w:rFonts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套</w:t>
            </w:r>
            <w:r>
              <w:rPr>
                <w:rFonts w:ascii="宋体" w:hAnsi="宋体" w:eastAsia="宋体" w:cs="宋体"/>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sz w:val="24"/>
                <w:highlight w:val="none"/>
                <w:vertAlign w:val="baseline"/>
              </w:rPr>
            </w:r>
            <w:r/>
          </w:p>
        </w:tc>
      </w:tr>
    </w:tbl>
    <w:p>
      <w:pPr>
        <w:pStyle w:val="882"/>
        <w:ind w:firstLine="480"/>
        <w:spacing w:line="400" w:lineRule="exact"/>
        <w:rPr>
          <w:rFonts w:hint="eastAsia" w:ascii="宋体" w:hAnsi="宋体" w:eastAsia="宋体" w:cs="宋体"/>
          <w:sz w:val="24"/>
          <w:szCs w:val="24"/>
          <w:highlight w:val="none"/>
          <w:lang w:val="sv-SE" w:eastAsia="zh-CN"/>
        </w:rPr>
      </w:pPr>
      <w:r>
        <w:rPr>
          <w:rFonts w:hint="eastAsia" w:ascii="宋体" w:hAnsi="宋体" w:eastAsia="宋体" w:cs="宋体"/>
          <w:sz w:val="24"/>
          <w:szCs w:val="24"/>
          <w:highlight w:val="none"/>
          <w:lang w:val="en-US" w:eastAsia="zh-CN"/>
        </w:rPr>
        <w:t xml:space="preserve">设备概况：</w:t>
      </w:r>
      <w:r>
        <w:rPr>
          <w:rFonts w:hint="eastAsia" w:ascii="宋体" w:hAnsi="宋体" w:eastAsia="宋体" w:cs="宋体"/>
          <w:sz w:val="24"/>
          <w:szCs w:val="24"/>
          <w:highlight w:val="none"/>
          <w:lang w:val="sv-SE" w:eastAsia="zh-CN"/>
        </w:rPr>
        <w:t xml:space="preserve">高频电磁波人体检查仪含高频电磁波人体检查仪远程判图工作站1台、高频电磁波人体检查仪手检显示工作站2台、A3级毫米波人体成像安全检查设备1台，是一种采用主动式毫米波成像技术，具备自动探测人体表面携带的危险、违禁物品功能的安全检查设备。</w:t>
      </w:r>
      <w:r>
        <w:rPr>
          <w:rFonts w:hint="eastAsia" w:ascii="宋体" w:hAnsi="宋体" w:eastAsia="宋体" w:cs="宋体"/>
          <w:sz w:val="24"/>
          <w:szCs w:val="24"/>
          <w:highlight w:val="none"/>
          <w:lang w:val="sv-SE" w:eastAsia="zh-CN"/>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2.项目预算金额：人民币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元；项目最高限价：人民币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w:t>
      </w:r>
      <w:r>
        <w:rPr>
          <w:rFonts w:ascii="宋体" w:hAnsi="宋体" w:cs="宋体"/>
          <w:sz w:val="24"/>
          <w:highlight w:val="none"/>
        </w:rPr>
      </w:r>
      <w:r/>
    </w:p>
    <w:p>
      <w:pPr>
        <w:pStyle w:val="939"/>
        <w:numPr>
          <w:ilvl w:val="0"/>
          <w:numId w:val="0"/>
        </w:numPr>
        <w:contextualSpacing/>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商务要求</w:t>
      </w:r>
      <w:r>
        <w:rPr>
          <w:rFonts w:hint="eastAsia" w:ascii="宋体" w:hAnsi="宋体" w:cs="宋体"/>
          <w:b/>
          <w:bCs/>
          <w:sz w:val="24"/>
          <w:szCs w:val="24"/>
          <w:highlight w:val="none"/>
        </w:rPr>
      </w:r>
      <w:r/>
    </w:p>
    <w:p>
      <w:pPr>
        <w:pStyle w:val="882"/>
        <w:contextualSpacing/>
        <w:ind w:firstLine="482"/>
        <w:spacing w:line="400" w:lineRule="exact"/>
        <w:rPr>
          <w:rFonts w:hint="eastAsia" w:ascii="宋体" w:hAnsi="宋体" w:cs="宋体"/>
          <w:b/>
          <w:bCs/>
          <w:i/>
          <w:sz w:val="24"/>
          <w:highlight w:val="none"/>
        </w:rPr>
      </w:pPr>
      <w:r>
        <w:rPr>
          <w:rFonts w:hint="eastAsia" w:ascii="宋体" w:hAnsi="宋体" w:cs="宋体"/>
          <w:b/>
          <w:bCs/>
          <w:sz w:val="24"/>
          <w:highlight w:val="none"/>
        </w:rPr>
        <w:t xml:space="preserve">（一） 交付（实施）的时间（期限）和地点（范围）</w:t>
      </w:r>
      <w:r>
        <w:rPr>
          <w:rFonts w:hint="eastAsia" w:ascii="宋体" w:hAnsi="宋体" w:cs="宋体"/>
          <w:b/>
          <w:bCs/>
          <w:i/>
          <w:sz w:val="24"/>
          <w:highlight w:val="none"/>
        </w:rPr>
      </w:r>
      <w:r/>
    </w:p>
    <w:p>
      <w:pPr>
        <w:pStyle w:val="882"/>
        <w:ind w:firstLine="488"/>
        <w:spacing w:line="400" w:lineRule="exact"/>
        <w:widowControl/>
        <w:rPr>
          <w:rFonts w:hint="eastAsia" w:ascii="宋体" w:hAnsi="宋体" w:cs="宋体"/>
          <w:sz w:val="24"/>
          <w:highlight w:val="none"/>
        </w:rPr>
      </w:pPr>
      <w:r>
        <w:rPr>
          <w:rFonts w:hint="eastAsia" w:ascii="宋体" w:hAnsi="宋体" w:cs="宋体"/>
          <w:spacing w:val="2"/>
          <w:sz w:val="24"/>
          <w:highlight w:val="none"/>
          <w:lang w:val="en-US" w:eastAsia="zh-CN"/>
        </w:rPr>
        <w:t xml:space="preserve">1.供货期：</w:t>
      </w:r>
      <w:r>
        <w:rPr>
          <w:rFonts w:hint="eastAsia" w:ascii="宋体" w:hAnsi="宋体" w:eastAsia="宋体" w:cs="宋体"/>
          <w:sz w:val="24"/>
          <w:szCs w:val="24"/>
          <w:highlight w:val="none"/>
        </w:rPr>
        <w:t xml:space="preserve">自合同签定之日起</w:t>
      </w:r>
      <w:r>
        <w:rPr>
          <w:rFonts w:hint="eastAsia" w:ascii="宋体" w:hAnsi="宋体" w:cs="宋体"/>
          <w:sz w:val="24"/>
          <w:szCs w:val="24"/>
          <w:highlight w:val="none"/>
          <w:lang w:eastAsia="zh-CN"/>
        </w:rPr>
        <w:t xml:space="preserve">30日内完成设备供货</w:t>
      </w:r>
      <w:r>
        <w:rPr>
          <w:rFonts w:hint="eastAsia" w:ascii="宋体" w:hAnsi="宋体" w:eastAsia="宋体" w:cs="宋体"/>
          <w:sz w:val="24"/>
          <w:szCs w:val="24"/>
          <w:highlight w:val="none"/>
        </w:rPr>
        <w:t xml:space="preserve">、安装调试、培训、验收合格并投入使用</w:t>
      </w:r>
      <w:r>
        <w:rPr>
          <w:rFonts w:hint="eastAsia" w:ascii="宋体" w:hAnsi="宋体" w:cs="宋体"/>
          <w:spacing w:val="2"/>
          <w:sz w:val="24"/>
          <w:highlight w:val="none"/>
        </w:rPr>
        <w:t xml:space="preserve">。</w:t>
      </w:r>
      <w:r>
        <w:rPr>
          <w:rFonts w:hint="eastAsia" w:ascii="宋体" w:hAnsi="宋体" w:cs="宋体"/>
          <w:sz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交货地点：</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负责将货物运到采购人指定地点，由</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负责办理运输和</w:t>
      </w:r>
      <w:r>
        <w:rPr>
          <w:rFonts w:hint="eastAsia" w:ascii="宋体" w:hAnsi="宋体" w:eastAsia="宋体" w:cs="宋体"/>
          <w:sz w:val="24"/>
          <w:szCs w:val="24"/>
          <w:highlight w:val="none"/>
        </w:rPr>
        <w:t xml:space="preserve">装卸等，费用由</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5.供应商成交后须与采购人在采购产品的“功能配置、技术要求等”方面及时交底沟通；成交供应商开始制造产品之前，采购人有权要求成交供应商对产品进行微调，最终的产品须经采购人确认同意。</w:t>
      </w:r>
      <w:r>
        <w:rPr>
          <w:rFonts w:hint="eastAsia" w:ascii="宋体" w:hAnsi="宋体" w:eastAsia="宋体" w:cs="宋体"/>
          <w:sz w:val="24"/>
          <w:szCs w:val="24"/>
          <w:highlight w:val="none"/>
        </w:rPr>
      </w:r>
      <w:r/>
    </w:p>
    <w:p>
      <w:pPr>
        <w:pStyle w:val="882"/>
        <w:contextualSpacing/>
        <w:ind w:firstLine="482"/>
        <w:spacing w:line="40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rPr>
        <w:t xml:space="preserve">（二）付款</w:t>
      </w:r>
      <w:r>
        <w:rPr>
          <w:rFonts w:hint="eastAsia" w:ascii="宋体" w:hAnsi="宋体" w:cs="宋体"/>
          <w:b/>
          <w:bCs/>
          <w:sz w:val="24"/>
          <w:highlight w:val="none"/>
          <w:lang w:val="en-US" w:eastAsia="zh-CN"/>
        </w:rPr>
        <w:t xml:space="preserve">方式</w:t>
      </w:r>
      <w:r>
        <w:rPr>
          <w:rFonts w:hint="eastAsia" w:ascii="宋体" w:hAnsi="宋体" w:eastAsia="宋体" w:cs="宋体"/>
          <w:b/>
          <w:bCs/>
          <w:sz w:val="24"/>
          <w:highlight w:val="none"/>
          <w:lang w:val="en-US" w:eastAsia="zh-CN"/>
        </w:rPr>
      </w:r>
      <w:r/>
    </w:p>
    <w:p>
      <w:pPr>
        <w:pStyle w:val="882"/>
        <w:ind w:firstLine="48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合同签订后支付至合同价款的30%，设备安装调试并经采购人验收合格后一次性付清余款（不计息）。</w:t>
      </w:r>
      <w:r>
        <w:rPr>
          <w:rFonts w:hint="eastAsia" w:ascii="宋体" w:hAnsi="宋体" w:eastAsia="宋体" w:cs="宋体"/>
          <w:sz w:val="24"/>
          <w:szCs w:val="24"/>
          <w:highlight w:val="none"/>
          <w:lang w:val="en-US" w:eastAsia="zh-CN"/>
        </w:rPr>
      </w:r>
      <w:r/>
    </w:p>
    <w:p>
      <w:pPr>
        <w:pStyle w:val="882"/>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（三） 包装和运输</w:t>
      </w:r>
      <w:r>
        <w:rPr>
          <w:rFonts w:hint="eastAsia" w:ascii="宋体" w:hAnsi="宋体" w:cs="宋体"/>
          <w:b/>
          <w:bCs/>
          <w:sz w:val="24"/>
          <w:highlight w:val="none"/>
        </w:rPr>
      </w:r>
      <w:r/>
    </w:p>
    <w:p>
      <w:pPr>
        <w:pStyle w:val="882"/>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须满足《关于印发〈商品包装政府采购需求标准（试行）〉、〈快递包装政府采购需求标准（试行）〉的通知》（财办库﹝2020﹞123号）</w:t>
      </w:r>
      <w:r>
        <w:rPr>
          <w:rFonts w:hint="eastAsia"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对设备进行妥善包装，以满足设备运至安装场地及在安装场地保管的需要。包装应采取防潮、防晒、防锈、防腐蚀、防震动及防止其它损坏的必要保护措施，从而保护设备能够经受多次搬运、装卸、长途运输并适宜保管。</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2.每个独立包装箱内应附装箱清单、质量合格证、装配图、说明书、操作指南等资料。</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3.包装材料应符合国家相关规定。</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负责自行选择适宜的运输工具及线路安排设备运输，货物运输途中的毁损、灭失等风险自行承担。</w:t>
      </w:r>
      <w:r>
        <w:rPr>
          <w:rFonts w:ascii="宋体" w:hAnsi="宋体" w:cs="宋体"/>
          <w:sz w:val="24"/>
          <w:highlight w:val="none"/>
        </w:rPr>
      </w:r>
      <w:r/>
    </w:p>
    <w:p>
      <w:pPr>
        <w:pStyle w:val="882"/>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（四） 质保及售后服务</w:t>
      </w:r>
      <w:r>
        <w:rPr>
          <w:rFonts w:hint="eastAsia" w:ascii="宋体" w:hAnsi="宋体" w:cs="宋体"/>
          <w:sz w:val="24"/>
          <w:highlight w:val="none"/>
        </w:rPr>
      </w:r>
      <w:r/>
    </w:p>
    <w:p>
      <w:pPr>
        <w:pStyle w:val="882"/>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b/>
          <w:bCs/>
          <w:sz w:val="24"/>
          <w:highlight w:val="none"/>
        </w:rPr>
        <w:t xml:space="preserve">1.免费质保期：所有设备至少提供</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年原厂免费质保及维护，并提供两次免费移机服务，质保期自设备交付并经采购人验收合格后开始计算。</w:t>
      </w:r>
      <w:r>
        <w:rPr>
          <w:rFonts w:hint="eastAsia" w:ascii="宋体" w:hAnsi="宋体" w:cs="宋体"/>
          <w:b/>
          <w:bCs/>
          <w:color w:val="000000"/>
          <w:sz w:val="24"/>
          <w:highlight w:val="none"/>
        </w:rPr>
        <w:t xml:space="preserve">（投标文件中提供盖有</w:t>
      </w:r>
      <w:r>
        <w:rPr>
          <w:rFonts w:hint="eastAsia" w:ascii="宋体" w:hAnsi="宋体" w:cs="宋体"/>
          <w:b/>
          <w:bCs/>
          <w:color w:val="000000"/>
          <w:sz w:val="24"/>
          <w:highlight w:val="none"/>
          <w:lang w:eastAsia="zh-CN"/>
        </w:rPr>
        <w:t xml:space="preserve">制造商</w:t>
      </w:r>
      <w:r>
        <w:rPr>
          <w:rFonts w:hint="eastAsia" w:ascii="宋体" w:hAnsi="宋体" w:cs="宋体"/>
          <w:b/>
          <w:bCs/>
          <w:color w:val="000000"/>
          <w:sz w:val="24"/>
          <w:highlight w:val="none"/>
        </w:rPr>
        <w:t xml:space="preserve">公章的质保承诺</w:t>
      </w:r>
      <w:r>
        <w:rPr>
          <w:rFonts w:hint="eastAsia" w:ascii="宋体" w:hAnsi="宋体" w:cs="宋体"/>
          <w:b/>
          <w:bCs/>
          <w:color w:val="000000"/>
          <w:sz w:val="24"/>
          <w:highlight w:val="none"/>
          <w:lang w:val="en-US" w:eastAsia="zh-CN"/>
        </w:rPr>
        <w:t xml:space="preserve">函，格式自拟</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应按照国家有关法律法规规定以及投标文件</w:t>
      </w:r>
      <w:r>
        <w:rPr>
          <w:rFonts w:hint="eastAsia" w:ascii="宋体" w:hAnsi="宋体" w:eastAsia="宋体" w:cs="宋体"/>
          <w:sz w:val="24"/>
          <w:highlight w:val="none"/>
        </w:rPr>
        <w:t xml:space="preserve">中的“售后服务承诺”提供服务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对质保期内所发生的设备维护、维修、更换等一切费用负责。</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color w:val="000000"/>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rPr>
        <w:t xml:space="preserve">质保期</w:t>
      </w:r>
      <w:r>
        <w:rPr>
          <w:rFonts w:hint="eastAsia" w:ascii="宋体" w:hAnsi="宋体" w:cs="宋体"/>
          <w:spacing w:val="2"/>
          <w:sz w:val="24"/>
          <w:highlight w:val="none"/>
        </w:rPr>
        <w:t xml:space="preserve">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应免费提供维修服务（</w:t>
      </w:r>
      <w:r>
        <w:rPr>
          <w:rFonts w:hint="eastAsia" w:ascii="宋体" w:hAnsi="宋体" w:cs="宋体"/>
          <w:sz w:val="24"/>
          <w:highlight w:val="none"/>
        </w:rPr>
        <w:t xml:space="preserve">因使用操作不当等人为原因造成的损坏除外</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承担。</w:t>
      </w:r>
      <w:r>
        <w:rPr>
          <w:rFonts w:hint="eastAsia" w:ascii="宋体" w:hAnsi="宋体" w:cs="宋体"/>
          <w:sz w:val="24"/>
          <w:highlight w:val="none"/>
        </w:rPr>
        <w:t xml:space="preserve">技术人员应7*24小时全天候随时响应</w:t>
      </w:r>
      <w:r>
        <w:rPr>
          <w:rFonts w:hint="eastAsia" w:ascii="宋体" w:hAnsi="宋体" w:cs="宋体"/>
          <w:sz w:val="24"/>
          <w:highlight w:val="none"/>
        </w:rPr>
        <w:t xml:space="preserve">设备</w:t>
      </w:r>
      <w:r>
        <w:rPr>
          <w:rFonts w:hint="eastAsia" w:ascii="宋体" w:hAnsi="宋体" w:cs="宋体"/>
          <w:sz w:val="24"/>
          <w:highlight w:val="none"/>
        </w:rPr>
        <w:t xml:space="preserve">使用等相关问题咨</w:t>
      </w:r>
      <w:r>
        <w:rPr>
          <w:rFonts w:hint="eastAsia" w:ascii="宋体" w:hAnsi="宋体" w:eastAsia="宋体" w:cs="宋体"/>
          <w:color w:val="000000"/>
          <w:sz w:val="24"/>
          <w:highlight w:val="none"/>
          <w:lang w:val="en-US" w:eastAsia="zh-CN"/>
        </w:rPr>
        <w:t xml:space="preserve">询。必要时应向采购人提供应急备用设备。</w:t>
      </w:r>
      <w:r>
        <w:rPr>
          <w:rFonts w:hint="eastAsia" w:ascii="宋体" w:hAnsi="宋体" w:eastAsia="宋体" w:cs="宋体"/>
          <w:color w:val="000000"/>
          <w:sz w:val="24"/>
          <w:highlight w:val="none"/>
          <w:lang w:val="en-US" w:eastAsia="zh-CN"/>
        </w:rPr>
      </w:r>
      <w:r/>
    </w:p>
    <w:p>
      <w:pPr>
        <w:pStyle w:val="882"/>
        <w:ind w:firstLine="480"/>
        <w:spacing w:line="400" w:lineRule="exact"/>
        <w:rPr>
          <w:rFonts w:hint="eastAsia" w:ascii="宋体" w:hAnsi="宋体" w:eastAsia="宋体" w:cs="宋体"/>
          <w:sz w:val="24"/>
          <w:highlight w:val="none"/>
        </w:rPr>
      </w:pPr>
      <w:r>
        <w:rPr>
          <w:rFonts w:hint="eastAsia" w:ascii="宋体" w:hAnsi="宋体" w:cs="宋体"/>
          <w:sz w:val="24"/>
          <w:highlight w:val="none"/>
        </w:rPr>
        <w:t xml:space="preserve">3.</w:t>
      </w:r>
      <w:r>
        <w:rPr>
          <w:rFonts w:hint="eastAsia" w:ascii="宋体" w:hAnsi="宋体" w:cs="宋体"/>
          <w:spacing w:val="2"/>
          <w:sz w:val="24"/>
          <w:highlight w:val="none"/>
        </w:rPr>
        <w:t xml:space="preserve">质保期内，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免费提供充足的全新的合格原厂零配件，以保障维修所需零部件的及时更换；若配件和耗材有问题，</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在收到维修配件或耗材后48小时内免费完成维修或更换服务，6个月内产品经2次维修后仍无法正常使用，</w:t>
      </w:r>
      <w:r>
        <w:rPr>
          <w:rFonts w:hint="eastAsia" w:ascii="宋体" w:hAnsi="宋体" w:eastAsia="宋体" w:cs="宋体"/>
          <w:sz w:val="24"/>
          <w:highlight w:val="none"/>
        </w:rPr>
        <w:t xml:space="preserve">必须更换全新产品或相关配件。</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4.成交供应商派往</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现场的人员，应具有较高的业务素质，现场解决问题时，不得无故拖延或推迟，应为</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提供最佳的服务。</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采购人在使用过程中有权继续对设备质量进行检验和检测，如发现货物有不符合</w:t>
      </w:r>
      <w:r>
        <w:rPr>
          <w:rFonts w:hint="eastAsia" w:ascii="宋体" w:hAnsi="宋体" w:cs="宋体"/>
          <w:sz w:val="24"/>
          <w:highlight w:val="none"/>
        </w:rPr>
        <w:t xml:space="preserve">验收标准的情形，</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应免费负责更换或维修，并再次进行免费安装、调试，最终保证设备正常运行。若设备在交货地多次检修后，仍无法达到采购人的正常运行要</w:t>
      </w:r>
      <w:r>
        <w:rPr>
          <w:rFonts w:hint="eastAsia" w:ascii="宋体" w:hAnsi="宋体" w:eastAsia="宋体" w:cs="宋体"/>
          <w:sz w:val="24"/>
          <w:highlight w:val="none"/>
        </w:rPr>
        <w:t xml:space="preserve">求，</w:t>
      </w:r>
      <w:r>
        <w:rPr>
          <w:rFonts w:hint="eastAsia" w:ascii="宋体" w:hAnsi="宋体" w:cs="宋体"/>
          <w:color w:val="000000"/>
          <w:sz w:val="24"/>
          <w:highlight w:val="none"/>
          <w:lang w:val="en-US" w:eastAsia="zh-CN"/>
        </w:rPr>
        <w:t xml:space="preserve">成交供应商</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.质保期结束，</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提供终生服务，保证零配件的供给。对于设备维修只收取基本材料备件费，不收取工时费。</w:t>
      </w:r>
      <w:r>
        <w:rPr>
          <w:rFonts w:ascii="宋体" w:hAnsi="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.质保期结束，不能视为</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对设备中存在的可能引起设备损坏的潜在缺陷所应负责任的解除。潜在缺陷指设备在制造过程中未被发现的隐患，</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应立即予以无偿修复或更换。</w:t>
      </w:r>
      <w:r>
        <w:rPr>
          <w:rFonts w:ascii="宋体" w:hAnsi="宋体" w:cs="宋体"/>
          <w:sz w:val="24"/>
          <w:highlight w:val="none"/>
        </w:rPr>
      </w:r>
      <w:r/>
    </w:p>
    <w:p>
      <w:pPr>
        <w:pStyle w:val="882"/>
        <w:ind w:firstLine="480"/>
        <w:spacing w:line="400" w:lineRule="exact"/>
        <w:widowControl/>
        <w:rPr>
          <w:rFonts w:ascii="宋体" w:hAnsi="宋体" w:cs="宋体"/>
          <w:b/>
          <w:bCs/>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.因</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所提供的设备造成采购人设备损坏或其他损失，以及其他第三方损失的，一经核实，</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必须赔偿采购人或第三方因此造成的所有损失。</w:t>
      </w:r>
      <w:r>
        <w:rPr>
          <w:rFonts w:ascii="宋体" w:hAnsi="宋体" w:cs="宋体"/>
          <w:b/>
          <w:bCs/>
          <w:sz w:val="24"/>
          <w:highlight w:val="none"/>
        </w:rPr>
      </w:r>
      <w:r/>
    </w:p>
    <w:p>
      <w:pPr>
        <w:pStyle w:val="882"/>
        <w:ind w:firstLine="488"/>
        <w:spacing w:line="400" w:lineRule="exact"/>
        <w:rPr>
          <w:rFonts w:ascii="宋体" w:hAnsi="宋体" w:cs="宋体"/>
          <w:b/>
          <w:bCs/>
          <w:sz w:val="24"/>
          <w:highlight w:val="none"/>
        </w:rPr>
      </w:pPr>
      <w:r>
        <w:rPr>
          <w:rFonts w:hint="eastAsia" w:ascii="宋体" w:hAnsi="宋体" w:cs="宋体"/>
          <w:spacing w:val="2"/>
          <w:sz w:val="24"/>
          <w:highlight w:val="none"/>
          <w:lang w:val="en-US" w:eastAsia="zh-CN"/>
        </w:rPr>
        <w:t xml:space="preserve">9</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终身免费更新升级设备安装及数据处理涉及软件。</w:t>
      </w:r>
      <w:r>
        <w:rPr>
          <w:rFonts w:ascii="宋体" w:hAnsi="宋体" w:cs="宋体"/>
          <w:b/>
          <w:bCs/>
          <w:sz w:val="24"/>
          <w:highlight w:val="none"/>
        </w:rPr>
      </w:r>
      <w:r/>
    </w:p>
    <w:p>
      <w:pPr>
        <w:pStyle w:val="939"/>
        <w:numPr>
          <w:ilvl w:val="0"/>
          <w:numId w:val="0"/>
        </w:numPr>
        <w:contextualSpacing/>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三、采购清单</w:t>
      </w:r>
      <w:r>
        <w:rPr>
          <w:rFonts w:hint="eastAsia" w:ascii="宋体" w:hAnsi="宋体" w:cs="宋体"/>
          <w:b/>
          <w:bCs/>
          <w:sz w:val="24"/>
          <w:szCs w:val="24"/>
          <w:highlight w:val="none"/>
          <w:lang w:val="en-US" w:eastAsia="zh-CN"/>
        </w:rPr>
      </w:r>
      <w:r/>
    </w:p>
    <w:tbl>
      <w:tblPr>
        <w:tblW w:w="5008" w:type="pct"/>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10" w:type="dxa"/>
          <w:right w:w="10" w:type="dxa"/>
          <w:bottom w:w="0" w:type="dxa"/>
        </w:tblCellMar>
        <w:tblLook w:val="04A0" w:firstRow="1" w:lastRow="0" w:firstColumn="1" w:lastColumn="0" w:noHBand="0" w:noVBand="1"/>
      </w:tblPr>
      <w:tblGrid>
        <w:gridCol w:w="750"/>
        <w:gridCol w:w="2476"/>
        <w:gridCol w:w="4522"/>
        <w:gridCol w:w="631"/>
        <w:gridCol w:w="727"/>
      </w:tblGrid>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设备名称</w:t>
            </w:r>
            <w:r>
              <w:rPr>
                <w:rFonts w:hint="eastAsia" w:ascii="宋体" w:hAnsi="宋体" w:eastAsia="宋体" w:cs="宋体"/>
                <w:b/>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详细参数</w:t>
            </w:r>
            <w:r>
              <w:rPr>
                <w:rFonts w:hint="eastAsia" w:ascii="宋体" w:hAnsi="宋体" w:eastAsia="宋体" w:cs="宋体"/>
                <w:b/>
                <w:color w:val="000000"/>
                <w:sz w:val="24"/>
                <w:szCs w:val="24"/>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rPr>
                <w:rFonts w:hint="eastAsia" w:ascii="宋体" w:hAnsi="宋体" w:eastAsia="宋体" w:cs="宋体"/>
                <w:b/>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rPr>
                <w:rFonts w:hint="eastAsia" w:ascii="宋体" w:hAnsi="宋体" w:eastAsia="宋体" w:cs="宋体"/>
                <w:b/>
                <w:color w:val="000000"/>
                <w:sz w:val="24"/>
                <w:szCs w:val="24"/>
              </w:rPr>
            </w:r>
            <w:r/>
          </w:p>
        </w:tc>
      </w:tr>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A3级</w:t>
            </w:r>
            <w:r>
              <w:rPr>
                <w:rFonts w:hint="eastAsia" w:ascii="宋体" w:hAnsi="宋体" w:eastAsia="宋体" w:cs="宋体"/>
                <w:bCs/>
                <w:color w:val="000000"/>
                <w:sz w:val="24"/>
                <w:szCs w:val="24"/>
                <w:lang w:val="sv-SE" w:eastAsia="zh-CN"/>
              </w:rPr>
              <w:t xml:space="preserve">高频电磁波人体检查仪</w:t>
            </w:r>
            <w:r>
              <w:rPr>
                <w:rFonts w:hint="eastAsia" w:ascii="宋体" w:hAnsi="宋体" w:eastAsia="宋体" w:cs="宋体"/>
                <w:bCs/>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详见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四、设备技术参数及功能要求</w:t>
            </w:r>
            <w:r>
              <w:rPr>
                <w:rFonts w:hint="eastAsia" w:ascii="宋体" w:hAnsi="宋体" w:eastAsia="宋体" w:cs="宋体"/>
                <w:bCs/>
                <w:color w:val="000000"/>
                <w:sz w:val="24"/>
                <w:szCs w:val="24"/>
                <w:lang w:val="en-US"/>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套</w:t>
            </w:r>
            <w:r>
              <w:rPr>
                <w:rFonts w:hint="eastAsia" w:ascii="宋体" w:hAnsi="宋体" w:eastAsia="宋体" w:cs="宋体"/>
                <w:bCs/>
                <w:color w:val="000000"/>
                <w:sz w:val="24"/>
                <w:szCs w:val="24"/>
              </w:rPr>
            </w:r>
            <w:r/>
          </w:p>
        </w:tc>
      </w:tr>
    </w:tbl>
    <w:p>
      <w:pPr>
        <w:pStyle w:val="939"/>
        <w:numPr>
          <w:ilvl w:val="0"/>
          <w:numId w:val="0"/>
        </w:numPr>
        <w:contextualSpacing/>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四、设备技术参数及功能要求</w:t>
      </w:r>
      <w:r>
        <w:rPr>
          <w:rFonts w:hint="eastAsia" w:ascii="宋体" w:hAnsi="宋体" w:cs="宋体"/>
          <w:b/>
          <w:bCs/>
          <w:sz w:val="24"/>
          <w:szCs w:val="24"/>
          <w:highlight w:val="none"/>
          <w:lang w:val="en-US" w:eastAsia="zh-CN"/>
        </w:rPr>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46"/>
        <w:gridCol w:w="1956"/>
        <w:gridCol w:w="6785"/>
      </w:tblGrid>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★强制性要求</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所投毫米波人体成像安检设备符合GB/T 41482-2022 毫米波全息成像人体安全检查设备全部要求，采用主动式毫米波成像技术。</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▲设备技术方案</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设备采用垂直扫描方式，实现非接触式扫描成像和自动探测。</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设备检查能力</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1、自动探测模式：内置智能检测算法可自动识别人体携带的违禁物品，并在高频电磁波人体检查仪手检显示工作站的进行结果标识，提示人身检查员做出必要处置。</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2、人工判图模式：具有远程集中判图功能，可以按照用户需求进行组网、并网。可使用高频电磁波人体检查仪远程判图工作站对组网内A3级毫米波人体成像安检设备结果进行远程判图。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被检查人员的身体姿态</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A3级毫米波人体成像安检设备检查过程应友好、方便。被检查人员进行非接触成像，以手臂自然下垂方式进行扫描成像。在设备检查过程中，无需被检查人员自主转身或举起双手。</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身体姿态错误提示及纠正功能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A3级毫米波人体成像安检设备具备身体姿态错误的提示及纠正功能。当被检查人员在接受设备检查过程中出现身体姿势错误时，设备以语音和图像两种方式对错误的身体部位给出明确提示及相应的纠正信息。</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★空间分辨力检验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A3级毫米波人体成像安检设备的空间分辨力应</w:t>
            </w:r>
            <w:r>
              <w:rPr>
                <w:rFonts w:hint="eastAsia" w:ascii="宋体" w:hAnsi="宋体" w:eastAsia="宋体" w:cs="宋体"/>
                <w:b/>
                <w:bCs w:val="0"/>
                <w:color w:val="000000"/>
                <w:sz w:val="24"/>
                <w:szCs w:val="24"/>
                <w:highlight w:val="none"/>
                <w:lang w:val="en-US" w:eastAsia="zh-CN"/>
              </w:rPr>
              <w:t xml:space="preserve">≤2mm（应能分辨水平、垂直、斜45度三个方向）。</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★线分辨力检验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A3级毫米波人体成像安检设备的线分辨力应</w:t>
            </w:r>
            <w:r>
              <w:rPr>
                <w:rFonts w:hint="eastAsia" w:ascii="宋体" w:hAnsi="宋体" w:eastAsia="宋体" w:cs="宋体"/>
                <w:b/>
                <w:bCs w:val="0"/>
                <w:color w:val="000000"/>
                <w:sz w:val="24"/>
                <w:szCs w:val="24"/>
                <w:highlight w:val="none"/>
                <w:lang w:val="en-US" w:eastAsia="zh-CN"/>
              </w:rPr>
              <w:t xml:space="preserve">≤1mm（应能分辨水平、垂直、斜45度三个方向）。</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★检查时间检验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A3级毫米波人体成像安检设备连续检测100人次，平均单次检查时间应</w:t>
            </w:r>
            <w:r>
              <w:rPr>
                <w:rFonts w:hint="eastAsia" w:ascii="宋体" w:hAnsi="宋体" w:eastAsia="宋体" w:cs="宋体"/>
                <w:b/>
                <w:bCs w:val="0"/>
                <w:color w:val="000000"/>
                <w:sz w:val="24"/>
                <w:szCs w:val="24"/>
                <w:highlight w:val="none"/>
                <w:lang w:val="en-US" w:eastAsia="zh-CN"/>
              </w:rPr>
              <w:t xml:space="preserve">≤5s。</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物品自动探测检验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A3级毫米波人体成像安检设备物品自动探测功能可通过红色方框标出物品藏匿位置和大小。</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检测能力</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A3级毫米波人体成像安检设备有效探测藏匿于衣物下及人体表面的嫌疑物品，包括但不限于金属和非金属材质的</w:t>
            </w:r>
            <w:r>
              <w:rPr>
                <w:rFonts w:hint="eastAsia" w:ascii="宋体" w:hAnsi="宋体" w:eastAsia="宋体" w:cs="宋体"/>
                <w:b/>
                <w:bCs w:val="0"/>
                <w:color w:val="000000"/>
                <w:sz w:val="24"/>
                <w:szCs w:val="24"/>
                <w:highlight w:val="none"/>
                <w:lang w:val="en-US" w:eastAsia="zh-CN"/>
              </w:rPr>
              <w:t xml:space="preserve">武器</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刀具</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爆炸物（或其模拟物）</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毒品（</w:t>
            </w:r>
            <w:r>
              <w:rPr>
                <w:rFonts w:hint="eastAsia" w:ascii="宋体" w:hAnsi="宋体" w:eastAsia="宋体" w:cs="宋体"/>
                <w:bCs/>
                <w:color w:val="000000"/>
                <w:sz w:val="24"/>
                <w:szCs w:val="24"/>
                <w:highlight w:val="none"/>
                <w:lang w:val="en-US" w:eastAsia="zh-CN"/>
              </w:rPr>
              <w:t xml:space="preserve">或其模拟物）、</w:t>
            </w:r>
            <w:r>
              <w:rPr>
                <w:rFonts w:hint="eastAsia" w:ascii="宋体" w:hAnsi="宋体" w:eastAsia="宋体" w:cs="宋体"/>
                <w:b/>
                <w:bCs w:val="0"/>
                <w:color w:val="000000"/>
                <w:sz w:val="24"/>
                <w:szCs w:val="24"/>
                <w:highlight w:val="none"/>
                <w:lang w:val="en-US" w:eastAsia="zh-CN"/>
              </w:rPr>
              <w:t xml:space="preserve">电子产品</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液体</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粉末</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药品</w:t>
            </w:r>
            <w:r>
              <w:rPr>
                <w:rFonts w:hint="eastAsia" w:ascii="宋体" w:hAnsi="宋体" w:eastAsia="宋体" w:cs="宋体"/>
                <w:bCs/>
                <w:color w:val="000000"/>
                <w:sz w:val="24"/>
                <w:szCs w:val="24"/>
                <w:highlight w:val="none"/>
                <w:lang w:val="en-US" w:eastAsia="zh-CN"/>
              </w:rPr>
              <w:t xml:space="preserve">等。</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检测物品详细类型</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A3级毫米波人体成像安检设备符合民航安检检出要求，可有效检出枪支及其零部件、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；同时具备</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非金属物品、异形金属物品、陶瓷刀、金属折叠刀、圆柱形塑料瓶装液体物品、香烟、电子烟等物品的检测能力。</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检出率检验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41482-2022中附录C的要求进行测试，检出率</w:t>
            </w:r>
            <w:r>
              <w:rPr>
                <w:rFonts w:hint="eastAsia" w:ascii="宋体" w:hAnsi="宋体" w:eastAsia="宋体" w:cs="宋体"/>
                <w:b/>
                <w:bCs w:val="0"/>
                <w:color w:val="000000"/>
                <w:sz w:val="24"/>
                <w:szCs w:val="24"/>
                <w:highlight w:val="none"/>
                <w:lang w:val="en-US" w:eastAsia="zh-CN"/>
              </w:rPr>
              <w:t xml:space="preserve">≥95%</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漏报率检验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41482-2022中附录C的要求进行测试，漏报率</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误报率检验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41482-2022中附录C的要求进行测试，误报率</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急停功能检验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A3级毫米波人体成像安检设备身上有急停装置，急停装置应能触发运动部件急停功能。</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校正功能检验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A3级毫米波人体成像安检设备具有定时校正和手动校正功能，校正时，可自动判断通道内是否清空，未清空时，应给出相应提示，取消校正或重新校正。</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▲现场安装适应性与通过性</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A3级毫米波人体成像安检设备外形尺寸高度应≤2450mm，宽度应≤1400mm，深度应≤1500mm（需提供设备尺寸图）。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▲引导装置</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主机具备醒目的显示屏，尺寸≥29英寸，入口信息展示屏可显示设备过检引导动画，出口信息展示屏可显示设备状态，应至少包含设备初始化、待机、扫描中以及检测结果等信息。检测结果包含检测通过、重新扫描以及带有异物标记部位的人偶卡通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▲设备功耗</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为践行节能环保和绿色采购理念，A3级毫米波人体成像安检设备功率≤1kW。</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状态指示检验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A3级毫米波人体成像安检设备应有工作状态指示功能，应能指示上电状态和扫描状态。</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隐私保护检验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A3级毫米波人体成像安检设备主机屏幕检查结果显示为人偶图像；b)设备具有对被检人毫米波图像脸部的模糊处理功能；可通过操作屏选择被检人员性别，可根据被检人员性别将扫描图像推送至对应性别权限的显示工作站。</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图像保密检验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A3级毫米波人体成像安检设备应对毫米波图像进行加密存储，只有经授权人员能检索、回看、转存和删除所存储的毫米波图像，应在日志文件中记录对毫米波图像的操作内容、操作图像ID、操作人员ID和操作时间。</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网络通信检验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A3级毫米波人体成像安检设备应具有网络通信接口，应能联网实现设备状态监控、运行参数调整和报警相关数据上传等功能。</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图像存储管理功能检验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本机存储功能；存储扫描结果可设置≥500000人次；存储介质写满后或超过存储人次后，支持循环覆盖写入，按写入时间从旧到新，优先自动删除无损报警信息的扫描结果；可对扫描结果进行人工标记，被标记后，该条结果不会被系统自动删除。</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操作人员管理权限检验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A3级毫米波人体成像安检设备具有超级管理员、维护员、管理员、操机员以及判图员5个及以上角色，不同角色的系统操作权限不同；同一账户可配置一个或多个系统角色。</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图像导出及转存功能检验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人偶图和原始图像的图像数据应使用专用格式进行存储，超级管理员及维护员有权限导出，且导出行为将被系统日志记录。</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检查结束语音提示功能检验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A3级毫米波人体成像安检设备检测完毕后应发出语音提示，语音提示音量可调，最大声级应</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75dB(A)。</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▲查验结果关联功能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A3级毫米波人体成像安检设备应具有可见光抓拍功能，抓拍图片可与查验结果相关联。</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bCs/>
                <w:color w:val="000000"/>
                <w:sz w:val="24"/>
                <w:szCs w:val="24"/>
                <w:highlight w:val="none"/>
                <w:lang w:val="en-US" w:eastAsia="zh-CN"/>
              </w:rPr>
              <w:t xml:space="preserve">检测区域</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A3级毫米波人体成像安检设备应对被检人员站立区域底部0.1m至2m和宽度0.9m范围进行扫描并完整成像。</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▲脚部金属探测功能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可对被检人员脚底、脚背、脚踝等距检测通道地面20cm以下区域的手枪子弹、打火机、金属折叠刀等金属违禁物品进行检测并报警，并以人偶脚部变红或在脚部添加红色报警框的形式进行标记，可区分被检人员左右脚，检测结果可与人体检查结果同时在操作屏、顶部显示屏或外接手检显示工作站一同展示。</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▲脚部金属检测误报率</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采用单人不携带金属测试物通行进行试验，A3级毫米波人体成像安检设备脚部金属检测不应发出报警信号，误报警率应≤5%。</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▲脚部金属检出率</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采用单人依次携带金属测试物(仿真手枪子弹、打火机、金属折叠刀)通行进行试验，金属测试物依次放置在被检人员脚底、脚背、脚踝，A3级毫米波人体成像安检设备脚部金属检测正确检出报警率(在显示屏图像中以红色报警框框选出金属测试物，且框选部位与实际一致)应&gt;95%。</w:t>
            </w:r>
            <w:r>
              <w:rPr>
                <w:rFonts w:hint="eastAsia" w:ascii="宋体" w:hAnsi="宋体" w:cs="宋体"/>
                <w:b/>
                <w:bCs/>
                <w:sz w:val="24"/>
                <w:szCs w:val="24"/>
                <w:highlight w:val="none"/>
                <w:vertAlign w:val="baseline"/>
                <w:lang w:val="en-US" w:eastAsia="zh-CN"/>
              </w:rPr>
            </w:r>
            <w:r/>
          </w:p>
        </w:tc>
      </w:tr>
    </w:tbl>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val="0"/>
          <w:color w:val="000000"/>
          <w:sz w:val="24"/>
          <w:szCs w:val="24"/>
          <w:highlight w:val="none"/>
          <w:u w:val="none"/>
          <w:lang w:val="en-US" w:eastAsia="zh-CN"/>
        </w:rPr>
        <w:t xml:space="preserve">以上技术参数中打</w:t>
      </w:r>
      <w:r>
        <w:rPr>
          <w:rFonts w:hint="eastAsia" w:ascii="宋体" w:hAnsi="宋体" w:eastAsia="宋体" w:cs="宋体"/>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项为实质性技术参数，如有负偏离，</w:t>
      </w:r>
      <w:r>
        <w:rPr>
          <w:rFonts w:hint="eastAsia" w:ascii="宋体" w:hAnsi="宋体" w:eastAsia="宋体" w:cs="宋体"/>
          <w:b/>
          <w:bCs/>
          <w:color w:val="000000"/>
          <w:sz w:val="24"/>
          <w:szCs w:val="24"/>
          <w:highlight w:val="none"/>
          <w:u w:val="none"/>
          <w:lang w:val="en-US" w:eastAsia="zh-CN"/>
        </w:rPr>
        <w:t xml:space="preserve">投标</w:t>
      </w:r>
      <w:r>
        <w:rPr>
          <w:rFonts w:hint="eastAsia" w:ascii="宋体" w:hAnsi="宋体" w:eastAsia="宋体" w:cs="宋体"/>
          <w:b/>
          <w:bCs/>
          <w:color w:val="000000"/>
          <w:sz w:val="24"/>
          <w:szCs w:val="24"/>
          <w:highlight w:val="none"/>
          <w:u w:val="none"/>
        </w:rPr>
        <w:t xml:space="preserve">文件将作为无效响应处理。</w:t>
      </w:r>
      <w:r>
        <w:rPr>
          <w:rFonts w:hint="eastAsia" w:ascii="宋体" w:hAnsi="宋体" w:eastAsia="宋体" w:cs="宋体"/>
          <w:b/>
          <w:bCs/>
          <w:color w:val="000000"/>
          <w:sz w:val="24"/>
          <w:szCs w:val="24"/>
          <w:highlight w:val="none"/>
          <w:u w:val="none"/>
        </w:rPr>
      </w:r>
      <w:r/>
    </w:p>
    <w:p>
      <w:pPr>
        <w:pStyle w:val="882"/>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带“</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”项的为重要技术要求，其他项为一般性技术要求。对于重要技术要求，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需提供体现该项要求内容的</w:t>
      </w:r>
      <w:r>
        <w:rPr>
          <w:rFonts w:hint="eastAsia" w:ascii="宋体" w:hAnsi="宋体" w:eastAsia="宋体" w:cs="宋体"/>
          <w:color w:val="000000"/>
          <w:sz w:val="24"/>
          <w:szCs w:val="24"/>
          <w:highlight w:val="none"/>
          <w:lang w:val="en-US" w:eastAsia="zh-CN"/>
        </w:rPr>
        <w:t xml:space="preserve">第三方权威检测机构出具的具有CMA或CNAS认证的检测报告复印件并加盖制造商公章。</w:t>
      </w:r>
      <w:r>
        <w:rPr>
          <w:rFonts w:hint="eastAsia" w:ascii="宋体" w:hAnsi="宋体" w:eastAsia="宋体" w:cs="宋体"/>
          <w:color w:val="000000"/>
          <w:sz w:val="24"/>
          <w:szCs w:val="24"/>
          <w:highlight w:val="none"/>
          <w:lang w:val="en-US"/>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3、采购</w:t>
      </w:r>
      <w:r>
        <w:rPr>
          <w:rFonts w:hint="eastAsia" w:ascii="宋体" w:hAnsi="宋体" w:eastAsia="宋体" w:cs="宋体"/>
          <w:color w:val="000000"/>
          <w:sz w:val="24"/>
          <w:szCs w:val="24"/>
          <w:highlight w:val="none"/>
          <w:lang w:val="sv-SE" w:eastAsia="zh-CN"/>
        </w:rPr>
        <w:t xml:space="preserve">人对</w:t>
      </w:r>
      <w:r>
        <w:rPr>
          <w:rFonts w:hint="eastAsia" w:ascii="宋体" w:hAnsi="宋体" w:eastAsia="宋体" w:cs="宋体"/>
          <w:color w:val="000000"/>
          <w:sz w:val="24"/>
          <w:szCs w:val="24"/>
          <w:highlight w:val="none"/>
          <w:lang w:val="en-US" w:eastAsia="zh-CN"/>
        </w:rPr>
        <w:t xml:space="preserve">成交供应商所</w:t>
      </w:r>
      <w:r>
        <w:rPr>
          <w:rFonts w:hint="eastAsia" w:ascii="宋体" w:hAnsi="宋体" w:eastAsia="宋体" w:cs="宋体"/>
          <w:color w:val="000000"/>
          <w:sz w:val="24"/>
          <w:szCs w:val="24"/>
          <w:highlight w:val="none"/>
          <w:lang w:val="sv-SE" w:eastAsia="zh-CN"/>
        </w:rPr>
        <w:t xml:space="preserve">投标产品</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sv-SE" w:eastAsia="zh-CN"/>
        </w:rPr>
        <w:t xml:space="preserve">进行测试和验证的权利</w:t>
      </w:r>
      <w:r>
        <w:rPr>
          <w:rFonts w:hint="eastAsia" w:ascii="宋体" w:hAnsi="宋体" w:eastAsia="宋体" w:cs="宋体"/>
          <w:b w:val="0"/>
          <w:bCs/>
          <w:color w:val="000000"/>
          <w:sz w:val="24"/>
          <w:szCs w:val="24"/>
          <w:highlight w:val="none"/>
        </w:rPr>
        <w:t xml:space="preserve">，如</w:t>
      </w:r>
      <w:r>
        <w:rPr>
          <w:rFonts w:hint="eastAsia" w:ascii="宋体" w:hAnsi="宋体" w:eastAsia="宋体" w:cs="宋体"/>
          <w:color w:val="000000"/>
          <w:sz w:val="24"/>
          <w:szCs w:val="24"/>
          <w:highlight w:val="none"/>
          <w:lang w:val="sv-SE" w:eastAsia="zh-CN"/>
        </w:rPr>
        <w:t xml:space="preserve">不满足</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b w:val="0"/>
          <w:bCs/>
          <w:color w:val="000000"/>
          <w:sz w:val="24"/>
          <w:szCs w:val="24"/>
          <w:highlight w:val="none"/>
        </w:rPr>
        <w:t xml:space="preserve">，则视为虚假应标，</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将直接解约，并追偿由此造成的损失</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投标文件中提供承诺函原件加盖供应商公章，</w:t>
      </w:r>
      <w:r>
        <w:rPr>
          <w:rFonts w:hint="eastAsia" w:ascii="宋体" w:hAnsi="宋体" w:eastAsia="宋体" w:cs="宋体"/>
          <w:b/>
          <w:bCs w:val="0"/>
          <w:color w:val="000000"/>
          <w:sz w:val="24"/>
          <w:szCs w:val="24"/>
          <w:highlight w:val="none"/>
        </w:rPr>
        <w:t xml:space="preserve">未提供视为</w:t>
      </w:r>
      <w:r>
        <w:rPr>
          <w:rFonts w:hint="eastAsia" w:ascii="宋体" w:hAnsi="宋体" w:eastAsia="宋体" w:cs="宋体"/>
          <w:b/>
          <w:bCs w:val="0"/>
          <w:color w:val="000000"/>
          <w:sz w:val="24"/>
          <w:szCs w:val="24"/>
          <w:highlight w:val="none"/>
          <w:lang w:val="en-US" w:eastAsia="zh-CN"/>
        </w:rPr>
        <w:t xml:space="preserve">无效响应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本项目中提供的系统及设备所产生的接口对接等相关费用，均包含在本项目内，</w:t>
      </w:r>
      <w:r>
        <w:rPr>
          <w:rFonts w:hint="eastAsia" w:ascii="宋体" w:hAnsi="宋体" w:eastAsia="宋体" w:cs="宋体"/>
          <w:b w:val="0"/>
          <w:bCs/>
          <w:color w:val="000000"/>
          <w:sz w:val="24"/>
          <w:szCs w:val="24"/>
          <w:highlight w:val="none"/>
          <w:lang w:eastAsia="zh-CN"/>
        </w:rPr>
        <w:t xml:space="preserve">招标人</w:t>
      </w:r>
      <w:r>
        <w:rPr>
          <w:rFonts w:hint="eastAsia" w:ascii="宋体" w:hAnsi="宋体" w:eastAsia="宋体" w:cs="宋体"/>
          <w:b w:val="0"/>
          <w:bCs/>
          <w:color w:val="000000"/>
          <w:sz w:val="24"/>
          <w:szCs w:val="24"/>
          <w:highlight w:val="none"/>
        </w:rPr>
        <w:t xml:space="preserve">不再另行支付费用。</w:t>
      </w:r>
      <w:r>
        <w:rPr>
          <w:rFonts w:hint="eastAsia" w:ascii="宋体" w:hAnsi="宋体" w:eastAsia="宋体" w:cs="宋体"/>
          <w:b w:val="0"/>
          <w:bCs/>
          <w:color w:val="000000"/>
          <w:sz w:val="24"/>
          <w:szCs w:val="24"/>
          <w:highlight w:val="none"/>
        </w:rPr>
      </w:r>
      <w:r/>
    </w:p>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）安装调试</w:t>
      </w:r>
      <w:r>
        <w:rPr>
          <w:rFonts w:hint="eastAsia" w:ascii="宋体" w:hAnsi="宋体" w:eastAsia="宋体" w:cs="宋体"/>
          <w:b/>
          <w:bCs/>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应派有经验的技术人员到现场安装、调试，直到设备正常运行。 </w:t>
      </w:r>
      <w:r>
        <w:rPr>
          <w:rFonts w:ascii="宋体" w:hAnsi="宋体" w:cs="宋体"/>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派出的技术人员应自备在安装调试过程中所需的特殊工具和专用仪器仪表等。 </w:t>
      </w:r>
      <w:r>
        <w:rPr>
          <w:rFonts w:ascii="宋体" w:hAnsi="宋体" w:cs="宋体"/>
          <w:color w:val="000000"/>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应在现场对设备进行调试和试运行，以检验其设计制作操作性和功能等方面的情况。 </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4.设备安装完毕，应在采购人的监督下进行设备的所有功能性试运行。</w:t>
      </w:r>
      <w:r>
        <w:rPr>
          <w:rFonts w:ascii="宋体" w:hAnsi="宋体" w:cs="宋体"/>
          <w:sz w:val="24"/>
          <w:highlight w:val="none"/>
        </w:rPr>
      </w:r>
      <w:r/>
    </w:p>
    <w:p>
      <w:pPr>
        <w:pStyle w:val="882"/>
        <w:contextualSpacing/>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）验收标准</w:t>
      </w:r>
      <w:r>
        <w:rPr>
          <w:rFonts w:ascii="宋体" w:hAnsi="宋体" w:cs="宋体"/>
          <w:b/>
          <w:bCs/>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1.整机包装完整，配件数量齐全。</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到达交货地点后，</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和成交供应商在2日内共同检验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数量、质量等状况，由成交供应商负责并承担相关费用，</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应积极配合。</w:t>
      </w:r>
      <w:r>
        <w:rPr>
          <w:rFonts w:hint="eastAsia" w:ascii="宋体" w:hAnsi="宋体" w:eastAsia="宋体" w:cs="宋体"/>
          <w:sz w:val="24"/>
          <w:highlight w:val="none"/>
        </w:rPr>
      </w:r>
      <w:r/>
    </w:p>
    <w:p>
      <w:pPr>
        <w:pStyle w:val="882"/>
        <w:ind w:firstLine="480"/>
        <w:jc w:val="both"/>
        <w:spacing w:line="40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成交供应商</w:t>
      </w:r>
      <w:r>
        <w:rPr>
          <w:rFonts w:hint="eastAsia" w:ascii="宋体" w:hAnsi="宋体" w:cs="宋体"/>
          <w:sz w:val="24"/>
          <w:highlight w:val="none"/>
        </w:rPr>
        <w:t xml:space="preserve">向采购人提供详细的验收标准、验收手册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进行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安装调试并经过性能测试（功能应正常，符合技术参数指标）</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由</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组织联合验收小组</w:t>
      </w:r>
      <w:r>
        <w:rPr>
          <w:rFonts w:hint="eastAsia" w:ascii="宋体" w:hAnsi="宋体" w:cs="宋体"/>
          <w:sz w:val="24"/>
          <w:highlight w:val="none"/>
        </w:rPr>
        <w:t xml:space="preserve">按相关标准及厂方标准</w:t>
      </w:r>
      <w:r>
        <w:rPr>
          <w:rFonts w:hint="eastAsia" w:ascii="宋体" w:hAnsi="宋体" w:eastAsia="宋体" w:cs="宋体"/>
          <w:sz w:val="24"/>
          <w:highlight w:val="none"/>
        </w:rPr>
        <w:t xml:space="preserve">验收。验收合格后，双方在《验收报告》上签字</w:t>
      </w:r>
      <w:r>
        <w:rPr>
          <w:rFonts w:hint="eastAsia" w:ascii="宋体" w:hAnsi="宋体" w:eastAsia="宋体" w:cs="宋体"/>
          <w:sz w:val="24"/>
          <w:highlight w:val="none"/>
          <w:lang w:val="en-US" w:eastAsia="zh-CN"/>
        </w:rPr>
        <w:t xml:space="preserve">确认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.出厂检验报告、合格证、保修卡等配备齐全。</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当双方对验收标准有争议时，可委托双方一致认可的国家相关权威检测中心进行检测，费用由</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承担，只有在设备完全正常运转和采购人确认后，设备的安</w:t>
      </w:r>
      <w:r>
        <w:rPr>
          <w:rFonts w:hint="eastAsia" w:ascii="宋体" w:hAnsi="宋体" w:cs="宋体"/>
          <w:sz w:val="24"/>
          <w:highlight w:val="none"/>
        </w:rPr>
        <w:t xml:space="preserve">装工作才能认为已全部完成。</w:t>
      </w:r>
      <w:r>
        <w:rPr>
          <w:rFonts w:ascii="宋体" w:hAnsi="宋体" w:cs="宋体"/>
          <w:sz w:val="24"/>
          <w:highlight w:val="none"/>
        </w:rPr>
      </w:r>
      <w:r/>
    </w:p>
    <w:p>
      <w:pPr>
        <w:pStyle w:val="882"/>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提供的</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，送达后采购人有权委托权威检测机构从中随机抽取1份（套）进行全项检测，</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所供</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在质量及感官标准上有明显差异或相关参数指标不达标的，将加倍抽样检验（并对部分产品作破坏性检测），若加倍抽样仍不合格，采购人有权提出整改、返工等要求，</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必须整改到位，不得以任何理由拒绝。</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拒不整改的，采购人有权解除合同并不承担任何由此造成的一切损失。</w:t>
      </w:r>
      <w:r>
        <w:rPr>
          <w:rFonts w:hint="eastAsia" w:ascii="宋体" w:hAnsi="宋体" w:cs="宋体"/>
          <w:bCs/>
          <w:sz w:val="24"/>
          <w:highlight w:val="none"/>
        </w:rPr>
      </w:r>
      <w:r/>
    </w:p>
    <w:p>
      <w:pPr>
        <w:pStyle w:val="882"/>
        <w:ind w:firstLine="480"/>
        <w:spacing w:line="400" w:lineRule="exact"/>
        <w:rPr>
          <w:rFonts w:ascii="宋体" w:hAnsi="宋体" w:eastAsia="宋体" w:cs="宋体"/>
          <w:b/>
          <w:bCs/>
          <w:sz w:val="24"/>
          <w:highlight w:val="none"/>
          <w:lang w:val="en-US" w:eastAsia="zh-CN"/>
        </w:rPr>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.对</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安装验收不合格时，</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hint="eastAsia" w:ascii="宋体" w:hAnsi="宋体" w:cs="宋体"/>
          <w:bCs/>
          <w:sz w:val="24"/>
          <w:highlight w:val="none"/>
          <w:lang w:val="en-US" w:eastAsia="zh-CN"/>
        </w:rPr>
        <w:t xml:space="preserve">采购人可以拒收，并可以解除合同。</w:t>
      </w:r>
      <w:r>
        <w:rPr>
          <w:rFonts w:ascii="宋体" w:hAnsi="宋体" w:eastAsia="宋体" w:cs="宋体"/>
          <w:b/>
          <w:bCs/>
          <w:sz w:val="24"/>
          <w:highlight w:val="none"/>
          <w:lang w:val="en-US" w:eastAsia="zh-CN"/>
        </w:rPr>
      </w:r>
      <w:r/>
    </w:p>
    <w:p>
      <w:pPr>
        <w:pStyle w:val="8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）培训要求</w:t>
      </w:r>
      <w:r>
        <w:rPr>
          <w:rFonts w:ascii="宋体" w:hAnsi="宋体" w:cs="宋体"/>
          <w:b/>
          <w:bCs/>
          <w:color w:val="000000"/>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进行该技术内容操作使用和维护保养的培训不少于16小时。</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进行设备安全培训。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3.提供设备运行、调试、维护过程中必要的专用工具、软件，以及对相关人员进行工艺设置、设备运行、调试和维护过程中相关的专用工具及软件使用的培训。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4.成交供应商应免费提供一定数量的培训资料。</w:t>
      </w:r>
      <w:r>
        <w:rPr>
          <w:rFonts w:hint="eastAsia" w:ascii="宋体" w:hAnsi="宋体" w:eastAsia="宋体" w:cs="宋体"/>
          <w:sz w:val="24"/>
          <w:highlight w:val="none"/>
        </w:rPr>
      </w:r>
      <w:r/>
    </w:p>
    <w:p>
      <w:pPr>
        <w:pStyle w:val="939"/>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rPr>
        <w:t xml:space="preserve">要求</w:t>
      </w:r>
      <w:r>
        <w:rPr>
          <w:rFonts w:ascii="宋体" w:hAnsi="宋体" w:cs="宋体"/>
          <w:b/>
          <w:sz w:val="24"/>
          <w:szCs w:val="24"/>
          <w:highlight w:val="none"/>
        </w:rPr>
      </w:r>
      <w:r/>
    </w:p>
    <w:p>
      <w:pPr>
        <w:pStyle w:val="882"/>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须保证所提供设备是全新的、未使用过的原厂正品，并完全符合</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文件规定的质量、规格和性能的要求。</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文件必须对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文件中所列明的各条技术要求做出明确响应，同时必须明确所投设备的品牌、型号、规格和外形、尺寸、重量及一些必须说明的技术参数。</w:t>
      </w:r>
      <w:r>
        <w:rPr>
          <w:rFonts w:ascii="宋体" w:hAnsi="宋体" w:cs="宋体"/>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文件中列明的设备及元器件品牌、生产地、制造厂商、质量保证等必须符合相关的标准和规范。</w:t>
      </w:r>
      <w:r>
        <w:rPr>
          <w:rFonts w:ascii="宋体" w:hAnsi="宋体" w:cs="宋体"/>
          <w:b/>
          <w:bCs/>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sz w:val="24"/>
          <w:highlight w:val="none"/>
        </w:rPr>
        <w:t xml:space="preserve">3.本项目涉及的硬件设备及系统由</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负责测试、安装、调试等工作，</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文件中提供详细的测试、安装、调试方案。</w:t>
      </w:r>
      <w:r>
        <w:rPr>
          <w:rFonts w:ascii="宋体" w:hAnsi="宋体" w:cs="宋体"/>
          <w:b/>
          <w:bCs/>
          <w:color w:val="000000"/>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应自行到现场了解项目情况，满足采购人指定应用范围内的所有要求，与设备有关的所有配套软件、辅材和安装内容全部包含在内，除采购人明确提出需要的变更外，不再增加任何费用。</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不得以本清单有缺陷为由漏项，导致整个系统或某项功能不能满足要求。</w:t>
      </w:r>
      <w:r>
        <w:rPr>
          <w:rFonts w:ascii="宋体" w:hAnsi="宋体" w:cs="宋体"/>
          <w:sz w:val="24"/>
          <w:highlight w:val="none"/>
        </w:rPr>
      </w:r>
      <w:r/>
    </w:p>
    <w:p>
      <w:pPr>
        <w:pStyle w:val="882"/>
        <w:ind w:firstLine="480"/>
        <w:keepLines w:val="0"/>
        <w:keepNext w:val="0"/>
        <w:pageBreakBefore w:val="0"/>
        <w:spacing w:line="400" w:lineRule="exact"/>
        <w:widowControl/>
        <w:rPr>
          <w:rFonts w:ascii="宋体" w:hAnsi="宋体" w:cs="宋体"/>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所供产品在质量、性能、技术指标、技术参数等方面均应不低于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文件的规定，并同时提交该材料（设备）在质量、性能、技术指标、技术参数等方面不低于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文件要求的相关证明材料。若所投产品未达到</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w:t>
      </w:r>
      <w:r>
        <w:rPr>
          <w:rFonts w:hint="eastAsia" w:ascii="宋体" w:hAnsi="宋体" w:cs="宋体"/>
          <w:color w:val="000000"/>
          <w:sz w:val="24"/>
          <w:highlight w:val="none"/>
          <w:lang w:val="en-US" w:eastAsia="zh-CN"/>
        </w:rPr>
        <w:t xml:space="preserve">中标人</w:t>
      </w:r>
      <w:r>
        <w:rPr>
          <w:rFonts w:hint="eastAsia" w:ascii="宋体" w:hAnsi="宋体" w:cs="宋体"/>
          <w:sz w:val="24"/>
          <w:highlight w:val="none"/>
        </w:rPr>
        <w:t xml:space="preserve">必须无偿更换设备，直至达到项目要求，采购人不再承担任何费用与设备支持。</w:t>
      </w:r>
      <w:r>
        <w:rPr>
          <w:rFonts w:ascii="宋体" w:hAnsi="宋体" w:cs="宋体"/>
          <w:sz w:val="24"/>
          <w:highlight w:val="none"/>
        </w:rPr>
      </w:r>
      <w:r/>
    </w:p>
    <w:p>
      <w:pPr>
        <w:pStyle w:val="939"/>
        <w:numPr>
          <w:ilvl w:val="0"/>
          <w:numId w:val="0"/>
        </w:numPr>
        <w:contextualSpacing/>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其他</w:t>
      </w:r>
      <w:r>
        <w:rPr>
          <w:rFonts w:hint="eastAsia" w:ascii="宋体" w:hAnsi="宋体" w:cs="宋体"/>
          <w:b/>
          <w:bCs/>
          <w:sz w:val="24"/>
          <w:szCs w:val="24"/>
          <w:highlight w:val="none"/>
        </w:rPr>
      </w:r>
      <w:r/>
    </w:p>
    <w:p>
      <w:pPr>
        <w:pStyle w:val="882"/>
        <w:contextualSpacing/>
        <w:ind w:firstLine="482"/>
        <w:keepLines w:val="0"/>
        <w:keepNext w:val="0"/>
        <w:pageBreakBefore w:val="0"/>
        <w:spacing w:line="400" w:lineRule="exact"/>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rPr>
        <w:t xml:space="preserve">本项目报价为含税报价，</w:t>
      </w:r>
      <w:r>
        <w:rPr>
          <w:rFonts w:hint="eastAsia" w:ascii="宋体" w:hAnsi="宋体" w:eastAsia="宋体" w:cs="宋体"/>
          <w:sz w:val="24"/>
          <w:highlight w:val="none"/>
          <w:lang w:val="en-US" w:eastAsia="zh-CN"/>
        </w:rPr>
        <w:t xml:space="preserve">投标报价应包括</w:t>
      </w:r>
      <w:bookmarkStart w:id="663" w:name="OLE_LINK6"/>
      <w:r>
        <w:rPr>
          <w:rFonts w:hint="eastAsia" w:ascii="宋体" w:hAnsi="宋体" w:eastAsia="宋体" w:cs="宋体"/>
          <w:sz w:val="24"/>
          <w:highlight w:val="none"/>
          <w:lang w:val="en-US" w:eastAsia="zh-CN"/>
        </w:rPr>
        <w:t xml:space="preserve">招标文件所确定的采购范围内相应货物和服务的供货、包装、运输、保险、辅助设备、安装调试、管理、维护（包括质保期内的一切维修、保养、备品备件、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成交供应商应无条件、无偿补齐，所发生的一切费用，视为已包含在供应商的报价之中，且并不因此而影响交付实际使用人的时间。</w:t>
      </w:r>
      <w:bookmarkEnd w:id="663"/>
      <w:r>
        <w:rPr>
          <w:rFonts w:hint="eastAsia" w:ascii="宋体" w:hAnsi="宋体" w:eastAsia="宋体" w:cs="宋体"/>
          <w:sz w:val="24"/>
          <w:highlight w:val="none"/>
          <w:lang w:val="en-US" w:eastAsia="zh-CN"/>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报价货币为人民币，评审时以人民币为准。</w:t>
      </w:r>
      <w:r>
        <w:rPr>
          <w:rFonts w:hint="eastAsia" w:ascii="宋体" w:hAnsi="宋体" w:eastAsia="宋体" w:cs="宋体"/>
          <w:sz w:val="24"/>
          <w:highlight w:val="none"/>
          <w:lang w:val="en-US" w:eastAsia="zh-CN"/>
        </w:rPr>
      </w:r>
      <w:r/>
    </w:p>
    <w:p>
      <w:pPr>
        <w:pStyle w:val="882"/>
        <w:ind w:firstLine="482"/>
        <w:keepLines w:val="0"/>
        <w:keepNext w:val="0"/>
        <w:pageBreakBefore w:val="0"/>
        <w:spacing w:line="400" w:lineRule="exact"/>
        <w:rPr>
          <w:rFonts w:ascii="宋体" w:hAnsi="宋体" w:cs="宋体"/>
          <w:b/>
          <w:bCs/>
          <w:sz w:val="24"/>
          <w:highlight w:val="none"/>
        </w:rPr>
      </w:pPr>
      <w:r>
        <w:rPr>
          <w:rFonts w:hint="eastAsia" w:ascii="宋体" w:hAnsi="宋体" w:cs="宋体"/>
          <w:b/>
          <w:bCs/>
          <w:sz w:val="24"/>
          <w:highlight w:val="none"/>
        </w:rPr>
        <w:t xml:space="preserve">（二）安全要求</w:t>
      </w:r>
      <w:r>
        <w:rPr>
          <w:rFonts w:ascii="宋体" w:hAnsi="宋体" w:cs="宋体"/>
          <w:b/>
          <w:bCs/>
          <w:sz w:val="24"/>
          <w:highlight w:val="none"/>
        </w:rPr>
      </w:r>
      <w:r/>
    </w:p>
    <w:p>
      <w:pPr>
        <w:pStyle w:val="882"/>
        <w:ind w:firstLine="480"/>
        <w:keepLines w:val="0"/>
        <w:keepNext w:val="0"/>
        <w:pageBreakBefore w:val="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应保证货物不存在危及人身及财产安全的产品缺陷，否则应承担全部法律责任。</w:t>
      </w:r>
      <w:r>
        <w:rPr>
          <w:rFonts w:ascii="宋体" w:hAnsi="宋体" w:cs="宋体"/>
          <w:sz w:val="24"/>
          <w:highlight w:val="none"/>
        </w:rPr>
      </w:r>
      <w:r/>
    </w:p>
    <w:p>
      <w:pPr>
        <w:pStyle w:val="882"/>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2.在货物安装、运输过程中产生的一切安全责任事故由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承担，采购人不承担由此带来的一切经济、法律责任。</w:t>
      </w:r>
      <w:r>
        <w:rPr>
          <w:rFonts w:hint="eastAsia" w:ascii="宋体" w:hAnsi="宋体" w:cs="宋体"/>
          <w:sz w:val="24"/>
          <w:highlight w:val="none"/>
        </w:rPr>
      </w:r>
      <w:r/>
    </w:p>
    <w:p>
      <w:pPr>
        <w:pStyle w:val="882"/>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（三）偏离要求</w:t>
      </w:r>
      <w:r>
        <w:rPr>
          <w:rFonts w:ascii="宋体" w:hAnsi="宋体" w:cs="宋体"/>
          <w:b/>
          <w:bCs/>
          <w:sz w:val="24"/>
          <w:highlight w:val="none"/>
        </w:rPr>
      </w:r>
      <w:r/>
    </w:p>
    <w:p>
      <w:pPr>
        <w:pStyle w:val="882"/>
        <w:ind w:firstLine="480"/>
        <w:spacing w:line="400" w:lineRule="exact"/>
        <w:rPr>
          <w:bCs/>
          <w:highlight w:val="none"/>
        </w:rPr>
      </w:pPr>
      <w:r>
        <w:rPr>
          <w:rFonts w:hint="eastAsia" w:ascii="宋体" w:hAnsi="宋体" w:cs="宋体"/>
          <w:bCs/>
          <w:sz w:val="24"/>
          <w:highlight w:val="none"/>
        </w:rPr>
        <w:t xml:space="preserve">如果</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没有以书面形式对本</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文件的条文提出异议，则意味着</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所提供的设备和服务完全符合</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文件的要求，如有偏离，请在《采购需求偏离表》中详细列出。</w:t>
      </w:r>
      <w:r>
        <w:rPr>
          <w:bCs/>
          <w:highlight w:val="none"/>
        </w:rPr>
      </w:r>
      <w:r/>
    </w:p>
    <w:p>
      <w:pPr>
        <w:pStyle w:val="882"/>
        <w:ind w:firstLine="480"/>
        <w:keepLines w:val="0"/>
        <w:keepNext w:val="0"/>
        <w:pageBreakBefore w:val="0"/>
        <w:spacing w:line="400" w:lineRule="exact"/>
        <w:rPr>
          <w:rFonts w:hint="eastAsia" w:ascii="宋体" w:hAnsi="宋体" w:cs="宋体"/>
          <w:sz w:val="24"/>
          <w:highlight w:val="none"/>
        </w:rPr>
      </w:pPr>
      <w:r>
        <w:rPr>
          <w:rFonts w:hint="eastAsia" w:ascii="宋体" w:hAnsi="宋体" w:cs="宋体"/>
          <w:sz w:val="24"/>
          <w:highlight w:val="none"/>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t xml:space="preserve">第六章   拟签订的合同文本</w:t>
      </w:r>
      <w:bookmarkEnd w:id="662"/>
      <w:r>
        <w:rPr>
          <w:b/>
          <w:color w:val="000000"/>
          <w:sz w:val="36"/>
          <w:szCs w:val="36"/>
        </w:rPr>
      </w:r>
      <w:r/>
    </w:p>
    <w:p>
      <w:pPr>
        <w:pStyle w:val="882"/>
        <w:rPr>
          <w:rFonts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jc w:val="center"/>
        <w:rPr>
          <w:rFonts w:ascii="宋体" w:hAnsi="宋体" w:cs="宋体"/>
          <w:b/>
          <w:sz w:val="28"/>
          <w:szCs w:val="28"/>
          <w:highlight w:val="none"/>
        </w:rPr>
      </w:pPr>
      <w:r>
        <w:rPr>
          <w:rFonts w:hint="eastAsia" w:ascii="宋体" w:hAnsi="宋体" w:cs="宋体"/>
          <w:b/>
          <w:sz w:val="32"/>
          <w:szCs w:val="32"/>
          <w:highlight w:val="none"/>
        </w:rPr>
        <w:t xml:space="preserve">        </w:t>
      </w: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44"/>
          <w:szCs w:val="44"/>
          <w:highlight w:val="none"/>
        </w:rPr>
      </w:pPr>
      <w:r>
        <w:rPr>
          <w:rFonts w:hint="eastAsia" w:ascii="宋体" w:hAnsi="宋体" w:cs="宋体"/>
          <w:b/>
          <w:sz w:val="44"/>
          <w:szCs w:val="44"/>
          <w:highlight w:val="none"/>
        </w:rPr>
        <w:t xml:space="preserve">政府采购合同</w:t>
      </w:r>
      <w:r>
        <w:rPr>
          <w:rFonts w:ascii="宋体" w:hAnsi="宋体" w:cs="宋体"/>
          <w:b/>
          <w:sz w:val="44"/>
          <w:szCs w:val="44"/>
          <w:highlight w:val="none"/>
        </w:rPr>
      </w:r>
      <w:r/>
    </w:p>
    <w:p>
      <w:pPr>
        <w:pStyle w:val="882"/>
        <w:jc w:val="center"/>
        <w:rPr>
          <w:rFonts w:ascii="宋体" w:hAnsi="宋体" w:cs="宋体"/>
          <w:b/>
          <w:sz w:val="24"/>
          <w:highlight w:val="none"/>
        </w:rPr>
      </w:pPr>
      <w:r>
        <w:rPr>
          <w:rFonts w:hint="eastAsia" w:ascii="宋体" w:hAnsi="宋体" w:cs="宋体"/>
          <w:b/>
          <w:sz w:val="24"/>
          <w:highlight w:val="none"/>
        </w:rPr>
        <w:t xml:space="preserve">（货物类）</w:t>
      </w:r>
      <w:r>
        <w:rPr>
          <w:rFonts w:ascii="宋体" w:hAnsi="宋体" w:cs="宋体"/>
          <w:b/>
          <w:sz w:val="24"/>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2"/>
        <w:jc w:val="center"/>
        <w:rPr>
          <w:rFonts w:hAnsi="宋体" w:cs="宋体"/>
          <w:b/>
          <w:highlight w:val="none"/>
        </w:rPr>
      </w:pPr>
      <w:r>
        <w:rPr>
          <w:rFonts w:hint="eastAsia" w:hAnsi="宋体" w:cs="宋体"/>
          <w:b/>
          <w:highlight w:val="none"/>
        </w:rPr>
        <w:t xml:space="preserve">第一部分 合同书</w:t>
      </w:r>
      <w:r>
        <w:rPr>
          <w:rFonts w:hAnsi="宋体" w:cs="宋体"/>
          <w:b/>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ascii="宋体" w:hAnsi="宋体" w:cs="宋体"/>
          <w:sz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882"/>
        <w:rPr>
          <w:rFonts w:ascii="宋体" w:hAnsi="宋体" w:cs="宋体"/>
          <w:highlight w:val="none"/>
        </w:rPr>
      </w:pPr>
      <w:r>
        <w:rPr>
          <w:rFonts w:ascii="宋体" w:hAnsi="宋体" w:cs="宋体"/>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u w:val="single"/>
        </w:rPr>
      </w:r>
      <w:r/>
    </w:p>
    <w:p>
      <w:pPr>
        <w:pStyle w:val="882"/>
        <w:ind w:firstLine="640"/>
        <w:jc w:val="center"/>
        <w:rPr>
          <w:rFonts w:ascii="宋体" w:hAnsi="宋体" w:cs="宋体"/>
          <w:sz w:val="24"/>
          <w:highlight w:val="none"/>
        </w:rPr>
        <w:sectPr>
          <w:headerReference w:type="default" r:id="rId11"/>
          <w:headerReference w:type="first" r:id="rId12"/>
          <w:footerReference w:type="default" r:id="rId17"/>
          <w:footerReference w:type="first" r:id="rId18"/>
          <w:footnotePr/>
          <w:endnotePr/>
          <w:type w:val="nextPage"/>
          <w:pgSz w:w="11905" w:h="16838" w:orient="portrait"/>
          <w:pgMar w:top="1440" w:right="1417" w:bottom="1440" w:left="1417" w:header="851" w:footer="850" w:gutter="0"/>
          <w:pgNumType w:start="1"/>
          <w:cols w:num="1" w:sep="0" w:space="1701" w:equalWidth="1"/>
          <w:docGrid w:linePitch="360"/>
          <w:titlePg/>
        </w:sectPr>
      </w:pP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以</w:t>
      </w:r>
      <w:r>
        <w:rPr>
          <w:rFonts w:hint="eastAsia" w:ascii="宋体" w:hAnsi="宋体" w:cs="宋体"/>
          <w:sz w:val="24"/>
          <w:highlight w:val="none"/>
          <w:u w:val="single"/>
        </w:rPr>
        <w:t xml:space="preserve">   （政府采购方式）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（同前页项目名称）   </w:t>
      </w:r>
      <w:r>
        <w:rPr>
          <w:rFonts w:hint="eastAsia" w:ascii="宋体" w:hAnsi="宋体" w:cs="宋体"/>
          <w:sz w:val="24"/>
          <w:highlight w:val="none"/>
        </w:rPr>
        <w:t xml:space="preserve">项目进行了采购。经</w:t>
      </w:r>
      <w:r>
        <w:rPr>
          <w:rFonts w:hint="eastAsia" w:ascii="宋体" w:hAnsi="宋体" w:cs="宋体"/>
          <w:sz w:val="24"/>
          <w:highlight w:val="none"/>
          <w:u w:val="single"/>
        </w:rPr>
        <w:t xml:space="preserve">   （相关评定主体名称）   </w:t>
      </w:r>
      <w:r>
        <w:rPr>
          <w:rFonts w:hint="eastAsia" w:ascii="宋体" w:hAnsi="宋体" w:cs="宋体"/>
          <w:sz w:val="24"/>
          <w:highlight w:val="none"/>
        </w:rPr>
        <w:t xml:space="preserve">评定，</w:t>
      </w:r>
      <w:r>
        <w:rPr>
          <w:rFonts w:hint="eastAsia" w:ascii="宋体" w:hAnsi="宋体" w:cs="宋体"/>
          <w:sz w:val="24"/>
          <w:highlight w:val="none"/>
          <w:u w:val="single"/>
        </w:rPr>
        <w:t xml:space="preserve">   （成交供应商名称）</w:t>
      </w:r>
      <w:r>
        <w:rPr>
          <w:rFonts w:hint="eastAsia" w:ascii="宋体" w:hAnsi="宋体" w:cs="宋体"/>
          <w:sz w:val="24"/>
          <w:highlight w:val="none"/>
        </w:rPr>
        <w:t xml:space="preserve">为该项目成交供应商。现于中标通知书发出之日起三十日内，按照采购文件确定的事项签订本合同。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lang w:val="zh-CN"/>
        </w:rPr>
        <w:t xml:space="preserve">根据《中华人民共和国</w:t>
      </w:r>
      <w:r>
        <w:rPr>
          <w:rFonts w:hint="eastAsia" w:ascii="宋体" w:hAnsi="宋体" w:cs="宋体"/>
          <w:sz w:val="24"/>
          <w:highlight w:val="none"/>
        </w:rPr>
        <w:t xml:space="preserve">民法典</w:t>
      </w:r>
      <w:r>
        <w:rPr>
          <w:rFonts w:hint="eastAsia" w:ascii="宋体" w:hAnsi="宋体" w:cs="宋体"/>
          <w:sz w:val="24"/>
          <w:highlight w:val="none"/>
          <w:lang w:val="zh-CN"/>
        </w:rPr>
        <w:t xml:space="preserve">》、《中华人民共和国政府采购法》等相关法律法规之规定，按照平等、自愿、公平和诚实信用的原则，经</w:t>
      </w:r>
      <w:r>
        <w:rPr>
          <w:rFonts w:hint="eastAsia" w:ascii="宋体" w:hAnsi="宋体" w:cs="宋体"/>
          <w:sz w:val="24"/>
          <w:highlight w:val="none"/>
          <w:u w:val="single"/>
        </w:rPr>
        <w:t xml:space="preserve">   （采购人名称）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   </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4" w:name="_Toc3029"/>
      <w:r/>
      <w:bookmarkStart w:id="665" w:name="_Toc2232"/>
      <w:r/>
      <w:bookmarkStart w:id="666" w:name="_Toc24059"/>
      <w:r>
        <w:rPr>
          <w:rFonts w:hint="eastAsia" w:ascii="宋体" w:hAnsi="宋体" w:cs="宋体"/>
          <w:b/>
          <w:sz w:val="24"/>
          <w:highlight w:val="none"/>
        </w:rPr>
        <w:t xml:space="preserve">1.1 合同组成部分</w:t>
      </w:r>
      <w:bookmarkEnd w:id="664"/>
      <w:r/>
      <w:bookmarkEnd w:id="665"/>
      <w:r/>
      <w:bookmarkEnd w:id="666"/>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1.1.1 本合同及其补充合同、变更协议；</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1.1.2 中标通知书；</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1.1.3 响应文件（含澄清或者说明文件）；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1.1.4 招标文件（含澄清或者修改文件）；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1.1.5 其他相关采购文件。</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7" w:name="_Toc27126"/>
      <w:r/>
      <w:bookmarkStart w:id="668" w:name="_Toc24300"/>
      <w:r/>
      <w:bookmarkStart w:id="669" w:name="_Toc21295"/>
      <w:r>
        <w:rPr>
          <w:rFonts w:hint="eastAsia" w:ascii="宋体" w:hAnsi="宋体" w:cs="宋体"/>
          <w:b/>
          <w:sz w:val="24"/>
          <w:highlight w:val="none"/>
        </w:rPr>
        <w:t xml:space="preserve">1.2 货物</w:t>
      </w:r>
      <w:bookmarkEnd w:id="667"/>
      <w:r/>
      <w:bookmarkEnd w:id="668"/>
      <w:r/>
      <w:bookmarkEnd w:id="669"/>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0" w:name="_Toc21631"/>
      <w:r/>
      <w:bookmarkStart w:id="671" w:name="_Toc21551"/>
      <w:r/>
      <w:bookmarkStart w:id="672" w:name="_Toc23292"/>
      <w:r>
        <w:rPr>
          <w:rFonts w:hint="eastAsia" w:ascii="宋体" w:hAnsi="宋体" w:cs="宋体"/>
          <w:b/>
          <w:sz w:val="24"/>
          <w:highlight w:val="none"/>
        </w:rPr>
        <w:t xml:space="preserve">1.3 价款</w:t>
      </w:r>
      <w:bookmarkEnd w:id="670"/>
      <w:r/>
      <w:bookmarkEnd w:id="671"/>
      <w:r/>
      <w:bookmarkEnd w:id="67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rPr>
          <w:rFonts w:ascii="宋体" w:hAnsi="宋体" w:cs="宋体"/>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分项价格：</w:t>
      </w:r>
      <w:r>
        <w:rPr>
          <w:rFonts w:ascii="宋体" w:hAnsi="宋体" w:cs="宋体"/>
          <w:sz w:val="24"/>
          <w:highlight w:val="none"/>
          <w:u w:val="single"/>
        </w:rPr>
      </w:r>
      <w:r/>
    </w:p>
    <w:tbl>
      <w:tblPr>
        <w:tblW w:w="7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3228"/>
      </w:tblGrid>
      <w:tr>
        <w:trPr>
          <w:trHeight w:val="369"/>
        </w:trPr>
        <w:tc>
          <w:tcPr>
            <w:tcW w:w="1201"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序号</w:t>
            </w: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分项名称</w:t>
            </w:r>
            <w:r>
              <w:rPr>
                <w:rFonts w:hAnsi="宋体" w:cs="宋体"/>
                <w:sz w:val="24"/>
                <w:szCs w:val="24"/>
                <w:highlight w:val="none"/>
              </w:rPr>
            </w:r>
            <w:r/>
          </w:p>
        </w:tc>
        <w:tc>
          <w:tcPr>
            <w:tcW w:w="3228"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分项价格</w:t>
            </w: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gridSpan w:val="2"/>
            <w:tcW w:w="4603"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总价</w:t>
            </w: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bl>
    <w:p>
      <w:pPr>
        <w:pStyle w:val="882"/>
        <w:ind w:firstLine="482"/>
        <w:spacing w:line="400" w:lineRule="exact"/>
        <w:rPr>
          <w:rFonts w:ascii="宋体" w:hAnsi="宋体" w:cs="宋体"/>
          <w:b/>
          <w:sz w:val="24"/>
          <w:highlight w:val="none"/>
        </w:rPr>
        <w:outlineLvl w:val="0"/>
      </w:pPr>
      <w:r/>
      <w:bookmarkStart w:id="673" w:name="_Toc10340"/>
      <w:r/>
      <w:bookmarkStart w:id="674" w:name="_Toc22618"/>
      <w:r/>
      <w:bookmarkStart w:id="675" w:name="_Toc1814"/>
      <w:r>
        <w:rPr>
          <w:rFonts w:hint="eastAsia" w:ascii="宋体" w:hAnsi="宋体" w:cs="宋体"/>
          <w:b/>
          <w:sz w:val="24"/>
          <w:highlight w:val="none"/>
        </w:rPr>
        <w:t xml:space="preserve">1.4 付款方式和发票开具方式</w:t>
      </w:r>
      <w:bookmarkEnd w:id="673"/>
      <w:r/>
      <w:bookmarkEnd w:id="674"/>
      <w:r/>
      <w:bookmarkEnd w:id="675"/>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增值税发票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6" w:name="_Toc32071"/>
      <w:r/>
      <w:bookmarkStart w:id="677" w:name="_Toc2846"/>
      <w:r/>
      <w:bookmarkStart w:id="678" w:name="_Toc19304"/>
      <w:r>
        <w:rPr>
          <w:rFonts w:hint="eastAsia" w:ascii="宋体" w:hAnsi="宋体" w:cs="宋体"/>
          <w:b/>
          <w:sz w:val="24"/>
          <w:highlight w:val="none"/>
        </w:rPr>
        <w:t xml:space="preserve">1.5 货物交付期限、地点和方式</w:t>
      </w:r>
      <w:bookmarkEnd w:id="676"/>
      <w:r/>
      <w:bookmarkEnd w:id="677"/>
      <w:r/>
      <w:bookmarkEnd w:id="678"/>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甲方指定地点              </w:t>
      </w:r>
      <w:r>
        <w:rPr>
          <w:rFonts w:hint="eastAsia" w:ascii="宋体" w:hAnsi="宋体" w:cs="宋体"/>
          <w:sz w:val="24"/>
          <w:highlight w:val="none"/>
        </w:rPr>
        <w:t xml:space="preserve">；</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现场交货并经甲方验收合格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9" w:name="_Toc19554"/>
      <w:r/>
      <w:bookmarkStart w:id="680" w:name="_Toc27250"/>
      <w:r/>
      <w:bookmarkStart w:id="681" w:name="_Toc21423"/>
      <w:r>
        <w:rPr>
          <w:rFonts w:hint="eastAsia" w:ascii="宋体" w:hAnsi="宋体" w:cs="宋体"/>
          <w:b/>
          <w:sz w:val="24"/>
          <w:highlight w:val="none"/>
        </w:rPr>
        <w:t xml:space="preserve">1.6 违约责任</w:t>
      </w:r>
      <w:bookmarkEnd w:id="679"/>
      <w:r/>
      <w:bookmarkEnd w:id="680"/>
      <w:r/>
      <w:bookmarkEnd w:id="681"/>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0.5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10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0.02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5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2" w:name="_Toc15583"/>
      <w:r/>
      <w:bookmarkStart w:id="683" w:name="_Toc16021"/>
      <w:r/>
      <w:bookmarkStart w:id="684" w:name="_Toc28375"/>
      <w:r>
        <w:rPr>
          <w:rFonts w:hint="eastAsia" w:ascii="宋体" w:hAnsi="宋体" w:cs="宋体"/>
          <w:b/>
          <w:sz w:val="24"/>
          <w:highlight w:val="none"/>
        </w:rPr>
        <w:t xml:space="preserve">1.7 合同争议的解决</w:t>
      </w:r>
      <w:bookmarkEnd w:id="682"/>
      <w:r/>
      <w:bookmarkEnd w:id="683"/>
      <w:r/>
      <w:bookmarkEnd w:id="68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1.7.1  </w:t>
      </w:r>
      <w:r>
        <w:rPr>
          <w:rFonts w:hint="eastAsia" w:ascii="宋体" w:hAnsi="宋体" w:cs="宋体"/>
          <w:sz w:val="24"/>
          <w:highlight w:val="none"/>
        </w:rPr>
        <w:t xml:space="preserve">种方式解决：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1.7.1 将争议提交</w:t>
      </w:r>
      <w:r>
        <w:rPr>
          <w:rFonts w:hint="eastAsia" w:ascii="宋体" w:hAnsi="宋体" w:cs="宋体"/>
          <w:sz w:val="24"/>
          <w:highlight w:val="none"/>
          <w:u w:val="single"/>
        </w:rPr>
        <w:t xml:space="preserve">  甲方所在地的  </w:t>
      </w:r>
      <w:r>
        <w:rPr>
          <w:rFonts w:hint="eastAsia" w:ascii="宋体" w:hAnsi="宋体" w:cs="宋体"/>
          <w:sz w:val="24"/>
          <w:highlight w:val="none"/>
        </w:rPr>
        <w:t xml:space="preserve">仲裁委员会依申请仲裁时其现行有效的仲裁规则裁决；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1.7.2 向</w:t>
      </w:r>
      <w:r>
        <w:rPr>
          <w:rFonts w:hint="eastAsia" w:ascii="宋体" w:hAnsi="宋体" w:cs="宋体"/>
          <w:sz w:val="24"/>
          <w:highlight w:val="none"/>
          <w:u w:val="single"/>
        </w:rPr>
        <w:t xml:space="preserve">   甲方所在地   </w:t>
      </w:r>
      <w:r>
        <w:rPr>
          <w:rFonts w:hint="eastAsia" w:ascii="宋体" w:hAnsi="宋体" w:cs="宋体"/>
          <w:sz w:val="24"/>
          <w:highlight w:val="none"/>
        </w:rPr>
        <w:t xml:space="preserve">人民法院起诉。</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5" w:name="_Toc11173"/>
      <w:r/>
      <w:bookmarkStart w:id="686" w:name="_Toc15322"/>
      <w:r/>
      <w:bookmarkStart w:id="687" w:name="_Toc7245"/>
      <w:r>
        <w:rPr>
          <w:rFonts w:hint="eastAsia" w:ascii="宋体" w:hAnsi="宋体" w:cs="宋体"/>
          <w:b/>
          <w:sz w:val="24"/>
          <w:highlight w:val="none"/>
        </w:rPr>
        <w:t xml:space="preserve">1.8 合同生效</w:t>
      </w:r>
      <w:bookmarkEnd w:id="685"/>
      <w:r/>
      <w:bookmarkEnd w:id="686"/>
      <w:r/>
      <w:bookmarkEnd w:id="687"/>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本合同自双方当事人盖章或者签字时生效。</w:t>
      </w:r>
      <w:r>
        <w:rPr>
          <w:rFonts w:ascii="宋体" w:hAnsi="宋体" w:cs="宋体"/>
          <w:b/>
          <w:sz w:val="24"/>
          <w:highlight w:val="none"/>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      乙方</w:t>
      </w:r>
      <w:r>
        <w:rPr>
          <w:rFonts w:hint="eastAsia" w:ascii="宋体" w:hAnsi="宋体" w:cs="宋体"/>
          <w:sz w:val="24"/>
          <w:highlight w:val="none"/>
          <w:lang w:val="zh-CN"/>
        </w:rPr>
        <w:t xml:space="preserve">：</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                            </w:t>
      </w:r>
      <w:r>
        <w:rPr>
          <w:rFonts w:hint="eastAsia" w:ascii="宋体" w:hAnsi="宋体" w:cs="宋体"/>
          <w:sz w:val="24"/>
          <w:highlight w:val="none"/>
        </w:rPr>
        <w:t xml:space="preserve">   </w:t>
      </w:r>
      <w:r>
        <w:rPr>
          <w:rFonts w:hint="eastAsia" w:ascii="宋体" w:hAnsi="宋体" w:cs="宋体"/>
          <w:sz w:val="24"/>
          <w:highlight w:val="none"/>
          <w:lang w:val="zh-CN"/>
        </w:rPr>
        <w:t xml:space="preserve">法定代表人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或授权代表（签字）：                     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联系人：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电话：                                   电话：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传真：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传真：</w:t>
      </w:r>
      <w:r>
        <w:rPr>
          <w:rFonts w:ascii="宋体" w:hAnsi="宋体" w:cs="宋体"/>
          <w:sz w:val="24"/>
          <w:highlight w:val="none"/>
          <w:lang w:val="zh-CN"/>
        </w:rPr>
      </w:r>
      <w:r/>
    </w:p>
    <w:p>
      <w:pPr>
        <w:pStyle w:val="882"/>
        <w:spacing w:line="400" w:lineRule="exact"/>
        <w:rPr>
          <w:rFonts w:ascii="宋体" w:hAnsi="宋体" w:cs="宋体"/>
          <w:sz w:val="24"/>
          <w:highlight w:val="none"/>
        </w:rPr>
      </w:pPr>
      <w:r>
        <w:rPr>
          <w:rFonts w:hint="eastAsia" w:ascii="宋体" w:hAnsi="宋体" w:cs="宋体"/>
          <w:sz w:val="24"/>
          <w:highlight w:val="none"/>
          <w:lang w:val="zh-CN"/>
        </w:rPr>
        <w:t xml:space="preserve">电子邮箱：                               电子邮箱：</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开户银行：                               开户银行：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开户名称：                               开户名称：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开户账号：</w:t>
      </w:r>
      <w:r>
        <w:rPr>
          <w:rFonts w:hint="eastAsia" w:ascii="宋体" w:hAnsi="宋体" w:cs="宋体"/>
          <w:sz w:val="24"/>
          <w:highlight w:val="none"/>
          <w:lang w:val="zh-CN"/>
        </w:rPr>
        <w:t xml:space="preserve">                               </w:t>
      </w:r>
      <w:r>
        <w:rPr>
          <w:rFonts w:hint="eastAsia" w:ascii="宋体" w:hAnsi="宋体" w:cs="宋体"/>
          <w:sz w:val="24"/>
          <w:highlight w:val="none"/>
        </w:rPr>
        <w:t xml:space="preserve">开户账号：</w:t>
      </w:r>
      <w:r>
        <w:rPr>
          <w:rFonts w:ascii="宋体" w:hAnsi="宋体" w:cs="宋体"/>
          <w:sz w:val="24"/>
          <w:highlight w:val="none"/>
        </w:rPr>
      </w:r>
      <w:r/>
    </w:p>
    <w:p>
      <w:pPr>
        <w:pStyle w:val="882"/>
        <w:jc w:val="left"/>
        <w:spacing w:line="400" w:lineRule="exact"/>
        <w:widowControl/>
        <w:rPr>
          <w:rFonts w:ascii="宋体" w:hAnsi="宋体" w:cs="宋体"/>
          <w:b/>
          <w:highlight w:val="none"/>
        </w:rPr>
      </w:pPr>
      <w:r/>
      <w:bookmarkStart w:id="688" w:name="_Toc331685783"/>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spacing w:line="400" w:lineRule="exact"/>
        <w:rPr>
          <w:rFonts w:ascii="宋体" w:hAnsi="宋体" w:cs="宋体"/>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w:t>
      </w:r>
      <w:r>
        <w:rPr>
          <w:rFonts w:hint="eastAsia" w:ascii="宋体" w:hAnsi="宋体" w:cs="宋体"/>
          <w:sz w:val="24"/>
          <w:highlight w:val="none"/>
          <w:lang w:val="en-US" w:eastAsia="zh-CN"/>
        </w:rPr>
        <w:t xml:space="preserve">市水利规划设计院</w:t>
      </w:r>
      <w:r>
        <w:rPr>
          <w:rFonts w:hint="eastAsia" w:ascii="宋体" w:hAnsi="宋体" w:cs="宋体"/>
          <w:sz w:val="24"/>
          <w:highlight w:val="none"/>
        </w:rPr>
        <w:t xml:space="preserve">有限公司</w:t>
      </w:r>
      <w:r>
        <w:rPr>
          <w:rFonts w:ascii="宋体" w:hAnsi="宋体" w:cs="宋体"/>
          <w:sz w:val="24"/>
          <w:highlight w:val="none"/>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w:t>
      </w:r>
      <w:r>
        <w:rPr>
          <w:rFonts w:ascii="宋体" w:hAnsi="宋体" w:cs="宋体"/>
          <w:sz w:val="24"/>
          <w:highlight w:val="none"/>
          <w:lang w:val="zh-CN"/>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932"/>
        <w:ind w:firstLine="482"/>
        <w:rPr>
          <w:rFonts w:ascii="宋体" w:hAnsi="宋体" w:cs="宋体"/>
          <w:b/>
          <w:highlight w:val="none"/>
        </w:rPr>
      </w:pPr>
      <w:r>
        <w:rPr>
          <w:rFonts w:ascii="宋体" w:hAnsi="宋体" w:cs="宋体"/>
          <w:b/>
          <w:highlight w:val="none"/>
        </w:rPr>
      </w:r>
      <w:r/>
    </w:p>
    <w:p>
      <w:pPr>
        <w:pStyle w:val="1167"/>
        <w:ind w:firstLine="482"/>
        <w:jc w:val="center"/>
        <w:spacing w:line="400" w:lineRule="exact"/>
        <w:rPr>
          <w:rFonts w:hAnsi="宋体" w:cs="宋体"/>
          <w:b/>
          <w:highlight w:val="none"/>
        </w:rPr>
      </w:pPr>
      <w:r>
        <w:rPr>
          <w:rFonts w:hint="eastAsia" w:hAnsi="宋体" w:cs="宋体"/>
          <w:b/>
          <w:highlight w:val="none"/>
        </w:rPr>
        <w:br w:type="page" w:clear="all"/>
      </w:r>
      <w:r>
        <w:rPr>
          <w:rFonts w:hint="eastAsia" w:hAnsi="宋体" w:cs="宋体"/>
          <w:b/>
          <w:highlight w:val="none"/>
        </w:rPr>
        <w:t xml:space="preserve">第二部分 合同一般条款</w:t>
      </w:r>
      <w:bookmarkEnd w:id="688"/>
      <w:r>
        <w:rPr>
          <w:rFonts w:hAnsi="宋体" w:cs="宋体"/>
          <w:b/>
          <w:highlight w:val="none"/>
        </w:rPr>
      </w:r>
      <w:r/>
    </w:p>
    <w:p>
      <w:pPr>
        <w:pStyle w:val="882"/>
        <w:ind w:firstLine="482"/>
        <w:spacing w:line="400" w:lineRule="exact"/>
        <w:rPr>
          <w:rFonts w:ascii="宋体" w:hAnsi="宋体" w:cs="宋体"/>
          <w:b/>
          <w:sz w:val="24"/>
          <w:highlight w:val="none"/>
        </w:rPr>
        <w:outlineLvl w:val="0"/>
      </w:pPr>
      <w:r/>
      <w:bookmarkStart w:id="689" w:name="_Ref467379225"/>
      <w:r/>
      <w:bookmarkStart w:id="690" w:name="_Toc259093669"/>
      <w:r/>
      <w:bookmarkStart w:id="691" w:name="_Ref467379195"/>
      <w:r/>
      <w:bookmarkStart w:id="692" w:name="_Toc19614"/>
      <w:r/>
      <w:bookmarkStart w:id="693" w:name="_Toc16917"/>
      <w:r/>
      <w:bookmarkStart w:id="694" w:name="_Ref467379101"/>
      <w:r/>
      <w:bookmarkStart w:id="695" w:name="_Ref467379094"/>
      <w:r/>
      <w:bookmarkStart w:id="696" w:name="_Toc487900349"/>
      <w:r/>
      <w:bookmarkStart w:id="697" w:name="_Ref467379214"/>
      <w:r/>
      <w:bookmarkStart w:id="698" w:name="_Toc279701240"/>
      <w:r/>
      <w:bookmarkStart w:id="699" w:name="_Ref467378463"/>
      <w:r/>
      <w:bookmarkStart w:id="700" w:name="_Ref467379109"/>
      <w:r/>
      <w:bookmarkStart w:id="701" w:name="_Ref467378499"/>
      <w:r/>
      <w:bookmarkStart w:id="702" w:name="_Ref467379205"/>
      <w:r/>
      <w:bookmarkStart w:id="703" w:name="_Ref467378404"/>
      <w:r/>
      <w:bookmarkStart w:id="704" w:name="_Toc28763"/>
      <w:r>
        <w:rPr>
          <w:rFonts w:hint="eastAsia" w:ascii="宋体" w:hAnsi="宋体" w:cs="宋体"/>
          <w:b/>
          <w:sz w:val="24"/>
          <w:highlight w:val="none"/>
        </w:rPr>
        <w:t xml:space="preserve">2.1 定义</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5" w:name="_Ref467378840"/>
      <w:r>
        <w:rPr>
          <w:rFonts w:hint="eastAsia" w:ascii="宋体" w:hAnsi="宋体" w:cs="宋体"/>
          <w:sz w:val="24"/>
          <w:highlight w:val="none"/>
        </w:rPr>
        <w:t xml:space="preserve">2.1.4 “甲方”系指与成交供应商签署合同的采购人</w:t>
      </w:r>
      <w:bookmarkEnd w:id="705"/>
      <w:r>
        <w:rPr>
          <w:rFonts w:hint="eastAsia" w:ascii="宋体" w:hAnsi="宋体" w:cs="宋体"/>
          <w:sz w:val="24"/>
          <w:highlight w:val="none"/>
        </w:rPr>
        <w:t xml:space="preserve">；采购人委托采购代理机构代表其与乙方签订合同的，采购人的授权委托书作为合同附件。</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6" w:name="_Ref467379400"/>
      <w:r>
        <w:rPr>
          <w:rFonts w:hint="eastAsia" w:ascii="宋体" w:hAnsi="宋体" w:cs="宋体"/>
          <w:sz w:val="24"/>
          <w:highlight w:val="none"/>
        </w:rPr>
        <w:t xml:space="preserve">2.1.5 “乙方”系指根据合同约定交付货物的</w:t>
      </w:r>
      <w:bookmarkEnd w:id="706"/>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7" w:name="_Ref467379436"/>
      <w:r>
        <w:rPr>
          <w:rFonts w:hint="eastAsia" w:ascii="宋体" w:hAnsi="宋体" w:cs="宋体"/>
          <w:sz w:val="24"/>
          <w:highlight w:val="none"/>
        </w:rPr>
        <w:t xml:space="preserve">2.1.6 “现场”系指合同约定货物将要运至或者安装的地点。</w:t>
      </w:r>
      <w:bookmarkEnd w:id="707"/>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08" w:name="_Toc487900350"/>
      <w:r/>
      <w:bookmarkStart w:id="709" w:name="_Toc27635"/>
      <w:r/>
      <w:bookmarkStart w:id="710" w:name="_Toc259093670"/>
      <w:r/>
      <w:bookmarkStart w:id="711" w:name="_Toc279701241"/>
      <w:r/>
      <w:bookmarkStart w:id="712" w:name="_Toc32504"/>
      <w:r/>
      <w:bookmarkStart w:id="713" w:name="_Toc13336"/>
      <w:r>
        <w:rPr>
          <w:rFonts w:hint="eastAsia" w:ascii="宋体" w:hAnsi="宋体" w:cs="宋体"/>
          <w:b/>
          <w:sz w:val="24"/>
          <w:highlight w:val="none"/>
        </w:rPr>
        <w:t xml:space="preserve">2.2 技术规范</w:t>
      </w:r>
      <w:bookmarkEnd w:id="708"/>
      <w:r/>
      <w:bookmarkEnd w:id="709"/>
      <w:r/>
      <w:bookmarkEnd w:id="710"/>
      <w:r/>
      <w:bookmarkEnd w:id="711"/>
      <w:r/>
      <w:bookmarkEnd w:id="712"/>
      <w:r/>
      <w:bookmarkEnd w:id="7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14" w:name="_Toc487900351"/>
      <w:r/>
      <w:bookmarkStart w:id="715" w:name="_Toc27853"/>
      <w:r/>
      <w:bookmarkStart w:id="716" w:name="_Toc259093671"/>
      <w:r/>
      <w:bookmarkStart w:id="717" w:name="_Toc279701242"/>
      <w:r/>
      <w:bookmarkStart w:id="718" w:name="_Toc31634"/>
      <w:r/>
      <w:bookmarkStart w:id="719" w:name="_Toc9829"/>
      <w:r>
        <w:rPr>
          <w:rFonts w:hint="eastAsia" w:ascii="宋体" w:hAnsi="宋体" w:cs="宋体"/>
          <w:b/>
          <w:sz w:val="24"/>
          <w:highlight w:val="none"/>
        </w:rPr>
        <w:t xml:space="preserve">2.3 知识产权</w:t>
      </w:r>
      <w:bookmarkEnd w:id="714"/>
      <w:r/>
      <w:bookmarkEnd w:id="715"/>
      <w:r/>
      <w:bookmarkEnd w:id="716"/>
      <w:r/>
      <w:bookmarkEnd w:id="717"/>
      <w:r/>
      <w:bookmarkEnd w:id="718"/>
      <w:r/>
      <w:bookmarkEnd w:id="71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highlight w:val="none"/>
        </w:rPr>
      </w:r>
      <w:r/>
    </w:p>
    <w:p>
      <w:pPr>
        <w:pStyle w:val="882"/>
        <w:ind w:firstLine="480"/>
        <w:spacing w:line="400" w:lineRule="exact"/>
        <w:rPr>
          <w:rFonts w:ascii="宋体" w:hAnsi="宋体" w:cs="宋体"/>
          <w:b/>
          <w:bCs/>
          <w:sz w:val="24"/>
          <w:highlight w:val="none"/>
          <w:u w:val="single"/>
        </w:rPr>
      </w:pPr>
      <w:r>
        <w:rPr>
          <w:rFonts w:hint="eastAsia" w:ascii="宋体" w:hAnsi="宋体" w:cs="宋体"/>
          <w:sz w:val="24"/>
          <w:highlight w:val="none"/>
        </w:rPr>
        <w:t xml:space="preserve">2.3.2具有知识产权的计算机软件等货物的知识产权归属，详见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0"/>
        <w:spacing w:line="400" w:lineRule="exact"/>
        <w:rPr>
          <w:rFonts w:ascii="宋体" w:hAnsi="宋体" w:cs="宋体"/>
          <w:sz w:val="24"/>
          <w:highlight w:val="none"/>
        </w:rPr>
        <w:outlineLvl w:val="0"/>
      </w:pPr>
      <w:r/>
      <w:bookmarkStart w:id="720" w:name="_Toc11932"/>
      <w:r/>
      <w:bookmarkStart w:id="721" w:name="_Toc29149"/>
      <w:r/>
      <w:bookmarkStart w:id="722" w:name="_Toc4194"/>
      <w:r>
        <w:rPr>
          <w:rFonts w:hint="eastAsia" w:ascii="宋体" w:hAnsi="宋体" w:cs="宋体"/>
          <w:sz w:val="24"/>
          <w:highlight w:val="none"/>
        </w:rPr>
        <w:t xml:space="preserve">2.4 包装和装运</w:t>
      </w:r>
      <w:bookmarkEnd w:id="720"/>
      <w:r/>
      <w:bookmarkEnd w:id="721"/>
      <w:r/>
      <w:bookmarkEnd w:id="722"/>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2.4.2 装运货物的要求和通知，详见</w:t>
      </w:r>
      <w:r>
        <w:rPr>
          <w:rFonts w:hint="eastAsia" w:ascii="宋体" w:hAnsi="宋体" w:cs="宋体"/>
          <w:b/>
          <w:bCs/>
          <w:sz w:val="24"/>
          <w:highlight w:val="none"/>
          <w:u w:val="single"/>
        </w:rPr>
        <w:t xml:space="preserve">合同专用条款。</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23" w:name="_Ref467378591"/>
      <w:r/>
      <w:bookmarkStart w:id="724" w:name="_Toc19074"/>
      <w:r/>
      <w:bookmarkStart w:id="725" w:name="_Ref467379536"/>
      <w:r/>
      <w:bookmarkStart w:id="726" w:name="_Toc30272"/>
      <w:r/>
      <w:bookmarkStart w:id="727" w:name="_Toc26182"/>
      <w:r/>
      <w:bookmarkStart w:id="728" w:name="_Toc259093674"/>
      <w:r/>
      <w:bookmarkStart w:id="729" w:name="_Ref467379542"/>
      <w:r/>
      <w:bookmarkStart w:id="730" w:name="_Ref467379527"/>
      <w:r/>
      <w:bookmarkStart w:id="731" w:name="_Toc487900354"/>
      <w:r/>
      <w:bookmarkStart w:id="732" w:name="_Ref467378541"/>
      <w:r/>
      <w:bookmarkStart w:id="733" w:name="_Toc279701245"/>
      <w:r>
        <w:rPr>
          <w:rFonts w:hint="eastAsia" w:ascii="宋体" w:hAnsi="宋体" w:cs="宋体"/>
          <w:b/>
          <w:sz w:val="24"/>
          <w:highlight w:val="none"/>
        </w:rPr>
        <w:t xml:space="preserve">2.</w:t>
      </w:r>
      <w:bookmarkEnd w:id="723"/>
      <w:r/>
      <w:bookmarkEnd w:id="725"/>
      <w:r/>
      <w:bookmarkEnd w:id="728"/>
      <w:r/>
      <w:bookmarkEnd w:id="729"/>
      <w:r/>
      <w:bookmarkEnd w:id="730"/>
      <w:r/>
      <w:bookmarkEnd w:id="731"/>
      <w:r/>
      <w:bookmarkEnd w:id="732"/>
      <w:r/>
      <w:bookmarkEnd w:id="733"/>
      <w:r>
        <w:rPr>
          <w:rFonts w:hint="eastAsia" w:ascii="宋体" w:hAnsi="宋体" w:cs="宋体"/>
          <w:b/>
          <w:sz w:val="24"/>
          <w:highlight w:val="none"/>
        </w:rPr>
        <w:t xml:space="preserve">5 履约检查和问题反馈</w:t>
      </w:r>
      <w:bookmarkEnd w:id="724"/>
      <w:r/>
      <w:bookmarkEnd w:id="726"/>
      <w:r/>
      <w:bookmarkEnd w:id="72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34" w:name="_Ref467379657"/>
      <w:r>
        <w:rPr>
          <w:rFonts w:hint="eastAsia" w:ascii="宋体" w:hAnsi="宋体" w:cs="宋体"/>
          <w:sz w:val="24"/>
          <w:highlight w:val="none"/>
        </w:rPr>
        <w:t xml:space="preserve">2.5.1</w:t>
      </w:r>
      <w:bookmarkEnd w:id="734"/>
      <w:r/>
      <w:bookmarkStart w:id="735" w:name="_Toc279701247"/>
      <w:r/>
      <w:bookmarkStart w:id="736" w:name="_Ref467379793"/>
      <w:r/>
      <w:bookmarkStart w:id="737" w:name="_Ref467379807"/>
      <w:r/>
      <w:bookmarkStart w:id="738" w:name="_Toc259093676"/>
      <w:r/>
      <w:bookmarkStart w:id="739" w:name="_Toc487900357"/>
      <w:r/>
      <w:bookmarkStart w:id="740" w:name="_Toc186431854"/>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740"/>
      <w:r/>
      <w:bookmarkStart w:id="741" w:name="_Toc186431855"/>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741"/>
      <w:r/>
      <w:bookmarkStart w:id="742" w:name="_Toc28451"/>
      <w:r/>
      <w:bookmarkStart w:id="743" w:name="_Toc19219"/>
      <w:r/>
      <w:bookmarkStart w:id="744" w:name="_Toc7836"/>
      <w:r>
        <w:rPr>
          <w:rFonts w:hint="eastAsia" w:ascii="宋体" w:hAnsi="宋体" w:cs="宋体"/>
          <w:b/>
          <w:sz w:val="24"/>
          <w:highlight w:val="none"/>
        </w:rPr>
        <w:t xml:space="preserve">2.6 结算方式和付款条件</w:t>
      </w:r>
      <w:bookmarkEnd w:id="735"/>
      <w:r/>
      <w:bookmarkEnd w:id="736"/>
      <w:r/>
      <w:bookmarkEnd w:id="737"/>
      <w:r/>
      <w:bookmarkEnd w:id="738"/>
      <w:r/>
      <w:bookmarkEnd w:id="739"/>
      <w:r/>
      <w:bookmarkEnd w:id="742"/>
      <w:r/>
      <w:bookmarkEnd w:id="743"/>
      <w:r/>
      <w:bookmarkEnd w:id="74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详见</w:t>
      </w:r>
      <w:r>
        <w:rPr>
          <w:rFonts w:hint="eastAsia" w:ascii="宋体" w:hAnsi="宋体" w:cs="宋体"/>
          <w:b/>
          <w:bCs/>
          <w:sz w:val="24"/>
          <w:highlight w:val="none"/>
          <w:u w:val="single"/>
        </w:rPr>
        <w:t xml:space="preserve">合同第一部分。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45" w:name="_Ref467379863"/>
      <w:r/>
      <w:bookmarkStart w:id="746" w:name="_Ref467379923"/>
      <w:r/>
      <w:bookmarkStart w:id="747" w:name="_Toc279701248"/>
      <w:r/>
      <w:bookmarkStart w:id="748" w:name="_Toc259093677"/>
      <w:r/>
      <w:bookmarkStart w:id="749" w:name="_Ref467379852"/>
      <w:r/>
      <w:bookmarkStart w:id="750" w:name="_Toc3225"/>
      <w:r/>
      <w:bookmarkStart w:id="751" w:name="_Toc774"/>
      <w:r/>
      <w:bookmarkStart w:id="752" w:name="_Toc16110"/>
      <w:r/>
      <w:bookmarkStart w:id="753" w:name="_Toc487900358"/>
      <w:r>
        <w:rPr>
          <w:rFonts w:hint="eastAsia" w:ascii="宋体" w:hAnsi="宋体" w:cs="宋体"/>
          <w:b/>
          <w:sz w:val="24"/>
          <w:highlight w:val="none"/>
        </w:rPr>
        <w:t xml:space="preserve">2.7 技术资料</w:t>
      </w:r>
      <w:bookmarkEnd w:id="745"/>
      <w:r/>
      <w:bookmarkEnd w:id="746"/>
      <w:r/>
      <w:bookmarkEnd w:id="747"/>
      <w:r/>
      <w:bookmarkEnd w:id="748"/>
      <w:r/>
      <w:bookmarkEnd w:id="749"/>
      <w:r/>
      <w:bookmarkEnd w:id="753"/>
      <w:r>
        <w:rPr>
          <w:rFonts w:hint="eastAsia" w:ascii="宋体" w:hAnsi="宋体" w:cs="宋体"/>
          <w:b/>
          <w:sz w:val="24"/>
          <w:highlight w:val="none"/>
        </w:rPr>
        <w:t xml:space="preserve">和保密义务</w:t>
      </w:r>
      <w:bookmarkEnd w:id="750"/>
      <w:r/>
      <w:bookmarkEnd w:id="751"/>
      <w:r/>
      <w:bookmarkEnd w:id="75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2.7.1 乙方有权依据合同约定和项目需要，向甲方了解有关情况，调阅有关资料等，甲方应予积极配合；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2.7.2 乙方有义务妥善保管和保护由甲方提供的前款信息和资料等；</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4" w:name="_Toc7860"/>
      <w:r>
        <w:rPr>
          <w:rFonts w:hint="eastAsia" w:ascii="宋体" w:hAnsi="宋体" w:cs="宋体"/>
          <w:b/>
          <w:sz w:val="24"/>
          <w:highlight w:val="none"/>
        </w:rPr>
        <w:t xml:space="preserve">2.8 质量保证</w:t>
      </w:r>
      <w:bookmarkEnd w:id="75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2.8.1 乙方应建立和完善履行合同的内部质量保证体系，并提供相关内部规章制度给甲方，以便甲方进行监督检查；</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2.8.2 乙方应保证履行合同的人员数量和素质、软件和硬件设备的配置、场地、环境和设施等满足全面履行合同的要求，并应接受甲方的监督检查。</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5" w:name="_Toc17244"/>
      <w:r/>
      <w:bookmarkStart w:id="756" w:name="_Toc279701252"/>
      <w:r/>
      <w:bookmarkStart w:id="757" w:name="_Toc259093681"/>
      <w:r/>
      <w:bookmarkStart w:id="758" w:name="_Toc487900362"/>
      <w:r>
        <w:rPr>
          <w:rFonts w:hint="eastAsia" w:ascii="宋体" w:hAnsi="宋体" w:cs="宋体"/>
          <w:b/>
          <w:sz w:val="24"/>
          <w:highlight w:val="none"/>
        </w:rPr>
        <w:t xml:space="preserve">2.9 货物的风险负担</w:t>
      </w:r>
      <w:bookmarkEnd w:id="755"/>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w:t>
      </w:r>
      <w:r>
        <w:rPr>
          <w:rFonts w:ascii="宋体" w:hAnsi="宋体" w:cs="宋体"/>
          <w:b/>
          <w:sz w:val="24"/>
          <w:highlight w:val="none"/>
        </w:rPr>
      </w:r>
      <w:r/>
    </w:p>
    <w:p>
      <w:pPr>
        <w:pStyle w:val="882"/>
        <w:ind w:firstLine="482"/>
        <w:spacing w:line="400" w:lineRule="exact"/>
        <w:rPr>
          <w:rFonts w:ascii="宋体" w:hAnsi="宋体" w:cs="宋体"/>
          <w:b/>
          <w:sz w:val="24"/>
          <w:highlight w:val="none"/>
        </w:rPr>
        <w:outlineLvl w:val="0"/>
      </w:pPr>
      <w:r/>
      <w:bookmarkStart w:id="759" w:name="_Toc14055"/>
      <w:r>
        <w:rPr>
          <w:rFonts w:hint="eastAsia" w:ascii="宋体" w:hAnsi="宋体" w:cs="宋体"/>
          <w:b/>
          <w:sz w:val="24"/>
          <w:highlight w:val="none"/>
        </w:rPr>
        <w:t xml:space="preserve">2.10 延迟交货</w:t>
      </w:r>
      <w:bookmarkEnd w:id="756"/>
      <w:r/>
      <w:bookmarkEnd w:id="757"/>
      <w:r/>
      <w:bookmarkEnd w:id="758"/>
      <w:r/>
      <w:bookmarkEnd w:id="75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0" w:name="_Toc7502"/>
      <w:r/>
      <w:bookmarkStart w:id="761" w:name="_Ref467378121"/>
      <w:r/>
      <w:bookmarkStart w:id="762" w:name="_Toc279701254"/>
      <w:r/>
      <w:bookmarkStart w:id="763" w:name="_Toc259093683"/>
      <w:r/>
      <w:bookmarkStart w:id="764" w:name="_Toc487900364"/>
      <w:r>
        <w:rPr>
          <w:rFonts w:hint="eastAsia" w:ascii="宋体" w:hAnsi="宋体" w:cs="宋体"/>
          <w:b/>
          <w:sz w:val="24"/>
          <w:highlight w:val="none"/>
        </w:rPr>
        <w:t xml:space="preserve">2.11 合同变更</w:t>
      </w:r>
      <w:bookmarkEnd w:id="76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765" w:name="_Toc279701259"/>
      <w:r/>
      <w:bookmarkStart w:id="766" w:name="_Toc259093688"/>
      <w:r/>
      <w:bookmarkStart w:id="767" w:name="_Toc487900369"/>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8" w:name="_Toc22955"/>
      <w:r/>
      <w:bookmarkStart w:id="769" w:name="_Toc10366"/>
      <w:r/>
      <w:bookmarkStart w:id="770" w:name="_Toc15237"/>
      <w:r>
        <w:rPr>
          <w:rFonts w:hint="eastAsia" w:ascii="宋体" w:hAnsi="宋体" w:cs="宋体"/>
          <w:b/>
          <w:sz w:val="24"/>
          <w:highlight w:val="none"/>
        </w:rPr>
        <w:t xml:space="preserve">2.12 合同转让</w:t>
      </w:r>
      <w:bookmarkEnd w:id="765"/>
      <w:r/>
      <w:bookmarkEnd w:id="766"/>
      <w:r/>
      <w:bookmarkEnd w:id="767"/>
      <w:r>
        <w:rPr>
          <w:rFonts w:hint="eastAsia" w:ascii="宋体" w:hAnsi="宋体" w:cs="宋体"/>
          <w:b/>
          <w:sz w:val="24"/>
          <w:highlight w:val="none"/>
        </w:rPr>
        <w:t xml:space="preserve">和分包</w:t>
      </w:r>
      <w:bookmarkEnd w:id="768"/>
      <w:r/>
      <w:bookmarkEnd w:id="769"/>
      <w:r/>
      <w:bookmarkEnd w:id="77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1" w:name="_Toc13566"/>
      <w:r/>
      <w:bookmarkStart w:id="772" w:name="_Toc14066"/>
      <w:r/>
      <w:bookmarkStart w:id="773" w:name="_Toc16508"/>
      <w:r>
        <w:rPr>
          <w:rFonts w:hint="eastAsia" w:ascii="宋体" w:hAnsi="宋体" w:cs="宋体"/>
          <w:b/>
          <w:sz w:val="24"/>
          <w:highlight w:val="none"/>
        </w:rPr>
        <w:t xml:space="preserve">2.13 不可抗力</w:t>
      </w:r>
      <w:bookmarkEnd w:id="771"/>
      <w:r/>
      <w:bookmarkEnd w:id="772"/>
      <w:r/>
      <w:bookmarkEnd w:id="77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2.13.1如果任何一方遭遇法律规定的不可抗力，致使合同履行受阻时，履行合同的期限应予延长，延长的期限应相当于不可抗力所影响的时间；</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2.13.2 因不可抗力致使不能实现合同目的的，当事人可以解除合同；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2.13.3 因不可抗力致使合同有变更必要的，双方当事人应在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约定时间内以书面形式变更合同；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2.13.4受不可抗力影响的一方在不可抗力发生后，应在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约定时间内以书面形式通知对方当事人，并在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约定时间内，将有关部门出具的证明文件送达对方当事人。</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4" w:name="_Toc6969"/>
      <w:r/>
      <w:bookmarkStart w:id="775" w:name="_Toc30676"/>
      <w:r/>
      <w:bookmarkStart w:id="776" w:name="_Toc259093684"/>
      <w:r/>
      <w:bookmarkStart w:id="777" w:name="_Toc279701255"/>
      <w:r/>
      <w:bookmarkStart w:id="778" w:name="_Toc487900365"/>
      <w:r/>
      <w:bookmarkStart w:id="779" w:name="_Toc689"/>
      <w:r>
        <w:rPr>
          <w:rFonts w:hint="eastAsia" w:ascii="宋体" w:hAnsi="宋体" w:cs="宋体"/>
          <w:b/>
          <w:sz w:val="24"/>
          <w:highlight w:val="none"/>
        </w:rPr>
        <w:t xml:space="preserve">2.14 税费</w:t>
      </w:r>
      <w:bookmarkEnd w:id="774"/>
      <w:r/>
      <w:bookmarkEnd w:id="775"/>
      <w:r/>
      <w:bookmarkEnd w:id="776"/>
      <w:r/>
      <w:bookmarkEnd w:id="777"/>
      <w:r/>
      <w:bookmarkEnd w:id="778"/>
      <w:r/>
      <w:bookmarkEnd w:id="77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0" w:name="_Toc16959"/>
      <w:r/>
      <w:bookmarkStart w:id="781" w:name="_Toc259093687"/>
      <w:r/>
      <w:bookmarkStart w:id="782" w:name="_Toc279701258"/>
      <w:r/>
      <w:bookmarkStart w:id="783" w:name="_Toc8298"/>
      <w:r/>
      <w:bookmarkStart w:id="784" w:name="_Toc7102"/>
      <w:r/>
      <w:bookmarkStart w:id="785" w:name="_Toc487900368"/>
      <w:r>
        <w:rPr>
          <w:rFonts w:hint="eastAsia" w:ascii="宋体" w:hAnsi="宋体" w:cs="宋体"/>
          <w:b/>
          <w:sz w:val="24"/>
          <w:highlight w:val="none"/>
        </w:rPr>
        <w:t xml:space="preserve">2.15 乙方破产</w:t>
      </w:r>
      <w:bookmarkEnd w:id="780"/>
      <w:r/>
      <w:bookmarkEnd w:id="781"/>
      <w:r/>
      <w:bookmarkEnd w:id="782"/>
      <w:r/>
      <w:bookmarkEnd w:id="783"/>
      <w:r/>
      <w:bookmarkEnd w:id="784"/>
      <w:r/>
      <w:bookmarkEnd w:id="785"/>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6" w:name="_Toc29333"/>
      <w:r/>
      <w:bookmarkStart w:id="787" w:name="_Toc15387"/>
      <w:r/>
      <w:bookmarkStart w:id="788" w:name="_Toc6134"/>
      <w:r>
        <w:rPr>
          <w:rFonts w:hint="eastAsia" w:ascii="宋体" w:hAnsi="宋体" w:cs="宋体"/>
          <w:b/>
          <w:sz w:val="24"/>
          <w:highlight w:val="none"/>
        </w:rPr>
        <w:t xml:space="preserve">2.16 合同中止、终止</w:t>
      </w:r>
      <w:bookmarkEnd w:id="786"/>
      <w:r/>
      <w:bookmarkEnd w:id="787"/>
      <w:r/>
      <w:bookmarkEnd w:id="78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2.16.1 双方当事人不得擅自中止或者终止合同；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9" w:name="_Toc6596"/>
      <w:r/>
      <w:bookmarkStart w:id="790" w:name="_Toc1125"/>
      <w:r/>
      <w:bookmarkStart w:id="791" w:name="_Toc14563"/>
      <w:r>
        <w:rPr>
          <w:rFonts w:hint="eastAsia" w:ascii="宋体" w:hAnsi="宋体" w:cs="宋体"/>
          <w:b/>
          <w:sz w:val="24"/>
          <w:highlight w:val="none"/>
        </w:rPr>
        <w:t xml:space="preserve">2.17 检验和验收</w:t>
      </w:r>
      <w:bookmarkEnd w:id="789"/>
      <w:r/>
      <w:bookmarkEnd w:id="790"/>
      <w:r/>
      <w:bookmarkEnd w:id="791"/>
      <w:r>
        <w:rPr>
          <w:rFonts w:ascii="宋体" w:hAnsi="宋体" w:cs="宋体"/>
          <w:b/>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约定时间内组织验收，并可依法邀请相关方参加，验收应出具验收书。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b/>
          <w:bCs/>
          <w:sz w:val="24"/>
          <w:highlight w:val="none"/>
          <w:u w:val="single"/>
        </w:rPr>
      </w:pPr>
      <w:r>
        <w:rPr>
          <w:rFonts w:hint="eastAsia" w:ascii="宋体" w:hAnsi="宋体" w:cs="宋体"/>
          <w:sz w:val="24"/>
          <w:highlight w:val="none"/>
        </w:rPr>
        <w:t xml:space="preserve">2.17.3 检验和验收标准、程序等具体内容以及前述验收书的效力详见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2"/>
        <w:spacing w:line="400" w:lineRule="exact"/>
        <w:rPr>
          <w:rFonts w:ascii="宋体" w:hAnsi="宋体" w:cs="宋体"/>
          <w:b/>
          <w:sz w:val="24"/>
          <w:highlight w:val="none"/>
        </w:rPr>
        <w:outlineLvl w:val="0"/>
      </w:pPr>
      <w:r/>
      <w:bookmarkEnd w:id="761"/>
      <w:r/>
      <w:bookmarkEnd w:id="762"/>
      <w:r/>
      <w:bookmarkEnd w:id="763"/>
      <w:r/>
      <w:bookmarkEnd w:id="764"/>
      <w:r/>
      <w:bookmarkStart w:id="792" w:name="_Toc25182"/>
      <w:r/>
      <w:bookmarkStart w:id="793" w:name="_Toc19604"/>
      <w:r/>
      <w:bookmarkStart w:id="794" w:name="_Toc279701261"/>
      <w:r/>
      <w:bookmarkStart w:id="795" w:name="_Toc487900371"/>
      <w:r/>
      <w:bookmarkStart w:id="796" w:name="_Toc259093690"/>
      <w:r/>
      <w:bookmarkStart w:id="797" w:name="_Toc11284"/>
      <w:r>
        <w:rPr>
          <w:rFonts w:hint="eastAsia" w:ascii="宋体" w:hAnsi="宋体" w:cs="宋体"/>
          <w:b/>
          <w:sz w:val="24"/>
          <w:highlight w:val="none"/>
        </w:rPr>
        <w:t xml:space="preserve">2.18 通知</w:t>
      </w:r>
      <w:bookmarkEnd w:id="794"/>
      <w:r/>
      <w:bookmarkEnd w:id="795"/>
      <w:r/>
      <w:bookmarkEnd w:id="796"/>
      <w:r>
        <w:rPr>
          <w:rFonts w:hint="eastAsia" w:ascii="宋体" w:hAnsi="宋体" w:cs="宋体"/>
          <w:b/>
          <w:sz w:val="24"/>
          <w:highlight w:val="none"/>
        </w:rPr>
        <w:t xml:space="preserve">和送达</w:t>
      </w:r>
      <w:bookmarkEnd w:id="792"/>
      <w:r/>
      <w:bookmarkEnd w:id="793"/>
      <w:r/>
      <w:bookmarkEnd w:id="79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98" w:name="_Toc259093691"/>
      <w:r/>
      <w:bookmarkStart w:id="799" w:name="_Toc279701262"/>
      <w:r/>
      <w:bookmarkStart w:id="800" w:name="_Toc487900372"/>
      <w:r/>
      <w:bookmarkStart w:id="801" w:name="_Toc3135"/>
      <w:r/>
      <w:bookmarkStart w:id="802" w:name="_Toc6698"/>
      <w:r>
        <w:rPr>
          <w:rFonts w:hint="eastAsia" w:ascii="宋体" w:hAnsi="宋体" w:cs="宋体"/>
          <w:sz w:val="24"/>
          <w:highlight w:val="none"/>
        </w:rPr>
        <w:t xml:space="preserve">2.18.1 任何一方因履行合同而以合同第一部分尾部所列明的</w:t>
      </w:r>
      <w:r>
        <w:rPr>
          <w:rFonts w:hint="eastAsia" w:ascii="宋体" w:hAnsi="宋体" w:cs="宋体"/>
          <w:sz w:val="24"/>
          <w:highlight w:val="none"/>
          <w:u w:val="single"/>
        </w:rPr>
        <w:t xml:space="preserve">  联系方式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5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801"/>
      <w:r/>
      <w:bookmarkEnd w:id="802"/>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803" w:name="_Toc23128"/>
      <w:r/>
      <w:bookmarkStart w:id="804" w:name="_Toc23294"/>
      <w:r>
        <w:rPr>
          <w:rFonts w:hint="eastAsia" w:ascii="宋体" w:hAnsi="宋体" w:cs="宋体"/>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803"/>
      <w:r/>
      <w:bookmarkEnd w:id="804"/>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5" w:name="_Toc30599"/>
      <w:r/>
      <w:bookmarkStart w:id="806" w:name="_Toc4355"/>
      <w:r/>
      <w:bookmarkStart w:id="807" w:name="_Toc18540"/>
      <w:r>
        <w:rPr>
          <w:rFonts w:hint="eastAsia" w:ascii="宋体" w:hAnsi="宋体" w:cs="宋体"/>
          <w:b/>
          <w:sz w:val="24"/>
          <w:highlight w:val="none"/>
        </w:rPr>
        <w:t xml:space="preserve">2.19 计量单位</w:t>
      </w:r>
      <w:bookmarkEnd w:id="798"/>
      <w:r/>
      <w:bookmarkEnd w:id="799"/>
      <w:r/>
      <w:bookmarkEnd w:id="800"/>
      <w:r/>
      <w:bookmarkEnd w:id="805"/>
      <w:r/>
      <w:bookmarkEnd w:id="806"/>
      <w:r/>
      <w:bookmarkEnd w:id="807"/>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8" w:name="_Toc487900373"/>
      <w:r/>
      <w:bookmarkStart w:id="809" w:name="_Toc12773"/>
      <w:r/>
      <w:bookmarkStart w:id="810" w:name="_Toc279701263"/>
      <w:r/>
      <w:bookmarkStart w:id="811" w:name="_Toc18567"/>
      <w:r/>
      <w:bookmarkStart w:id="812" w:name="_Toc10330"/>
      <w:r/>
      <w:bookmarkStart w:id="813" w:name="_Toc259093692"/>
      <w:r>
        <w:rPr>
          <w:rFonts w:hint="eastAsia" w:ascii="宋体" w:hAnsi="宋体" w:cs="宋体"/>
          <w:b/>
          <w:sz w:val="24"/>
          <w:highlight w:val="none"/>
        </w:rPr>
        <w:t xml:space="preserve">2.20 合同使用的文字和适用的法律</w:t>
      </w:r>
      <w:bookmarkEnd w:id="808"/>
      <w:r/>
      <w:bookmarkEnd w:id="809"/>
      <w:r/>
      <w:bookmarkEnd w:id="810"/>
      <w:r/>
      <w:bookmarkEnd w:id="811"/>
      <w:r/>
      <w:bookmarkEnd w:id="812"/>
      <w:r/>
      <w:bookmarkEnd w:id="8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2.20.1 合同使用汉语书就、变更和解释；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2.20.2 合同适用中华人民共和国法律。</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14" w:name="_Toc259093693"/>
      <w:r/>
      <w:bookmarkStart w:id="815" w:name="_Toc279701264"/>
      <w:r/>
      <w:bookmarkStart w:id="816" w:name="_Toc16673"/>
      <w:r/>
      <w:bookmarkStart w:id="817" w:name="_Toc3148"/>
      <w:r/>
      <w:bookmarkStart w:id="818" w:name="_Toc12004"/>
      <w:r/>
      <w:bookmarkStart w:id="819" w:name="_Toc487900374"/>
      <w:r>
        <w:rPr>
          <w:rFonts w:hint="eastAsia" w:ascii="宋体" w:hAnsi="宋体" w:cs="宋体"/>
          <w:b/>
          <w:sz w:val="24"/>
          <w:highlight w:val="none"/>
        </w:rPr>
        <w:t xml:space="preserve">2.21 履约保证金</w:t>
      </w:r>
      <w:bookmarkEnd w:id="814"/>
      <w:r/>
      <w:bookmarkEnd w:id="815"/>
      <w:r/>
      <w:bookmarkEnd w:id="816"/>
      <w:r/>
      <w:bookmarkEnd w:id="817"/>
      <w:r/>
      <w:bookmarkEnd w:id="81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2.21.1 采购文件要求乙方提交履约保证金的，乙方应按</w:t>
      </w:r>
      <w:r>
        <w:rPr>
          <w:rFonts w:hint="eastAsia" w:ascii="宋体" w:hAnsi="宋体" w:cs="宋体"/>
          <w:b/>
          <w:iCs/>
          <w:sz w:val="24"/>
          <w:highlight w:val="none"/>
          <w:u w:val="single"/>
        </w:rPr>
        <w:t xml:space="preserve">合同专用条款</w:t>
      </w:r>
      <w:r>
        <w:rPr>
          <w:rFonts w:hint="eastAsia" w:ascii="宋体" w:hAnsi="宋体" w:cs="宋体"/>
          <w:sz w:val="24"/>
          <w:highlight w:val="none"/>
        </w:rPr>
        <w:t xml:space="preserve">约定的方式，以支票、汇票、本票或者金融机构、担保机构出具的保函等非现金形式，提交履约保证金；</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2.21.2 履约保证金在</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约定</w:t>
      </w:r>
      <w:r>
        <w:rPr>
          <w:rFonts w:hint="eastAsia" w:ascii="宋体" w:hAnsi="宋体" w:cs="宋体"/>
          <w:sz w:val="24"/>
          <w:highlight w:val="none"/>
        </w:rPr>
        <w:t xml:space="preserve">期间内或者货物质量保证期内不予退还或者应完全有效，前述约定期间届满或者货物质量保证期届满之日起</w:t>
      </w:r>
      <w:r>
        <w:rPr>
          <w:rFonts w:hint="eastAsia" w:ascii="宋体" w:hAnsi="宋体" w:cs="宋体"/>
          <w:sz w:val="24"/>
          <w:highlight w:val="none"/>
          <w:u w:val="single"/>
        </w:rPr>
        <w:t xml:space="preserve"> 10 </w:t>
      </w:r>
      <w:r>
        <w:rPr>
          <w:rFonts w:hint="eastAsia" w:ascii="宋体" w:hAnsi="宋体" w:cs="宋体"/>
          <w:sz w:val="24"/>
          <w:highlight w:val="none"/>
        </w:rPr>
        <w:t xml:space="preserve">个工作日内，甲方应将履约保证金退还乙方；</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819"/>
      <w:r/>
      <w:bookmarkStart w:id="820" w:name="_Toc6885"/>
      <w:r/>
      <w:bookmarkStart w:id="821" w:name="_Toc19890"/>
      <w:r/>
      <w:bookmarkStart w:id="822" w:name="_Toc14001"/>
      <w:r>
        <w:rPr>
          <w:rFonts w:hint="eastAsia" w:ascii="宋体" w:hAnsi="宋体" w:cs="宋体"/>
          <w:b/>
          <w:sz w:val="24"/>
          <w:highlight w:val="none"/>
        </w:rPr>
        <w:t xml:space="preserve">2.22 合同份数</w:t>
      </w:r>
      <w:bookmarkEnd w:id="820"/>
      <w:r/>
      <w:bookmarkEnd w:id="821"/>
      <w:r/>
      <w:bookmarkEnd w:id="82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规定，</w:t>
      </w:r>
      <w:r>
        <w:rPr>
          <w:rFonts w:hint="eastAsia" w:ascii="宋体" w:hAnsi="宋体" w:cs="宋体"/>
          <w:sz w:val="24"/>
          <w:highlight w:val="none"/>
        </w:rPr>
        <w:t xml:space="preserve">每份均具有同等法律效力。</w:t>
      </w:r>
      <w:r>
        <w:rPr>
          <w:rFonts w:ascii="宋体" w:hAnsi="宋体" w:cs="宋体"/>
          <w:sz w:val="24"/>
          <w:highlight w:val="none"/>
        </w:rPr>
      </w:r>
      <w:r/>
    </w:p>
    <w:p>
      <w:pPr>
        <w:pStyle w:val="1167"/>
        <w:ind w:firstLine="480"/>
        <w:jc w:val="center"/>
        <w:spacing w:line="240" w:lineRule="auto"/>
        <w:widowControl w:val="off"/>
        <w:rPr>
          <w:rFonts w:hAnsi="宋体" w:cs="宋体"/>
          <w:b/>
          <w:highlight w:val="none"/>
        </w:rPr>
      </w:pPr>
      <w:r>
        <w:rPr>
          <w:rFonts w:hint="eastAsia" w:hAnsi="宋体" w:cs="宋体"/>
          <w:highlight w:val="none"/>
        </w:rPr>
        <w:br w:type="page" w:clear="all"/>
      </w:r>
      <w:bookmarkStart w:id="823" w:name="_Toc331685784"/>
      <w:r>
        <w:rPr>
          <w:rFonts w:hint="eastAsia" w:hAnsi="宋体" w:cs="宋体"/>
          <w:b/>
          <w:highlight w:val="none"/>
        </w:rPr>
        <w:t xml:space="preserve">第三部分  合同专用条款</w:t>
      </w:r>
      <w:bookmarkEnd w:id="823"/>
      <w:r>
        <w:rPr>
          <w:rFonts w:hAnsi="宋体" w:cs="宋体"/>
          <w:b/>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eastAsia="宋体" w:cs="宋体"/>
          <w:sz w:val="24"/>
          <w:highlight w:val="none"/>
        </w:rPr>
      </w:r>
      <w:r/>
    </w:p>
    <w:tbl>
      <w:tblPr>
        <w:tblW w:w="4997"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05"/>
        <w:gridCol w:w="8318"/>
      </w:tblGrid>
      <w:tr>
        <w:trPr>
          <w:trHeight w:val="391"/>
          <w:tblHeader/>
        </w:trPr>
        <w:tc>
          <w:tcPr>
            <w:tcW w:w="441"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条款号</w:t>
            </w:r>
            <w:r>
              <w:rPr>
                <w:rFonts w:ascii="宋体" w:hAnsi="宋体" w:cs="宋体"/>
                <w:b/>
                <w:sz w:val="24"/>
                <w:highlight w:val="none"/>
              </w:rPr>
            </w:r>
            <w:r/>
          </w:p>
        </w:tc>
        <w:tc>
          <w:tcPr>
            <w:tcW w:w="4558"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约定内容</w:t>
            </w:r>
            <w:r>
              <w:rPr>
                <w:rFonts w:ascii="宋体" w:hAnsi="宋体" w:cs="宋体"/>
                <w:b/>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2.22</w:t>
            </w: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本合同一式陆份，甲乙双方、代理机构各执贰份。</w:t>
            </w: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bl>
    <w:p>
      <w:pPr>
        <w:pStyle w:val="882"/>
        <w:rPr>
          <w:rFonts w:ascii="宋体" w:hAnsi="宋体" w:cs="宋体"/>
          <w:sz w:val="24"/>
          <w:highlight w:val="none"/>
        </w:rPr>
      </w:pPr>
      <w:r>
        <w:rPr>
          <w:rFonts w:ascii="宋体" w:hAnsi="宋体" w:cs="宋体"/>
          <w:sz w:val="24"/>
          <w:highlight w:val="none"/>
        </w:rPr>
      </w:r>
      <w:r/>
    </w:p>
    <w:p>
      <w:pPr>
        <w:pStyle w:val="882"/>
        <w:rPr>
          <w:rFonts w:ascii="宋体" w:hAnsi="宋体" w:cs="宋体"/>
          <w:b/>
          <w:bCs/>
          <w:sz w:val="28"/>
          <w:szCs w:val="28"/>
          <w:highlight w:val="none"/>
        </w:rPr>
      </w:pPr>
      <w:r>
        <w:rPr>
          <w:rFonts w:hint="eastAsia" w:ascii="宋体" w:hAnsi="宋体" w:cs="宋体"/>
          <w:b/>
          <w:bCs/>
          <w:sz w:val="24"/>
          <w:highlight w:val="none"/>
        </w:rPr>
        <w:t xml:space="preserve">注：上述格式及内容仅供参考，</w:t>
      </w:r>
      <w:r>
        <w:rPr>
          <w:rFonts w:hint="eastAsia" w:ascii="宋体" w:hAnsi="宋体" w:cs="宋体"/>
          <w:b/>
          <w:bCs/>
          <w:sz w:val="24"/>
        </w:rPr>
        <w:t xml:space="preserve">具体以甲乙双方签订合同时内容为准。</w:t>
      </w:r>
      <w:r>
        <w:rPr>
          <w:rFonts w:ascii="宋体" w:hAnsi="宋体" w:cs="宋体"/>
          <w:b/>
          <w:bCs/>
          <w:sz w:val="28"/>
          <w:szCs w:val="28"/>
          <w:highlight w:val="none"/>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rPr>
        <w:t xml:space="preserve">附件1</w:t>
      </w:r>
      <w:r>
        <w:rPr>
          <w:rFonts w:ascii="宋体" w:hAnsi="宋体" w:cs="宋体"/>
          <w:b/>
          <w:color w:val="000000"/>
          <w:sz w:val="24"/>
        </w:rPr>
      </w:r>
      <w:r/>
    </w:p>
    <w:p>
      <w:pPr>
        <w:pStyle w:val="882"/>
        <w:ind w:firstLine="420"/>
        <w:jc w:val="center"/>
        <w:spacing w:line="400" w:lineRule="exact"/>
        <w:widowControl/>
        <w:rPr>
          <w:rFonts w:hint="eastAsia" w:ascii="宋体" w:hAnsi="宋体"/>
          <w:b/>
          <w:bCs/>
          <w:sz w:val="28"/>
          <w:szCs w:val="28"/>
          <w:lang w:val="en-US" w:eastAsia="zh-CN"/>
        </w:rPr>
      </w:pPr>
      <w:r/>
      <w:bookmarkStart w:id="824" w:name="_Toc362274943"/>
      <w:r/>
      <w:bookmarkStart w:id="825" w:name="_Toc352237875"/>
      <w:r>
        <w:rPr>
          <w:rFonts w:hint="eastAsia" w:ascii="宋体" w:hAnsi="宋体"/>
          <w:b/>
          <w:bCs/>
          <w:sz w:val="28"/>
          <w:szCs w:val="28"/>
          <w:lang w:val="en-US" w:eastAsia="zh-CN"/>
        </w:rPr>
        <w:t xml:space="preserve">廉政责任书</w:t>
      </w:r>
      <w:r>
        <w:rPr>
          <w:rFonts w:hint="eastAsia" w:ascii="宋体" w:hAnsi="宋体"/>
          <w:b/>
          <w:bCs/>
          <w:sz w:val="28"/>
          <w:szCs w:val="28"/>
          <w:lang w:val="en-US" w:eastAsia="zh-CN"/>
        </w:rPr>
      </w:r>
      <w:r/>
    </w:p>
    <w:p>
      <w:pPr>
        <w:pStyle w:val="882"/>
        <w:ind w:firstLine="42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bookmarkEnd w:id="824"/>
      <w:r/>
      <w:bookmarkEnd w:id="825"/>
      <w:r/>
      <w:bookmarkStart w:id="826" w:name="_Toc137"/>
      <w:r>
        <w:rPr>
          <w:rFonts w:hint="eastAsia"/>
          <w:color w:val="000000"/>
          <w:shd w:val="clear" w:color="auto" w:fill="ffffff"/>
        </w:rPr>
        <w:t xml:space="preserve">招标人（甲方）：                         </w:t>
      </w:r>
      <w:r>
        <w:rPr>
          <w:rFonts w:hint="eastAsia"/>
          <w:color w:val="000000"/>
          <w:shd w:val="clear" w:color="auto" w:fill="ffffff"/>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rPr>
          <w:rFonts w:hint="eastAsia"/>
          <w:color w:val="000000"/>
          <w:shd w:val="clear" w:color="auto" w:fill="ffffff"/>
        </w:rPr>
        <w:t xml:space="preserve">中标人（乙方）：</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color w:val="000000"/>
          <w:shd w:val="clear" w:color="auto" w:fill="ffffff"/>
        </w:rPr>
      </w:pPr>
      <w:r>
        <w:rPr>
          <w:rFonts w:hint="eastAsia"/>
          <w:color w:val="000000"/>
          <w:shd w:val="clear" w:color="auto" w:fill="ffffff"/>
        </w:rPr>
        <w:t xml:space="preserve">为规范双方的各项活动，防止发生谋取不正当利益的违法违纪行为，根据有关法律法规和廉政建设责任规定，特订立本廉政责任书：</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本协议所称“关系人”是指近亲属、其他关系密切的亲属、朋友等自然人，有股权等经济联系的法人或其他组织。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2、甲乙双方均有责任教育本单位人员，禁止在业务活动中索贿、行贿、受贿，并拒绝对方人员的索贿、行贿行为。</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3、在经济交往中，甲乙双方任何一方给予对方让利（返利）、回扣（佣金）、奖励等，均应在主合同中清楚列明，或以书面形式通知对方，并通过双方财务部门收付结算。</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ascii="仿宋" w:hAnsi="仿宋" w:eastAsia="仿宋"/>
          <w:bCs/>
          <w:color w:val="000000"/>
          <w:shd w:val="clear" w:color="auto" w:fill="ffffff"/>
        </w:rPr>
      </w:pPr>
      <w:r>
        <w:rPr>
          <w:rFonts w:hint="eastAsia"/>
          <w:bCs/>
          <w:color w:val="000000"/>
          <w:shd w:val="clear" w:color="auto" w:fill="ffffff"/>
        </w:rPr>
        <w:t xml:space="preserve">7、本责任书作为合同的附件，与合同具有同等法律效力。本责任书自双方签署后立即生效。</w:t>
      </w:r>
      <w:r>
        <w:rPr>
          <w:rFonts w:hint="eastAsia" w:ascii="仿宋" w:hAnsi="仿宋" w:eastAsia="仿宋"/>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t xml:space="preserve">甲方（盖章）：                          乙方（盖章）：</w:t>
      </w:r>
      <w:r>
        <w:rPr>
          <w:rFonts w:hint="eastAsia"/>
          <w:bCs/>
          <w:color w:val="000000"/>
          <w:shd w:val="clear" w:color="auto" w:fill="ffffff"/>
        </w:rPr>
      </w:r>
      <w:r/>
    </w:p>
    <w:p>
      <w:pPr>
        <w:pStyle w:val="1132"/>
        <w:spacing w:before="0" w:beforeAutospacing="0" w:after="0" w:afterAutospacing="0"/>
        <w:rPr>
          <w:rFonts w:hint="eastAsia"/>
          <w:bCs/>
          <w:color w:val="000000"/>
          <w:shd w:val="clear" w:color="auto" w:fill="ffffff"/>
        </w:rPr>
      </w:pPr>
      <w:r>
        <w:rPr>
          <w:rFonts w:hint="eastAsia"/>
          <w:bCs/>
          <w:color w:val="000000"/>
          <w:shd w:val="clear" w:color="auto" w:fill="ffffff"/>
        </w:rPr>
        <w:t xml:space="preserve">  </w:t>
      </w:r>
      <w:r>
        <w:rPr>
          <w:rFonts w:hint="eastAsia"/>
          <w:bCs/>
          <w:color w:val="000000"/>
          <w:shd w:val="clear" w:color="auto" w:fill="ffffff"/>
        </w:rPr>
      </w:r>
      <w:r/>
    </w:p>
    <w:p>
      <w:pPr>
        <w:pStyle w:val="1132"/>
        <w:spacing w:before="0" w:beforeAutospacing="0" w:after="0" w:afterAutospacing="0"/>
        <w:rPr>
          <w:color w:val="000000"/>
          <w:shd w:val="clear" w:color="auto" w:fill="ffffff"/>
        </w:rPr>
      </w:pPr>
      <w:r>
        <w:rPr>
          <w:rFonts w:hint="eastAsia"/>
          <w:bCs/>
          <w:color w:val="000000"/>
          <w:shd w:val="clear" w:color="auto" w:fill="ffffff"/>
        </w:rPr>
        <w:t xml:space="preserve">                  年   月   日                            年   月   日</w:t>
      </w:r>
      <w:r>
        <w:rPr>
          <w:color w:val="000000"/>
          <w:shd w:val="clear" w:color="auto" w:fill="ffffff"/>
        </w:rPr>
      </w:r>
      <w:r/>
    </w:p>
    <w:p>
      <w:pPr>
        <w:pStyle w:val="882"/>
        <w:contextualSpacing/>
        <w:jc w:val="center"/>
        <w:spacing w:line="360" w:lineRule="auto"/>
        <w:rPr>
          <w:b/>
          <w:color w:val="000000"/>
          <w:sz w:val="36"/>
          <w:szCs w:val="36"/>
        </w:rPr>
        <w:outlineLvl w:val="0"/>
      </w:pPr>
      <w:r>
        <w:rPr>
          <w:b/>
          <w:color w:val="000000"/>
          <w:sz w:val="36"/>
          <w:szCs w:val="36"/>
        </w:rPr>
      </w:r>
      <w:r/>
    </w:p>
    <w:p>
      <w:pPr>
        <w:pStyle w:val="882"/>
        <w:contextualSpacing/>
        <w:jc w:val="center"/>
        <w:spacing w:line="360" w:lineRule="auto"/>
        <w:rPr>
          <w:b/>
          <w:color w:val="000000"/>
          <w:sz w:val="36"/>
          <w:szCs w:val="36"/>
        </w:rPr>
        <w:outlineLvl w:val="0"/>
      </w:pPr>
      <w:r>
        <w:rPr>
          <w:b/>
          <w:color w:val="000000"/>
          <w:sz w:val="36"/>
          <w:szCs w:val="36"/>
        </w:rPr>
        <w:t xml:space="preserve">第七章   投标文件格式</w:t>
      </w:r>
      <w:bookmarkEnd w:id="826"/>
      <w:r>
        <w:rPr>
          <w:b/>
          <w:color w:val="000000"/>
          <w:sz w:val="36"/>
          <w:szCs w:val="36"/>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882"/>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4、实行电子化不见面交易方式的，加盖公章、签名等均通过投标文件编制工具加盖电子公章、签字、签章或印鉴。</w:t>
      </w:r>
      <w:r>
        <w:rPr>
          <w:color w:val="000000"/>
          <w:sz w:val="24"/>
        </w:rPr>
      </w:r>
      <w:r/>
    </w:p>
    <w:p>
      <w:pPr>
        <w:pStyle w:val="882"/>
        <w:ind w:left="142"/>
        <w:spacing w:line="360" w:lineRule="auto"/>
        <w:tabs>
          <w:tab w:val="left" w:pos="900" w:leader="none"/>
          <w:tab w:val="left" w:pos="1980" w:leader="none"/>
        </w:tabs>
        <w:rPr>
          <w:b/>
          <w:color w:val="000000"/>
          <w:sz w:val="30"/>
          <w:szCs w:val="20"/>
        </w:rPr>
      </w:pPr>
      <w:r>
        <w:rPr>
          <w:color w:val="000000"/>
          <w:sz w:val="24"/>
        </w:rPr>
        <w:br w:type="page" w:clear="all"/>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b/>
          <w:color w:val="000000"/>
          <w:spacing w:val="20"/>
          <w:sz w:val="24"/>
        </w:rPr>
        <w:t xml:space="preserve">一、资格证明文件格式</w:t>
      </w:r>
      <w:r>
        <w:rPr>
          <w:b/>
          <w:color w:val="000000"/>
          <w:sz w:val="30"/>
          <w:szCs w:val="20"/>
        </w:rPr>
      </w:r>
      <w:r/>
    </w:p>
    <w:p>
      <w:pPr>
        <w:pStyle w:val="882"/>
        <w:rPr>
          <w:b/>
          <w:color w:val="000000"/>
          <w:spacing w:val="20"/>
          <w:szCs w:val="21"/>
        </w:rPr>
      </w:pPr>
      <w:r>
        <w:rPr>
          <w:b/>
          <w:color w:val="000000"/>
          <w:spacing w:val="20"/>
          <w:szCs w:val="21"/>
        </w:rPr>
      </w:r>
      <w:r/>
    </w:p>
    <w:p>
      <w:pPr>
        <w:pStyle w:val="882"/>
        <w:rPr>
          <w:b/>
          <w:color w:val="000000"/>
          <w:sz w:val="24"/>
        </w:rPr>
      </w:pPr>
      <w:r>
        <w:rPr>
          <w:b/>
          <w:color w:val="000000"/>
          <w:spacing w:val="20"/>
          <w:sz w:val="24"/>
        </w:rPr>
        <w:t xml:space="preserve">投标文件</w:t>
      </w:r>
      <w:r>
        <w:rPr>
          <w:b/>
          <w:color w:val="000000"/>
          <w:sz w:val="24"/>
        </w:rPr>
        <w:t xml:space="preserve">封面（非实质性格式）</w:t>
      </w:r>
      <w:r>
        <w:rPr>
          <w:b/>
          <w:color w:val="000000"/>
          <w:sz w:val="24"/>
        </w:rPr>
      </w:r>
      <w:r/>
    </w:p>
    <w:p>
      <w:pPr>
        <w:pStyle w:val="882"/>
        <w:jc w:val="center"/>
        <w:rPr>
          <w:color w:val="000000"/>
          <w:szCs w:val="21"/>
        </w:rPr>
      </w:pPr>
      <w:r>
        <w:rPr>
          <w:color w:val="000000"/>
          <w:szCs w:val="21"/>
        </w:rPr>
      </w:r>
      <w:r/>
    </w:p>
    <w:p>
      <w:pPr>
        <w:pStyle w:val="882"/>
        <w:jc w:val="center"/>
        <w:rPr>
          <w:b/>
          <w:color w:val="000000"/>
          <w:spacing w:val="60"/>
          <w:sz w:val="84"/>
          <w:szCs w:val="84"/>
        </w:rPr>
      </w:pPr>
      <w:r>
        <w:rPr>
          <w:b/>
          <w:color w:val="000000"/>
          <w:spacing w:val="60"/>
          <w:sz w:val="84"/>
          <w:szCs w:val="84"/>
        </w:rPr>
        <w:t xml:space="preserve">投 标 文 件</w:t>
      </w:r>
      <w:r>
        <w:rPr>
          <w:b/>
          <w:color w:val="000000"/>
          <w:spacing w:val="60"/>
          <w:sz w:val="84"/>
          <w:szCs w:val="84"/>
        </w:rPr>
      </w:r>
      <w:r/>
    </w:p>
    <w:p>
      <w:pPr>
        <w:pStyle w:val="882"/>
        <w:ind w:firstLine="963"/>
        <w:rPr>
          <w:b/>
          <w:color w:val="000000"/>
          <w:spacing w:val="60"/>
          <w:sz w:val="52"/>
          <w:szCs w:val="52"/>
        </w:rPr>
      </w:pPr>
      <w:r>
        <w:rPr>
          <w:b/>
          <w:color w:val="000000"/>
          <w:spacing w:val="60"/>
          <w:sz w:val="52"/>
          <w:szCs w:val="52"/>
        </w:rPr>
      </w:r>
      <w:r/>
    </w:p>
    <w:p>
      <w:pPr>
        <w:pStyle w:val="882"/>
        <w:ind w:firstLine="963"/>
        <w:rPr>
          <w:b/>
          <w:color w:val="000000"/>
          <w:spacing w:val="60"/>
          <w:sz w:val="52"/>
          <w:szCs w:val="52"/>
        </w:rPr>
      </w:pPr>
      <w:r>
        <w:rPr>
          <w:b/>
          <w:color w:val="000000"/>
          <w:spacing w:val="60"/>
          <w:sz w:val="52"/>
          <w:szCs w:val="52"/>
        </w:rPr>
      </w:r>
      <w:r/>
    </w:p>
    <w:p>
      <w:pPr>
        <w:pStyle w:val="882"/>
        <w:ind w:firstLine="542"/>
        <w:rPr>
          <w:b/>
          <w:color w:val="000000"/>
          <w:spacing w:val="20"/>
          <w:sz w:val="32"/>
          <w:szCs w:val="32"/>
        </w:rPr>
      </w:pPr>
      <w:r>
        <w:rPr>
          <w:b/>
          <w:color w:val="000000"/>
          <w:spacing w:val="20"/>
          <w:sz w:val="32"/>
          <w:szCs w:val="32"/>
        </w:rPr>
      </w:r>
      <w:r/>
    </w:p>
    <w:p>
      <w:pPr>
        <w:pStyle w:val="882"/>
        <w:ind w:firstLine="542"/>
        <w:rPr>
          <w:b/>
          <w:color w:val="000000"/>
          <w:spacing w:val="20"/>
          <w:sz w:val="32"/>
          <w:szCs w:val="32"/>
        </w:rPr>
      </w:pPr>
      <w:r>
        <w:rPr>
          <w:b/>
          <w:color w:val="000000"/>
          <w:spacing w:val="20"/>
          <w:sz w:val="32"/>
          <w:szCs w:val="32"/>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名 称：</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投标人名</w:t>
      </w:r>
      <w:r>
        <w:rPr>
          <w:rFonts w:hint="eastAsia" w:ascii="宋体" w:hAnsi="宋体"/>
          <w:b/>
          <w:color w:val="000000"/>
          <w:sz w:val="36"/>
          <w:highlight w:val="none"/>
        </w:rPr>
        <w:t xml:space="preserve">称 ：</w:t>
      </w:r>
      <w:r>
        <w:rPr>
          <w:rFonts w:hint="eastAsia" w:ascii="宋体" w:hAnsi="宋体"/>
          <w:b/>
          <w:color w:val="000000"/>
          <w:sz w:val="36"/>
          <w:highlight w:val="none"/>
          <w:u w:val="single"/>
          <w:lang w:val="en-US" w:eastAsia="zh-CN"/>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jc w:val="center"/>
        <w:rPr>
          <w:b/>
          <w:color w:val="000000"/>
          <w:sz w:val="32"/>
          <w:szCs w:val="32"/>
        </w:rPr>
      </w:pPr>
      <w:r>
        <w:rPr>
          <w:b/>
          <w:color w:val="000000"/>
          <w:sz w:val="32"/>
          <w:szCs w:val="32"/>
        </w:rPr>
      </w:r>
      <w:r/>
    </w:p>
    <w:p>
      <w:pPr>
        <w:pStyle w:val="882"/>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882"/>
        <w:rPr>
          <w:b/>
          <w:color w:val="000000"/>
        </w:rPr>
      </w:pPr>
      <w:r>
        <w:rPr>
          <w:b/>
          <w:color w:val="000000"/>
        </w:rPr>
      </w:r>
      <w:r/>
    </w:p>
    <w:p>
      <w:pPr>
        <w:pStyle w:val="882"/>
        <w:spacing w:line="360" w:lineRule="auto"/>
        <w:rPr>
          <w:color w:val="000000"/>
          <w:sz w:val="24"/>
          <w:szCs w:val="20"/>
        </w:rPr>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882"/>
        <w:rPr>
          <w:b/>
          <w:bCs/>
          <w:color w:val="000000"/>
        </w:rPr>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88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88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致：常州市水利规划设计院有限公司</w:t>
      </w:r>
      <w:r>
        <w:rPr>
          <w:color w:val="000000"/>
        </w:rPr>
      </w:r>
      <w:r/>
    </w:p>
    <w:p>
      <w:pPr>
        <w:pStyle w:val="1076"/>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76"/>
        <w:ind w:firstLine="480"/>
        <w:spacing w:line="460" w:lineRule="exact"/>
        <w:rPr>
          <w:color w:val="000000"/>
        </w:rPr>
      </w:pPr>
      <w:r>
        <w:rPr>
          <w:color w:val="000000"/>
        </w:rPr>
      </w:r>
      <w:r/>
    </w:p>
    <w:p>
      <w:pPr>
        <w:pStyle w:val="904"/>
        <w:ind w:firstLine="480"/>
        <w:spacing w:line="40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04"/>
        <w:ind w:firstLine="480"/>
        <w:spacing w:line="40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04"/>
        <w:ind w:firstLine="480"/>
        <w:spacing w:line="40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04"/>
        <w:ind w:firstLine="480"/>
        <w:spacing w:line="400" w:lineRule="exact"/>
        <w:rPr>
          <w:highlight w:val="none"/>
        </w:rPr>
      </w:pPr>
      <w:r>
        <w:rPr>
          <w:rFonts w:hint="eastAsia"/>
          <w:highlight w:val="none"/>
        </w:rPr>
        <w:t xml:space="preserve">三、我单位依法进行纳税和社会保险申报并实际履行了义务。</w:t>
      </w:r>
      <w:r>
        <w:rPr>
          <w:highlight w:val="none"/>
        </w:rPr>
      </w:r>
      <w:r/>
    </w:p>
    <w:p>
      <w:pPr>
        <w:pStyle w:val="904"/>
        <w:ind w:firstLine="480"/>
        <w:spacing w:line="40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04"/>
        <w:ind w:firstLine="480"/>
        <w:spacing w:line="40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04"/>
        <w:ind w:firstLine="480"/>
        <w:spacing w:line="400" w:lineRule="exact"/>
        <w:rPr>
          <w:highlight w:val="none"/>
        </w:rPr>
      </w:pPr>
      <w:r>
        <w:rPr>
          <w:rFonts w:hint="eastAsia"/>
          <w:highlight w:val="none"/>
        </w:rPr>
        <w:t xml:space="preserve">六、我单位具备法律、行政法规规定的其他条件。</w:t>
      </w:r>
      <w:r>
        <w:rPr>
          <w:highlight w:val="none"/>
        </w:rPr>
      </w:r>
      <w:r/>
    </w:p>
    <w:p>
      <w:pPr>
        <w:pStyle w:val="904"/>
        <w:ind w:firstLine="480"/>
        <w:spacing w:line="40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04"/>
        <w:ind w:firstLine="480"/>
        <w:spacing w:line="40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04"/>
        <w:ind w:firstLine="480"/>
        <w:spacing w:line="40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04"/>
        <w:ind w:firstLine="480"/>
        <w:spacing w:line="40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04"/>
        <w:ind w:firstLine="480"/>
        <w:spacing w:line="40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04"/>
        <w:ind w:firstLine="480"/>
        <w:spacing w:line="40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                                         投标人：（加盖公章）</w:t>
      </w:r>
      <w:r>
        <w:rPr>
          <w:color w:val="000000"/>
        </w:rPr>
      </w:r>
      <w:r/>
    </w:p>
    <w:p>
      <w:pPr>
        <w:pStyle w:val="1076"/>
        <w:ind w:firstLine="480"/>
        <w:spacing w:line="460" w:lineRule="exact"/>
        <w:rPr>
          <w:color w:val="000000"/>
        </w:rPr>
      </w:pPr>
      <w:r>
        <w:rPr>
          <w:rFonts w:hint="eastAsia"/>
          <w:color w:val="000000"/>
        </w:rPr>
        <w:t xml:space="preserve">                                        法定代表人（或单位负责人）签字或盖章：</w:t>
      </w:r>
      <w:r>
        <w:rPr>
          <w:color w:val="000000"/>
        </w:rPr>
      </w:r>
      <w:r/>
    </w:p>
    <w:p>
      <w:pPr>
        <w:pStyle w:val="1076"/>
        <w:ind w:firstLine="4920"/>
        <w:spacing w:line="460" w:lineRule="exact"/>
        <w:rPr>
          <w:color w:val="000000"/>
        </w:rPr>
      </w:pPr>
      <w:r>
        <w:rPr>
          <w:rFonts w:hint="eastAsia"/>
          <w:color w:val="000000"/>
        </w:rPr>
        <w:t xml:space="preserve">日期：    年    月    日</w:t>
      </w:r>
      <w:r>
        <w:rPr>
          <w:color w:val="000000"/>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t xml:space="preserve">说明：</w:t>
      </w:r>
      <w:r>
        <w:rPr>
          <w:rFonts w:hint="eastAsia"/>
          <w:color w:val="000000"/>
          <w:sz w:val="24"/>
        </w:rPr>
        <w:t xml:space="preserve">投标人承诺不实的，依据《政府采购法》第七十七条“提供虚假材料谋取中标、成交的”有关规定予以处理</w:t>
      </w:r>
      <w:r>
        <w:rPr>
          <w:color w:val="000000"/>
          <w:sz w:val="24"/>
        </w:rPr>
        <w:t xml:space="preserve">。</w:t>
      </w:r>
      <w:r>
        <w:rPr>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b/>
          <w:bCs/>
          <w:color w:val="000000"/>
          <w:sz w:val="24"/>
        </w:rPr>
        <w:outlineLvl w:val="2"/>
      </w:pPr>
      <w:r>
        <w:rPr>
          <w:rFonts w:hint="eastAsia" w:ascii="宋体" w:hAnsi="宋体" w:eastAsia="宋体" w:cs="宋体"/>
          <w:b/>
          <w:bCs/>
          <w:color w:val="000000"/>
          <w:sz w:val="24"/>
        </w:rPr>
        <w:t xml:space="preserve">2</w:t>
      </w:r>
      <w:r>
        <w:rPr>
          <w:rFonts w:hint="eastAsia"/>
          <w:b/>
          <w:bCs/>
          <w:color w:val="000000"/>
          <w:sz w:val="24"/>
        </w:rPr>
        <w:t xml:space="preserve"> 落实政府采购政策需满足的资格要求（如有）</w:t>
      </w:r>
      <w:r>
        <w:rPr>
          <w:b/>
          <w:bCs/>
          <w:color w:val="000000"/>
          <w:sz w:val="24"/>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 w:val="24"/>
        </w:rPr>
        <w:outlineLvl w:val="2"/>
      </w:pPr>
      <w:r>
        <w:rPr>
          <w:rFonts w:ascii="宋体" w:hAnsi="宋体"/>
          <w:b/>
          <w:bCs/>
          <w:sz w:val="24"/>
        </w:rPr>
        <w:t xml:space="preserve">3</w:t>
      </w:r>
      <w:r>
        <w:rPr>
          <w:rFonts w:hint="eastAsia" w:ascii="宋体" w:hAnsi="宋体"/>
          <w:b/>
          <w:bCs/>
          <w:sz w:val="24"/>
        </w:rPr>
        <w:t xml:space="preserve"> </w:t>
      </w:r>
      <w:r>
        <w:rPr>
          <w:rFonts w:ascii="宋体" w:hAnsi="宋体"/>
          <w:b/>
          <w:bCs/>
          <w:sz w:val="24"/>
        </w:rPr>
        <w:t xml:space="preserve">本项目的特定资格要求（如有）</w:t>
      </w: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hint="eastAsia" w:ascii="宋体" w:hAnsi="宋体"/>
          <w:b/>
          <w:bCs/>
          <w:sz w:val="24"/>
        </w:rPr>
        <w:outlineLvl w:val="2"/>
      </w:pPr>
      <w:r>
        <w:rPr>
          <w:rFonts w:ascii="宋体" w:hAnsi="宋体"/>
          <w:b/>
          <w:bCs/>
          <w:sz w:val="24"/>
        </w:rPr>
        <w:t xml:space="preserve">3-</w:t>
      </w:r>
      <w:r>
        <w:rPr>
          <w:rFonts w:hint="eastAsia" w:ascii="宋体" w:hAnsi="宋体"/>
          <w:b/>
          <w:bCs/>
          <w:sz w:val="24"/>
        </w:rPr>
        <w:t xml:space="preserve">1是否接受联合体投标</w:t>
      </w: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ind w:right="1560"/>
        <w:spacing w:line="588" w:lineRule="exact"/>
        <w:rPr>
          <w:spacing w:val="6"/>
          <w:sz w:val="24"/>
        </w:rPr>
      </w:pPr>
      <w:r>
        <w:rPr>
          <w:rFonts w:ascii="宋体" w:hAnsi="宋体"/>
          <w:b/>
          <w:bCs/>
          <w:sz w:val="24"/>
        </w:rPr>
        <w:t xml:space="preserve">3-</w:t>
      </w:r>
      <w:r>
        <w:rPr>
          <w:rFonts w:hint="eastAsia" w:ascii="宋体" w:hAnsi="宋体"/>
          <w:b/>
          <w:bCs/>
          <w:sz w:val="24"/>
        </w:rPr>
        <w:t xml:space="preserve">2</w:t>
      </w:r>
      <w:r>
        <w:rPr>
          <w:rFonts w:ascii="宋体" w:hAnsi="宋体"/>
          <w:b/>
          <w:bCs/>
          <w:sz w:val="24"/>
        </w:rPr>
        <w:t xml:space="preserve">其他特定资格要求</w:t>
      </w:r>
      <w:r>
        <w:rPr>
          <w:rFonts w:hint="eastAsia" w:ascii="宋体" w:hAnsi="宋体"/>
          <w:b/>
          <w:bCs/>
          <w:sz w:val="24"/>
        </w:rPr>
        <w:t xml:space="preserve">（如有）</w:t>
      </w:r>
      <w:r>
        <w:rPr>
          <w:spacing w:val="6"/>
          <w:sz w:val="24"/>
        </w:rPr>
      </w:r>
      <w:r/>
    </w:p>
    <w:p>
      <w:pPr>
        <w:pStyle w:val="882"/>
        <w:jc w:val="center"/>
        <w:widowControl/>
        <w:rPr>
          <w:rFonts w:ascii="宋体" w:hAnsi="宋体"/>
          <w:b/>
          <w:color w:val="000000"/>
          <w:sz w:val="32"/>
          <w:szCs w:val="32"/>
        </w:rPr>
      </w:pPr>
      <w:r>
        <w:rPr>
          <w:rFonts w:hint="eastAsia" w:ascii="宋体" w:hAnsi="宋体"/>
          <w:b/>
          <w:szCs w:val="21"/>
        </w:rPr>
        <w:br w:type="page" w:clear="all"/>
      </w:r>
      <w:r>
        <w:rPr>
          <w:rFonts w:ascii="宋体" w:hAnsi="宋体"/>
          <w:b/>
          <w:color w:val="000000"/>
          <w:sz w:val="32"/>
          <w:szCs w:val="32"/>
        </w:rPr>
        <w:t xml:space="preserve">二、商务技术文件格式</w:t>
      </w:r>
      <w:bookmarkStart w:id="827" w:name="_Ref467988698"/>
      <w:r/>
      <w:bookmarkStart w:id="828" w:name="_Toc142311058"/>
      <w:r/>
      <w:bookmarkStart w:id="829" w:name="_Toc150774761"/>
      <w:r/>
      <w:bookmarkStart w:id="830" w:name="_Toc520356217"/>
      <w:r/>
      <w:bookmarkStart w:id="831" w:name="_Toc127151556"/>
      <w:r/>
      <w:bookmarkStart w:id="832" w:name="_Toc226337252"/>
      <w:r/>
      <w:bookmarkStart w:id="833" w:name="_Toc150480794"/>
      <w:r/>
      <w:bookmarkStart w:id="834" w:name="_Toc226965829"/>
      <w:r/>
      <w:bookmarkStart w:id="835" w:name="_Toc480942349"/>
      <w:r/>
      <w:bookmarkStart w:id="836" w:name="_Toc226965746"/>
      <w:r/>
      <w:bookmarkStart w:id="837" w:name="_Toc226309800"/>
      <w:r/>
      <w:bookmarkStart w:id="838" w:name="_Toc195842921"/>
      <w:r>
        <w:rPr>
          <w:rFonts w:ascii="宋体" w:hAnsi="宋体"/>
          <w:b/>
          <w:color w:val="000000"/>
          <w:sz w:val="32"/>
          <w:szCs w:val="32"/>
        </w:rPr>
      </w:r>
      <w:r/>
    </w:p>
    <w:p>
      <w:pPr>
        <w:pStyle w:val="882"/>
        <w:jc w:val="center"/>
        <w:widowControl/>
        <w:rPr>
          <w:rFonts w:ascii="宋体" w:hAnsi="宋体"/>
          <w:b/>
          <w:color w:val="000000"/>
          <w:sz w:val="32"/>
          <w:szCs w:val="32"/>
        </w:rPr>
      </w:pPr>
      <w:r>
        <w:rPr>
          <w:rFonts w:ascii="宋体" w:hAnsi="宋体"/>
          <w:b/>
          <w:color w:val="000000"/>
          <w:sz w:val="32"/>
          <w:szCs w:val="32"/>
        </w:rPr>
      </w:r>
      <w:r/>
    </w:p>
    <w:p>
      <w:pPr>
        <w:pStyle w:val="882"/>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rPr>
        <w:t xml:space="preserve">1投标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eastAsia="宋体" w:cs="宋体"/>
          <w:b/>
          <w:bCs/>
          <w:color w:val="000000"/>
          <w:sz w:val="24"/>
        </w:rPr>
        <w:t xml:space="preserve">函（实质性格式）</w:t>
      </w:r>
      <w:r>
        <w:rPr>
          <w:rFonts w:hint="eastAsia" w:ascii="宋体" w:hAnsi="宋体" w:eastAsia="宋体" w:cs="宋体"/>
          <w:b/>
          <w:bCs/>
          <w:color w:val="000000"/>
          <w:sz w:val="24"/>
          <w:szCs w:val="20"/>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rPr>
          <w:rFonts w:hint="eastAsia" w:ascii="宋体" w:hAnsi="宋体" w:eastAsia="宋体" w:cs="宋体"/>
          <w:b/>
          <w:color w:val="000000"/>
          <w:sz w:val="36"/>
          <w:szCs w:val="36"/>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（采购人或采购代理机构）</w:t>
      </w:r>
      <w:r>
        <w:rPr>
          <w:rFonts w:hint="eastAsia" w:ascii="宋体" w:hAnsi="宋体" w:eastAsia="宋体" w:cs="宋体"/>
          <w:color w:val="000000"/>
          <w:sz w:val="24"/>
        </w:rPr>
      </w:r>
      <w:r/>
    </w:p>
    <w:p>
      <w:pPr>
        <w:pStyle w:val="882"/>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我方参加你方就___________（项目名称，项目编号</w:t>
      </w:r>
      <w:r>
        <w:rPr>
          <w:rFonts w:hint="eastAsia" w:ascii="宋体" w:hAnsi="宋体" w:eastAsia="宋体" w:cs="宋体"/>
          <w:color w:val="000000"/>
          <w:sz w:val="24"/>
          <w:szCs w:val="20"/>
          <w:lang w:val="en-US" w:eastAsia="zh-CN"/>
        </w:rPr>
        <w:t xml:space="preserve">/包号</w:t>
      </w:r>
      <w:r>
        <w:rPr>
          <w:rFonts w:hint="eastAsia" w:ascii="宋体" w:hAnsi="宋体" w:eastAsia="宋体" w:cs="宋体"/>
          <w:color w:val="000000"/>
          <w:sz w:val="24"/>
          <w:szCs w:val="20"/>
        </w:rPr>
        <w:t xml:space="preserve">）组织的招标活动，并对此项目进行投标。</w:t>
      </w: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我方</w:t>
      </w:r>
      <w:r>
        <w:rPr>
          <w:rFonts w:hint="eastAsia" w:ascii="宋体" w:hAnsi="宋体" w:eastAsia="宋体" w:cs="宋体"/>
          <w:color w:val="000000"/>
          <w:sz w:val="24"/>
        </w:rPr>
        <w:t xml:space="preserve">已详细审查全部招标文件</w:t>
      </w:r>
      <w:r>
        <w:rPr>
          <w:rFonts w:hint="eastAsia" w:ascii="宋体" w:hAnsi="宋体" w:eastAsia="宋体" w:cs="宋体"/>
          <w:color w:val="000000"/>
          <w:sz w:val="24"/>
          <w:szCs w:val="20"/>
        </w:rPr>
        <w:t xml:space="preserve">，自愿参与投标并承诺如下：</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（1）本投标有效期为自提交投标文件的截止之日起</w:t>
      </w:r>
      <w:r>
        <w:rPr>
          <w:rFonts w:hint="eastAsia" w:ascii="宋体" w:hAnsi="宋体" w:eastAsia="宋体" w:cs="宋体"/>
          <w:color w:val="000000"/>
          <w:sz w:val="24"/>
        </w:rPr>
        <w:t xml:space="preserve">60</w:t>
      </w:r>
      <w:r>
        <w:rPr>
          <w:rFonts w:hint="eastAsia" w:ascii="宋体" w:hAnsi="宋体" w:eastAsia="宋体" w:cs="宋体"/>
          <w:color w:val="000000"/>
          <w:sz w:val="24"/>
          <w:szCs w:val="20"/>
        </w:rPr>
        <w:t xml:space="preserve">个日历日。</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（2）除合同条款及采购需求偏离表列出的偏离外，我方响应招标文件的全部要求。</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（3）我方已提供的全部文件资料是真实、准确的，并对此承担一切法律后果。</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szCs w:val="20"/>
        </w:rPr>
        <w:t xml:space="preserve">（4）如我方中标，我方将在法律规定的期限内与你方签订合同，并在合同约定的期限内完成合同规定的全部义务。</w:t>
      </w:r>
      <w:r>
        <w:rPr>
          <w:rFonts w:hint="eastAsia" w:ascii="宋体" w:hAnsi="宋体" w:eastAsia="宋体" w:cs="宋体"/>
          <w:color w:val="000000"/>
          <w:sz w:val="24"/>
        </w:rPr>
      </w:r>
      <w:r/>
    </w:p>
    <w:p>
      <w:pPr>
        <w:pStyle w:val="882"/>
        <w:ind w:left="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其他补充条款（如有）：</w:t>
      </w:r>
      <w:r>
        <w:rPr>
          <w:rFonts w:hint="eastAsia" w:ascii="宋体" w:hAnsi="宋体" w:eastAsia="宋体" w:cs="宋体"/>
          <w:color w:val="000000"/>
          <w:sz w:val="24"/>
          <w:szCs w:val="20"/>
        </w:rPr>
        <w:t xml:space="preserve">___________</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与本投标有关的一切正式往来信函请寄：</w:t>
      </w:r>
      <w:r>
        <w:rPr>
          <w:rFonts w:hint="eastAsia" w:ascii="宋体" w:hAnsi="宋体" w:eastAsia="宋体" w:cs="宋体"/>
          <w:color w:val="000000"/>
          <w:sz w:val="24"/>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地址_________________________     传真____________________________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电子函件________________________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投标人名称（加盖公章） 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r>
      <w:r/>
    </w:p>
    <w:p>
      <w:pPr>
        <w:pStyle w:val="882"/>
        <w:jc w:val="left"/>
        <w:widowControl/>
        <w:rPr>
          <w:color w:val="000000"/>
          <w:sz w:val="24"/>
        </w:rPr>
      </w:pPr>
      <w:r/>
      <w:bookmarkStart w:id="839" w:name="_Hlt520355938"/>
      <w:r/>
      <w:bookmarkEnd w:id="839"/>
      <w:r/>
      <w:bookmarkStart w:id="840" w:name="_Hlt520356243"/>
      <w:r/>
      <w:bookmarkEnd w:id="840"/>
      <w:r>
        <w:rPr>
          <w:color w:val="000000"/>
          <w:sz w:val="24"/>
        </w:rPr>
        <w:br w:type="page" w:clear="all"/>
      </w:r>
      <w:r>
        <w:rPr>
          <w:rFonts w:hint="eastAsia" w:ascii="宋体" w:hAnsi="宋体" w:eastAsia="宋体" w:cs="宋体"/>
          <w:b/>
          <w:bCs/>
          <w:color w:val="000000"/>
          <w:sz w:val="24"/>
        </w:rPr>
        <w:t xml:space="preserve">2</w:t>
      </w:r>
      <w:r>
        <w:rPr>
          <w:rFonts w:hint="eastAsia"/>
          <w:b/>
          <w:bCs/>
          <w:color w:val="000000"/>
          <w:sz w:val="24"/>
        </w:rPr>
        <w:t xml:space="preserve"> 法定代表人资格证明书（实质性格式)</w:t>
      </w:r>
      <w:r>
        <w:rPr>
          <w:color w:val="000000"/>
          <w:sz w:val="24"/>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88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（投标人名称）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82"/>
        <w:spacing w:line="560" w:lineRule="exact"/>
        <w:rPr>
          <w:rFonts w:ascii="宋体" w:hAnsi="宋体"/>
          <w:color w:val="000000"/>
          <w:sz w:val="24"/>
        </w:rPr>
      </w:pPr>
      <w:r>
        <w:rPr>
          <w:rFonts w:ascii="宋体" w:hAnsi="宋体"/>
          <w:color w:val="000000"/>
          <w:sz w:val="24"/>
        </w:rPr>
      </w:r>
      <w:r/>
    </w:p>
    <w:p>
      <w:pPr>
        <w:pStyle w:val="1102"/>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电子件。</w:t>
      </w:r>
      <w:r>
        <w:rPr>
          <w:color w:val="000000"/>
          <w:spacing w:val="-3"/>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lang w:eastAsia="zh-CN"/>
        </w:rPr>
        <w:t xml:space="preserve">、</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88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2"/>
        <w:jc w:val="left"/>
        <w:widowControl/>
        <w:rPr>
          <w:color w:val="000000"/>
          <w:sz w:val="24"/>
        </w:rPr>
      </w:pPr>
      <w:r>
        <w:rPr>
          <w:color w:val="000000"/>
          <w:sz w:val="24"/>
        </w:rPr>
      </w:r>
      <w:r/>
    </w:p>
    <w:p>
      <w:pPr>
        <w:pStyle w:val="882"/>
        <w:rPr>
          <w:color w:val="000000"/>
        </w:rPr>
      </w:pPr>
      <w:r>
        <w:rPr>
          <w:color w:val="000000"/>
        </w:rPr>
      </w:r>
      <w:r/>
    </w:p>
    <w:p>
      <w:pPr>
        <w:pStyle w:val="882"/>
        <w:jc w:val="left"/>
        <w:widowControl/>
        <w:rPr>
          <w:color w:val="000000"/>
          <w:sz w:val="24"/>
        </w:rPr>
      </w:pPr>
      <w:r>
        <w:rPr>
          <w:color w:val="000000"/>
          <w:sz w:val="24"/>
        </w:rPr>
      </w:r>
      <w:r/>
    </w:p>
    <w:p>
      <w:pPr>
        <w:pStyle w:val="882"/>
        <w:jc w:val="left"/>
        <w:widowControl/>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rPr>
      </w:r>
      <w:r/>
    </w:p>
    <w:p>
      <w:pPr>
        <w:pStyle w:val="882"/>
        <w:jc w:val="left"/>
        <w:widowControl/>
        <w:rPr>
          <w:b/>
          <w:bCs/>
          <w:color w:val="000000"/>
          <w:sz w:val="24"/>
        </w:rPr>
      </w:pPr>
      <w:r>
        <w:rPr>
          <w:rFonts w:hint="eastAsia" w:ascii="宋体" w:hAnsi="宋体" w:eastAsia="宋体" w:cs="宋体"/>
          <w:b/>
          <w:bCs/>
          <w:color w:val="000000"/>
          <w:sz w:val="24"/>
        </w:rPr>
        <w:t xml:space="preserve">3</w:t>
      </w:r>
      <w:r>
        <w:rPr>
          <w:rFonts w:hint="eastAsia"/>
          <w:b/>
          <w:bCs/>
          <w:color w:val="000000"/>
          <w:sz w:val="24"/>
        </w:rPr>
        <w:t xml:space="preserve">  政府采购供应商信用承诺书（实质性格式）</w:t>
      </w:r>
      <w:r>
        <w:rPr>
          <w:b/>
          <w:bCs/>
          <w:color w:val="000000"/>
          <w:sz w:val="24"/>
        </w:rPr>
      </w:r>
      <w:r/>
    </w:p>
    <w:p>
      <w:pPr>
        <w:pStyle w:val="882"/>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882"/>
        <w:ind w:firstLine="321"/>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政府采购供应商信用承诺书</w:t>
      </w:r>
      <w:r>
        <w:rPr>
          <w:rFonts w:hint="eastAsia" w:ascii="宋体" w:hAnsi="宋体" w:eastAsia="宋体" w:cs="宋体"/>
          <w:b/>
          <w:color w:val="000000"/>
          <w:sz w:val="32"/>
          <w:szCs w:val="32"/>
        </w:rPr>
      </w:r>
      <w:r/>
    </w:p>
    <w:p>
      <w:pPr>
        <w:pStyle w:val="882"/>
        <w:ind w:firstLine="640"/>
        <w:rPr>
          <w:color w:val="000000"/>
        </w:rPr>
      </w:pPr>
      <w:r>
        <w:rPr>
          <w:color w:val="000000"/>
        </w:rPr>
      </w:r>
      <w:r/>
    </w:p>
    <w:p>
      <w:pPr>
        <w:pStyle w:val="882"/>
        <w:ind w:firstLine="480"/>
        <w:spacing w:line="276" w:lineRule="auto"/>
        <w:rPr>
          <w:rFonts w:ascii="宋体" w:hAnsi="宋体"/>
          <w:color w:val="000000"/>
          <w:sz w:val="24"/>
        </w:rPr>
      </w:pPr>
      <w:r/>
      <w:bookmarkStart w:id="841" w:name="_Hlt520274121"/>
      <w:r/>
      <w:bookmarkEnd w:id="841"/>
      <w:r/>
      <w:bookmarkStart w:id="842" w:name="_Hlt520273711"/>
      <w:r/>
      <w:bookmarkEnd w:id="842"/>
      <w:r/>
      <w:bookmarkStart w:id="843" w:name="_Hlt520343392"/>
      <w:r/>
      <w:bookmarkEnd w:id="843"/>
      <w:r/>
      <w:bookmarkStart w:id="844" w:name="_Hlt520274393"/>
      <w:r/>
      <w:bookmarkEnd w:id="844"/>
      <w:r/>
      <w:bookmarkStart w:id="845" w:name="_Hlt520274065"/>
      <w:r/>
      <w:bookmarkEnd w:id="845"/>
      <w:r/>
      <w:bookmarkStart w:id="846" w:name="_Hlt520271212"/>
      <w:r/>
      <w:bookmarkEnd w:id="846"/>
      <w:r/>
      <w:bookmarkStart w:id="847" w:name="_Hlt520355504"/>
      <w:r/>
      <w:bookmarkEnd w:id="847"/>
      <w:r/>
      <w:bookmarkStart w:id="848" w:name="_Hlt520274407"/>
      <w:r/>
      <w:bookmarkEnd w:id="848"/>
      <w:r/>
      <w:bookmarkStart w:id="849" w:name="_Hlt520350918"/>
      <w:r/>
      <w:bookmarkEnd w:id="849"/>
      <w:r/>
      <w:bookmarkStart w:id="850" w:name="_Hlt520343000"/>
      <w:r/>
      <w:bookmarkEnd w:id="850"/>
      <w:r/>
      <w:bookmarkStart w:id="851" w:name="_Toc195842922"/>
      <w:r/>
      <w:bookmarkStart w:id="852" w:name="_Toc142311059"/>
      <w:r/>
      <w:bookmarkStart w:id="853" w:name="_Toc265228395"/>
      <w:r/>
      <w:bookmarkStart w:id="854" w:name="_Toc305158899"/>
      <w:r/>
      <w:bookmarkStart w:id="855" w:name="_Toc226337253"/>
      <w:r/>
      <w:bookmarkStart w:id="856" w:name="_Toc226309801"/>
      <w:r/>
      <w:bookmarkStart w:id="857" w:name="_Toc226965747"/>
      <w:r/>
      <w:bookmarkStart w:id="858" w:name="_Toc520356218"/>
      <w:r/>
      <w:bookmarkStart w:id="859" w:name="_Ref467988705"/>
      <w:r/>
      <w:bookmarkStart w:id="860" w:name="_Toc150774762"/>
      <w:r/>
      <w:bookmarkStart w:id="861" w:name="_Toc480942350"/>
      <w:r/>
      <w:bookmarkStart w:id="862" w:name="_Toc305158825"/>
      <w:r/>
      <w:bookmarkStart w:id="863" w:name="_Toc264969247"/>
      <w:r/>
      <w:bookmarkStart w:id="864" w:name="_Toc226965830"/>
      <w:r/>
      <w:bookmarkStart w:id="865" w:name="_Toc150480795"/>
      <w:r/>
      <w:bookmarkStart w:id="866" w:name="_Toc127151557"/>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8"/>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jc w:val="left"/>
        <w:widowControl/>
        <w:rPr>
          <w:color w:val="000000"/>
          <w:sz w:val="24"/>
          <w:szCs w:val="20"/>
        </w:rPr>
      </w:pPr>
      <w:r>
        <w:rPr>
          <w:color w:val="000000"/>
          <w:sz w:val="24"/>
          <w:szCs w:val="20"/>
        </w:rPr>
        <w:t xml:space="preserve">日期：_____年______月______日   </w:t>
      </w:r>
      <w:r>
        <w:rPr>
          <w:color w:val="000000"/>
          <w:sz w:val="24"/>
          <w:szCs w:val="20"/>
        </w:rPr>
        <w:br w:type="page" w:clear="all"/>
      </w:r>
      <w:r>
        <w:rPr>
          <w:rFonts w:hint="eastAsia" w:ascii="宋体" w:hAnsi="宋体" w:eastAsia="宋体" w:cs="宋体"/>
          <w:b/>
          <w:bCs/>
          <w:color w:val="000000"/>
          <w:sz w:val="24"/>
          <w:szCs w:val="20"/>
        </w:rPr>
        <w:t xml:space="preserve">4</w:t>
      </w:r>
      <w:r>
        <w:rPr>
          <w:b/>
          <w:bCs/>
          <w:color w:val="000000"/>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b/>
          <w:bCs/>
          <w:color w:val="000000"/>
          <w:sz w:val="24"/>
          <w:szCs w:val="20"/>
        </w:rPr>
        <w:t xml:space="preserve">（实质性格式）</w:t>
      </w: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bookmarkStart w:id="867" w:name="_Toc264969248"/>
      <w:r/>
      <w:bookmarkStart w:id="868" w:name="_Toc195842923"/>
      <w:r/>
      <w:bookmarkStart w:id="869" w:name="_Toc305158900"/>
      <w:r/>
      <w:bookmarkStart w:id="870" w:name="_Toc226337254"/>
      <w:r/>
      <w:bookmarkStart w:id="871" w:name="_Toc226965831"/>
      <w:r/>
      <w:bookmarkStart w:id="872" w:name="_Toc164608672"/>
      <w:r/>
      <w:bookmarkStart w:id="873" w:name="_Toc226965748"/>
      <w:r/>
      <w:bookmarkStart w:id="874" w:name="_Toc305158826"/>
      <w:r/>
      <w:bookmarkStart w:id="875" w:name="_Toc164608827"/>
      <w:r/>
      <w:bookmarkStart w:id="876" w:name="_Toc265228396"/>
      <w:r/>
      <w:bookmarkStart w:id="877" w:name="_Toc226309802"/>
      <w:r>
        <w:rPr>
          <w:rFonts w:hint="eastAsia"/>
          <w:b/>
          <w:color w:val="000000"/>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b/>
          <w:color w:val="000000"/>
          <w:sz w:val="36"/>
          <w:szCs w:val="36"/>
        </w:rPr>
      </w:r>
      <w:r/>
    </w:p>
    <w:p>
      <w:pPr>
        <w:pStyle w:val="882"/>
        <w:jc w:val="left"/>
        <w:spacing w:line="360" w:lineRule="auto"/>
        <w:tabs>
          <w:tab w:val="left" w:pos="1800" w:leader="none"/>
          <w:tab w:val="left" w:pos="5580" w:leader="none"/>
        </w:tabs>
        <w:rPr>
          <w:i/>
          <w:color w:val="000000"/>
          <w:sz w:val="24"/>
        </w:rPr>
      </w:pPr>
      <w:r>
        <w:rPr>
          <w:i/>
          <w:color w:val="000000"/>
          <w:sz w:val="24"/>
        </w:rPr>
      </w:r>
      <w:r/>
    </w:p>
    <w:p>
      <w:pPr>
        <w:pStyle w:val="882"/>
        <w:ind w:firstLine="480"/>
        <w:jc w:val="left"/>
        <w:spacing w:line="400" w:lineRule="exact"/>
        <w:widowControl/>
        <w:rPr>
          <w:color w:val="000000"/>
          <w:sz w:val="24"/>
        </w:rPr>
      </w:pPr>
      <w:r/>
      <w:bookmarkStart w:id="878" w:name="_Toc264969249"/>
      <w:r/>
      <w:bookmarkStart w:id="879" w:name="_Toc305158827"/>
      <w:r/>
      <w:bookmarkStart w:id="880" w:name="_Toc150480796"/>
      <w:r/>
      <w:bookmarkStart w:id="881" w:name="_Toc226337255"/>
      <w:r/>
      <w:bookmarkStart w:id="882" w:name="_Toc265228397"/>
      <w:r/>
      <w:bookmarkStart w:id="883" w:name="_Toc226965832"/>
      <w:r/>
      <w:bookmarkStart w:id="884" w:name="_Toc195842924"/>
      <w:r/>
      <w:bookmarkStart w:id="885" w:name="_Toc305158901"/>
      <w:r/>
      <w:bookmarkStart w:id="886" w:name="_Toc142311060"/>
      <w:r/>
      <w:bookmarkStart w:id="887" w:name="_Toc226965749"/>
      <w:r/>
      <w:bookmarkStart w:id="888" w:name="_Toc226309803"/>
      <w:r/>
      <w:bookmarkStart w:id="889" w:name="_Toc127151558"/>
      <w:r/>
      <w:bookmarkStart w:id="890" w:name="_Toc150774763"/>
      <w:r>
        <w:rPr>
          <w:rFonts w:hint="eastAsia" w:ascii="宋体" w:hAnsi="宋体" w:cs="宋体"/>
          <w:sz w:val="24"/>
        </w:rPr>
        <w:t xml:space="preserve">投标人在提交投标文件时，应按照投标工具（苏采云客户端）的提示流程编制提交开标一览表，开标一览表格式以投标工具中的为准。</w:t>
      </w:r>
      <w:r>
        <w:rPr>
          <w:rFonts w:hint="eastAsia" w:ascii="宋体" w:hAnsi="宋体" w:cs="宋体"/>
          <w:color w:val="000000"/>
          <w:sz w:val="24"/>
        </w:rPr>
        <w:br w:type="page" w:clear="all"/>
      </w:r>
      <w:r>
        <w:rPr>
          <w:rFonts w:hint="eastAsia" w:ascii="宋体" w:hAnsi="宋体" w:eastAsia="宋体" w:cs="宋体"/>
          <w:b/>
          <w:bCs/>
          <w:color w:val="000000"/>
          <w:sz w:val="24"/>
          <w:szCs w:val="20"/>
        </w:rPr>
        <w:t xml:space="preserve">5</w:t>
      </w:r>
      <w:r>
        <w:rPr>
          <w:b/>
          <w:bCs/>
          <w:color w:val="000000"/>
          <w:sz w:val="24"/>
          <w:szCs w:val="20"/>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b/>
          <w:bCs/>
          <w:color w:val="000000"/>
          <w:sz w:val="24"/>
          <w:szCs w:val="20"/>
        </w:rPr>
        <w:t xml:space="preserve">（实质性格式）</w:t>
      </w:r>
      <w:r>
        <w:rPr>
          <w:color w:val="000000"/>
          <w:sz w:val="24"/>
        </w:rPr>
      </w:r>
      <w:r/>
    </w:p>
    <w:p>
      <w:pPr>
        <w:pStyle w:val="882"/>
        <w:jc w:val="left"/>
        <w:widowControl/>
        <w:rPr>
          <w:color w:val="000000"/>
          <w:sz w:val="24"/>
          <w:szCs w:val="20"/>
        </w:rPr>
      </w:pPr>
      <w:r>
        <w:rPr>
          <w:color w:val="000000"/>
          <w:sz w:val="24"/>
          <w:szCs w:val="20"/>
        </w:rPr>
      </w:r>
      <w:r/>
    </w:p>
    <w:p>
      <w:pPr>
        <w:pStyle w:val="882"/>
        <w:jc w:val="center"/>
        <w:spacing w:line="360" w:lineRule="exact"/>
        <w:rPr>
          <w:color w:val="000000"/>
          <w:sz w:val="36"/>
          <w:szCs w:val="36"/>
        </w:rPr>
      </w:pPr>
      <w:r>
        <w:rPr>
          <w:color w:val="000000"/>
          <w:sz w:val="36"/>
          <w:szCs w:val="36"/>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投标分项报价表</w:t>
      </w:r>
      <w:r>
        <w:rPr>
          <w:b/>
          <w:color w:val="000000"/>
          <w:sz w:val="36"/>
          <w:szCs w:val="36"/>
        </w:rPr>
      </w:r>
      <w:r/>
    </w:p>
    <w:p>
      <w:pPr>
        <w:pStyle w:val="882"/>
        <w:jc w:val="center"/>
        <w:spacing w:line="260" w:lineRule="exact"/>
        <w:rPr>
          <w:color w:val="000000"/>
          <w:sz w:val="36"/>
          <w:szCs w:val="36"/>
        </w:rPr>
      </w:pPr>
      <w:r>
        <w:rPr>
          <w:color w:val="000000"/>
          <w:sz w:val="36"/>
          <w:szCs w:val="36"/>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 项目名称：__________报价单位：人民币元</w:t>
      </w:r>
      <w:r>
        <w:rPr>
          <w:color w:val="000000"/>
          <w:sz w:val="24"/>
        </w:rPr>
      </w:r>
      <w:r/>
    </w:p>
    <w:p>
      <w:pPr>
        <w:pStyle w:val="882"/>
        <w:tabs>
          <w:tab w:val="left" w:pos="1800" w:leader="none"/>
          <w:tab w:val="left" w:pos="5580" w:leader="none"/>
        </w:tabs>
        <w:rPr>
          <w:color w:val="000000"/>
          <w:sz w:val="24"/>
        </w:rPr>
      </w:pPr>
      <w:r>
        <w:rPr>
          <w:color w:val="000000"/>
          <w:sz w:val="24"/>
        </w:rPr>
      </w:r>
      <w:r/>
    </w:p>
    <w:tbl>
      <w:tblPr>
        <w:tblW w:w="9181" w:type="dxa"/>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8"/>
        <w:gridCol w:w="1044"/>
        <w:gridCol w:w="1272"/>
        <w:gridCol w:w="1435"/>
        <w:gridCol w:w="613"/>
        <w:gridCol w:w="618"/>
        <w:gridCol w:w="919"/>
        <w:gridCol w:w="1072"/>
      </w:tblGrid>
      <w:tr>
        <w:trPr>
          <w:cantSplit/>
          <w:trHeight w:val="285"/>
        </w:trPr>
        <w:tc>
          <w:tcPr>
            <w:tcW w:w="870"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133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1044"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1272"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1435"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613"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61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870"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44"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618"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7"/>
            <w:tcW w:w="719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9"/>
            <w:tcW w:w="9181" w:type="dxa"/>
            <w:vAlign w:val="center"/>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hint="eastAsia" w:ascii="宋体" w:hAnsi="宋体" w:cs="Arial"/>
                <w:color w:val="000000"/>
                <w:sz w:val="24"/>
                <w:u w:val="single"/>
              </w:rPr>
              <w:t xml:space="preserve">    </w:t>
            </w:r>
            <w:r>
              <w:rPr>
                <w:rFonts w:hint="eastAsia" w:ascii="宋体" w:hAnsi="宋体" w:cs="Arial"/>
                <w:color w:val="000000"/>
                <w:sz w:val="24"/>
              </w:rPr>
              <w:t xml:space="preserve">%。</w:t>
            </w:r>
            <w:r>
              <w:rPr>
                <w:rFonts w:ascii="宋体" w:hAnsi="宋体" w:cs="Arial"/>
                <w:sz w:val="24"/>
                <w:highlight w:val="none"/>
              </w:rPr>
            </w:r>
            <w:r/>
          </w:p>
        </w:tc>
      </w:tr>
    </w:tbl>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882"/>
        <w:spacing w:line="400" w:lineRule="exact"/>
        <w:rPr>
          <w:color w:val="000000"/>
          <w:sz w:val="24"/>
          <w:highlight w:val="none"/>
        </w:rPr>
      </w:pPr>
      <w:r>
        <w:rPr>
          <w:color w:val="000000"/>
          <w:sz w:val="24"/>
          <w:highlight w:val="none"/>
        </w:rPr>
      </w:r>
      <w:r/>
    </w:p>
    <w:p>
      <w:pPr>
        <w:pStyle w:val="882"/>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82"/>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2"/>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contextualSpacing/>
        <w:ind w:firstLine="480"/>
        <w:spacing w:line="360" w:lineRule="auto"/>
        <w:rPr>
          <w:rFonts w:hint="eastAsia" w:ascii="宋体" w:hAnsi="宋体" w:cs="宋体"/>
          <w:bCs/>
          <w:color w:val="0000ff"/>
          <w:sz w:val="24"/>
          <w:highlight w:val="yellow"/>
        </w:rPr>
      </w:pPr>
      <w:r>
        <w:rPr>
          <w:rFonts w:hint="eastAsia" w:ascii="宋体" w:hAnsi="宋体" w:cs="宋体"/>
          <w:bCs/>
          <w:color w:val="0000ff"/>
          <w:sz w:val="24"/>
          <w:highlight w:val="yellow"/>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jc w:val="left"/>
        <w:widowControl/>
        <w:rPr>
          <w:rFonts w:hint="eastAsia"/>
          <w:b/>
          <w:bCs/>
          <w:color w:val="000000"/>
          <w:sz w:val="24"/>
          <w:szCs w:val="20"/>
        </w:rPr>
      </w:pPr>
      <w:r>
        <w:rPr>
          <w:rFonts w:hint="eastAsia"/>
          <w:b/>
          <w:bCs/>
          <w:color w:val="000000"/>
          <w:sz w:val="24"/>
          <w:szCs w:val="20"/>
        </w:rPr>
      </w:r>
      <w:r/>
    </w:p>
    <w:p>
      <w:pPr>
        <w:pStyle w:val="882"/>
        <w:spacing w:line="360" w:lineRule="auto"/>
        <w:rPr>
          <w:rFonts w:hint="eastAsia"/>
          <w:b/>
          <w:bCs/>
          <w:color w:val="000000"/>
          <w:sz w:val="24"/>
          <w:szCs w:val="20"/>
          <w:lang w:val="en-US" w:eastAsia="zh-CN"/>
        </w:rPr>
      </w:pPr>
      <w:r/>
      <w:bookmarkStart w:id="891" w:name="_Toc142311062"/>
      <w:r/>
      <w:bookmarkStart w:id="892" w:name="_Toc226965835"/>
      <w:r/>
      <w:bookmarkStart w:id="893" w:name="_Toc195842927"/>
      <w:r/>
      <w:bookmarkStart w:id="894" w:name="_Toc150774765"/>
      <w:r/>
      <w:bookmarkStart w:id="895" w:name="_Toc264969252"/>
      <w:r/>
      <w:bookmarkStart w:id="896" w:name="_Toc265228400"/>
      <w:r/>
      <w:bookmarkStart w:id="897" w:name="_Toc226965752"/>
      <w:r/>
      <w:bookmarkStart w:id="898" w:name="_Toc305158904"/>
      <w:r/>
      <w:bookmarkStart w:id="899" w:name="_Toc127151562"/>
      <w:r/>
      <w:bookmarkStart w:id="900" w:name="_Toc150480798"/>
      <w:r/>
      <w:bookmarkStart w:id="901" w:name="_Toc226309806"/>
      <w:r/>
      <w:bookmarkStart w:id="902" w:name="_Toc305158830"/>
      <w:r/>
      <w:bookmarkStart w:id="903" w:name="_Toc226337258"/>
      <w:r/>
      <w:bookmarkStart w:id="904" w:name="_Toc264969251"/>
      <w:r/>
      <w:bookmarkStart w:id="905" w:name="_Toc265228399"/>
      <w:r/>
      <w:bookmarkStart w:id="906" w:name="_Toc195842926"/>
      <w:r/>
      <w:bookmarkStart w:id="907" w:name="_Toc150774764"/>
      <w:r/>
      <w:bookmarkStart w:id="908" w:name="_Toc127151561"/>
      <w:r/>
      <w:bookmarkStart w:id="909" w:name="_Toc150480797"/>
      <w:r/>
      <w:bookmarkStart w:id="910" w:name="_Toc226309805"/>
      <w:r/>
      <w:bookmarkStart w:id="911" w:name="_Toc305158903"/>
      <w:r/>
      <w:bookmarkStart w:id="912" w:name="_Toc226337257"/>
      <w:r/>
      <w:bookmarkStart w:id="913" w:name="_Toc305158829"/>
      <w:r/>
      <w:bookmarkStart w:id="914" w:name="_Toc226965834"/>
      <w:r/>
      <w:bookmarkStart w:id="915" w:name="_Toc226965751"/>
      <w:r/>
      <w:bookmarkStart w:id="916" w:name="_Toc142311061"/>
      <w:r>
        <w:rPr>
          <w:rFonts w:hint="eastAsia"/>
          <w:b/>
          <w:bCs/>
          <w:color w:val="000000"/>
          <w:sz w:val="24"/>
          <w:szCs w:val="20"/>
          <w:lang w:val="en-US" w:eastAsia="zh-CN"/>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6</w:t>
      </w:r>
      <w:r>
        <w:rPr>
          <w:rFonts w:hint="eastAsia"/>
          <w:b/>
          <w:bCs/>
          <w:color w:val="000000"/>
          <w:sz w:val="24"/>
          <w:szCs w:val="20"/>
        </w:rPr>
        <w:t xml:space="preserve"> </w:t>
      </w:r>
      <w:r>
        <w:rPr>
          <w:b/>
          <w:bCs/>
          <w:color w:val="000000"/>
          <w:sz w:val="24"/>
          <w:szCs w:val="20"/>
        </w:rPr>
        <w:t xml:space="preserve">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b/>
          <w:bCs/>
          <w:color w:val="000000"/>
          <w:sz w:val="24"/>
          <w:szCs w:val="20"/>
        </w:rPr>
        <w:t xml:space="preserve">（实质性格式）</w:t>
      </w:r>
      <w:r>
        <w:rPr>
          <w:b/>
          <w:bCs/>
          <w:color w:val="000000"/>
          <w:sz w:val="24"/>
          <w:szCs w:val="20"/>
        </w:rPr>
      </w:r>
      <w:r/>
    </w:p>
    <w:p>
      <w:pPr>
        <w:pStyle w:val="882"/>
        <w:spacing w:line="360" w:lineRule="auto"/>
        <w:rPr>
          <w:color w:val="000000"/>
          <w:sz w:val="24"/>
          <w:szCs w:val="20"/>
        </w:rPr>
      </w:pP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882"/>
        <w:spacing w:line="360" w:lineRule="auto"/>
        <w:rPr>
          <w:color w:val="000000"/>
          <w:sz w:val="24"/>
          <w:szCs w:val="20"/>
        </w:rPr>
      </w:pPr>
      <w:r>
        <w:rPr>
          <w:color w:val="000000"/>
          <w:sz w:val="24"/>
          <w:szCs w:val="20"/>
        </w:rPr>
      </w:r>
      <w:r/>
    </w:p>
    <w:p>
      <w:pPr>
        <w:pStyle w:val="882"/>
        <w:ind w:firstLine="360"/>
        <w:jc w:val="left"/>
        <w:spacing w:line="360" w:lineRule="auto"/>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tcPr>
          <w:p>
            <w:pPr>
              <w:pStyle w:val="882"/>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8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8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29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198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1981" w:type="dxa"/>
            <w:vAlign w:val="center"/>
            <w:textDirection w:val="lrTb"/>
            <w:noWrap/>
          </w:tcPr>
          <w:p>
            <w:pPr>
              <w:pStyle w:val="882"/>
              <w:jc w:val="center"/>
              <w:rPr>
                <w:color w:val="000000"/>
                <w:sz w:val="24"/>
              </w:rPr>
            </w:pPr>
            <w:r>
              <w:rPr>
                <w:color w:val="000000"/>
                <w:sz w:val="24"/>
              </w:rPr>
              <w:t xml:space="preserve">投标文件内容</w:t>
            </w:r>
            <w:r>
              <w:rPr>
                <w:color w:val="000000"/>
                <w:sz w:val="24"/>
              </w:rPr>
            </w:r>
            <w:r/>
          </w:p>
        </w:tc>
        <w:tc>
          <w:tcPr>
            <w:tcW w:w="2423"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782"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bl>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1. 对合同条款中的所有要求，除本表所列明的所有偏离外，均视作投标人已对之理解和响应。</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rPr>
          <w:rFonts w:hint="eastAsia" w:ascii="宋体" w:hAnsi="宋体" w:eastAsia="宋体" w:cs="宋体"/>
          <w:color w:val="000000"/>
          <w:sz w:val="24"/>
        </w:rPr>
      </w:r>
      <w:r/>
    </w:p>
    <w:p>
      <w:pPr>
        <w:pStyle w:val="882"/>
        <w:spacing w:line="360" w:lineRule="auto"/>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spacing w:line="360" w:lineRule="auto"/>
        <w:rPr>
          <w:color w:val="000000"/>
          <w:sz w:val="24"/>
          <w:szCs w:val="20"/>
        </w:rPr>
      </w:pPr>
      <w:r>
        <w:rPr>
          <w:color w:val="000000"/>
          <w:sz w:val="24"/>
          <w:szCs w:val="20"/>
        </w:rPr>
        <w:br w:type="page" w:clear="all"/>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ascii="宋体" w:hAnsi="宋体" w:eastAsia="宋体" w:cs="宋体"/>
          <w:b/>
          <w:bCs/>
          <w:color w:val="000000"/>
          <w:sz w:val="24"/>
          <w:szCs w:val="20"/>
          <w:lang w:val="en-US" w:eastAsia="zh-CN"/>
        </w:rPr>
        <w:t xml:space="preserve">7</w:t>
      </w:r>
      <w:r>
        <w:rPr>
          <w:rFonts w:hint="eastAsia"/>
          <w:b/>
          <w:bCs/>
          <w:color w:val="000000"/>
          <w:sz w:val="24"/>
          <w:szCs w:val="20"/>
          <w:lang w:val="en-US" w:eastAsia="zh-CN"/>
        </w:rPr>
        <w:t xml:space="preserve"> 采</w:t>
      </w:r>
      <w:r>
        <w:rPr>
          <w:b/>
          <w:bCs/>
          <w:color w:val="000000"/>
          <w:sz w:val="24"/>
          <w:szCs w:val="20"/>
        </w:rPr>
        <w:t xml:space="preserve">购需求偏离表（实质性格式）</w:t>
      </w:r>
      <w:r>
        <w:rPr>
          <w:color w:val="000000"/>
          <w:sz w:val="24"/>
          <w:szCs w:val="20"/>
        </w:rPr>
      </w:r>
      <w:r/>
    </w:p>
    <w:p>
      <w:pPr>
        <w:pStyle w:val="882"/>
        <w:jc w:val="center"/>
        <w:spacing w:line="360" w:lineRule="auto"/>
        <w:rPr>
          <w:b/>
          <w:color w:val="000000"/>
          <w:sz w:val="36"/>
          <w:szCs w:val="36"/>
        </w:rPr>
      </w:pPr>
      <w:r>
        <w:rPr>
          <w:b/>
          <w:color w:val="000000"/>
          <w:sz w:val="36"/>
          <w:szCs w:val="36"/>
        </w:rPr>
      </w:r>
      <w:r/>
    </w:p>
    <w:p>
      <w:pPr>
        <w:pStyle w:val="882"/>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882"/>
        <w:ind w:firstLine="360"/>
        <w:jc w:val="left"/>
        <w:spacing w:line="360" w:lineRule="auto"/>
        <w:tabs>
          <w:tab w:val="left" w:pos="1800" w:leader="none"/>
          <w:tab w:val="left" w:pos="5580" w:leader="none"/>
        </w:tabs>
        <w:rPr>
          <w:color w:val="000000"/>
          <w:sz w:val="24"/>
          <w:u w:val="single"/>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482" w:type="dxa"/>
            <w:vAlign w:val="center"/>
            <w:textDirection w:val="lrTb"/>
            <w:noWrap/>
          </w:tcPr>
          <w:p>
            <w:pPr>
              <w:pStyle w:val="882"/>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tcPr>
          <w:p>
            <w:pPr>
              <w:pStyle w:val="882"/>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tcPr>
          <w:p>
            <w:pPr>
              <w:pStyle w:val="882"/>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1009"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bl>
    <w:p>
      <w:pPr>
        <w:pStyle w:val="88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8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对招标文件中的所有商务、技术要求，除本表所列明的所有偏离外，均视作</w:t>
      </w:r>
      <w:r>
        <w:rPr>
          <w:rFonts w:hint="eastAsia"/>
          <w:color w:val="000000"/>
          <w:sz w:val="24"/>
        </w:rPr>
        <w:t xml:space="preserve">投标人</w:t>
      </w:r>
      <w:r>
        <w:rPr>
          <w:color w:val="000000"/>
          <w:sz w:val="24"/>
        </w:rPr>
        <w:t xml:space="preserve">已对之理解和</w:t>
      </w:r>
      <w:r>
        <w:rPr>
          <w:rFonts w:hint="eastAsia"/>
          <w:color w:val="000000"/>
          <w:sz w:val="24"/>
        </w:rPr>
        <w:t xml:space="preserve">响应</w:t>
      </w:r>
      <w:r>
        <w:rPr>
          <w:color w:val="000000"/>
          <w:sz w:val="24"/>
        </w:rPr>
        <w:t xml:space="preserve">。</w:t>
      </w:r>
      <w:r>
        <w:rPr>
          <w:rFonts w:hint="eastAsia"/>
          <w:color w:val="000000"/>
          <w:sz w:val="24"/>
        </w:rPr>
        <w:t xml:space="preserve">此表中若无任何文字说明，内容为空白，</w:t>
      </w:r>
      <w:r>
        <w:rPr>
          <w:rFonts w:hint="eastAsia"/>
          <w:b/>
          <w:color w:val="000000"/>
          <w:sz w:val="24"/>
        </w:rPr>
        <w:t xml:space="preserve">投标无效。</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2.“偏离情况”列应据实填写“正偏离”、“负偏离”，若不存在偏离情况，只需在此表中填写“无偏离”。</w:t>
      </w: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4"/>
        <w:ind w:firstLine="0"/>
        <w:rPr>
          <w:color w:val="000000"/>
          <w:szCs w:val="20"/>
        </w:rPr>
      </w:pPr>
      <w:r>
        <w:rPr>
          <w:color w:val="000000"/>
          <w:szCs w:val="20"/>
        </w:rPr>
        <w:br w:type="page" w:clear="all"/>
      </w:r>
      <w:r>
        <w:rPr>
          <w:rFonts w:hint="eastAsia" w:ascii="宋体" w:hAnsi="宋体" w:eastAsia="宋体" w:cs="宋体"/>
          <w:b/>
          <w:bCs/>
          <w:color w:val="000000"/>
          <w:szCs w:val="20"/>
          <w:lang w:val="en-US" w:eastAsia="zh-CN"/>
        </w:rPr>
        <w:t xml:space="preserve">8</w:t>
      </w:r>
      <w:r>
        <w:rPr>
          <w:rFonts w:hint="eastAsia"/>
          <w:b/>
          <w:bCs/>
          <w:color w:val="000000"/>
          <w:szCs w:val="20"/>
        </w:rPr>
        <w:t xml:space="preserve"> 参加本项目人员一览表</w:t>
      </w:r>
      <w:r>
        <w:rPr>
          <w:color w:val="000000"/>
          <w:szCs w:val="20"/>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882"/>
        <w:spacing w:line="360" w:lineRule="auto"/>
        <w:rPr>
          <w:rFonts w:ascii="宋体" w:hAnsi="宋体"/>
          <w:color w:val="000000"/>
          <w:sz w:val="22"/>
        </w:rPr>
      </w:pPr>
      <w:r>
        <w:rPr>
          <w:rFonts w:ascii="宋体" w:hAnsi="宋体"/>
          <w:color w:val="000000"/>
          <w:sz w:val="22"/>
        </w:rPr>
      </w:r>
      <w:r/>
    </w:p>
    <w:p>
      <w:pPr>
        <w:pStyle w:val="882"/>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tblInd w:w="-6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88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88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882"/>
        <w:spacing w:line="360" w:lineRule="auto"/>
        <w:rPr>
          <w:rFonts w:ascii="宋体" w:hAnsi="宋体"/>
          <w:color w:val="000000"/>
          <w:sz w:val="24"/>
        </w:rPr>
      </w:pPr>
      <w:r>
        <w:rPr>
          <w:rFonts w:ascii="宋体" w:hAnsi="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sz w:val="24"/>
          <w:szCs w:val="20"/>
        </w:rPr>
      </w:pPr>
      <w:r>
        <w:rPr>
          <w:color w:val="000000"/>
          <w:sz w:val="22"/>
        </w:rPr>
        <w:br w:type="page" w:clear="all"/>
      </w:r>
      <w:bookmarkStart w:id="917" w:name="_Toc288738397"/>
      <w:r/>
      <w:bookmarkStart w:id="918" w:name="_Toc288738839"/>
      <w:r>
        <w:rPr>
          <w:rFonts w:hint="eastAsia" w:ascii="宋体" w:hAnsi="宋体" w:eastAsia="宋体" w:cs="宋体"/>
          <w:b/>
          <w:bCs/>
          <w:color w:val="000000"/>
          <w:sz w:val="24"/>
          <w:szCs w:val="24"/>
          <w:lang w:val="en-US" w:eastAsia="zh-CN"/>
        </w:rPr>
        <w:t xml:space="preserve">9</w:t>
      </w:r>
      <w:r>
        <w:rPr>
          <w:rFonts w:hint="eastAsia"/>
          <w:b/>
          <w:bCs/>
          <w:color w:val="000000"/>
          <w:sz w:val="24"/>
          <w:szCs w:val="20"/>
        </w:rPr>
        <w:t xml:space="preserve">  相关业绩案例一览表</w:t>
      </w:r>
      <w:r>
        <w:rPr>
          <w:color w:val="000000"/>
          <w:sz w:val="24"/>
          <w:szCs w:val="20"/>
        </w:rPr>
      </w:r>
      <w:r/>
    </w:p>
    <w:p>
      <w:pPr>
        <w:pStyle w:val="882"/>
        <w:rPr>
          <w:color w:val="000000"/>
          <w:sz w:val="24"/>
          <w:szCs w:val="20"/>
        </w:rPr>
      </w:pPr>
      <w:r>
        <w:rPr>
          <w:color w:val="000000"/>
          <w:sz w:val="24"/>
          <w:szCs w:val="20"/>
        </w:rPr>
      </w:r>
      <w:r/>
    </w:p>
    <w:p>
      <w:pPr>
        <w:pStyle w:val="88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7"/>
      <w:r/>
      <w:bookmarkEnd w:id="918"/>
      <w:r>
        <w:rPr>
          <w:rFonts w:ascii="宋体" w:hAnsi="宋体"/>
          <w:b/>
          <w:color w:val="000000"/>
          <w:sz w:val="32"/>
          <w:szCs w:val="32"/>
        </w:rPr>
      </w:r>
      <w:r/>
    </w:p>
    <w:p>
      <w:pPr>
        <w:pStyle w:val="882"/>
        <w:jc w:val="center"/>
        <w:spacing w:line="360" w:lineRule="auto"/>
        <w:rPr>
          <w:rFonts w:ascii="宋体" w:hAnsi="宋体"/>
          <w:b/>
          <w:color w:val="000000"/>
          <w:sz w:val="28"/>
          <w:szCs w:val="30"/>
        </w:rPr>
      </w:pPr>
      <w:r>
        <w:rPr>
          <w:rFonts w:ascii="宋体" w:hAnsi="宋体"/>
          <w:b/>
          <w:color w:val="000000"/>
          <w:sz w:val="28"/>
          <w:szCs w:val="30"/>
        </w:rPr>
      </w:r>
      <w:r/>
    </w:p>
    <w:p>
      <w:pPr>
        <w:pStyle w:val="882"/>
        <w:ind w:firstLine="480"/>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88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szCs w:val="20"/>
        </w:rPr>
      </w:r>
      <w:r/>
    </w:p>
    <w:p>
      <w:pPr>
        <w:pStyle w:val="882"/>
        <w:spacing w:line="360" w:lineRule="auto"/>
        <w:rPr>
          <w:b/>
          <w:bCs/>
          <w:color w:val="000000"/>
          <w:sz w:val="24"/>
        </w:rPr>
        <w:outlineLvl w:val="2"/>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0</w:t>
      </w:r>
      <w:r>
        <w:rPr>
          <w:rFonts w:hint="eastAsia"/>
          <w:b/>
          <w:bCs/>
          <w:color w:val="000000"/>
          <w:sz w:val="24"/>
          <w:szCs w:val="20"/>
        </w:rPr>
        <w:t xml:space="preserve"> </w:t>
      </w:r>
      <w:r>
        <w:rPr>
          <w:b/>
          <w:bCs/>
          <w:color w:val="000000"/>
          <w:sz w:val="24"/>
        </w:rPr>
        <w:t xml:space="preserve">中小企业声明函</w:t>
      </w:r>
      <w:r>
        <w:rPr>
          <w:b/>
          <w:bCs/>
          <w:color w:val="000000"/>
          <w:sz w:val="24"/>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2"/>
        <w:spacing w:line="360" w:lineRule="auto"/>
        <w:tabs>
          <w:tab w:val="left" w:pos="5580" w:leader="none"/>
        </w:tabs>
        <w:rPr>
          <w:rFonts w:hint="eastAsia" w:ascii="宋体" w:hAnsi="宋体"/>
          <w:b/>
          <w:color w:val="000000"/>
          <w:sz w:val="24"/>
          <w:highlight w:val="none"/>
        </w:rPr>
      </w:pPr>
      <w:r>
        <w:rPr>
          <w:rFonts w:hint="eastAsia" w:ascii="宋体" w:hAnsi="宋体"/>
          <w:b/>
          <w:bCs/>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8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82"/>
        <w:spacing w:line="360" w:lineRule="auto"/>
        <w:rPr>
          <w:rFonts w:ascii="宋体" w:hAnsi="宋体" w:cs="宋体"/>
          <w:sz w:val="24"/>
        </w:rPr>
      </w:pPr>
      <w:r>
        <w:rPr>
          <w:rFonts w:ascii="宋体" w:hAnsi="宋体" w:cs="宋体"/>
          <w:sz w:val="24"/>
        </w:rPr>
      </w:r>
      <w:r/>
    </w:p>
    <w:p>
      <w:pPr>
        <w:pStyle w:val="882"/>
        <w:jc w:val="left"/>
        <w:widowControl/>
        <w:rPr>
          <w:rFonts w:ascii="Calibri" w:hAnsi="Calibri"/>
          <w:b/>
          <w:bCs/>
          <w:sz w:val="24"/>
        </w:rPr>
      </w:pPr>
      <w:r>
        <w:rPr>
          <w:rFonts w:hint="eastAsia" w:ascii="宋体" w:hAnsi="宋体" w:cs="宋体"/>
          <w:b/>
          <w:bCs/>
          <w:szCs w:val="21"/>
        </w:rPr>
        <w:br w:type="page" w:clear="all"/>
      </w:r>
      <w:r>
        <w:rPr>
          <w:rFonts w:ascii="Calibri" w:hAnsi="Calibri"/>
          <w:b/>
          <w:bCs/>
          <w:sz w:val="24"/>
        </w:rPr>
      </w:r>
      <w:r/>
    </w:p>
    <w:p>
      <w:pPr>
        <w:pStyle w:val="882"/>
        <w:jc w:val="center"/>
        <w:spacing w:before="240" w:after="240" w:line="360" w:lineRule="auto"/>
        <w:rPr>
          <w:b/>
          <w:sz w:val="36"/>
          <w:szCs w:val="36"/>
        </w:rPr>
      </w:pPr>
      <w:r>
        <w:rPr>
          <w:rFonts w:hint="eastAsia" w:ascii="宋体" w:hAnsi="宋体"/>
          <w:b/>
          <w:bCs/>
          <w:sz w:val="36"/>
          <w:szCs w:val="36"/>
        </w:rPr>
        <w:t xml:space="preserve">中小企业声明函（货物）格式</w:t>
      </w:r>
      <w:r>
        <w:rPr>
          <w:b/>
          <w:sz w:val="36"/>
          <w:szCs w:val="36"/>
        </w:rPr>
      </w:r>
      <w:r/>
    </w:p>
    <w:p>
      <w:pPr>
        <w:pStyle w:val="882"/>
        <w:ind w:left="220" w:right="415" w:firstLine="640"/>
        <w:jc w:val="left"/>
        <w:spacing w:line="360" w:lineRule="auto"/>
        <w:rPr>
          <w:sz w:val="24"/>
        </w:rPr>
      </w:pPr>
      <w:r>
        <w:rPr>
          <w:rFonts w:hint="eastAsia" w:ascii="宋体" w:hAnsi="宋体"/>
          <w:sz w:val="24"/>
        </w:rPr>
        <w:t xml:space="preserve">本公司（联合体）郑重声明，根据《政府采购促进中小企业发展管理办法》（财库﹝</w:t>
      </w:r>
      <w:r>
        <w:rPr>
          <w:sz w:val="24"/>
        </w:rPr>
        <w:t xml:space="preserve">2020</w:t>
      </w:r>
      <w:r>
        <w:rPr>
          <w:rFonts w:hint="eastAsia" w:ascii="宋体" w:hAnsi="宋体"/>
          <w:sz w:val="24"/>
        </w:rPr>
        <w:t xml:space="preserve">﹞</w:t>
      </w:r>
      <w:r>
        <w:rPr>
          <w:sz w:val="24"/>
        </w:rPr>
        <w:t xml:space="preserve">46</w:t>
      </w:r>
      <w:r>
        <w:rPr>
          <w:rFonts w:hint="eastAsia" w:ascii="宋体" w:hAnsi="宋体"/>
          <w:sz w:val="24"/>
        </w:rPr>
        <w:t xml:space="preserve">号）的规定，本公司（联合体）参加</w:t>
      </w:r>
      <w:r>
        <w:rPr>
          <w:rFonts w:hint="eastAsia" w:ascii="宋体" w:hAnsi="宋体"/>
          <w:i/>
          <w:sz w:val="24"/>
          <w:u w:val="single"/>
        </w:rPr>
        <w:t xml:space="preserve">（单位名称）</w:t>
      </w:r>
      <w:r>
        <w:rPr>
          <w:rFonts w:hint="eastAsia" w:ascii="宋体" w:hAnsi="宋体"/>
          <w:sz w:val="24"/>
        </w:rPr>
        <w:t xml:space="preserve">的</w:t>
      </w:r>
      <w:r>
        <w:rPr>
          <w:rFonts w:hint="eastAsia" w:ascii="宋体" w:hAnsi="宋体"/>
          <w:i/>
          <w:sz w:val="24"/>
          <w:u w:val="single"/>
        </w:rPr>
        <w:t xml:space="preserve">（项目名称）</w:t>
      </w:r>
      <w:r>
        <w:rPr>
          <w:rFonts w:hint="eastAsia" w:ascii="宋体" w:hAnsi="宋体"/>
          <w:sz w:val="24"/>
        </w:rPr>
        <w:t xml:space="preserve">采购活动，提供的货物全部由符合政策要求的中小企业制造。相关企业（含联合体中的中小企业、签订分包意向协议的中小企业）的具体情况如下：</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w:t>
      </w:r>
      <w:r>
        <w:fldChar w:fldCharType="begin"/>
      </w:r>
      <w:r>
        <w:instrText xml:space="preserve"> HYPERLINK "file:///C:\\Users\\YHL\\Desktop\\%5b2023年9月13日9：30%5d常州市新北区罗溪中学理化生实验室改造项目公开招标\\0822常州市新北区罗溪中学理化生实验室改造项目公开招标文件（泽舟采公-2023004）.doc" \l "_bookmark0" </w:instrText>
      </w:r>
      <w:r>
        <w:fldChar w:fldCharType="separate"/>
      </w:r>
      <w:r>
        <w:rPr>
          <w:rStyle w:val="1331"/>
          <w:color w:val="000000"/>
          <w:position w:val="16"/>
          <w:sz w:val="24"/>
        </w:rPr>
        <w:t xml:space="preserve">1</w:t>
      </w:r>
      <w:r>
        <w:rPr>
          <w:rStyle w:val="1331"/>
          <w:color w:val="000000"/>
          <w:position w:val="16"/>
          <w:sz w:val="24"/>
        </w:rPr>
        <w:fldChar w:fldCharType="end"/>
      </w:r>
      <w:r>
        <w:rPr>
          <w:rFonts w:hint="eastAsia" w:ascii="宋体" w:hAnsi="宋体"/>
          <w:sz w:val="24"/>
        </w:rPr>
        <w:t xml:space="preserve">，属于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ind w:left="860"/>
        <w:jc w:val="left"/>
        <w:spacing w:line="360" w:lineRule="auto"/>
        <w:rPr>
          <w:sz w:val="24"/>
        </w:rPr>
      </w:pPr>
      <w:r>
        <w:rPr>
          <w:sz w:val="24"/>
        </w:rPr>
        <w:t xml:space="preserve">……</w:t>
      </w:r>
      <w:r>
        <w:rPr>
          <w:sz w:val="24"/>
        </w:rPr>
      </w:r>
      <w:r/>
    </w:p>
    <w:p>
      <w:pPr>
        <w:pStyle w:val="882"/>
        <w:ind w:left="220" w:right="417" w:firstLine="645"/>
        <w:spacing w:line="360" w:lineRule="auto"/>
        <w:rPr>
          <w:sz w:val="24"/>
        </w:rPr>
      </w:pPr>
      <w:r>
        <w:rPr>
          <w:rFonts w:hint="eastAsia" w:ascii="宋体" w:hAnsi="宋体"/>
          <w:sz w:val="24"/>
        </w:rPr>
        <w:t xml:space="preserve">以上企业，不属于大企业的分支机构，不存在控股股东为大企业的情形，也不存在与大企业的负责人为同一人的情形。</w:t>
      </w:r>
      <w:r>
        <w:rPr>
          <w:sz w:val="24"/>
        </w:rPr>
      </w:r>
      <w:r/>
    </w:p>
    <w:p>
      <w:pPr>
        <w:pStyle w:val="882"/>
        <w:ind w:left="220" w:right="372" w:firstLine="645"/>
        <w:jc w:val="left"/>
        <w:spacing w:line="360" w:lineRule="auto"/>
        <w:rPr>
          <w:sz w:val="24"/>
        </w:rPr>
      </w:pPr>
      <w:r>
        <w:rPr>
          <w:rFonts w:hint="eastAsia" w:ascii="宋体" w:hAnsi="宋体"/>
          <w:sz w:val="24"/>
        </w:rPr>
        <w:t xml:space="preserve">本企业对上述声明内容的真实性负责。如有虚假，将依法承担相应责任。</w:t>
      </w:r>
      <w:r>
        <w:rPr>
          <w:sz w:val="24"/>
        </w:rPr>
      </w:r>
      <w:r/>
    </w:p>
    <w:p>
      <w:pPr>
        <w:pStyle w:val="882"/>
        <w:ind w:firstLine="504"/>
        <w:spacing w:line="360" w:lineRule="auto"/>
        <w:rPr>
          <w:spacing w:val="6"/>
          <w:sz w:val="24"/>
        </w:rPr>
      </w:pPr>
      <w:r>
        <w:rPr>
          <w:spacing w:val="6"/>
          <w:sz w:val="24"/>
        </w:rPr>
      </w:r>
      <w:r/>
    </w:p>
    <w:p>
      <w:pPr>
        <w:pStyle w:val="882"/>
        <w:ind w:firstLine="504"/>
        <w:spacing w:line="360" w:lineRule="auto"/>
        <w:rPr>
          <w:spacing w:val="6"/>
          <w:sz w:val="24"/>
        </w:rPr>
      </w:pPr>
      <w:r>
        <w:rPr>
          <w:spacing w:val="6"/>
          <w:sz w:val="24"/>
        </w:rPr>
      </w:r>
      <w:r/>
    </w:p>
    <w:p>
      <w:pPr>
        <w:pStyle w:val="882"/>
        <w:ind w:right="360" w:firstLine="480"/>
        <w:jc w:val="right"/>
        <w:spacing w:line="360" w:lineRule="auto"/>
        <w:rPr>
          <w:sz w:val="24"/>
        </w:rPr>
      </w:pPr>
      <w:r>
        <w:rPr>
          <w:rFonts w:hint="eastAsia" w:ascii="宋体" w:hAnsi="宋体"/>
          <w:sz w:val="24"/>
        </w:rPr>
        <w:t xml:space="preserve">企业名称（加盖公章）：</w:t>
      </w:r>
      <w:r>
        <w:rPr>
          <w:sz w:val="24"/>
        </w:rPr>
        <w:t xml:space="preserve">________</w:t>
      </w:r>
      <w:r>
        <w:rPr>
          <w:sz w:val="24"/>
        </w:rPr>
      </w:r>
      <w:r/>
    </w:p>
    <w:p>
      <w:pPr>
        <w:pStyle w:val="882"/>
        <w:ind w:right="360" w:firstLine="480"/>
        <w:jc w:val="right"/>
        <w:spacing w:line="360" w:lineRule="auto"/>
        <w:rPr>
          <w:sz w:val="24"/>
        </w:rPr>
      </w:pPr>
      <w:r>
        <w:rPr>
          <w:rFonts w:hint="eastAsia" w:ascii="宋体" w:hAnsi="宋体"/>
          <w:sz w:val="24"/>
        </w:rPr>
        <w:t xml:space="preserve">日期：</w:t>
      </w:r>
      <w:r>
        <w:rPr>
          <w:sz w:val="24"/>
        </w:rPr>
        <w:t xml:space="preserve">________</w:t>
      </w:r>
      <w:r>
        <w:rPr>
          <w:sz w:val="24"/>
        </w:rPr>
      </w:r>
      <w:r/>
    </w:p>
    <w:p>
      <w:pPr>
        <w:pStyle w:val="882"/>
        <w:jc w:val="left"/>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9"/>
      </w:tblGrid>
      <w:tr>
        <w:trPr/>
        <w:tc>
          <w:tcPr>
            <w:tcW w:w="8529" w:type="dxa"/>
            <w:vAlign w:val="top"/>
            <w:textDirection w:val="lrTb"/>
            <w:noWrap/>
          </w:tcPr>
          <w:p>
            <w:pPr>
              <w:pStyle w:val="882"/>
              <w:jc w:val="left"/>
              <w:rPr>
                <w:rFonts w:ascii="Calibri" w:hAnsi="Calibri" w:cs="Calibri"/>
                <w:sz w:val="24"/>
              </w:rPr>
            </w:pPr>
            <w:r>
              <w:rPr>
                <w:sz w:val="24"/>
                <w:vertAlign w:val="superscript"/>
              </w:rPr>
              <w:t xml:space="preserve">1</w:t>
            </w:r>
            <w:r>
              <w:rPr>
                <w:rFonts w:ascii="宋体" w:hAnsi="宋体"/>
                <w:sz w:val="24"/>
              </w:rPr>
              <w:t xml:space="preserve">从业人员、营业收入、资产总额填报上一年度数据，无上一年度数据的新成立企业可不填报。</w:t>
            </w:r>
            <w:r>
              <w:rPr>
                <w:rFonts w:ascii="Calibri" w:hAnsi="Calibri" w:cs="Calibri"/>
                <w:sz w:val="24"/>
              </w:rPr>
            </w:r>
            <w:r/>
          </w:p>
        </w:tc>
      </w:tr>
    </w:tbl>
    <w:p>
      <w:pPr>
        <w:pStyle w:val="882"/>
        <w:jc w:val="left"/>
        <w:rPr>
          <w:rFonts w:ascii="Calibri" w:hAnsi="Calibri" w:cs="Calibri"/>
          <w:szCs w:val="21"/>
          <w:vertAlign w:val="superscript"/>
        </w:rPr>
      </w:pPr>
      <w:r>
        <w:rPr>
          <w:rFonts w:ascii="Calibri" w:hAnsi="Calibri" w:cs="Calibri"/>
          <w:szCs w:val="21"/>
          <w:vertAlign w:val="superscript"/>
        </w:rPr>
      </w:r>
      <w:r/>
    </w:p>
    <w:p>
      <w:pPr>
        <w:pStyle w:val="882"/>
        <w:ind w:right="360" w:firstLine="480"/>
        <w:jc w:val="right"/>
        <w:spacing w:line="360" w:lineRule="auto"/>
        <w:rPr>
          <w:sz w:val="24"/>
        </w:rPr>
      </w:pPr>
      <w:r>
        <w:rPr>
          <w:sz w:val="24"/>
        </w:rPr>
      </w:r>
      <w:r/>
    </w:p>
    <w:p>
      <w:pPr>
        <w:pStyle w:val="882"/>
        <w:rPr>
          <w:szCs w:val="21"/>
        </w:rPr>
      </w:pPr>
      <w:r>
        <w:rPr>
          <w:szCs w:val="21"/>
        </w:rPr>
      </w:r>
      <w:r/>
    </w:p>
    <w:p>
      <w:pPr>
        <w:pStyle w:val="882"/>
      </w:pPr>
      <w:r/>
      <w:r/>
    </w:p>
    <w:p>
      <w:pPr>
        <w:pStyle w:val="882"/>
        <w:jc w:val="center"/>
        <w:spacing w:before="240" w:after="240" w:line="360" w:lineRule="auto"/>
        <w:rPr>
          <w:sz w:val="36"/>
          <w:szCs w:val="36"/>
        </w:rPr>
      </w:pPr>
      <w:r>
        <w:br w:type="page" w:clear="all"/>
      </w:r>
      <w:r>
        <w:rPr>
          <w:rFonts w:ascii="宋体" w:hAnsi="宋体"/>
          <w:b/>
          <w:bCs/>
          <w:sz w:val="36"/>
          <w:szCs w:val="36"/>
        </w:rPr>
        <w:t xml:space="preserve">残疾人福利性单位声明函格式</w:t>
      </w:r>
      <w:r>
        <w:rPr>
          <w:sz w:val="36"/>
          <w:szCs w:val="36"/>
        </w:rPr>
      </w:r>
      <w:r/>
    </w:p>
    <w:p>
      <w:pPr>
        <w:pStyle w:val="882"/>
        <w:ind w:firstLine="504"/>
        <w:spacing w:line="588"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w:t>
      </w:r>
      <w:r>
        <w:rPr>
          <w:rFonts w:hint="eastAsia" w:ascii="宋体" w:hAnsi="宋体"/>
          <w:b/>
          <w:sz w:val="24"/>
        </w:rPr>
        <w:t xml:space="preserve">（请进行勾选）</w:t>
      </w:r>
      <w:r>
        <w:rPr>
          <w:rFonts w:hint="eastAsia" w:ascii="宋体" w:hAnsi="宋体"/>
          <w:spacing w:val="6"/>
          <w:sz w:val="24"/>
        </w:rPr>
        <w:t xml:space="preserve">：</w:t>
      </w:r>
      <w:r>
        <w:rPr>
          <w:rFonts w:ascii="宋体" w:hAnsi="宋体"/>
          <w:spacing w:val="6"/>
          <w:sz w:val="24"/>
        </w:rPr>
      </w:r>
      <w:r/>
    </w:p>
    <w:p>
      <w:pPr>
        <w:pStyle w:val="882"/>
        <w:ind w:firstLine="482"/>
        <w:spacing w:line="588" w:lineRule="exact"/>
        <w:rPr>
          <w:rFonts w:ascii="宋体" w:hAnsi="宋体"/>
          <w:b/>
          <w:spacing w:val="6"/>
          <w:sz w:val="24"/>
        </w:rPr>
      </w:pPr>
      <w:r>
        <w:rPr>
          <w:rFonts w:hint="eastAsia" w:ascii="宋体" w:hAnsi="宋体"/>
          <w:b/>
          <w:sz w:val="24"/>
        </w:rPr>
        <w:t xml:space="preserve">□</w:t>
      </w:r>
      <w:r>
        <w:rPr>
          <w:rFonts w:hint="eastAsia" w:ascii="宋体" w:hAnsi="宋体"/>
          <w:b/>
          <w:spacing w:val="6"/>
          <w:sz w:val="24"/>
        </w:rPr>
        <w:t xml:space="preserve">不属于符合条件的残疾人福利性单位。</w:t>
      </w:r>
      <w:r>
        <w:rPr>
          <w:rFonts w:ascii="宋体" w:hAnsi="宋体"/>
          <w:b/>
          <w:spacing w:val="6"/>
          <w:sz w:val="24"/>
        </w:rPr>
      </w:r>
      <w:r/>
    </w:p>
    <w:p>
      <w:pPr>
        <w:pStyle w:val="882"/>
        <w:ind w:firstLine="482"/>
        <w:spacing w:line="588" w:lineRule="exact"/>
        <w:rPr>
          <w:rFonts w:ascii="宋体" w:hAnsi="宋体"/>
          <w:spacing w:val="6"/>
          <w:sz w:val="24"/>
        </w:rPr>
      </w:pPr>
      <w:r>
        <w:rPr>
          <w:rFonts w:hint="eastAsia" w:ascii="宋体" w:hAnsi="宋体"/>
          <w:b/>
          <w:sz w:val="24"/>
        </w:rPr>
        <w:t xml:space="preserve">□</w:t>
      </w:r>
      <w:r>
        <w:rPr>
          <w:rFonts w:hint="eastAsia" w:ascii="宋体" w:hAnsi="宋体"/>
          <w:b/>
          <w:spacing w:val="6"/>
          <w:sz w:val="24"/>
        </w:rPr>
        <w:t xml:space="preserve">属于符合条件的残疾人福利性单位，</w:t>
      </w:r>
      <w:r>
        <w:rPr>
          <w:rFonts w:hint="eastAsia"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82"/>
        <w:ind w:firstLine="506"/>
        <w:spacing w:line="588" w:lineRule="exact"/>
        <w:rPr>
          <w:rFonts w:ascii="宋体" w:hAnsi="宋体"/>
          <w:spacing w:val="6"/>
          <w:sz w:val="24"/>
        </w:rPr>
      </w:pPr>
      <w:r>
        <w:rPr>
          <w:rFonts w:hint="eastAsia" w:ascii="宋体" w:hAnsi="宋体"/>
          <w:b/>
          <w:spacing w:val="6"/>
          <w:sz w:val="24"/>
        </w:rPr>
        <w:t xml:space="preserve">本单位对上述声明的真实性负责。如有虚假，将依法承担相应责任。</w:t>
      </w:r>
      <w:r>
        <w:rPr>
          <w:rFonts w:ascii="宋体" w:hAnsi="宋体"/>
          <w:spacing w:val="6"/>
          <w:sz w:val="24"/>
        </w:rPr>
      </w:r>
      <w:r/>
    </w:p>
    <w:p>
      <w:pPr>
        <w:pStyle w:val="882"/>
        <w:ind w:firstLine="504"/>
        <w:spacing w:line="588" w:lineRule="exact"/>
        <w:rPr>
          <w:rFonts w:ascii="Calibri" w:hAnsi="Calibri"/>
          <w:spacing w:val="6"/>
          <w:sz w:val="24"/>
        </w:rPr>
      </w:pPr>
      <w:r>
        <w:rPr>
          <w:rFonts w:ascii="Calibri" w:hAnsi="Calibri"/>
          <w:spacing w:val="6"/>
          <w:sz w:val="24"/>
        </w:rPr>
      </w:r>
      <w:r/>
    </w:p>
    <w:p>
      <w:pPr>
        <w:pStyle w:val="882"/>
        <w:ind w:firstLine="504"/>
        <w:spacing w:line="588" w:lineRule="exact"/>
        <w:rPr>
          <w:spacing w:val="6"/>
          <w:sz w:val="24"/>
        </w:rPr>
      </w:pPr>
      <w:r>
        <w:rPr>
          <w:spacing w:val="6"/>
          <w:sz w:val="24"/>
        </w:rPr>
      </w:r>
      <w:r/>
    </w:p>
    <w:p>
      <w:pPr>
        <w:pStyle w:val="882"/>
        <w:ind w:right="1560" w:firstLine="504"/>
        <w:jc w:val="center"/>
        <w:spacing w:line="588" w:lineRule="exact"/>
        <w:rPr>
          <w:spacing w:val="6"/>
          <w:sz w:val="24"/>
        </w:rPr>
      </w:pPr>
      <w:r>
        <w:rPr>
          <w:rFonts w:hint="eastAsia" w:ascii="宋体" w:hAnsi="宋体"/>
          <w:spacing w:val="6"/>
          <w:sz w:val="24"/>
          <w:lang w:val="en-US" w:eastAsia="zh-CN"/>
        </w:rPr>
        <w:t xml:space="preserve">               </w:t>
      </w:r>
      <w:r>
        <w:rPr>
          <w:rFonts w:ascii="宋体" w:hAnsi="宋体"/>
          <w:spacing w:val="6"/>
          <w:sz w:val="24"/>
        </w:rPr>
        <w:t xml:space="preserve">单位名称（加盖公章）：</w:t>
      </w:r>
      <w:r>
        <w:rPr>
          <w:spacing w:val="6"/>
          <w:sz w:val="24"/>
        </w:rPr>
      </w:r>
      <w:r/>
    </w:p>
    <w:p>
      <w:pPr>
        <w:pStyle w:val="882"/>
        <w:ind w:right="1560" w:firstLine="504"/>
        <w:jc w:val="center"/>
        <w:spacing w:line="588" w:lineRule="exact"/>
        <w:rPr>
          <w:spacing w:val="6"/>
          <w:sz w:val="24"/>
        </w:rPr>
      </w:pPr>
      <w:r>
        <w:rPr>
          <w:rFonts w:ascii="宋体" w:hAnsi="宋体"/>
          <w:spacing w:val="6"/>
          <w:sz w:val="24"/>
        </w:rPr>
        <w:t xml:space="preserve">日期：</w:t>
      </w:r>
      <w:r>
        <w:rPr>
          <w:spacing w:val="6"/>
          <w:sz w:val="24"/>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方正魏碑_GBK" w:hAnsi="方正魏碑_GBK" w:eastAsia="宋体" w:cs="方正魏碑_GBK"/>
          <w:b/>
          <w:color w:val="000000"/>
          <w:sz w:val="24"/>
          <w:lang w:val="en-US" w:eastAsia="zh-CN"/>
        </w:rPr>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1</w:t>
      </w:r>
      <w:r>
        <w:rPr>
          <w:rFonts w:hint="eastAsia"/>
          <w:b/>
          <w:bCs/>
          <w:color w:val="000000"/>
          <w:sz w:val="24"/>
          <w:szCs w:val="20"/>
        </w:rPr>
        <w:t xml:space="preserve">  </w:t>
      </w:r>
      <w:r>
        <w:rPr>
          <w:rFonts w:hint="eastAsia" w:ascii="方正魏碑_GBK" w:hAnsi="方正魏碑_GBK" w:eastAsia="方正魏碑_GBK" w:cs="方正魏碑_GBK"/>
          <w:b/>
          <w:color w:val="000000"/>
          <w:sz w:val="24"/>
        </w:rPr>
        <w:t xml:space="preserve">关于符合本国产品标准的声明函</w:t>
      </w:r>
      <w:r>
        <w:rPr>
          <w:rFonts w:ascii="方正魏碑_GBK" w:hAnsi="方正魏碑_GBK" w:eastAsia="宋体" w:cs="方正魏碑_GBK"/>
          <w:b/>
          <w:color w:val="000000"/>
          <w:sz w:val="24"/>
          <w:lang w:val="en-US" w:eastAsia="zh-CN"/>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jc w:val="center"/>
        <w:rPr>
          <w:rFonts w:hint="eastAsia" w:ascii="宋体" w:hAnsi="宋体" w:eastAsia="宋体" w:cs="宋体"/>
          <w:color w:val="000000"/>
          <w:sz w:val="32"/>
          <w:szCs w:val="32"/>
        </w:rPr>
      </w:pPr>
      <w:r>
        <w:rPr>
          <w:rFonts w:hint="eastAsia" w:ascii="宋体" w:hAnsi="宋体" w:eastAsia="宋体" w:cs="宋体"/>
          <w:b/>
          <w:color w:val="000000"/>
          <w:sz w:val="32"/>
          <w:szCs w:val="32"/>
        </w:rPr>
        <w:t xml:space="preserve">关于符合本国产品标准的声明函（采购包号：</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rPr>
        <w:t xml:space="preserve">）</w:t>
      </w:r>
      <w:r>
        <w:rPr>
          <w:rFonts w:hint="eastAsia" w:ascii="宋体" w:hAnsi="宋体" w:eastAsia="宋体" w:cs="宋体"/>
          <w:color w:val="000000"/>
          <w:sz w:val="32"/>
          <w:szCs w:val="32"/>
        </w:rPr>
      </w:r>
      <w:r/>
    </w:p>
    <w:p>
      <w:pPr>
        <w:pStyle w:val="1132"/>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w:t>
      </w:r>
      <w:r>
        <w:rPr>
          <w:rStyle w:val="938"/>
          <w:rFonts w:hint="eastAsia" w:ascii="宋体" w:hAnsi="宋体" w:eastAsia="宋体" w:cs="宋体"/>
          <w:color w:val="000000"/>
          <w:u w:val="single"/>
          <w:shd w:val="clear" w:color="auto" w:fill="ffffff"/>
        </w:rPr>
        <w:t xml:space="preserve">（产品名称1）</w:t>
      </w:r>
      <w:r>
        <w:rPr>
          <w:rStyle w:val="938"/>
          <w:rFonts w:hint="eastAsia" w:ascii="宋体" w:hAnsi="宋体" w:eastAsia="宋体" w:cs="宋体"/>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Style w:val="938"/>
          <w:rFonts w:hint="eastAsia" w:ascii="宋体" w:hAnsi="宋体" w:eastAsia="宋体" w:cs="宋体"/>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938"/>
          <w:rFonts w:hint="eastAsia" w:ascii="宋体" w:hAnsi="宋体" w:eastAsia="宋体" w:cs="宋体"/>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Style w:val="938"/>
          <w:rFonts w:hint="eastAsia" w:ascii="宋体" w:hAnsi="宋体" w:eastAsia="宋体" w:cs="宋体"/>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Style w:val="938"/>
          <w:rFonts w:hint="eastAsia" w:ascii="宋体" w:hAnsi="宋体" w:eastAsia="宋体" w:cs="宋体"/>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Style w:val="938"/>
          <w:rFonts w:hint="eastAsia" w:ascii="宋体" w:hAnsi="宋体" w:eastAsia="宋体" w:cs="宋体"/>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1132"/>
        <w:ind w:right="480" w:firstLine="37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132"/>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宋体" w:hAnsi="宋体"/>
          <w:color w:val="000000"/>
          <w:sz w:val="24"/>
          <w:szCs w:val="20"/>
        </w:rPr>
      </w:pPr>
      <w:r>
        <w:rPr>
          <w:rFonts w:hint="eastAsia" w:ascii="宋体" w:hAnsi="宋体" w:eastAsia="宋体" w:cs="宋体"/>
          <w:b/>
          <w:bCs/>
          <w:color w:val="000000"/>
          <w:sz w:val="24"/>
          <w:szCs w:val="20"/>
          <w:lang w:val="en-US" w:eastAsia="zh-CN"/>
        </w:rPr>
        <w:t xml:space="preserve">12</w:t>
      </w:r>
      <w:r>
        <w:rPr>
          <w:rFonts w:hint="eastAsia"/>
          <w:b/>
          <w:bCs/>
          <w:color w:val="000000"/>
          <w:sz w:val="24"/>
          <w:szCs w:val="20"/>
          <w:lang w:val="en-US" w:eastAsia="zh-CN"/>
        </w:rPr>
        <w:t xml:space="preserve">  </w:t>
      </w:r>
      <w:r>
        <w:rPr>
          <w:rFonts w:hint="eastAsia" w:ascii="宋体" w:hAnsi="宋体"/>
          <w:b/>
          <w:bCs/>
          <w:color w:val="000000"/>
          <w:sz w:val="24"/>
          <w:szCs w:val="20"/>
        </w:rPr>
        <w:t xml:space="preserve">项目实施方案等，包括但不限于如下主题：</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88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882"/>
        <w:spacing w:line="360" w:lineRule="auto"/>
        <w:rPr>
          <w:rFonts w:eastAsia="宋体"/>
          <w:b/>
          <w:bCs/>
          <w:color w:val="000000"/>
          <w:sz w:val="24"/>
          <w:szCs w:val="20"/>
          <w:lang w:val="en-US" w:eastAsia="zh-CN"/>
        </w:rPr>
      </w:pPr>
      <w:r>
        <w:rPr>
          <w:rFonts w:eastAsia="宋体"/>
          <w:b/>
          <w:bCs/>
          <w:color w:val="000000"/>
          <w:sz w:val="24"/>
          <w:szCs w:val="20"/>
          <w:lang w:val="en-US" w:eastAsia="zh-CN"/>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13</w:t>
      </w:r>
      <w:r>
        <w:rPr>
          <w:rFonts w:hint="eastAsia"/>
          <w:b/>
          <w:bCs/>
          <w:color w:val="000000"/>
          <w:sz w:val="24"/>
          <w:szCs w:val="20"/>
          <w:lang w:val="en-US" w:eastAsia="zh-CN"/>
        </w:rPr>
        <w:t xml:space="preserve"> </w:t>
      </w:r>
      <w:r>
        <w:rPr>
          <w:b/>
          <w:bCs/>
          <w:color w:val="000000"/>
          <w:sz w:val="24"/>
          <w:szCs w:val="20"/>
        </w:rPr>
        <w:t xml:space="preserve">招标文件要求提供或投标人认为应附的其他材料</w:t>
      </w:r>
      <w:r>
        <w:rPr>
          <w:b/>
          <w:bCs/>
          <w:color w:val="000000"/>
          <w:sz w:val="24"/>
          <w:szCs w:val="20"/>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eastAsia="宋体" w:cs="黑体"/>
          <w:b/>
          <w:color w:val="000000"/>
          <w:sz w:val="28"/>
          <w:szCs w:val="28"/>
          <w:highlight w:val="none"/>
        </w:rPr>
      </w:pPr>
      <w:r>
        <w:rPr>
          <w:rFonts w:hint="eastAsia" w:ascii="宋体" w:hAnsi="宋体" w:cs="黑体"/>
          <w:b/>
          <w:color w:val="000000"/>
          <w:sz w:val="28"/>
          <w:szCs w:val="28"/>
          <w:highlight w:val="none"/>
        </w:rPr>
        <w:t xml:space="preserve">本招标文件的最终解释</w:t>
      </w:r>
      <w:r>
        <w:rPr>
          <w:rFonts w:hint="eastAsia" w:ascii="宋体" w:hAnsi="宋体" w:eastAsia="宋体" w:cs="黑体"/>
          <w:b/>
          <w:color w:val="000000"/>
          <w:sz w:val="28"/>
          <w:szCs w:val="28"/>
          <w:highlight w:val="none"/>
        </w:rPr>
        <w:t xml:space="preserve">权归常州市水利规划设计院有限公司所有。</w:t>
      </w:r>
      <w:r>
        <w:rPr>
          <w:rFonts w:hint="eastAsia" w:ascii="宋体" w:hAnsi="宋体" w:eastAsia="宋体" w:cs="黑体"/>
          <w:b/>
          <w:color w:val="000000"/>
          <w:sz w:val="28"/>
          <w:szCs w:val="28"/>
          <w:highlight w:val="none"/>
        </w:rPr>
      </w:r>
      <w:r/>
    </w:p>
    <w:p>
      <w:pPr>
        <w:pStyle w:val="88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937"/>
      </w:rPr>
      <w:framePr w:wrap="around" w:vAnchor="text" w:hAnchor="margin" w:xAlign="right" w:y="1"/>
    </w:pPr>
    <w:r>
      <w:rPr>
        <w:rStyle w:val="937"/>
      </w:rPr>
      <w:fldChar w:fldCharType="begin"/>
    </w:r>
    <w:r>
      <w:rPr>
        <w:rStyle w:val="937"/>
      </w:rPr>
      <w:instrText xml:space="preserve">PAGE  </w:instrText>
    </w:r>
    <w:r>
      <w:rPr>
        <w:rStyle w:val="937"/>
      </w:rPr>
      <w:fldChar w:fldCharType="end"/>
    </w:r>
    <w:r>
      <w:rPr>
        <w:rStyle w:val="937"/>
      </w:rPr>
    </w:r>
    <w:r/>
  </w:p>
  <w:p>
    <w:pPr>
      <w:pStyle w:val="1119"/>
      <w:ind w:right="360"/>
      <w:tabs>
        <w:tab w:val="center" w:pos="4153" w:leader="none"/>
        <w:tab w:val="right" w:pos="8306" w:leader="none"/>
      </w:tabs>
    </w:pPr>
    <w:r/>
    <w:r/>
  </w:p>
  <w:p>
    <w:pPr>
      <w:pStyle w:val="88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szCs w:val="21"/>
      </w:rPr>
      <w:t xml:space="preserve">常州市水利规划设计院有限公司公开招标文件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b/>
      </w:rPr>
      <w:t xml:space="preserve">            </w:t>
    </w:r>
    <w:r>
      <w:rPr>
        <w:rFonts w:hint="eastAsia"/>
        <w:szCs w:val="21"/>
      </w:rPr>
      <w:t xml:space="preserve">常州市水利规划设计院有限公司公开招标文件</w:t>
    </w:r>
    <w:r/>
  </w:p>
  <w:p>
    <w:pPr>
      <w:pStyle w:val="91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88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2"/>
        <w:ind w:left="4941" w:hanging="1140"/>
        <w:tabs>
          <w:tab w:val="num" w:pos="4941" w:leader="none"/>
        </w:tabs>
      </w:pPr>
      <w:rPr>
        <w:rFonts w:hint="eastAsia"/>
      </w:rPr>
    </w:lvl>
    <w:lvl w:ilvl="1">
      <w:start w:val="1"/>
      <w:numFmt w:val="lowerLetter"/>
      <w:isLgl w:val="false"/>
      <w:suff w:val="tab"/>
      <w:lvlText w:val="%2)"/>
      <w:lvlJc w:val="left"/>
      <w:pPr>
        <w:pStyle w:val="882"/>
        <w:ind w:left="4641" w:hanging="420"/>
        <w:tabs>
          <w:tab w:val="num" w:pos="4641" w:leader="none"/>
        </w:tabs>
      </w:pPr>
    </w:lvl>
    <w:lvl w:ilvl="2">
      <w:start w:val="1"/>
      <w:numFmt w:val="lowerRoman"/>
      <w:isLgl w:val="false"/>
      <w:suff w:val="tab"/>
      <w:lvlText w:val="%3."/>
      <w:lvlJc w:val="right"/>
      <w:pPr>
        <w:pStyle w:val="882"/>
        <w:ind w:left="5061" w:hanging="420"/>
        <w:tabs>
          <w:tab w:val="num" w:pos="5061" w:leader="none"/>
        </w:tabs>
      </w:pPr>
    </w:lvl>
    <w:lvl w:ilvl="3">
      <w:start w:val="1"/>
      <w:numFmt w:val="decimal"/>
      <w:isLgl w:val="false"/>
      <w:suff w:val="tab"/>
      <w:lvlText w:val="%4."/>
      <w:lvlJc w:val="left"/>
      <w:pPr>
        <w:pStyle w:val="882"/>
        <w:ind w:left="5481" w:hanging="420"/>
        <w:tabs>
          <w:tab w:val="num" w:pos="5481" w:leader="none"/>
        </w:tabs>
      </w:pPr>
    </w:lvl>
    <w:lvl w:ilvl="4">
      <w:start w:val="1"/>
      <w:numFmt w:val="lowerLetter"/>
      <w:isLgl w:val="false"/>
      <w:suff w:val="tab"/>
      <w:lvlText w:val="%5)"/>
      <w:lvlJc w:val="left"/>
      <w:pPr>
        <w:pStyle w:val="882"/>
        <w:ind w:left="5901" w:hanging="420"/>
        <w:tabs>
          <w:tab w:val="num" w:pos="5901" w:leader="none"/>
        </w:tabs>
      </w:pPr>
    </w:lvl>
    <w:lvl w:ilvl="5">
      <w:start w:val="1"/>
      <w:numFmt w:val="lowerRoman"/>
      <w:isLgl w:val="false"/>
      <w:suff w:val="tab"/>
      <w:lvlText w:val="%6."/>
      <w:lvlJc w:val="right"/>
      <w:pPr>
        <w:pStyle w:val="882"/>
        <w:ind w:left="6321" w:hanging="420"/>
        <w:tabs>
          <w:tab w:val="num" w:pos="6321" w:leader="none"/>
        </w:tabs>
      </w:pPr>
    </w:lvl>
    <w:lvl w:ilvl="6">
      <w:start w:val="1"/>
      <w:numFmt w:val="decimal"/>
      <w:isLgl w:val="false"/>
      <w:suff w:val="tab"/>
      <w:lvlText w:val="%7."/>
      <w:lvlJc w:val="left"/>
      <w:pPr>
        <w:pStyle w:val="882"/>
        <w:ind w:left="6741" w:hanging="420"/>
        <w:tabs>
          <w:tab w:val="num" w:pos="6741" w:leader="none"/>
        </w:tabs>
      </w:pPr>
    </w:lvl>
    <w:lvl w:ilvl="7">
      <w:start w:val="1"/>
      <w:numFmt w:val="lowerLetter"/>
      <w:isLgl w:val="false"/>
      <w:suff w:val="tab"/>
      <w:lvlText w:val="%8)"/>
      <w:lvlJc w:val="left"/>
      <w:pPr>
        <w:pStyle w:val="882"/>
        <w:ind w:left="7161" w:hanging="420"/>
        <w:tabs>
          <w:tab w:val="num" w:pos="7161" w:leader="none"/>
        </w:tabs>
      </w:pPr>
    </w:lvl>
    <w:lvl w:ilvl="8">
      <w:start w:val="1"/>
      <w:numFmt w:val="lowerRoman"/>
      <w:isLgl w:val="false"/>
      <w:suff w:val="tab"/>
      <w:lvlText w:val="%9."/>
      <w:lvlJc w:val="right"/>
      <w:pPr>
        <w:pStyle w:val="882"/>
        <w:ind w:left="7581" w:hanging="420"/>
        <w:tabs>
          <w:tab w:val="num" w:pos="7581" w:leader="none"/>
        </w:tabs>
      </w:pPr>
    </w:lvl>
  </w:abstractNum>
  <w:abstractNum w:abstractNumId="1">
    <w:multiLevelType w:val="hybridMultilevel"/>
    <w:lvl w:ilvl="0">
      <w:start w:val="1"/>
      <w:numFmt w:val="decimal"/>
      <w:pStyle w:val="1292"/>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2">
    <w:multiLevelType w:val="hybridMultilevel"/>
    <w:lvl w:ilvl="0">
      <w:start w:val="1"/>
      <w:numFmt w:val="decimal"/>
      <w:pStyle w:val="1266"/>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3">
    <w:multiLevelType w:val="hybridMultilevel"/>
    <w:lvl w:ilvl="0">
      <w:start w:val="1"/>
      <w:numFmt w:val="lowerLetter"/>
      <w:pStyle w:val="1250"/>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4">
    <w:multiLevelType w:val="hybridMultilevel"/>
    <w:lvl w:ilvl="0">
      <w:start w:val="1"/>
      <w:numFmt w:val="decimal"/>
      <w:pStyle w:val="1213"/>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218"/>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287"/>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207"/>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293"/>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7">
    <w:multiLevelType w:val="hybridMultilevel"/>
    <w:lvl w:ilvl="0">
      <w:start w:val="1"/>
      <w:numFmt w:val="decimal"/>
      <w:pStyle w:val="1316"/>
      <w:isLgl w:val="false"/>
      <w:suff w:val="tab"/>
      <w:lvlText w:val="%1."/>
      <w:lvlJc w:val="left"/>
      <w:pPr>
        <w:pStyle w:val="882"/>
        <w:ind w:left="360" w:hanging="360"/>
        <w:tabs>
          <w:tab w:val="num" w:pos="360"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9">
    <w:multiLevelType w:val="hybridMultilevel"/>
    <w:lvl w:ilvl="0">
      <w:start w:val="1"/>
      <w:numFmt w:val="decimal"/>
      <w:isLgl w:val="false"/>
      <w:suff w:val="tab"/>
      <w:lvlText w:val="%1."/>
      <w:lvlJc w:val="left"/>
      <w:pPr>
        <w:pStyle w:val="882"/>
        <w:ind w:left="205" w:hanging="322"/>
      </w:pPr>
      <w:rPr>
        <w:rFonts w:hint="eastAsia" w:ascii="仿宋" w:hAnsi="仿宋" w:eastAsia="仿宋"/>
        <w:spacing w:val="-46"/>
        <w:sz w:val="30"/>
        <w:szCs w:val="30"/>
      </w:rPr>
    </w:lvl>
    <w:lvl w:ilvl="1">
      <w:start w:val="1"/>
      <w:numFmt w:val="lowerLetter"/>
      <w:isLgl w:val="false"/>
      <w:suff w:val="tab"/>
      <w:lvlText w:val="%2)"/>
      <w:lvlJc w:val="left"/>
      <w:pPr>
        <w:pStyle w:val="882"/>
        <w:ind w:left="840" w:hanging="420"/>
      </w:pPr>
      <w:rPr>
        <w:rFonts w:ascii="Times New Roman" w:hAnsi="Times New Roman" w:cs="Times New Roman"/>
      </w:rPr>
    </w:lvl>
    <w:lvl w:ilvl="2">
      <w:start w:val="1"/>
      <w:numFmt w:val="lowerRoman"/>
      <w:isLgl w:val="false"/>
      <w:suff w:val="tab"/>
      <w:lvlText w:val="%3."/>
      <w:lvlJc w:val="right"/>
      <w:pPr>
        <w:pStyle w:val="882"/>
        <w:ind w:left="1260" w:hanging="420"/>
      </w:pPr>
      <w:rPr>
        <w:rFonts w:ascii="Times New Roman" w:hAnsi="Times New Roman" w:cs="Times New Roman"/>
      </w:rPr>
    </w:lvl>
    <w:lvl w:ilvl="3">
      <w:start w:val="1"/>
      <w:numFmt w:val="decimal"/>
      <w:isLgl w:val="false"/>
      <w:suff w:val="tab"/>
      <w:lvlText w:val="%4."/>
      <w:lvlJc w:val="left"/>
      <w:pPr>
        <w:pStyle w:val="882"/>
        <w:ind w:left="1680" w:hanging="420"/>
      </w:pPr>
      <w:rPr>
        <w:rFonts w:ascii="Times New Roman" w:hAnsi="Times New Roman" w:cs="Times New Roman"/>
      </w:rPr>
    </w:lvl>
    <w:lvl w:ilvl="4">
      <w:start w:val="1"/>
      <w:numFmt w:val="lowerLetter"/>
      <w:isLgl w:val="false"/>
      <w:suff w:val="tab"/>
      <w:lvlText w:val="%5)"/>
      <w:lvlJc w:val="left"/>
      <w:pPr>
        <w:pStyle w:val="882"/>
        <w:ind w:left="2100" w:hanging="420"/>
      </w:pPr>
      <w:rPr>
        <w:rFonts w:ascii="Times New Roman" w:hAnsi="Times New Roman" w:cs="Times New Roman"/>
      </w:rPr>
    </w:lvl>
    <w:lvl w:ilvl="5">
      <w:start w:val="1"/>
      <w:numFmt w:val="lowerRoman"/>
      <w:isLgl w:val="false"/>
      <w:suff w:val="tab"/>
      <w:lvlText w:val="%6."/>
      <w:lvlJc w:val="right"/>
      <w:pPr>
        <w:pStyle w:val="882"/>
        <w:ind w:left="2520" w:hanging="420"/>
      </w:pPr>
      <w:rPr>
        <w:rFonts w:ascii="Times New Roman" w:hAnsi="Times New Roman" w:cs="Times New Roman"/>
      </w:rPr>
    </w:lvl>
    <w:lvl w:ilvl="6">
      <w:start w:val="1"/>
      <w:numFmt w:val="decimal"/>
      <w:isLgl w:val="false"/>
      <w:suff w:val="tab"/>
      <w:lvlText w:val="%7."/>
      <w:lvlJc w:val="left"/>
      <w:pPr>
        <w:pStyle w:val="882"/>
        <w:ind w:left="2940" w:hanging="420"/>
      </w:pPr>
      <w:rPr>
        <w:rFonts w:ascii="Times New Roman" w:hAnsi="Times New Roman" w:cs="Times New Roman"/>
      </w:rPr>
    </w:lvl>
    <w:lvl w:ilvl="7">
      <w:start w:val="1"/>
      <w:numFmt w:val="lowerLetter"/>
      <w:isLgl w:val="false"/>
      <w:suff w:val="tab"/>
      <w:lvlText w:val="%8)"/>
      <w:lvlJc w:val="left"/>
      <w:pPr>
        <w:pStyle w:val="882"/>
        <w:ind w:left="3360" w:hanging="420"/>
      </w:pPr>
      <w:rPr>
        <w:rFonts w:ascii="Times New Roman" w:hAnsi="Times New Roman" w:cs="Times New Roman"/>
      </w:rPr>
    </w:lvl>
    <w:lvl w:ilvl="8">
      <w:start w:val="1"/>
      <w:numFmt w:val="lowerRoman"/>
      <w:isLgl w:val="false"/>
      <w:suff w:val="tab"/>
      <w:lvlText w:val="%9."/>
      <w:lvlJc w:val="right"/>
      <w:pPr>
        <w:pStyle w:val="882"/>
        <w:ind w:left="3780" w:hanging="420"/>
      </w:pPr>
      <w:rPr>
        <w:rFonts w:ascii="Times New Roman" w:hAnsi="Times New Roman" w:cs="Times New Roman"/>
      </w:rPr>
    </w:lvl>
  </w:abstractNum>
  <w:abstractNum w:abstractNumId="10">
    <w:multiLevelType w:val="hybridMultilevel"/>
    <w:lvl w:ilvl="0">
      <w:start w:val="1"/>
      <w:numFmt w:val="decimal"/>
      <w:pStyle w:val="1268"/>
      <w:isLgl w:val="false"/>
      <w:suff w:val="tab"/>
      <w:lvlText w:val="%1"/>
      <w:lvlJc w:val="left"/>
      <w:pPr>
        <w:pStyle w:val="882"/>
        <w:ind w:left="680" w:hanging="680"/>
      </w:pPr>
      <w:rPr>
        <w:rFonts w:hint="eastAsia" w:ascii="宋体" w:hAnsi="宋体" w:eastAsia="宋体"/>
      </w:rPr>
    </w:lvl>
    <w:lvl w:ilvl="1">
      <w:start w:val="1"/>
      <w:numFmt w:val="decimal"/>
      <w:pStyle w:val="1261"/>
      <w:isLgl w:val="false"/>
      <w:suff w:val="tab"/>
      <w:lvlText w:val="%1.%2"/>
      <w:lvlJc w:val="left"/>
      <w:pPr>
        <w:pStyle w:val="882"/>
        <w:ind w:left="851" w:hanging="851"/>
      </w:pPr>
      <w:rPr>
        <w:rFonts w:hint="eastAsia" w:ascii="宋体" w:hAnsi="宋体" w:eastAsia="宋体"/>
        <w:color w:val="000000"/>
      </w:rPr>
    </w:lvl>
    <w:lvl w:ilvl="2">
      <w:start w:val="1"/>
      <w:numFmt w:val="decimal"/>
      <w:pStyle w:val="1279"/>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11">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b w:val="0"/>
        <w:bCs w:val="0"/>
        <w:color w:val="000000"/>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94"/>
    <w:uiPriority w:val="9"/>
    <w:qFormat/>
    <w:pPr>
      <w:keepLines/>
      <w:keepNext/>
      <w:spacing w:before="480" w:after="200"/>
      <w:outlineLvl w:val="0"/>
    </w:pPr>
    <w:rPr>
      <w:rFonts w:ascii="Arial" w:hAnsi="Arial" w:eastAsia="Arial"/>
      <w:sz w:val="40"/>
      <w:szCs w:val="40"/>
    </w:rPr>
  </w:style>
  <w:style w:type="paragraph" w:styleId="884">
    <w:name w:val="标题 2"/>
    <w:basedOn w:val="882"/>
    <w:next w:val="882"/>
    <w:link w:val="895"/>
    <w:uiPriority w:val="9"/>
    <w:qFormat/>
    <w:pPr>
      <w:keepLines/>
      <w:keepNext/>
      <w:spacing w:before="360" w:after="200"/>
      <w:outlineLvl w:val="1"/>
    </w:pPr>
    <w:rPr>
      <w:rFonts w:ascii="Arial" w:hAnsi="Arial" w:eastAsia="Arial"/>
      <w:sz w:val="34"/>
      <w:szCs w:val="20"/>
    </w:rPr>
  </w:style>
  <w:style w:type="paragraph" w:styleId="885">
    <w:name w:val="标题 3"/>
    <w:basedOn w:val="882"/>
    <w:next w:val="882"/>
    <w:link w:val="896"/>
    <w:uiPriority w:val="9"/>
    <w:qFormat/>
    <w:pPr>
      <w:keepLines/>
      <w:keepNext/>
      <w:spacing w:before="320" w:after="200"/>
      <w:outlineLvl w:val="2"/>
    </w:pPr>
    <w:rPr>
      <w:rFonts w:ascii="Arial" w:hAnsi="Arial" w:eastAsia="Arial"/>
      <w:sz w:val="30"/>
      <w:szCs w:val="30"/>
    </w:rPr>
  </w:style>
  <w:style w:type="paragraph" w:styleId="886">
    <w:name w:val="标题 4"/>
    <w:basedOn w:val="882"/>
    <w:next w:val="882"/>
    <w:link w:val="897"/>
    <w:uiPriority w:val="9"/>
    <w:qFormat/>
    <w:pPr>
      <w:keepLines/>
      <w:keepNext/>
      <w:spacing w:before="320" w:after="200"/>
      <w:outlineLvl w:val="3"/>
    </w:pPr>
    <w:rPr>
      <w:rFonts w:ascii="Arial" w:hAnsi="Arial" w:eastAsia="Arial"/>
      <w:b/>
      <w:bCs/>
      <w:sz w:val="26"/>
      <w:szCs w:val="26"/>
    </w:rPr>
  </w:style>
  <w:style w:type="paragraph" w:styleId="887">
    <w:name w:val="标题 5"/>
    <w:basedOn w:val="882"/>
    <w:next w:val="882"/>
    <w:link w:val="898"/>
    <w:uiPriority w:val="9"/>
    <w:qFormat/>
    <w:pPr>
      <w:keepLines/>
      <w:keepNext/>
      <w:spacing w:before="320" w:after="200"/>
      <w:outlineLvl w:val="4"/>
    </w:pPr>
    <w:rPr>
      <w:rFonts w:ascii="Arial" w:hAnsi="Arial" w:eastAsia="Arial"/>
      <w:b/>
      <w:bCs/>
      <w:sz w:val="24"/>
    </w:rPr>
  </w:style>
  <w:style w:type="paragraph" w:styleId="888">
    <w:name w:val="标题 6"/>
    <w:basedOn w:val="882"/>
    <w:next w:val="882"/>
    <w:link w:val="899"/>
    <w:uiPriority w:val="9"/>
    <w:qFormat/>
    <w:pPr>
      <w:keepLines/>
      <w:keepNext/>
      <w:spacing w:before="320" w:after="200"/>
      <w:outlineLvl w:val="5"/>
    </w:pPr>
    <w:rPr>
      <w:rFonts w:ascii="Arial" w:hAnsi="Arial" w:eastAsia="Arial"/>
      <w:b/>
      <w:bCs/>
      <w:sz w:val="22"/>
      <w:szCs w:val="22"/>
    </w:rPr>
  </w:style>
  <w:style w:type="paragraph" w:styleId="889">
    <w:name w:val="标题 7"/>
    <w:basedOn w:val="882"/>
    <w:next w:val="882"/>
    <w:link w:val="900"/>
    <w:uiPriority w:val="9"/>
    <w:qFormat/>
    <w:pPr>
      <w:keepLines/>
      <w:keepNext/>
      <w:spacing w:before="320" w:after="200"/>
      <w:outlineLvl w:val="6"/>
    </w:pPr>
    <w:rPr>
      <w:rFonts w:ascii="Arial" w:hAnsi="Arial" w:eastAsia="Arial"/>
      <w:b/>
      <w:bCs/>
      <w:i/>
      <w:iCs/>
      <w:sz w:val="22"/>
      <w:szCs w:val="22"/>
    </w:rPr>
  </w:style>
  <w:style w:type="paragraph" w:styleId="890">
    <w:name w:val="标题 8"/>
    <w:basedOn w:val="882"/>
    <w:next w:val="882"/>
    <w:link w:val="901"/>
    <w:uiPriority w:val="9"/>
    <w:qFormat/>
    <w:pPr>
      <w:keepLines/>
      <w:keepNext/>
      <w:spacing w:before="320" w:after="200"/>
      <w:outlineLvl w:val="7"/>
    </w:pPr>
    <w:rPr>
      <w:rFonts w:ascii="Arial" w:hAnsi="Arial" w:eastAsia="Arial"/>
      <w:i/>
      <w:iCs/>
      <w:sz w:val="22"/>
      <w:szCs w:val="22"/>
    </w:rPr>
  </w:style>
  <w:style w:type="paragraph" w:styleId="891">
    <w:name w:val="标题 9"/>
    <w:basedOn w:val="882"/>
    <w:next w:val="882"/>
    <w:link w:val="902"/>
    <w:uiPriority w:val="9"/>
    <w:qFormat/>
    <w:pPr>
      <w:keepLines/>
      <w:keepNext/>
      <w:spacing w:before="320" w:after="200"/>
      <w:outlineLvl w:val="8"/>
    </w:pPr>
    <w:rPr>
      <w:rFonts w:ascii="Arial" w:hAnsi="Arial" w:eastAsia="Arial"/>
      <w:i/>
      <w:iCs/>
      <w:szCs w:val="21"/>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character" w:styleId="894">
    <w:name w:val="标题 1 Char1"/>
    <w:next w:val="894"/>
    <w:link w:val="883"/>
    <w:uiPriority w:val="9"/>
    <w:qFormat/>
    <w:rPr>
      <w:rFonts w:ascii="Arial" w:hAnsi="Arial" w:eastAsia="Arial" w:cs="Arial"/>
      <w:sz w:val="40"/>
      <w:szCs w:val="40"/>
    </w:rPr>
  </w:style>
  <w:style w:type="character" w:styleId="895">
    <w:name w:val="标题 2 Char2"/>
    <w:next w:val="895"/>
    <w:link w:val="884"/>
    <w:uiPriority w:val="9"/>
    <w:qFormat/>
    <w:rPr>
      <w:rFonts w:ascii="Arial" w:hAnsi="Arial" w:eastAsia="Arial" w:cs="Arial"/>
      <w:sz w:val="34"/>
    </w:rPr>
  </w:style>
  <w:style w:type="character" w:styleId="896">
    <w:name w:val="标题 3 Char2"/>
    <w:next w:val="896"/>
    <w:link w:val="885"/>
    <w:uiPriority w:val="9"/>
    <w:qFormat/>
    <w:rPr>
      <w:rFonts w:ascii="Arial" w:hAnsi="Arial" w:eastAsia="Arial" w:cs="Arial"/>
      <w:sz w:val="30"/>
      <w:szCs w:val="30"/>
    </w:rPr>
  </w:style>
  <w:style w:type="character" w:styleId="897">
    <w:name w:val="标题 4 Char1"/>
    <w:next w:val="897"/>
    <w:link w:val="886"/>
    <w:uiPriority w:val="9"/>
    <w:qFormat/>
    <w:rPr>
      <w:rFonts w:ascii="Arial" w:hAnsi="Arial" w:eastAsia="Arial" w:cs="Arial"/>
      <w:b/>
      <w:bCs/>
      <w:sz w:val="26"/>
      <w:szCs w:val="26"/>
    </w:rPr>
  </w:style>
  <w:style w:type="character" w:styleId="898">
    <w:name w:val="标题 5 Char1"/>
    <w:next w:val="898"/>
    <w:link w:val="887"/>
    <w:uiPriority w:val="9"/>
    <w:qFormat/>
    <w:rPr>
      <w:rFonts w:ascii="Arial" w:hAnsi="Arial" w:eastAsia="Arial" w:cs="Arial"/>
      <w:b/>
      <w:bCs/>
      <w:sz w:val="24"/>
      <w:szCs w:val="24"/>
    </w:rPr>
  </w:style>
  <w:style w:type="character" w:styleId="899">
    <w:name w:val="标题 6 Char1"/>
    <w:next w:val="899"/>
    <w:link w:val="888"/>
    <w:uiPriority w:val="9"/>
    <w:qFormat/>
    <w:rPr>
      <w:rFonts w:ascii="Arial" w:hAnsi="Arial" w:eastAsia="Arial" w:cs="Arial"/>
      <w:b/>
      <w:bCs/>
      <w:sz w:val="22"/>
      <w:szCs w:val="22"/>
    </w:rPr>
  </w:style>
  <w:style w:type="character" w:styleId="900">
    <w:name w:val="标题 7 Char1"/>
    <w:next w:val="900"/>
    <w:link w:val="889"/>
    <w:uiPriority w:val="9"/>
    <w:qFormat/>
    <w:rPr>
      <w:rFonts w:ascii="Arial" w:hAnsi="Arial" w:eastAsia="Arial" w:cs="Arial"/>
      <w:b/>
      <w:bCs/>
      <w:i/>
      <w:iCs/>
      <w:sz w:val="22"/>
      <w:szCs w:val="22"/>
    </w:rPr>
  </w:style>
  <w:style w:type="character" w:styleId="901">
    <w:name w:val="标题 8 Char1"/>
    <w:next w:val="901"/>
    <w:link w:val="890"/>
    <w:uiPriority w:val="9"/>
    <w:qFormat/>
    <w:rPr>
      <w:rFonts w:ascii="Arial" w:hAnsi="Arial" w:eastAsia="Arial" w:cs="Arial"/>
      <w:i/>
      <w:iCs/>
      <w:sz w:val="22"/>
      <w:szCs w:val="22"/>
    </w:rPr>
  </w:style>
  <w:style w:type="character" w:styleId="902">
    <w:name w:val="标题 9 Char1"/>
    <w:next w:val="902"/>
    <w:link w:val="891"/>
    <w:uiPriority w:val="9"/>
    <w:qFormat/>
    <w:rPr>
      <w:rFonts w:ascii="Arial" w:hAnsi="Arial" w:eastAsia="Arial" w:cs="Arial"/>
      <w:i/>
      <w:iCs/>
      <w:sz w:val="21"/>
      <w:szCs w:val="21"/>
    </w:rPr>
  </w:style>
  <w:style w:type="paragraph" w:styleId="903">
    <w:name w:val="目录 7"/>
    <w:basedOn w:val="882"/>
    <w:next w:val="882"/>
    <w:link w:val="882"/>
    <w:uiPriority w:val="39"/>
    <w:unhideWhenUsed/>
    <w:qFormat/>
    <w:pPr>
      <w:ind w:left="1701"/>
      <w:spacing w:after="57"/>
    </w:pPr>
  </w:style>
  <w:style w:type="paragraph" w:styleId="904">
    <w:name w:val="正文缩进"/>
    <w:basedOn w:val="882"/>
    <w:next w:val="882"/>
    <w:link w:val="882"/>
    <w:qFormat/>
    <w:pPr>
      <w:ind w:firstLine="420"/>
      <w:jc w:val="left"/>
    </w:pPr>
    <w:rPr>
      <w:rFonts w:ascii="宋体"/>
      <w:sz w:val="24"/>
    </w:rPr>
  </w:style>
  <w:style w:type="paragraph" w:styleId="905">
    <w:name w:val="题注"/>
    <w:basedOn w:val="882"/>
    <w:next w:val="882"/>
    <w:link w:val="882"/>
    <w:uiPriority w:val="35"/>
    <w:qFormat/>
    <w:pPr>
      <w:spacing w:line="276" w:lineRule="auto"/>
    </w:pPr>
    <w:rPr>
      <w:b/>
      <w:bCs/>
      <w:color w:val="4f81bd"/>
      <w:sz w:val="18"/>
      <w:szCs w:val="18"/>
    </w:rPr>
  </w:style>
  <w:style w:type="paragraph" w:styleId="906">
    <w:name w:val="批注文字"/>
    <w:basedOn w:val="882"/>
    <w:next w:val="906"/>
    <w:link w:val="882"/>
    <w:uiPriority w:val="99"/>
    <w:unhideWhenUsed/>
    <w:pPr>
      <w:jc w:val="left"/>
    </w:pPr>
  </w:style>
  <w:style w:type="paragraph" w:styleId="907">
    <w:name w:val="正文文本"/>
    <w:basedOn w:val="882"/>
    <w:next w:val="882"/>
    <w:link w:val="882"/>
    <w:qFormat/>
    <w:pPr>
      <w:spacing w:before="120" w:line="22" w:lineRule="atLeast"/>
      <w:tabs>
        <w:tab w:val="left" w:pos="567" w:leader="none"/>
      </w:tabs>
    </w:pPr>
    <w:rPr>
      <w:rFonts w:ascii="宋体" w:hAnsi="宋体"/>
      <w:sz w:val="24"/>
    </w:rPr>
  </w:style>
  <w:style w:type="paragraph" w:styleId="908">
    <w:name w:val="正文文本缩进"/>
    <w:basedOn w:val="882"/>
    <w:next w:val="909"/>
    <w:link w:val="882"/>
    <w:qFormat/>
    <w:pPr>
      <w:ind w:firstLine="570"/>
      <w:spacing w:line="360" w:lineRule="auto"/>
    </w:pPr>
    <w:rPr>
      <w:sz w:val="24"/>
    </w:rPr>
  </w:style>
  <w:style w:type="paragraph" w:styleId="909">
    <w:name w:val="寄信人地址"/>
    <w:basedOn w:val="882"/>
    <w:next w:val="909"/>
    <w:link w:val="882"/>
    <w:uiPriority w:val="99"/>
    <w:unhideWhenUsed/>
    <w:qFormat/>
    <w:rPr>
      <w:rFonts w:ascii="Arial" w:hAnsi="Arial"/>
    </w:rPr>
  </w:style>
  <w:style w:type="paragraph" w:styleId="910">
    <w:name w:val="目录 5"/>
    <w:basedOn w:val="882"/>
    <w:next w:val="882"/>
    <w:link w:val="882"/>
    <w:uiPriority w:val="39"/>
    <w:unhideWhenUsed/>
    <w:qFormat/>
    <w:pPr>
      <w:ind w:left="1134"/>
      <w:spacing w:after="57"/>
    </w:pPr>
  </w:style>
  <w:style w:type="paragraph" w:styleId="911">
    <w:name w:val="目录 3"/>
    <w:basedOn w:val="882"/>
    <w:next w:val="882"/>
    <w:link w:val="882"/>
    <w:uiPriority w:val="39"/>
    <w:unhideWhenUsed/>
    <w:qFormat/>
    <w:pPr>
      <w:ind w:left="567"/>
      <w:spacing w:after="57"/>
    </w:pPr>
  </w:style>
  <w:style w:type="paragraph" w:styleId="912">
    <w:name w:val="目录 8"/>
    <w:basedOn w:val="882"/>
    <w:next w:val="882"/>
    <w:link w:val="882"/>
    <w:uiPriority w:val="39"/>
    <w:unhideWhenUsed/>
    <w:qFormat/>
    <w:pPr>
      <w:ind w:left="1984"/>
      <w:spacing w:after="57"/>
    </w:pPr>
  </w:style>
  <w:style w:type="paragraph" w:styleId="913">
    <w:name w:val="尾注文本"/>
    <w:basedOn w:val="882"/>
    <w:next w:val="913"/>
    <w:link w:val="914"/>
    <w:uiPriority w:val="99"/>
    <w:unhideWhenUsed/>
    <w:qFormat/>
    <w:rPr>
      <w:sz w:val="20"/>
      <w:szCs w:val="20"/>
    </w:rPr>
  </w:style>
  <w:style w:type="character" w:styleId="914">
    <w:name w:val="尾注文本 Char"/>
    <w:next w:val="914"/>
    <w:link w:val="913"/>
    <w:uiPriority w:val="99"/>
    <w:qFormat/>
    <w:rPr>
      <w:sz w:val="20"/>
    </w:rPr>
  </w:style>
  <w:style w:type="paragraph" w:styleId="915">
    <w:name w:val="页脚"/>
    <w:basedOn w:val="882"/>
    <w:next w:val="915"/>
    <w:link w:val="916"/>
    <w:uiPriority w:val="99"/>
    <w:unhideWhenUsed/>
    <w:qFormat/>
    <w:pPr>
      <w:tabs>
        <w:tab w:val="center" w:pos="7143" w:leader="none"/>
        <w:tab w:val="right" w:pos="14287" w:leader="none"/>
      </w:tabs>
    </w:pPr>
  </w:style>
  <w:style w:type="character" w:styleId="916">
    <w:name w:val="页脚 Char2"/>
    <w:next w:val="916"/>
    <w:link w:val="915"/>
    <w:uiPriority w:val="99"/>
    <w:qFormat/>
  </w:style>
  <w:style w:type="paragraph" w:styleId="917">
    <w:name w:val="页眉"/>
    <w:basedOn w:val="882"/>
    <w:next w:val="917"/>
    <w:link w:val="918"/>
    <w:uiPriority w:val="99"/>
    <w:unhideWhenUsed/>
    <w:qFormat/>
    <w:pPr>
      <w:tabs>
        <w:tab w:val="center" w:pos="7143" w:leader="none"/>
        <w:tab w:val="right" w:pos="14287" w:leader="none"/>
      </w:tabs>
    </w:pPr>
  </w:style>
  <w:style w:type="character" w:styleId="918">
    <w:name w:val="页眉 Char2"/>
    <w:next w:val="918"/>
    <w:link w:val="917"/>
    <w:uiPriority w:val="99"/>
    <w:qFormat/>
  </w:style>
  <w:style w:type="paragraph" w:styleId="919">
    <w:name w:val="目录 1"/>
    <w:basedOn w:val="882"/>
    <w:next w:val="882"/>
    <w:link w:val="882"/>
    <w:uiPriority w:val="39"/>
    <w:unhideWhenUsed/>
    <w:qFormat/>
    <w:pPr>
      <w:spacing w:after="57"/>
    </w:pPr>
  </w:style>
  <w:style w:type="paragraph" w:styleId="920">
    <w:name w:val="目录 4"/>
    <w:basedOn w:val="882"/>
    <w:next w:val="882"/>
    <w:link w:val="882"/>
    <w:uiPriority w:val="39"/>
    <w:unhideWhenUsed/>
    <w:qFormat/>
    <w:pPr>
      <w:ind w:left="850"/>
      <w:spacing w:after="57"/>
    </w:pPr>
  </w:style>
  <w:style w:type="paragraph" w:styleId="921">
    <w:name w:val="副标题"/>
    <w:basedOn w:val="882"/>
    <w:next w:val="882"/>
    <w:link w:val="922"/>
    <w:uiPriority w:val="11"/>
    <w:qFormat/>
    <w:pPr>
      <w:spacing w:before="200" w:after="200"/>
    </w:pPr>
    <w:rPr>
      <w:sz w:val="24"/>
    </w:rPr>
  </w:style>
  <w:style w:type="character" w:styleId="922">
    <w:name w:val="副标题 Char"/>
    <w:next w:val="922"/>
    <w:link w:val="921"/>
    <w:uiPriority w:val="11"/>
    <w:qFormat/>
    <w:rPr>
      <w:sz w:val="24"/>
      <w:szCs w:val="24"/>
    </w:rPr>
  </w:style>
  <w:style w:type="paragraph" w:styleId="923">
    <w:name w:val="脚注文本"/>
    <w:basedOn w:val="882"/>
    <w:next w:val="923"/>
    <w:link w:val="924"/>
    <w:uiPriority w:val="99"/>
    <w:unhideWhenUsed/>
    <w:qFormat/>
    <w:pPr>
      <w:spacing w:after="40"/>
    </w:pPr>
    <w:rPr>
      <w:sz w:val="18"/>
      <w:szCs w:val="20"/>
    </w:rPr>
  </w:style>
  <w:style w:type="character" w:styleId="924">
    <w:name w:val="脚注文本 Char"/>
    <w:next w:val="924"/>
    <w:link w:val="923"/>
    <w:uiPriority w:val="99"/>
    <w:qFormat/>
    <w:rPr>
      <w:sz w:val="18"/>
    </w:rPr>
  </w:style>
  <w:style w:type="paragraph" w:styleId="925">
    <w:name w:val="目录 6"/>
    <w:basedOn w:val="882"/>
    <w:next w:val="882"/>
    <w:link w:val="882"/>
    <w:uiPriority w:val="39"/>
    <w:unhideWhenUsed/>
    <w:qFormat/>
    <w:pPr>
      <w:ind w:left="1417"/>
      <w:spacing w:after="57"/>
    </w:pPr>
  </w:style>
  <w:style w:type="paragraph" w:styleId="926">
    <w:name w:val="图表目录"/>
    <w:basedOn w:val="882"/>
    <w:next w:val="882"/>
    <w:link w:val="882"/>
    <w:uiPriority w:val="99"/>
    <w:unhideWhenUsed/>
    <w:qFormat/>
  </w:style>
  <w:style w:type="paragraph" w:styleId="927">
    <w:name w:val="目录 2"/>
    <w:basedOn w:val="882"/>
    <w:next w:val="882"/>
    <w:link w:val="882"/>
    <w:uiPriority w:val="39"/>
    <w:unhideWhenUsed/>
    <w:qFormat/>
    <w:pPr>
      <w:ind w:left="283"/>
      <w:spacing w:after="57"/>
    </w:pPr>
  </w:style>
  <w:style w:type="paragraph" w:styleId="928">
    <w:name w:val="目录 9"/>
    <w:basedOn w:val="882"/>
    <w:next w:val="882"/>
    <w:link w:val="882"/>
    <w:uiPriority w:val="39"/>
    <w:unhideWhenUsed/>
    <w:qFormat/>
    <w:pPr>
      <w:ind w:left="2268"/>
      <w:spacing w:after="57"/>
    </w:pPr>
  </w:style>
  <w:style w:type="paragraph" w:styleId="929">
    <w:name w:val="标题"/>
    <w:basedOn w:val="882"/>
    <w:next w:val="882"/>
    <w:link w:val="930"/>
    <w:uiPriority w:val="10"/>
    <w:qFormat/>
    <w:pPr>
      <w:contextualSpacing/>
      <w:spacing w:before="300" w:after="200"/>
    </w:pPr>
    <w:rPr>
      <w:sz w:val="48"/>
      <w:szCs w:val="48"/>
    </w:rPr>
  </w:style>
  <w:style w:type="character" w:styleId="930">
    <w:name w:val="标题 Char2"/>
    <w:next w:val="930"/>
    <w:link w:val="929"/>
    <w:uiPriority w:val="10"/>
    <w:qFormat/>
    <w:rPr>
      <w:sz w:val="48"/>
      <w:szCs w:val="48"/>
    </w:rPr>
  </w:style>
  <w:style w:type="paragraph" w:styleId="931">
    <w:name w:val="正文首行缩进"/>
    <w:basedOn w:val="907"/>
    <w:next w:val="882"/>
    <w:link w:val="882"/>
    <w:qFormat/>
    <w:pPr>
      <w:ind w:firstLine="420"/>
      <w:spacing w:before="0" w:after="120" w:line="240" w:lineRule="auto"/>
      <w:tabs>
        <w:tab w:val="left" w:pos="567" w:leader="none"/>
      </w:tabs>
    </w:pPr>
    <w:rPr>
      <w:rFonts w:ascii="Times New Roman" w:hAnsi="Times New Roman"/>
      <w:sz w:val="21"/>
    </w:rPr>
  </w:style>
  <w:style w:type="paragraph" w:styleId="932">
    <w:name w:val="正文首行缩进 2"/>
    <w:basedOn w:val="908"/>
    <w:next w:val="882"/>
    <w:link w:val="882"/>
    <w:qFormat/>
    <w:pPr>
      <w:ind w:left="420" w:firstLine="420"/>
      <w:spacing w:after="120" w:line="480" w:lineRule="exact"/>
    </w:pPr>
    <w:rPr>
      <w:szCs w:val="20"/>
    </w:rPr>
  </w:style>
  <w:style w:type="table" w:styleId="933">
    <w:name w:val="网格型"/>
    <w:next w:val="933"/>
    <w:link w:val="882"/>
    <w:uiPriority w:val="59"/>
    <w:qFormat/>
    <w:rPr>
      <w:lang w:val="en-US" w:eastAsia="zh-CN" w:bidi="ar-SA"/>
    </w:rPr>
    <w:tblPr/>
  </w:style>
  <w:style w:type="character" w:styleId="934">
    <w:name w:val="尾注引用"/>
    <w:next w:val="934"/>
    <w:link w:val="882"/>
    <w:uiPriority w:val="99"/>
    <w:unhideWhenUsed/>
    <w:qFormat/>
    <w:rPr>
      <w:vertAlign w:val="superscript"/>
    </w:rPr>
  </w:style>
  <w:style w:type="character" w:styleId="935">
    <w:name w:val="超链接"/>
    <w:next w:val="935"/>
    <w:link w:val="882"/>
    <w:uiPriority w:val="99"/>
    <w:unhideWhenUsed/>
    <w:qFormat/>
    <w:rPr>
      <w:color w:val="0000ff"/>
      <w:u w:val="single"/>
    </w:rPr>
  </w:style>
  <w:style w:type="character" w:styleId="936">
    <w:name w:val="脚注引用"/>
    <w:next w:val="936"/>
    <w:link w:val="882"/>
    <w:uiPriority w:val="99"/>
    <w:unhideWhenUsed/>
    <w:qFormat/>
    <w:rPr>
      <w:vertAlign w:val="superscript"/>
    </w:rPr>
  </w:style>
  <w:style w:type="character" w:styleId="937">
    <w:name w:val="页码1"/>
    <w:next w:val="937"/>
    <w:link w:val="882"/>
    <w:qFormat/>
    <w:rPr>
      <w:sz w:val="21"/>
      <w:szCs w:val="24"/>
      <w:lang w:val="en-US" w:eastAsia="zh-CN" w:bidi="ar-SA"/>
    </w:rPr>
  </w:style>
  <w:style w:type="character" w:styleId="938">
    <w:name w:val="强调1"/>
    <w:next w:val="938"/>
    <w:link w:val="882"/>
    <w:qFormat/>
    <w:rPr>
      <w:color w:val="cc0033"/>
    </w:rPr>
  </w:style>
  <w:style w:type="paragraph" w:styleId="939">
    <w:name w:val="列出段落"/>
    <w:basedOn w:val="882"/>
    <w:next w:val="939"/>
    <w:link w:val="882"/>
    <w:uiPriority w:val="34"/>
    <w:qFormat/>
    <w:pPr>
      <w:contextualSpacing/>
      <w:ind w:left="720"/>
    </w:pPr>
  </w:style>
  <w:style w:type="paragraph" w:styleId="940">
    <w:name w:val="无间隔"/>
    <w:next w:val="940"/>
    <w:link w:val="882"/>
    <w:uiPriority w:val="1"/>
    <w:qFormat/>
    <w:rPr>
      <w:lang w:val="en-US" w:eastAsia="zh-CN" w:bidi="ar-SA"/>
    </w:rPr>
  </w:style>
  <w:style w:type="paragraph" w:styleId="941">
    <w:name w:val="引用"/>
    <w:basedOn w:val="882"/>
    <w:next w:val="882"/>
    <w:link w:val="942"/>
    <w:uiPriority w:val="29"/>
    <w:qFormat/>
    <w:pPr>
      <w:ind w:left="720" w:right="720"/>
    </w:pPr>
    <w:rPr>
      <w:i/>
      <w:sz w:val="20"/>
      <w:szCs w:val="20"/>
    </w:rPr>
  </w:style>
  <w:style w:type="character" w:styleId="942">
    <w:name w:val="引用 Char"/>
    <w:next w:val="942"/>
    <w:link w:val="941"/>
    <w:uiPriority w:val="29"/>
    <w:qFormat/>
    <w:rPr>
      <w:i/>
    </w:rPr>
  </w:style>
  <w:style w:type="paragraph" w:styleId="943">
    <w:name w:val="明显引用"/>
    <w:basedOn w:val="882"/>
    <w:next w:val="882"/>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4">
    <w:name w:val="明显引用 Char"/>
    <w:next w:val="944"/>
    <w:link w:val="943"/>
    <w:uiPriority w:val="30"/>
    <w:qFormat/>
    <w:rPr>
      <w:i/>
    </w:rPr>
  </w:style>
  <w:style w:type="character" w:styleId="945">
    <w:name w:val="Footer Char"/>
    <w:next w:val="945"/>
    <w:link w:val="882"/>
    <w:uiPriority w:val="99"/>
    <w:qFormat/>
  </w:style>
  <w:style w:type="table" w:styleId="946">
    <w:name w:val="Table Grid Light"/>
    <w:next w:val="946"/>
    <w:link w:val="882"/>
    <w:uiPriority w:val="59"/>
    <w:qFormat/>
    <w:rPr>
      <w:lang w:val="en-US" w:eastAsia="zh-CN" w:bidi="ar-SA"/>
    </w:rPr>
    <w:tblPr/>
  </w:style>
  <w:style w:type="table" w:styleId="947">
    <w:name w:val="无格式表格 11"/>
    <w:next w:val="947"/>
    <w:link w:val="882"/>
    <w:uiPriority w:val="59"/>
    <w:qFormat/>
    <w:rPr>
      <w:lang w:val="en-US" w:eastAsia="zh-CN" w:bidi="ar-SA"/>
    </w:rPr>
    <w:tblPr/>
  </w:style>
  <w:style w:type="table" w:styleId="948">
    <w:name w:val="无格式表格 21"/>
    <w:next w:val="948"/>
    <w:link w:val="882"/>
    <w:uiPriority w:val="59"/>
    <w:qFormat/>
    <w:rPr>
      <w:lang w:val="en-US" w:eastAsia="zh-CN" w:bidi="ar-SA"/>
    </w:rPr>
    <w:tblPr/>
  </w:style>
  <w:style w:type="table" w:styleId="949">
    <w:name w:val="无格式表格 31"/>
    <w:next w:val="949"/>
    <w:link w:val="882"/>
    <w:uiPriority w:val="99"/>
    <w:qFormat/>
    <w:rPr>
      <w:lang w:val="en-US" w:eastAsia="zh-CN" w:bidi="ar-SA"/>
    </w:rPr>
    <w:tblPr/>
  </w:style>
  <w:style w:type="table" w:styleId="950">
    <w:name w:val="无格式表格 41"/>
    <w:next w:val="950"/>
    <w:link w:val="882"/>
    <w:uiPriority w:val="99"/>
    <w:qFormat/>
    <w:rPr>
      <w:lang w:val="en-US" w:eastAsia="zh-CN" w:bidi="ar-SA"/>
    </w:rPr>
    <w:tblPr/>
  </w:style>
  <w:style w:type="table" w:styleId="951">
    <w:name w:val="无格式表格 51"/>
    <w:next w:val="951"/>
    <w:link w:val="882"/>
    <w:uiPriority w:val="99"/>
    <w:qFormat/>
    <w:rPr>
      <w:lang w:val="en-US" w:eastAsia="zh-CN" w:bidi="ar-SA"/>
    </w:rPr>
    <w:tblPr/>
  </w:style>
  <w:style w:type="table" w:styleId="952">
    <w:name w:val="网格表 1 浅色1"/>
    <w:next w:val="952"/>
    <w:link w:val="882"/>
    <w:uiPriority w:val="99"/>
    <w:qFormat/>
    <w:rPr>
      <w:lang w:val="en-US" w:eastAsia="zh-CN" w:bidi="ar-SA"/>
    </w:rPr>
    <w:tblPr/>
  </w:style>
  <w:style w:type="table" w:styleId="953">
    <w:name w:val="Grid Table 1 Light - Accent 1"/>
    <w:next w:val="953"/>
    <w:link w:val="882"/>
    <w:uiPriority w:val="99"/>
    <w:qFormat/>
    <w:rPr>
      <w:lang w:val="en-US" w:eastAsia="zh-CN" w:bidi="ar-SA"/>
    </w:rPr>
    <w:tblPr/>
  </w:style>
  <w:style w:type="table" w:styleId="954">
    <w:name w:val="Grid Table 1 Light - Accent 2"/>
    <w:next w:val="954"/>
    <w:link w:val="882"/>
    <w:uiPriority w:val="99"/>
    <w:qFormat/>
    <w:rPr>
      <w:lang w:val="en-US" w:eastAsia="zh-CN" w:bidi="ar-SA"/>
    </w:rPr>
    <w:tblPr/>
  </w:style>
  <w:style w:type="table" w:styleId="955">
    <w:name w:val="Grid Table 1 Light - Accent 3"/>
    <w:next w:val="955"/>
    <w:link w:val="882"/>
    <w:uiPriority w:val="99"/>
    <w:qFormat/>
    <w:rPr>
      <w:lang w:val="en-US" w:eastAsia="zh-CN" w:bidi="ar-SA"/>
    </w:rPr>
    <w:tblPr/>
  </w:style>
  <w:style w:type="table" w:styleId="956">
    <w:name w:val="Grid Table 1 Light - Accent 4"/>
    <w:next w:val="956"/>
    <w:link w:val="882"/>
    <w:uiPriority w:val="99"/>
    <w:qFormat/>
    <w:rPr>
      <w:lang w:val="en-US" w:eastAsia="zh-CN" w:bidi="ar-SA"/>
    </w:rPr>
    <w:tblPr/>
  </w:style>
  <w:style w:type="table" w:styleId="957">
    <w:name w:val="Grid Table 1 Light - Accent 5"/>
    <w:next w:val="957"/>
    <w:link w:val="882"/>
    <w:uiPriority w:val="99"/>
    <w:qFormat/>
    <w:rPr>
      <w:lang w:val="en-US" w:eastAsia="zh-CN" w:bidi="ar-SA"/>
    </w:rPr>
    <w:tblPr/>
  </w:style>
  <w:style w:type="table" w:styleId="958">
    <w:name w:val="Grid Table 1 Light - Accent 6"/>
    <w:next w:val="958"/>
    <w:link w:val="882"/>
    <w:uiPriority w:val="99"/>
    <w:qFormat/>
    <w:rPr>
      <w:lang w:val="en-US" w:eastAsia="zh-CN" w:bidi="ar-SA"/>
    </w:rPr>
    <w:tblPr/>
  </w:style>
  <w:style w:type="table" w:styleId="959">
    <w:name w:val="网格表 21"/>
    <w:next w:val="959"/>
    <w:link w:val="882"/>
    <w:uiPriority w:val="99"/>
    <w:qFormat/>
    <w:rPr>
      <w:lang w:val="en-US" w:eastAsia="zh-CN" w:bidi="ar-SA"/>
    </w:rPr>
    <w:tblPr/>
  </w:style>
  <w:style w:type="table" w:styleId="960">
    <w:name w:val="Grid Table 2 - Accent 1"/>
    <w:next w:val="960"/>
    <w:link w:val="882"/>
    <w:uiPriority w:val="99"/>
    <w:qFormat/>
    <w:rPr>
      <w:lang w:val="en-US" w:eastAsia="zh-CN" w:bidi="ar-SA"/>
    </w:rPr>
    <w:tblPr/>
  </w:style>
  <w:style w:type="table" w:styleId="961">
    <w:name w:val="Grid Table 2 - Accent 2"/>
    <w:next w:val="961"/>
    <w:link w:val="882"/>
    <w:uiPriority w:val="99"/>
    <w:qFormat/>
    <w:rPr>
      <w:lang w:val="en-US" w:eastAsia="zh-CN" w:bidi="ar-SA"/>
    </w:rPr>
    <w:tblPr/>
  </w:style>
  <w:style w:type="table" w:styleId="962">
    <w:name w:val="Grid Table 2 - Accent 3"/>
    <w:next w:val="962"/>
    <w:link w:val="882"/>
    <w:uiPriority w:val="99"/>
    <w:qFormat/>
    <w:rPr>
      <w:lang w:val="en-US" w:eastAsia="zh-CN" w:bidi="ar-SA"/>
    </w:rPr>
    <w:tblPr/>
  </w:style>
  <w:style w:type="table" w:styleId="963">
    <w:name w:val="Grid Table 2 - Accent 4"/>
    <w:next w:val="963"/>
    <w:link w:val="882"/>
    <w:uiPriority w:val="99"/>
    <w:qFormat/>
    <w:rPr>
      <w:lang w:val="en-US" w:eastAsia="zh-CN" w:bidi="ar-SA"/>
    </w:rPr>
    <w:tblPr/>
  </w:style>
  <w:style w:type="table" w:styleId="964">
    <w:name w:val="Grid Table 2 - Accent 5"/>
    <w:next w:val="964"/>
    <w:link w:val="882"/>
    <w:uiPriority w:val="99"/>
    <w:qFormat/>
    <w:rPr>
      <w:lang w:val="en-US" w:eastAsia="zh-CN" w:bidi="ar-SA"/>
    </w:rPr>
    <w:tblPr/>
  </w:style>
  <w:style w:type="table" w:styleId="965">
    <w:name w:val="Grid Table 2 - Accent 6"/>
    <w:next w:val="965"/>
    <w:link w:val="882"/>
    <w:uiPriority w:val="99"/>
    <w:qFormat/>
    <w:rPr>
      <w:lang w:val="en-US" w:eastAsia="zh-CN" w:bidi="ar-SA"/>
    </w:rPr>
    <w:tblPr/>
  </w:style>
  <w:style w:type="table" w:styleId="966">
    <w:name w:val="网格表 31"/>
    <w:next w:val="966"/>
    <w:link w:val="882"/>
    <w:uiPriority w:val="99"/>
    <w:qFormat/>
    <w:rPr>
      <w:lang w:val="en-US" w:eastAsia="zh-CN" w:bidi="ar-SA"/>
    </w:rPr>
    <w:tblPr/>
  </w:style>
  <w:style w:type="table" w:styleId="967">
    <w:name w:val="Grid Table 3 - Accent 1"/>
    <w:next w:val="967"/>
    <w:link w:val="882"/>
    <w:uiPriority w:val="99"/>
    <w:qFormat/>
    <w:rPr>
      <w:lang w:val="en-US" w:eastAsia="zh-CN" w:bidi="ar-SA"/>
    </w:rPr>
    <w:tblPr/>
  </w:style>
  <w:style w:type="table" w:styleId="968">
    <w:name w:val="Grid Table 3 - Accent 2"/>
    <w:next w:val="968"/>
    <w:link w:val="882"/>
    <w:uiPriority w:val="99"/>
    <w:qFormat/>
    <w:rPr>
      <w:lang w:val="en-US" w:eastAsia="zh-CN" w:bidi="ar-SA"/>
    </w:rPr>
    <w:tblPr/>
  </w:style>
  <w:style w:type="table" w:styleId="969">
    <w:name w:val="Grid Table 3 - Accent 3"/>
    <w:next w:val="969"/>
    <w:link w:val="882"/>
    <w:uiPriority w:val="99"/>
    <w:qFormat/>
    <w:rPr>
      <w:lang w:val="en-US" w:eastAsia="zh-CN" w:bidi="ar-SA"/>
    </w:rPr>
    <w:tblPr/>
  </w:style>
  <w:style w:type="table" w:styleId="970">
    <w:name w:val="Grid Table 3 - Accent 4"/>
    <w:next w:val="970"/>
    <w:link w:val="882"/>
    <w:uiPriority w:val="99"/>
    <w:qFormat/>
    <w:rPr>
      <w:lang w:val="en-US" w:eastAsia="zh-CN" w:bidi="ar-SA"/>
    </w:rPr>
    <w:tblPr/>
  </w:style>
  <w:style w:type="table" w:styleId="971">
    <w:name w:val="Grid Table 3 - Accent 5"/>
    <w:next w:val="971"/>
    <w:link w:val="882"/>
    <w:uiPriority w:val="99"/>
    <w:qFormat/>
    <w:rPr>
      <w:lang w:val="en-US" w:eastAsia="zh-CN" w:bidi="ar-SA"/>
    </w:rPr>
    <w:tblPr/>
  </w:style>
  <w:style w:type="table" w:styleId="972">
    <w:name w:val="Grid Table 3 - Accent 6"/>
    <w:next w:val="972"/>
    <w:link w:val="882"/>
    <w:uiPriority w:val="99"/>
    <w:qFormat/>
    <w:rPr>
      <w:lang w:val="en-US" w:eastAsia="zh-CN" w:bidi="ar-SA"/>
    </w:rPr>
    <w:tblPr/>
  </w:style>
  <w:style w:type="table" w:styleId="973">
    <w:name w:val="网格表 41"/>
    <w:next w:val="973"/>
    <w:link w:val="882"/>
    <w:uiPriority w:val="59"/>
    <w:qFormat/>
    <w:rPr>
      <w:lang w:val="en-US" w:eastAsia="zh-CN" w:bidi="ar-SA"/>
    </w:rPr>
    <w:tblPr/>
  </w:style>
  <w:style w:type="table" w:styleId="974">
    <w:name w:val="Grid Table 4 - Accent 1"/>
    <w:next w:val="974"/>
    <w:link w:val="882"/>
    <w:uiPriority w:val="59"/>
    <w:qFormat/>
    <w:rPr>
      <w:lang w:val="en-US" w:eastAsia="zh-CN" w:bidi="ar-SA"/>
    </w:rPr>
    <w:tblPr/>
  </w:style>
  <w:style w:type="table" w:styleId="975">
    <w:name w:val="Grid Table 4 - Accent 2"/>
    <w:next w:val="975"/>
    <w:link w:val="882"/>
    <w:uiPriority w:val="59"/>
    <w:qFormat/>
    <w:rPr>
      <w:lang w:val="en-US" w:eastAsia="zh-CN" w:bidi="ar-SA"/>
    </w:rPr>
    <w:tblPr/>
  </w:style>
  <w:style w:type="table" w:styleId="976">
    <w:name w:val="Grid Table 4 - Accent 3"/>
    <w:next w:val="976"/>
    <w:link w:val="882"/>
    <w:uiPriority w:val="59"/>
    <w:qFormat/>
    <w:rPr>
      <w:lang w:val="en-US" w:eastAsia="zh-CN" w:bidi="ar-SA"/>
    </w:rPr>
    <w:tblPr/>
  </w:style>
  <w:style w:type="table" w:styleId="977">
    <w:name w:val="Grid Table 4 - Accent 4"/>
    <w:next w:val="977"/>
    <w:link w:val="882"/>
    <w:uiPriority w:val="59"/>
    <w:qFormat/>
    <w:rPr>
      <w:lang w:val="en-US" w:eastAsia="zh-CN" w:bidi="ar-SA"/>
    </w:rPr>
    <w:tblPr/>
  </w:style>
  <w:style w:type="table" w:styleId="978">
    <w:name w:val="Grid Table 4 - Accent 5"/>
    <w:next w:val="978"/>
    <w:link w:val="882"/>
    <w:uiPriority w:val="59"/>
    <w:qFormat/>
    <w:rPr>
      <w:lang w:val="en-US" w:eastAsia="zh-CN" w:bidi="ar-SA"/>
    </w:rPr>
    <w:tblPr/>
  </w:style>
  <w:style w:type="table" w:styleId="979">
    <w:name w:val="Grid Table 4 - Accent 6"/>
    <w:next w:val="979"/>
    <w:link w:val="882"/>
    <w:uiPriority w:val="59"/>
    <w:qFormat/>
    <w:rPr>
      <w:lang w:val="en-US" w:eastAsia="zh-CN" w:bidi="ar-SA"/>
    </w:rPr>
    <w:tblPr/>
  </w:style>
  <w:style w:type="table" w:styleId="980">
    <w:name w:val="网格表 5 深色1"/>
    <w:next w:val="980"/>
    <w:link w:val="882"/>
    <w:uiPriority w:val="99"/>
    <w:qFormat/>
    <w:rPr>
      <w:lang w:val="en-US" w:eastAsia="zh-CN" w:bidi="ar-SA"/>
    </w:rPr>
    <w:tblPr/>
  </w:style>
  <w:style w:type="table" w:styleId="981">
    <w:name w:val="Grid Table 5 Dark- Accent 1"/>
    <w:next w:val="981"/>
    <w:link w:val="882"/>
    <w:uiPriority w:val="99"/>
    <w:qFormat/>
    <w:rPr>
      <w:lang w:val="en-US" w:eastAsia="zh-CN" w:bidi="ar-SA"/>
    </w:rPr>
    <w:tblPr/>
  </w:style>
  <w:style w:type="table" w:styleId="982">
    <w:name w:val="Grid Table 5 Dark - Accent 2"/>
    <w:next w:val="982"/>
    <w:link w:val="882"/>
    <w:uiPriority w:val="99"/>
    <w:qFormat/>
    <w:rPr>
      <w:lang w:val="en-US" w:eastAsia="zh-CN" w:bidi="ar-SA"/>
    </w:rPr>
    <w:tblPr/>
  </w:style>
  <w:style w:type="table" w:styleId="983">
    <w:name w:val="Grid Table 5 Dark - Accent 3"/>
    <w:next w:val="983"/>
    <w:link w:val="882"/>
    <w:uiPriority w:val="99"/>
    <w:qFormat/>
    <w:rPr>
      <w:lang w:val="en-US" w:eastAsia="zh-CN" w:bidi="ar-SA"/>
    </w:rPr>
    <w:tblPr/>
  </w:style>
  <w:style w:type="table" w:styleId="984">
    <w:name w:val="Grid Table 5 Dark- Accent 4"/>
    <w:next w:val="984"/>
    <w:link w:val="882"/>
    <w:uiPriority w:val="99"/>
    <w:qFormat/>
    <w:rPr>
      <w:lang w:val="en-US" w:eastAsia="zh-CN" w:bidi="ar-SA"/>
    </w:rPr>
    <w:tblPr/>
  </w:style>
  <w:style w:type="table" w:styleId="985">
    <w:name w:val="Grid Table 5 Dark - Accent 5"/>
    <w:next w:val="985"/>
    <w:link w:val="882"/>
    <w:uiPriority w:val="99"/>
    <w:qFormat/>
    <w:rPr>
      <w:lang w:val="en-US" w:eastAsia="zh-CN" w:bidi="ar-SA"/>
    </w:rPr>
    <w:tblPr/>
  </w:style>
  <w:style w:type="table" w:styleId="986">
    <w:name w:val="Grid Table 5 Dark - Accent 6"/>
    <w:next w:val="986"/>
    <w:link w:val="882"/>
    <w:uiPriority w:val="99"/>
    <w:qFormat/>
    <w:rPr>
      <w:lang w:val="en-US" w:eastAsia="zh-CN" w:bidi="ar-SA"/>
    </w:rPr>
    <w:tblPr/>
  </w:style>
  <w:style w:type="table" w:styleId="987">
    <w:name w:val="网格表 6 彩色1"/>
    <w:next w:val="987"/>
    <w:link w:val="882"/>
    <w:uiPriority w:val="99"/>
    <w:qFormat/>
    <w:rPr>
      <w:lang w:val="en-US" w:eastAsia="zh-CN" w:bidi="ar-SA"/>
    </w:rPr>
    <w:tblPr/>
  </w:style>
  <w:style w:type="table" w:styleId="988">
    <w:name w:val="Grid Table 6 Colorful - Accent 1"/>
    <w:next w:val="988"/>
    <w:link w:val="882"/>
    <w:uiPriority w:val="99"/>
    <w:qFormat/>
    <w:rPr>
      <w:lang w:val="en-US" w:eastAsia="zh-CN" w:bidi="ar-SA"/>
    </w:rPr>
    <w:tblPr/>
  </w:style>
  <w:style w:type="table" w:styleId="989">
    <w:name w:val="Grid Table 6 Colorful - Accent 2"/>
    <w:next w:val="989"/>
    <w:link w:val="882"/>
    <w:uiPriority w:val="99"/>
    <w:qFormat/>
    <w:rPr>
      <w:lang w:val="en-US" w:eastAsia="zh-CN" w:bidi="ar-SA"/>
    </w:rPr>
    <w:tblPr/>
  </w:style>
  <w:style w:type="table" w:styleId="990">
    <w:name w:val="Grid Table 6 Colorful - Accent 3"/>
    <w:next w:val="990"/>
    <w:link w:val="882"/>
    <w:uiPriority w:val="99"/>
    <w:qFormat/>
    <w:rPr>
      <w:lang w:val="en-US" w:eastAsia="zh-CN" w:bidi="ar-SA"/>
    </w:rPr>
    <w:tblPr/>
  </w:style>
  <w:style w:type="table" w:styleId="991">
    <w:name w:val="Grid Table 6 Colorful - Accent 4"/>
    <w:next w:val="991"/>
    <w:link w:val="882"/>
    <w:uiPriority w:val="99"/>
    <w:qFormat/>
    <w:rPr>
      <w:lang w:val="en-US" w:eastAsia="zh-CN" w:bidi="ar-SA"/>
    </w:rPr>
    <w:tblPr/>
  </w:style>
  <w:style w:type="table" w:styleId="992">
    <w:name w:val="Grid Table 6 Colorful - Accent 5"/>
    <w:next w:val="992"/>
    <w:link w:val="882"/>
    <w:uiPriority w:val="99"/>
    <w:qFormat/>
    <w:rPr>
      <w:lang w:val="en-US" w:eastAsia="zh-CN" w:bidi="ar-SA"/>
    </w:rPr>
    <w:tblPr/>
  </w:style>
  <w:style w:type="table" w:styleId="993">
    <w:name w:val="Grid Table 6 Colorful - Accent 6"/>
    <w:next w:val="993"/>
    <w:link w:val="882"/>
    <w:uiPriority w:val="99"/>
    <w:qFormat/>
    <w:rPr>
      <w:lang w:val="en-US" w:eastAsia="zh-CN" w:bidi="ar-SA"/>
    </w:rPr>
    <w:tblPr/>
  </w:style>
  <w:style w:type="table" w:styleId="994">
    <w:name w:val="网格表 7 彩色1"/>
    <w:next w:val="994"/>
    <w:link w:val="882"/>
    <w:uiPriority w:val="99"/>
    <w:qFormat/>
    <w:rPr>
      <w:lang w:val="en-US" w:eastAsia="zh-CN" w:bidi="ar-SA"/>
    </w:rPr>
    <w:tblPr/>
  </w:style>
  <w:style w:type="table" w:styleId="995">
    <w:name w:val="Grid Table 7 Colorful - Accent 1"/>
    <w:next w:val="995"/>
    <w:link w:val="882"/>
    <w:uiPriority w:val="99"/>
    <w:qFormat/>
    <w:rPr>
      <w:lang w:val="en-US" w:eastAsia="zh-CN" w:bidi="ar-SA"/>
    </w:rPr>
    <w:tblPr/>
  </w:style>
  <w:style w:type="table" w:styleId="996">
    <w:name w:val="Grid Table 7 Colorful - Accent 2"/>
    <w:next w:val="996"/>
    <w:link w:val="882"/>
    <w:uiPriority w:val="99"/>
    <w:qFormat/>
    <w:rPr>
      <w:lang w:val="en-US" w:eastAsia="zh-CN" w:bidi="ar-SA"/>
    </w:rPr>
    <w:tblPr/>
  </w:style>
  <w:style w:type="table" w:styleId="997">
    <w:name w:val="Grid Table 7 Colorful - Accent 3"/>
    <w:next w:val="997"/>
    <w:link w:val="882"/>
    <w:uiPriority w:val="99"/>
    <w:qFormat/>
    <w:rPr>
      <w:lang w:val="en-US" w:eastAsia="zh-CN" w:bidi="ar-SA"/>
    </w:rPr>
    <w:tblPr/>
  </w:style>
  <w:style w:type="table" w:styleId="998">
    <w:name w:val="Grid Table 7 Colorful - Accent 4"/>
    <w:next w:val="998"/>
    <w:link w:val="882"/>
    <w:uiPriority w:val="99"/>
    <w:qFormat/>
    <w:rPr>
      <w:lang w:val="en-US" w:eastAsia="zh-CN" w:bidi="ar-SA"/>
    </w:rPr>
    <w:tblPr/>
  </w:style>
  <w:style w:type="table" w:styleId="999">
    <w:name w:val="Grid Table 7 Colorful - Accent 5"/>
    <w:next w:val="999"/>
    <w:link w:val="882"/>
    <w:uiPriority w:val="99"/>
    <w:qFormat/>
    <w:rPr>
      <w:lang w:val="en-US" w:eastAsia="zh-CN" w:bidi="ar-SA"/>
    </w:rPr>
    <w:tblPr/>
  </w:style>
  <w:style w:type="table" w:styleId="1000">
    <w:name w:val="Grid Table 7 Colorful - Accent 6"/>
    <w:next w:val="1000"/>
    <w:link w:val="882"/>
    <w:uiPriority w:val="99"/>
    <w:qFormat/>
    <w:rPr>
      <w:lang w:val="en-US" w:eastAsia="zh-CN" w:bidi="ar-SA"/>
    </w:rPr>
    <w:tblPr/>
  </w:style>
  <w:style w:type="table" w:styleId="1001">
    <w:name w:val="清单表 1 浅色1"/>
    <w:next w:val="1001"/>
    <w:link w:val="882"/>
    <w:uiPriority w:val="99"/>
    <w:qFormat/>
    <w:rPr>
      <w:lang w:val="en-US" w:eastAsia="zh-CN" w:bidi="ar-SA"/>
    </w:rPr>
    <w:tblPr/>
  </w:style>
  <w:style w:type="table" w:styleId="1002">
    <w:name w:val="List Table 1 Light - Accent 1"/>
    <w:next w:val="1002"/>
    <w:link w:val="882"/>
    <w:uiPriority w:val="99"/>
    <w:qFormat/>
    <w:rPr>
      <w:lang w:val="en-US" w:eastAsia="zh-CN" w:bidi="ar-SA"/>
    </w:rPr>
    <w:tblPr/>
  </w:style>
  <w:style w:type="table" w:styleId="1003">
    <w:name w:val="List Table 1 Light - Accent 2"/>
    <w:next w:val="1003"/>
    <w:link w:val="882"/>
    <w:uiPriority w:val="99"/>
    <w:qFormat/>
    <w:rPr>
      <w:lang w:val="en-US" w:eastAsia="zh-CN" w:bidi="ar-SA"/>
    </w:rPr>
    <w:tblPr/>
  </w:style>
  <w:style w:type="table" w:styleId="1004">
    <w:name w:val="List Table 1 Light - Accent 3"/>
    <w:next w:val="1004"/>
    <w:link w:val="882"/>
    <w:uiPriority w:val="99"/>
    <w:qFormat/>
    <w:rPr>
      <w:lang w:val="en-US" w:eastAsia="zh-CN" w:bidi="ar-SA"/>
    </w:rPr>
    <w:tblPr/>
  </w:style>
  <w:style w:type="table" w:styleId="1005">
    <w:name w:val="List Table 1 Light - Accent 4"/>
    <w:next w:val="1005"/>
    <w:link w:val="882"/>
    <w:uiPriority w:val="99"/>
    <w:qFormat/>
    <w:rPr>
      <w:lang w:val="en-US" w:eastAsia="zh-CN" w:bidi="ar-SA"/>
    </w:rPr>
    <w:tblPr/>
  </w:style>
  <w:style w:type="table" w:styleId="1006">
    <w:name w:val="List Table 1 Light - Accent 5"/>
    <w:next w:val="1006"/>
    <w:link w:val="882"/>
    <w:uiPriority w:val="99"/>
    <w:qFormat/>
    <w:rPr>
      <w:lang w:val="en-US" w:eastAsia="zh-CN" w:bidi="ar-SA"/>
    </w:rPr>
    <w:tblPr/>
  </w:style>
  <w:style w:type="table" w:styleId="1007">
    <w:name w:val="List Table 1 Light - Accent 6"/>
    <w:next w:val="1007"/>
    <w:link w:val="882"/>
    <w:uiPriority w:val="99"/>
    <w:qFormat/>
    <w:rPr>
      <w:lang w:val="en-US" w:eastAsia="zh-CN" w:bidi="ar-SA"/>
    </w:rPr>
    <w:tblPr/>
  </w:style>
  <w:style w:type="table" w:styleId="1008">
    <w:name w:val="清单表 21"/>
    <w:next w:val="1008"/>
    <w:link w:val="882"/>
    <w:uiPriority w:val="99"/>
    <w:qFormat/>
    <w:rPr>
      <w:lang w:val="en-US" w:eastAsia="zh-CN" w:bidi="ar-SA"/>
    </w:rPr>
    <w:tblPr/>
  </w:style>
  <w:style w:type="table" w:styleId="1009">
    <w:name w:val="List Table 2 - Accent 1"/>
    <w:next w:val="1009"/>
    <w:link w:val="882"/>
    <w:uiPriority w:val="99"/>
    <w:qFormat/>
    <w:rPr>
      <w:lang w:val="en-US" w:eastAsia="zh-CN" w:bidi="ar-SA"/>
    </w:rPr>
    <w:tblPr/>
  </w:style>
  <w:style w:type="table" w:styleId="1010">
    <w:name w:val="List Table 2 - Accent 2"/>
    <w:next w:val="1010"/>
    <w:link w:val="882"/>
    <w:uiPriority w:val="99"/>
    <w:qFormat/>
    <w:rPr>
      <w:lang w:val="en-US" w:eastAsia="zh-CN" w:bidi="ar-SA"/>
    </w:rPr>
    <w:tblPr/>
  </w:style>
  <w:style w:type="table" w:styleId="1011">
    <w:name w:val="List Table 2 - Accent 3"/>
    <w:next w:val="1011"/>
    <w:link w:val="882"/>
    <w:uiPriority w:val="99"/>
    <w:qFormat/>
    <w:rPr>
      <w:lang w:val="en-US" w:eastAsia="zh-CN" w:bidi="ar-SA"/>
    </w:rPr>
    <w:tblPr/>
  </w:style>
  <w:style w:type="table" w:styleId="1012">
    <w:name w:val="List Table 2 - Accent 4"/>
    <w:next w:val="1012"/>
    <w:link w:val="882"/>
    <w:uiPriority w:val="99"/>
    <w:qFormat/>
    <w:rPr>
      <w:lang w:val="en-US" w:eastAsia="zh-CN" w:bidi="ar-SA"/>
    </w:rPr>
    <w:tblPr/>
  </w:style>
  <w:style w:type="table" w:styleId="1013">
    <w:name w:val="List Table 2 - Accent 5"/>
    <w:next w:val="1013"/>
    <w:link w:val="882"/>
    <w:uiPriority w:val="99"/>
    <w:qFormat/>
    <w:rPr>
      <w:lang w:val="en-US" w:eastAsia="zh-CN" w:bidi="ar-SA"/>
    </w:rPr>
    <w:tblPr/>
  </w:style>
  <w:style w:type="table" w:styleId="1014">
    <w:name w:val="List Table 2 - Accent 6"/>
    <w:next w:val="1014"/>
    <w:link w:val="882"/>
    <w:uiPriority w:val="99"/>
    <w:qFormat/>
    <w:rPr>
      <w:lang w:val="en-US" w:eastAsia="zh-CN" w:bidi="ar-SA"/>
    </w:rPr>
    <w:tblPr/>
  </w:style>
  <w:style w:type="table" w:styleId="1015">
    <w:name w:val="清单表 31"/>
    <w:next w:val="1015"/>
    <w:link w:val="882"/>
    <w:uiPriority w:val="99"/>
    <w:qFormat/>
    <w:rPr>
      <w:lang w:val="en-US" w:eastAsia="zh-CN" w:bidi="ar-SA"/>
    </w:rPr>
    <w:tblPr/>
  </w:style>
  <w:style w:type="table" w:styleId="1016">
    <w:name w:val="List Table 3 - Accent 1"/>
    <w:next w:val="1016"/>
    <w:link w:val="882"/>
    <w:uiPriority w:val="99"/>
    <w:qFormat/>
    <w:rPr>
      <w:lang w:val="en-US" w:eastAsia="zh-CN" w:bidi="ar-SA"/>
    </w:rPr>
    <w:tblPr/>
  </w:style>
  <w:style w:type="table" w:styleId="1017">
    <w:name w:val="List Table 3 - Accent 2"/>
    <w:next w:val="1017"/>
    <w:link w:val="882"/>
    <w:uiPriority w:val="99"/>
    <w:qFormat/>
    <w:rPr>
      <w:lang w:val="en-US" w:eastAsia="zh-CN" w:bidi="ar-SA"/>
    </w:rPr>
    <w:tblPr/>
  </w:style>
  <w:style w:type="table" w:styleId="1018">
    <w:name w:val="List Table 3 - Accent 3"/>
    <w:next w:val="1018"/>
    <w:link w:val="882"/>
    <w:uiPriority w:val="99"/>
    <w:qFormat/>
    <w:rPr>
      <w:lang w:val="en-US" w:eastAsia="zh-CN" w:bidi="ar-SA"/>
    </w:rPr>
    <w:tblPr/>
  </w:style>
  <w:style w:type="table" w:styleId="1019">
    <w:name w:val="List Table 3 - Accent 4"/>
    <w:next w:val="1019"/>
    <w:link w:val="882"/>
    <w:uiPriority w:val="99"/>
    <w:qFormat/>
    <w:rPr>
      <w:lang w:val="en-US" w:eastAsia="zh-CN" w:bidi="ar-SA"/>
    </w:rPr>
    <w:tblPr/>
  </w:style>
  <w:style w:type="table" w:styleId="1020">
    <w:name w:val="List Table 3 - Accent 5"/>
    <w:next w:val="1020"/>
    <w:link w:val="882"/>
    <w:uiPriority w:val="99"/>
    <w:qFormat/>
    <w:rPr>
      <w:lang w:val="en-US" w:eastAsia="zh-CN" w:bidi="ar-SA"/>
    </w:rPr>
    <w:tblPr/>
  </w:style>
  <w:style w:type="table" w:styleId="1021">
    <w:name w:val="List Table 3 - Accent 6"/>
    <w:next w:val="1021"/>
    <w:link w:val="882"/>
    <w:uiPriority w:val="99"/>
    <w:qFormat/>
    <w:rPr>
      <w:lang w:val="en-US" w:eastAsia="zh-CN" w:bidi="ar-SA"/>
    </w:rPr>
    <w:tblPr/>
  </w:style>
  <w:style w:type="table" w:styleId="1022">
    <w:name w:val="清单表 41"/>
    <w:next w:val="1022"/>
    <w:link w:val="882"/>
    <w:uiPriority w:val="99"/>
    <w:qFormat/>
    <w:rPr>
      <w:lang w:val="en-US" w:eastAsia="zh-CN" w:bidi="ar-SA"/>
    </w:rPr>
    <w:tblPr/>
  </w:style>
  <w:style w:type="table" w:styleId="1023">
    <w:name w:val="List Table 4 - Accent 1"/>
    <w:next w:val="1023"/>
    <w:link w:val="882"/>
    <w:uiPriority w:val="99"/>
    <w:qFormat/>
    <w:rPr>
      <w:lang w:val="en-US" w:eastAsia="zh-CN" w:bidi="ar-SA"/>
    </w:rPr>
    <w:tblPr/>
  </w:style>
  <w:style w:type="table" w:styleId="1024">
    <w:name w:val="List Table 4 - Accent 2"/>
    <w:next w:val="1024"/>
    <w:link w:val="882"/>
    <w:uiPriority w:val="99"/>
    <w:qFormat/>
    <w:rPr>
      <w:lang w:val="en-US" w:eastAsia="zh-CN" w:bidi="ar-SA"/>
    </w:rPr>
    <w:tblPr/>
  </w:style>
  <w:style w:type="table" w:styleId="1025">
    <w:name w:val="List Table 4 - Accent 3"/>
    <w:next w:val="1025"/>
    <w:link w:val="882"/>
    <w:uiPriority w:val="99"/>
    <w:qFormat/>
    <w:rPr>
      <w:lang w:val="en-US" w:eastAsia="zh-CN" w:bidi="ar-SA"/>
    </w:rPr>
    <w:tblPr/>
  </w:style>
  <w:style w:type="table" w:styleId="1026">
    <w:name w:val="List Table 4 - Accent 4"/>
    <w:next w:val="1026"/>
    <w:link w:val="882"/>
    <w:uiPriority w:val="99"/>
    <w:qFormat/>
    <w:rPr>
      <w:lang w:val="en-US" w:eastAsia="zh-CN" w:bidi="ar-SA"/>
    </w:rPr>
    <w:tblPr/>
  </w:style>
  <w:style w:type="table" w:styleId="1027">
    <w:name w:val="List Table 4 - Accent 5"/>
    <w:next w:val="1027"/>
    <w:link w:val="882"/>
    <w:uiPriority w:val="99"/>
    <w:qFormat/>
    <w:rPr>
      <w:lang w:val="en-US" w:eastAsia="zh-CN" w:bidi="ar-SA"/>
    </w:rPr>
    <w:tblPr/>
  </w:style>
  <w:style w:type="table" w:styleId="1028">
    <w:name w:val="List Table 4 - Accent 6"/>
    <w:next w:val="1028"/>
    <w:link w:val="882"/>
    <w:uiPriority w:val="99"/>
    <w:qFormat/>
    <w:rPr>
      <w:lang w:val="en-US" w:eastAsia="zh-CN" w:bidi="ar-SA"/>
    </w:rPr>
    <w:tblPr/>
  </w:style>
  <w:style w:type="table" w:styleId="1029">
    <w:name w:val="清单表 5 深色1"/>
    <w:next w:val="1029"/>
    <w:link w:val="882"/>
    <w:uiPriority w:val="99"/>
    <w:qFormat/>
    <w:rPr>
      <w:lang w:val="en-US" w:eastAsia="zh-CN" w:bidi="ar-SA"/>
    </w:rPr>
    <w:tblPr/>
  </w:style>
  <w:style w:type="table" w:styleId="1030">
    <w:name w:val="List Table 5 Dark - Accent 1"/>
    <w:next w:val="1030"/>
    <w:link w:val="882"/>
    <w:uiPriority w:val="99"/>
    <w:qFormat/>
    <w:rPr>
      <w:lang w:val="en-US" w:eastAsia="zh-CN" w:bidi="ar-SA"/>
    </w:rPr>
    <w:tblPr/>
  </w:style>
  <w:style w:type="table" w:styleId="1031">
    <w:name w:val="List Table 5 Dark - Accent 2"/>
    <w:next w:val="1031"/>
    <w:link w:val="882"/>
    <w:uiPriority w:val="99"/>
    <w:qFormat/>
    <w:rPr>
      <w:lang w:val="en-US" w:eastAsia="zh-CN" w:bidi="ar-SA"/>
    </w:rPr>
    <w:tblPr/>
  </w:style>
  <w:style w:type="table" w:styleId="1032">
    <w:name w:val="List Table 5 Dark - Accent 3"/>
    <w:next w:val="1032"/>
    <w:link w:val="882"/>
    <w:uiPriority w:val="99"/>
    <w:qFormat/>
    <w:rPr>
      <w:lang w:val="en-US" w:eastAsia="zh-CN" w:bidi="ar-SA"/>
    </w:rPr>
    <w:tblPr/>
  </w:style>
  <w:style w:type="table" w:styleId="1033">
    <w:name w:val="List Table 5 Dark - Accent 4"/>
    <w:next w:val="1033"/>
    <w:link w:val="882"/>
    <w:uiPriority w:val="99"/>
    <w:qFormat/>
    <w:rPr>
      <w:lang w:val="en-US" w:eastAsia="zh-CN" w:bidi="ar-SA"/>
    </w:rPr>
    <w:tblPr/>
  </w:style>
  <w:style w:type="table" w:styleId="1034">
    <w:name w:val="List Table 5 Dark - Accent 5"/>
    <w:next w:val="1034"/>
    <w:link w:val="882"/>
    <w:uiPriority w:val="99"/>
    <w:qFormat/>
    <w:rPr>
      <w:lang w:val="en-US" w:eastAsia="zh-CN" w:bidi="ar-SA"/>
    </w:rPr>
    <w:tblPr/>
  </w:style>
  <w:style w:type="table" w:styleId="1035">
    <w:name w:val="List Table 5 Dark - Accent 6"/>
    <w:next w:val="1035"/>
    <w:link w:val="882"/>
    <w:uiPriority w:val="99"/>
    <w:qFormat/>
    <w:rPr>
      <w:lang w:val="en-US" w:eastAsia="zh-CN" w:bidi="ar-SA"/>
    </w:rPr>
    <w:tblPr/>
  </w:style>
  <w:style w:type="table" w:styleId="1036">
    <w:name w:val="清单表 6 彩色1"/>
    <w:next w:val="1036"/>
    <w:link w:val="882"/>
    <w:uiPriority w:val="99"/>
    <w:qFormat/>
    <w:rPr>
      <w:lang w:val="en-US" w:eastAsia="zh-CN" w:bidi="ar-SA"/>
    </w:rPr>
    <w:tblPr/>
  </w:style>
  <w:style w:type="table" w:styleId="1037">
    <w:name w:val="List Table 6 Colorful - Accent 1"/>
    <w:next w:val="1037"/>
    <w:link w:val="882"/>
    <w:uiPriority w:val="99"/>
    <w:qFormat/>
    <w:rPr>
      <w:lang w:val="en-US" w:eastAsia="zh-CN" w:bidi="ar-SA"/>
    </w:rPr>
    <w:tblPr/>
  </w:style>
  <w:style w:type="table" w:styleId="1038">
    <w:name w:val="List Table 6 Colorful - Accent 2"/>
    <w:next w:val="1038"/>
    <w:link w:val="882"/>
    <w:uiPriority w:val="99"/>
    <w:qFormat/>
    <w:rPr>
      <w:lang w:val="en-US" w:eastAsia="zh-CN" w:bidi="ar-SA"/>
    </w:rPr>
    <w:tblPr/>
  </w:style>
  <w:style w:type="table" w:styleId="1039">
    <w:name w:val="List Table 6 Colorful - Accent 3"/>
    <w:next w:val="1039"/>
    <w:link w:val="882"/>
    <w:uiPriority w:val="99"/>
    <w:qFormat/>
    <w:rPr>
      <w:lang w:val="en-US" w:eastAsia="zh-CN" w:bidi="ar-SA"/>
    </w:rPr>
    <w:tblPr/>
  </w:style>
  <w:style w:type="table" w:styleId="1040">
    <w:name w:val="List Table 6 Colorful - Accent 4"/>
    <w:next w:val="1040"/>
    <w:link w:val="882"/>
    <w:uiPriority w:val="99"/>
    <w:qFormat/>
    <w:rPr>
      <w:lang w:val="en-US" w:eastAsia="zh-CN" w:bidi="ar-SA"/>
    </w:rPr>
    <w:tblPr/>
  </w:style>
  <w:style w:type="table" w:styleId="1041">
    <w:name w:val="List Table 6 Colorful - Accent 5"/>
    <w:next w:val="1041"/>
    <w:link w:val="882"/>
    <w:uiPriority w:val="99"/>
    <w:qFormat/>
    <w:rPr>
      <w:lang w:val="en-US" w:eastAsia="zh-CN" w:bidi="ar-SA"/>
    </w:rPr>
    <w:tblPr/>
  </w:style>
  <w:style w:type="table" w:styleId="1042">
    <w:name w:val="List Table 6 Colorful - Accent 6"/>
    <w:next w:val="1042"/>
    <w:link w:val="882"/>
    <w:uiPriority w:val="99"/>
    <w:qFormat/>
    <w:rPr>
      <w:lang w:val="en-US" w:eastAsia="zh-CN" w:bidi="ar-SA"/>
    </w:rPr>
    <w:tblPr/>
  </w:style>
  <w:style w:type="table" w:styleId="1043">
    <w:name w:val="清单表 7 彩色1"/>
    <w:next w:val="1043"/>
    <w:link w:val="882"/>
    <w:uiPriority w:val="99"/>
    <w:qFormat/>
    <w:rPr>
      <w:lang w:val="en-US" w:eastAsia="zh-CN" w:bidi="ar-SA"/>
    </w:rPr>
    <w:tblPr/>
  </w:style>
  <w:style w:type="table" w:styleId="1044">
    <w:name w:val="List Table 7 Colorful - Accent 1"/>
    <w:next w:val="1044"/>
    <w:link w:val="882"/>
    <w:uiPriority w:val="99"/>
    <w:qFormat/>
    <w:rPr>
      <w:lang w:val="en-US" w:eastAsia="zh-CN" w:bidi="ar-SA"/>
    </w:rPr>
    <w:tblPr/>
  </w:style>
  <w:style w:type="table" w:styleId="1045">
    <w:name w:val="List Table 7 Colorful - Accent 2"/>
    <w:next w:val="1045"/>
    <w:link w:val="882"/>
    <w:uiPriority w:val="99"/>
    <w:qFormat/>
    <w:rPr>
      <w:lang w:val="en-US" w:eastAsia="zh-CN" w:bidi="ar-SA"/>
    </w:rPr>
    <w:tblPr/>
  </w:style>
  <w:style w:type="table" w:styleId="1046">
    <w:name w:val="List Table 7 Colorful - Accent 3"/>
    <w:next w:val="1046"/>
    <w:link w:val="882"/>
    <w:uiPriority w:val="99"/>
    <w:qFormat/>
    <w:rPr>
      <w:lang w:val="en-US" w:eastAsia="zh-CN" w:bidi="ar-SA"/>
    </w:rPr>
    <w:tblPr/>
  </w:style>
  <w:style w:type="table" w:styleId="1047">
    <w:name w:val="List Table 7 Colorful - Accent 4"/>
    <w:next w:val="1047"/>
    <w:link w:val="882"/>
    <w:uiPriority w:val="99"/>
    <w:qFormat/>
    <w:rPr>
      <w:lang w:val="en-US" w:eastAsia="zh-CN" w:bidi="ar-SA"/>
    </w:rPr>
    <w:tblPr/>
  </w:style>
  <w:style w:type="table" w:styleId="1048">
    <w:name w:val="List Table 7 Colorful - Accent 5"/>
    <w:next w:val="1048"/>
    <w:link w:val="882"/>
    <w:uiPriority w:val="99"/>
    <w:qFormat/>
    <w:rPr>
      <w:lang w:val="en-US" w:eastAsia="zh-CN" w:bidi="ar-SA"/>
    </w:rPr>
    <w:tblPr/>
  </w:style>
  <w:style w:type="table" w:styleId="1049">
    <w:name w:val="List Table 7 Colorful - Accent 6"/>
    <w:next w:val="1049"/>
    <w:link w:val="882"/>
    <w:uiPriority w:val="99"/>
    <w:qFormat/>
    <w:rPr>
      <w:lang w:val="en-US" w:eastAsia="zh-CN" w:bidi="ar-SA"/>
    </w:rPr>
    <w:tblPr/>
  </w:style>
  <w:style w:type="table" w:styleId="1050">
    <w:name w:val="Lined - Accent"/>
    <w:next w:val="1050"/>
    <w:link w:val="882"/>
    <w:uiPriority w:val="99"/>
    <w:qFormat/>
    <w:rPr>
      <w:color w:val="404040"/>
      <w:lang w:val="en-US" w:eastAsia="zh-CN" w:bidi="ar-SA"/>
    </w:rPr>
    <w:tblPr/>
  </w:style>
  <w:style w:type="table" w:styleId="1051">
    <w:name w:val="Lined - Accent 1"/>
    <w:next w:val="1051"/>
    <w:link w:val="882"/>
    <w:uiPriority w:val="99"/>
    <w:qFormat/>
    <w:rPr>
      <w:color w:val="404040"/>
      <w:lang w:val="en-US" w:eastAsia="zh-CN" w:bidi="ar-SA"/>
    </w:rPr>
    <w:tblPr/>
  </w:style>
  <w:style w:type="table" w:styleId="1052">
    <w:name w:val="Lined - Accent 2"/>
    <w:next w:val="1052"/>
    <w:link w:val="882"/>
    <w:uiPriority w:val="99"/>
    <w:qFormat/>
    <w:rPr>
      <w:color w:val="404040"/>
      <w:lang w:val="en-US" w:eastAsia="zh-CN" w:bidi="ar-SA"/>
    </w:rPr>
    <w:tblPr/>
  </w:style>
  <w:style w:type="table" w:styleId="1053">
    <w:name w:val="Lined - Accent 3"/>
    <w:next w:val="1053"/>
    <w:link w:val="882"/>
    <w:uiPriority w:val="99"/>
    <w:qFormat/>
    <w:rPr>
      <w:color w:val="404040"/>
      <w:lang w:val="en-US" w:eastAsia="zh-CN" w:bidi="ar-SA"/>
    </w:rPr>
    <w:tblPr/>
  </w:style>
  <w:style w:type="table" w:styleId="1054">
    <w:name w:val="Lined - Accent 4"/>
    <w:next w:val="1054"/>
    <w:link w:val="882"/>
    <w:uiPriority w:val="99"/>
    <w:qFormat/>
    <w:rPr>
      <w:color w:val="404040"/>
      <w:lang w:val="en-US" w:eastAsia="zh-CN" w:bidi="ar-SA"/>
    </w:rPr>
    <w:tblPr/>
  </w:style>
  <w:style w:type="table" w:styleId="1055">
    <w:name w:val="Lined - Accent 5"/>
    <w:next w:val="1055"/>
    <w:link w:val="882"/>
    <w:uiPriority w:val="99"/>
    <w:qFormat/>
    <w:rPr>
      <w:color w:val="404040"/>
      <w:lang w:val="en-US" w:eastAsia="zh-CN" w:bidi="ar-SA"/>
    </w:rPr>
    <w:tblPr/>
  </w:style>
  <w:style w:type="table" w:styleId="1056">
    <w:name w:val="Lined - Accent 6"/>
    <w:next w:val="1056"/>
    <w:link w:val="882"/>
    <w:uiPriority w:val="99"/>
    <w:qFormat/>
    <w:rPr>
      <w:color w:val="404040"/>
      <w:lang w:val="en-US" w:eastAsia="zh-CN" w:bidi="ar-SA"/>
    </w:rPr>
    <w:tblPr/>
  </w:style>
  <w:style w:type="table" w:styleId="1057">
    <w:name w:val="Bordered &amp; Lined - Accent"/>
    <w:next w:val="1057"/>
    <w:link w:val="882"/>
    <w:uiPriority w:val="99"/>
    <w:qFormat/>
    <w:rPr>
      <w:color w:val="404040"/>
      <w:lang w:val="en-US" w:eastAsia="zh-CN" w:bidi="ar-SA"/>
    </w:rPr>
    <w:tblPr/>
  </w:style>
  <w:style w:type="table" w:styleId="1058">
    <w:name w:val="Bordered &amp; Lined - Accent 1"/>
    <w:next w:val="1058"/>
    <w:link w:val="882"/>
    <w:uiPriority w:val="99"/>
    <w:qFormat/>
    <w:rPr>
      <w:color w:val="404040"/>
      <w:lang w:val="en-US" w:eastAsia="zh-CN" w:bidi="ar-SA"/>
    </w:rPr>
    <w:tblPr/>
  </w:style>
  <w:style w:type="table" w:styleId="1059">
    <w:name w:val="Bordered &amp; Lined - Accent 2"/>
    <w:next w:val="1059"/>
    <w:link w:val="882"/>
    <w:uiPriority w:val="99"/>
    <w:qFormat/>
    <w:rPr>
      <w:color w:val="404040"/>
      <w:lang w:val="en-US" w:eastAsia="zh-CN" w:bidi="ar-SA"/>
    </w:rPr>
    <w:tblPr/>
  </w:style>
  <w:style w:type="table" w:styleId="1060">
    <w:name w:val="Bordered &amp; Lined - Accent 3"/>
    <w:next w:val="1060"/>
    <w:link w:val="882"/>
    <w:uiPriority w:val="99"/>
    <w:qFormat/>
    <w:rPr>
      <w:color w:val="404040"/>
      <w:lang w:val="en-US" w:eastAsia="zh-CN" w:bidi="ar-SA"/>
    </w:rPr>
    <w:tblPr/>
  </w:style>
  <w:style w:type="table" w:styleId="1061">
    <w:name w:val="Bordered &amp; Lined - Accent 4"/>
    <w:next w:val="1061"/>
    <w:link w:val="882"/>
    <w:uiPriority w:val="99"/>
    <w:qFormat/>
    <w:rPr>
      <w:color w:val="404040"/>
      <w:lang w:val="en-US" w:eastAsia="zh-CN" w:bidi="ar-SA"/>
    </w:rPr>
    <w:tblPr/>
  </w:style>
  <w:style w:type="table" w:styleId="1062">
    <w:name w:val="Bordered &amp; Lined - Accent 5"/>
    <w:next w:val="1062"/>
    <w:link w:val="882"/>
    <w:uiPriority w:val="99"/>
    <w:qFormat/>
    <w:rPr>
      <w:color w:val="404040"/>
      <w:lang w:val="en-US" w:eastAsia="zh-CN" w:bidi="ar-SA"/>
    </w:rPr>
    <w:tblPr/>
  </w:style>
  <w:style w:type="table" w:styleId="1063">
    <w:name w:val="Bordered &amp; Lined - Accent 6"/>
    <w:next w:val="1063"/>
    <w:link w:val="882"/>
    <w:uiPriority w:val="99"/>
    <w:qFormat/>
    <w:rPr>
      <w:color w:val="404040"/>
      <w:lang w:val="en-US" w:eastAsia="zh-CN" w:bidi="ar-SA"/>
    </w:rPr>
    <w:tblPr/>
  </w:style>
  <w:style w:type="table" w:styleId="1064">
    <w:name w:val="Bordered"/>
    <w:next w:val="1064"/>
    <w:link w:val="882"/>
    <w:uiPriority w:val="99"/>
    <w:qFormat/>
    <w:rPr>
      <w:lang w:val="en-US" w:eastAsia="zh-CN" w:bidi="ar-SA"/>
    </w:rPr>
    <w:tblPr/>
  </w:style>
  <w:style w:type="table" w:styleId="1065">
    <w:name w:val="Bordered - Accent 1"/>
    <w:next w:val="1065"/>
    <w:link w:val="882"/>
    <w:uiPriority w:val="99"/>
    <w:qFormat/>
    <w:rPr>
      <w:lang w:val="en-US" w:eastAsia="zh-CN" w:bidi="ar-SA"/>
    </w:rPr>
    <w:tblPr/>
  </w:style>
  <w:style w:type="table" w:styleId="1066">
    <w:name w:val="Bordered - Accent 2"/>
    <w:next w:val="1066"/>
    <w:link w:val="882"/>
    <w:uiPriority w:val="99"/>
    <w:qFormat/>
    <w:rPr>
      <w:lang w:val="en-US" w:eastAsia="zh-CN" w:bidi="ar-SA"/>
    </w:rPr>
    <w:tblPr/>
  </w:style>
  <w:style w:type="table" w:styleId="1067">
    <w:name w:val="Bordered - Accent 3"/>
    <w:next w:val="1067"/>
    <w:link w:val="882"/>
    <w:uiPriority w:val="99"/>
    <w:qFormat/>
    <w:rPr>
      <w:lang w:val="en-US" w:eastAsia="zh-CN" w:bidi="ar-SA"/>
    </w:rPr>
    <w:tblPr/>
  </w:style>
  <w:style w:type="table" w:styleId="1068">
    <w:name w:val="Bordered - Accent 4"/>
    <w:next w:val="1068"/>
    <w:link w:val="882"/>
    <w:uiPriority w:val="99"/>
    <w:qFormat/>
    <w:rPr>
      <w:lang w:val="en-US" w:eastAsia="zh-CN" w:bidi="ar-SA"/>
    </w:rPr>
    <w:tblPr/>
  </w:style>
  <w:style w:type="table" w:styleId="1069">
    <w:name w:val="Bordered - Accent 5"/>
    <w:next w:val="1069"/>
    <w:link w:val="882"/>
    <w:uiPriority w:val="99"/>
    <w:qFormat/>
    <w:rPr>
      <w:lang w:val="en-US" w:eastAsia="zh-CN" w:bidi="ar-SA"/>
    </w:rPr>
    <w:tblPr/>
  </w:style>
  <w:style w:type="table" w:styleId="1070">
    <w:name w:val="Bordered - Accent 6"/>
    <w:next w:val="1070"/>
    <w:link w:val="882"/>
    <w:uiPriority w:val="99"/>
    <w:qFormat/>
    <w:rPr>
      <w:lang w:val="en-US" w:eastAsia="zh-CN" w:bidi="ar-SA"/>
    </w:rPr>
    <w:tblPr/>
  </w:style>
  <w:style w:type="paragraph" w:styleId="1071">
    <w:name w:val="TOC 标题1"/>
    <w:next w:val="1071"/>
    <w:link w:val="882"/>
    <w:uiPriority w:val="39"/>
    <w:unhideWhenUsed/>
    <w:qFormat/>
    <w:rPr>
      <w:lang w:val="en-US" w:eastAsia="zh-CN" w:bidi="ar-SA"/>
    </w:rPr>
  </w:style>
  <w:style w:type="paragraph" w:styleId="1072">
    <w:name w:val="标题 11"/>
    <w:basedOn w:val="882"/>
    <w:next w:val="882"/>
    <w:link w:val="1073"/>
    <w:qFormat/>
    <w:pPr>
      <w:jc w:val="center"/>
      <w:keepLines/>
      <w:keepNext/>
      <w:spacing w:before="240" w:after="120" w:line="300" w:lineRule="auto"/>
      <w:outlineLvl w:val="0"/>
    </w:pPr>
    <w:rPr>
      <w:rFonts w:ascii="宋体"/>
      <w:b/>
      <w:sz w:val="32"/>
      <w:szCs w:val="20"/>
    </w:rPr>
  </w:style>
  <w:style w:type="character" w:styleId="1073">
    <w:name w:val="标题 1 Char"/>
    <w:next w:val="1073"/>
    <w:link w:val="1072"/>
    <w:qFormat/>
    <w:rPr>
      <w:rFonts w:ascii="宋体"/>
      <w:b/>
      <w:sz w:val="32"/>
    </w:rPr>
  </w:style>
  <w:style w:type="paragraph" w:styleId="1074">
    <w:name w:val="标题 21"/>
    <w:basedOn w:val="882"/>
    <w:next w:val="1076"/>
    <w:link w:val="1075"/>
    <w:qFormat/>
    <w:pPr>
      <w:jc w:val="center"/>
      <w:keepLines/>
      <w:keepNext/>
      <w:spacing w:before="120" w:line="300" w:lineRule="auto"/>
      <w:outlineLvl w:val="1"/>
    </w:pPr>
    <w:rPr>
      <w:rFonts w:ascii="Arial" w:hAnsi="Arial" w:eastAsia="黑体"/>
      <w:b/>
      <w:sz w:val="30"/>
      <w:szCs w:val="20"/>
    </w:rPr>
  </w:style>
  <w:style w:type="character" w:styleId="1075">
    <w:name w:val="标题 2 Char1"/>
    <w:next w:val="1075"/>
    <w:link w:val="1074"/>
    <w:qFormat/>
    <w:rPr>
      <w:rFonts w:ascii="Arial" w:hAnsi="Arial" w:eastAsia="黑体"/>
      <w:b/>
      <w:sz w:val="30"/>
      <w:lang w:val="en-US" w:eastAsia="zh-CN" w:bidi="ar-SA"/>
    </w:rPr>
  </w:style>
  <w:style w:type="paragraph" w:styleId="1076">
    <w:name w:val="正文缩进11"/>
    <w:basedOn w:val="882"/>
    <w:next w:val="882"/>
    <w:link w:val="1077"/>
    <w:qFormat/>
    <w:pPr>
      <w:ind w:firstLine="420"/>
      <w:jc w:val="left"/>
    </w:pPr>
    <w:rPr>
      <w:rFonts w:ascii="宋体"/>
      <w:sz w:val="24"/>
    </w:rPr>
  </w:style>
  <w:style w:type="character" w:styleId="1077">
    <w:name w:val="正文缩进 Char1"/>
    <w:next w:val="1077"/>
    <w:link w:val="1076"/>
    <w:qFormat/>
    <w:rPr>
      <w:rFonts w:ascii="宋体" w:eastAsia="宋体"/>
      <w:sz w:val="24"/>
      <w:szCs w:val="24"/>
      <w:lang w:val="en-US" w:eastAsia="zh-CN" w:bidi="ar-SA"/>
    </w:rPr>
  </w:style>
  <w:style w:type="paragraph" w:styleId="1078">
    <w:name w:val="标题 31"/>
    <w:basedOn w:val="882"/>
    <w:next w:val="882"/>
    <w:link w:val="1079"/>
    <w:qFormat/>
    <w:pPr>
      <w:jc w:val="left"/>
      <w:keepLines/>
      <w:keepNext/>
      <w:spacing w:before="360" w:after="120"/>
      <w:outlineLvl w:val="2"/>
    </w:pPr>
    <w:rPr>
      <w:rFonts w:ascii="宋体"/>
      <w:b/>
      <w:sz w:val="24"/>
      <w:szCs w:val="20"/>
      <w:u w:val="single"/>
    </w:rPr>
  </w:style>
  <w:style w:type="character" w:styleId="1079">
    <w:name w:val="标题 3 Char1"/>
    <w:next w:val="1079"/>
    <w:link w:val="1078"/>
    <w:qFormat/>
    <w:rPr>
      <w:rFonts w:ascii="宋体" w:eastAsia="宋体"/>
      <w:b/>
      <w:sz w:val="24"/>
      <w:u w:val="single"/>
      <w:lang w:val="en-US" w:eastAsia="zh-CN" w:bidi="ar-SA"/>
    </w:rPr>
  </w:style>
  <w:style w:type="paragraph" w:styleId="1080">
    <w:name w:val="标题 41"/>
    <w:basedOn w:val="882"/>
    <w:next w:val="1076"/>
    <w:link w:val="1081"/>
    <w:qFormat/>
    <w:pPr>
      <w:keepLines/>
      <w:keepNext/>
      <w:spacing w:before="280" w:after="290" w:line="376" w:lineRule="atLeast"/>
      <w:outlineLvl w:val="3"/>
    </w:pPr>
    <w:rPr>
      <w:rFonts w:ascii="Arial" w:hAnsi="Arial" w:eastAsia="黑体"/>
      <w:b/>
      <w:sz w:val="28"/>
      <w:szCs w:val="20"/>
    </w:rPr>
  </w:style>
  <w:style w:type="character" w:styleId="1081">
    <w:name w:val="标题 4 Char"/>
    <w:next w:val="1081"/>
    <w:link w:val="1080"/>
    <w:qFormat/>
    <w:rPr>
      <w:rFonts w:ascii="Arial" w:hAnsi="Arial" w:eastAsia="黑体"/>
      <w:b/>
      <w:sz w:val="28"/>
    </w:rPr>
  </w:style>
  <w:style w:type="paragraph" w:styleId="1082">
    <w:name w:val="标题 51"/>
    <w:basedOn w:val="882"/>
    <w:next w:val="882"/>
    <w:link w:val="1083"/>
    <w:qFormat/>
    <w:pPr>
      <w:keepLines/>
      <w:keepNext/>
      <w:spacing w:before="280" w:after="290" w:line="376" w:lineRule="atLeast"/>
      <w:outlineLvl w:val="4"/>
    </w:pPr>
    <w:rPr>
      <w:b/>
      <w:sz w:val="28"/>
      <w:szCs w:val="20"/>
    </w:rPr>
  </w:style>
  <w:style w:type="character" w:styleId="1083">
    <w:name w:val="标题 5 Char"/>
    <w:next w:val="1083"/>
    <w:link w:val="1082"/>
    <w:qFormat/>
    <w:rPr>
      <w:b/>
      <w:sz w:val="28"/>
    </w:rPr>
  </w:style>
  <w:style w:type="paragraph" w:styleId="1084">
    <w:name w:val="标题 61"/>
    <w:basedOn w:val="882"/>
    <w:next w:val="882"/>
    <w:link w:val="1085"/>
    <w:qFormat/>
    <w:pPr>
      <w:keepLines/>
      <w:keepNext/>
      <w:spacing w:before="240" w:after="64" w:line="320" w:lineRule="atLeast"/>
      <w:outlineLvl w:val="5"/>
    </w:pPr>
    <w:rPr>
      <w:rFonts w:ascii="Arial" w:hAnsi="Arial" w:eastAsia="黑体"/>
      <w:b/>
      <w:sz w:val="24"/>
      <w:szCs w:val="20"/>
    </w:rPr>
  </w:style>
  <w:style w:type="character" w:styleId="1085">
    <w:name w:val="标题 6 Char"/>
    <w:next w:val="1085"/>
    <w:link w:val="1084"/>
    <w:qFormat/>
    <w:rPr>
      <w:rFonts w:ascii="Arial" w:hAnsi="Arial" w:eastAsia="黑体"/>
      <w:b/>
      <w:sz w:val="24"/>
    </w:rPr>
  </w:style>
  <w:style w:type="paragraph" w:styleId="1086">
    <w:name w:val="标题 71"/>
    <w:basedOn w:val="882"/>
    <w:next w:val="882"/>
    <w:link w:val="1087"/>
    <w:qFormat/>
    <w:pPr>
      <w:keepLines/>
      <w:keepNext/>
      <w:spacing w:before="240" w:after="64" w:line="320" w:lineRule="atLeast"/>
      <w:outlineLvl w:val="6"/>
    </w:pPr>
    <w:rPr>
      <w:b/>
      <w:sz w:val="24"/>
      <w:szCs w:val="20"/>
    </w:rPr>
  </w:style>
  <w:style w:type="character" w:styleId="1087">
    <w:name w:val="标题 7 Char"/>
    <w:next w:val="1087"/>
    <w:link w:val="1086"/>
    <w:qFormat/>
    <w:rPr>
      <w:b/>
      <w:sz w:val="24"/>
    </w:rPr>
  </w:style>
  <w:style w:type="paragraph" w:styleId="1088">
    <w:name w:val="标题 81"/>
    <w:basedOn w:val="882"/>
    <w:next w:val="882"/>
    <w:link w:val="1089"/>
    <w:qFormat/>
    <w:pPr>
      <w:keepLines/>
      <w:keepNext/>
      <w:spacing w:before="240" w:after="64" w:line="320" w:lineRule="atLeast"/>
      <w:outlineLvl w:val="7"/>
    </w:pPr>
    <w:rPr>
      <w:rFonts w:ascii="Arial" w:hAnsi="Arial" w:eastAsia="黑体"/>
      <w:sz w:val="24"/>
      <w:szCs w:val="20"/>
    </w:rPr>
  </w:style>
  <w:style w:type="character" w:styleId="1089">
    <w:name w:val="标题 8 Char"/>
    <w:next w:val="1089"/>
    <w:link w:val="1088"/>
    <w:qFormat/>
    <w:rPr>
      <w:rFonts w:ascii="Arial" w:hAnsi="Arial" w:eastAsia="黑体"/>
      <w:sz w:val="24"/>
    </w:rPr>
  </w:style>
  <w:style w:type="paragraph" w:styleId="1090">
    <w:name w:val="标题 91"/>
    <w:basedOn w:val="882"/>
    <w:next w:val="882"/>
    <w:link w:val="1091"/>
    <w:qFormat/>
    <w:pPr>
      <w:keepLines/>
      <w:keepNext/>
      <w:spacing w:before="240" w:after="64" w:line="320" w:lineRule="atLeast"/>
      <w:outlineLvl w:val="8"/>
    </w:pPr>
    <w:rPr>
      <w:rFonts w:ascii="Arial" w:hAnsi="Arial" w:eastAsia="黑体"/>
      <w:szCs w:val="20"/>
    </w:rPr>
  </w:style>
  <w:style w:type="character" w:styleId="1091">
    <w:name w:val="标题 9 Char"/>
    <w:next w:val="1091"/>
    <w:link w:val="1090"/>
    <w:qFormat/>
    <w:rPr>
      <w:rFonts w:ascii="Arial" w:hAnsi="Arial" w:eastAsia="黑体"/>
      <w:sz w:val="21"/>
    </w:rPr>
  </w:style>
  <w:style w:type="character" w:styleId="1092">
    <w:name w:val="默认段落字体1"/>
    <w:next w:val="1092"/>
    <w:link w:val="882"/>
    <w:uiPriority w:val="1"/>
    <w:unhideWhenUsed/>
    <w:qFormat/>
  </w:style>
  <w:style w:type="table" w:styleId="1093">
    <w:name w:val="普通表格1"/>
    <w:next w:val="1093"/>
    <w:link w:val="882"/>
    <w:uiPriority w:val="99"/>
    <w:unhideWhenUsed/>
    <w:qFormat/>
    <w:rPr>
      <w:lang w:val="en-US" w:eastAsia="zh-CN" w:bidi="ar-SA"/>
    </w:rPr>
    <w:tblPr/>
  </w:style>
  <w:style w:type="paragraph" w:styleId="1094">
    <w:name w:val="目录 71"/>
    <w:basedOn w:val="882"/>
    <w:next w:val="882"/>
    <w:link w:val="882"/>
    <w:qFormat/>
    <w:pPr>
      <w:ind w:left="2520"/>
    </w:pPr>
  </w:style>
  <w:style w:type="paragraph" w:styleId="1095">
    <w:name w:val="题注1"/>
    <w:basedOn w:val="882"/>
    <w:next w:val="882"/>
    <w:link w:val="882"/>
    <w:qFormat/>
    <w:pPr>
      <w:spacing w:line="480" w:lineRule="auto"/>
    </w:pPr>
    <w:rPr>
      <w:rFonts w:ascii="华文中宋" w:hAnsi="华文中宋" w:eastAsia="华文中宋"/>
      <w:sz w:val="36"/>
      <w:szCs w:val="20"/>
    </w:rPr>
  </w:style>
  <w:style w:type="paragraph" w:styleId="1096">
    <w:name w:val="文档结构图1"/>
    <w:basedOn w:val="882"/>
    <w:next w:val="1096"/>
    <w:link w:val="1097"/>
    <w:qFormat/>
    <w:pPr>
      <w:shd w:val="clear" w:color="auto" w:fill="000080"/>
    </w:pPr>
  </w:style>
  <w:style w:type="character" w:styleId="1097">
    <w:name w:val="文档结构图 Char"/>
    <w:next w:val="1097"/>
    <w:link w:val="1096"/>
    <w:qFormat/>
    <w:rPr>
      <w:sz w:val="21"/>
      <w:szCs w:val="24"/>
      <w:shd w:val="clear" w:color="auto" w:fill="000080"/>
    </w:rPr>
  </w:style>
  <w:style w:type="paragraph" w:styleId="1098">
    <w:name w:val="批注文字1"/>
    <w:basedOn w:val="882"/>
    <w:next w:val="1098"/>
    <w:link w:val="1099"/>
    <w:uiPriority w:val="99"/>
    <w:qFormat/>
    <w:pPr>
      <w:jc w:val="left"/>
    </w:pPr>
  </w:style>
  <w:style w:type="character" w:styleId="1099">
    <w:name w:val="批注文字 Char1"/>
    <w:next w:val="1099"/>
    <w:link w:val="1098"/>
    <w:uiPriority w:val="99"/>
    <w:qFormat/>
    <w:rPr>
      <w:sz w:val="21"/>
      <w:szCs w:val="24"/>
    </w:rPr>
  </w:style>
  <w:style w:type="paragraph" w:styleId="1100">
    <w:name w:val="正文文本 31"/>
    <w:basedOn w:val="882"/>
    <w:next w:val="1100"/>
    <w:link w:val="1101"/>
    <w:qFormat/>
    <w:pPr>
      <w:spacing w:after="120"/>
    </w:pPr>
    <w:rPr>
      <w:sz w:val="16"/>
      <w:szCs w:val="16"/>
    </w:rPr>
  </w:style>
  <w:style w:type="character" w:styleId="1101">
    <w:name w:val="正文文本 3 Char"/>
    <w:next w:val="1101"/>
    <w:link w:val="1100"/>
    <w:qFormat/>
    <w:rPr>
      <w:sz w:val="16"/>
      <w:szCs w:val="16"/>
    </w:rPr>
  </w:style>
  <w:style w:type="paragraph" w:styleId="1102">
    <w:name w:val="正文文本1"/>
    <w:basedOn w:val="882"/>
    <w:next w:val="882"/>
    <w:link w:val="1103"/>
    <w:qFormat/>
    <w:pPr>
      <w:spacing w:before="120" w:line="22" w:lineRule="atLeast"/>
      <w:tabs>
        <w:tab w:val="left" w:pos="567" w:leader="none"/>
      </w:tabs>
    </w:pPr>
    <w:rPr>
      <w:rFonts w:ascii="宋体" w:hAnsi="宋体"/>
      <w:sz w:val="24"/>
    </w:rPr>
  </w:style>
  <w:style w:type="character" w:styleId="1103">
    <w:name w:val="正文文本 Char"/>
    <w:next w:val="1103"/>
    <w:link w:val="1102"/>
    <w:qFormat/>
    <w:rPr>
      <w:rFonts w:ascii="宋体" w:hAnsi="宋体"/>
      <w:sz w:val="24"/>
      <w:szCs w:val="24"/>
    </w:rPr>
  </w:style>
  <w:style w:type="paragraph" w:styleId="1104">
    <w:name w:val="正文文本缩进11"/>
    <w:basedOn w:val="882"/>
    <w:next w:val="882"/>
    <w:link w:val="1105"/>
    <w:qFormat/>
    <w:pPr>
      <w:ind w:firstLine="570"/>
      <w:spacing w:line="360" w:lineRule="auto"/>
    </w:pPr>
    <w:rPr>
      <w:sz w:val="24"/>
    </w:rPr>
  </w:style>
  <w:style w:type="character" w:styleId="1105">
    <w:name w:val="正文文本缩进 Char2"/>
    <w:next w:val="1105"/>
    <w:link w:val="1104"/>
    <w:qFormat/>
    <w:rPr>
      <w:rFonts w:eastAsia="宋体"/>
      <w:sz w:val="24"/>
      <w:szCs w:val="24"/>
      <w:lang w:val="en-US" w:eastAsia="zh-CN" w:bidi="ar-SA"/>
    </w:rPr>
  </w:style>
  <w:style w:type="paragraph" w:styleId="1106">
    <w:name w:val="列表 21"/>
    <w:basedOn w:val="882"/>
    <w:next w:val="1106"/>
    <w:link w:val="882"/>
    <w:qFormat/>
    <w:pPr>
      <w:ind w:left="100" w:hanging="200"/>
    </w:pPr>
  </w:style>
  <w:style w:type="paragraph" w:styleId="1107">
    <w:name w:val="文本块1"/>
    <w:basedOn w:val="882"/>
    <w:next w:val="1107"/>
    <w:link w:val="882"/>
    <w:qFormat/>
    <w:pPr>
      <w:ind w:left="480" w:right="-341" w:firstLine="513"/>
      <w:widowControl/>
    </w:pPr>
    <w:rPr>
      <w:sz w:val="24"/>
      <w:szCs w:val="20"/>
    </w:rPr>
  </w:style>
  <w:style w:type="paragraph" w:styleId="1108">
    <w:name w:val="目录 51"/>
    <w:basedOn w:val="882"/>
    <w:next w:val="882"/>
    <w:link w:val="882"/>
    <w:qFormat/>
    <w:pPr>
      <w:ind w:left="1680"/>
    </w:pPr>
  </w:style>
  <w:style w:type="paragraph" w:styleId="1109">
    <w:name w:val="目录 31"/>
    <w:basedOn w:val="882"/>
    <w:next w:val="882"/>
    <w:link w:val="882"/>
    <w:uiPriority w:val="39"/>
    <w:qFormat/>
    <w:pPr>
      <w:ind w:left="840"/>
    </w:pPr>
  </w:style>
  <w:style w:type="paragraph" w:styleId="1110">
    <w:name w:val="纯文本11"/>
    <w:basedOn w:val="882"/>
    <w:next w:val="1076"/>
    <w:link w:val="1111"/>
    <w:qFormat/>
    <w:rPr>
      <w:rFonts w:hint="eastAsia" w:ascii="宋体" w:hAnsi="Courier New"/>
      <w:szCs w:val="20"/>
    </w:rPr>
  </w:style>
  <w:style w:type="character" w:styleId="1111">
    <w:name w:val="纯文本 Char"/>
    <w:next w:val="1111"/>
    <w:link w:val="1110"/>
    <w:qFormat/>
    <w:rPr>
      <w:rFonts w:hint="eastAsia" w:ascii="宋体" w:hAnsi="Courier New" w:eastAsia="宋体" w:cs="宋体"/>
      <w:sz w:val="21"/>
    </w:rPr>
  </w:style>
  <w:style w:type="paragraph" w:styleId="1112">
    <w:name w:val="目录 81"/>
    <w:basedOn w:val="882"/>
    <w:next w:val="882"/>
    <w:link w:val="882"/>
    <w:qFormat/>
    <w:pPr>
      <w:ind w:left="2940"/>
    </w:pPr>
  </w:style>
  <w:style w:type="paragraph" w:styleId="1113">
    <w:name w:val="日期1"/>
    <w:basedOn w:val="882"/>
    <w:next w:val="882"/>
    <w:link w:val="1114"/>
    <w:qFormat/>
    <w:pPr>
      <w:ind w:left="100"/>
    </w:pPr>
    <w:rPr>
      <w:rFonts w:ascii="仿宋_GB2312" w:hAnsi="宋体" w:eastAsia="仿宋_GB2312"/>
      <w:color w:val="000000"/>
      <w:sz w:val="24"/>
    </w:rPr>
  </w:style>
  <w:style w:type="character" w:styleId="1114">
    <w:name w:val="日期 Char"/>
    <w:next w:val="1114"/>
    <w:link w:val="1113"/>
    <w:qFormat/>
    <w:rPr>
      <w:rFonts w:ascii="仿宋_GB2312" w:hAnsi="宋体" w:eastAsia="仿宋_GB2312"/>
      <w:color w:val="000000"/>
      <w:sz w:val="24"/>
      <w:szCs w:val="24"/>
    </w:rPr>
  </w:style>
  <w:style w:type="paragraph" w:styleId="1115">
    <w:name w:val="正文文本缩进 21"/>
    <w:basedOn w:val="882"/>
    <w:next w:val="1115"/>
    <w:link w:val="1116"/>
    <w:qFormat/>
    <w:pPr>
      <w:ind w:firstLine="480"/>
    </w:pPr>
    <w:rPr>
      <w:rFonts w:ascii="仿宋_GB2312" w:eastAsia="仿宋_GB2312"/>
      <w:sz w:val="24"/>
    </w:rPr>
  </w:style>
  <w:style w:type="character" w:styleId="1116">
    <w:name w:val="正文文本缩进 2 Char"/>
    <w:next w:val="1116"/>
    <w:link w:val="1115"/>
    <w:qFormat/>
    <w:rPr>
      <w:rFonts w:ascii="仿宋_GB2312" w:eastAsia="仿宋_GB2312"/>
      <w:sz w:val="24"/>
      <w:szCs w:val="24"/>
    </w:rPr>
  </w:style>
  <w:style w:type="paragraph" w:styleId="1117">
    <w:name w:val="批注框文本1"/>
    <w:basedOn w:val="882"/>
    <w:next w:val="1117"/>
    <w:link w:val="1118"/>
    <w:qFormat/>
    <w:rPr>
      <w:sz w:val="18"/>
      <w:szCs w:val="18"/>
    </w:rPr>
  </w:style>
  <w:style w:type="character" w:styleId="1118">
    <w:name w:val="批注框文本 Char"/>
    <w:next w:val="1118"/>
    <w:link w:val="1117"/>
    <w:qFormat/>
    <w:rPr>
      <w:sz w:val="18"/>
      <w:szCs w:val="18"/>
    </w:rPr>
  </w:style>
  <w:style w:type="paragraph" w:styleId="1119">
    <w:name w:val="页脚1"/>
    <w:basedOn w:val="882"/>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Char1"/>
    <w:next w:val="1120"/>
    <w:link w:val="1119"/>
    <w:uiPriority w:val="99"/>
    <w:qFormat/>
    <w:rPr>
      <w:rFonts w:ascii="宋体" w:eastAsia="宋体"/>
      <w:sz w:val="18"/>
      <w:lang w:val="en-US" w:eastAsia="zh-CN" w:bidi="ar-SA"/>
    </w:rPr>
  </w:style>
  <w:style w:type="paragraph" w:styleId="1121">
    <w:name w:val="页眉1"/>
    <w:basedOn w:val="882"/>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Char1"/>
    <w:next w:val="1122"/>
    <w:link w:val="1121"/>
    <w:qFormat/>
    <w:rPr>
      <w:rFonts w:eastAsia="宋体"/>
      <w:sz w:val="18"/>
      <w:szCs w:val="18"/>
      <w:lang w:val="en-US" w:eastAsia="zh-CN" w:bidi="ar-SA"/>
    </w:rPr>
  </w:style>
  <w:style w:type="paragraph" w:styleId="1123">
    <w:name w:val="目录 1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1124">
    <w:name w:val="目录 41"/>
    <w:basedOn w:val="882"/>
    <w:next w:val="882"/>
    <w:link w:val="882"/>
    <w:qFormat/>
    <w:pPr>
      <w:ind w:left="1260"/>
    </w:pPr>
  </w:style>
  <w:style w:type="paragraph" w:styleId="1125">
    <w:name w:val="目录 61"/>
    <w:basedOn w:val="882"/>
    <w:next w:val="882"/>
    <w:link w:val="882"/>
    <w:qFormat/>
    <w:pPr>
      <w:ind w:left="2100"/>
    </w:pPr>
  </w:style>
  <w:style w:type="paragraph" w:styleId="1126">
    <w:name w:val="正文文本缩进 31"/>
    <w:basedOn w:val="882"/>
    <w:next w:val="1126"/>
    <w:link w:val="1127"/>
    <w:qFormat/>
    <w:pPr>
      <w:ind w:left="720" w:firstLine="480"/>
      <w:jc w:val="left"/>
      <w:spacing w:before="120" w:line="22" w:lineRule="atLeast"/>
    </w:pPr>
    <w:rPr>
      <w:rFonts w:ascii="宋体"/>
      <w:sz w:val="24"/>
      <w:szCs w:val="20"/>
    </w:rPr>
  </w:style>
  <w:style w:type="character" w:styleId="1127">
    <w:name w:val="正文文本缩进 3 Char"/>
    <w:next w:val="1127"/>
    <w:link w:val="1126"/>
    <w:qFormat/>
    <w:rPr>
      <w:rFonts w:ascii="宋体"/>
      <w:sz w:val="24"/>
    </w:rPr>
  </w:style>
  <w:style w:type="paragraph" w:styleId="1128">
    <w:name w:val="目录 21"/>
    <w:basedOn w:val="882"/>
    <w:next w:val="882"/>
    <w:link w:val="882"/>
    <w:uiPriority w:val="39"/>
    <w:qFormat/>
    <w:pPr>
      <w:ind w:left="420"/>
      <w:spacing w:line="312" w:lineRule="auto"/>
      <w:tabs>
        <w:tab w:val="right" w:pos="8937" w:leader="dot"/>
      </w:tabs>
    </w:pPr>
  </w:style>
  <w:style w:type="paragraph" w:styleId="1129">
    <w:name w:val="目录 91"/>
    <w:basedOn w:val="882"/>
    <w:next w:val="882"/>
    <w:link w:val="882"/>
    <w:qFormat/>
    <w:pPr>
      <w:ind w:left="3360"/>
    </w:pPr>
  </w:style>
  <w:style w:type="paragraph" w:styleId="1130">
    <w:name w:val="HTML 预设格式1"/>
    <w:basedOn w:val="882"/>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1">
    <w:name w:val="HTML 预设格式 Char"/>
    <w:next w:val="1131"/>
    <w:link w:val="1130"/>
    <w:qFormat/>
    <w:rPr>
      <w:rFonts w:ascii="宋体" w:hAnsi="宋体" w:cs="宋体"/>
      <w:sz w:val="24"/>
      <w:szCs w:val="24"/>
    </w:rPr>
  </w:style>
  <w:style w:type="paragraph" w:styleId="1132">
    <w:name w:val="普通(网站)1"/>
    <w:basedOn w:val="882"/>
    <w:next w:val="1132"/>
    <w:link w:val="882"/>
    <w:uiPriority w:val="99"/>
    <w:unhideWhenUsed/>
    <w:qFormat/>
    <w:pPr>
      <w:jc w:val="left"/>
      <w:spacing w:before="100" w:beforeAutospacing="1" w:after="100" w:afterAutospacing="1"/>
      <w:widowControl/>
    </w:pPr>
    <w:rPr>
      <w:rFonts w:ascii="宋体" w:hAnsi="宋体" w:cs="宋体"/>
      <w:sz w:val="24"/>
    </w:rPr>
  </w:style>
  <w:style w:type="paragraph" w:styleId="1133">
    <w:name w:val="索引 11"/>
    <w:basedOn w:val="882"/>
    <w:next w:val="882"/>
    <w:link w:val="882"/>
    <w:qFormat/>
    <w:rPr>
      <w:szCs w:val="20"/>
    </w:rPr>
  </w:style>
  <w:style w:type="paragraph" w:styleId="1134">
    <w:name w:val="标题1"/>
    <w:basedOn w:val="882"/>
    <w:next w:val="1134"/>
    <w:link w:val="1135"/>
    <w:qFormat/>
    <w:pPr>
      <w:jc w:val="center"/>
      <w:outlineLvl w:val="0"/>
    </w:pPr>
    <w:rPr>
      <w:b/>
      <w:sz w:val="32"/>
      <w:szCs w:val="20"/>
    </w:rPr>
  </w:style>
  <w:style w:type="character" w:styleId="1135">
    <w:name w:val="标题 Char1"/>
    <w:next w:val="1135"/>
    <w:link w:val="1134"/>
    <w:qFormat/>
    <w:rPr>
      <w:b/>
      <w:sz w:val="32"/>
    </w:rPr>
  </w:style>
  <w:style w:type="paragraph" w:styleId="1136">
    <w:name w:val="批注主题1"/>
    <w:basedOn w:val="1098"/>
    <w:next w:val="1098"/>
    <w:link w:val="1137"/>
    <w:qFormat/>
    <w:rPr>
      <w:b/>
      <w:bCs/>
    </w:rPr>
  </w:style>
  <w:style w:type="character" w:styleId="1137">
    <w:name w:val="批注主题 Char"/>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1"/>
    <w:basedOn w:val="1104"/>
    <w:next w:val="882"/>
    <w:link w:val="1139"/>
    <w:qFormat/>
    <w:pPr>
      <w:ind w:left="420" w:firstLine="420"/>
      <w:spacing w:after="120" w:line="480" w:lineRule="exact"/>
    </w:pPr>
  </w:style>
  <w:style w:type="character" w:styleId="1139">
    <w:name w:val="正文首行缩进 2 Char"/>
    <w:next w:val="1139"/>
    <w:link w:val="1138"/>
    <w:qFormat/>
    <w:rPr>
      <w:rFonts w:eastAsia="宋体"/>
      <w:sz w:val="24"/>
      <w:szCs w:val="24"/>
      <w:lang w:val="en-US" w:eastAsia="zh-CN" w:bidi="ar-SA"/>
    </w:rPr>
  </w:style>
  <w:style w:type="table" w:styleId="1140">
    <w:name w:val="网格型1"/>
    <w:basedOn w:val="1093"/>
    <w:next w:val="1140"/>
    <w:link w:val="882"/>
    <w:uiPriority w:val="39"/>
    <w:qFormat/>
    <w:tblPr/>
  </w:style>
  <w:style w:type="table" w:styleId="1141">
    <w:name w:val="中等深浅网格 1 - 强调文字颜色 21"/>
    <w:basedOn w:val="1093"/>
    <w:next w:val="1141"/>
    <w:link w:val="882"/>
    <w:qFormat/>
    <w:rPr>
      <w:sz w:val="21"/>
      <w:szCs w:val="24"/>
    </w:rPr>
    <w:tblPr/>
  </w:style>
  <w:style w:type="character" w:styleId="1142">
    <w:name w:val="要点1"/>
    <w:next w:val="1142"/>
    <w:link w:val="882"/>
    <w:qFormat/>
    <w:rPr>
      <w:b/>
      <w:bCs/>
    </w:rPr>
  </w:style>
  <w:style w:type="character" w:styleId="1143">
    <w:name w:val="已访问的超链接1"/>
    <w:next w:val="1143"/>
    <w:link w:val="882"/>
    <w:uiPriority w:val="99"/>
    <w:qFormat/>
    <w:rPr>
      <w:color w:val="800080"/>
      <w:u w:val="single"/>
    </w:rPr>
  </w:style>
  <w:style w:type="character" w:styleId="1144">
    <w:name w:val="超链接1"/>
    <w:next w:val="1144"/>
    <w:link w:val="882"/>
    <w:uiPriority w:val="99"/>
    <w:qFormat/>
    <w:rPr>
      <w:sz w:val="21"/>
      <w:szCs w:val="24"/>
      <w:lang w:val="en-US" w:eastAsia="zh-CN" w:bidi="ar-SA"/>
    </w:rPr>
  </w:style>
  <w:style w:type="character" w:styleId="1145">
    <w:name w:val="批注引用1"/>
    <w:next w:val="1145"/>
    <w:link w:val="882"/>
    <w:qFormat/>
    <w:rPr>
      <w:sz w:val="21"/>
      <w:szCs w:val="21"/>
    </w:rPr>
  </w:style>
  <w:style w:type="character" w:styleId="1146">
    <w:name w:val="HTML 引文1"/>
    <w:next w:val="1146"/>
    <w:link w:val="882"/>
    <w:qFormat/>
    <w:rPr>
      <w:i/>
      <w:iCs/>
    </w:rPr>
  </w:style>
  <w:style w:type="character" w:styleId="1147">
    <w:name w:val="批注文字 字符"/>
    <w:next w:val="1147"/>
    <w:link w:val="882"/>
    <w:qFormat/>
    <w:rPr>
      <w:rFonts w:ascii="Times New Roman" w:hAnsi="Times New Roman" w:eastAsia="宋体" w:cs="Times New Roman"/>
      <w:sz w:val="24"/>
      <w:lang w:val="en-US" w:eastAsia="zh-CN" w:bidi="ar-SA"/>
    </w:rPr>
  </w:style>
  <w:style w:type="character" w:styleId="1148">
    <w:name w:val="中等深浅网格 1 - 强调文字颜色 2 Char"/>
    <w:next w:val="1148"/>
    <w:link w:val="1149"/>
    <w:qFormat/>
    <w:rPr>
      <w:sz w:val="21"/>
      <w:szCs w:val="24"/>
      <w:lang w:val="zh-CN" w:eastAsia="zh-CN" w:bidi="ar-SA"/>
    </w:rPr>
  </w:style>
  <w:style w:type="paragraph" w:styleId="1149">
    <w:name w:val="1"/>
    <w:next w:val="1149"/>
    <w:link w:val="1148"/>
    <w:qFormat/>
    <w:rPr>
      <w:sz w:val="21"/>
      <w:szCs w:val="24"/>
      <w:lang w:val="zh-CN" w:eastAsia="zh-CN" w:bidi="ar-SA"/>
    </w:rPr>
  </w:style>
  <w:style w:type="character" w:styleId="1150">
    <w:name w:val="正文文本缩进 Char1"/>
    <w:next w:val="1150"/>
    <w:link w:val="1151"/>
    <w:qFormat/>
    <w:rPr>
      <w:rFonts w:ascii="宋体" w:hAnsi="宋体" w:eastAsia="宋体"/>
      <w:sz w:val="24"/>
      <w:szCs w:val="24"/>
      <w:lang w:bidi="ar-SA"/>
    </w:rPr>
  </w:style>
  <w:style w:type="paragraph" w:styleId="1151">
    <w:name w:val="正文文本缩进1"/>
    <w:basedOn w:val="882"/>
    <w:next w:val="1151"/>
    <w:link w:val="1150"/>
    <w:qFormat/>
    <w:pPr>
      <w:ind w:firstLine="480"/>
      <w:spacing w:line="480" w:lineRule="exact"/>
    </w:pPr>
    <w:rPr>
      <w:rFonts w:ascii="宋体" w:hAnsi="宋体"/>
      <w:sz w:val="24"/>
    </w:rPr>
  </w:style>
  <w:style w:type="character" w:styleId="1152">
    <w:name w:val="chanpin拷贝"/>
    <w:next w:val="1152"/>
    <w:link w:val="882"/>
    <w:qFormat/>
  </w:style>
  <w:style w:type="character" w:styleId="1153">
    <w:name w:val="纯文本 字符1"/>
    <w:next w:val="1153"/>
    <w:link w:val="882"/>
    <w:qFormat/>
    <w:rPr>
      <w:rFonts w:ascii="宋体" w:hAnsi="Courier New"/>
    </w:rPr>
  </w:style>
  <w:style w:type="character" w:styleId="1154">
    <w:name w:val="street-address"/>
    <w:next w:val="1154"/>
    <w:link w:val="882"/>
    <w:qFormat/>
  </w:style>
  <w:style w:type="character" w:styleId="1155">
    <w:name w:val="正文格式 Char"/>
    <w:next w:val="1155"/>
    <w:link w:val="1156"/>
    <w:qFormat/>
    <w:rPr>
      <w:rFonts w:ascii="宋体" w:hAnsi="宋体"/>
      <w:sz w:val="24"/>
      <w:szCs w:val="24"/>
      <w:lang w:val="en-GB"/>
    </w:rPr>
  </w:style>
  <w:style w:type="paragraph" w:styleId="1156">
    <w:name w:val="正文格式"/>
    <w:basedOn w:val="882"/>
    <w:next w:val="1156"/>
    <w:link w:val="1155"/>
    <w:qFormat/>
    <w:pPr>
      <w:ind w:firstLine="480"/>
      <w:spacing w:line="360" w:lineRule="auto"/>
    </w:pPr>
    <w:rPr>
      <w:rFonts w:ascii="宋体" w:hAnsi="宋体"/>
      <w:sz w:val="24"/>
      <w:lang w:val="en-GB"/>
    </w:rPr>
  </w:style>
  <w:style w:type="character" w:styleId="1157">
    <w:name w:val="成文日期 Char"/>
    <w:next w:val="1157"/>
    <w:link w:val="1158"/>
    <w:qFormat/>
    <w:rPr>
      <w:rFonts w:ascii="仿宋_GB2312" w:eastAsia="仿宋_GB2312"/>
      <w:sz w:val="32"/>
    </w:rPr>
  </w:style>
  <w:style w:type="paragraph" w:styleId="1158">
    <w:name w:val="成文日期"/>
    <w:basedOn w:val="882"/>
    <w:next w:val="1158"/>
    <w:link w:val="1157"/>
    <w:qFormat/>
    <w:pPr>
      <w:ind w:right="400" w:firstLine="200"/>
      <w:jc w:val="right"/>
      <w:spacing w:line="570" w:lineRule="exact"/>
    </w:pPr>
    <w:rPr>
      <w:rFonts w:ascii="仿宋_GB2312" w:eastAsia="仿宋_GB2312"/>
      <w:sz w:val="32"/>
      <w:szCs w:val="20"/>
    </w:rPr>
  </w:style>
  <w:style w:type="character" w:styleId="1159">
    <w:name w:val="正文表格 Char"/>
    <w:next w:val="1159"/>
    <w:link w:val="1160"/>
    <w:qFormat/>
    <w:rPr>
      <w:rFonts w:ascii="宋体" w:hAnsi="宋体"/>
      <w:color w:val="000000"/>
      <w:sz w:val="21"/>
      <w:szCs w:val="21"/>
    </w:rPr>
  </w:style>
  <w:style w:type="paragraph" w:styleId="1160">
    <w:name w:val="正文表格"/>
    <w:basedOn w:val="882"/>
    <w:next w:val="1160"/>
    <w:link w:val="1159"/>
    <w:qFormat/>
    <w:pPr>
      <w:jc w:val="left"/>
    </w:pPr>
    <w:rPr>
      <w:rFonts w:ascii="宋体" w:hAnsi="宋体"/>
      <w:color w:val="000000"/>
      <w:szCs w:val="21"/>
    </w:rPr>
  </w:style>
  <w:style w:type="character" w:styleId="1161">
    <w:name w:val="正文大标题 Char"/>
    <w:next w:val="1161"/>
    <w:link w:val="1162"/>
    <w:qFormat/>
    <w:rPr>
      <w:rFonts w:ascii="宋体" w:hAnsi="宋体"/>
      <w:b/>
      <w:color w:val="000000"/>
      <w:sz w:val="28"/>
      <w:szCs w:val="21"/>
    </w:rPr>
  </w:style>
  <w:style w:type="paragraph" w:styleId="1162">
    <w:name w:val="正文大标题"/>
    <w:basedOn w:val="1163"/>
    <w:next w:val="1076"/>
    <w:link w:val="1161"/>
    <w:qFormat/>
    <w:pPr>
      <w:jc w:val="center"/>
    </w:pPr>
    <w:rPr>
      <w:i w:val="0"/>
      <w:color w:val="000000"/>
      <w:sz w:val="28"/>
      <w:szCs w:val="21"/>
    </w:rPr>
  </w:style>
  <w:style w:type="paragraph" w:styleId="1163">
    <w:name w:val="正文小标题"/>
    <w:basedOn w:val="882"/>
    <w:next w:val="1076"/>
    <w:link w:val="1164"/>
    <w:qFormat/>
    <w:pPr>
      <w:ind w:firstLine="482"/>
      <w:jc w:val="left"/>
      <w:spacing w:before="312" w:after="312"/>
    </w:pPr>
    <w:rPr>
      <w:rFonts w:ascii="宋体" w:hAnsi="宋体"/>
      <w:b/>
      <w:i/>
      <w:color w:val="ff0000"/>
      <w:sz w:val="24"/>
      <w:szCs w:val="20"/>
    </w:rPr>
  </w:style>
  <w:style w:type="character" w:styleId="1164">
    <w:name w:val="正文小标题 Char"/>
    <w:next w:val="1164"/>
    <w:link w:val="1163"/>
    <w:qFormat/>
    <w:rPr>
      <w:rFonts w:ascii="宋体" w:hAnsi="宋体"/>
      <w:b/>
      <w:i/>
      <w:color w:val="ff0000"/>
      <w:sz w:val="24"/>
    </w:rPr>
  </w:style>
  <w:style w:type="character" w:styleId="1165">
    <w:name w:val="bjh-p"/>
    <w:next w:val="1165"/>
    <w:link w:val="882"/>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882"/>
    <w:next w:val="1167"/>
    <w:link w:val="1166"/>
    <w:qFormat/>
    <w:pPr>
      <w:ind w:firstLine="567"/>
      <w:spacing w:line="480" w:lineRule="exact"/>
      <w:widowControl/>
    </w:pPr>
    <w:rPr>
      <w:rFonts w:ascii="宋体"/>
      <w:color w:val="000000"/>
      <w:sz w:val="28"/>
      <w:szCs w:val="20"/>
    </w:rPr>
  </w:style>
  <w:style w:type="character" w:styleId="1168">
    <w:name w:val="标题 Char"/>
    <w:next w:val="1168"/>
    <w:link w:val="882"/>
    <w:qFormat/>
    <w:rPr>
      <w:b/>
      <w:sz w:val="32"/>
    </w:rPr>
  </w:style>
  <w:style w:type="character" w:styleId="1169">
    <w:name w:val="列出段落 Char"/>
    <w:next w:val="1169"/>
    <w:link w:val="882"/>
    <w:qFormat/>
    <w:rPr>
      <w:rFonts w:ascii="Calibri" w:hAnsi="Calibri" w:eastAsia="宋体"/>
      <w:sz w:val="21"/>
      <w:szCs w:val="22"/>
      <w:lang w:val="en-US" w:eastAsia="zh-CN" w:bidi="ar-SA"/>
    </w:rPr>
  </w:style>
  <w:style w:type="character" w:styleId="1170">
    <w:name w:val="Char Char111"/>
    <w:next w:val="1170"/>
    <w:link w:val="882"/>
    <w:qFormat/>
    <w:rPr>
      <w:rFonts w:ascii="宋体" w:eastAsia="宋体"/>
      <w:b/>
      <w:sz w:val="24"/>
      <w:u w:val="single"/>
      <w:lang w:val="en-US" w:eastAsia="zh-CN" w:bidi="ar-SA"/>
    </w:rPr>
  </w:style>
  <w:style w:type="character" w:styleId="1171">
    <w:name w:val="列出段落 Char1"/>
    <w:next w:val="1171"/>
    <w:link w:val="1172"/>
    <w:uiPriority w:val="34"/>
    <w:qFormat/>
    <w:rPr>
      <w:rFonts w:ascii="Calibri" w:hAnsi="Calibri" w:eastAsia="宋体"/>
      <w:sz w:val="21"/>
      <w:szCs w:val="22"/>
      <w:lang w:val="en-US" w:eastAsia="zh-CN" w:bidi="ar-SA"/>
    </w:rPr>
  </w:style>
  <w:style w:type="paragraph" w:styleId="1172">
    <w:name w:val="列出段落1"/>
    <w:basedOn w:val="882"/>
    <w:next w:val="1172"/>
    <w:link w:val="1171"/>
    <w:uiPriority w:val="34"/>
    <w:qFormat/>
    <w:pPr>
      <w:ind w:firstLine="420"/>
    </w:pPr>
    <w:rPr>
      <w:rFonts w:ascii="Calibri" w:hAnsi="Calibri"/>
      <w:szCs w:val="22"/>
    </w:rPr>
  </w:style>
  <w:style w:type="character" w:styleId="1173">
    <w:name w:val="注释 Char"/>
    <w:next w:val="1173"/>
    <w:link w:val="1174"/>
    <w:qFormat/>
    <w:rPr>
      <w:rFonts w:ascii="宋体" w:hAnsi="宋体"/>
      <w:sz w:val="21"/>
      <w:szCs w:val="21"/>
    </w:rPr>
  </w:style>
  <w:style w:type="paragraph" w:styleId="1174">
    <w:name w:val="注释"/>
    <w:basedOn w:val="882"/>
    <w:next w:val="1174"/>
    <w:link w:val="1173"/>
    <w:qFormat/>
    <w:pPr>
      <w:ind w:left="420" w:hanging="420"/>
      <w:jc w:val="left"/>
    </w:pPr>
    <w:rPr>
      <w:rFonts w:ascii="宋体" w:hAnsi="宋体"/>
      <w:szCs w:val="21"/>
    </w:rPr>
  </w:style>
  <w:style w:type="character" w:styleId="1175">
    <w:name w:val="txt"/>
    <w:next w:val="1175"/>
    <w:link w:val="882"/>
    <w:qFormat/>
  </w:style>
  <w:style w:type="character" w:styleId="1176">
    <w:name w:val="标题 2 Char Char"/>
    <w:next w:val="1176"/>
    <w:link w:val="882"/>
    <w:qFormat/>
    <w:rPr>
      <w:rFonts w:ascii="Arial" w:hAnsi="Arial" w:eastAsia="黑体"/>
      <w:b/>
      <w:bCs/>
      <w:sz w:val="32"/>
      <w:szCs w:val="32"/>
      <w:lang w:val="en-US" w:eastAsia="zh-CN" w:bidi="ar-SA"/>
    </w:rPr>
  </w:style>
  <w:style w:type="character" w:styleId="1177">
    <w:name w:val="纯文本 Char1"/>
    <w:next w:val="1177"/>
    <w:link w:val="882"/>
    <w:qFormat/>
    <w:rPr>
      <w:rFonts w:ascii="宋体" w:hAnsi="Courier New" w:eastAsia="宋体"/>
      <w:sz w:val="21"/>
      <w:lang w:val="en-US" w:eastAsia="zh-CN" w:bidi="ar-SA"/>
    </w:rPr>
  </w:style>
  <w:style w:type="character" w:styleId="1178">
    <w:name w:val="c21"/>
    <w:next w:val="1178"/>
    <w:link w:val="882"/>
    <w:qFormat/>
    <w:rPr>
      <w:rFonts w:ascii="ˎ̥" w:hAnsi="ˎ̥"/>
      <w:color w:val="000000"/>
      <w:sz w:val="20"/>
      <w:szCs w:val="20"/>
      <w:u w:val="none"/>
    </w:rPr>
  </w:style>
  <w:style w:type="character" w:styleId="1179">
    <w:name w:val="title4"/>
    <w:next w:val="1179"/>
    <w:link w:val="882"/>
    <w:qFormat/>
    <w:rPr>
      <w:b/>
      <w:bCs/>
      <w:color w:val="1d87b3"/>
      <w:sz w:val="15"/>
      <w:szCs w:val="15"/>
    </w:rPr>
  </w:style>
  <w:style w:type="character" w:styleId="1180">
    <w:name w:val="页脚 Char"/>
    <w:next w:val="1180"/>
    <w:link w:val="882"/>
    <w:qFormat/>
    <w:rPr>
      <w:rFonts w:ascii="宋体" w:eastAsia="宋体"/>
      <w:sz w:val="18"/>
      <w:lang w:val="en-US" w:eastAsia="zh-CN" w:bidi="ar-SA"/>
    </w:rPr>
  </w:style>
  <w:style w:type="character" w:styleId="1181">
    <w:name w:val="locality"/>
    <w:next w:val="1181"/>
    <w:link w:val="882"/>
    <w:qFormat/>
  </w:style>
  <w:style w:type="character" w:styleId="1182">
    <w:name w:val="black1"/>
    <w:next w:val="1182"/>
    <w:link w:val="882"/>
    <w:qFormat/>
    <w:rPr>
      <w:color w:val="000000"/>
    </w:rPr>
  </w:style>
  <w:style w:type="character" w:styleId="1183">
    <w:name w:val="chanpin1"/>
    <w:next w:val="1183"/>
    <w:link w:val="882"/>
    <w:qFormat/>
    <w:rPr>
      <w:rFonts w:ascii="ˎ̥" w:hAnsi="ˎ̥"/>
      <w:color w:val="000000"/>
      <w:sz w:val="20"/>
      <w:szCs w:val="20"/>
      <w:u w:val="none"/>
    </w:rPr>
  </w:style>
  <w:style w:type="character" w:styleId="1184">
    <w:name w:val="段1 Char"/>
    <w:next w:val="1184"/>
    <w:link w:val="882"/>
    <w:qFormat/>
    <w:rPr>
      <w:rFonts w:ascii="宋体" w:eastAsia="宋体"/>
      <w:sz w:val="24"/>
      <w:lang w:val="en-US" w:eastAsia="zh-CN" w:bidi="ar-SA"/>
    </w:rPr>
  </w:style>
  <w:style w:type="character" w:styleId="1185">
    <w:name w:val="标题 3 Char"/>
    <w:next w:val="1185"/>
    <w:link w:val="882"/>
    <w:qFormat/>
    <w:rPr>
      <w:rFonts w:ascii="宋体" w:eastAsia="宋体"/>
      <w:b/>
      <w:sz w:val="24"/>
      <w:u w:val="single"/>
      <w:lang w:val="en-US" w:eastAsia="zh-CN" w:bidi="ar-SA"/>
    </w:rPr>
  </w:style>
  <w:style w:type="character" w:styleId="1186">
    <w:name w:val="标题 2 Char"/>
    <w:next w:val="1186"/>
    <w:link w:val="882"/>
    <w:qFormat/>
    <w:rPr>
      <w:rFonts w:ascii="Arial" w:hAnsi="Arial" w:eastAsia="黑体"/>
      <w:b/>
      <w:sz w:val="30"/>
      <w:lang w:val="en-US" w:eastAsia="zh-CN" w:bidi="ar-SA"/>
    </w:rPr>
  </w:style>
  <w:style w:type="character" w:styleId="1187">
    <w:name w:val="正文文本缩进 Char"/>
    <w:next w:val="1187"/>
    <w:link w:val="882"/>
    <w:qFormat/>
    <w:rPr>
      <w:rFonts w:eastAsia="宋体"/>
      <w:sz w:val="24"/>
      <w:szCs w:val="24"/>
      <w:lang w:val="en-US" w:eastAsia="zh-CN" w:bidi="ar-SA"/>
    </w:rPr>
  </w:style>
  <w:style w:type="character" w:styleId="1188">
    <w:name w:val="Char Char11"/>
    <w:next w:val="1188"/>
    <w:link w:val="882"/>
    <w:qFormat/>
    <w:rPr>
      <w:rFonts w:ascii="宋体" w:eastAsia="宋体"/>
      <w:b/>
      <w:sz w:val="24"/>
      <w:u w:val="single"/>
      <w:lang w:val="en-US" w:eastAsia="zh-CN" w:bidi="ar-SA"/>
    </w:rPr>
  </w:style>
  <w:style w:type="character" w:styleId="1189">
    <w:name w:val="页眉 Char"/>
    <w:next w:val="1189"/>
    <w:link w:val="882"/>
    <w:qFormat/>
    <w:rPr>
      <w:rFonts w:eastAsia="宋体"/>
      <w:sz w:val="18"/>
      <w:szCs w:val="18"/>
      <w:lang w:val="en-US" w:eastAsia="zh-CN" w:bidi="ar-SA"/>
    </w:rPr>
  </w:style>
  <w:style w:type="character" w:styleId="1190">
    <w:name w:val="纯文本 字符"/>
    <w:next w:val="1190"/>
    <w:link w:val="882"/>
    <w:uiPriority w:val="99"/>
    <w:qFormat/>
    <w:rPr>
      <w:rFonts w:ascii="宋体" w:hAnsi="Courier New" w:eastAsia="宋体" w:cs="Times New Roman"/>
      <w:sz w:val="21"/>
      <w:szCs w:val="21"/>
      <w:lang w:val="en-US" w:eastAsia="zh-CN" w:bidi="ar-SA"/>
    </w:rPr>
  </w:style>
  <w:style w:type="character" w:styleId="1191">
    <w:name w:val="正文重点 Char"/>
    <w:next w:val="1191"/>
    <w:link w:val="1192"/>
    <w:qFormat/>
    <w:rPr>
      <w:b/>
      <w:sz w:val="24"/>
    </w:rPr>
  </w:style>
  <w:style w:type="paragraph" w:styleId="1192">
    <w:name w:val="正文重点"/>
    <w:basedOn w:val="882"/>
    <w:next w:val="1192"/>
    <w:link w:val="1191"/>
    <w:qFormat/>
    <w:pPr>
      <w:ind w:firstLine="482"/>
      <w:jc w:val="left"/>
      <w:spacing w:line="360" w:lineRule="auto"/>
    </w:pPr>
    <w:rPr>
      <w:b/>
      <w:sz w:val="24"/>
      <w:szCs w:val="20"/>
    </w:rPr>
  </w:style>
  <w:style w:type="character" w:styleId="1193">
    <w:name w:val="正文缩进 Char"/>
    <w:next w:val="1193"/>
    <w:link w:val="882"/>
    <w:qFormat/>
    <w:rPr>
      <w:rFonts w:ascii="宋体" w:eastAsia="宋体"/>
      <w:sz w:val="24"/>
      <w:szCs w:val="24"/>
      <w:lang w:val="en-US" w:eastAsia="zh-CN" w:bidi="ar-SA"/>
    </w:rPr>
  </w:style>
  <w:style w:type="character" w:styleId="1194">
    <w:name w:val="普通文字1 Char1"/>
    <w:next w:val="1194"/>
    <w:link w:val="882"/>
    <w:qFormat/>
    <w:rPr>
      <w:rFonts w:ascii="宋体" w:hAnsi="Courier New" w:eastAsia="宋体"/>
      <w:sz w:val="21"/>
      <w:lang w:val="en-US" w:eastAsia="zh-CN" w:bidi="ar-SA"/>
    </w:rPr>
  </w:style>
  <w:style w:type="character" w:styleId="1195">
    <w:name w:val="批注文字 Char"/>
    <w:next w:val="1195"/>
    <w:link w:val="882"/>
    <w:uiPriority w:val="99"/>
    <w:qFormat/>
    <w:rPr>
      <w:sz w:val="21"/>
      <w:szCs w:val="24"/>
    </w:rPr>
  </w:style>
  <w:style w:type="character" w:styleId="1196">
    <w:name w:val="apple-style-span"/>
    <w:next w:val="1196"/>
    <w:link w:val="882"/>
    <w:qFormat/>
    <w:rPr>
      <w:rFonts w:cs="Times New Roman"/>
    </w:rPr>
  </w:style>
  <w:style w:type="character" w:styleId="1197">
    <w:name w:val="标题 3 Char Char"/>
    <w:next w:val="1197"/>
    <w:link w:val="882"/>
    <w:qFormat/>
    <w:rPr>
      <w:rFonts w:eastAsia="宋体"/>
      <w:b/>
      <w:bCs/>
      <w:sz w:val="32"/>
      <w:szCs w:val="32"/>
      <w:lang w:val="en-US" w:eastAsia="zh-CN" w:bidi="ar-SA"/>
    </w:rPr>
  </w:style>
  <w:style w:type="paragraph" w:styleId="1198">
    <w:name w:val="无间隔1"/>
    <w:next w:val="1198"/>
    <w:link w:val="882"/>
    <w:qFormat/>
    <w:pPr>
      <w:jc w:val="both"/>
      <w:widowControl w:val="off"/>
    </w:pPr>
    <w:rPr>
      <w:sz w:val="21"/>
      <w:szCs w:val="24"/>
      <w:lang w:val="en-US" w:eastAsia="zh-CN" w:bidi="ar-SA"/>
    </w:rPr>
  </w:style>
  <w:style w:type="paragraph" w:styleId="1199">
    <w:name w:val="xl38"/>
    <w:basedOn w:val="882"/>
    <w:next w:val="119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0">
    <w:name w:val="Char"/>
    <w:basedOn w:val="882"/>
    <w:next w:val="1200"/>
    <w:link w:val="882"/>
    <w:qFormat/>
    <w:pPr>
      <w:tabs>
        <w:tab w:val="left" w:pos="360" w:leader="none"/>
      </w:tabs>
    </w:pPr>
    <w:rPr>
      <w:sz w:val="24"/>
    </w:rPr>
  </w:style>
  <w:style w:type="paragraph" w:styleId="1201">
    <w:name w:val="xl25"/>
    <w:basedOn w:val="882"/>
    <w:next w:val="120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xl45"/>
    <w:basedOn w:val="882"/>
    <w:next w:val="1202"/>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列出段落11"/>
    <w:basedOn w:val="882"/>
    <w:next w:val="1203"/>
    <w:link w:val="882"/>
    <w:qFormat/>
    <w:pPr>
      <w:ind w:firstLine="420"/>
    </w:pPr>
    <w:rPr>
      <w:rFonts w:ascii="Calibri" w:hAnsi="Calibri"/>
      <w:szCs w:val="22"/>
    </w:rPr>
  </w:style>
  <w:style w:type="paragraph" w:styleId="1204">
    <w:name w:val="Char Char Char Char Char Char Char Char Char Char"/>
    <w:basedOn w:val="882"/>
    <w:next w:val="1204"/>
    <w:link w:val="882"/>
    <w:qFormat/>
  </w:style>
  <w:style w:type="paragraph" w:styleId="1205">
    <w:name w:val="xl40"/>
    <w:basedOn w:val="882"/>
    <w:next w:val="1205"/>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Char3 Char Char Char1"/>
    <w:basedOn w:val="882"/>
    <w:next w:val="1206"/>
    <w:link w:val="882"/>
    <w:qFormat/>
    <w:rPr>
      <w:rFonts w:ascii="Tahoma" w:hAnsi="Tahoma"/>
      <w:sz w:val="24"/>
      <w:szCs w:val="20"/>
    </w:rPr>
  </w:style>
  <w:style w:type="paragraph" w:styleId="1207">
    <w:name w:val="正文列项_数字"/>
    <w:basedOn w:val="882"/>
    <w:next w:val="1207"/>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208">
    <w:name w:val="Char1 Char Char Char1"/>
    <w:basedOn w:val="882"/>
    <w:next w:val="1208"/>
    <w:link w:val="882"/>
    <w:qFormat/>
    <w:rPr>
      <w:rFonts w:ascii="Tahoma" w:hAnsi="Tahoma" w:cs="仿宋_GB2312"/>
      <w:sz w:val="24"/>
      <w:szCs w:val="28"/>
    </w:rPr>
  </w:style>
  <w:style w:type="paragraph" w:styleId="1209">
    <w:name w:val="正文缩进2"/>
    <w:basedOn w:val="882"/>
    <w:next w:val="1209"/>
    <w:link w:val="882"/>
    <w:qFormat/>
    <w:pPr>
      <w:ind w:firstLine="567"/>
      <w:spacing w:line="480" w:lineRule="exact"/>
      <w:widowControl/>
    </w:pPr>
    <w:rPr>
      <w:rFonts w:ascii="宋体"/>
      <w:color w:val="000000"/>
      <w:sz w:val="28"/>
      <w:szCs w:val="20"/>
      <w:lang w:val="zh-CN"/>
    </w:rPr>
  </w:style>
  <w:style w:type="paragraph" w:styleId="1210">
    <w:name w:val="xl33"/>
    <w:basedOn w:val="882"/>
    <w:next w:val="121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项目符号1"/>
    <w:basedOn w:val="1212"/>
    <w:next w:val="1211"/>
    <w:link w:val="882"/>
    <w:qFormat/>
    <w:pPr>
      <w:ind w:left="-25" w:firstLine="0"/>
    </w:pPr>
  </w:style>
  <w:style w:type="paragraph" w:styleId="1212">
    <w:name w:val="正文文本样式"/>
    <w:basedOn w:val="882"/>
    <w:next w:val="1212"/>
    <w:link w:val="882"/>
    <w:qFormat/>
    <w:pPr>
      <w:ind w:firstLine="482"/>
      <w:spacing w:line="360" w:lineRule="auto"/>
    </w:pPr>
    <w:rPr>
      <w:rFonts w:cs="宋体"/>
      <w:sz w:val="24"/>
      <w:szCs w:val="20"/>
    </w:rPr>
  </w:style>
  <w:style w:type="paragraph" w:styleId="1213">
    <w:name w:val="章标题"/>
    <w:next w:val="882"/>
    <w:link w:val="8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14">
    <w:name w:val="xl46"/>
    <w:basedOn w:val="882"/>
    <w:next w:val="1214"/>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5">
    <w:name w:val="默认段落字体 Para Char Char Char Char"/>
    <w:basedOn w:val="882"/>
    <w:next w:val="1215"/>
    <w:link w:val="882"/>
    <w:qFormat/>
    <w:rPr>
      <w:rFonts w:ascii="Arial" w:hAnsi="Arial" w:cs="Arial"/>
      <w:szCs w:val="21"/>
    </w:rPr>
  </w:style>
  <w:style w:type="paragraph" w:styleId="1216">
    <w:name w:val="图中文字"/>
    <w:basedOn w:val="882"/>
    <w:next w:val="1216"/>
    <w:link w:val="882"/>
    <w:qFormat/>
    <w:pPr>
      <w:jc w:val="center"/>
      <w:spacing w:line="0" w:lineRule="atLeast"/>
    </w:pPr>
    <w:rPr>
      <w:sz w:val="24"/>
      <w:szCs w:val="20"/>
    </w:rPr>
  </w:style>
  <w:style w:type="paragraph" w:styleId="1217">
    <w:name w:val="Char Char Char Char Char Char Char Char Char Char2"/>
    <w:basedOn w:val="882"/>
    <w:next w:val="1217"/>
    <w:link w:val="882"/>
    <w:qFormat/>
    <w:rPr>
      <w:rFonts w:ascii="宋体" w:hAnsi="宋体" w:cs="Courier New"/>
      <w:sz w:val="32"/>
      <w:szCs w:val="32"/>
    </w:rPr>
  </w:style>
  <w:style w:type="paragraph" w:styleId="1218">
    <w:name w:val="三级条标题"/>
    <w:basedOn w:val="1219"/>
    <w:next w:val="882"/>
    <w:link w:val="882"/>
    <w:qFormat/>
    <w:pPr>
      <w:numPr>
        <w:ilvl w:val="3"/>
        <w:numId w:val="1"/>
      </w:numPr>
      <w:ind w:left="0" w:hanging="840"/>
      <w:tabs>
        <w:tab w:val="left" w:pos="360" w:leader="none"/>
        <w:tab w:val="left" w:pos="840" w:leader="none"/>
      </w:tabs>
      <w:outlineLvl w:val="3"/>
    </w:pPr>
  </w:style>
  <w:style w:type="paragraph" w:styleId="1219">
    <w:name w:val="二级条标题"/>
    <w:basedOn w:val="1220"/>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1220">
    <w:name w:val="一级条标题"/>
    <w:basedOn w:val="1213"/>
    <w:next w:val="882"/>
    <w:link w:val="882"/>
    <w:qFormat/>
    <w:pPr>
      <w:numPr>
        <w:ilvl w:val="1"/>
      </w:numPr>
      <w:ind w:left="0" w:hanging="840"/>
      <w:tabs>
        <w:tab w:val="left" w:pos="360" w:leader="none"/>
        <w:tab w:val="left" w:pos="840" w:leader="none"/>
      </w:tabs>
      <w:outlineLvl w:val="1"/>
    </w:pPr>
  </w:style>
  <w:style w:type="paragraph" w:styleId="1221">
    <w:name w:val="Char Char41"/>
    <w:basedOn w:val="882"/>
    <w:next w:val="1221"/>
    <w:link w:val="882"/>
    <w:qFormat/>
    <w:pPr>
      <w:jc w:val="center"/>
      <w:spacing w:line="400" w:lineRule="exact"/>
      <w:widowControl/>
    </w:pPr>
  </w:style>
  <w:style w:type="paragraph" w:styleId="1222">
    <w:name w:val="正文 A"/>
    <w:next w:val="1222"/>
    <w:link w:val="882"/>
    <w:qFormat/>
    <w:pPr>
      <w:jc w:val="both"/>
      <w:widowControl w:val="off"/>
    </w:pPr>
    <w:rPr>
      <w:rFonts w:eastAsia="Times New Roman"/>
      <w:color w:val="000000"/>
      <w:sz w:val="21"/>
      <w:szCs w:val="21"/>
      <w:lang w:val="en-US" w:eastAsia="zh-CN" w:bidi="ar-SA"/>
    </w:rPr>
  </w:style>
  <w:style w:type="paragraph" w:styleId="1223">
    <w:name w:val="Char Char Char Char Char Char Char2"/>
    <w:basedOn w:val="882"/>
    <w:next w:val="1223"/>
    <w:link w:val="882"/>
    <w:qFormat/>
    <w:pPr>
      <w:ind w:firstLine="200"/>
      <w:spacing w:line="360" w:lineRule="auto"/>
    </w:pPr>
    <w:rPr>
      <w:rFonts w:eastAsia="仿宋_GB2312"/>
      <w:sz w:val="24"/>
    </w:rPr>
  </w:style>
  <w:style w:type="paragraph" w:styleId="1224">
    <w:name w:val="xl35"/>
    <w:basedOn w:val="882"/>
    <w:next w:val="1224"/>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Char Char Char2"/>
    <w:basedOn w:val="882"/>
    <w:next w:val="1225"/>
    <w:link w:val="882"/>
    <w:qFormat/>
    <w:rPr>
      <w:rFonts w:ascii="Tahoma" w:hAnsi="Tahoma"/>
      <w:sz w:val="24"/>
      <w:szCs w:val="20"/>
    </w:rPr>
  </w:style>
  <w:style w:type="paragraph" w:styleId="1226">
    <w:name w:val="Char2 Char Char Char Char Char Char1"/>
    <w:basedOn w:val="882"/>
    <w:next w:val="1226"/>
    <w:link w:val="882"/>
    <w:qFormat/>
    <w:pPr>
      <w:jc w:val="center"/>
      <w:spacing w:line="400" w:lineRule="exact"/>
      <w:widowControl/>
    </w:pPr>
  </w:style>
  <w:style w:type="paragraph" w:styleId="1227">
    <w:name w:val="缺省文本"/>
    <w:basedOn w:val="882"/>
    <w:next w:val="1227"/>
    <w:link w:val="882"/>
    <w:qFormat/>
    <w:pPr>
      <w:jc w:val="left"/>
    </w:pPr>
    <w:rPr>
      <w:sz w:val="24"/>
    </w:rPr>
  </w:style>
  <w:style w:type="paragraph" w:styleId="1228">
    <w:name w:val="Char1"/>
    <w:basedOn w:val="882"/>
    <w:next w:val="1228"/>
    <w:link w:val="882"/>
    <w:qFormat/>
    <w:pPr>
      <w:tabs>
        <w:tab w:val="left" w:pos="360" w:leader="none"/>
      </w:tabs>
    </w:pPr>
    <w:rPr>
      <w:sz w:val="24"/>
    </w:rPr>
  </w:style>
  <w:style w:type="paragraph" w:styleId="1229">
    <w:name w:val="Char Char Char Char Char Char Char"/>
    <w:basedOn w:val="882"/>
    <w:next w:val="1229"/>
    <w:link w:val="882"/>
    <w:qFormat/>
    <w:pPr>
      <w:ind w:firstLine="200"/>
      <w:spacing w:line="360" w:lineRule="auto"/>
    </w:pPr>
    <w:rPr>
      <w:rFonts w:eastAsia="仿宋_GB2312"/>
      <w:sz w:val="24"/>
    </w:rPr>
  </w:style>
  <w:style w:type="paragraph" w:styleId="1230">
    <w:name w:val="字元 字元2"/>
    <w:basedOn w:val="882"/>
    <w:next w:val="1230"/>
    <w:link w:val="882"/>
    <w:qFormat/>
    <w:rPr>
      <w:rFonts w:ascii="Tahoma" w:hAnsi="Tahoma"/>
      <w:sz w:val="24"/>
      <w:szCs w:val="20"/>
    </w:rPr>
  </w:style>
  <w:style w:type="paragraph" w:styleId="1231">
    <w:name w:val="Char Char Char Char Char Char Char1"/>
    <w:basedOn w:val="882"/>
    <w:next w:val="1231"/>
    <w:link w:val="882"/>
    <w:qFormat/>
    <w:pPr>
      <w:ind w:firstLine="200"/>
      <w:spacing w:line="360" w:lineRule="auto"/>
    </w:pPr>
    <w:rPr>
      <w:rFonts w:eastAsia="仿宋_GB2312"/>
      <w:sz w:val="24"/>
    </w:rPr>
  </w:style>
  <w:style w:type="paragraph" w:styleId="1232">
    <w:name w:val="xl41"/>
    <w:basedOn w:val="882"/>
    <w:next w:val="1232"/>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name w:val="Char2"/>
    <w:basedOn w:val="882"/>
    <w:next w:val="1233"/>
    <w:link w:val="882"/>
    <w:qFormat/>
    <w:rPr>
      <w:rFonts w:ascii="Tahoma" w:hAnsi="Tahoma"/>
      <w:sz w:val="24"/>
      <w:szCs w:val="20"/>
    </w:rPr>
  </w:style>
  <w:style w:type="paragraph" w:styleId="1234">
    <w:name w:val="xl52"/>
    <w:basedOn w:val="882"/>
    <w:next w:val="123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5">
    <w:name w:val="字元 字元"/>
    <w:basedOn w:val="882"/>
    <w:next w:val="1235"/>
    <w:link w:val="882"/>
    <w:qFormat/>
    <w:rPr>
      <w:rFonts w:ascii="Tahoma" w:hAnsi="Tahoma"/>
      <w:sz w:val="24"/>
      <w:szCs w:val="20"/>
    </w:rPr>
  </w:style>
  <w:style w:type="paragraph" w:styleId="1236">
    <w:name w:val="修订1"/>
    <w:next w:val="1236"/>
    <w:link w:val="882"/>
    <w:qFormat/>
    <w:rPr>
      <w:sz w:val="21"/>
      <w:szCs w:val="24"/>
      <w:lang w:val="en-US" w:eastAsia="zh-CN" w:bidi="ar-SA"/>
    </w:rPr>
  </w:style>
  <w:style w:type="paragraph" w:styleId="1237">
    <w:name w:val="font8"/>
    <w:basedOn w:val="882"/>
    <w:next w:val="1237"/>
    <w:link w:val="882"/>
    <w:qFormat/>
    <w:pPr>
      <w:jc w:val="left"/>
      <w:spacing w:before="100" w:beforeAutospacing="1" w:after="100" w:afterAutospacing="1"/>
      <w:widowControl/>
    </w:pPr>
    <w:rPr>
      <w:sz w:val="36"/>
      <w:szCs w:val="36"/>
    </w:rPr>
  </w:style>
  <w:style w:type="paragraph" w:styleId="1238">
    <w:name w:val="font5"/>
    <w:basedOn w:val="882"/>
    <w:next w:val="1238"/>
    <w:link w:val="882"/>
    <w:qFormat/>
    <w:pPr>
      <w:jc w:val="left"/>
      <w:spacing w:before="100" w:beforeAutospacing="1" w:after="100" w:afterAutospacing="1"/>
      <w:widowControl/>
    </w:pPr>
    <w:rPr>
      <w:rFonts w:ascii="宋体" w:hAnsi="宋体" w:cs="宋体"/>
      <w:sz w:val="18"/>
      <w:szCs w:val="18"/>
    </w:rPr>
  </w:style>
  <w:style w:type="paragraph" w:styleId="1239">
    <w:name w:val="xl49"/>
    <w:basedOn w:val="882"/>
    <w:next w:val="123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0">
    <w:name w:val="Char Char4"/>
    <w:basedOn w:val="882"/>
    <w:next w:val="1240"/>
    <w:link w:val="882"/>
    <w:qFormat/>
    <w:pPr>
      <w:jc w:val="center"/>
      <w:spacing w:line="400" w:lineRule="exact"/>
      <w:widowControl/>
    </w:pPr>
  </w:style>
  <w:style w:type="paragraph" w:styleId="1241">
    <w:name w:val="xl28"/>
    <w:basedOn w:val="882"/>
    <w:next w:val="124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3"/>
    <w:basedOn w:val="882"/>
    <w:next w:val="124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47"/>
    <w:basedOn w:val="882"/>
    <w:next w:val="1243"/>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31"/>
    <w:basedOn w:val="882"/>
    <w:next w:val="124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name w:val="Char Char Char1 Char1"/>
    <w:basedOn w:val="882"/>
    <w:next w:val="1245"/>
    <w:link w:val="882"/>
    <w:qFormat/>
    <w:rPr>
      <w:rFonts w:ascii="Tahoma" w:hAnsi="Tahoma"/>
      <w:sz w:val="24"/>
      <w:szCs w:val="20"/>
    </w:rPr>
  </w:style>
  <w:style w:type="paragraph" w:styleId="1246">
    <w:name w:val="Char Char Char1"/>
    <w:basedOn w:val="882"/>
    <w:next w:val="1246"/>
    <w:link w:val="882"/>
    <w:qFormat/>
    <w:rPr>
      <w:rFonts w:ascii="Tahoma" w:hAnsi="Tahoma"/>
      <w:sz w:val="24"/>
      <w:szCs w:val="20"/>
    </w:rPr>
  </w:style>
  <w:style w:type="paragraph" w:styleId="1247">
    <w:name w:val="xl42"/>
    <w:basedOn w:val="882"/>
    <w:next w:val="124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8">
    <w:name w:val="无标题条"/>
    <w:next w:val="882"/>
    <w:link w:val="882"/>
    <w:qFormat/>
    <w:pPr>
      <w:jc w:val="both"/>
    </w:pPr>
    <w:rPr>
      <w:sz w:val="21"/>
      <w:lang w:val="en-US" w:eastAsia="zh-CN" w:bidi="ar-SA"/>
    </w:rPr>
  </w:style>
  <w:style w:type="paragraph" w:styleId="1249">
    <w:name w:val="Char Char1 Char Char Char Char Char Char Char Char"/>
    <w:basedOn w:val="882"/>
    <w:next w:val="1249"/>
    <w:link w:val="882"/>
    <w:qFormat/>
    <w:pPr>
      <w:jc w:val="left"/>
      <w:spacing w:after="160" w:line="240" w:lineRule="exact"/>
      <w:widowControl/>
    </w:pPr>
    <w:rPr>
      <w:rFonts w:ascii="Verdana" w:hAnsi="Verdana"/>
      <w:sz w:val="20"/>
      <w:szCs w:val="20"/>
      <w:lang w:eastAsia="en-US"/>
    </w:rPr>
  </w:style>
  <w:style w:type="paragraph" w:styleId="1250">
    <w:name w:val="项目编号3"/>
    <w:basedOn w:val="1212"/>
    <w:next w:val="1250"/>
    <w:link w:val="882"/>
    <w:qFormat/>
    <w:pPr>
      <w:numPr>
        <w:ilvl w:val="0"/>
        <w:numId w:val="2"/>
      </w:numPr>
    </w:pPr>
  </w:style>
  <w:style w:type="paragraph" w:styleId="1251">
    <w:name w:val="字元 字元1"/>
    <w:basedOn w:val="882"/>
    <w:next w:val="1251"/>
    <w:link w:val="882"/>
    <w:qFormat/>
    <w:rPr>
      <w:rFonts w:ascii="Tahoma" w:hAnsi="Tahoma"/>
      <w:sz w:val="24"/>
      <w:szCs w:val="20"/>
    </w:rPr>
  </w:style>
  <w:style w:type="paragraph" w:styleId="1252">
    <w:name w:val="xl23"/>
    <w:basedOn w:val="882"/>
    <w:next w:val="1252"/>
    <w:link w:val="882"/>
    <w:qFormat/>
    <w:pPr>
      <w:spacing w:before="100" w:beforeAutospacing="1" w:after="100" w:afterAutospacing="1" w:line="360" w:lineRule="auto"/>
      <w:widowControl/>
    </w:pPr>
    <w:rPr>
      <w:sz w:val="24"/>
      <w:szCs w:val="20"/>
    </w:rPr>
  </w:style>
  <w:style w:type="paragraph" w:styleId="1253">
    <w:name w:val="xl34"/>
    <w:basedOn w:val="882"/>
    <w:next w:val="1253"/>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4">
    <w:name w:val="Char Char Char Char Char Char Char Char Char Char1"/>
    <w:basedOn w:val="882"/>
    <w:next w:val="1254"/>
    <w:link w:val="882"/>
    <w:qFormat/>
    <w:rPr>
      <w:rFonts w:ascii="宋体" w:hAnsi="宋体" w:cs="Courier New"/>
      <w:sz w:val="32"/>
      <w:szCs w:val="32"/>
    </w:rPr>
  </w:style>
  <w:style w:type="paragraph" w:styleId="1255">
    <w:name w:val="Char2 Char Char Char Char Char Char"/>
    <w:basedOn w:val="882"/>
    <w:next w:val="1255"/>
    <w:link w:val="882"/>
    <w:qFormat/>
    <w:pPr>
      <w:jc w:val="center"/>
      <w:spacing w:line="400" w:lineRule="exact"/>
      <w:widowControl/>
    </w:pPr>
  </w:style>
  <w:style w:type="paragraph" w:styleId="1256">
    <w:name w:val="五级条标题"/>
    <w:basedOn w:val="1257"/>
    <w:next w:val="882"/>
    <w:link w:val="882"/>
    <w:qFormat/>
    <w:pPr>
      <w:numPr>
        <w:ilvl w:val="5"/>
      </w:numPr>
      <w:ind w:left="0" w:hanging="840"/>
      <w:tabs>
        <w:tab w:val="left" w:pos="360" w:leader="none"/>
        <w:tab w:val="left" w:pos="840" w:leader="none"/>
      </w:tabs>
      <w:outlineLvl w:val="5"/>
    </w:pPr>
  </w:style>
  <w:style w:type="paragraph" w:styleId="1257">
    <w:name w:val="四级条标题"/>
    <w:basedOn w:val="1218"/>
    <w:next w:val="882"/>
    <w:link w:val="882"/>
    <w:qFormat/>
    <w:pPr>
      <w:numPr>
        <w:ilvl w:val="4"/>
      </w:numPr>
      <w:ind w:left="0" w:hanging="840"/>
      <w:tabs>
        <w:tab w:val="left" w:pos="360" w:leader="none"/>
        <w:tab w:val="left" w:pos="840" w:leader="none"/>
      </w:tabs>
      <w:outlineLvl w:val="4"/>
    </w:pPr>
  </w:style>
  <w:style w:type="paragraph" w:styleId="1258">
    <w:name w:val="xl50"/>
    <w:basedOn w:val="882"/>
    <w:next w:val="1258"/>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9">
    <w:name w:val="Char Char Char1 Char2"/>
    <w:basedOn w:val="882"/>
    <w:next w:val="1259"/>
    <w:link w:val="882"/>
    <w:qFormat/>
    <w:rPr>
      <w:rFonts w:ascii="Tahoma" w:hAnsi="Tahoma"/>
      <w:sz w:val="24"/>
      <w:szCs w:val="20"/>
    </w:rPr>
  </w:style>
  <w:style w:type="paragraph" w:styleId="1260">
    <w:name w:val="xl29"/>
    <w:basedOn w:val="882"/>
    <w:next w:val="126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须知-2级"/>
    <w:basedOn w:val="882"/>
    <w:next w:val="1261"/>
    <w:link w:val="882"/>
    <w:qFormat/>
    <w:pPr>
      <w:numPr>
        <w:ilvl w:val="1"/>
        <w:numId w:val="3"/>
      </w:numPr>
      <w:spacing w:line="300" w:lineRule="auto"/>
    </w:pPr>
    <w:rPr>
      <w:rFonts w:ascii="宋体" w:hAnsi="Calibri"/>
      <w:sz w:val="24"/>
      <w:szCs w:val="21"/>
    </w:rPr>
  </w:style>
  <w:style w:type="paragraph" w:styleId="1262">
    <w:name w:val="Table Paragraph"/>
    <w:basedOn w:val="882"/>
    <w:next w:val="1262"/>
    <w:link w:val="882"/>
    <w:uiPriority w:val="1"/>
    <w:qFormat/>
    <w:pPr>
      <w:jc w:val="left"/>
    </w:pPr>
    <w:rPr>
      <w:rFonts w:ascii="宋体" w:hAnsi="宋体" w:cs="宋体"/>
      <w:sz w:val="22"/>
      <w:szCs w:val="22"/>
      <w:lang w:eastAsia="en-US"/>
    </w:rPr>
  </w:style>
  <w:style w:type="paragraph" w:styleId="1263">
    <w:name w:val="xl24"/>
    <w:basedOn w:val="882"/>
    <w:next w:val="1263"/>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name w:val="Default"/>
    <w:next w:val="1264"/>
    <w:link w:val="882"/>
    <w:qFormat/>
    <w:pPr>
      <w:widowControl w:val="off"/>
    </w:pPr>
    <w:rPr>
      <w:rFonts w:ascii="Symbol" w:hAnsi="Symbol" w:cs="Symbol"/>
      <w:color w:val="000000"/>
      <w:sz w:val="24"/>
      <w:szCs w:val="24"/>
      <w:lang w:val="en-US" w:eastAsia="zh-CN" w:bidi="ar-SA"/>
    </w:rPr>
  </w:style>
  <w:style w:type="paragraph" w:styleId="1265">
    <w:name w:val="22222222222222"/>
    <w:basedOn w:val="882"/>
    <w:next w:val="1265"/>
    <w:link w:val="882"/>
    <w:qFormat/>
    <w:pPr>
      <w:ind w:firstLine="480"/>
      <w:jc w:val="left"/>
      <w:spacing w:line="360" w:lineRule="auto"/>
      <w:widowControl/>
    </w:pPr>
    <w:rPr>
      <w:color w:val="ff0000"/>
      <w:sz w:val="24"/>
      <w:szCs w:val="20"/>
    </w:rPr>
  </w:style>
  <w:style w:type="paragraph" w:styleId="1266">
    <w:name w:val="项目编号1"/>
    <w:basedOn w:val="882"/>
    <w:next w:val="1266"/>
    <w:link w:val="882"/>
    <w:qFormat/>
    <w:pPr>
      <w:numPr>
        <w:ilvl w:val="0"/>
        <w:numId w:val="4"/>
      </w:numPr>
      <w:spacing w:before="100" w:beforeAutospacing="1" w:after="100" w:afterAutospacing="1" w:line="360" w:lineRule="auto"/>
    </w:pPr>
    <w:rPr>
      <w:sz w:val="24"/>
    </w:rPr>
  </w:style>
  <w:style w:type="paragraph" w:styleId="1267">
    <w:name w:val="正文 + 楷体_GB2312"/>
    <w:basedOn w:val="882"/>
    <w:next w:val="1267"/>
    <w:link w:val="882"/>
    <w:qFormat/>
    <w:pPr>
      <w:jc w:val="left"/>
      <w:widowControl/>
    </w:pPr>
    <w:rPr>
      <w:rFonts w:ascii="楷体_GB2312" w:eastAsia="楷体_GB2312" w:cs="Arial"/>
      <w:sz w:val="24"/>
    </w:rPr>
  </w:style>
  <w:style w:type="paragraph" w:styleId="1268">
    <w:name w:val="正文须知-1级"/>
    <w:basedOn w:val="882"/>
    <w:next w:val="882"/>
    <w:link w:val="882"/>
    <w:qFormat/>
    <w:pPr>
      <w:numPr>
        <w:ilvl w:val="0"/>
        <w:numId w:val="3"/>
      </w:numPr>
      <w:spacing w:line="300" w:lineRule="auto"/>
    </w:pPr>
    <w:rPr>
      <w:rFonts w:ascii="宋体" w:hAnsi="Calibri"/>
      <w:sz w:val="24"/>
      <w:szCs w:val="21"/>
    </w:rPr>
  </w:style>
  <w:style w:type="paragraph" w:styleId="1269">
    <w:name w:val="Char Char1 Char Char Char Char Char Char"/>
    <w:basedOn w:val="882"/>
    <w:next w:val="1269"/>
    <w:link w:val="882"/>
    <w:qFormat/>
    <w:pPr>
      <w:jc w:val="left"/>
      <w:spacing w:after="160" w:line="240" w:lineRule="exact"/>
      <w:widowControl/>
    </w:pPr>
    <w:rPr>
      <w:rFonts w:ascii="Verdana" w:hAnsi="Verdana" w:eastAsia="仿宋_GB2312"/>
      <w:sz w:val="24"/>
      <w:szCs w:val="20"/>
      <w:lang w:eastAsia="en-US"/>
    </w:rPr>
  </w:style>
  <w:style w:type="paragraph" w:styleId="1270">
    <w:name w:val="表格文字"/>
    <w:basedOn w:val="1104"/>
    <w:next w:val="1270"/>
    <w:link w:val="882"/>
    <w:qFormat/>
    <w:pPr>
      <w:ind w:firstLine="0"/>
      <w:spacing w:before="20" w:after="20" w:line="240" w:lineRule="auto"/>
    </w:pPr>
    <w:rPr>
      <w:rFonts w:ascii="Century Gothic" w:hAnsi="Century Gothic"/>
      <w:sz w:val="20"/>
      <w:szCs w:val="20"/>
    </w:rPr>
  </w:style>
  <w:style w:type="paragraph" w:styleId="1271">
    <w:name w:val="xl30"/>
    <w:basedOn w:val="882"/>
    <w:next w:val="127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name w:val="表格1"/>
    <w:basedOn w:val="882"/>
    <w:next w:val="1272"/>
    <w:link w:val="882"/>
    <w:qFormat/>
    <w:pPr>
      <w:ind w:firstLine="480"/>
      <w:jc w:val="center"/>
    </w:pPr>
    <w:rPr>
      <w:sz w:val="24"/>
      <w:szCs w:val="20"/>
    </w:rPr>
  </w:style>
  <w:style w:type="paragraph" w:styleId="1273">
    <w:name w:val="background1"/>
    <w:basedOn w:val="882"/>
    <w:next w:val="1273"/>
    <w:link w:val="882"/>
    <w:qFormat/>
    <w:pPr>
      <w:jc w:val="left"/>
      <w:spacing w:before="100" w:beforeAutospacing="1" w:after="100" w:afterAutospacing="1"/>
      <w:widowControl/>
    </w:pPr>
    <w:rPr>
      <w:rFonts w:ascii="宋体" w:hAnsi="宋体" w:cs="宋体"/>
      <w:sz w:val="24"/>
    </w:rPr>
  </w:style>
  <w:style w:type="paragraph" w:styleId="1274">
    <w:name w:val="纯文本1"/>
    <w:next w:val="1274"/>
    <w:link w:val="882"/>
    <w:qFormat/>
    <w:pPr>
      <w:jc w:val="both"/>
      <w:widowControl w:val="off"/>
    </w:pPr>
    <w:rPr>
      <w:rFonts w:ascii="宋体" w:hAnsi="宋体"/>
      <w:sz w:val="26"/>
      <w:lang w:val="en-US" w:eastAsia="zh-CN" w:bidi="ar-SA"/>
    </w:rPr>
  </w:style>
  <w:style w:type="paragraph" w:styleId="1275">
    <w:name w:val="Char Char Char1 Char"/>
    <w:basedOn w:val="882"/>
    <w:next w:val="1275"/>
    <w:link w:val="882"/>
    <w:qFormat/>
    <w:rPr>
      <w:rFonts w:ascii="Tahoma" w:hAnsi="Tahoma"/>
      <w:sz w:val="24"/>
      <w:szCs w:val="20"/>
    </w:rPr>
  </w:style>
  <w:style w:type="paragraph" w:styleId="1276">
    <w:name w:val="font9"/>
    <w:basedOn w:val="882"/>
    <w:next w:val="1276"/>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277">
    <w:name w:val="正文文本缩进2"/>
    <w:basedOn w:val="882"/>
    <w:next w:val="1277"/>
    <w:link w:val="882"/>
    <w:qFormat/>
    <w:pPr>
      <w:ind w:firstLine="480"/>
      <w:spacing w:line="480" w:lineRule="exact"/>
    </w:pPr>
    <w:rPr>
      <w:rFonts w:ascii="宋体" w:hAnsi="宋体"/>
      <w:sz w:val="24"/>
      <w:lang w:val="zh-CN"/>
    </w:rPr>
  </w:style>
  <w:style w:type="paragraph" w:styleId="1278">
    <w:name w:val="正文文本样式 加粗"/>
    <w:basedOn w:val="1212"/>
    <w:next w:val="1278"/>
    <w:link w:val="882"/>
    <w:qFormat/>
    <w:rPr>
      <w:b/>
    </w:rPr>
  </w:style>
  <w:style w:type="paragraph" w:styleId="1279">
    <w:name w:val="正文须知-3级"/>
    <w:basedOn w:val="882"/>
    <w:next w:val="1279"/>
    <w:link w:val="882"/>
    <w:qFormat/>
    <w:pPr>
      <w:numPr>
        <w:ilvl w:val="2"/>
        <w:numId w:val="3"/>
      </w:numPr>
      <w:ind w:hanging="355"/>
      <w:spacing w:line="300" w:lineRule="auto"/>
    </w:pPr>
    <w:rPr>
      <w:rFonts w:ascii="宋体" w:hAnsi="Calibri"/>
      <w:sz w:val="24"/>
      <w:szCs w:val="21"/>
    </w:rPr>
  </w:style>
  <w:style w:type="paragraph" w:styleId="1280">
    <w:name w:val="Char3 Char Char Char"/>
    <w:basedOn w:val="882"/>
    <w:next w:val="1280"/>
    <w:link w:val="882"/>
    <w:qFormat/>
    <w:rPr>
      <w:rFonts w:ascii="Tahoma" w:hAnsi="Tahoma"/>
      <w:sz w:val="24"/>
      <w:szCs w:val="20"/>
    </w:rPr>
  </w:style>
  <w:style w:type="paragraph" w:styleId="1281">
    <w:name w:val="Char Char Char Char Char Char Char Char Char Char Char Char Char Char Char Char"/>
    <w:basedOn w:val="882"/>
    <w:next w:val="1281"/>
    <w:link w:val="882"/>
    <w:qFormat/>
    <w:pPr>
      <w:jc w:val="center"/>
      <w:spacing w:after="160" w:line="240" w:lineRule="exact"/>
      <w:widowControl/>
    </w:pPr>
    <w:rPr>
      <w:rFonts w:ascii="宋体" w:hAnsi="宋体"/>
      <w:b/>
      <w:sz w:val="30"/>
      <w:szCs w:val="30"/>
      <w:lang w:eastAsia="en-US"/>
    </w:rPr>
  </w:style>
  <w:style w:type="paragraph" w:styleId="1282">
    <w:name w:val="Char Char Char"/>
    <w:basedOn w:val="882"/>
    <w:next w:val="1282"/>
    <w:link w:val="882"/>
    <w:qFormat/>
    <w:rPr>
      <w:rFonts w:ascii="Tahoma" w:hAnsi="Tahoma"/>
      <w:sz w:val="24"/>
      <w:szCs w:val="20"/>
    </w:rPr>
  </w:style>
  <w:style w:type="paragraph" w:styleId="1283">
    <w:name w:val="_Style 160"/>
    <w:next w:val="1283"/>
    <w:link w:val="882"/>
    <w:qFormat/>
    <w:rPr>
      <w:sz w:val="21"/>
      <w:szCs w:val="24"/>
      <w:lang w:val="en-US" w:eastAsia="zh-CN" w:bidi="ar-SA"/>
    </w:rPr>
  </w:style>
  <w:style w:type="paragraph" w:styleId="1284">
    <w:name w:val="xl36"/>
    <w:basedOn w:val="882"/>
    <w:next w:val="1284"/>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name w:val="修订2"/>
    <w:next w:val="1285"/>
    <w:link w:val="882"/>
    <w:uiPriority w:val="99"/>
    <w:unhideWhenUsed/>
    <w:qFormat/>
    <w:rPr>
      <w:sz w:val="21"/>
      <w:szCs w:val="24"/>
      <w:lang w:val="en-US" w:eastAsia="zh-CN" w:bidi="ar-SA"/>
    </w:rPr>
  </w:style>
  <w:style w:type="paragraph" w:styleId="1286">
    <w:name w:val="Char Char1"/>
    <w:basedOn w:val="1096"/>
    <w:next w:val="1286"/>
    <w:link w:val="882"/>
    <w:qFormat/>
    <w:rPr>
      <w:rFonts w:ascii="Tahoma" w:hAnsi="Tahoma"/>
      <w:sz w:val="24"/>
    </w:rPr>
  </w:style>
  <w:style w:type="paragraph" w:styleId="1287">
    <w:name w:val="正文列项_字母"/>
    <w:basedOn w:val="882"/>
    <w:next w:val="1287"/>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288">
    <w:name w:val="图例"/>
    <w:basedOn w:val="882"/>
    <w:next w:val="1288"/>
    <w:link w:val="882"/>
    <w:qFormat/>
    <w:pPr>
      <w:jc w:val="center"/>
      <w:spacing w:before="120" w:after="120" w:line="360" w:lineRule="auto"/>
    </w:pPr>
    <w:rPr>
      <w:rFonts w:eastAsia="仿宋_GB2312"/>
      <w:b/>
      <w:sz w:val="24"/>
      <w:szCs w:val="20"/>
    </w:rPr>
  </w:style>
  <w:style w:type="paragraph" w:styleId="1289">
    <w:name w:val="xl39"/>
    <w:basedOn w:val="882"/>
    <w:next w:val="128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37"/>
    <w:basedOn w:val="882"/>
    <w:next w:val="1290"/>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name w:val="xl48"/>
    <w:basedOn w:val="882"/>
    <w:next w:val="129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2">
    <w:name w:val="项目编号2"/>
    <w:basedOn w:val="1266"/>
    <w:next w:val="1292"/>
    <w:link w:val="882"/>
    <w:qFormat/>
    <w:pPr>
      <w:numPr>
        <w:numId w:val="5"/>
      </w:numPr>
    </w:pPr>
  </w:style>
  <w:style w:type="paragraph" w:styleId="1293">
    <w:name w:val="样式 标题 2 + 宋体 五号 行距: 单倍行距"/>
    <w:basedOn w:val="1074"/>
    <w:next w:val="1293"/>
    <w:link w:val="88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94">
    <w:name w:val="??"/>
    <w:next w:val="1294"/>
    <w:link w:val="882"/>
    <w:qFormat/>
    <w:pPr>
      <w:jc w:val="both"/>
      <w:widowControl w:val="off"/>
    </w:pPr>
    <w:rPr>
      <w:sz w:val="21"/>
      <w:lang w:val="en-US" w:eastAsia="en-US" w:bidi="ar-SA"/>
    </w:rPr>
  </w:style>
  <w:style w:type="paragraph" w:styleId="1295">
    <w:name w:val="xl44"/>
    <w:basedOn w:val="882"/>
    <w:next w:val="1295"/>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6">
    <w:name w:val="样式2"/>
    <w:basedOn w:val="1133"/>
    <w:next w:val="1296"/>
    <w:link w:val="882"/>
    <w:qFormat/>
    <w:pPr>
      <w:jc w:val="center"/>
      <w:spacing w:line="360" w:lineRule="auto"/>
    </w:pPr>
    <w:rPr>
      <w:sz w:val="24"/>
    </w:rPr>
  </w:style>
  <w:style w:type="paragraph" w:styleId="1297">
    <w:name w:val="xl51"/>
    <w:basedOn w:val="882"/>
    <w:next w:val="129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图文"/>
    <w:basedOn w:val="882"/>
    <w:next w:val="1298"/>
    <w:link w:val="882"/>
    <w:qFormat/>
    <w:pPr>
      <w:spacing w:after="50" w:line="360" w:lineRule="auto"/>
    </w:pPr>
    <w:rPr>
      <w:sz w:val="24"/>
    </w:rPr>
  </w:style>
  <w:style w:type="paragraph" w:styleId="1299">
    <w:name w:val="Char Char Char Char Char Char Char Char Char Char Char Char Char Char Char Char1"/>
    <w:basedOn w:val="882"/>
    <w:next w:val="1299"/>
    <w:link w:val="882"/>
    <w:qFormat/>
    <w:pPr>
      <w:jc w:val="center"/>
      <w:spacing w:after="160" w:line="240" w:lineRule="exact"/>
      <w:widowControl/>
    </w:pPr>
    <w:rPr>
      <w:rFonts w:ascii="宋体" w:hAnsi="宋体"/>
      <w:b/>
      <w:sz w:val="30"/>
      <w:szCs w:val="30"/>
      <w:lang w:eastAsia="en-US"/>
    </w:rPr>
  </w:style>
  <w:style w:type="paragraph" w:styleId="1300">
    <w:name w:val="正文 + 宋体"/>
    <w:basedOn w:val="882"/>
    <w:next w:val="1300"/>
    <w:link w:val="882"/>
    <w:qFormat/>
    <w:pPr>
      <w:ind w:left="360" w:hanging="360"/>
      <w:jc w:val="left"/>
      <w:widowControl/>
    </w:pPr>
    <w:rPr>
      <w:rFonts w:ascii="宋体" w:hAnsi="宋体" w:cs="宋体"/>
      <w:b/>
      <w:bCs/>
      <w:color w:val="000000"/>
      <w:sz w:val="18"/>
      <w:szCs w:val="18"/>
    </w:rPr>
  </w:style>
  <w:style w:type="paragraph" w:styleId="1301">
    <w:name w:val="Char3 Char Char Char2"/>
    <w:basedOn w:val="882"/>
    <w:next w:val="1301"/>
    <w:link w:val="882"/>
    <w:qFormat/>
    <w:rPr>
      <w:rFonts w:ascii="Tahoma" w:hAnsi="Tahoma"/>
      <w:sz w:val="24"/>
      <w:szCs w:val="20"/>
    </w:rPr>
  </w:style>
  <w:style w:type="paragraph" w:styleId="1302">
    <w:name w:val="xl27"/>
    <w:basedOn w:val="882"/>
    <w:next w:val="130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name w:val="Char Char1 Char Char Char Char Char Char1"/>
    <w:basedOn w:val="882"/>
    <w:next w:val="1303"/>
    <w:link w:val="882"/>
    <w:qFormat/>
    <w:pPr>
      <w:jc w:val="left"/>
      <w:spacing w:after="160" w:line="240" w:lineRule="exact"/>
      <w:widowControl/>
    </w:pPr>
    <w:rPr>
      <w:rFonts w:ascii="Verdana" w:hAnsi="Verdana" w:eastAsia="仿宋_GB2312"/>
      <w:sz w:val="24"/>
      <w:szCs w:val="20"/>
      <w:lang w:eastAsia="en-US"/>
    </w:rPr>
  </w:style>
  <w:style w:type="paragraph" w:styleId="1304">
    <w:name w:val="1 Char Char Char Char"/>
    <w:basedOn w:val="882"/>
    <w:next w:val="1304"/>
    <w:link w:val="882"/>
    <w:qFormat/>
    <w:rPr>
      <w:rFonts w:ascii="Tahoma" w:hAnsi="Tahoma"/>
      <w:sz w:val="24"/>
      <w:szCs w:val="20"/>
    </w:rPr>
  </w:style>
  <w:style w:type="paragraph" w:styleId="1305">
    <w:name w:val="List Paragraph1"/>
    <w:basedOn w:val="882"/>
    <w:next w:val="1305"/>
    <w:link w:val="882"/>
    <w:qFormat/>
    <w:pPr>
      <w:ind w:firstLine="420"/>
    </w:pPr>
    <w:rPr>
      <w:rFonts w:ascii="Calibri" w:hAnsi="Calibri"/>
      <w:szCs w:val="22"/>
    </w:rPr>
  </w:style>
  <w:style w:type="paragraph" w:styleId="1306">
    <w:name w:val="文档正文"/>
    <w:basedOn w:val="882"/>
    <w:next w:val="1306"/>
    <w:link w:val="882"/>
    <w:qFormat/>
    <w:pPr>
      <w:spacing w:before="120" w:after="120" w:line="180" w:lineRule="auto"/>
    </w:pPr>
    <w:rPr>
      <w:rFonts w:ascii="Arial" w:hAnsi="Arial"/>
      <w:szCs w:val="20"/>
    </w:rPr>
  </w:style>
  <w:style w:type="paragraph" w:styleId="1307">
    <w:name w:val="xl32"/>
    <w:basedOn w:val="882"/>
    <w:next w:val="130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name w:val="列出段落2"/>
    <w:basedOn w:val="882"/>
    <w:next w:val="1308"/>
    <w:link w:val="882"/>
    <w:qFormat/>
    <w:pPr>
      <w:ind w:firstLine="420"/>
    </w:pPr>
    <w:rPr>
      <w:rFonts w:ascii="Calibri" w:hAnsi="Calibri"/>
      <w:szCs w:val="22"/>
    </w:rPr>
  </w:style>
  <w:style w:type="paragraph" w:styleId="1309">
    <w:name w:val="font6"/>
    <w:basedOn w:val="882"/>
    <w:next w:val="1309"/>
    <w:link w:val="882"/>
    <w:qFormat/>
    <w:pPr>
      <w:jc w:val="left"/>
      <w:spacing w:before="100" w:beforeAutospacing="1" w:after="100" w:afterAutospacing="1"/>
      <w:widowControl/>
    </w:pPr>
    <w:rPr>
      <w:rFonts w:ascii="宋体" w:hAnsi="宋体" w:cs="宋体"/>
      <w:sz w:val="20"/>
      <w:szCs w:val="20"/>
    </w:rPr>
  </w:style>
  <w:style w:type="paragraph" w:styleId="1310">
    <w:name w:val="xl43"/>
    <w:basedOn w:val="882"/>
    <w:next w:val="1310"/>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1">
    <w:name w:val="Char3"/>
    <w:basedOn w:val="882"/>
    <w:next w:val="1311"/>
    <w:link w:val="882"/>
    <w:qFormat/>
    <w:pPr>
      <w:tabs>
        <w:tab w:val="left" w:pos="360" w:leader="none"/>
      </w:tabs>
    </w:pPr>
    <w:rPr>
      <w:sz w:val="24"/>
    </w:rPr>
  </w:style>
  <w:style w:type="paragraph" w:styleId="1312">
    <w:name w:val="样式 宋体 五号 行距: 单倍行距"/>
    <w:basedOn w:val="882"/>
    <w:next w:val="1312"/>
    <w:link w:val="882"/>
    <w:qFormat/>
    <w:pPr>
      <w:jc w:val="left"/>
    </w:pPr>
    <w:rPr>
      <w:rFonts w:ascii="宋体" w:hAnsi="宋体"/>
      <w:szCs w:val="20"/>
    </w:rPr>
  </w:style>
  <w:style w:type="paragraph" w:styleId="1313">
    <w:name w:val="标题1-附件"/>
    <w:basedOn w:val="1072"/>
    <w:next w:val="1313"/>
    <w:link w:val="882"/>
    <w:qFormat/>
    <w:pPr>
      <w:jc w:val="left"/>
    </w:pPr>
    <w:rPr>
      <w:sz w:val="24"/>
      <w:szCs w:val="24"/>
    </w:rPr>
  </w:style>
  <w:style w:type="paragraph" w:styleId="1314">
    <w:name w:val="default"/>
    <w:basedOn w:val="882"/>
    <w:next w:val="1314"/>
    <w:link w:val="882"/>
    <w:qFormat/>
    <w:pPr>
      <w:jc w:val="left"/>
      <w:spacing w:before="100" w:beforeAutospacing="1" w:after="100" w:afterAutospacing="1"/>
      <w:widowControl/>
    </w:pPr>
    <w:rPr>
      <w:rFonts w:ascii="宋体" w:hAnsi="宋体" w:cs="宋体"/>
      <w:sz w:val="24"/>
    </w:rPr>
  </w:style>
  <w:style w:type="paragraph" w:styleId="1315">
    <w:name w:val="font7"/>
    <w:basedOn w:val="882"/>
    <w:next w:val="1315"/>
    <w:link w:val="882"/>
    <w:qFormat/>
    <w:pPr>
      <w:jc w:val="left"/>
      <w:spacing w:before="100" w:beforeAutospacing="1" w:after="100" w:afterAutospacing="1"/>
      <w:widowControl/>
    </w:pPr>
    <w:rPr>
      <w:rFonts w:eastAsia="Arial Unicode MS"/>
      <w:b/>
      <w:bCs/>
      <w:color w:val="000000"/>
      <w:sz w:val="20"/>
      <w:szCs w:val="20"/>
    </w:rPr>
  </w:style>
  <w:style w:type="paragraph" w:styleId="1316">
    <w:name w:val="1名"/>
    <w:basedOn w:val="882"/>
    <w:next w:val="1316"/>
    <w:link w:val="882"/>
    <w:qFormat/>
    <w:pPr>
      <w:numPr>
        <w:ilvl w:val="0"/>
        <w:numId w:val="7"/>
      </w:numPr>
      <w:spacing w:before="120"/>
      <w:tabs>
        <w:tab w:val="left" w:pos="360" w:leader="none"/>
      </w:tabs>
    </w:pPr>
    <w:rPr>
      <w:rFonts w:ascii="宋体"/>
      <w:sz w:val="28"/>
      <w:szCs w:val="20"/>
    </w:rPr>
  </w:style>
  <w:style w:type="paragraph" w:styleId="1317">
    <w:name w:val="Char21"/>
    <w:basedOn w:val="882"/>
    <w:next w:val="1317"/>
    <w:link w:val="882"/>
    <w:qFormat/>
    <w:rPr>
      <w:rFonts w:ascii="Tahoma" w:hAnsi="Tahoma"/>
      <w:sz w:val="24"/>
      <w:szCs w:val="20"/>
    </w:rPr>
  </w:style>
  <w:style w:type="paragraph" w:styleId="1318">
    <w:name w:val="Char22"/>
    <w:basedOn w:val="882"/>
    <w:next w:val="1318"/>
    <w:link w:val="882"/>
    <w:qFormat/>
    <w:rPr>
      <w:rFonts w:ascii="Tahoma" w:hAnsi="Tahoma"/>
      <w:sz w:val="24"/>
      <w:szCs w:val="20"/>
    </w:rPr>
  </w:style>
  <w:style w:type="paragraph" w:styleId="1319">
    <w:name w:val="xl26"/>
    <w:basedOn w:val="882"/>
    <w:next w:val="131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320">
    <w:name w:val="Table Normal"/>
    <w:next w:val="1320"/>
    <w:link w:val="882"/>
    <w:uiPriority w:val="2"/>
    <w:unhideWhenUsed/>
    <w:qFormat/>
    <w:pPr>
      <w:widowControl w:val="off"/>
    </w:pPr>
    <w:rPr>
      <w:rFonts w:ascii="Calibri" w:hAnsi="Calibri"/>
      <w:sz w:val="22"/>
      <w:szCs w:val="22"/>
      <w:lang w:val="en-US" w:eastAsia="en-US" w:bidi="ar-SA"/>
    </w:rPr>
    <w:tblPr/>
  </w:style>
  <w:style w:type="character" w:styleId="1321">
    <w:name w:val="font21"/>
    <w:next w:val="1321"/>
    <w:link w:val="882"/>
    <w:qFormat/>
    <w:rPr>
      <w:rFonts w:hint="eastAsia" w:ascii="宋体" w:hAnsi="宋体" w:eastAsia="宋体" w:cs="宋体"/>
      <w:color w:val="000000"/>
      <w:sz w:val="24"/>
      <w:szCs w:val="24"/>
      <w:u w:val="none"/>
    </w:rPr>
  </w:style>
  <w:style w:type="character" w:styleId="1322">
    <w:name w:val="font41"/>
    <w:next w:val="1322"/>
    <w:link w:val="882"/>
    <w:qFormat/>
    <w:rPr>
      <w:rFonts w:hint="eastAsia" w:ascii="宋体" w:hAnsi="宋体" w:eastAsia="宋体" w:cs="宋体"/>
      <w:color w:val="000000"/>
      <w:sz w:val="24"/>
      <w:szCs w:val="24"/>
      <w:u w:val="none"/>
      <w:vertAlign w:val="subscript"/>
    </w:rPr>
  </w:style>
  <w:style w:type="character" w:styleId="1323">
    <w:name w:val="font11"/>
    <w:next w:val="1323"/>
    <w:link w:val="882"/>
    <w:qFormat/>
    <w:rPr>
      <w:rFonts w:hint="eastAsia" w:ascii="宋体" w:hAnsi="宋体" w:eastAsia="宋体" w:cs="宋体"/>
      <w:color w:val="000000"/>
      <w:sz w:val="22"/>
      <w:szCs w:val="22"/>
      <w:u w:val="none"/>
    </w:rPr>
  </w:style>
  <w:style w:type="paragraph" w:styleId="1324">
    <w:name w:val="p0"/>
    <w:basedOn w:val="882"/>
    <w:next w:val="1324"/>
    <w:link w:val="882"/>
    <w:qFormat/>
    <w:pPr>
      <w:jc w:val="left"/>
      <w:spacing w:before="100" w:beforeAutospacing="1" w:after="100" w:afterAutospacing="1"/>
      <w:widowControl/>
    </w:pPr>
    <w:rPr>
      <w:rFonts w:ascii="宋体" w:hAnsi="宋体" w:cs="宋体"/>
      <w:sz w:val="24"/>
    </w:rPr>
  </w:style>
  <w:style w:type="character" w:styleId="1325">
    <w:name w:val="font141"/>
    <w:next w:val="1325"/>
    <w:link w:val="882"/>
    <w:qFormat/>
    <w:rPr>
      <w:rFonts w:ascii="Calibri" w:hAnsi="Calibri" w:cs="Calibri"/>
      <w:color w:val="000000"/>
      <w:sz w:val="18"/>
      <w:szCs w:val="18"/>
      <w:u w:val="none"/>
    </w:rPr>
  </w:style>
  <w:style w:type="character" w:styleId="1326">
    <w:name w:val="font151"/>
    <w:next w:val="1326"/>
    <w:link w:val="882"/>
    <w:qFormat/>
    <w:rPr>
      <w:rFonts w:hint="eastAsia" w:ascii="宋体" w:hAnsi="宋体" w:eastAsia="宋体" w:cs="宋体"/>
      <w:color w:val="ff0000"/>
      <w:sz w:val="18"/>
      <w:szCs w:val="18"/>
      <w:u w:val="none"/>
    </w:rPr>
  </w:style>
  <w:style w:type="character" w:styleId="1327">
    <w:name w:val="font51"/>
    <w:next w:val="1327"/>
    <w:link w:val="882"/>
    <w:qFormat/>
    <w:rPr>
      <w:rFonts w:hint="eastAsia" w:ascii="宋体" w:hAnsi="宋体" w:eastAsia="宋体" w:cs="宋体"/>
      <w:color w:val="000000"/>
      <w:sz w:val="18"/>
      <w:szCs w:val="18"/>
      <w:u w:val="none"/>
    </w:rPr>
  </w:style>
  <w:style w:type="paragraph" w:styleId="1328">
    <w:name w:val="null3"/>
    <w:next w:val="1328"/>
    <w:link w:val="882"/>
    <w:qFormat/>
    <w:rPr>
      <w:rFonts w:hint="eastAsia" w:ascii="Calibri" w:hAnsi="Calibri"/>
      <w:lang w:val="en-US" w:eastAsia="zh-CN" w:bidi="ar-SA"/>
    </w:rPr>
  </w:style>
  <w:style w:type="character" w:styleId="1329">
    <w:name w:val="font61"/>
    <w:next w:val="1329"/>
    <w:link w:val="882"/>
    <w:qFormat/>
    <w:rPr>
      <w:rFonts w:hint="eastAsia" w:ascii="宋体" w:hAnsi="宋体" w:eastAsia="宋体" w:cs="宋体"/>
      <w:color w:val="ff0000"/>
      <w:sz w:val="18"/>
      <w:szCs w:val="18"/>
      <w:u w:val="none"/>
    </w:rPr>
  </w:style>
  <w:style w:type="paragraph" w:styleId="1330">
    <w:name w:val="样式3"/>
    <w:basedOn w:val="882"/>
    <w:next w:val="1330"/>
    <w:link w:val="882"/>
    <w:qFormat/>
    <w:pPr>
      <w:jc w:val="center"/>
      <w:spacing w:line="600" w:lineRule="atLeast"/>
    </w:pPr>
    <w:rPr>
      <w:rFonts w:ascii="楷体_GB2312" w:eastAsia="楷体_GB2312"/>
      <w:b/>
      <w:bCs/>
      <w:sz w:val="24"/>
    </w:rPr>
  </w:style>
  <w:style w:type="character" w:styleId="1331">
    <w:name w:val="15"/>
    <w:basedOn w:val="892"/>
    <w:next w:val="1331"/>
    <w:link w:val="882"/>
    <w:qFormat/>
    <w:rPr>
      <w:rFonts w:ascii="Calibri" w:hAnsi="Calibri" w:cs="Calibri"/>
      <w:color w:val="0000ff"/>
      <w:u w:val="single"/>
    </w:rPr>
  </w:style>
  <w:style w:type="character" w:styleId="17860" w:default="1">
    <w:name w:val="Default Paragraph Font"/>
    <w:uiPriority w:val="1"/>
    <w:semiHidden/>
    <w:unhideWhenUsed/>
  </w:style>
  <w:style w:type="numbering" w:styleId="17861" w:default="1">
    <w:name w:val="No List"/>
    <w:uiPriority w:val="99"/>
    <w:semiHidden/>
    <w:unhideWhenUsed/>
  </w:style>
  <w:style w:type="table" w:styleId="178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江杉</cp:lastModifiedBy>
  <cp:revision>2</cp:revision>
  <dcterms:created xsi:type="dcterms:W3CDTF">2024-12-09T09:24:00Z</dcterms:created>
  <dcterms:modified xsi:type="dcterms:W3CDTF">2026-08-31T03:52:59Z</dcterms:modified>
</cp:coreProperties>
</file>